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45"/>
        <w:tblW w:w="10173" w:type="dxa"/>
        <w:tblLayout w:type="fixed"/>
        <w:tblLook w:val="0000" w:firstRow="0" w:lastRow="0" w:firstColumn="0" w:lastColumn="0" w:noHBand="0" w:noVBand="0"/>
      </w:tblPr>
      <w:tblGrid>
        <w:gridCol w:w="6912"/>
        <w:gridCol w:w="3261"/>
      </w:tblGrid>
      <w:tr w:rsidR="00093EEB" w:rsidRPr="00B237E2" w14:paraId="4D71C1FE" w14:textId="77777777">
        <w:trPr>
          <w:cantSplit/>
        </w:trPr>
        <w:tc>
          <w:tcPr>
            <w:tcW w:w="6912" w:type="dxa"/>
          </w:tcPr>
          <w:p w14:paraId="03EDBA8B" w14:textId="52896D83" w:rsidR="00093EEB" w:rsidRPr="00B237E2" w:rsidRDefault="00093EEB" w:rsidP="00E124B0">
            <w:pPr>
              <w:spacing w:before="360"/>
              <w:rPr>
                <w:szCs w:val="24"/>
                <w:lang w:val="es-ES"/>
              </w:rPr>
            </w:pPr>
            <w:bookmarkStart w:id="0" w:name="dbluepink" w:colFirst="0" w:colLast="0"/>
            <w:r w:rsidRPr="00B237E2">
              <w:rPr>
                <w:b/>
                <w:bCs/>
                <w:sz w:val="30"/>
                <w:szCs w:val="30"/>
                <w:lang w:val="es-ES"/>
              </w:rPr>
              <w:t>Consejo 20</w:t>
            </w:r>
            <w:r w:rsidR="007955DA" w:rsidRPr="00B237E2">
              <w:rPr>
                <w:b/>
                <w:bCs/>
                <w:sz w:val="30"/>
                <w:szCs w:val="30"/>
                <w:lang w:val="es-ES"/>
              </w:rPr>
              <w:t>2</w:t>
            </w:r>
            <w:r w:rsidR="00D50A36" w:rsidRPr="00B237E2">
              <w:rPr>
                <w:b/>
                <w:bCs/>
                <w:sz w:val="30"/>
                <w:szCs w:val="30"/>
                <w:lang w:val="es-ES"/>
              </w:rPr>
              <w:t>2</w:t>
            </w:r>
            <w:r w:rsidR="00732616" w:rsidRPr="00B237E2">
              <w:rPr>
                <w:b/>
                <w:bCs/>
                <w:sz w:val="30"/>
                <w:szCs w:val="30"/>
                <w:lang w:val="es-ES"/>
              </w:rPr>
              <w:br/>
            </w:r>
            <w:r w:rsidR="00D50A36" w:rsidRPr="00B237E2">
              <w:rPr>
                <w:b/>
                <w:bCs/>
                <w:sz w:val="26"/>
                <w:szCs w:val="26"/>
                <w:lang w:val="es-ES"/>
              </w:rPr>
              <w:t>21</w:t>
            </w:r>
            <w:r w:rsidRPr="00B237E2">
              <w:rPr>
                <w:b/>
                <w:bCs/>
                <w:sz w:val="26"/>
                <w:szCs w:val="26"/>
                <w:lang w:val="es-ES"/>
              </w:rPr>
              <w:t>-</w:t>
            </w:r>
            <w:r w:rsidR="00D50A36" w:rsidRPr="00B237E2">
              <w:rPr>
                <w:b/>
                <w:bCs/>
                <w:sz w:val="26"/>
                <w:szCs w:val="26"/>
                <w:lang w:val="es-ES"/>
              </w:rPr>
              <w:t>31</w:t>
            </w:r>
            <w:r w:rsidRPr="00B237E2">
              <w:rPr>
                <w:b/>
                <w:bCs/>
                <w:sz w:val="26"/>
                <w:szCs w:val="26"/>
                <w:lang w:val="es-ES"/>
              </w:rPr>
              <w:t xml:space="preserve"> de </w:t>
            </w:r>
            <w:r w:rsidR="00D50A36" w:rsidRPr="00B237E2">
              <w:rPr>
                <w:b/>
                <w:bCs/>
                <w:sz w:val="26"/>
                <w:szCs w:val="26"/>
                <w:lang w:val="es-ES"/>
              </w:rPr>
              <w:t>marzo</w:t>
            </w:r>
            <w:r w:rsidRPr="00B237E2">
              <w:rPr>
                <w:b/>
                <w:bCs/>
                <w:sz w:val="26"/>
                <w:szCs w:val="26"/>
                <w:lang w:val="es-ES"/>
              </w:rPr>
              <w:t xml:space="preserve"> de 20</w:t>
            </w:r>
            <w:r w:rsidR="007955DA" w:rsidRPr="00B237E2">
              <w:rPr>
                <w:b/>
                <w:bCs/>
                <w:sz w:val="26"/>
                <w:szCs w:val="26"/>
                <w:lang w:val="es-ES"/>
              </w:rPr>
              <w:t>2</w:t>
            </w:r>
            <w:r w:rsidR="00D50A36" w:rsidRPr="00B237E2">
              <w:rPr>
                <w:b/>
                <w:bCs/>
                <w:sz w:val="26"/>
                <w:szCs w:val="26"/>
                <w:lang w:val="es-ES"/>
              </w:rPr>
              <w:t>2</w:t>
            </w:r>
          </w:p>
        </w:tc>
        <w:tc>
          <w:tcPr>
            <w:tcW w:w="3261" w:type="dxa"/>
          </w:tcPr>
          <w:p w14:paraId="521A13AD" w14:textId="77777777" w:rsidR="00093EEB" w:rsidRPr="00B237E2" w:rsidRDefault="007955DA" w:rsidP="00E124B0">
            <w:pPr>
              <w:spacing w:before="0"/>
              <w:rPr>
                <w:szCs w:val="24"/>
                <w:lang w:val="es-ES"/>
              </w:rPr>
            </w:pPr>
            <w:bookmarkStart w:id="1" w:name="ditulogo"/>
            <w:bookmarkEnd w:id="1"/>
            <w:r w:rsidRPr="00B237E2">
              <w:rPr>
                <w:noProof/>
                <w:lang w:val="en-US"/>
              </w:rPr>
              <w:drawing>
                <wp:inline distT="0" distB="0" distL="0" distR="0" wp14:anchorId="16626C00" wp14:editId="58D5E79B">
                  <wp:extent cx="682402" cy="720000"/>
                  <wp:effectExtent l="0" t="0" r="381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ITU-RGB-size templat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2402" cy="720000"/>
                          </a:xfrm>
                          <a:prstGeom prst="rect">
                            <a:avLst/>
                          </a:prstGeom>
                        </pic:spPr>
                      </pic:pic>
                    </a:graphicData>
                  </a:graphic>
                </wp:inline>
              </w:drawing>
            </w:r>
          </w:p>
        </w:tc>
      </w:tr>
      <w:tr w:rsidR="00093EEB" w:rsidRPr="00B237E2" w14:paraId="542AF46E" w14:textId="77777777">
        <w:trPr>
          <w:cantSplit/>
          <w:trHeight w:val="20"/>
        </w:trPr>
        <w:tc>
          <w:tcPr>
            <w:tcW w:w="10173" w:type="dxa"/>
            <w:gridSpan w:val="2"/>
            <w:tcBorders>
              <w:bottom w:val="single" w:sz="12" w:space="0" w:color="auto"/>
            </w:tcBorders>
          </w:tcPr>
          <w:p w14:paraId="202C0790" w14:textId="77777777" w:rsidR="00093EEB" w:rsidRPr="00B237E2" w:rsidRDefault="00093EEB" w:rsidP="00E124B0">
            <w:pPr>
              <w:spacing w:before="0"/>
              <w:rPr>
                <w:b/>
                <w:bCs/>
                <w:szCs w:val="24"/>
                <w:lang w:val="es-ES"/>
              </w:rPr>
            </w:pPr>
          </w:p>
        </w:tc>
      </w:tr>
      <w:tr w:rsidR="00093EEB" w:rsidRPr="00B237E2" w14:paraId="6D07D496" w14:textId="77777777">
        <w:trPr>
          <w:cantSplit/>
          <w:trHeight w:val="20"/>
        </w:trPr>
        <w:tc>
          <w:tcPr>
            <w:tcW w:w="6912" w:type="dxa"/>
            <w:tcBorders>
              <w:top w:val="single" w:sz="12" w:space="0" w:color="auto"/>
            </w:tcBorders>
          </w:tcPr>
          <w:p w14:paraId="0EF006FE" w14:textId="77777777" w:rsidR="00093EEB" w:rsidRPr="00B237E2" w:rsidRDefault="00093EEB" w:rsidP="00E124B0">
            <w:pPr>
              <w:tabs>
                <w:tab w:val="clear" w:pos="2268"/>
                <w:tab w:val="left" w:pos="1560"/>
                <w:tab w:val="left" w:pos="2269"/>
                <w:tab w:val="left" w:pos="3544"/>
                <w:tab w:val="left" w:pos="3969"/>
              </w:tabs>
              <w:spacing w:before="0"/>
              <w:rPr>
                <w:b/>
                <w:smallCaps/>
                <w:szCs w:val="24"/>
                <w:lang w:val="es-ES"/>
              </w:rPr>
            </w:pPr>
          </w:p>
        </w:tc>
        <w:tc>
          <w:tcPr>
            <w:tcW w:w="3261" w:type="dxa"/>
            <w:tcBorders>
              <w:top w:val="single" w:sz="12" w:space="0" w:color="auto"/>
            </w:tcBorders>
          </w:tcPr>
          <w:p w14:paraId="2948E863" w14:textId="77777777" w:rsidR="00093EEB" w:rsidRPr="00B237E2" w:rsidRDefault="00093EEB" w:rsidP="00E124B0">
            <w:pPr>
              <w:spacing w:before="0"/>
              <w:rPr>
                <w:b/>
                <w:bCs/>
                <w:szCs w:val="24"/>
                <w:lang w:val="es-ES"/>
              </w:rPr>
            </w:pPr>
          </w:p>
        </w:tc>
      </w:tr>
      <w:tr w:rsidR="00093EEB" w:rsidRPr="00B237E2" w14:paraId="099CC354" w14:textId="77777777">
        <w:trPr>
          <w:cantSplit/>
          <w:trHeight w:val="20"/>
        </w:trPr>
        <w:tc>
          <w:tcPr>
            <w:tcW w:w="6912" w:type="dxa"/>
            <w:shd w:val="clear" w:color="auto" w:fill="auto"/>
          </w:tcPr>
          <w:p w14:paraId="6073684A" w14:textId="03FFA2A0" w:rsidR="00093EEB" w:rsidRPr="00B237E2" w:rsidRDefault="0061310A" w:rsidP="00E124B0">
            <w:pPr>
              <w:tabs>
                <w:tab w:val="clear" w:pos="2268"/>
                <w:tab w:val="left" w:pos="1560"/>
                <w:tab w:val="left" w:pos="2269"/>
                <w:tab w:val="left" w:pos="3544"/>
                <w:tab w:val="left" w:pos="3969"/>
              </w:tabs>
              <w:spacing w:before="0"/>
              <w:rPr>
                <w:rFonts w:cs="Times"/>
                <w:b/>
                <w:szCs w:val="24"/>
                <w:lang w:val="es-ES"/>
              </w:rPr>
            </w:pPr>
            <w:bookmarkStart w:id="2" w:name="dnum" w:colFirst="1" w:colLast="1"/>
            <w:bookmarkStart w:id="3" w:name="dmeeting" w:colFirst="0" w:colLast="0"/>
            <w:r>
              <w:rPr>
                <w:rFonts w:cs="Times"/>
                <w:b/>
                <w:szCs w:val="24"/>
                <w:lang w:val="es-ES"/>
              </w:rPr>
              <w:t>Punto del orden del día: PL 3.1</w:t>
            </w:r>
          </w:p>
        </w:tc>
        <w:tc>
          <w:tcPr>
            <w:tcW w:w="3261" w:type="dxa"/>
          </w:tcPr>
          <w:p w14:paraId="4674CB01" w14:textId="2D3FD5FB" w:rsidR="00093EEB" w:rsidRPr="00B237E2" w:rsidRDefault="00093EEB" w:rsidP="00E124B0">
            <w:pPr>
              <w:spacing w:before="0"/>
              <w:rPr>
                <w:b/>
                <w:bCs/>
                <w:szCs w:val="24"/>
                <w:lang w:val="es-ES"/>
              </w:rPr>
            </w:pPr>
            <w:r w:rsidRPr="00B237E2">
              <w:rPr>
                <w:b/>
                <w:bCs/>
                <w:szCs w:val="24"/>
                <w:lang w:val="es-ES"/>
              </w:rPr>
              <w:t>Documento C</w:t>
            </w:r>
            <w:r w:rsidR="007955DA" w:rsidRPr="00B237E2">
              <w:rPr>
                <w:b/>
                <w:bCs/>
                <w:szCs w:val="24"/>
                <w:lang w:val="es-ES"/>
              </w:rPr>
              <w:t>2</w:t>
            </w:r>
            <w:r w:rsidR="00D50A36" w:rsidRPr="00B237E2">
              <w:rPr>
                <w:b/>
                <w:bCs/>
                <w:szCs w:val="24"/>
                <w:lang w:val="es-ES"/>
              </w:rPr>
              <w:t>2</w:t>
            </w:r>
            <w:r w:rsidRPr="00B237E2">
              <w:rPr>
                <w:b/>
                <w:bCs/>
                <w:szCs w:val="24"/>
                <w:lang w:val="es-ES"/>
              </w:rPr>
              <w:t>/</w:t>
            </w:r>
            <w:r w:rsidR="00823AB3" w:rsidRPr="00B237E2">
              <w:rPr>
                <w:b/>
                <w:bCs/>
                <w:szCs w:val="24"/>
                <w:lang w:val="es-ES"/>
              </w:rPr>
              <w:t>35</w:t>
            </w:r>
            <w:r w:rsidRPr="00B237E2">
              <w:rPr>
                <w:b/>
                <w:bCs/>
                <w:szCs w:val="24"/>
                <w:lang w:val="es-ES"/>
              </w:rPr>
              <w:t>-S</w:t>
            </w:r>
          </w:p>
        </w:tc>
      </w:tr>
      <w:tr w:rsidR="00093EEB" w:rsidRPr="00B237E2" w14:paraId="38DED2C5" w14:textId="77777777">
        <w:trPr>
          <w:cantSplit/>
          <w:trHeight w:val="20"/>
        </w:trPr>
        <w:tc>
          <w:tcPr>
            <w:tcW w:w="6912" w:type="dxa"/>
            <w:shd w:val="clear" w:color="auto" w:fill="auto"/>
          </w:tcPr>
          <w:p w14:paraId="5DFE1873" w14:textId="77777777" w:rsidR="00093EEB" w:rsidRPr="00B237E2" w:rsidRDefault="00093EEB" w:rsidP="00E124B0">
            <w:pPr>
              <w:shd w:val="solid" w:color="FFFFFF" w:fill="FFFFFF"/>
              <w:spacing w:before="0"/>
              <w:rPr>
                <w:smallCaps/>
                <w:szCs w:val="24"/>
                <w:lang w:val="es-ES"/>
              </w:rPr>
            </w:pPr>
            <w:bookmarkStart w:id="4" w:name="ddate" w:colFirst="1" w:colLast="1"/>
            <w:bookmarkEnd w:id="2"/>
            <w:bookmarkEnd w:id="3"/>
          </w:p>
        </w:tc>
        <w:tc>
          <w:tcPr>
            <w:tcW w:w="3261" w:type="dxa"/>
          </w:tcPr>
          <w:p w14:paraId="77FCD0AF" w14:textId="1FB14D5E" w:rsidR="00093EEB" w:rsidRPr="00B237E2" w:rsidRDefault="0061310A" w:rsidP="00E124B0">
            <w:pPr>
              <w:spacing w:before="0"/>
              <w:rPr>
                <w:b/>
                <w:bCs/>
                <w:szCs w:val="24"/>
                <w:lang w:val="es-ES"/>
              </w:rPr>
            </w:pPr>
            <w:r>
              <w:rPr>
                <w:b/>
                <w:bCs/>
                <w:szCs w:val="24"/>
                <w:lang w:val="es-ES"/>
              </w:rPr>
              <w:t>1</w:t>
            </w:r>
            <w:r w:rsidR="00AF6115">
              <w:rPr>
                <w:b/>
                <w:bCs/>
                <w:szCs w:val="24"/>
                <w:lang w:val="es-ES"/>
              </w:rPr>
              <w:t>8</w:t>
            </w:r>
            <w:r>
              <w:rPr>
                <w:b/>
                <w:bCs/>
                <w:szCs w:val="24"/>
                <w:lang w:val="es-ES"/>
              </w:rPr>
              <w:t xml:space="preserve"> de febrero</w:t>
            </w:r>
            <w:r w:rsidR="00823AB3" w:rsidRPr="00B237E2">
              <w:rPr>
                <w:b/>
                <w:bCs/>
                <w:szCs w:val="24"/>
                <w:lang w:val="es-ES"/>
              </w:rPr>
              <w:t xml:space="preserve"> de</w:t>
            </w:r>
            <w:r w:rsidR="00093EEB" w:rsidRPr="00B237E2">
              <w:rPr>
                <w:b/>
                <w:bCs/>
                <w:szCs w:val="24"/>
                <w:lang w:val="es-ES"/>
              </w:rPr>
              <w:t xml:space="preserve"> 20</w:t>
            </w:r>
            <w:r w:rsidR="007955DA" w:rsidRPr="00B237E2">
              <w:rPr>
                <w:b/>
                <w:bCs/>
                <w:szCs w:val="24"/>
                <w:lang w:val="es-ES"/>
              </w:rPr>
              <w:t>2</w:t>
            </w:r>
            <w:r>
              <w:rPr>
                <w:b/>
                <w:bCs/>
                <w:szCs w:val="24"/>
                <w:lang w:val="es-ES"/>
              </w:rPr>
              <w:t>2</w:t>
            </w:r>
          </w:p>
        </w:tc>
      </w:tr>
      <w:tr w:rsidR="00093EEB" w:rsidRPr="00B237E2" w14:paraId="1D3BA6B6" w14:textId="77777777">
        <w:trPr>
          <w:cantSplit/>
          <w:trHeight w:val="20"/>
        </w:trPr>
        <w:tc>
          <w:tcPr>
            <w:tcW w:w="6912" w:type="dxa"/>
            <w:shd w:val="clear" w:color="auto" w:fill="auto"/>
          </w:tcPr>
          <w:p w14:paraId="57489985" w14:textId="77777777" w:rsidR="00093EEB" w:rsidRPr="00B237E2" w:rsidRDefault="00093EEB" w:rsidP="00E124B0">
            <w:pPr>
              <w:shd w:val="solid" w:color="FFFFFF" w:fill="FFFFFF"/>
              <w:spacing w:before="0"/>
              <w:rPr>
                <w:smallCaps/>
                <w:szCs w:val="24"/>
                <w:lang w:val="es-ES"/>
              </w:rPr>
            </w:pPr>
            <w:bookmarkStart w:id="5" w:name="dorlang" w:colFirst="1" w:colLast="1"/>
            <w:bookmarkEnd w:id="4"/>
          </w:p>
        </w:tc>
        <w:tc>
          <w:tcPr>
            <w:tcW w:w="3261" w:type="dxa"/>
          </w:tcPr>
          <w:p w14:paraId="173667DF" w14:textId="77777777" w:rsidR="00093EEB" w:rsidRPr="00B237E2" w:rsidRDefault="00093EEB" w:rsidP="00E124B0">
            <w:pPr>
              <w:spacing w:before="0"/>
              <w:rPr>
                <w:b/>
                <w:bCs/>
                <w:szCs w:val="24"/>
                <w:lang w:val="es-ES"/>
              </w:rPr>
            </w:pPr>
            <w:r w:rsidRPr="00B237E2">
              <w:rPr>
                <w:b/>
                <w:bCs/>
                <w:szCs w:val="24"/>
                <w:lang w:val="es-ES"/>
              </w:rPr>
              <w:t>Original: inglés</w:t>
            </w:r>
          </w:p>
        </w:tc>
      </w:tr>
      <w:tr w:rsidR="00823AB3" w:rsidRPr="00B237E2" w14:paraId="429D1A61" w14:textId="77777777">
        <w:trPr>
          <w:cantSplit/>
        </w:trPr>
        <w:tc>
          <w:tcPr>
            <w:tcW w:w="10173" w:type="dxa"/>
            <w:gridSpan w:val="2"/>
          </w:tcPr>
          <w:p w14:paraId="14775FA6" w14:textId="7D506C14" w:rsidR="00823AB3" w:rsidRPr="00B237E2" w:rsidRDefault="00823AB3" w:rsidP="00E124B0">
            <w:pPr>
              <w:pStyle w:val="Source"/>
              <w:rPr>
                <w:lang w:val="es-ES"/>
              </w:rPr>
            </w:pPr>
            <w:bookmarkStart w:id="6" w:name="dsource" w:colFirst="0" w:colLast="0"/>
            <w:bookmarkEnd w:id="0"/>
            <w:bookmarkEnd w:id="5"/>
            <w:r w:rsidRPr="00B237E2">
              <w:rPr>
                <w:lang w:val="es-ES"/>
              </w:rPr>
              <w:t>Informe del Secretario General</w:t>
            </w:r>
          </w:p>
        </w:tc>
      </w:tr>
      <w:tr w:rsidR="00823AB3" w:rsidRPr="00B237E2" w14:paraId="3168F2A8" w14:textId="77777777">
        <w:trPr>
          <w:cantSplit/>
        </w:trPr>
        <w:tc>
          <w:tcPr>
            <w:tcW w:w="10173" w:type="dxa"/>
            <w:gridSpan w:val="2"/>
          </w:tcPr>
          <w:p w14:paraId="2009C21F" w14:textId="29620F2B" w:rsidR="00732616" w:rsidRPr="00B237E2" w:rsidRDefault="00823AB3" w:rsidP="0037664F">
            <w:pPr>
              <w:pStyle w:val="Title1"/>
              <w:rPr>
                <w:lang w:val="es-ES"/>
              </w:rPr>
            </w:pPr>
            <w:bookmarkStart w:id="7" w:name="_Hlk73721033"/>
            <w:bookmarkStart w:id="8" w:name="dtitle1" w:colFirst="0" w:colLast="0"/>
            <w:bookmarkStart w:id="9" w:name="_Hlk98084739"/>
            <w:bookmarkEnd w:id="6"/>
            <w:r w:rsidRPr="0037664F">
              <w:t>INFORME</w:t>
            </w:r>
            <w:r w:rsidRPr="00B237E2">
              <w:rPr>
                <w:lang w:val="es-ES"/>
              </w:rPr>
              <w:t xml:space="preserve"> SOBRE LA APLICACIÓN DEL PLAN ESTRATÉGICO Y</w:t>
            </w:r>
            <w:r w:rsidRPr="00B237E2">
              <w:rPr>
                <w:lang w:val="es-ES"/>
              </w:rPr>
              <w:br/>
              <w:t xml:space="preserve">LAS ACTIVIDADES DE LA UNIÓN, ABRIL DE 2018 – febrero DE </w:t>
            </w:r>
            <w:bookmarkEnd w:id="7"/>
            <w:r w:rsidRPr="00B237E2">
              <w:rPr>
                <w:lang w:val="es-ES"/>
              </w:rPr>
              <w:t>2022</w:t>
            </w:r>
            <w:bookmarkEnd w:id="9"/>
          </w:p>
        </w:tc>
      </w:tr>
    </w:tbl>
    <w:p w14:paraId="44033C6A" w14:textId="77777777" w:rsidR="00901741" w:rsidRDefault="00901741"/>
    <w:tbl>
      <w:tblPr>
        <w:tblW w:w="808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80"/>
      </w:tblGrid>
      <w:tr w:rsidR="00093EEB" w:rsidRPr="00B237E2" w14:paraId="0D7EBE49" w14:textId="77777777">
        <w:trPr>
          <w:trHeight w:val="3372"/>
        </w:trPr>
        <w:tc>
          <w:tcPr>
            <w:tcW w:w="8080" w:type="dxa"/>
            <w:tcBorders>
              <w:top w:val="single" w:sz="12" w:space="0" w:color="auto"/>
              <w:left w:val="single" w:sz="12" w:space="0" w:color="auto"/>
              <w:bottom w:val="single" w:sz="12" w:space="0" w:color="auto"/>
              <w:right w:val="single" w:sz="12" w:space="0" w:color="auto"/>
            </w:tcBorders>
          </w:tcPr>
          <w:bookmarkEnd w:id="8"/>
          <w:p w14:paraId="71E6C1B0" w14:textId="77777777" w:rsidR="00093EEB" w:rsidRPr="00B237E2" w:rsidRDefault="00093EEB" w:rsidP="00E124B0">
            <w:pPr>
              <w:pStyle w:val="Headingb"/>
              <w:rPr>
                <w:lang w:val="es-ES"/>
              </w:rPr>
            </w:pPr>
            <w:r w:rsidRPr="00B237E2">
              <w:rPr>
                <w:lang w:val="es-ES"/>
              </w:rPr>
              <w:t>Resumen</w:t>
            </w:r>
          </w:p>
          <w:p w14:paraId="13DB4B05" w14:textId="09EF6D74" w:rsidR="00823AB3" w:rsidRPr="00B237E2" w:rsidRDefault="00823AB3" w:rsidP="00E124B0">
            <w:pPr>
              <w:rPr>
                <w:lang w:val="es-ES"/>
              </w:rPr>
            </w:pPr>
            <w:r w:rsidRPr="00B237E2">
              <w:rPr>
                <w:lang w:val="es-ES"/>
              </w:rPr>
              <w:t xml:space="preserve">El presente informe abarca las actividades realizadas por la UIT </w:t>
            </w:r>
            <w:r w:rsidR="00070D7B" w:rsidRPr="00B237E2">
              <w:rPr>
                <w:lang w:val="es-ES"/>
              </w:rPr>
              <w:t>de</w:t>
            </w:r>
            <w:r w:rsidRPr="00B237E2">
              <w:rPr>
                <w:lang w:val="es-ES"/>
              </w:rPr>
              <w:t xml:space="preserve"> abril de 201</w:t>
            </w:r>
            <w:r w:rsidR="00070D7B" w:rsidRPr="00B237E2">
              <w:rPr>
                <w:lang w:val="es-ES"/>
              </w:rPr>
              <w:t>8</w:t>
            </w:r>
            <w:r w:rsidRPr="00B237E2">
              <w:rPr>
                <w:lang w:val="es-ES"/>
              </w:rPr>
              <w:t xml:space="preserve"> </w:t>
            </w:r>
            <w:r w:rsidR="00070D7B" w:rsidRPr="00B237E2">
              <w:rPr>
                <w:lang w:val="es-ES"/>
              </w:rPr>
              <w:t>a</w:t>
            </w:r>
            <w:r w:rsidRPr="00B237E2">
              <w:rPr>
                <w:lang w:val="es-ES"/>
              </w:rPr>
              <w:t xml:space="preserve"> </w:t>
            </w:r>
            <w:r w:rsidR="00070D7B" w:rsidRPr="00B237E2">
              <w:rPr>
                <w:lang w:val="es-ES"/>
              </w:rPr>
              <w:t>febrero de 2022</w:t>
            </w:r>
            <w:r w:rsidRPr="00B237E2">
              <w:rPr>
                <w:lang w:val="es-ES"/>
              </w:rPr>
              <w:t>,</w:t>
            </w:r>
            <w:r w:rsidR="00070D7B" w:rsidRPr="00B237E2">
              <w:rPr>
                <w:lang w:val="es-ES"/>
              </w:rPr>
              <w:t xml:space="preserve"> </w:t>
            </w:r>
            <w:r w:rsidR="00FE47DA" w:rsidRPr="00B237E2">
              <w:rPr>
                <w:lang w:val="es-ES"/>
              </w:rPr>
              <w:t xml:space="preserve">y tiene por objeto </w:t>
            </w:r>
            <w:r w:rsidR="00ED7950" w:rsidRPr="00B237E2">
              <w:rPr>
                <w:lang w:val="es-ES"/>
              </w:rPr>
              <w:t>sentar las bases del informe a la PP-2 (Doc.</w:t>
            </w:r>
            <w:r w:rsidR="008C7C70">
              <w:rPr>
                <w:lang w:val="es-ES"/>
              </w:rPr>
              <w:t> </w:t>
            </w:r>
            <w:r w:rsidR="00ED7950" w:rsidRPr="00B237E2">
              <w:rPr>
                <w:lang w:val="es-ES"/>
              </w:rPr>
              <w:t>20) para un per</w:t>
            </w:r>
            <w:r w:rsidR="008C7C70">
              <w:rPr>
                <w:lang w:val="es-ES"/>
              </w:rPr>
              <w:t>i</w:t>
            </w:r>
            <w:r w:rsidR="00ED7950" w:rsidRPr="00B237E2">
              <w:rPr>
                <w:lang w:val="es-ES"/>
              </w:rPr>
              <w:t>odo de cuatro años.</w:t>
            </w:r>
            <w:r w:rsidR="00070D7B" w:rsidRPr="00B237E2">
              <w:rPr>
                <w:lang w:val="es-ES"/>
              </w:rPr>
              <w:t xml:space="preserve"> C</w:t>
            </w:r>
            <w:r w:rsidRPr="00B237E2">
              <w:rPr>
                <w:lang w:val="es-ES"/>
              </w:rPr>
              <w:t xml:space="preserve">ontiene información </w:t>
            </w:r>
            <w:r w:rsidR="00983F3F">
              <w:rPr>
                <w:lang w:val="es-ES"/>
              </w:rPr>
              <w:t>sobre</w:t>
            </w:r>
            <w:r w:rsidRPr="00B237E2">
              <w:rPr>
                <w:lang w:val="es-ES"/>
              </w:rPr>
              <w:t xml:space="preserve"> las metas y finalidades estratégicas </w:t>
            </w:r>
            <w:r w:rsidR="00983F3F">
              <w:rPr>
                <w:lang w:val="es-ES"/>
              </w:rPr>
              <w:t>relativas a toda</w:t>
            </w:r>
            <w:r w:rsidRPr="00B237E2">
              <w:rPr>
                <w:lang w:val="es-ES"/>
              </w:rPr>
              <w:t xml:space="preserve"> la UIT, </w:t>
            </w:r>
            <w:r w:rsidR="00983F3F">
              <w:rPr>
                <w:lang w:val="es-ES"/>
              </w:rPr>
              <w:t>incluidos</w:t>
            </w:r>
            <w:r w:rsidRPr="00B237E2">
              <w:rPr>
                <w:lang w:val="es-ES"/>
              </w:rPr>
              <w:t xml:space="preserve"> los objetivos sectoriales e intersectoriales. </w:t>
            </w:r>
            <w:r w:rsidR="00D678C0" w:rsidRPr="00B237E2">
              <w:rPr>
                <w:lang w:val="es-ES"/>
              </w:rPr>
              <w:t>A tal efecto,</w:t>
            </w:r>
            <w:r w:rsidRPr="00B237E2">
              <w:rPr>
                <w:lang w:val="es-ES"/>
              </w:rPr>
              <w:t xml:space="preserve"> </w:t>
            </w:r>
            <w:r w:rsidR="00083B22" w:rsidRPr="00B237E2">
              <w:rPr>
                <w:lang w:val="es-ES"/>
              </w:rPr>
              <w:t>conjuga</w:t>
            </w:r>
            <w:r w:rsidRPr="00B237E2">
              <w:rPr>
                <w:lang w:val="es-ES"/>
              </w:rPr>
              <w:t xml:space="preserve"> el informe anual </w:t>
            </w:r>
            <w:r w:rsidR="00083B22" w:rsidRPr="00B237E2">
              <w:rPr>
                <w:lang w:val="es-ES"/>
              </w:rPr>
              <w:t>de</w:t>
            </w:r>
            <w:r w:rsidRPr="00B237E2">
              <w:rPr>
                <w:lang w:val="es-ES"/>
              </w:rPr>
              <w:t xml:space="preserve"> actividades (según lo dispuesto en el número 102 del Convenio) y el informe sobre la aplicación del Plan Estratégico (según lo dispuesto en el número 61 del Convenio y en la Resolución 71 (Rev. Dubái, 2018) de la Conferencia de Plenipotenciarios).</w:t>
            </w:r>
          </w:p>
          <w:p w14:paraId="5ED9C3C0" w14:textId="24F4F1F3" w:rsidR="00823AB3" w:rsidRPr="00B237E2" w:rsidRDefault="00823AB3" w:rsidP="00E124B0">
            <w:pPr>
              <w:rPr>
                <w:lang w:val="es-ES"/>
              </w:rPr>
            </w:pPr>
            <w:r w:rsidRPr="00B237E2">
              <w:rPr>
                <w:lang w:val="es-ES"/>
              </w:rPr>
              <w:t xml:space="preserve">Se </w:t>
            </w:r>
            <w:r w:rsidR="00083B22" w:rsidRPr="00B237E2">
              <w:rPr>
                <w:lang w:val="es-ES"/>
              </w:rPr>
              <w:t>han desplegado amplios</w:t>
            </w:r>
            <w:r w:rsidRPr="00B237E2">
              <w:rPr>
                <w:lang w:val="es-ES"/>
              </w:rPr>
              <w:t xml:space="preserve"> esfuerzos </w:t>
            </w:r>
            <w:r w:rsidR="00083B22" w:rsidRPr="00B237E2">
              <w:rPr>
                <w:lang w:val="es-ES"/>
              </w:rPr>
              <w:t xml:space="preserve">para </w:t>
            </w:r>
            <w:r w:rsidR="00C16596" w:rsidRPr="00B237E2">
              <w:rPr>
                <w:lang w:val="es-ES"/>
              </w:rPr>
              <w:t>elaborar</w:t>
            </w:r>
            <w:r w:rsidR="00083B22" w:rsidRPr="00B237E2">
              <w:rPr>
                <w:lang w:val="es-ES"/>
              </w:rPr>
              <w:t xml:space="preserve"> el presente</w:t>
            </w:r>
            <w:r w:rsidRPr="00B237E2">
              <w:rPr>
                <w:lang w:val="es-ES"/>
              </w:rPr>
              <w:t xml:space="preserve"> documento, </w:t>
            </w:r>
            <w:r w:rsidR="00C16596" w:rsidRPr="00B237E2">
              <w:rPr>
                <w:lang w:val="es-ES"/>
              </w:rPr>
              <w:t>con objeto de</w:t>
            </w:r>
            <w:r w:rsidRPr="00B237E2">
              <w:rPr>
                <w:lang w:val="es-ES"/>
              </w:rPr>
              <w:t xml:space="preserve"> </w:t>
            </w:r>
            <w:r w:rsidR="007333DA" w:rsidRPr="00B237E2">
              <w:rPr>
                <w:lang w:val="es-ES"/>
              </w:rPr>
              <w:t>que incluya</w:t>
            </w:r>
            <w:r w:rsidRPr="00B237E2">
              <w:rPr>
                <w:lang w:val="es-ES"/>
              </w:rPr>
              <w:t xml:space="preserve"> todas las actividades pertinentes </w:t>
            </w:r>
            <w:r w:rsidR="00C16596" w:rsidRPr="00B237E2">
              <w:rPr>
                <w:lang w:val="es-ES"/>
              </w:rPr>
              <w:t>con arreglo a</w:t>
            </w:r>
            <w:r w:rsidRPr="00B237E2">
              <w:rPr>
                <w:lang w:val="es-ES"/>
              </w:rPr>
              <w:t xml:space="preserve"> un enfoque orientado a los resultados, basado en datos empíricos y centrado en temas </w:t>
            </w:r>
            <w:r w:rsidR="00C16596" w:rsidRPr="00B237E2">
              <w:rPr>
                <w:lang w:val="es-ES"/>
              </w:rPr>
              <w:t>específicos</w:t>
            </w:r>
            <w:r w:rsidRPr="00B237E2">
              <w:rPr>
                <w:lang w:val="es-ES"/>
              </w:rPr>
              <w:t xml:space="preserve">, </w:t>
            </w:r>
            <w:r w:rsidR="00C16596" w:rsidRPr="00B237E2">
              <w:rPr>
                <w:lang w:val="es-ES"/>
              </w:rPr>
              <w:t>en particular, datos</w:t>
            </w:r>
            <w:r w:rsidRPr="00B237E2">
              <w:rPr>
                <w:lang w:val="es-ES"/>
              </w:rPr>
              <w:t xml:space="preserve"> analític</w:t>
            </w:r>
            <w:r w:rsidR="00C16596" w:rsidRPr="00B237E2">
              <w:rPr>
                <w:lang w:val="es-ES"/>
              </w:rPr>
              <w:t>o</w:t>
            </w:r>
            <w:r w:rsidRPr="00B237E2">
              <w:rPr>
                <w:lang w:val="es-ES"/>
              </w:rPr>
              <w:t xml:space="preserve">s que </w:t>
            </w:r>
            <w:r w:rsidR="00C16596" w:rsidRPr="00B237E2">
              <w:rPr>
                <w:lang w:val="es-ES"/>
              </w:rPr>
              <w:t>ponen de manifiesto</w:t>
            </w:r>
            <w:r w:rsidR="00803805" w:rsidRPr="00B237E2">
              <w:rPr>
                <w:lang w:val="es-ES"/>
              </w:rPr>
              <w:t xml:space="preserve"> los avances</w:t>
            </w:r>
            <w:r w:rsidR="000559EA">
              <w:rPr>
                <w:lang w:val="es-ES"/>
              </w:rPr>
              <w:t xml:space="preserve"> generales registrados </w:t>
            </w:r>
            <w:r w:rsidR="00803805" w:rsidRPr="00B237E2">
              <w:rPr>
                <w:lang w:val="es-ES"/>
              </w:rPr>
              <w:t>para alcanzar</w:t>
            </w:r>
            <w:r w:rsidRPr="00B237E2">
              <w:rPr>
                <w:lang w:val="es-ES"/>
              </w:rPr>
              <w:t xml:space="preserve"> las metas de la Agenda Conectar 2030, e información </w:t>
            </w:r>
            <w:r w:rsidR="00803805" w:rsidRPr="00B237E2">
              <w:rPr>
                <w:lang w:val="es-ES"/>
              </w:rPr>
              <w:t>pormenorizada</w:t>
            </w:r>
            <w:r w:rsidRPr="00B237E2">
              <w:rPr>
                <w:lang w:val="es-ES"/>
              </w:rPr>
              <w:t xml:space="preserve"> sobre los indicadores </w:t>
            </w:r>
            <w:r w:rsidR="00FE325B">
              <w:rPr>
                <w:lang w:val="es-ES"/>
              </w:rPr>
              <w:t>refrendados</w:t>
            </w:r>
            <w:r w:rsidRPr="00B237E2">
              <w:rPr>
                <w:lang w:val="es-ES"/>
              </w:rPr>
              <w:t xml:space="preserve"> por los </w:t>
            </w:r>
            <w:r w:rsidR="00803805" w:rsidRPr="00B237E2">
              <w:rPr>
                <w:lang w:val="es-ES"/>
              </w:rPr>
              <w:t>M</w:t>
            </w:r>
            <w:r w:rsidRPr="00B237E2">
              <w:rPr>
                <w:lang w:val="es-ES"/>
              </w:rPr>
              <w:t>iembros e</w:t>
            </w:r>
            <w:r w:rsidR="00803805" w:rsidRPr="00B237E2">
              <w:rPr>
                <w:lang w:val="es-ES"/>
              </w:rPr>
              <w:t>n el marco de</w:t>
            </w:r>
            <w:r w:rsidRPr="00B237E2">
              <w:rPr>
                <w:lang w:val="es-ES"/>
              </w:rPr>
              <w:t xml:space="preserve"> los planes operacionales de los tres Sectores y la Secretaría General.</w:t>
            </w:r>
          </w:p>
          <w:p w14:paraId="1978C958" w14:textId="77777777" w:rsidR="00093EEB" w:rsidRPr="00B237E2" w:rsidRDefault="00093EEB" w:rsidP="00E124B0">
            <w:pPr>
              <w:pStyle w:val="Headingb"/>
              <w:rPr>
                <w:lang w:val="es-ES"/>
              </w:rPr>
            </w:pPr>
            <w:r w:rsidRPr="00B237E2">
              <w:rPr>
                <w:lang w:val="es-ES"/>
              </w:rPr>
              <w:t>Acción solicitada</w:t>
            </w:r>
          </w:p>
          <w:p w14:paraId="49D0EFDD" w14:textId="65BC25D9" w:rsidR="00093EEB" w:rsidRPr="00B237E2" w:rsidRDefault="00823AB3" w:rsidP="00E124B0">
            <w:pPr>
              <w:rPr>
                <w:lang w:val="es-ES"/>
              </w:rPr>
            </w:pPr>
            <w:r w:rsidRPr="00B237E2">
              <w:rPr>
                <w:lang w:val="es-ES"/>
              </w:rPr>
              <w:t xml:space="preserve">Se invita al Consejo a </w:t>
            </w:r>
            <w:r w:rsidRPr="00B237E2">
              <w:rPr>
                <w:b/>
                <w:bCs/>
                <w:lang w:val="es-ES"/>
              </w:rPr>
              <w:t>aprobar</w:t>
            </w:r>
            <w:r w:rsidRPr="00B237E2">
              <w:rPr>
                <w:lang w:val="es-ES"/>
              </w:rPr>
              <w:t xml:space="preserve"> el presente informe.</w:t>
            </w:r>
          </w:p>
          <w:p w14:paraId="6F8EC248" w14:textId="77777777" w:rsidR="00093EEB" w:rsidRPr="00B237E2" w:rsidRDefault="00093EEB" w:rsidP="00E124B0">
            <w:pPr>
              <w:pStyle w:val="Table"/>
              <w:keepNext w:val="0"/>
              <w:spacing w:before="0" w:after="0"/>
              <w:rPr>
                <w:caps w:val="0"/>
                <w:sz w:val="22"/>
                <w:lang w:val="es-ES"/>
              </w:rPr>
            </w:pPr>
            <w:r w:rsidRPr="00B237E2">
              <w:rPr>
                <w:caps w:val="0"/>
                <w:sz w:val="22"/>
                <w:lang w:val="es-ES"/>
              </w:rPr>
              <w:t>____________</w:t>
            </w:r>
          </w:p>
          <w:p w14:paraId="52C02B8E" w14:textId="0536789A" w:rsidR="00093EEB" w:rsidRPr="00B237E2" w:rsidRDefault="00093EEB" w:rsidP="00E124B0">
            <w:pPr>
              <w:pStyle w:val="Headingb"/>
              <w:rPr>
                <w:lang w:val="es-ES"/>
              </w:rPr>
            </w:pPr>
            <w:r w:rsidRPr="00B237E2">
              <w:rPr>
                <w:lang w:val="es-ES"/>
              </w:rPr>
              <w:t>Referencia</w:t>
            </w:r>
            <w:r w:rsidR="00D91CDF">
              <w:rPr>
                <w:lang w:val="es-ES"/>
              </w:rPr>
              <w:t>s</w:t>
            </w:r>
          </w:p>
          <w:p w14:paraId="78DB3B4C" w14:textId="5F2365D3" w:rsidR="00093EEB" w:rsidRPr="00B237E2" w:rsidRDefault="00823AB3" w:rsidP="00E124B0">
            <w:pPr>
              <w:spacing w:after="120"/>
              <w:rPr>
                <w:i/>
                <w:iCs/>
                <w:lang w:val="es-ES"/>
              </w:rPr>
            </w:pPr>
            <w:r w:rsidRPr="00B237E2">
              <w:rPr>
                <w:i/>
                <w:iCs/>
                <w:lang w:val="es-ES"/>
              </w:rPr>
              <w:t xml:space="preserve">Resoluciones </w:t>
            </w:r>
            <w:hyperlink r:id="rId9" w:history="1">
              <w:r w:rsidRPr="00B237E2">
                <w:rPr>
                  <w:rStyle w:val="Hyperlink"/>
                  <w:i/>
                  <w:iCs/>
                  <w:lang w:val="es-ES"/>
                </w:rPr>
                <w:t>71</w:t>
              </w:r>
            </w:hyperlink>
            <w:r w:rsidRPr="00B237E2">
              <w:rPr>
                <w:i/>
                <w:iCs/>
                <w:lang w:val="es-ES"/>
              </w:rPr>
              <w:t xml:space="preserve">, </w:t>
            </w:r>
            <w:hyperlink r:id="rId10" w:history="1">
              <w:r w:rsidRPr="00B237E2">
                <w:rPr>
                  <w:rStyle w:val="Hyperlink"/>
                  <w:i/>
                  <w:iCs/>
                  <w:lang w:val="es-ES"/>
                </w:rPr>
                <w:t>151</w:t>
              </w:r>
            </w:hyperlink>
            <w:r w:rsidRPr="00B237E2">
              <w:rPr>
                <w:i/>
                <w:iCs/>
                <w:lang w:val="es-ES"/>
              </w:rPr>
              <w:t xml:space="preserve"> y </w:t>
            </w:r>
            <w:hyperlink r:id="rId11" w:history="1">
              <w:r w:rsidRPr="00B237E2">
                <w:rPr>
                  <w:rStyle w:val="Hyperlink"/>
                  <w:i/>
                  <w:iCs/>
                  <w:lang w:val="es-ES"/>
                </w:rPr>
                <w:t>200</w:t>
              </w:r>
            </w:hyperlink>
            <w:r w:rsidRPr="00B237E2">
              <w:rPr>
                <w:i/>
                <w:iCs/>
                <w:lang w:val="es-ES"/>
              </w:rPr>
              <w:t xml:space="preserve"> de la Conferencia de Plenipotenciarios;</w:t>
            </w:r>
            <w:r w:rsidRPr="00B237E2">
              <w:rPr>
                <w:i/>
                <w:iCs/>
                <w:lang w:val="es-ES"/>
              </w:rPr>
              <w:br/>
              <w:t>y números 102 y 61 del Convenio</w:t>
            </w:r>
          </w:p>
        </w:tc>
      </w:tr>
    </w:tbl>
    <w:p w14:paraId="61E12C03" w14:textId="1EDF7FC3" w:rsidR="00823AB3" w:rsidRPr="00B237E2" w:rsidRDefault="00823AB3" w:rsidP="0037664F">
      <w:pPr>
        <w:rPr>
          <w:lang w:val="es-ES"/>
        </w:rPr>
      </w:pPr>
      <w:r w:rsidRPr="00B237E2">
        <w:rPr>
          <w:lang w:val="es-ES"/>
        </w:rPr>
        <w:br w:type="page"/>
      </w:r>
    </w:p>
    <w:p w14:paraId="16F36C79" w14:textId="77777777" w:rsidR="00823AB3" w:rsidRPr="00B237E2" w:rsidRDefault="00823AB3" w:rsidP="00E124B0">
      <w:pPr>
        <w:pStyle w:val="Title4"/>
        <w:rPr>
          <w:lang w:val="es-ES"/>
        </w:rPr>
      </w:pPr>
      <w:bookmarkStart w:id="10" w:name="_Hlk67565195"/>
      <w:r w:rsidRPr="00B237E2">
        <w:rPr>
          <w:lang w:val="es-ES"/>
        </w:rPr>
        <w:lastRenderedPageBreak/>
        <w:t xml:space="preserve">Prefacio al informe sobre la ejecución del Plan Estratégico </w:t>
      </w:r>
      <w:r w:rsidRPr="00B237E2">
        <w:rPr>
          <w:lang w:val="es-ES"/>
        </w:rPr>
        <w:br/>
        <w:t>y las actividades de la Unión</w:t>
      </w:r>
    </w:p>
    <w:p w14:paraId="1395261E" w14:textId="7985D8E0" w:rsidR="00823AB3" w:rsidRPr="00B237E2" w:rsidRDefault="00823AB3" w:rsidP="00E124B0">
      <w:pPr>
        <w:pStyle w:val="Title4"/>
        <w:rPr>
          <w:lang w:val="es-ES"/>
        </w:rPr>
      </w:pPr>
      <w:r w:rsidRPr="00B237E2">
        <w:rPr>
          <w:lang w:val="es-ES"/>
        </w:rPr>
        <w:t xml:space="preserve">Abril de 2018 – febrero de </w:t>
      </w:r>
      <w:bookmarkEnd w:id="10"/>
      <w:r w:rsidRPr="00B237E2">
        <w:rPr>
          <w:lang w:val="es-ES"/>
        </w:rPr>
        <w:t>2022</w:t>
      </w:r>
    </w:p>
    <w:p w14:paraId="5BE3FD4D" w14:textId="7C46D349" w:rsidR="00823AB3" w:rsidRPr="00B237E2" w:rsidRDefault="00823AB3" w:rsidP="00E124B0">
      <w:pPr>
        <w:pStyle w:val="Normalaftertitle"/>
        <w:rPr>
          <w:lang w:val="es-ES"/>
        </w:rPr>
      </w:pPr>
      <w:r w:rsidRPr="00B237E2">
        <w:rPr>
          <w:lang w:val="es-ES"/>
        </w:rPr>
        <w:t xml:space="preserve">Estimados </w:t>
      </w:r>
      <w:r w:rsidR="00EF5B85">
        <w:rPr>
          <w:lang w:val="es-ES"/>
        </w:rPr>
        <w:t>M</w:t>
      </w:r>
      <w:r w:rsidRPr="00B237E2">
        <w:rPr>
          <w:lang w:val="es-ES"/>
        </w:rPr>
        <w:t>iembros de la UIT:</w:t>
      </w:r>
    </w:p>
    <w:p w14:paraId="55AB1D1F" w14:textId="70C4577B" w:rsidR="00384CB9" w:rsidRPr="00B237E2" w:rsidRDefault="00B00D32" w:rsidP="00E124B0">
      <w:pPr>
        <w:rPr>
          <w:lang w:val="es-ES"/>
        </w:rPr>
      </w:pPr>
      <w:r w:rsidRPr="00B237E2">
        <w:rPr>
          <w:lang w:val="es-ES"/>
        </w:rPr>
        <w:t>P</w:t>
      </w:r>
      <w:r w:rsidR="00384CB9" w:rsidRPr="00B237E2">
        <w:rPr>
          <w:lang w:val="es-ES"/>
        </w:rPr>
        <w:t>ese a</w:t>
      </w:r>
      <w:r w:rsidR="00720DC4" w:rsidRPr="00B237E2">
        <w:rPr>
          <w:lang w:val="es-ES"/>
        </w:rPr>
        <w:t>l riesgo</w:t>
      </w:r>
      <w:r w:rsidR="00B17211" w:rsidRPr="00B237E2">
        <w:rPr>
          <w:lang w:val="es-ES"/>
        </w:rPr>
        <w:t xml:space="preserve"> </w:t>
      </w:r>
      <w:r w:rsidR="00720DC4" w:rsidRPr="00B237E2">
        <w:rPr>
          <w:lang w:val="es-ES"/>
        </w:rPr>
        <w:t xml:space="preserve">que sigue </w:t>
      </w:r>
      <w:r w:rsidR="007C556A" w:rsidRPr="00B237E2">
        <w:rPr>
          <w:lang w:val="es-ES"/>
        </w:rPr>
        <w:t>conllevando</w:t>
      </w:r>
      <w:r w:rsidR="00720DC4" w:rsidRPr="00B237E2">
        <w:rPr>
          <w:lang w:val="es-ES"/>
        </w:rPr>
        <w:t xml:space="preserve"> la pandemia de COVID-19 </w:t>
      </w:r>
      <w:r w:rsidR="00B17211" w:rsidRPr="00B237E2">
        <w:rPr>
          <w:lang w:val="es-ES"/>
        </w:rPr>
        <w:t>para la vida human</w:t>
      </w:r>
      <w:r w:rsidR="00720DC4" w:rsidRPr="00B237E2">
        <w:rPr>
          <w:lang w:val="es-ES"/>
        </w:rPr>
        <w:t>a</w:t>
      </w:r>
      <w:r w:rsidR="00B17211" w:rsidRPr="00B237E2">
        <w:rPr>
          <w:lang w:val="es-ES"/>
        </w:rPr>
        <w:t xml:space="preserve"> y la economía en todo el mundo, </w:t>
      </w:r>
      <w:r w:rsidR="00CE77AB">
        <w:rPr>
          <w:lang w:val="es-ES"/>
        </w:rPr>
        <w:t>me complace</w:t>
      </w:r>
      <w:r w:rsidRPr="00B237E2">
        <w:rPr>
          <w:lang w:val="es-ES"/>
        </w:rPr>
        <w:t xml:space="preserve"> </w:t>
      </w:r>
      <w:r w:rsidR="00CE77AB">
        <w:rPr>
          <w:lang w:val="es-ES"/>
        </w:rPr>
        <w:t>poner de relieve</w:t>
      </w:r>
      <w:r w:rsidRPr="00B237E2">
        <w:rPr>
          <w:lang w:val="es-ES"/>
        </w:rPr>
        <w:t xml:space="preserve"> que </w:t>
      </w:r>
      <w:r w:rsidR="00384CB9" w:rsidRPr="00B237E2">
        <w:rPr>
          <w:lang w:val="es-ES"/>
        </w:rPr>
        <w:t xml:space="preserve">las tecnologías de la información y la comunicación (TIC) </w:t>
      </w:r>
      <w:r w:rsidR="00B17211" w:rsidRPr="00B237E2">
        <w:rPr>
          <w:lang w:val="es-ES"/>
        </w:rPr>
        <w:t>desempeñan una función primordial</w:t>
      </w:r>
      <w:r w:rsidR="00384CB9" w:rsidRPr="00B237E2">
        <w:rPr>
          <w:lang w:val="es-ES"/>
        </w:rPr>
        <w:t xml:space="preserve"> para </w:t>
      </w:r>
      <w:r w:rsidR="00720DC4" w:rsidRPr="00B237E2">
        <w:rPr>
          <w:lang w:val="es-ES"/>
        </w:rPr>
        <w:t>contribuir a superar</w:t>
      </w:r>
      <w:r w:rsidRPr="00B237E2">
        <w:rPr>
          <w:lang w:val="es-ES"/>
        </w:rPr>
        <w:t>,</w:t>
      </w:r>
      <w:r w:rsidR="00720DC4" w:rsidRPr="00B237E2">
        <w:rPr>
          <w:lang w:val="es-ES"/>
        </w:rPr>
        <w:t xml:space="preserve"> </w:t>
      </w:r>
      <w:r w:rsidR="00E142A2" w:rsidRPr="00B237E2">
        <w:rPr>
          <w:lang w:val="es-ES"/>
        </w:rPr>
        <w:t xml:space="preserve">a escala </w:t>
      </w:r>
      <w:r w:rsidR="00CE77AB">
        <w:rPr>
          <w:lang w:val="es-ES"/>
        </w:rPr>
        <w:t>mundial</w:t>
      </w:r>
      <w:r w:rsidRPr="00B237E2">
        <w:rPr>
          <w:lang w:val="es-ES"/>
        </w:rPr>
        <w:t>,</w:t>
      </w:r>
      <w:r w:rsidR="00720DC4" w:rsidRPr="00B237E2">
        <w:rPr>
          <w:lang w:val="es-ES"/>
        </w:rPr>
        <w:t xml:space="preserve"> </w:t>
      </w:r>
      <w:r w:rsidR="0079346C" w:rsidRPr="00B237E2">
        <w:rPr>
          <w:lang w:val="es-ES"/>
        </w:rPr>
        <w:t>el</w:t>
      </w:r>
      <w:r w:rsidR="00384CB9" w:rsidRPr="00B237E2">
        <w:rPr>
          <w:lang w:val="es-ES"/>
        </w:rPr>
        <w:t xml:space="preserve"> "</w:t>
      </w:r>
      <w:r w:rsidR="0079346C" w:rsidRPr="00B237E2">
        <w:rPr>
          <w:lang w:val="es-ES"/>
        </w:rPr>
        <w:t>mayor reto que afrontamos</w:t>
      </w:r>
      <w:r w:rsidR="00384CB9" w:rsidRPr="00B237E2">
        <w:rPr>
          <w:lang w:val="es-ES"/>
        </w:rPr>
        <w:t xml:space="preserve"> desde </w:t>
      </w:r>
      <w:r w:rsidR="00720DC4" w:rsidRPr="00B237E2">
        <w:rPr>
          <w:lang w:val="es-ES"/>
        </w:rPr>
        <w:t>la</w:t>
      </w:r>
      <w:r w:rsidR="00384CB9" w:rsidRPr="00B237E2">
        <w:rPr>
          <w:lang w:val="es-ES"/>
        </w:rPr>
        <w:t xml:space="preserve"> </w:t>
      </w:r>
      <w:r w:rsidR="00720DC4" w:rsidRPr="00B237E2">
        <w:rPr>
          <w:lang w:val="es-ES"/>
        </w:rPr>
        <w:t>constitución</w:t>
      </w:r>
      <w:r w:rsidR="00384CB9" w:rsidRPr="00B237E2">
        <w:rPr>
          <w:lang w:val="es-ES"/>
        </w:rPr>
        <w:t xml:space="preserve"> de las Naciones Unidas"</w:t>
      </w:r>
      <w:r w:rsidR="00B17211" w:rsidRPr="00B237E2">
        <w:rPr>
          <w:lang w:val="es-ES"/>
        </w:rPr>
        <w:t>, según manifestó el Secretario General de l</w:t>
      </w:r>
      <w:r w:rsidR="000E7FDA">
        <w:rPr>
          <w:lang w:val="es-ES"/>
        </w:rPr>
        <w:t>as Naciones Unidas</w:t>
      </w:r>
      <w:r w:rsidR="00384CB9" w:rsidRPr="00B237E2">
        <w:rPr>
          <w:lang w:val="es-ES"/>
        </w:rPr>
        <w:t>.</w:t>
      </w:r>
    </w:p>
    <w:p w14:paraId="7B9E9972" w14:textId="04335EAF" w:rsidR="00D068C4" w:rsidRPr="00B237E2" w:rsidRDefault="00D068C4" w:rsidP="00E124B0">
      <w:pPr>
        <w:rPr>
          <w:lang w:val="es-ES"/>
        </w:rPr>
      </w:pPr>
      <w:r w:rsidRPr="00B237E2">
        <w:rPr>
          <w:lang w:val="es-ES"/>
        </w:rPr>
        <w:t xml:space="preserve">Las TIC han </w:t>
      </w:r>
      <w:r w:rsidR="00B00D32" w:rsidRPr="00B237E2">
        <w:rPr>
          <w:lang w:val="es-ES"/>
        </w:rPr>
        <w:t>permitido</w:t>
      </w:r>
      <w:r w:rsidRPr="00B237E2">
        <w:rPr>
          <w:lang w:val="es-ES"/>
        </w:rPr>
        <w:t xml:space="preserve"> </w:t>
      </w:r>
      <w:r w:rsidR="00E142A2" w:rsidRPr="00B237E2">
        <w:rPr>
          <w:lang w:val="es-ES"/>
        </w:rPr>
        <w:t xml:space="preserve">mantener funciones </w:t>
      </w:r>
      <w:r w:rsidR="00192871">
        <w:rPr>
          <w:lang w:val="es-ES"/>
        </w:rPr>
        <w:t xml:space="preserve">vitales </w:t>
      </w:r>
      <w:r w:rsidR="00E142A2" w:rsidRPr="00B237E2">
        <w:rPr>
          <w:lang w:val="es-ES"/>
        </w:rPr>
        <w:t>esenciales</w:t>
      </w:r>
      <w:r w:rsidRPr="00B237E2">
        <w:rPr>
          <w:lang w:val="es-ES"/>
        </w:rPr>
        <w:t xml:space="preserve">, </w:t>
      </w:r>
      <w:r w:rsidR="00E142A2" w:rsidRPr="00B237E2">
        <w:rPr>
          <w:lang w:val="es-ES"/>
        </w:rPr>
        <w:t xml:space="preserve">y durante la pandemia han </w:t>
      </w:r>
      <w:r w:rsidR="000209E0" w:rsidRPr="00B237E2">
        <w:rPr>
          <w:lang w:val="es-ES"/>
        </w:rPr>
        <w:t>facilitado</w:t>
      </w:r>
      <w:r w:rsidR="001346D4" w:rsidRPr="00B237E2">
        <w:rPr>
          <w:lang w:val="es-ES"/>
        </w:rPr>
        <w:t xml:space="preserve"> </w:t>
      </w:r>
      <w:r w:rsidR="000209E0" w:rsidRPr="00B237E2">
        <w:rPr>
          <w:lang w:val="es-ES"/>
        </w:rPr>
        <w:t>la continuidad de</w:t>
      </w:r>
      <w:r w:rsidR="00E142A2" w:rsidRPr="00B237E2">
        <w:rPr>
          <w:lang w:val="es-ES"/>
        </w:rPr>
        <w:t xml:space="preserve"> la labor </w:t>
      </w:r>
      <w:r w:rsidR="00E33958" w:rsidRPr="00B237E2">
        <w:rPr>
          <w:lang w:val="es-ES"/>
        </w:rPr>
        <w:t xml:space="preserve">empresarial y laboral, así como la prestación de servicios </w:t>
      </w:r>
      <w:r w:rsidRPr="00B237E2">
        <w:rPr>
          <w:lang w:val="es-ES"/>
        </w:rPr>
        <w:t xml:space="preserve">gubernamentales, </w:t>
      </w:r>
      <w:r w:rsidR="000209E0" w:rsidRPr="00B237E2">
        <w:rPr>
          <w:lang w:val="es-ES"/>
        </w:rPr>
        <w:t>educativos y sanitarios</w:t>
      </w:r>
      <w:r w:rsidR="001346D4" w:rsidRPr="00B237E2">
        <w:rPr>
          <w:lang w:val="es-ES"/>
        </w:rPr>
        <w:t xml:space="preserve">, entre muchas </w:t>
      </w:r>
      <w:r w:rsidR="00192871">
        <w:rPr>
          <w:lang w:val="es-ES"/>
        </w:rPr>
        <w:t xml:space="preserve">otras </w:t>
      </w:r>
      <w:r w:rsidR="001346D4" w:rsidRPr="00B237E2">
        <w:rPr>
          <w:lang w:val="es-ES"/>
        </w:rPr>
        <w:t>actividades</w:t>
      </w:r>
      <w:r w:rsidRPr="00B237E2">
        <w:rPr>
          <w:lang w:val="es-ES"/>
        </w:rPr>
        <w:t xml:space="preserve">. </w:t>
      </w:r>
      <w:r w:rsidR="000209E0" w:rsidRPr="00B237E2">
        <w:rPr>
          <w:lang w:val="es-ES"/>
        </w:rPr>
        <w:t>En calidad de</w:t>
      </w:r>
      <w:r w:rsidRPr="00B237E2">
        <w:rPr>
          <w:lang w:val="es-ES"/>
        </w:rPr>
        <w:t xml:space="preserve"> organismo especializado de las Naciones Unidas para las TIC, la Unión Internacional de Telecomunicaciones (UIT) ha </w:t>
      </w:r>
      <w:r w:rsidR="00E86388">
        <w:rPr>
          <w:lang w:val="es-ES"/>
        </w:rPr>
        <w:t>superado</w:t>
      </w:r>
      <w:r w:rsidR="00603A65" w:rsidRPr="00B237E2">
        <w:rPr>
          <w:lang w:val="es-ES"/>
        </w:rPr>
        <w:t xml:space="preserve"> los retos </w:t>
      </w:r>
      <w:r w:rsidR="00485D78" w:rsidRPr="00B237E2">
        <w:rPr>
          <w:lang w:val="es-ES"/>
        </w:rPr>
        <w:t>planteados</w:t>
      </w:r>
      <w:r w:rsidRPr="00B237E2">
        <w:rPr>
          <w:lang w:val="es-ES"/>
        </w:rPr>
        <w:t>.</w:t>
      </w:r>
    </w:p>
    <w:p w14:paraId="0E71B556" w14:textId="16C2F91C" w:rsidR="00D068C4" w:rsidRPr="00B237E2" w:rsidRDefault="00D068C4" w:rsidP="00E124B0">
      <w:pPr>
        <w:rPr>
          <w:lang w:val="es-ES"/>
        </w:rPr>
      </w:pPr>
      <w:r w:rsidRPr="00B237E2">
        <w:rPr>
          <w:lang w:val="es-ES"/>
        </w:rPr>
        <w:t xml:space="preserve">La UIT ha proseguido su actividad </w:t>
      </w:r>
      <w:r w:rsidR="00485D78" w:rsidRPr="00B237E2">
        <w:rPr>
          <w:lang w:val="es-ES"/>
        </w:rPr>
        <w:t>de forma eficaz y satisfactoria</w:t>
      </w:r>
      <w:r w:rsidRPr="00B237E2">
        <w:rPr>
          <w:lang w:val="es-ES"/>
        </w:rPr>
        <w:t xml:space="preserve"> </w:t>
      </w:r>
      <w:r w:rsidR="00485D78" w:rsidRPr="00B237E2">
        <w:rPr>
          <w:lang w:val="es-ES"/>
        </w:rPr>
        <w:t>en esa compleja coyuntura</w:t>
      </w:r>
      <w:r w:rsidRPr="00B237E2">
        <w:rPr>
          <w:lang w:val="es-ES"/>
        </w:rPr>
        <w:t xml:space="preserve">, </w:t>
      </w:r>
      <w:r w:rsidR="00485D78" w:rsidRPr="00B237E2">
        <w:rPr>
          <w:lang w:val="es-ES"/>
        </w:rPr>
        <w:t>y ha seguido fomentando</w:t>
      </w:r>
      <w:r w:rsidRPr="00B237E2">
        <w:rPr>
          <w:lang w:val="es-ES"/>
        </w:rPr>
        <w:t xml:space="preserve"> el desarrollo de las redes móviles de quinta generación (5G) </w:t>
      </w:r>
      <w:r w:rsidR="00485D78" w:rsidRPr="00B237E2">
        <w:rPr>
          <w:lang w:val="es-ES"/>
        </w:rPr>
        <w:t>y la prestación de</w:t>
      </w:r>
      <w:r w:rsidRPr="00B237E2">
        <w:rPr>
          <w:lang w:val="es-ES"/>
        </w:rPr>
        <w:t xml:space="preserve"> ayuda a los países para </w:t>
      </w:r>
      <w:r w:rsidR="00706F44">
        <w:rPr>
          <w:lang w:val="es-ES"/>
        </w:rPr>
        <w:t>aumentar</w:t>
      </w:r>
      <w:r w:rsidRPr="00B237E2">
        <w:rPr>
          <w:lang w:val="es-ES"/>
        </w:rPr>
        <w:t xml:space="preserve"> su capacidad</w:t>
      </w:r>
      <w:r w:rsidR="00485D78" w:rsidRPr="00B237E2">
        <w:rPr>
          <w:lang w:val="es-ES"/>
        </w:rPr>
        <w:t xml:space="preserve"> en materia de</w:t>
      </w:r>
      <w:r w:rsidRPr="00B237E2">
        <w:rPr>
          <w:lang w:val="es-ES"/>
        </w:rPr>
        <w:t xml:space="preserve"> ciberseguridad. La UIT ha movilizado </w:t>
      </w:r>
      <w:r w:rsidR="00485D78" w:rsidRPr="00B237E2">
        <w:rPr>
          <w:lang w:val="es-ES"/>
        </w:rPr>
        <w:t xml:space="preserve">asimismo </w:t>
      </w:r>
      <w:r w:rsidRPr="00B237E2">
        <w:rPr>
          <w:lang w:val="es-ES"/>
        </w:rPr>
        <w:t xml:space="preserve">a sus miembros </w:t>
      </w:r>
      <w:r w:rsidR="00485D78" w:rsidRPr="00B237E2">
        <w:rPr>
          <w:lang w:val="es-ES"/>
        </w:rPr>
        <w:t xml:space="preserve">de los sectores </w:t>
      </w:r>
      <w:r w:rsidRPr="00B237E2">
        <w:rPr>
          <w:lang w:val="es-ES"/>
        </w:rPr>
        <w:t>público y privado</w:t>
      </w:r>
      <w:r w:rsidR="00485D78" w:rsidRPr="00B237E2">
        <w:rPr>
          <w:lang w:val="es-ES"/>
        </w:rPr>
        <w:t xml:space="preserve"> en</w:t>
      </w:r>
      <w:r w:rsidRPr="00B237E2">
        <w:rPr>
          <w:lang w:val="es-ES"/>
        </w:rPr>
        <w:t xml:space="preserve"> todo el mundo</w:t>
      </w:r>
      <w:r w:rsidR="00485D78" w:rsidRPr="00B237E2">
        <w:rPr>
          <w:lang w:val="es-ES"/>
        </w:rPr>
        <w:t xml:space="preserve">, así como a sus asociados </w:t>
      </w:r>
      <w:r w:rsidRPr="00B237E2">
        <w:rPr>
          <w:lang w:val="es-ES"/>
        </w:rPr>
        <w:t xml:space="preserve">del sistema de las Naciones Unidas </w:t>
      </w:r>
      <w:r w:rsidR="007B4428" w:rsidRPr="00B237E2">
        <w:rPr>
          <w:lang w:val="es-ES"/>
        </w:rPr>
        <w:t xml:space="preserve">y de fuera del mismo, </w:t>
      </w:r>
      <w:r w:rsidR="00706F44">
        <w:rPr>
          <w:lang w:val="es-ES"/>
        </w:rPr>
        <w:t xml:space="preserve">a fin de </w:t>
      </w:r>
      <w:r w:rsidR="007B4428" w:rsidRPr="00B237E2">
        <w:rPr>
          <w:lang w:val="es-ES"/>
        </w:rPr>
        <w:t>promover</w:t>
      </w:r>
      <w:r w:rsidRPr="00B237E2">
        <w:rPr>
          <w:lang w:val="es-ES"/>
        </w:rPr>
        <w:t xml:space="preserve"> iniciativas clave, </w:t>
      </w:r>
      <w:r w:rsidR="007B4428" w:rsidRPr="00B237E2">
        <w:rPr>
          <w:lang w:val="es-ES"/>
        </w:rPr>
        <w:t>en particular</w:t>
      </w:r>
      <w:r w:rsidRPr="00B237E2">
        <w:rPr>
          <w:lang w:val="es-ES"/>
        </w:rPr>
        <w:t xml:space="preserve"> la </w:t>
      </w:r>
      <w:r w:rsidR="007B4428" w:rsidRPr="00B237E2">
        <w:rPr>
          <w:lang w:val="es-ES"/>
        </w:rPr>
        <w:t xml:space="preserve">Plataforma mundial de resiliencia de las redes </w:t>
      </w:r>
      <w:r w:rsidRPr="00B237E2">
        <w:rPr>
          <w:lang w:val="es-ES"/>
        </w:rPr>
        <w:t xml:space="preserve">(REG4COVID), la Coalición Digital </w:t>
      </w:r>
      <w:r w:rsidRPr="00032CC2">
        <w:rPr>
          <w:lang w:val="es-ES"/>
        </w:rPr>
        <w:t>Partner2Connect</w:t>
      </w:r>
      <w:r w:rsidRPr="00B237E2">
        <w:rPr>
          <w:lang w:val="es-ES"/>
        </w:rPr>
        <w:t xml:space="preserve"> y </w:t>
      </w:r>
      <w:r w:rsidRPr="00032CC2">
        <w:rPr>
          <w:lang w:val="es-ES"/>
        </w:rPr>
        <w:t>Connect2Recover.</w:t>
      </w:r>
    </w:p>
    <w:p w14:paraId="3B464EBA" w14:textId="3AD81747" w:rsidR="00D068C4" w:rsidRPr="00B237E2" w:rsidRDefault="007B4428" w:rsidP="00E124B0">
      <w:pPr>
        <w:rPr>
          <w:lang w:val="es-ES"/>
        </w:rPr>
      </w:pPr>
      <w:r w:rsidRPr="00B237E2">
        <w:rPr>
          <w:lang w:val="es-ES"/>
        </w:rPr>
        <w:t>En el presente</w:t>
      </w:r>
      <w:r w:rsidR="00D068C4" w:rsidRPr="00B237E2">
        <w:rPr>
          <w:lang w:val="es-ES"/>
        </w:rPr>
        <w:t xml:space="preserve"> informe </w:t>
      </w:r>
      <w:r w:rsidR="008E4C1A" w:rsidRPr="00B237E2">
        <w:rPr>
          <w:lang w:val="es-ES"/>
        </w:rPr>
        <w:t xml:space="preserve">se </w:t>
      </w:r>
      <w:r w:rsidR="000240F9">
        <w:rPr>
          <w:lang w:val="es-ES"/>
        </w:rPr>
        <w:t xml:space="preserve">expone </w:t>
      </w:r>
      <w:r w:rsidR="008E4C1A" w:rsidRPr="00B237E2">
        <w:rPr>
          <w:lang w:val="es-ES"/>
        </w:rPr>
        <w:t>pormenorizadamente el alcance de la labor</w:t>
      </w:r>
      <w:r w:rsidR="00D068C4" w:rsidRPr="00B237E2">
        <w:rPr>
          <w:lang w:val="es-ES"/>
        </w:rPr>
        <w:t xml:space="preserve"> de la UIT </w:t>
      </w:r>
      <w:r w:rsidR="008E4C1A" w:rsidRPr="00B237E2">
        <w:rPr>
          <w:lang w:val="es-ES"/>
        </w:rPr>
        <w:t>a lo largo de</w:t>
      </w:r>
      <w:r w:rsidR="00D068C4" w:rsidRPr="00B237E2">
        <w:rPr>
          <w:lang w:val="es-ES"/>
        </w:rPr>
        <w:t xml:space="preserve"> los últimos cuatro años. En su conjunto, </w:t>
      </w:r>
      <w:r w:rsidR="008E4C1A" w:rsidRPr="00B237E2">
        <w:rPr>
          <w:lang w:val="es-ES"/>
        </w:rPr>
        <w:t>constituye</w:t>
      </w:r>
      <w:r w:rsidR="00D068C4" w:rsidRPr="00B237E2">
        <w:rPr>
          <w:lang w:val="es-ES"/>
        </w:rPr>
        <w:t xml:space="preserve"> una contribución sustancial para </w:t>
      </w:r>
      <w:r w:rsidR="00964F9F" w:rsidRPr="00B237E2">
        <w:rPr>
          <w:lang w:val="es-ES"/>
        </w:rPr>
        <w:t>facilitar el cumplimiento</w:t>
      </w:r>
      <w:r w:rsidR="008E4C1A" w:rsidRPr="00B237E2">
        <w:rPr>
          <w:lang w:val="es-ES"/>
        </w:rPr>
        <w:t xml:space="preserve"> </w:t>
      </w:r>
      <w:r w:rsidR="00964F9F" w:rsidRPr="00B237E2">
        <w:rPr>
          <w:lang w:val="es-ES"/>
        </w:rPr>
        <w:t>d</w:t>
      </w:r>
      <w:r w:rsidR="008E4C1A" w:rsidRPr="00B237E2">
        <w:rPr>
          <w:lang w:val="es-ES"/>
        </w:rPr>
        <w:t xml:space="preserve">el </w:t>
      </w:r>
      <w:r w:rsidR="00964F9F" w:rsidRPr="00B237E2">
        <w:rPr>
          <w:lang w:val="es-ES"/>
        </w:rPr>
        <w:t xml:space="preserve">doble </w:t>
      </w:r>
      <w:r w:rsidR="008E4C1A" w:rsidRPr="00B237E2">
        <w:rPr>
          <w:lang w:val="es-ES"/>
        </w:rPr>
        <w:t xml:space="preserve">objetivo, </w:t>
      </w:r>
      <w:r w:rsidR="00964F9F" w:rsidRPr="00B237E2">
        <w:rPr>
          <w:lang w:val="es-ES"/>
        </w:rPr>
        <w:t xml:space="preserve">complejo </w:t>
      </w:r>
      <w:r w:rsidR="008E4C1A" w:rsidRPr="00B237E2">
        <w:rPr>
          <w:lang w:val="es-ES"/>
        </w:rPr>
        <w:t xml:space="preserve">al tiempo que necesario, </w:t>
      </w:r>
      <w:r w:rsidR="00D068C4" w:rsidRPr="00B237E2">
        <w:rPr>
          <w:lang w:val="es-ES"/>
        </w:rPr>
        <w:t xml:space="preserve">de </w:t>
      </w:r>
      <w:r w:rsidR="00706F44">
        <w:rPr>
          <w:lang w:val="es-ES"/>
        </w:rPr>
        <w:t>proporcionar</w:t>
      </w:r>
      <w:r w:rsidR="008E4C1A" w:rsidRPr="00B237E2">
        <w:rPr>
          <w:lang w:val="es-ES"/>
        </w:rPr>
        <w:t xml:space="preserve"> conexión </w:t>
      </w:r>
      <w:r w:rsidR="00706F44">
        <w:rPr>
          <w:lang w:val="es-ES"/>
        </w:rPr>
        <w:t xml:space="preserve">a la red </w:t>
      </w:r>
      <w:r w:rsidR="008E4C1A" w:rsidRPr="00B237E2">
        <w:rPr>
          <w:lang w:val="es-ES"/>
        </w:rPr>
        <w:t xml:space="preserve">a </w:t>
      </w:r>
      <w:r w:rsidR="00AF4CA7">
        <w:rPr>
          <w:lang w:val="es-ES"/>
        </w:rPr>
        <w:t>quienes</w:t>
      </w:r>
      <w:r w:rsidR="008E4C1A" w:rsidRPr="00B237E2">
        <w:rPr>
          <w:lang w:val="es-ES"/>
        </w:rPr>
        <w:t xml:space="preserve"> carecen de la misma y </w:t>
      </w:r>
      <w:r w:rsidR="00706F44">
        <w:rPr>
          <w:lang w:val="es-ES"/>
        </w:rPr>
        <w:t xml:space="preserve">de </w:t>
      </w:r>
      <w:r w:rsidR="008E4C1A" w:rsidRPr="00B237E2">
        <w:rPr>
          <w:lang w:val="es-ES"/>
        </w:rPr>
        <w:t>fomentar el</w:t>
      </w:r>
      <w:r w:rsidR="00D068C4" w:rsidRPr="00B237E2">
        <w:rPr>
          <w:lang w:val="es-ES"/>
        </w:rPr>
        <w:t xml:space="preserve"> desarrollo de tecnologías nuevas </w:t>
      </w:r>
      <w:r w:rsidR="00992A28" w:rsidRPr="00B237E2">
        <w:rPr>
          <w:lang w:val="es-ES"/>
        </w:rPr>
        <w:t>e incipientes</w:t>
      </w:r>
      <w:r w:rsidR="00D068C4" w:rsidRPr="00B237E2">
        <w:rPr>
          <w:lang w:val="es-ES"/>
        </w:rPr>
        <w:t xml:space="preserve"> </w:t>
      </w:r>
      <w:r w:rsidR="00725C86">
        <w:rPr>
          <w:lang w:val="es-ES"/>
        </w:rPr>
        <w:t>de</w:t>
      </w:r>
      <w:r w:rsidR="00D068C4" w:rsidRPr="00B237E2">
        <w:rPr>
          <w:lang w:val="es-ES"/>
        </w:rPr>
        <w:t xml:space="preserve"> gran importancia para la economía digital y el futuro</w:t>
      </w:r>
      <w:r w:rsidR="00992A28" w:rsidRPr="00B237E2">
        <w:rPr>
          <w:lang w:val="es-ES"/>
        </w:rPr>
        <w:t xml:space="preserve"> </w:t>
      </w:r>
      <w:r w:rsidR="00D068C4" w:rsidRPr="00B237E2">
        <w:rPr>
          <w:lang w:val="es-ES"/>
        </w:rPr>
        <w:t>del mundo</w:t>
      </w:r>
      <w:r w:rsidR="00992A28" w:rsidRPr="00B237E2">
        <w:rPr>
          <w:lang w:val="es-ES"/>
        </w:rPr>
        <w:t xml:space="preserve"> en el plano digital</w:t>
      </w:r>
      <w:r w:rsidR="00D068C4" w:rsidRPr="00B237E2">
        <w:rPr>
          <w:lang w:val="es-ES"/>
        </w:rPr>
        <w:t>.</w:t>
      </w:r>
    </w:p>
    <w:p w14:paraId="13470F0A" w14:textId="724D967A" w:rsidR="00D068C4" w:rsidRPr="00B237E2" w:rsidRDefault="00D068C4" w:rsidP="00E124B0">
      <w:pPr>
        <w:rPr>
          <w:lang w:val="es-ES"/>
        </w:rPr>
      </w:pPr>
      <w:r w:rsidRPr="00B237E2">
        <w:rPr>
          <w:lang w:val="es-ES"/>
        </w:rPr>
        <w:t xml:space="preserve">En </w:t>
      </w:r>
      <w:r w:rsidR="00964F9F" w:rsidRPr="00B237E2">
        <w:rPr>
          <w:lang w:val="es-ES"/>
        </w:rPr>
        <w:t>esferas</w:t>
      </w:r>
      <w:r w:rsidR="00706F44">
        <w:rPr>
          <w:lang w:val="es-ES"/>
        </w:rPr>
        <w:t xml:space="preserve"> tan diversa</w:t>
      </w:r>
      <w:r w:rsidRPr="00B237E2">
        <w:rPr>
          <w:lang w:val="es-ES"/>
        </w:rPr>
        <w:t>s como las ciudades inteligentes, la inclusión digital y la</w:t>
      </w:r>
      <w:r w:rsidR="00D4058A" w:rsidRPr="00B237E2">
        <w:rPr>
          <w:lang w:val="es-ES"/>
        </w:rPr>
        <w:t>s medidas de</w:t>
      </w:r>
      <w:r w:rsidRPr="00B237E2">
        <w:rPr>
          <w:lang w:val="es-ES"/>
        </w:rPr>
        <w:t xml:space="preserve"> respuesta </w:t>
      </w:r>
      <w:r w:rsidR="00D4058A" w:rsidRPr="00B237E2">
        <w:rPr>
          <w:lang w:val="es-ES"/>
        </w:rPr>
        <w:t xml:space="preserve">frente </w:t>
      </w:r>
      <w:r w:rsidRPr="00B237E2">
        <w:rPr>
          <w:lang w:val="es-ES"/>
        </w:rPr>
        <w:t xml:space="preserve">a la COVID-19, la UIT ha </w:t>
      </w:r>
      <w:r w:rsidR="00D4058A" w:rsidRPr="00B237E2">
        <w:rPr>
          <w:lang w:val="es-ES"/>
        </w:rPr>
        <w:t>desarrollado su labor</w:t>
      </w:r>
      <w:r w:rsidRPr="00B237E2">
        <w:rPr>
          <w:lang w:val="es-ES"/>
        </w:rPr>
        <w:t xml:space="preserve"> </w:t>
      </w:r>
      <w:r w:rsidR="00D4058A" w:rsidRPr="00B237E2">
        <w:rPr>
          <w:lang w:val="es-ES"/>
        </w:rPr>
        <w:t>a escala</w:t>
      </w:r>
      <w:r w:rsidRPr="00B237E2">
        <w:rPr>
          <w:lang w:val="es-ES"/>
        </w:rPr>
        <w:t xml:space="preserve"> mundial </w:t>
      </w:r>
      <w:r w:rsidR="00D4058A" w:rsidRPr="00B237E2">
        <w:rPr>
          <w:lang w:val="es-ES"/>
        </w:rPr>
        <w:t>a fin de</w:t>
      </w:r>
      <w:r w:rsidRPr="00B237E2">
        <w:rPr>
          <w:lang w:val="es-ES"/>
        </w:rPr>
        <w:t xml:space="preserve"> lograr </w:t>
      </w:r>
      <w:r w:rsidR="00D4058A" w:rsidRPr="00B237E2">
        <w:rPr>
          <w:lang w:val="es-ES"/>
        </w:rPr>
        <w:t>notables</w:t>
      </w:r>
      <w:r w:rsidRPr="00B237E2">
        <w:rPr>
          <w:lang w:val="es-ES"/>
        </w:rPr>
        <w:t xml:space="preserve"> avances en </w:t>
      </w:r>
      <w:r w:rsidR="00D4058A" w:rsidRPr="00B237E2">
        <w:rPr>
          <w:lang w:val="es-ES"/>
        </w:rPr>
        <w:t>cuanto al</w:t>
      </w:r>
      <w:r w:rsidRPr="00B237E2">
        <w:rPr>
          <w:lang w:val="es-ES"/>
        </w:rPr>
        <w:t xml:space="preserve"> aprovechamiento </w:t>
      </w:r>
      <w:r w:rsidR="00D4058A" w:rsidRPr="00B237E2">
        <w:rPr>
          <w:lang w:val="es-ES"/>
        </w:rPr>
        <w:t>de la capacidad que brindan</w:t>
      </w:r>
      <w:r w:rsidRPr="00B237E2">
        <w:rPr>
          <w:lang w:val="es-ES"/>
        </w:rPr>
        <w:t xml:space="preserve"> las TIC. </w:t>
      </w:r>
      <w:r w:rsidR="00D4058A" w:rsidRPr="00B237E2">
        <w:rPr>
          <w:lang w:val="es-ES"/>
        </w:rPr>
        <w:t>Ello</w:t>
      </w:r>
      <w:r w:rsidRPr="00B237E2">
        <w:rPr>
          <w:lang w:val="es-ES"/>
        </w:rPr>
        <w:t xml:space="preserve"> ha </w:t>
      </w:r>
      <w:r w:rsidR="0088536E">
        <w:rPr>
          <w:lang w:val="es-ES"/>
        </w:rPr>
        <w:t>venido acompañado de</w:t>
      </w:r>
      <w:r w:rsidRPr="00B237E2">
        <w:rPr>
          <w:lang w:val="es-ES"/>
        </w:rPr>
        <w:t xml:space="preserve"> un </w:t>
      </w:r>
      <w:r w:rsidR="00D4058A" w:rsidRPr="00B237E2">
        <w:rPr>
          <w:lang w:val="es-ES"/>
        </w:rPr>
        <w:t xml:space="preserve">amplio </w:t>
      </w:r>
      <w:r w:rsidR="009E077E">
        <w:rPr>
          <w:lang w:val="es-ES"/>
        </w:rPr>
        <w:t>aumento</w:t>
      </w:r>
      <w:r w:rsidR="00D4058A" w:rsidRPr="00B237E2">
        <w:rPr>
          <w:lang w:val="es-ES"/>
        </w:rPr>
        <w:t xml:space="preserve"> de la utilización de</w:t>
      </w:r>
      <w:r w:rsidRPr="00B237E2">
        <w:rPr>
          <w:lang w:val="es-ES"/>
        </w:rPr>
        <w:t xml:space="preserve"> Internet</w:t>
      </w:r>
      <w:r w:rsidR="009E077E" w:rsidRPr="009E077E">
        <w:rPr>
          <w:lang w:val="es-ES"/>
        </w:rPr>
        <w:t xml:space="preserve"> </w:t>
      </w:r>
      <w:r w:rsidR="009E077E" w:rsidRPr="00B237E2">
        <w:rPr>
          <w:lang w:val="es-ES"/>
        </w:rPr>
        <w:t>a escala mundial</w:t>
      </w:r>
      <w:r w:rsidRPr="00B237E2">
        <w:rPr>
          <w:lang w:val="es-ES"/>
        </w:rPr>
        <w:t xml:space="preserve">, </w:t>
      </w:r>
      <w:r w:rsidR="00D4058A" w:rsidRPr="00B237E2">
        <w:rPr>
          <w:lang w:val="es-ES"/>
        </w:rPr>
        <w:t xml:space="preserve">y </w:t>
      </w:r>
      <w:r w:rsidR="00536F70" w:rsidRPr="00B237E2">
        <w:rPr>
          <w:lang w:val="es-ES"/>
        </w:rPr>
        <w:t xml:space="preserve">se estima que </w:t>
      </w:r>
      <w:r w:rsidRPr="00B237E2">
        <w:rPr>
          <w:lang w:val="es-ES"/>
        </w:rPr>
        <w:t>4</w:t>
      </w:r>
      <w:r w:rsidR="0037664F">
        <w:rPr>
          <w:lang w:val="es-ES"/>
        </w:rPr>
        <w:t> </w:t>
      </w:r>
      <w:r w:rsidRPr="00B237E2">
        <w:rPr>
          <w:lang w:val="es-ES"/>
        </w:rPr>
        <w:t>900 millones</w:t>
      </w:r>
      <w:r w:rsidR="00536F70" w:rsidRPr="00B237E2">
        <w:rPr>
          <w:lang w:val="es-ES"/>
        </w:rPr>
        <w:t xml:space="preserve"> de personas han utilizado Internet</w:t>
      </w:r>
      <w:r w:rsidRPr="00B237E2">
        <w:rPr>
          <w:lang w:val="es-ES"/>
        </w:rPr>
        <w:t xml:space="preserve"> en 2021.</w:t>
      </w:r>
    </w:p>
    <w:p w14:paraId="2818A177" w14:textId="6707BC97" w:rsidR="00D068C4" w:rsidRPr="00B237E2" w:rsidRDefault="00FB5B96" w:rsidP="00E124B0">
      <w:pPr>
        <w:rPr>
          <w:lang w:val="es-ES"/>
        </w:rPr>
      </w:pPr>
      <w:r w:rsidRPr="00B237E2">
        <w:rPr>
          <w:lang w:val="es-ES"/>
        </w:rPr>
        <w:t>No obstante</w:t>
      </w:r>
      <w:r w:rsidR="00D068C4" w:rsidRPr="00B237E2">
        <w:rPr>
          <w:lang w:val="es-ES"/>
        </w:rPr>
        <w:t>, 2</w:t>
      </w:r>
      <w:r w:rsidR="0037664F">
        <w:rPr>
          <w:lang w:val="es-ES"/>
        </w:rPr>
        <w:t> </w:t>
      </w:r>
      <w:r w:rsidR="00D068C4" w:rsidRPr="00B237E2">
        <w:rPr>
          <w:lang w:val="es-ES"/>
        </w:rPr>
        <w:t xml:space="preserve">900 millones de personas siguen sin conexión en todo el mundo, la mayoría de las cuales viven en zonas rurales. Esos nuevos datos de la UIT </w:t>
      </w:r>
      <w:r w:rsidRPr="00B237E2">
        <w:rPr>
          <w:lang w:val="es-ES"/>
        </w:rPr>
        <w:t>ponen de manifiesto</w:t>
      </w:r>
      <w:r w:rsidR="00D068C4" w:rsidRPr="00B237E2">
        <w:rPr>
          <w:lang w:val="es-ES"/>
        </w:rPr>
        <w:t xml:space="preserve"> que la capacidad de conexión sigue siendo </w:t>
      </w:r>
      <w:r w:rsidRPr="00B237E2">
        <w:rPr>
          <w:lang w:val="es-ES"/>
        </w:rPr>
        <w:t>muy dispar</w:t>
      </w:r>
      <w:r w:rsidR="00D068C4" w:rsidRPr="00B237E2">
        <w:rPr>
          <w:lang w:val="es-ES"/>
        </w:rPr>
        <w:t xml:space="preserve"> </w:t>
      </w:r>
      <w:r w:rsidRPr="00B237E2">
        <w:rPr>
          <w:lang w:val="es-ES"/>
        </w:rPr>
        <w:t>en</w:t>
      </w:r>
      <w:r w:rsidR="00D068C4" w:rsidRPr="00B237E2">
        <w:rPr>
          <w:lang w:val="es-ES"/>
        </w:rPr>
        <w:t xml:space="preserve"> los países y entre </w:t>
      </w:r>
      <w:r w:rsidRPr="00B237E2">
        <w:rPr>
          <w:lang w:val="es-ES"/>
        </w:rPr>
        <w:t>éstos</w:t>
      </w:r>
      <w:r w:rsidR="00D068C4" w:rsidRPr="00B237E2">
        <w:rPr>
          <w:lang w:val="es-ES"/>
        </w:rPr>
        <w:t>.</w:t>
      </w:r>
    </w:p>
    <w:p w14:paraId="53F719DC" w14:textId="2592AF99" w:rsidR="00D068C4" w:rsidRPr="00B237E2" w:rsidRDefault="00D068C4" w:rsidP="00E124B0">
      <w:pPr>
        <w:rPr>
          <w:lang w:val="es-ES"/>
        </w:rPr>
      </w:pPr>
      <w:r w:rsidRPr="00B237E2">
        <w:rPr>
          <w:lang w:val="es-ES"/>
        </w:rPr>
        <w:t xml:space="preserve">Desde </w:t>
      </w:r>
      <w:r w:rsidR="00CC2AE2" w:rsidRPr="00B237E2">
        <w:rPr>
          <w:lang w:val="es-ES"/>
        </w:rPr>
        <w:t>que surgió</w:t>
      </w:r>
      <w:r w:rsidRPr="00B237E2">
        <w:rPr>
          <w:lang w:val="es-ES"/>
        </w:rPr>
        <w:t xml:space="preserve"> la pandemia, he </w:t>
      </w:r>
      <w:r w:rsidR="00CC2AE2" w:rsidRPr="00B237E2">
        <w:rPr>
          <w:lang w:val="es-ES"/>
        </w:rPr>
        <w:t>realizado</w:t>
      </w:r>
      <w:r w:rsidRPr="00B237E2">
        <w:rPr>
          <w:lang w:val="es-ES"/>
        </w:rPr>
        <w:t xml:space="preserve"> un llamamiento a líderes </w:t>
      </w:r>
      <w:r w:rsidR="00CC2AE2" w:rsidRPr="00B237E2">
        <w:rPr>
          <w:lang w:val="es-ES"/>
        </w:rPr>
        <w:t xml:space="preserve">de todo el mundo, tanto del sector público como del privado, </w:t>
      </w:r>
      <w:r w:rsidRPr="00B237E2">
        <w:rPr>
          <w:lang w:val="es-ES"/>
        </w:rPr>
        <w:t xml:space="preserve">para que </w:t>
      </w:r>
      <w:r w:rsidR="00240C30">
        <w:rPr>
          <w:lang w:val="es-ES"/>
        </w:rPr>
        <w:t>faciliten</w:t>
      </w:r>
      <w:r w:rsidRPr="00B237E2">
        <w:rPr>
          <w:lang w:val="es-ES"/>
        </w:rPr>
        <w:t xml:space="preserve"> </w:t>
      </w:r>
      <w:r w:rsidR="00240C30">
        <w:rPr>
          <w:lang w:val="es-ES"/>
        </w:rPr>
        <w:t>la</w:t>
      </w:r>
      <w:r w:rsidRPr="00B237E2">
        <w:rPr>
          <w:lang w:val="es-ES"/>
        </w:rPr>
        <w:t xml:space="preserve"> </w:t>
      </w:r>
      <w:r w:rsidR="00CC2AE2" w:rsidRPr="00B237E2">
        <w:rPr>
          <w:lang w:val="es-ES"/>
        </w:rPr>
        <w:t>utilización</w:t>
      </w:r>
      <w:r w:rsidRPr="00B237E2">
        <w:rPr>
          <w:lang w:val="es-ES"/>
        </w:rPr>
        <w:t xml:space="preserve"> de recursos</w:t>
      </w:r>
      <w:r w:rsidR="00240C30" w:rsidRPr="00240C30">
        <w:rPr>
          <w:lang w:val="es-ES"/>
        </w:rPr>
        <w:t xml:space="preserve"> </w:t>
      </w:r>
      <w:r w:rsidR="00240C30" w:rsidRPr="00B237E2">
        <w:rPr>
          <w:lang w:val="es-ES"/>
        </w:rPr>
        <w:t>limitados</w:t>
      </w:r>
      <w:r w:rsidRPr="00B237E2">
        <w:rPr>
          <w:lang w:val="es-ES"/>
        </w:rPr>
        <w:t xml:space="preserve">. Nunca </w:t>
      </w:r>
      <w:r w:rsidR="004C5AE4" w:rsidRPr="00B237E2">
        <w:rPr>
          <w:lang w:val="es-ES"/>
        </w:rPr>
        <w:t xml:space="preserve">se han dado unas circunstancias más idóneas </w:t>
      </w:r>
      <w:r w:rsidRPr="00B237E2">
        <w:rPr>
          <w:lang w:val="es-ES"/>
        </w:rPr>
        <w:t xml:space="preserve">ni </w:t>
      </w:r>
      <w:r w:rsidR="0006379F" w:rsidRPr="00B237E2">
        <w:rPr>
          <w:lang w:val="es-ES"/>
        </w:rPr>
        <w:t>propicias</w:t>
      </w:r>
      <w:r w:rsidRPr="00B237E2">
        <w:rPr>
          <w:lang w:val="es-ES"/>
        </w:rPr>
        <w:t xml:space="preserve"> para fomentar la </w:t>
      </w:r>
      <w:r w:rsidR="003566E9" w:rsidRPr="00B237E2">
        <w:rPr>
          <w:lang w:val="es-ES"/>
        </w:rPr>
        <w:t>inversión</w:t>
      </w:r>
      <w:r w:rsidRPr="00B237E2">
        <w:rPr>
          <w:lang w:val="es-ES"/>
        </w:rPr>
        <w:t xml:space="preserve"> en el desarrollo de las TIC, </w:t>
      </w:r>
      <w:r w:rsidR="004C5AE4" w:rsidRPr="00B237E2">
        <w:rPr>
          <w:lang w:val="es-ES"/>
        </w:rPr>
        <w:t>en particular mediante el fortalecimiento de</w:t>
      </w:r>
      <w:r w:rsidRPr="00B237E2">
        <w:rPr>
          <w:lang w:val="es-ES"/>
        </w:rPr>
        <w:t xml:space="preserve"> </w:t>
      </w:r>
      <w:r w:rsidR="0006379F" w:rsidRPr="00B237E2">
        <w:rPr>
          <w:lang w:val="es-ES"/>
        </w:rPr>
        <w:t>la</w:t>
      </w:r>
      <w:r w:rsidRPr="00B237E2">
        <w:rPr>
          <w:lang w:val="es-ES"/>
        </w:rPr>
        <w:t xml:space="preserve"> infraestructura</w:t>
      </w:r>
      <w:r w:rsidR="0006379F" w:rsidRPr="00B237E2">
        <w:rPr>
          <w:lang w:val="es-ES"/>
        </w:rPr>
        <w:t xml:space="preserve"> de las mismas</w:t>
      </w:r>
      <w:r w:rsidRPr="00B237E2">
        <w:rPr>
          <w:lang w:val="es-ES"/>
        </w:rPr>
        <w:t xml:space="preserve"> y </w:t>
      </w:r>
      <w:r w:rsidR="004C5AE4" w:rsidRPr="00B237E2">
        <w:rPr>
          <w:lang w:val="es-ES"/>
        </w:rPr>
        <w:t xml:space="preserve">la superación de los obstáculos </w:t>
      </w:r>
      <w:r w:rsidR="003566E9">
        <w:rPr>
          <w:lang w:val="es-ES"/>
        </w:rPr>
        <w:t>en materia de</w:t>
      </w:r>
      <w:r w:rsidRPr="00B237E2">
        <w:rPr>
          <w:lang w:val="es-ES"/>
        </w:rPr>
        <w:t xml:space="preserve"> demanda, </w:t>
      </w:r>
      <w:r w:rsidR="0088225B" w:rsidRPr="00B237E2">
        <w:rPr>
          <w:lang w:val="es-ES"/>
        </w:rPr>
        <w:t>incluid</w:t>
      </w:r>
      <w:r w:rsidR="003566E9">
        <w:rPr>
          <w:lang w:val="es-ES"/>
        </w:rPr>
        <w:t>os los aspectos de</w:t>
      </w:r>
      <w:r w:rsidRPr="00B237E2">
        <w:rPr>
          <w:lang w:val="es-ES"/>
        </w:rPr>
        <w:t xml:space="preserve"> asequibilidad y la falta de </w:t>
      </w:r>
      <w:r w:rsidR="0088225B" w:rsidRPr="00B237E2">
        <w:rPr>
          <w:lang w:val="es-ES"/>
        </w:rPr>
        <w:t>formación</w:t>
      </w:r>
      <w:r w:rsidRPr="00B237E2">
        <w:rPr>
          <w:lang w:val="es-ES"/>
        </w:rPr>
        <w:t xml:space="preserve"> y competencias </w:t>
      </w:r>
      <w:r w:rsidR="0088225B" w:rsidRPr="00B237E2">
        <w:rPr>
          <w:lang w:val="es-ES"/>
        </w:rPr>
        <w:t>en el plano digital</w:t>
      </w:r>
      <w:r w:rsidRPr="00B237E2">
        <w:rPr>
          <w:lang w:val="es-ES"/>
        </w:rPr>
        <w:t>.</w:t>
      </w:r>
    </w:p>
    <w:p w14:paraId="49A7FFA3" w14:textId="41866EC3" w:rsidR="00D068C4" w:rsidRPr="00B237E2" w:rsidRDefault="0006379F" w:rsidP="00032CC2">
      <w:pPr>
        <w:keepNext/>
        <w:keepLines/>
        <w:rPr>
          <w:lang w:val="es-ES"/>
        </w:rPr>
      </w:pPr>
      <w:r w:rsidRPr="00B237E2">
        <w:rPr>
          <w:lang w:val="es-ES"/>
        </w:rPr>
        <w:lastRenderedPageBreak/>
        <w:t>La</w:t>
      </w:r>
      <w:r w:rsidR="00D068C4" w:rsidRPr="00B237E2">
        <w:rPr>
          <w:lang w:val="es-ES"/>
        </w:rPr>
        <w:t xml:space="preserve"> UIT </w:t>
      </w:r>
      <w:r w:rsidRPr="00B237E2">
        <w:rPr>
          <w:lang w:val="es-ES"/>
        </w:rPr>
        <w:t>prevé organizar el próximo año</w:t>
      </w:r>
      <w:r w:rsidR="00D068C4" w:rsidRPr="00B237E2">
        <w:rPr>
          <w:lang w:val="es-ES"/>
        </w:rPr>
        <w:t xml:space="preserve"> tres conferencias</w:t>
      </w:r>
      <w:r w:rsidRPr="00B237E2">
        <w:rPr>
          <w:lang w:val="es-ES"/>
        </w:rPr>
        <w:t xml:space="preserve"> destacadas, a saber,</w:t>
      </w:r>
      <w:r w:rsidR="00D068C4" w:rsidRPr="00B237E2">
        <w:rPr>
          <w:lang w:val="es-ES"/>
        </w:rPr>
        <w:t xml:space="preserve"> la Asamblea Mundial de Normalización de las Telecomunicaciones, la Conferencia Mundial de Desarrollo de las Telecomunicaciones y la Conferencia de Plenipotenciarios de la UIT. Será un año </w:t>
      </w:r>
      <w:r w:rsidR="0043551C" w:rsidRPr="00B237E2">
        <w:rPr>
          <w:lang w:val="es-ES"/>
        </w:rPr>
        <w:t>que</w:t>
      </w:r>
      <w:r w:rsidR="005B7D97">
        <w:rPr>
          <w:lang w:val="es-ES"/>
        </w:rPr>
        <w:t xml:space="preserve"> requerirá </w:t>
      </w:r>
      <w:r w:rsidR="00C10919">
        <w:rPr>
          <w:lang w:val="es-ES"/>
        </w:rPr>
        <w:t>el despliegue</w:t>
      </w:r>
      <w:r w:rsidR="005B7D97">
        <w:rPr>
          <w:lang w:val="es-ES"/>
        </w:rPr>
        <w:t xml:space="preserve"> de amplios esfuerzos</w:t>
      </w:r>
      <w:r w:rsidR="0043551C" w:rsidRPr="00B237E2">
        <w:rPr>
          <w:lang w:val="es-ES"/>
        </w:rPr>
        <w:t xml:space="preserve">, </w:t>
      </w:r>
      <w:r w:rsidR="00C10919">
        <w:rPr>
          <w:lang w:val="es-ES"/>
        </w:rPr>
        <w:t>si bien</w:t>
      </w:r>
      <w:r w:rsidR="0043551C" w:rsidRPr="00B237E2">
        <w:rPr>
          <w:lang w:val="es-ES"/>
        </w:rPr>
        <w:t xml:space="preserve"> brindará</w:t>
      </w:r>
      <w:r w:rsidR="00D068C4" w:rsidRPr="00B237E2">
        <w:rPr>
          <w:lang w:val="es-ES"/>
        </w:rPr>
        <w:t xml:space="preserve"> </w:t>
      </w:r>
      <w:r w:rsidR="0043551C" w:rsidRPr="00B237E2">
        <w:rPr>
          <w:lang w:val="es-ES"/>
        </w:rPr>
        <w:t xml:space="preserve">a </w:t>
      </w:r>
      <w:r w:rsidR="00B46D8E" w:rsidRPr="00B237E2">
        <w:rPr>
          <w:lang w:val="es-ES"/>
        </w:rPr>
        <w:t>los Miembros de la UIT la</w:t>
      </w:r>
      <w:r w:rsidR="00D068C4" w:rsidRPr="00B237E2">
        <w:rPr>
          <w:lang w:val="es-ES"/>
        </w:rPr>
        <w:t xml:space="preserve"> oportunidad </w:t>
      </w:r>
      <w:r w:rsidR="00B46D8E" w:rsidRPr="00B237E2">
        <w:rPr>
          <w:lang w:val="es-ES"/>
        </w:rPr>
        <w:t>de propiciar avances</w:t>
      </w:r>
      <w:r w:rsidR="00D068C4" w:rsidRPr="00B237E2">
        <w:rPr>
          <w:lang w:val="es-ES"/>
        </w:rPr>
        <w:t xml:space="preserve"> </w:t>
      </w:r>
      <w:r w:rsidR="00B46D8E" w:rsidRPr="00B237E2">
        <w:rPr>
          <w:lang w:val="es-ES"/>
        </w:rPr>
        <w:t>con miras a cumplir</w:t>
      </w:r>
      <w:r w:rsidR="00D068C4" w:rsidRPr="00B237E2">
        <w:rPr>
          <w:lang w:val="es-ES"/>
        </w:rPr>
        <w:t xml:space="preserve"> los Objetivos de Desarrollo Sostenible (ODS) de las Naciones Unidas</w:t>
      </w:r>
      <w:r w:rsidR="00B46D8E" w:rsidRPr="00B237E2">
        <w:rPr>
          <w:lang w:val="es-ES"/>
        </w:rPr>
        <w:t>,</w:t>
      </w:r>
      <w:r w:rsidR="00D068C4" w:rsidRPr="00B237E2">
        <w:rPr>
          <w:lang w:val="es-ES"/>
        </w:rPr>
        <w:t xml:space="preserve"> y </w:t>
      </w:r>
      <w:r w:rsidR="00ED57F2" w:rsidRPr="00ED57F2">
        <w:rPr>
          <w:lang w:val="es-ES"/>
        </w:rPr>
        <w:t xml:space="preserve">las líneas de acción de la CMSI, y </w:t>
      </w:r>
      <w:r w:rsidR="00AF0929">
        <w:rPr>
          <w:lang w:val="es-ES"/>
        </w:rPr>
        <w:t>orientar</w:t>
      </w:r>
      <w:r w:rsidR="00D068C4" w:rsidRPr="00B237E2">
        <w:rPr>
          <w:lang w:val="es-ES"/>
        </w:rPr>
        <w:t xml:space="preserve"> la transformación digital </w:t>
      </w:r>
      <w:r w:rsidR="00B46D8E" w:rsidRPr="00B237E2">
        <w:rPr>
          <w:lang w:val="es-ES"/>
        </w:rPr>
        <w:t>a lo largo de</w:t>
      </w:r>
      <w:r w:rsidR="00D068C4" w:rsidRPr="00B237E2">
        <w:rPr>
          <w:lang w:val="es-ES"/>
        </w:rPr>
        <w:t xml:space="preserve"> los próximos años.</w:t>
      </w:r>
    </w:p>
    <w:p w14:paraId="73E09001" w14:textId="67F05F16" w:rsidR="00823AB3" w:rsidRPr="00B237E2" w:rsidRDefault="005B7D97" w:rsidP="00E124B0">
      <w:pPr>
        <w:rPr>
          <w:lang w:val="es-ES"/>
        </w:rPr>
      </w:pPr>
      <w:r>
        <w:rPr>
          <w:lang w:val="es-ES"/>
        </w:rPr>
        <w:t>Me permito elogiarles po</w:t>
      </w:r>
      <w:r w:rsidR="00D068C4" w:rsidRPr="00B237E2">
        <w:rPr>
          <w:lang w:val="es-ES"/>
        </w:rPr>
        <w:t xml:space="preserve">r </w:t>
      </w:r>
      <w:r w:rsidR="00B73A1A" w:rsidRPr="00B237E2">
        <w:rPr>
          <w:lang w:val="es-ES"/>
        </w:rPr>
        <w:t xml:space="preserve">los logros </w:t>
      </w:r>
      <w:r w:rsidR="00705A03">
        <w:rPr>
          <w:lang w:val="es-ES"/>
        </w:rPr>
        <w:t>alcanzados a lo largo de</w:t>
      </w:r>
      <w:r w:rsidR="001370ED" w:rsidRPr="00B237E2">
        <w:rPr>
          <w:lang w:val="es-ES"/>
        </w:rPr>
        <w:t xml:space="preserve"> los </w:t>
      </w:r>
      <w:r w:rsidR="00D068C4" w:rsidRPr="00B237E2">
        <w:rPr>
          <w:lang w:val="es-ES"/>
        </w:rPr>
        <w:t>últimos cuatro años</w:t>
      </w:r>
      <w:r w:rsidR="001370ED" w:rsidRPr="00B237E2">
        <w:rPr>
          <w:lang w:val="es-ES"/>
        </w:rPr>
        <w:t xml:space="preserve"> </w:t>
      </w:r>
      <w:r w:rsidR="00705A03">
        <w:rPr>
          <w:lang w:val="es-ES"/>
        </w:rPr>
        <w:t>sobre la base de</w:t>
      </w:r>
      <w:r w:rsidR="001370ED" w:rsidRPr="00B237E2">
        <w:rPr>
          <w:lang w:val="es-ES"/>
        </w:rPr>
        <w:t xml:space="preserve"> una ardua labor,</w:t>
      </w:r>
      <w:r w:rsidR="00D068C4" w:rsidRPr="00B237E2">
        <w:rPr>
          <w:lang w:val="es-ES"/>
        </w:rPr>
        <w:t xml:space="preserve"> y les </w:t>
      </w:r>
      <w:r w:rsidR="001370ED" w:rsidRPr="00B237E2">
        <w:rPr>
          <w:lang w:val="es-ES"/>
        </w:rPr>
        <w:t>aliento</w:t>
      </w:r>
      <w:r w:rsidR="00D068C4" w:rsidRPr="00B237E2">
        <w:rPr>
          <w:lang w:val="es-ES"/>
        </w:rPr>
        <w:t xml:space="preserve"> a redoblar esfuerzos para </w:t>
      </w:r>
      <w:r w:rsidR="001370ED" w:rsidRPr="00B237E2">
        <w:rPr>
          <w:lang w:val="es-ES"/>
        </w:rPr>
        <w:t>forjar</w:t>
      </w:r>
      <w:r w:rsidR="00D068C4" w:rsidRPr="00B237E2">
        <w:rPr>
          <w:lang w:val="es-ES"/>
        </w:rPr>
        <w:t xml:space="preserve"> un futuro digital más justo, sostenible e </w:t>
      </w:r>
      <w:r w:rsidR="001370ED" w:rsidRPr="00B237E2">
        <w:rPr>
          <w:lang w:val="es-ES"/>
        </w:rPr>
        <w:t>inclusivo.</w:t>
      </w:r>
    </w:p>
    <w:p w14:paraId="60F24B49" w14:textId="39ABB840" w:rsidR="00823AB3" w:rsidRPr="00B237E2" w:rsidRDefault="00823AB3" w:rsidP="00046BF2">
      <w:pPr>
        <w:spacing w:before="1080"/>
        <w:rPr>
          <w:lang w:val="es-ES"/>
        </w:rPr>
      </w:pPr>
      <w:r w:rsidRPr="00B237E2">
        <w:rPr>
          <w:lang w:val="es-ES"/>
        </w:rPr>
        <w:t xml:space="preserve">Houlin Zhao </w:t>
      </w:r>
      <w:r w:rsidRPr="00B237E2">
        <w:rPr>
          <w:lang w:val="es-ES"/>
        </w:rPr>
        <w:br/>
        <w:t xml:space="preserve">Secretario General de la Unión Internacional </w:t>
      </w:r>
      <w:r w:rsidRPr="00B237E2">
        <w:rPr>
          <w:lang w:val="es-ES"/>
        </w:rPr>
        <w:br/>
        <w:t>de Telecomunicaciones</w:t>
      </w:r>
    </w:p>
    <w:p w14:paraId="4A3F236F" w14:textId="77777777" w:rsidR="00823AB3" w:rsidRPr="00B237E2" w:rsidRDefault="00823AB3" w:rsidP="0037664F">
      <w:pPr>
        <w:rPr>
          <w:lang w:val="es-ES"/>
        </w:rPr>
      </w:pPr>
      <w:r w:rsidRPr="00B237E2">
        <w:rPr>
          <w:lang w:val="es-ES"/>
        </w:rPr>
        <w:br w:type="page"/>
      </w:r>
    </w:p>
    <w:p w14:paraId="733F3316" w14:textId="4369B185" w:rsidR="00823AB3" w:rsidRPr="00B237E2" w:rsidRDefault="00B73A1A" w:rsidP="00E124B0">
      <w:pPr>
        <w:pStyle w:val="Heading1"/>
        <w:rPr>
          <w:lang w:val="es-ES"/>
        </w:rPr>
      </w:pPr>
      <w:bookmarkStart w:id="11" w:name="_Toc41289270"/>
      <w:bookmarkStart w:id="12" w:name="_Toc41289412"/>
      <w:bookmarkStart w:id="13" w:name="_Toc97821258"/>
      <w:r w:rsidRPr="00B237E2">
        <w:rPr>
          <w:lang w:val="es-ES"/>
        </w:rPr>
        <w:lastRenderedPageBreak/>
        <w:t>Acerca de</w:t>
      </w:r>
      <w:r w:rsidR="00823AB3" w:rsidRPr="00B237E2">
        <w:rPr>
          <w:lang w:val="es-ES"/>
        </w:rPr>
        <w:t xml:space="preserve"> la UIT</w:t>
      </w:r>
      <w:bookmarkEnd w:id="11"/>
      <w:bookmarkEnd w:id="12"/>
      <w:bookmarkEnd w:id="13"/>
    </w:p>
    <w:p w14:paraId="5A97C40F" w14:textId="1FF5AC7D" w:rsidR="00823AB3" w:rsidRPr="00B237E2" w:rsidRDefault="00823AB3" w:rsidP="00E124B0">
      <w:pPr>
        <w:rPr>
          <w:lang w:val="es-ES"/>
        </w:rPr>
      </w:pPr>
      <w:r w:rsidRPr="00B237E2">
        <w:rPr>
          <w:lang w:val="es-ES"/>
        </w:rPr>
        <w:t xml:space="preserve">La Unión Internacional de Telecomunicaciones (UIT) es el organismo especializado de las Naciones Unidas en materia de tecnologías de la información y la comunicación (TIC) y se sitúa a la cabeza de la innovación de las TIC junto a sus 193 Estados Miembros y sus más de 900 empresas, universidades y organizaciones internacionales y regionales. Creada hace 157 años, en 1865, la UIT es el organismo intergubernamental encargado de coordinar a escala mundial el uso compartido del espectro, promover la cooperación internacional para la asignación de órbitas de satélite, mejorar la infraestructura de telecomunicaciones en el mundo en desarrollo y fijar normas mundiales que fomenten la interconexión continua de una amplia gama de sistemas de comunicaciones. Desde las redes de banda ancha hasta las tecnologías inalámbricas de vanguardia, la navegación aeronáutica y marítima, la radioastronomía, la vigilancia de la tierra por medios oceanográficos y basada en satélites, así como los servicios de telefonía fija y móvil convergentes, Internet y las tecnologías de radiodifusión, la UIT se compromete a conectar el mundo. Para obtener más información al respecto, visítese: </w:t>
      </w:r>
      <w:hyperlink r:id="rId12" w:history="1">
        <w:r w:rsidRPr="00B237E2">
          <w:rPr>
            <w:rStyle w:val="Hyperlink"/>
            <w:lang w:val="es-ES"/>
          </w:rPr>
          <w:t>www.itu.int</w:t>
        </w:r>
      </w:hyperlink>
      <w:r w:rsidRPr="00B237E2">
        <w:rPr>
          <w:lang w:val="es-ES"/>
        </w:rPr>
        <w:t>.</w:t>
      </w:r>
    </w:p>
    <w:p w14:paraId="0B49510A" w14:textId="77777777" w:rsidR="00823AB3" w:rsidRPr="00B237E2" w:rsidRDefault="00823AB3" w:rsidP="00E124B0">
      <w:pPr>
        <w:rPr>
          <w:lang w:val="es-ES"/>
        </w:rPr>
      </w:pPr>
      <w:r w:rsidRPr="00B237E2">
        <w:rPr>
          <w:lang w:val="es-ES"/>
        </w:rPr>
        <w:br w:type="page"/>
      </w:r>
    </w:p>
    <w:p w14:paraId="16B69B17" w14:textId="77777777" w:rsidR="00823AB3" w:rsidRPr="00B237E2" w:rsidRDefault="00823AB3" w:rsidP="00E124B0">
      <w:pPr>
        <w:pStyle w:val="Title1"/>
        <w:rPr>
          <w:lang w:val="es-ES"/>
        </w:rPr>
      </w:pPr>
      <w:r w:rsidRPr="00B237E2">
        <w:rPr>
          <w:lang w:val="es-ES"/>
        </w:rPr>
        <w:lastRenderedPageBreak/>
        <w:t>Índice</w:t>
      </w:r>
    </w:p>
    <w:p w14:paraId="76688C81" w14:textId="77777777" w:rsidR="00823AB3" w:rsidRPr="00B237E2" w:rsidRDefault="00823AB3" w:rsidP="00E124B0">
      <w:pPr>
        <w:pStyle w:val="toc0"/>
        <w:rPr>
          <w:lang w:val="es-ES"/>
        </w:rPr>
      </w:pPr>
      <w:r w:rsidRPr="00B237E2">
        <w:rPr>
          <w:lang w:val="es-ES"/>
        </w:rPr>
        <w:tab/>
        <w:t>Página</w:t>
      </w:r>
    </w:p>
    <w:p w14:paraId="0380C9B9" w14:textId="5439F1BE" w:rsidR="00490009" w:rsidRDefault="00823AB3">
      <w:pPr>
        <w:pStyle w:val="TOC1"/>
        <w:rPr>
          <w:rFonts w:asciiTheme="minorHAnsi" w:eastAsiaTheme="minorEastAsia" w:hAnsiTheme="minorHAnsi" w:cstheme="minorBidi"/>
          <w:noProof/>
          <w:sz w:val="22"/>
          <w:szCs w:val="22"/>
          <w:lang w:val="en-US" w:eastAsia="zh-CN"/>
        </w:rPr>
      </w:pPr>
      <w:r w:rsidRPr="00B237E2">
        <w:rPr>
          <w:lang w:val="es-ES"/>
        </w:rPr>
        <w:fldChar w:fldCharType="begin"/>
      </w:r>
      <w:r w:rsidRPr="00B237E2">
        <w:rPr>
          <w:lang w:val="es-ES"/>
        </w:rPr>
        <w:instrText xml:space="preserve"> TOC \o "2-3" \h \z \t "Heading 1,1,Annex_No,1,Annex_title,1" </w:instrText>
      </w:r>
      <w:r w:rsidRPr="00B237E2">
        <w:rPr>
          <w:lang w:val="es-ES"/>
        </w:rPr>
        <w:fldChar w:fldCharType="separate"/>
      </w:r>
      <w:hyperlink w:anchor="_Toc97821258" w:history="1">
        <w:r w:rsidR="00490009" w:rsidRPr="007B3919">
          <w:rPr>
            <w:rStyle w:val="Hyperlink"/>
            <w:noProof/>
            <w:lang w:val="es-ES"/>
          </w:rPr>
          <w:t>Acerca de la UIT</w:t>
        </w:r>
        <w:r w:rsidR="00490009">
          <w:rPr>
            <w:noProof/>
            <w:webHidden/>
          </w:rPr>
          <w:tab/>
        </w:r>
        <w:r w:rsidR="00490009">
          <w:rPr>
            <w:noProof/>
            <w:webHidden/>
          </w:rPr>
          <w:tab/>
        </w:r>
        <w:r w:rsidR="00490009">
          <w:rPr>
            <w:noProof/>
            <w:webHidden/>
          </w:rPr>
          <w:fldChar w:fldCharType="begin"/>
        </w:r>
        <w:r w:rsidR="00490009">
          <w:rPr>
            <w:noProof/>
            <w:webHidden/>
          </w:rPr>
          <w:instrText xml:space="preserve"> PAGEREF _Toc97821258 \h </w:instrText>
        </w:r>
        <w:r w:rsidR="00490009">
          <w:rPr>
            <w:noProof/>
            <w:webHidden/>
          </w:rPr>
        </w:r>
        <w:r w:rsidR="00490009">
          <w:rPr>
            <w:noProof/>
            <w:webHidden/>
          </w:rPr>
          <w:fldChar w:fldCharType="separate"/>
        </w:r>
        <w:r w:rsidR="00B36065">
          <w:rPr>
            <w:noProof/>
            <w:webHidden/>
          </w:rPr>
          <w:t>iv</w:t>
        </w:r>
        <w:r w:rsidR="00490009">
          <w:rPr>
            <w:noProof/>
            <w:webHidden/>
          </w:rPr>
          <w:fldChar w:fldCharType="end"/>
        </w:r>
      </w:hyperlink>
    </w:p>
    <w:p w14:paraId="7EC767DD" w14:textId="56264C29" w:rsidR="00490009" w:rsidRDefault="00AF6115">
      <w:pPr>
        <w:pStyle w:val="TOC1"/>
        <w:rPr>
          <w:rFonts w:asciiTheme="minorHAnsi" w:eastAsiaTheme="minorEastAsia" w:hAnsiTheme="minorHAnsi" w:cstheme="minorBidi"/>
          <w:noProof/>
          <w:sz w:val="22"/>
          <w:szCs w:val="22"/>
          <w:lang w:val="en-US" w:eastAsia="zh-CN"/>
        </w:rPr>
      </w:pPr>
      <w:hyperlink w:anchor="_Toc97821259" w:history="1">
        <w:r w:rsidR="00490009" w:rsidRPr="007B3919">
          <w:rPr>
            <w:rStyle w:val="Hyperlink"/>
            <w:noProof/>
            <w:lang w:val="es-ES"/>
          </w:rPr>
          <w:t>1</w:t>
        </w:r>
        <w:r w:rsidR="00490009">
          <w:rPr>
            <w:rFonts w:asciiTheme="minorHAnsi" w:eastAsiaTheme="minorEastAsia" w:hAnsiTheme="minorHAnsi" w:cstheme="minorBidi"/>
            <w:noProof/>
            <w:sz w:val="22"/>
            <w:szCs w:val="22"/>
            <w:lang w:val="en-US" w:eastAsia="zh-CN"/>
          </w:rPr>
          <w:tab/>
        </w:r>
        <w:r w:rsidR="00490009" w:rsidRPr="007B3919">
          <w:rPr>
            <w:rStyle w:val="Hyperlink"/>
            <w:noProof/>
            <w:lang w:val="es-ES"/>
          </w:rPr>
          <w:t>Temas de trabajo principales</w:t>
        </w:r>
        <w:r w:rsidR="00490009">
          <w:rPr>
            <w:noProof/>
            <w:webHidden/>
          </w:rPr>
          <w:tab/>
        </w:r>
        <w:r w:rsidR="00490009">
          <w:rPr>
            <w:noProof/>
            <w:webHidden/>
          </w:rPr>
          <w:tab/>
        </w:r>
        <w:r w:rsidR="00490009">
          <w:rPr>
            <w:noProof/>
            <w:webHidden/>
          </w:rPr>
          <w:fldChar w:fldCharType="begin"/>
        </w:r>
        <w:r w:rsidR="00490009">
          <w:rPr>
            <w:noProof/>
            <w:webHidden/>
          </w:rPr>
          <w:instrText xml:space="preserve"> PAGEREF _Toc97821259 \h </w:instrText>
        </w:r>
        <w:r w:rsidR="00490009">
          <w:rPr>
            <w:noProof/>
            <w:webHidden/>
          </w:rPr>
        </w:r>
        <w:r w:rsidR="00490009">
          <w:rPr>
            <w:noProof/>
            <w:webHidden/>
          </w:rPr>
          <w:fldChar w:fldCharType="separate"/>
        </w:r>
        <w:r w:rsidR="00B36065">
          <w:rPr>
            <w:noProof/>
            <w:webHidden/>
          </w:rPr>
          <w:t>1</w:t>
        </w:r>
        <w:r w:rsidR="00490009">
          <w:rPr>
            <w:noProof/>
            <w:webHidden/>
          </w:rPr>
          <w:fldChar w:fldCharType="end"/>
        </w:r>
      </w:hyperlink>
    </w:p>
    <w:p w14:paraId="42E88930" w14:textId="5F923FBF" w:rsidR="00490009" w:rsidRDefault="00AF6115" w:rsidP="00490009">
      <w:pPr>
        <w:pStyle w:val="TOC2"/>
        <w:ind w:left="1928"/>
        <w:rPr>
          <w:rFonts w:asciiTheme="minorHAnsi" w:eastAsiaTheme="minorEastAsia" w:hAnsiTheme="minorHAnsi" w:cstheme="minorBidi"/>
          <w:noProof/>
          <w:sz w:val="22"/>
          <w:szCs w:val="22"/>
          <w:lang w:val="en-US" w:eastAsia="zh-CN"/>
        </w:rPr>
      </w:pPr>
      <w:hyperlink w:anchor="_Toc97821260" w:history="1">
        <w:r w:rsidR="00490009" w:rsidRPr="007B3919">
          <w:rPr>
            <w:rStyle w:val="Hyperlink"/>
            <w:noProof/>
            <w:lang w:val="es-ES"/>
          </w:rPr>
          <w:t>1.1</w:t>
        </w:r>
        <w:r w:rsidR="00490009">
          <w:rPr>
            <w:rFonts w:asciiTheme="minorHAnsi" w:eastAsiaTheme="minorEastAsia" w:hAnsiTheme="minorHAnsi" w:cstheme="minorBidi"/>
            <w:noProof/>
            <w:sz w:val="22"/>
            <w:szCs w:val="22"/>
            <w:lang w:val="en-US" w:eastAsia="zh-CN"/>
          </w:rPr>
          <w:tab/>
        </w:r>
        <w:r w:rsidR="00490009" w:rsidRPr="007B3919">
          <w:rPr>
            <w:rStyle w:val="Hyperlink"/>
            <w:noProof/>
            <w:lang w:val="es-ES"/>
          </w:rPr>
          <w:t xml:space="preserve">CMR-19 y AR-19 – Establecimiento del marco mundial </w:t>
        </w:r>
        <w:r w:rsidR="00490009">
          <w:rPr>
            <w:rStyle w:val="Hyperlink"/>
            <w:noProof/>
            <w:lang w:val="es-ES"/>
          </w:rPr>
          <w:br/>
        </w:r>
        <w:r w:rsidR="00490009" w:rsidRPr="007B3919">
          <w:rPr>
            <w:rStyle w:val="Hyperlink"/>
            <w:noProof/>
            <w:lang w:val="es-ES"/>
          </w:rPr>
          <w:t>de las tecnologías de radiocomunicaciones</w:t>
        </w:r>
        <w:r w:rsidR="00490009">
          <w:rPr>
            <w:noProof/>
            <w:webHidden/>
          </w:rPr>
          <w:tab/>
        </w:r>
        <w:r w:rsidR="00490009">
          <w:rPr>
            <w:noProof/>
            <w:webHidden/>
          </w:rPr>
          <w:tab/>
        </w:r>
        <w:r w:rsidR="00490009">
          <w:rPr>
            <w:noProof/>
            <w:webHidden/>
          </w:rPr>
          <w:fldChar w:fldCharType="begin"/>
        </w:r>
        <w:r w:rsidR="00490009">
          <w:rPr>
            <w:noProof/>
            <w:webHidden/>
          </w:rPr>
          <w:instrText xml:space="preserve"> PAGEREF _Toc97821260 \h </w:instrText>
        </w:r>
        <w:r w:rsidR="00490009">
          <w:rPr>
            <w:noProof/>
            <w:webHidden/>
          </w:rPr>
        </w:r>
        <w:r w:rsidR="00490009">
          <w:rPr>
            <w:noProof/>
            <w:webHidden/>
          </w:rPr>
          <w:fldChar w:fldCharType="separate"/>
        </w:r>
        <w:r w:rsidR="00B36065">
          <w:rPr>
            <w:noProof/>
            <w:webHidden/>
          </w:rPr>
          <w:t>1</w:t>
        </w:r>
        <w:r w:rsidR="00490009">
          <w:rPr>
            <w:noProof/>
            <w:webHidden/>
          </w:rPr>
          <w:fldChar w:fldCharType="end"/>
        </w:r>
      </w:hyperlink>
    </w:p>
    <w:p w14:paraId="6DE3D2AC" w14:textId="24FCE889" w:rsidR="00490009" w:rsidRDefault="00AF6115" w:rsidP="00490009">
      <w:pPr>
        <w:pStyle w:val="TOC2"/>
        <w:ind w:left="1928"/>
        <w:rPr>
          <w:rFonts w:asciiTheme="minorHAnsi" w:eastAsiaTheme="minorEastAsia" w:hAnsiTheme="minorHAnsi" w:cstheme="minorBidi"/>
          <w:noProof/>
          <w:sz w:val="22"/>
          <w:szCs w:val="22"/>
          <w:lang w:val="en-US" w:eastAsia="zh-CN"/>
        </w:rPr>
      </w:pPr>
      <w:hyperlink w:anchor="_Toc97821261" w:history="1">
        <w:r w:rsidR="00490009" w:rsidRPr="007B3919">
          <w:rPr>
            <w:rStyle w:val="Hyperlink"/>
            <w:noProof/>
            <w:lang w:val="es-ES"/>
          </w:rPr>
          <w:t>1.2</w:t>
        </w:r>
        <w:r w:rsidR="00490009">
          <w:rPr>
            <w:rFonts w:asciiTheme="minorHAnsi" w:eastAsiaTheme="minorEastAsia" w:hAnsiTheme="minorHAnsi" w:cstheme="minorBidi"/>
            <w:noProof/>
            <w:sz w:val="22"/>
            <w:szCs w:val="22"/>
            <w:lang w:val="en-US" w:eastAsia="zh-CN"/>
          </w:rPr>
          <w:tab/>
        </w:r>
        <w:r w:rsidR="00490009" w:rsidRPr="007B3919">
          <w:rPr>
            <w:rStyle w:val="Hyperlink"/>
            <w:noProof/>
            <w:lang w:val="es-ES"/>
          </w:rPr>
          <w:t>Reglamentación y gestión del espectro y/o las órbitas</w:t>
        </w:r>
        <w:r w:rsidR="00490009">
          <w:rPr>
            <w:noProof/>
            <w:webHidden/>
          </w:rPr>
          <w:tab/>
        </w:r>
        <w:r w:rsidR="00490009">
          <w:rPr>
            <w:noProof/>
            <w:webHidden/>
          </w:rPr>
          <w:tab/>
        </w:r>
        <w:r w:rsidR="00490009">
          <w:rPr>
            <w:noProof/>
            <w:webHidden/>
          </w:rPr>
          <w:fldChar w:fldCharType="begin"/>
        </w:r>
        <w:r w:rsidR="00490009">
          <w:rPr>
            <w:noProof/>
            <w:webHidden/>
          </w:rPr>
          <w:instrText xml:space="preserve"> PAGEREF _Toc97821261 \h </w:instrText>
        </w:r>
        <w:r w:rsidR="00490009">
          <w:rPr>
            <w:noProof/>
            <w:webHidden/>
          </w:rPr>
        </w:r>
        <w:r w:rsidR="00490009">
          <w:rPr>
            <w:noProof/>
            <w:webHidden/>
          </w:rPr>
          <w:fldChar w:fldCharType="separate"/>
        </w:r>
        <w:r w:rsidR="00B36065">
          <w:rPr>
            <w:noProof/>
            <w:webHidden/>
          </w:rPr>
          <w:t>4</w:t>
        </w:r>
        <w:r w:rsidR="00490009">
          <w:rPr>
            <w:noProof/>
            <w:webHidden/>
          </w:rPr>
          <w:fldChar w:fldCharType="end"/>
        </w:r>
      </w:hyperlink>
    </w:p>
    <w:p w14:paraId="58160153" w14:textId="438D6277" w:rsidR="00490009" w:rsidRDefault="00AF6115" w:rsidP="00490009">
      <w:pPr>
        <w:pStyle w:val="TOC2"/>
        <w:ind w:left="1928"/>
        <w:rPr>
          <w:rFonts w:asciiTheme="minorHAnsi" w:eastAsiaTheme="minorEastAsia" w:hAnsiTheme="minorHAnsi" w:cstheme="minorBidi"/>
          <w:noProof/>
          <w:sz w:val="22"/>
          <w:szCs w:val="22"/>
          <w:lang w:val="en-US" w:eastAsia="zh-CN"/>
        </w:rPr>
      </w:pPr>
      <w:hyperlink w:anchor="_Toc97821262" w:history="1">
        <w:r w:rsidR="00490009" w:rsidRPr="007B3919">
          <w:rPr>
            <w:rStyle w:val="Hyperlink"/>
            <w:noProof/>
            <w:lang w:val="es-ES"/>
          </w:rPr>
          <w:t>1.3</w:t>
        </w:r>
        <w:r w:rsidR="00490009">
          <w:rPr>
            <w:rFonts w:asciiTheme="minorHAnsi" w:eastAsiaTheme="minorEastAsia" w:hAnsiTheme="minorHAnsi" w:cstheme="minorBidi"/>
            <w:noProof/>
            <w:sz w:val="22"/>
            <w:szCs w:val="22"/>
            <w:lang w:val="en-US" w:eastAsia="zh-CN"/>
          </w:rPr>
          <w:tab/>
        </w:r>
        <w:r w:rsidR="00490009" w:rsidRPr="007B3919">
          <w:rPr>
            <w:rStyle w:val="Hyperlink"/>
            <w:noProof/>
            <w:lang w:val="es-ES"/>
          </w:rPr>
          <w:t xml:space="preserve">Normalización – Base para facilitar el desarrollo de las tecnologías </w:t>
        </w:r>
        <w:r w:rsidR="00490009">
          <w:rPr>
            <w:rStyle w:val="Hyperlink"/>
            <w:noProof/>
            <w:lang w:val="es-ES"/>
          </w:rPr>
          <w:br/>
        </w:r>
        <w:r w:rsidR="00490009" w:rsidRPr="007B3919">
          <w:rPr>
            <w:rStyle w:val="Hyperlink"/>
            <w:noProof/>
            <w:lang w:val="es-ES"/>
          </w:rPr>
          <w:t>actuales y las futuras</w:t>
        </w:r>
        <w:r w:rsidR="00490009">
          <w:rPr>
            <w:noProof/>
            <w:webHidden/>
          </w:rPr>
          <w:tab/>
        </w:r>
        <w:r w:rsidR="00490009">
          <w:rPr>
            <w:noProof/>
            <w:webHidden/>
          </w:rPr>
          <w:tab/>
        </w:r>
        <w:r w:rsidR="00490009">
          <w:rPr>
            <w:noProof/>
            <w:webHidden/>
          </w:rPr>
          <w:fldChar w:fldCharType="begin"/>
        </w:r>
        <w:r w:rsidR="00490009">
          <w:rPr>
            <w:noProof/>
            <w:webHidden/>
          </w:rPr>
          <w:instrText xml:space="preserve"> PAGEREF _Toc97821262 \h </w:instrText>
        </w:r>
        <w:r w:rsidR="00490009">
          <w:rPr>
            <w:noProof/>
            <w:webHidden/>
          </w:rPr>
        </w:r>
        <w:r w:rsidR="00490009">
          <w:rPr>
            <w:noProof/>
            <w:webHidden/>
          </w:rPr>
          <w:fldChar w:fldCharType="separate"/>
        </w:r>
        <w:r w:rsidR="00B36065">
          <w:rPr>
            <w:noProof/>
            <w:webHidden/>
          </w:rPr>
          <w:t>7</w:t>
        </w:r>
        <w:r w:rsidR="00490009">
          <w:rPr>
            <w:noProof/>
            <w:webHidden/>
          </w:rPr>
          <w:fldChar w:fldCharType="end"/>
        </w:r>
      </w:hyperlink>
    </w:p>
    <w:p w14:paraId="5F3DBC45" w14:textId="0DD87A36" w:rsidR="00490009" w:rsidRDefault="00AF6115" w:rsidP="00490009">
      <w:pPr>
        <w:pStyle w:val="TOC2"/>
        <w:ind w:left="1928"/>
        <w:rPr>
          <w:rFonts w:asciiTheme="minorHAnsi" w:eastAsiaTheme="minorEastAsia" w:hAnsiTheme="minorHAnsi" w:cstheme="minorBidi"/>
          <w:noProof/>
          <w:sz w:val="22"/>
          <w:szCs w:val="22"/>
          <w:lang w:val="en-US" w:eastAsia="zh-CN"/>
        </w:rPr>
      </w:pPr>
      <w:hyperlink w:anchor="_Toc97821263" w:history="1">
        <w:r w:rsidR="00490009" w:rsidRPr="007B3919">
          <w:rPr>
            <w:rStyle w:val="Hyperlink"/>
            <w:noProof/>
            <w:lang w:val="es-ES"/>
          </w:rPr>
          <w:t>1.4</w:t>
        </w:r>
        <w:r w:rsidR="00490009">
          <w:rPr>
            <w:rFonts w:asciiTheme="minorHAnsi" w:eastAsiaTheme="minorEastAsia" w:hAnsiTheme="minorHAnsi" w:cstheme="minorBidi"/>
            <w:noProof/>
            <w:sz w:val="22"/>
            <w:szCs w:val="22"/>
            <w:lang w:val="en-US" w:eastAsia="zh-CN"/>
          </w:rPr>
          <w:tab/>
        </w:r>
        <w:r w:rsidR="00490009" w:rsidRPr="007B3919">
          <w:rPr>
            <w:rStyle w:val="Hyperlink"/>
            <w:noProof/>
            <w:lang w:val="es-ES"/>
          </w:rPr>
          <w:t xml:space="preserve">Tecnologías incipientes – Marcos propicios de la UIT </w:t>
        </w:r>
        <w:r w:rsidR="00490009">
          <w:rPr>
            <w:rStyle w:val="Hyperlink"/>
            <w:noProof/>
            <w:lang w:val="es-ES"/>
          </w:rPr>
          <w:br/>
        </w:r>
        <w:r w:rsidR="00490009" w:rsidRPr="007B3919">
          <w:rPr>
            <w:rStyle w:val="Hyperlink"/>
            <w:noProof/>
            <w:lang w:val="es-ES"/>
          </w:rPr>
          <w:t>para gestionar su desarrollo</w:t>
        </w:r>
        <w:r w:rsidR="00490009">
          <w:rPr>
            <w:noProof/>
            <w:webHidden/>
          </w:rPr>
          <w:tab/>
        </w:r>
        <w:r w:rsidR="00490009">
          <w:rPr>
            <w:noProof/>
            <w:webHidden/>
          </w:rPr>
          <w:tab/>
        </w:r>
        <w:r w:rsidR="00490009">
          <w:rPr>
            <w:noProof/>
            <w:webHidden/>
          </w:rPr>
          <w:fldChar w:fldCharType="begin"/>
        </w:r>
        <w:r w:rsidR="00490009">
          <w:rPr>
            <w:noProof/>
            <w:webHidden/>
          </w:rPr>
          <w:instrText xml:space="preserve"> PAGEREF _Toc97821263 \h </w:instrText>
        </w:r>
        <w:r w:rsidR="00490009">
          <w:rPr>
            <w:noProof/>
            <w:webHidden/>
          </w:rPr>
        </w:r>
        <w:r w:rsidR="00490009">
          <w:rPr>
            <w:noProof/>
            <w:webHidden/>
          </w:rPr>
          <w:fldChar w:fldCharType="separate"/>
        </w:r>
        <w:r w:rsidR="00B36065">
          <w:rPr>
            <w:noProof/>
            <w:webHidden/>
          </w:rPr>
          <w:t>12</w:t>
        </w:r>
        <w:r w:rsidR="00490009">
          <w:rPr>
            <w:noProof/>
            <w:webHidden/>
          </w:rPr>
          <w:fldChar w:fldCharType="end"/>
        </w:r>
      </w:hyperlink>
    </w:p>
    <w:p w14:paraId="5E6C8B37" w14:textId="41D21079" w:rsidR="00490009" w:rsidRDefault="00AF6115" w:rsidP="00490009">
      <w:pPr>
        <w:pStyle w:val="TOC2"/>
        <w:ind w:left="1928"/>
        <w:rPr>
          <w:rFonts w:asciiTheme="minorHAnsi" w:eastAsiaTheme="minorEastAsia" w:hAnsiTheme="minorHAnsi" w:cstheme="minorBidi"/>
          <w:noProof/>
          <w:sz w:val="22"/>
          <w:szCs w:val="22"/>
          <w:lang w:val="en-US" w:eastAsia="zh-CN"/>
        </w:rPr>
      </w:pPr>
      <w:hyperlink w:anchor="_Toc97821264" w:history="1">
        <w:r w:rsidR="00490009" w:rsidRPr="007B3919">
          <w:rPr>
            <w:rStyle w:val="Hyperlink"/>
            <w:noProof/>
            <w:lang w:val="es-ES"/>
          </w:rPr>
          <w:t>1.5</w:t>
        </w:r>
        <w:r w:rsidR="00490009">
          <w:rPr>
            <w:rFonts w:asciiTheme="minorHAnsi" w:eastAsiaTheme="minorEastAsia" w:hAnsiTheme="minorHAnsi" w:cstheme="minorBidi"/>
            <w:noProof/>
            <w:sz w:val="22"/>
            <w:szCs w:val="22"/>
            <w:lang w:val="en-US" w:eastAsia="zh-CN"/>
          </w:rPr>
          <w:tab/>
        </w:r>
        <w:r w:rsidR="00490009" w:rsidRPr="007B3919">
          <w:rPr>
            <w:rStyle w:val="Hyperlink"/>
            <w:noProof/>
            <w:lang w:val="es-ES"/>
          </w:rPr>
          <w:t>Medio ambiente y ciudades y comunidades inteligentes y sostenibles</w:t>
        </w:r>
        <w:r w:rsidR="00490009">
          <w:rPr>
            <w:noProof/>
            <w:webHidden/>
          </w:rPr>
          <w:tab/>
        </w:r>
        <w:r w:rsidR="00490009">
          <w:rPr>
            <w:noProof/>
            <w:webHidden/>
          </w:rPr>
          <w:tab/>
        </w:r>
        <w:r w:rsidR="00490009">
          <w:rPr>
            <w:noProof/>
            <w:webHidden/>
          </w:rPr>
          <w:fldChar w:fldCharType="begin"/>
        </w:r>
        <w:r w:rsidR="00490009">
          <w:rPr>
            <w:noProof/>
            <w:webHidden/>
          </w:rPr>
          <w:instrText xml:space="preserve"> PAGEREF _Toc97821264 \h </w:instrText>
        </w:r>
        <w:r w:rsidR="00490009">
          <w:rPr>
            <w:noProof/>
            <w:webHidden/>
          </w:rPr>
        </w:r>
        <w:r w:rsidR="00490009">
          <w:rPr>
            <w:noProof/>
            <w:webHidden/>
          </w:rPr>
          <w:fldChar w:fldCharType="separate"/>
        </w:r>
        <w:r w:rsidR="00B36065">
          <w:rPr>
            <w:noProof/>
            <w:webHidden/>
          </w:rPr>
          <w:t>14</w:t>
        </w:r>
        <w:r w:rsidR="00490009">
          <w:rPr>
            <w:noProof/>
            <w:webHidden/>
          </w:rPr>
          <w:fldChar w:fldCharType="end"/>
        </w:r>
      </w:hyperlink>
    </w:p>
    <w:p w14:paraId="0525A941" w14:textId="425623D1" w:rsidR="00490009" w:rsidRDefault="00AF6115" w:rsidP="00490009">
      <w:pPr>
        <w:pStyle w:val="TOC2"/>
        <w:ind w:left="1928"/>
        <w:rPr>
          <w:rFonts w:asciiTheme="minorHAnsi" w:eastAsiaTheme="minorEastAsia" w:hAnsiTheme="minorHAnsi" w:cstheme="minorBidi"/>
          <w:noProof/>
          <w:sz w:val="22"/>
          <w:szCs w:val="22"/>
          <w:lang w:val="en-US" w:eastAsia="zh-CN"/>
        </w:rPr>
      </w:pPr>
      <w:hyperlink w:anchor="_Toc97821265" w:history="1">
        <w:r w:rsidR="00490009" w:rsidRPr="007B3919">
          <w:rPr>
            <w:rStyle w:val="Hyperlink"/>
            <w:noProof/>
            <w:lang w:val="es-ES"/>
          </w:rPr>
          <w:t>1.6</w:t>
        </w:r>
        <w:r w:rsidR="00490009">
          <w:rPr>
            <w:rFonts w:asciiTheme="minorHAnsi" w:eastAsiaTheme="minorEastAsia" w:hAnsiTheme="minorHAnsi" w:cstheme="minorBidi"/>
            <w:noProof/>
            <w:sz w:val="22"/>
            <w:szCs w:val="22"/>
            <w:lang w:val="en-US" w:eastAsia="zh-CN"/>
          </w:rPr>
          <w:tab/>
        </w:r>
        <w:r w:rsidR="00490009" w:rsidRPr="007B3919">
          <w:rPr>
            <w:rStyle w:val="Hyperlink"/>
            <w:noProof/>
            <w:lang w:val="es-ES"/>
          </w:rPr>
          <w:t>Ciberseguridad: creación de confianza y seguridad en las TIC</w:t>
        </w:r>
        <w:r w:rsidR="00490009">
          <w:rPr>
            <w:noProof/>
            <w:webHidden/>
          </w:rPr>
          <w:tab/>
        </w:r>
        <w:r w:rsidR="00490009">
          <w:rPr>
            <w:noProof/>
            <w:webHidden/>
          </w:rPr>
          <w:tab/>
        </w:r>
        <w:r w:rsidR="00490009">
          <w:rPr>
            <w:noProof/>
            <w:webHidden/>
          </w:rPr>
          <w:fldChar w:fldCharType="begin"/>
        </w:r>
        <w:r w:rsidR="00490009">
          <w:rPr>
            <w:noProof/>
            <w:webHidden/>
          </w:rPr>
          <w:instrText xml:space="preserve"> PAGEREF _Toc97821265 \h </w:instrText>
        </w:r>
        <w:r w:rsidR="00490009">
          <w:rPr>
            <w:noProof/>
            <w:webHidden/>
          </w:rPr>
        </w:r>
        <w:r w:rsidR="00490009">
          <w:rPr>
            <w:noProof/>
            <w:webHidden/>
          </w:rPr>
          <w:fldChar w:fldCharType="separate"/>
        </w:r>
        <w:r w:rsidR="00B36065">
          <w:rPr>
            <w:noProof/>
            <w:webHidden/>
          </w:rPr>
          <w:t>19</w:t>
        </w:r>
        <w:r w:rsidR="00490009">
          <w:rPr>
            <w:noProof/>
            <w:webHidden/>
          </w:rPr>
          <w:fldChar w:fldCharType="end"/>
        </w:r>
      </w:hyperlink>
    </w:p>
    <w:p w14:paraId="10DAE826" w14:textId="523014F6" w:rsidR="00490009" w:rsidRDefault="00AF6115" w:rsidP="00490009">
      <w:pPr>
        <w:pStyle w:val="TOC2"/>
        <w:ind w:left="1928"/>
        <w:rPr>
          <w:rFonts w:asciiTheme="minorHAnsi" w:eastAsiaTheme="minorEastAsia" w:hAnsiTheme="minorHAnsi" w:cstheme="minorBidi"/>
          <w:noProof/>
          <w:sz w:val="22"/>
          <w:szCs w:val="22"/>
          <w:lang w:val="en-US" w:eastAsia="zh-CN"/>
        </w:rPr>
      </w:pPr>
      <w:hyperlink w:anchor="_Toc97821266" w:history="1">
        <w:r w:rsidR="00490009" w:rsidRPr="007B3919">
          <w:rPr>
            <w:rStyle w:val="Hyperlink"/>
            <w:noProof/>
            <w:lang w:val="es-ES"/>
          </w:rPr>
          <w:t>1.7</w:t>
        </w:r>
        <w:r w:rsidR="00490009">
          <w:rPr>
            <w:rFonts w:asciiTheme="minorHAnsi" w:eastAsiaTheme="minorEastAsia" w:hAnsiTheme="minorHAnsi" w:cstheme="minorBidi"/>
            <w:noProof/>
            <w:sz w:val="22"/>
            <w:szCs w:val="22"/>
            <w:lang w:val="en-US" w:eastAsia="zh-CN"/>
          </w:rPr>
          <w:tab/>
        </w:r>
        <w:r w:rsidR="00490009" w:rsidRPr="007B3919">
          <w:rPr>
            <w:rStyle w:val="Hyperlink"/>
            <w:noProof/>
            <w:lang w:val="es-ES"/>
          </w:rPr>
          <w:t xml:space="preserve">Inclusión digital: acceso a las TIC y su utilización </w:t>
        </w:r>
        <w:r w:rsidR="00490009">
          <w:rPr>
            <w:rStyle w:val="Hyperlink"/>
            <w:noProof/>
            <w:lang w:val="es-ES"/>
          </w:rPr>
          <w:br/>
        </w:r>
        <w:r w:rsidR="00490009" w:rsidRPr="007B3919">
          <w:rPr>
            <w:rStyle w:val="Hyperlink"/>
            <w:noProof/>
            <w:lang w:val="es-ES"/>
          </w:rPr>
          <w:t>de forma inclusiva y en pie de igualdad por todo el mundo</w:t>
        </w:r>
        <w:r w:rsidR="00490009">
          <w:rPr>
            <w:noProof/>
            <w:webHidden/>
          </w:rPr>
          <w:tab/>
        </w:r>
        <w:r w:rsidR="00490009">
          <w:rPr>
            <w:noProof/>
            <w:webHidden/>
          </w:rPr>
          <w:tab/>
        </w:r>
        <w:r w:rsidR="00490009">
          <w:rPr>
            <w:noProof/>
            <w:webHidden/>
          </w:rPr>
          <w:fldChar w:fldCharType="begin"/>
        </w:r>
        <w:r w:rsidR="00490009">
          <w:rPr>
            <w:noProof/>
            <w:webHidden/>
          </w:rPr>
          <w:instrText xml:space="preserve"> PAGEREF _Toc97821266 \h </w:instrText>
        </w:r>
        <w:r w:rsidR="00490009">
          <w:rPr>
            <w:noProof/>
            <w:webHidden/>
          </w:rPr>
        </w:r>
        <w:r w:rsidR="00490009">
          <w:rPr>
            <w:noProof/>
            <w:webHidden/>
          </w:rPr>
          <w:fldChar w:fldCharType="separate"/>
        </w:r>
        <w:r w:rsidR="00B36065">
          <w:rPr>
            <w:noProof/>
            <w:webHidden/>
          </w:rPr>
          <w:t>21</w:t>
        </w:r>
        <w:r w:rsidR="00490009">
          <w:rPr>
            <w:noProof/>
            <w:webHidden/>
          </w:rPr>
          <w:fldChar w:fldCharType="end"/>
        </w:r>
      </w:hyperlink>
    </w:p>
    <w:p w14:paraId="3908C2DC" w14:textId="51EE599D" w:rsidR="00490009" w:rsidRDefault="00AF6115" w:rsidP="00490009">
      <w:pPr>
        <w:pStyle w:val="TOC2"/>
        <w:ind w:left="1928"/>
        <w:rPr>
          <w:rFonts w:asciiTheme="minorHAnsi" w:eastAsiaTheme="minorEastAsia" w:hAnsiTheme="minorHAnsi" w:cstheme="minorBidi"/>
          <w:noProof/>
          <w:sz w:val="22"/>
          <w:szCs w:val="22"/>
          <w:lang w:val="en-US" w:eastAsia="zh-CN"/>
        </w:rPr>
      </w:pPr>
      <w:hyperlink w:anchor="_Toc97821267" w:history="1">
        <w:r w:rsidR="00490009" w:rsidRPr="007B3919">
          <w:rPr>
            <w:rStyle w:val="Hyperlink"/>
            <w:noProof/>
            <w:lang w:val="es-ES" w:eastAsia="en-GB"/>
          </w:rPr>
          <w:t>1.8</w:t>
        </w:r>
        <w:r w:rsidR="00490009">
          <w:rPr>
            <w:rFonts w:asciiTheme="minorHAnsi" w:eastAsiaTheme="minorEastAsia" w:hAnsiTheme="minorHAnsi" w:cstheme="minorBidi"/>
            <w:noProof/>
            <w:sz w:val="22"/>
            <w:szCs w:val="22"/>
            <w:lang w:val="en-US" w:eastAsia="zh-CN"/>
          </w:rPr>
          <w:tab/>
        </w:r>
        <w:r w:rsidR="00490009" w:rsidRPr="007B3919">
          <w:rPr>
            <w:rStyle w:val="Hyperlink"/>
            <w:noProof/>
            <w:lang w:val="es-ES" w:eastAsia="en-GB"/>
          </w:rPr>
          <w:t>Actividades/respuestas relacionadas con la COVID-19</w:t>
        </w:r>
        <w:r w:rsidR="00490009">
          <w:rPr>
            <w:noProof/>
            <w:webHidden/>
          </w:rPr>
          <w:tab/>
        </w:r>
        <w:r w:rsidR="00490009">
          <w:rPr>
            <w:noProof/>
            <w:webHidden/>
          </w:rPr>
          <w:tab/>
        </w:r>
        <w:r w:rsidR="00490009">
          <w:rPr>
            <w:noProof/>
            <w:webHidden/>
          </w:rPr>
          <w:fldChar w:fldCharType="begin"/>
        </w:r>
        <w:r w:rsidR="00490009">
          <w:rPr>
            <w:noProof/>
            <w:webHidden/>
          </w:rPr>
          <w:instrText xml:space="preserve"> PAGEREF _Toc97821267 \h </w:instrText>
        </w:r>
        <w:r w:rsidR="00490009">
          <w:rPr>
            <w:noProof/>
            <w:webHidden/>
          </w:rPr>
        </w:r>
        <w:r w:rsidR="00490009">
          <w:rPr>
            <w:noProof/>
            <w:webHidden/>
          </w:rPr>
          <w:fldChar w:fldCharType="separate"/>
        </w:r>
        <w:r w:rsidR="00B36065">
          <w:rPr>
            <w:noProof/>
            <w:webHidden/>
          </w:rPr>
          <w:t>29</w:t>
        </w:r>
        <w:r w:rsidR="00490009">
          <w:rPr>
            <w:noProof/>
            <w:webHidden/>
          </w:rPr>
          <w:fldChar w:fldCharType="end"/>
        </w:r>
      </w:hyperlink>
    </w:p>
    <w:p w14:paraId="20284F96" w14:textId="0F4D71C2" w:rsidR="00490009" w:rsidRDefault="00AF6115" w:rsidP="00490009">
      <w:pPr>
        <w:pStyle w:val="TOC2"/>
        <w:ind w:left="1928"/>
        <w:rPr>
          <w:rFonts w:asciiTheme="minorHAnsi" w:eastAsiaTheme="minorEastAsia" w:hAnsiTheme="minorHAnsi" w:cstheme="minorBidi"/>
          <w:noProof/>
          <w:sz w:val="22"/>
          <w:szCs w:val="22"/>
          <w:lang w:val="en-US" w:eastAsia="zh-CN"/>
        </w:rPr>
      </w:pPr>
      <w:hyperlink w:anchor="_Toc97821268" w:history="1">
        <w:r w:rsidR="00490009" w:rsidRPr="007B3919">
          <w:rPr>
            <w:rStyle w:val="Hyperlink"/>
            <w:noProof/>
            <w:lang w:val="es-ES" w:eastAsia="en-GB"/>
          </w:rPr>
          <w:t>1.9</w:t>
        </w:r>
        <w:r w:rsidR="00490009">
          <w:rPr>
            <w:rFonts w:asciiTheme="minorHAnsi" w:eastAsiaTheme="minorEastAsia" w:hAnsiTheme="minorHAnsi" w:cstheme="minorBidi"/>
            <w:noProof/>
            <w:sz w:val="22"/>
            <w:szCs w:val="22"/>
            <w:lang w:val="en-US" w:eastAsia="zh-CN"/>
          </w:rPr>
          <w:tab/>
        </w:r>
        <w:r w:rsidR="00490009" w:rsidRPr="007B3919">
          <w:rPr>
            <w:rStyle w:val="Hyperlink"/>
            <w:noProof/>
            <w:lang w:val="es-ES" w:eastAsia="en-GB"/>
          </w:rPr>
          <w:t>Alianzas estratégicas para los ODS</w:t>
        </w:r>
        <w:r w:rsidR="00490009">
          <w:rPr>
            <w:noProof/>
            <w:webHidden/>
          </w:rPr>
          <w:tab/>
        </w:r>
        <w:r w:rsidR="00490009">
          <w:rPr>
            <w:noProof/>
            <w:webHidden/>
          </w:rPr>
          <w:tab/>
        </w:r>
        <w:r w:rsidR="00490009">
          <w:rPr>
            <w:noProof/>
            <w:webHidden/>
          </w:rPr>
          <w:fldChar w:fldCharType="begin"/>
        </w:r>
        <w:r w:rsidR="00490009">
          <w:rPr>
            <w:noProof/>
            <w:webHidden/>
          </w:rPr>
          <w:instrText xml:space="preserve"> PAGEREF _Toc97821268 \h </w:instrText>
        </w:r>
        <w:r w:rsidR="00490009">
          <w:rPr>
            <w:noProof/>
            <w:webHidden/>
          </w:rPr>
        </w:r>
        <w:r w:rsidR="00490009">
          <w:rPr>
            <w:noProof/>
            <w:webHidden/>
          </w:rPr>
          <w:fldChar w:fldCharType="separate"/>
        </w:r>
        <w:r w:rsidR="00B36065">
          <w:rPr>
            <w:noProof/>
            <w:webHidden/>
          </w:rPr>
          <w:t>32</w:t>
        </w:r>
        <w:r w:rsidR="00490009">
          <w:rPr>
            <w:noProof/>
            <w:webHidden/>
          </w:rPr>
          <w:fldChar w:fldCharType="end"/>
        </w:r>
      </w:hyperlink>
    </w:p>
    <w:p w14:paraId="4581E2EB" w14:textId="2DFE937C" w:rsidR="00490009" w:rsidRDefault="00AF6115" w:rsidP="00490009">
      <w:pPr>
        <w:pStyle w:val="TOC2"/>
        <w:ind w:left="1928"/>
        <w:rPr>
          <w:rFonts w:asciiTheme="minorHAnsi" w:eastAsiaTheme="minorEastAsia" w:hAnsiTheme="minorHAnsi" w:cstheme="minorBidi"/>
          <w:noProof/>
          <w:sz w:val="22"/>
          <w:szCs w:val="22"/>
          <w:lang w:val="en-US" w:eastAsia="zh-CN"/>
        </w:rPr>
      </w:pPr>
      <w:hyperlink w:anchor="_Toc97821269" w:history="1">
        <w:r w:rsidR="00490009" w:rsidRPr="007B3919">
          <w:rPr>
            <w:rStyle w:val="Hyperlink"/>
            <w:noProof/>
          </w:rPr>
          <w:t>1.10</w:t>
        </w:r>
        <w:r w:rsidR="00490009">
          <w:rPr>
            <w:rFonts w:asciiTheme="minorHAnsi" w:eastAsiaTheme="minorEastAsia" w:hAnsiTheme="minorHAnsi" w:cstheme="minorBidi"/>
            <w:noProof/>
            <w:sz w:val="22"/>
            <w:szCs w:val="22"/>
            <w:lang w:val="en-US" w:eastAsia="zh-CN"/>
          </w:rPr>
          <w:tab/>
        </w:r>
        <w:r w:rsidR="00490009" w:rsidRPr="007B3919">
          <w:rPr>
            <w:rStyle w:val="Hyperlink"/>
            <w:noProof/>
          </w:rPr>
          <w:t>Seminarios, talleres y asistencia</w:t>
        </w:r>
        <w:r w:rsidR="00490009">
          <w:rPr>
            <w:noProof/>
            <w:webHidden/>
          </w:rPr>
          <w:tab/>
        </w:r>
        <w:r w:rsidR="00490009">
          <w:rPr>
            <w:noProof/>
            <w:webHidden/>
          </w:rPr>
          <w:tab/>
        </w:r>
        <w:r w:rsidR="00490009">
          <w:rPr>
            <w:noProof/>
            <w:webHidden/>
          </w:rPr>
          <w:fldChar w:fldCharType="begin"/>
        </w:r>
        <w:r w:rsidR="00490009">
          <w:rPr>
            <w:noProof/>
            <w:webHidden/>
          </w:rPr>
          <w:instrText xml:space="preserve"> PAGEREF _Toc97821269 \h </w:instrText>
        </w:r>
        <w:r w:rsidR="00490009">
          <w:rPr>
            <w:noProof/>
            <w:webHidden/>
          </w:rPr>
        </w:r>
        <w:r w:rsidR="00490009">
          <w:rPr>
            <w:noProof/>
            <w:webHidden/>
          </w:rPr>
          <w:fldChar w:fldCharType="separate"/>
        </w:r>
        <w:r w:rsidR="00B36065">
          <w:rPr>
            <w:noProof/>
            <w:webHidden/>
          </w:rPr>
          <w:t>36</w:t>
        </w:r>
        <w:r w:rsidR="00490009">
          <w:rPr>
            <w:noProof/>
            <w:webHidden/>
          </w:rPr>
          <w:fldChar w:fldCharType="end"/>
        </w:r>
      </w:hyperlink>
    </w:p>
    <w:p w14:paraId="22EB1868" w14:textId="58AD214C" w:rsidR="00490009" w:rsidRDefault="00AF6115" w:rsidP="00490009">
      <w:pPr>
        <w:pStyle w:val="TOC2"/>
        <w:ind w:left="1928"/>
        <w:rPr>
          <w:rFonts w:asciiTheme="minorHAnsi" w:eastAsiaTheme="minorEastAsia" w:hAnsiTheme="minorHAnsi" w:cstheme="minorBidi"/>
          <w:noProof/>
          <w:sz w:val="22"/>
          <w:szCs w:val="22"/>
          <w:lang w:val="en-US" w:eastAsia="zh-CN"/>
        </w:rPr>
      </w:pPr>
      <w:hyperlink w:anchor="_Toc97821270" w:history="1">
        <w:r w:rsidR="00490009" w:rsidRPr="007B3919">
          <w:rPr>
            <w:rStyle w:val="Hyperlink"/>
            <w:noProof/>
            <w:lang w:val="es-ES" w:eastAsia="en-GB"/>
          </w:rPr>
          <w:t>1.11</w:t>
        </w:r>
        <w:r w:rsidR="00490009">
          <w:rPr>
            <w:rFonts w:asciiTheme="minorHAnsi" w:eastAsiaTheme="minorEastAsia" w:hAnsiTheme="minorHAnsi" w:cstheme="minorBidi"/>
            <w:noProof/>
            <w:sz w:val="22"/>
            <w:szCs w:val="22"/>
            <w:lang w:val="en-US" w:eastAsia="zh-CN"/>
          </w:rPr>
          <w:tab/>
        </w:r>
        <w:r w:rsidR="00490009" w:rsidRPr="007B3919">
          <w:rPr>
            <w:rStyle w:val="Hyperlink"/>
            <w:noProof/>
            <w:lang w:val="es-ES" w:eastAsia="en-GB"/>
          </w:rPr>
          <w:t>Principales eventos</w:t>
        </w:r>
        <w:r w:rsidR="00490009">
          <w:rPr>
            <w:noProof/>
            <w:webHidden/>
          </w:rPr>
          <w:tab/>
        </w:r>
        <w:r w:rsidR="00490009">
          <w:rPr>
            <w:noProof/>
            <w:webHidden/>
          </w:rPr>
          <w:tab/>
        </w:r>
        <w:r w:rsidR="00490009">
          <w:rPr>
            <w:noProof/>
            <w:webHidden/>
          </w:rPr>
          <w:fldChar w:fldCharType="begin"/>
        </w:r>
        <w:r w:rsidR="00490009">
          <w:rPr>
            <w:noProof/>
            <w:webHidden/>
          </w:rPr>
          <w:instrText xml:space="preserve"> PAGEREF _Toc97821270 \h </w:instrText>
        </w:r>
        <w:r w:rsidR="00490009">
          <w:rPr>
            <w:noProof/>
            <w:webHidden/>
          </w:rPr>
        </w:r>
        <w:r w:rsidR="00490009">
          <w:rPr>
            <w:noProof/>
            <w:webHidden/>
          </w:rPr>
          <w:fldChar w:fldCharType="separate"/>
        </w:r>
        <w:r w:rsidR="00B36065">
          <w:rPr>
            <w:noProof/>
            <w:webHidden/>
          </w:rPr>
          <w:t>41</w:t>
        </w:r>
        <w:r w:rsidR="00490009">
          <w:rPr>
            <w:noProof/>
            <w:webHidden/>
          </w:rPr>
          <w:fldChar w:fldCharType="end"/>
        </w:r>
      </w:hyperlink>
    </w:p>
    <w:p w14:paraId="301408C0" w14:textId="1C519EEF" w:rsidR="00490009" w:rsidRDefault="00AF6115">
      <w:pPr>
        <w:pStyle w:val="TOC1"/>
        <w:rPr>
          <w:rFonts w:asciiTheme="minorHAnsi" w:eastAsiaTheme="minorEastAsia" w:hAnsiTheme="minorHAnsi" w:cstheme="minorBidi"/>
          <w:noProof/>
          <w:sz w:val="22"/>
          <w:szCs w:val="22"/>
          <w:lang w:val="en-US" w:eastAsia="zh-CN"/>
        </w:rPr>
      </w:pPr>
      <w:hyperlink w:anchor="_Toc97821271" w:history="1">
        <w:r w:rsidR="00490009" w:rsidRPr="007B3919">
          <w:rPr>
            <w:rStyle w:val="Hyperlink"/>
            <w:noProof/>
            <w:lang w:val="es-ES" w:eastAsia="en-GB"/>
          </w:rPr>
          <w:t>2</w:t>
        </w:r>
        <w:r w:rsidR="00490009">
          <w:rPr>
            <w:rFonts w:asciiTheme="minorHAnsi" w:eastAsiaTheme="minorEastAsia" w:hAnsiTheme="minorHAnsi" w:cstheme="minorBidi"/>
            <w:noProof/>
            <w:sz w:val="22"/>
            <w:szCs w:val="22"/>
            <w:lang w:val="en-US" w:eastAsia="zh-CN"/>
          </w:rPr>
          <w:tab/>
        </w:r>
        <w:r w:rsidR="00490009" w:rsidRPr="007B3919">
          <w:rPr>
            <w:rStyle w:val="Hyperlink"/>
            <w:noProof/>
            <w:lang w:val="es-ES" w:eastAsia="en-GB"/>
          </w:rPr>
          <w:t xml:space="preserve">Otras actividades fundamentales de la Secretaría en apoyo de los miembros </w:t>
        </w:r>
        <w:r w:rsidR="00490009">
          <w:rPr>
            <w:rStyle w:val="Hyperlink"/>
            <w:noProof/>
            <w:lang w:val="es-ES" w:eastAsia="en-GB"/>
          </w:rPr>
          <w:br/>
        </w:r>
        <w:r w:rsidR="00490009" w:rsidRPr="007B3919">
          <w:rPr>
            <w:rStyle w:val="Hyperlink"/>
            <w:noProof/>
            <w:lang w:val="es-ES" w:eastAsia="en-GB"/>
          </w:rPr>
          <w:t>de la UIT</w:t>
        </w:r>
        <w:r w:rsidR="00490009">
          <w:rPr>
            <w:noProof/>
            <w:webHidden/>
          </w:rPr>
          <w:tab/>
        </w:r>
        <w:r w:rsidR="00490009">
          <w:rPr>
            <w:noProof/>
            <w:webHidden/>
          </w:rPr>
          <w:tab/>
        </w:r>
        <w:r w:rsidR="00490009">
          <w:rPr>
            <w:noProof/>
            <w:webHidden/>
          </w:rPr>
          <w:fldChar w:fldCharType="begin"/>
        </w:r>
        <w:r w:rsidR="00490009">
          <w:rPr>
            <w:noProof/>
            <w:webHidden/>
          </w:rPr>
          <w:instrText xml:space="preserve"> PAGEREF _Toc97821271 \h </w:instrText>
        </w:r>
        <w:r w:rsidR="00490009">
          <w:rPr>
            <w:noProof/>
            <w:webHidden/>
          </w:rPr>
        </w:r>
        <w:r w:rsidR="00490009">
          <w:rPr>
            <w:noProof/>
            <w:webHidden/>
          </w:rPr>
          <w:fldChar w:fldCharType="separate"/>
        </w:r>
        <w:r w:rsidR="00B36065">
          <w:rPr>
            <w:noProof/>
            <w:webHidden/>
          </w:rPr>
          <w:t>47</w:t>
        </w:r>
        <w:r w:rsidR="00490009">
          <w:rPr>
            <w:noProof/>
            <w:webHidden/>
          </w:rPr>
          <w:fldChar w:fldCharType="end"/>
        </w:r>
      </w:hyperlink>
    </w:p>
    <w:p w14:paraId="0BA085B8" w14:textId="124178A9" w:rsidR="00490009" w:rsidRDefault="00AF6115" w:rsidP="00490009">
      <w:pPr>
        <w:pStyle w:val="TOC2"/>
        <w:ind w:left="1928"/>
        <w:rPr>
          <w:rFonts w:asciiTheme="minorHAnsi" w:eastAsiaTheme="minorEastAsia" w:hAnsiTheme="minorHAnsi" w:cstheme="minorBidi"/>
          <w:noProof/>
          <w:sz w:val="22"/>
          <w:szCs w:val="22"/>
          <w:lang w:val="en-US" w:eastAsia="zh-CN"/>
        </w:rPr>
      </w:pPr>
      <w:hyperlink w:anchor="_Toc97821272" w:history="1">
        <w:r w:rsidR="00490009" w:rsidRPr="007B3919">
          <w:rPr>
            <w:rStyle w:val="Hyperlink"/>
            <w:noProof/>
            <w:lang w:val="es-ES" w:eastAsia="en-GB"/>
          </w:rPr>
          <w:t>2.1</w:t>
        </w:r>
        <w:r w:rsidR="00490009">
          <w:rPr>
            <w:rFonts w:asciiTheme="minorHAnsi" w:eastAsiaTheme="minorEastAsia" w:hAnsiTheme="minorHAnsi" w:cstheme="minorBidi"/>
            <w:noProof/>
            <w:sz w:val="22"/>
            <w:szCs w:val="22"/>
            <w:lang w:val="en-US" w:eastAsia="zh-CN"/>
          </w:rPr>
          <w:tab/>
        </w:r>
        <w:r w:rsidR="00490009" w:rsidRPr="007B3919">
          <w:rPr>
            <w:rStyle w:val="Hyperlink"/>
            <w:noProof/>
            <w:lang w:val="es-ES" w:eastAsia="en-GB"/>
          </w:rPr>
          <w:t xml:space="preserve">UIT-R: Junta del Reglamento de Radiocomunicaciones (RRB), </w:t>
        </w:r>
        <w:r w:rsidR="00490009">
          <w:rPr>
            <w:rStyle w:val="Hyperlink"/>
            <w:noProof/>
            <w:lang w:val="es-ES" w:eastAsia="en-GB"/>
          </w:rPr>
          <w:br/>
        </w:r>
        <w:r w:rsidR="00490009" w:rsidRPr="007B3919">
          <w:rPr>
            <w:rStyle w:val="Hyperlink"/>
            <w:noProof/>
            <w:lang w:val="es-ES" w:eastAsia="en-GB"/>
          </w:rPr>
          <w:t>reuniones, adopción de decisiones</w:t>
        </w:r>
        <w:r w:rsidR="00490009">
          <w:rPr>
            <w:noProof/>
            <w:webHidden/>
          </w:rPr>
          <w:tab/>
        </w:r>
        <w:r w:rsidR="00490009">
          <w:rPr>
            <w:noProof/>
            <w:webHidden/>
          </w:rPr>
          <w:tab/>
        </w:r>
        <w:r w:rsidR="00490009">
          <w:rPr>
            <w:noProof/>
            <w:webHidden/>
          </w:rPr>
          <w:fldChar w:fldCharType="begin"/>
        </w:r>
        <w:r w:rsidR="00490009">
          <w:rPr>
            <w:noProof/>
            <w:webHidden/>
          </w:rPr>
          <w:instrText xml:space="preserve"> PAGEREF _Toc97821272 \h </w:instrText>
        </w:r>
        <w:r w:rsidR="00490009">
          <w:rPr>
            <w:noProof/>
            <w:webHidden/>
          </w:rPr>
        </w:r>
        <w:r w:rsidR="00490009">
          <w:rPr>
            <w:noProof/>
            <w:webHidden/>
          </w:rPr>
          <w:fldChar w:fldCharType="separate"/>
        </w:r>
        <w:r w:rsidR="00B36065">
          <w:rPr>
            <w:noProof/>
            <w:webHidden/>
          </w:rPr>
          <w:t>47</w:t>
        </w:r>
        <w:r w:rsidR="00490009">
          <w:rPr>
            <w:noProof/>
            <w:webHidden/>
          </w:rPr>
          <w:fldChar w:fldCharType="end"/>
        </w:r>
      </w:hyperlink>
    </w:p>
    <w:p w14:paraId="2836A0C3" w14:textId="5168A819" w:rsidR="00490009" w:rsidRDefault="00AF6115" w:rsidP="00490009">
      <w:pPr>
        <w:pStyle w:val="TOC2"/>
        <w:ind w:left="1928"/>
        <w:rPr>
          <w:rFonts w:asciiTheme="minorHAnsi" w:eastAsiaTheme="minorEastAsia" w:hAnsiTheme="minorHAnsi" w:cstheme="minorBidi"/>
          <w:noProof/>
          <w:sz w:val="22"/>
          <w:szCs w:val="22"/>
          <w:lang w:val="en-US" w:eastAsia="zh-CN"/>
        </w:rPr>
      </w:pPr>
      <w:hyperlink w:anchor="_Toc97821273" w:history="1">
        <w:r w:rsidR="00490009" w:rsidRPr="007B3919">
          <w:rPr>
            <w:rStyle w:val="Hyperlink"/>
            <w:noProof/>
            <w:lang w:val="es-ES" w:eastAsia="en-GB"/>
          </w:rPr>
          <w:t>2.2</w:t>
        </w:r>
        <w:r w:rsidR="00490009">
          <w:rPr>
            <w:rFonts w:asciiTheme="minorHAnsi" w:eastAsiaTheme="minorEastAsia" w:hAnsiTheme="minorHAnsi" w:cstheme="minorBidi"/>
            <w:noProof/>
            <w:sz w:val="22"/>
            <w:szCs w:val="22"/>
            <w:lang w:val="en-US" w:eastAsia="zh-CN"/>
          </w:rPr>
          <w:tab/>
        </w:r>
        <w:r w:rsidR="00490009" w:rsidRPr="007B3919">
          <w:rPr>
            <w:rStyle w:val="Hyperlink"/>
            <w:noProof/>
            <w:lang w:val="es-ES" w:eastAsia="en-GB"/>
          </w:rPr>
          <w:t>UIT-T: mejora de la calidad de servicio para Miembros de la UIT</w:t>
        </w:r>
        <w:r w:rsidR="00490009">
          <w:rPr>
            <w:noProof/>
            <w:webHidden/>
          </w:rPr>
          <w:tab/>
        </w:r>
        <w:r w:rsidR="00490009">
          <w:rPr>
            <w:noProof/>
            <w:webHidden/>
          </w:rPr>
          <w:tab/>
        </w:r>
        <w:r w:rsidR="00490009">
          <w:rPr>
            <w:noProof/>
            <w:webHidden/>
          </w:rPr>
          <w:fldChar w:fldCharType="begin"/>
        </w:r>
        <w:r w:rsidR="00490009">
          <w:rPr>
            <w:noProof/>
            <w:webHidden/>
          </w:rPr>
          <w:instrText xml:space="preserve"> PAGEREF _Toc97821273 \h </w:instrText>
        </w:r>
        <w:r w:rsidR="00490009">
          <w:rPr>
            <w:noProof/>
            <w:webHidden/>
          </w:rPr>
        </w:r>
        <w:r w:rsidR="00490009">
          <w:rPr>
            <w:noProof/>
            <w:webHidden/>
          </w:rPr>
          <w:fldChar w:fldCharType="separate"/>
        </w:r>
        <w:r w:rsidR="00B36065">
          <w:rPr>
            <w:noProof/>
            <w:webHidden/>
          </w:rPr>
          <w:t>47</w:t>
        </w:r>
        <w:r w:rsidR="00490009">
          <w:rPr>
            <w:noProof/>
            <w:webHidden/>
          </w:rPr>
          <w:fldChar w:fldCharType="end"/>
        </w:r>
      </w:hyperlink>
    </w:p>
    <w:p w14:paraId="52C2262A" w14:textId="6ED005D5" w:rsidR="00490009" w:rsidRDefault="00AF6115" w:rsidP="00490009">
      <w:pPr>
        <w:pStyle w:val="TOC2"/>
        <w:ind w:left="1928"/>
        <w:rPr>
          <w:rFonts w:asciiTheme="minorHAnsi" w:eastAsiaTheme="minorEastAsia" w:hAnsiTheme="minorHAnsi" w:cstheme="minorBidi"/>
          <w:noProof/>
          <w:sz w:val="22"/>
          <w:szCs w:val="22"/>
          <w:lang w:val="en-US" w:eastAsia="zh-CN"/>
        </w:rPr>
      </w:pPr>
      <w:hyperlink w:anchor="_Toc97821274" w:history="1">
        <w:r w:rsidR="00490009" w:rsidRPr="007B3919">
          <w:rPr>
            <w:rStyle w:val="Hyperlink"/>
            <w:noProof/>
            <w:lang w:val="es-ES" w:eastAsia="en-GB"/>
          </w:rPr>
          <w:t>2.3</w:t>
        </w:r>
        <w:r w:rsidR="00490009">
          <w:rPr>
            <w:rFonts w:asciiTheme="minorHAnsi" w:eastAsiaTheme="minorEastAsia" w:hAnsiTheme="minorHAnsi" w:cstheme="minorBidi"/>
            <w:noProof/>
            <w:sz w:val="22"/>
            <w:szCs w:val="22"/>
            <w:lang w:val="en-US" w:eastAsia="zh-CN"/>
          </w:rPr>
          <w:tab/>
        </w:r>
        <w:r w:rsidR="00490009" w:rsidRPr="007B3919">
          <w:rPr>
            <w:rStyle w:val="Hyperlink"/>
            <w:noProof/>
            <w:lang w:val="es-ES" w:eastAsia="en-GB"/>
          </w:rPr>
          <w:t>Transformación del UIT-D: una BDT adaptada a su misión</w:t>
        </w:r>
        <w:r w:rsidR="00490009">
          <w:rPr>
            <w:noProof/>
            <w:webHidden/>
          </w:rPr>
          <w:tab/>
        </w:r>
        <w:r w:rsidR="00490009">
          <w:rPr>
            <w:noProof/>
            <w:webHidden/>
          </w:rPr>
          <w:tab/>
        </w:r>
        <w:r w:rsidR="00490009">
          <w:rPr>
            <w:noProof/>
            <w:webHidden/>
          </w:rPr>
          <w:fldChar w:fldCharType="begin"/>
        </w:r>
        <w:r w:rsidR="00490009">
          <w:rPr>
            <w:noProof/>
            <w:webHidden/>
          </w:rPr>
          <w:instrText xml:space="preserve"> PAGEREF _Toc97821274 \h </w:instrText>
        </w:r>
        <w:r w:rsidR="00490009">
          <w:rPr>
            <w:noProof/>
            <w:webHidden/>
          </w:rPr>
        </w:r>
        <w:r w:rsidR="00490009">
          <w:rPr>
            <w:noProof/>
            <w:webHidden/>
          </w:rPr>
          <w:fldChar w:fldCharType="separate"/>
        </w:r>
        <w:r w:rsidR="00B36065">
          <w:rPr>
            <w:noProof/>
            <w:webHidden/>
          </w:rPr>
          <w:t>50</w:t>
        </w:r>
        <w:r w:rsidR="00490009">
          <w:rPr>
            <w:noProof/>
            <w:webHidden/>
          </w:rPr>
          <w:fldChar w:fldCharType="end"/>
        </w:r>
      </w:hyperlink>
    </w:p>
    <w:p w14:paraId="7D3F047A" w14:textId="7594EF49" w:rsidR="00490009" w:rsidRDefault="00AF6115" w:rsidP="00490009">
      <w:pPr>
        <w:pStyle w:val="TOC2"/>
        <w:ind w:left="1928"/>
        <w:rPr>
          <w:rFonts w:asciiTheme="minorHAnsi" w:eastAsiaTheme="minorEastAsia" w:hAnsiTheme="minorHAnsi" w:cstheme="minorBidi"/>
          <w:noProof/>
          <w:sz w:val="22"/>
          <w:szCs w:val="22"/>
          <w:lang w:val="en-US" w:eastAsia="zh-CN"/>
        </w:rPr>
      </w:pPr>
      <w:hyperlink w:anchor="_Toc97821275" w:history="1">
        <w:r w:rsidR="00490009" w:rsidRPr="007B3919">
          <w:rPr>
            <w:rStyle w:val="Hyperlink"/>
            <w:noProof/>
            <w:lang w:val="es-ES" w:eastAsia="en-GB"/>
          </w:rPr>
          <w:t>2.4</w:t>
        </w:r>
        <w:r w:rsidR="00490009">
          <w:rPr>
            <w:rFonts w:asciiTheme="minorHAnsi" w:eastAsiaTheme="minorEastAsia" w:hAnsiTheme="minorHAnsi" w:cstheme="minorBidi"/>
            <w:noProof/>
            <w:sz w:val="22"/>
            <w:szCs w:val="22"/>
            <w:lang w:val="en-US" w:eastAsia="zh-CN"/>
          </w:rPr>
          <w:tab/>
        </w:r>
        <w:r w:rsidR="00490009" w:rsidRPr="007B3919">
          <w:rPr>
            <w:rStyle w:val="Hyperlink"/>
            <w:noProof/>
            <w:lang w:val="es-ES" w:eastAsia="en-GB"/>
          </w:rPr>
          <w:t>Secretaría General</w:t>
        </w:r>
        <w:r w:rsidR="00490009">
          <w:rPr>
            <w:noProof/>
            <w:webHidden/>
          </w:rPr>
          <w:tab/>
        </w:r>
        <w:r w:rsidR="00490009">
          <w:rPr>
            <w:noProof/>
            <w:webHidden/>
          </w:rPr>
          <w:tab/>
        </w:r>
        <w:r w:rsidR="00490009">
          <w:rPr>
            <w:noProof/>
            <w:webHidden/>
          </w:rPr>
          <w:fldChar w:fldCharType="begin"/>
        </w:r>
        <w:r w:rsidR="00490009">
          <w:rPr>
            <w:noProof/>
            <w:webHidden/>
          </w:rPr>
          <w:instrText xml:space="preserve"> PAGEREF _Toc97821275 \h </w:instrText>
        </w:r>
        <w:r w:rsidR="00490009">
          <w:rPr>
            <w:noProof/>
            <w:webHidden/>
          </w:rPr>
        </w:r>
        <w:r w:rsidR="00490009">
          <w:rPr>
            <w:noProof/>
            <w:webHidden/>
          </w:rPr>
          <w:fldChar w:fldCharType="separate"/>
        </w:r>
        <w:r w:rsidR="00B36065">
          <w:rPr>
            <w:noProof/>
            <w:webHidden/>
          </w:rPr>
          <w:t>51</w:t>
        </w:r>
        <w:r w:rsidR="00490009">
          <w:rPr>
            <w:noProof/>
            <w:webHidden/>
          </w:rPr>
          <w:fldChar w:fldCharType="end"/>
        </w:r>
      </w:hyperlink>
    </w:p>
    <w:p w14:paraId="759BB9BF" w14:textId="17FD009C" w:rsidR="00490009" w:rsidRDefault="00AF6115">
      <w:pPr>
        <w:pStyle w:val="TOC1"/>
        <w:rPr>
          <w:rFonts w:asciiTheme="minorHAnsi" w:eastAsiaTheme="minorEastAsia" w:hAnsiTheme="minorHAnsi" w:cstheme="minorBidi"/>
          <w:noProof/>
          <w:sz w:val="22"/>
          <w:szCs w:val="22"/>
          <w:lang w:val="en-US" w:eastAsia="zh-CN"/>
        </w:rPr>
      </w:pPr>
      <w:hyperlink w:anchor="_Toc97821276" w:history="1">
        <w:r w:rsidR="00490009" w:rsidRPr="007B3919">
          <w:rPr>
            <w:rStyle w:val="Hyperlink"/>
            <w:noProof/>
            <w:lang w:val="es-ES" w:eastAsia="en-GB"/>
          </w:rPr>
          <w:t>3</w:t>
        </w:r>
        <w:r w:rsidR="00490009">
          <w:rPr>
            <w:rFonts w:asciiTheme="minorHAnsi" w:eastAsiaTheme="minorEastAsia" w:hAnsiTheme="minorHAnsi" w:cstheme="minorBidi"/>
            <w:noProof/>
            <w:sz w:val="22"/>
            <w:szCs w:val="22"/>
            <w:lang w:val="en-US" w:eastAsia="zh-CN"/>
          </w:rPr>
          <w:tab/>
        </w:r>
        <w:r w:rsidR="00490009" w:rsidRPr="007B3919">
          <w:rPr>
            <w:rStyle w:val="Hyperlink"/>
            <w:noProof/>
            <w:lang w:val="es-ES"/>
          </w:rPr>
          <w:t>Aplicación del Plan Estratégico de la UIT: avances en la consecución de las metas estratégicas y los objetivos</w:t>
        </w:r>
        <w:r w:rsidR="00490009">
          <w:rPr>
            <w:noProof/>
            <w:webHidden/>
          </w:rPr>
          <w:tab/>
        </w:r>
        <w:r w:rsidR="00490009">
          <w:rPr>
            <w:noProof/>
            <w:webHidden/>
          </w:rPr>
          <w:tab/>
        </w:r>
        <w:r w:rsidR="00490009">
          <w:rPr>
            <w:noProof/>
            <w:webHidden/>
          </w:rPr>
          <w:fldChar w:fldCharType="begin"/>
        </w:r>
        <w:r w:rsidR="00490009">
          <w:rPr>
            <w:noProof/>
            <w:webHidden/>
          </w:rPr>
          <w:instrText xml:space="preserve"> PAGEREF _Toc97821276 \h </w:instrText>
        </w:r>
        <w:r w:rsidR="00490009">
          <w:rPr>
            <w:noProof/>
            <w:webHidden/>
          </w:rPr>
        </w:r>
        <w:r w:rsidR="00490009">
          <w:rPr>
            <w:noProof/>
            <w:webHidden/>
          </w:rPr>
          <w:fldChar w:fldCharType="separate"/>
        </w:r>
        <w:r w:rsidR="00B36065">
          <w:rPr>
            <w:noProof/>
            <w:webHidden/>
          </w:rPr>
          <w:t>54</w:t>
        </w:r>
        <w:r w:rsidR="00490009">
          <w:rPr>
            <w:noProof/>
            <w:webHidden/>
          </w:rPr>
          <w:fldChar w:fldCharType="end"/>
        </w:r>
      </w:hyperlink>
    </w:p>
    <w:p w14:paraId="7231D749" w14:textId="71C7BC18" w:rsidR="00490009" w:rsidRDefault="00AF6115" w:rsidP="00490009">
      <w:pPr>
        <w:pStyle w:val="TOC2"/>
        <w:ind w:left="1928"/>
        <w:rPr>
          <w:rFonts w:asciiTheme="minorHAnsi" w:eastAsiaTheme="minorEastAsia" w:hAnsiTheme="minorHAnsi" w:cstheme="minorBidi"/>
          <w:noProof/>
          <w:sz w:val="22"/>
          <w:szCs w:val="22"/>
          <w:lang w:val="en-US" w:eastAsia="zh-CN"/>
        </w:rPr>
      </w:pPr>
      <w:hyperlink w:anchor="_Toc97821277" w:history="1">
        <w:r w:rsidR="00490009" w:rsidRPr="007B3919">
          <w:rPr>
            <w:rStyle w:val="Hyperlink"/>
            <w:noProof/>
          </w:rPr>
          <w:t>3.1</w:t>
        </w:r>
        <w:r w:rsidR="00490009">
          <w:rPr>
            <w:rFonts w:asciiTheme="minorHAnsi" w:eastAsiaTheme="minorEastAsia" w:hAnsiTheme="minorHAnsi" w:cstheme="minorBidi"/>
            <w:noProof/>
            <w:sz w:val="22"/>
            <w:szCs w:val="22"/>
            <w:lang w:val="en-US" w:eastAsia="zh-CN"/>
          </w:rPr>
          <w:tab/>
        </w:r>
        <w:r w:rsidR="00490009" w:rsidRPr="007B3919">
          <w:rPr>
            <w:rStyle w:val="Hyperlink"/>
            <w:noProof/>
          </w:rPr>
          <w:t xml:space="preserve">Contribución de la UIT a los Objetivos de Desarrollo Sostenible </w:t>
        </w:r>
        <w:r w:rsidR="00490009">
          <w:rPr>
            <w:rStyle w:val="Hyperlink"/>
            <w:noProof/>
          </w:rPr>
          <w:br/>
        </w:r>
        <w:r w:rsidR="00490009" w:rsidRPr="007B3919">
          <w:rPr>
            <w:rStyle w:val="Hyperlink"/>
            <w:noProof/>
          </w:rPr>
          <w:t>y a las líneas de acción de la CMSI</w:t>
        </w:r>
        <w:r w:rsidR="00490009">
          <w:rPr>
            <w:noProof/>
            <w:webHidden/>
          </w:rPr>
          <w:tab/>
        </w:r>
        <w:r w:rsidR="00490009">
          <w:rPr>
            <w:noProof/>
            <w:webHidden/>
          </w:rPr>
          <w:tab/>
        </w:r>
        <w:r w:rsidR="00490009">
          <w:rPr>
            <w:noProof/>
            <w:webHidden/>
          </w:rPr>
          <w:fldChar w:fldCharType="begin"/>
        </w:r>
        <w:r w:rsidR="00490009">
          <w:rPr>
            <w:noProof/>
            <w:webHidden/>
          </w:rPr>
          <w:instrText xml:space="preserve"> PAGEREF _Toc97821277 \h </w:instrText>
        </w:r>
        <w:r w:rsidR="00490009">
          <w:rPr>
            <w:noProof/>
            <w:webHidden/>
          </w:rPr>
        </w:r>
        <w:r w:rsidR="00490009">
          <w:rPr>
            <w:noProof/>
            <w:webHidden/>
          </w:rPr>
          <w:fldChar w:fldCharType="separate"/>
        </w:r>
        <w:r w:rsidR="00B36065">
          <w:rPr>
            <w:noProof/>
            <w:webHidden/>
          </w:rPr>
          <w:t>58</w:t>
        </w:r>
        <w:r w:rsidR="00490009">
          <w:rPr>
            <w:noProof/>
            <w:webHidden/>
          </w:rPr>
          <w:fldChar w:fldCharType="end"/>
        </w:r>
      </w:hyperlink>
    </w:p>
    <w:p w14:paraId="7D1CF1F1" w14:textId="73B9E242" w:rsidR="00490009" w:rsidRDefault="00AF6115" w:rsidP="00490009">
      <w:pPr>
        <w:pStyle w:val="TOC2"/>
        <w:ind w:left="1928"/>
        <w:rPr>
          <w:rFonts w:asciiTheme="minorHAnsi" w:eastAsiaTheme="minorEastAsia" w:hAnsiTheme="minorHAnsi" w:cstheme="minorBidi"/>
          <w:noProof/>
          <w:sz w:val="22"/>
          <w:szCs w:val="22"/>
          <w:lang w:val="en-US" w:eastAsia="zh-CN"/>
        </w:rPr>
      </w:pPr>
      <w:hyperlink w:anchor="_Toc97821278" w:history="1">
        <w:r w:rsidR="00490009" w:rsidRPr="007B3919">
          <w:rPr>
            <w:rStyle w:val="Hyperlink"/>
            <w:noProof/>
            <w:lang w:val="es-ES"/>
          </w:rPr>
          <w:t>3.2</w:t>
        </w:r>
        <w:r w:rsidR="00490009">
          <w:rPr>
            <w:rFonts w:asciiTheme="minorHAnsi" w:eastAsiaTheme="minorEastAsia" w:hAnsiTheme="minorHAnsi" w:cstheme="minorBidi"/>
            <w:noProof/>
            <w:sz w:val="22"/>
            <w:szCs w:val="22"/>
            <w:lang w:val="en-US" w:eastAsia="zh-CN"/>
          </w:rPr>
          <w:tab/>
        </w:r>
        <w:r w:rsidR="00490009" w:rsidRPr="007B3919">
          <w:rPr>
            <w:rStyle w:val="Hyperlink"/>
            <w:noProof/>
            <w:lang w:val="es-ES"/>
          </w:rPr>
          <w:t>Resultados de los progresos hacia los objetivos estratégicos</w:t>
        </w:r>
        <w:r w:rsidR="00490009">
          <w:rPr>
            <w:noProof/>
            <w:webHidden/>
          </w:rPr>
          <w:tab/>
        </w:r>
        <w:r w:rsidR="00490009">
          <w:rPr>
            <w:noProof/>
            <w:webHidden/>
          </w:rPr>
          <w:tab/>
        </w:r>
        <w:r w:rsidR="00490009">
          <w:rPr>
            <w:noProof/>
            <w:webHidden/>
          </w:rPr>
          <w:fldChar w:fldCharType="begin"/>
        </w:r>
        <w:r w:rsidR="00490009">
          <w:rPr>
            <w:noProof/>
            <w:webHidden/>
          </w:rPr>
          <w:instrText xml:space="preserve"> PAGEREF _Toc97821278 \h </w:instrText>
        </w:r>
        <w:r w:rsidR="00490009">
          <w:rPr>
            <w:noProof/>
            <w:webHidden/>
          </w:rPr>
        </w:r>
        <w:r w:rsidR="00490009">
          <w:rPr>
            <w:noProof/>
            <w:webHidden/>
          </w:rPr>
          <w:fldChar w:fldCharType="separate"/>
        </w:r>
        <w:r w:rsidR="00B36065">
          <w:rPr>
            <w:noProof/>
            <w:webHidden/>
          </w:rPr>
          <w:t>60</w:t>
        </w:r>
        <w:r w:rsidR="00490009">
          <w:rPr>
            <w:noProof/>
            <w:webHidden/>
          </w:rPr>
          <w:fldChar w:fldCharType="end"/>
        </w:r>
      </w:hyperlink>
    </w:p>
    <w:p w14:paraId="5A7AB671" w14:textId="0D84EDD8" w:rsidR="00490009" w:rsidRDefault="00AF6115" w:rsidP="00490009">
      <w:pPr>
        <w:pStyle w:val="TOC2"/>
        <w:ind w:left="1928"/>
        <w:rPr>
          <w:rFonts w:asciiTheme="minorHAnsi" w:eastAsiaTheme="minorEastAsia" w:hAnsiTheme="minorHAnsi" w:cstheme="minorBidi"/>
          <w:noProof/>
          <w:sz w:val="22"/>
          <w:szCs w:val="22"/>
          <w:lang w:val="en-US" w:eastAsia="zh-CN"/>
        </w:rPr>
      </w:pPr>
      <w:hyperlink w:anchor="_Toc97821279" w:history="1">
        <w:r w:rsidR="00490009" w:rsidRPr="007B3919">
          <w:rPr>
            <w:rStyle w:val="Hyperlink"/>
            <w:noProof/>
            <w:lang w:val="es-ES"/>
          </w:rPr>
          <w:t>3.3</w:t>
        </w:r>
        <w:r w:rsidR="00490009">
          <w:rPr>
            <w:rFonts w:asciiTheme="minorHAnsi" w:eastAsiaTheme="minorEastAsia" w:hAnsiTheme="minorHAnsi" w:cstheme="minorBidi"/>
            <w:noProof/>
            <w:sz w:val="22"/>
            <w:szCs w:val="22"/>
            <w:lang w:val="en-US" w:eastAsia="zh-CN"/>
          </w:rPr>
          <w:tab/>
        </w:r>
        <w:r w:rsidR="00490009" w:rsidRPr="007B3919">
          <w:rPr>
            <w:rStyle w:val="Hyperlink"/>
            <w:noProof/>
            <w:lang w:val="es-ES"/>
          </w:rPr>
          <w:t xml:space="preserve">Resultados de los trabajos de la Unión – Objetivos sectoriales </w:t>
        </w:r>
        <w:r w:rsidR="00490009">
          <w:rPr>
            <w:rStyle w:val="Hyperlink"/>
            <w:noProof/>
            <w:lang w:val="es-ES"/>
          </w:rPr>
          <w:br/>
        </w:r>
        <w:r w:rsidR="00490009" w:rsidRPr="007B3919">
          <w:rPr>
            <w:rStyle w:val="Hyperlink"/>
            <w:noProof/>
            <w:lang w:val="es-ES"/>
          </w:rPr>
          <w:t>e intersectoriales de la UIT</w:t>
        </w:r>
        <w:r w:rsidR="00490009">
          <w:rPr>
            <w:noProof/>
            <w:webHidden/>
          </w:rPr>
          <w:tab/>
        </w:r>
        <w:r w:rsidR="00490009">
          <w:rPr>
            <w:noProof/>
            <w:webHidden/>
          </w:rPr>
          <w:tab/>
        </w:r>
        <w:r w:rsidR="00490009">
          <w:rPr>
            <w:noProof/>
            <w:webHidden/>
          </w:rPr>
          <w:fldChar w:fldCharType="begin"/>
        </w:r>
        <w:r w:rsidR="00490009">
          <w:rPr>
            <w:noProof/>
            <w:webHidden/>
          </w:rPr>
          <w:instrText xml:space="preserve"> PAGEREF _Toc97821279 \h </w:instrText>
        </w:r>
        <w:r w:rsidR="00490009">
          <w:rPr>
            <w:noProof/>
            <w:webHidden/>
          </w:rPr>
        </w:r>
        <w:r w:rsidR="00490009">
          <w:rPr>
            <w:noProof/>
            <w:webHidden/>
          </w:rPr>
          <w:fldChar w:fldCharType="separate"/>
        </w:r>
        <w:r w:rsidR="00B36065">
          <w:rPr>
            <w:noProof/>
            <w:webHidden/>
          </w:rPr>
          <w:t>66</w:t>
        </w:r>
        <w:r w:rsidR="00490009">
          <w:rPr>
            <w:noProof/>
            <w:webHidden/>
          </w:rPr>
          <w:fldChar w:fldCharType="end"/>
        </w:r>
      </w:hyperlink>
    </w:p>
    <w:p w14:paraId="30B5EBB0" w14:textId="413ED720" w:rsidR="00490009" w:rsidRDefault="00AF6115" w:rsidP="00490009">
      <w:pPr>
        <w:pStyle w:val="TOC2"/>
        <w:ind w:left="1928"/>
        <w:rPr>
          <w:rFonts w:asciiTheme="minorHAnsi" w:eastAsiaTheme="minorEastAsia" w:hAnsiTheme="minorHAnsi" w:cstheme="minorBidi"/>
          <w:noProof/>
          <w:sz w:val="22"/>
          <w:szCs w:val="22"/>
          <w:lang w:val="en-US" w:eastAsia="zh-CN"/>
        </w:rPr>
      </w:pPr>
      <w:hyperlink w:anchor="_Toc97821280" w:history="1">
        <w:r w:rsidR="00490009" w:rsidRPr="007B3919">
          <w:rPr>
            <w:rStyle w:val="Hyperlink"/>
            <w:noProof/>
            <w:lang w:val="es-ES"/>
          </w:rPr>
          <w:t>3.4</w:t>
        </w:r>
        <w:r w:rsidR="00490009">
          <w:rPr>
            <w:rFonts w:asciiTheme="minorHAnsi" w:eastAsiaTheme="minorEastAsia" w:hAnsiTheme="minorHAnsi" w:cstheme="minorBidi"/>
            <w:noProof/>
            <w:sz w:val="22"/>
            <w:szCs w:val="22"/>
            <w:lang w:val="en-US" w:eastAsia="zh-CN"/>
          </w:rPr>
          <w:tab/>
        </w:r>
        <w:r w:rsidR="00490009" w:rsidRPr="007B3919">
          <w:rPr>
            <w:rStyle w:val="Hyperlink"/>
            <w:noProof/>
            <w:lang w:val="es-ES"/>
          </w:rPr>
          <w:t>Resultados de los facilitadores</w:t>
        </w:r>
        <w:r w:rsidR="00490009">
          <w:rPr>
            <w:noProof/>
            <w:webHidden/>
          </w:rPr>
          <w:tab/>
        </w:r>
        <w:r w:rsidR="00490009">
          <w:rPr>
            <w:noProof/>
            <w:webHidden/>
          </w:rPr>
          <w:tab/>
        </w:r>
        <w:r w:rsidR="00490009">
          <w:rPr>
            <w:noProof/>
            <w:webHidden/>
          </w:rPr>
          <w:fldChar w:fldCharType="begin"/>
        </w:r>
        <w:r w:rsidR="00490009">
          <w:rPr>
            <w:noProof/>
            <w:webHidden/>
          </w:rPr>
          <w:instrText xml:space="preserve"> PAGEREF _Toc97821280 \h </w:instrText>
        </w:r>
        <w:r w:rsidR="00490009">
          <w:rPr>
            <w:noProof/>
            <w:webHidden/>
          </w:rPr>
        </w:r>
        <w:r w:rsidR="00490009">
          <w:rPr>
            <w:noProof/>
            <w:webHidden/>
          </w:rPr>
          <w:fldChar w:fldCharType="separate"/>
        </w:r>
        <w:r w:rsidR="00B36065">
          <w:rPr>
            <w:noProof/>
            <w:webHidden/>
          </w:rPr>
          <w:t>66</w:t>
        </w:r>
        <w:r w:rsidR="00490009">
          <w:rPr>
            <w:noProof/>
            <w:webHidden/>
          </w:rPr>
          <w:fldChar w:fldCharType="end"/>
        </w:r>
      </w:hyperlink>
    </w:p>
    <w:p w14:paraId="4E1F8239" w14:textId="173CC539" w:rsidR="00490009" w:rsidRDefault="00AF6115" w:rsidP="00490009">
      <w:pPr>
        <w:pStyle w:val="TOC2"/>
        <w:ind w:left="1928"/>
        <w:rPr>
          <w:rFonts w:asciiTheme="minorHAnsi" w:eastAsiaTheme="minorEastAsia" w:hAnsiTheme="minorHAnsi" w:cstheme="minorBidi"/>
          <w:noProof/>
          <w:sz w:val="22"/>
          <w:szCs w:val="22"/>
          <w:lang w:val="en-US" w:eastAsia="zh-CN"/>
        </w:rPr>
      </w:pPr>
      <w:hyperlink w:anchor="_Toc97821281" w:history="1">
        <w:r w:rsidR="00490009" w:rsidRPr="007B3919">
          <w:rPr>
            <w:rStyle w:val="Hyperlink"/>
            <w:noProof/>
            <w:lang w:val="es-ES"/>
          </w:rPr>
          <w:t>3.5</w:t>
        </w:r>
        <w:r w:rsidR="00490009">
          <w:rPr>
            <w:rFonts w:asciiTheme="minorHAnsi" w:eastAsiaTheme="minorEastAsia" w:hAnsiTheme="minorHAnsi" w:cstheme="minorBidi"/>
            <w:noProof/>
            <w:sz w:val="22"/>
            <w:szCs w:val="22"/>
            <w:lang w:val="en-US" w:eastAsia="zh-CN"/>
          </w:rPr>
          <w:tab/>
        </w:r>
        <w:r w:rsidR="00490009" w:rsidRPr="007B3919">
          <w:rPr>
            <w:rStyle w:val="Hyperlink"/>
            <w:noProof/>
            <w:lang w:val="es-ES"/>
          </w:rPr>
          <w:t>Prioridades para 2022-2023</w:t>
        </w:r>
        <w:r w:rsidR="00490009">
          <w:rPr>
            <w:noProof/>
            <w:webHidden/>
          </w:rPr>
          <w:tab/>
        </w:r>
        <w:r w:rsidR="00490009">
          <w:rPr>
            <w:noProof/>
            <w:webHidden/>
          </w:rPr>
          <w:tab/>
        </w:r>
        <w:r w:rsidR="00490009">
          <w:rPr>
            <w:noProof/>
            <w:webHidden/>
          </w:rPr>
          <w:fldChar w:fldCharType="begin"/>
        </w:r>
        <w:r w:rsidR="00490009">
          <w:rPr>
            <w:noProof/>
            <w:webHidden/>
          </w:rPr>
          <w:instrText xml:space="preserve"> PAGEREF _Toc97821281 \h </w:instrText>
        </w:r>
        <w:r w:rsidR="00490009">
          <w:rPr>
            <w:noProof/>
            <w:webHidden/>
          </w:rPr>
        </w:r>
        <w:r w:rsidR="00490009">
          <w:rPr>
            <w:noProof/>
            <w:webHidden/>
          </w:rPr>
          <w:fldChar w:fldCharType="separate"/>
        </w:r>
        <w:r w:rsidR="00B36065">
          <w:rPr>
            <w:noProof/>
            <w:webHidden/>
          </w:rPr>
          <w:t>66</w:t>
        </w:r>
        <w:r w:rsidR="00490009">
          <w:rPr>
            <w:noProof/>
            <w:webHidden/>
          </w:rPr>
          <w:fldChar w:fldCharType="end"/>
        </w:r>
      </w:hyperlink>
    </w:p>
    <w:p w14:paraId="1C95ABB4" w14:textId="77777777" w:rsidR="00490009" w:rsidRPr="00B237E2" w:rsidRDefault="00490009" w:rsidP="00490009">
      <w:pPr>
        <w:pStyle w:val="toc0"/>
        <w:rPr>
          <w:noProof/>
          <w:lang w:val="es-ES"/>
        </w:rPr>
      </w:pPr>
      <w:r w:rsidRPr="00B237E2">
        <w:rPr>
          <w:noProof/>
          <w:lang w:val="es-ES"/>
        </w:rPr>
        <w:lastRenderedPageBreak/>
        <w:tab/>
        <w:t>Página</w:t>
      </w:r>
    </w:p>
    <w:p w14:paraId="29D3A2E5" w14:textId="338E0890" w:rsidR="00490009" w:rsidRDefault="00AF6115">
      <w:pPr>
        <w:pStyle w:val="TOC1"/>
        <w:rPr>
          <w:rFonts w:asciiTheme="minorHAnsi" w:eastAsiaTheme="minorEastAsia" w:hAnsiTheme="minorHAnsi" w:cstheme="minorBidi"/>
          <w:noProof/>
          <w:sz w:val="22"/>
          <w:szCs w:val="22"/>
          <w:lang w:val="en-US" w:eastAsia="zh-CN"/>
        </w:rPr>
      </w:pPr>
      <w:hyperlink w:anchor="_Toc97821282" w:history="1">
        <w:r w:rsidR="00490009" w:rsidRPr="007B3919">
          <w:rPr>
            <w:rStyle w:val="Hyperlink"/>
            <w:noProof/>
            <w:lang w:val="es-ES"/>
          </w:rPr>
          <w:t>Anexo 1</w:t>
        </w:r>
        <w:r w:rsidR="00490009">
          <w:rPr>
            <w:noProof/>
            <w:webHidden/>
          </w:rPr>
          <w:tab/>
        </w:r>
        <w:r w:rsidR="00490009" w:rsidRPr="00490009">
          <w:rPr>
            <w:noProof/>
          </w:rPr>
          <w:t>Aplicación de las Resoluciones de la Conferencia de Plenipotenciarios</w:t>
        </w:r>
        <w:r w:rsidR="00490009" w:rsidRPr="00490009">
          <w:rPr>
            <w:noProof/>
          </w:rPr>
          <w:tab/>
        </w:r>
        <w:r w:rsidR="00490009">
          <w:rPr>
            <w:noProof/>
          </w:rPr>
          <w:tab/>
        </w:r>
        <w:r w:rsidR="00490009">
          <w:rPr>
            <w:noProof/>
            <w:webHidden/>
          </w:rPr>
          <w:fldChar w:fldCharType="begin"/>
        </w:r>
        <w:r w:rsidR="00490009">
          <w:rPr>
            <w:noProof/>
            <w:webHidden/>
          </w:rPr>
          <w:instrText xml:space="preserve"> PAGEREF _Toc97821282 \h </w:instrText>
        </w:r>
        <w:r w:rsidR="00490009">
          <w:rPr>
            <w:noProof/>
            <w:webHidden/>
          </w:rPr>
        </w:r>
        <w:r w:rsidR="00490009">
          <w:rPr>
            <w:noProof/>
            <w:webHidden/>
          </w:rPr>
          <w:fldChar w:fldCharType="separate"/>
        </w:r>
        <w:r w:rsidR="00B36065">
          <w:rPr>
            <w:noProof/>
            <w:webHidden/>
          </w:rPr>
          <w:t>67</w:t>
        </w:r>
        <w:r w:rsidR="00490009">
          <w:rPr>
            <w:noProof/>
            <w:webHidden/>
          </w:rPr>
          <w:fldChar w:fldCharType="end"/>
        </w:r>
      </w:hyperlink>
    </w:p>
    <w:p w14:paraId="6B716274" w14:textId="5E1BECF4" w:rsidR="00490009" w:rsidRDefault="00AF6115">
      <w:pPr>
        <w:pStyle w:val="TOC1"/>
        <w:rPr>
          <w:rFonts w:asciiTheme="minorHAnsi" w:eastAsiaTheme="minorEastAsia" w:hAnsiTheme="minorHAnsi" w:cstheme="minorBidi"/>
          <w:noProof/>
          <w:sz w:val="22"/>
          <w:szCs w:val="22"/>
          <w:lang w:val="en-US" w:eastAsia="zh-CN"/>
        </w:rPr>
      </w:pPr>
      <w:hyperlink w:anchor="_Toc97821284" w:history="1">
        <w:r w:rsidR="00490009" w:rsidRPr="007B3919">
          <w:rPr>
            <w:rStyle w:val="Hyperlink"/>
            <w:noProof/>
            <w:lang w:val="es-ES"/>
          </w:rPr>
          <w:t>Anexo 2</w:t>
        </w:r>
        <w:r w:rsidR="00490009">
          <w:rPr>
            <w:noProof/>
            <w:webHidden/>
          </w:rPr>
          <w:tab/>
        </w:r>
        <w:r w:rsidR="00490009" w:rsidRPr="00490009">
          <w:rPr>
            <w:noProof/>
          </w:rPr>
          <w:t>Resultados de la labor de la Unión/eficiencia de los propiciadores</w:t>
        </w:r>
        <w:r w:rsidR="00490009" w:rsidRPr="00490009">
          <w:rPr>
            <w:noProof/>
          </w:rPr>
          <w:tab/>
        </w:r>
        <w:r w:rsidR="00490009">
          <w:rPr>
            <w:noProof/>
          </w:rPr>
          <w:tab/>
        </w:r>
        <w:r w:rsidR="00490009">
          <w:rPr>
            <w:noProof/>
            <w:webHidden/>
          </w:rPr>
          <w:fldChar w:fldCharType="begin"/>
        </w:r>
        <w:r w:rsidR="00490009">
          <w:rPr>
            <w:noProof/>
            <w:webHidden/>
          </w:rPr>
          <w:instrText xml:space="preserve"> PAGEREF _Toc97821284 \h </w:instrText>
        </w:r>
        <w:r w:rsidR="00490009">
          <w:rPr>
            <w:noProof/>
            <w:webHidden/>
          </w:rPr>
        </w:r>
        <w:r w:rsidR="00490009">
          <w:rPr>
            <w:noProof/>
            <w:webHidden/>
          </w:rPr>
          <w:fldChar w:fldCharType="separate"/>
        </w:r>
        <w:r w:rsidR="00B36065">
          <w:rPr>
            <w:noProof/>
            <w:webHidden/>
          </w:rPr>
          <w:t>85</w:t>
        </w:r>
        <w:r w:rsidR="00490009">
          <w:rPr>
            <w:noProof/>
            <w:webHidden/>
          </w:rPr>
          <w:fldChar w:fldCharType="end"/>
        </w:r>
      </w:hyperlink>
    </w:p>
    <w:p w14:paraId="22D3DE8C" w14:textId="6BAE5809" w:rsidR="00490009" w:rsidRDefault="00AF6115" w:rsidP="00490009">
      <w:pPr>
        <w:pStyle w:val="TOC2"/>
        <w:ind w:left="1928"/>
        <w:rPr>
          <w:rFonts w:asciiTheme="minorHAnsi" w:eastAsiaTheme="minorEastAsia" w:hAnsiTheme="minorHAnsi" w:cstheme="minorBidi"/>
          <w:noProof/>
          <w:sz w:val="22"/>
          <w:szCs w:val="22"/>
          <w:lang w:val="en-US" w:eastAsia="zh-CN"/>
        </w:rPr>
      </w:pPr>
      <w:hyperlink w:anchor="_Toc97821286" w:history="1">
        <w:r w:rsidR="00490009" w:rsidRPr="007B3919">
          <w:rPr>
            <w:rStyle w:val="Hyperlink"/>
            <w:noProof/>
            <w:lang w:val="es-ES"/>
          </w:rPr>
          <w:t>Objetivos del UIT-R</w:t>
        </w:r>
        <w:r w:rsidR="00490009">
          <w:rPr>
            <w:noProof/>
            <w:webHidden/>
          </w:rPr>
          <w:tab/>
        </w:r>
        <w:r w:rsidR="00490009">
          <w:rPr>
            <w:noProof/>
            <w:webHidden/>
          </w:rPr>
          <w:tab/>
        </w:r>
        <w:r w:rsidR="00490009">
          <w:rPr>
            <w:noProof/>
            <w:webHidden/>
          </w:rPr>
          <w:fldChar w:fldCharType="begin"/>
        </w:r>
        <w:r w:rsidR="00490009">
          <w:rPr>
            <w:noProof/>
            <w:webHidden/>
          </w:rPr>
          <w:instrText xml:space="preserve"> PAGEREF _Toc97821286 \h </w:instrText>
        </w:r>
        <w:r w:rsidR="00490009">
          <w:rPr>
            <w:noProof/>
            <w:webHidden/>
          </w:rPr>
        </w:r>
        <w:r w:rsidR="00490009">
          <w:rPr>
            <w:noProof/>
            <w:webHidden/>
          </w:rPr>
          <w:fldChar w:fldCharType="separate"/>
        </w:r>
        <w:r w:rsidR="00B36065">
          <w:rPr>
            <w:noProof/>
            <w:webHidden/>
          </w:rPr>
          <w:t>85</w:t>
        </w:r>
        <w:r w:rsidR="00490009">
          <w:rPr>
            <w:noProof/>
            <w:webHidden/>
          </w:rPr>
          <w:fldChar w:fldCharType="end"/>
        </w:r>
      </w:hyperlink>
    </w:p>
    <w:p w14:paraId="350D7501" w14:textId="7AAE68FA" w:rsidR="00490009" w:rsidRDefault="00AF6115" w:rsidP="00490009">
      <w:pPr>
        <w:pStyle w:val="TOC2"/>
        <w:ind w:left="1928"/>
        <w:rPr>
          <w:rFonts w:asciiTheme="minorHAnsi" w:eastAsiaTheme="minorEastAsia" w:hAnsiTheme="minorHAnsi" w:cstheme="minorBidi"/>
          <w:noProof/>
          <w:sz w:val="22"/>
          <w:szCs w:val="22"/>
          <w:lang w:val="en-US" w:eastAsia="zh-CN"/>
        </w:rPr>
      </w:pPr>
      <w:hyperlink w:anchor="_Toc97821287" w:history="1">
        <w:r w:rsidR="00490009" w:rsidRPr="007B3919">
          <w:rPr>
            <w:rStyle w:val="Hyperlink"/>
            <w:noProof/>
          </w:rPr>
          <w:t>Objetivos del UIT-T</w:t>
        </w:r>
        <w:r w:rsidR="00490009">
          <w:rPr>
            <w:noProof/>
            <w:webHidden/>
          </w:rPr>
          <w:tab/>
        </w:r>
        <w:r w:rsidR="00490009">
          <w:rPr>
            <w:noProof/>
            <w:webHidden/>
          </w:rPr>
          <w:tab/>
        </w:r>
        <w:r w:rsidR="00490009">
          <w:rPr>
            <w:noProof/>
            <w:webHidden/>
          </w:rPr>
          <w:fldChar w:fldCharType="begin"/>
        </w:r>
        <w:r w:rsidR="00490009">
          <w:rPr>
            <w:noProof/>
            <w:webHidden/>
          </w:rPr>
          <w:instrText xml:space="preserve"> PAGEREF _Toc97821287 \h </w:instrText>
        </w:r>
        <w:r w:rsidR="00490009">
          <w:rPr>
            <w:noProof/>
            <w:webHidden/>
          </w:rPr>
        </w:r>
        <w:r w:rsidR="00490009">
          <w:rPr>
            <w:noProof/>
            <w:webHidden/>
          </w:rPr>
          <w:fldChar w:fldCharType="separate"/>
        </w:r>
        <w:r w:rsidR="00B36065">
          <w:rPr>
            <w:noProof/>
            <w:webHidden/>
          </w:rPr>
          <w:t>89</w:t>
        </w:r>
        <w:r w:rsidR="00490009">
          <w:rPr>
            <w:noProof/>
            <w:webHidden/>
          </w:rPr>
          <w:fldChar w:fldCharType="end"/>
        </w:r>
      </w:hyperlink>
    </w:p>
    <w:p w14:paraId="604E8087" w14:textId="2806B807" w:rsidR="00490009" w:rsidRDefault="00AF6115" w:rsidP="00490009">
      <w:pPr>
        <w:pStyle w:val="TOC2"/>
        <w:ind w:left="1928"/>
        <w:rPr>
          <w:rFonts w:asciiTheme="minorHAnsi" w:eastAsiaTheme="minorEastAsia" w:hAnsiTheme="minorHAnsi" w:cstheme="minorBidi"/>
          <w:noProof/>
          <w:sz w:val="22"/>
          <w:szCs w:val="22"/>
          <w:lang w:val="en-US" w:eastAsia="zh-CN"/>
        </w:rPr>
      </w:pPr>
      <w:hyperlink w:anchor="_Toc97821288" w:history="1">
        <w:r w:rsidR="00490009" w:rsidRPr="007B3919">
          <w:rPr>
            <w:rStyle w:val="Hyperlink"/>
            <w:noProof/>
          </w:rPr>
          <w:t>Objetivos del UIT-D</w:t>
        </w:r>
        <w:r w:rsidR="00490009">
          <w:rPr>
            <w:noProof/>
            <w:webHidden/>
          </w:rPr>
          <w:tab/>
        </w:r>
        <w:r w:rsidR="00490009">
          <w:rPr>
            <w:noProof/>
            <w:webHidden/>
          </w:rPr>
          <w:tab/>
        </w:r>
        <w:r w:rsidR="00490009">
          <w:rPr>
            <w:noProof/>
            <w:webHidden/>
          </w:rPr>
          <w:fldChar w:fldCharType="begin"/>
        </w:r>
        <w:r w:rsidR="00490009">
          <w:rPr>
            <w:noProof/>
            <w:webHidden/>
          </w:rPr>
          <w:instrText xml:space="preserve"> PAGEREF _Toc97821288 \h </w:instrText>
        </w:r>
        <w:r w:rsidR="00490009">
          <w:rPr>
            <w:noProof/>
            <w:webHidden/>
          </w:rPr>
        </w:r>
        <w:r w:rsidR="00490009">
          <w:rPr>
            <w:noProof/>
            <w:webHidden/>
          </w:rPr>
          <w:fldChar w:fldCharType="separate"/>
        </w:r>
        <w:r w:rsidR="00B36065">
          <w:rPr>
            <w:noProof/>
            <w:webHidden/>
          </w:rPr>
          <w:t>94</w:t>
        </w:r>
        <w:r w:rsidR="00490009">
          <w:rPr>
            <w:noProof/>
            <w:webHidden/>
          </w:rPr>
          <w:fldChar w:fldCharType="end"/>
        </w:r>
      </w:hyperlink>
    </w:p>
    <w:p w14:paraId="3EA59ABA" w14:textId="29BB2F2A" w:rsidR="00490009" w:rsidRDefault="00AF6115" w:rsidP="00490009">
      <w:pPr>
        <w:pStyle w:val="TOC2"/>
        <w:ind w:left="1928"/>
        <w:rPr>
          <w:rFonts w:asciiTheme="minorHAnsi" w:eastAsiaTheme="minorEastAsia" w:hAnsiTheme="minorHAnsi" w:cstheme="minorBidi"/>
          <w:noProof/>
          <w:sz w:val="22"/>
          <w:szCs w:val="22"/>
          <w:lang w:val="en-US" w:eastAsia="zh-CN"/>
        </w:rPr>
      </w:pPr>
      <w:hyperlink w:anchor="_Toc97821289" w:history="1">
        <w:r w:rsidR="00490009" w:rsidRPr="007B3919">
          <w:rPr>
            <w:rStyle w:val="Hyperlink"/>
            <w:noProof/>
          </w:rPr>
          <w:t>Objetivos intersectoriales</w:t>
        </w:r>
        <w:r w:rsidR="00490009">
          <w:rPr>
            <w:noProof/>
            <w:webHidden/>
          </w:rPr>
          <w:tab/>
        </w:r>
        <w:r w:rsidR="00490009">
          <w:rPr>
            <w:noProof/>
            <w:webHidden/>
          </w:rPr>
          <w:tab/>
        </w:r>
        <w:r w:rsidR="00490009">
          <w:rPr>
            <w:noProof/>
            <w:webHidden/>
          </w:rPr>
          <w:fldChar w:fldCharType="begin"/>
        </w:r>
        <w:r w:rsidR="00490009">
          <w:rPr>
            <w:noProof/>
            <w:webHidden/>
          </w:rPr>
          <w:instrText xml:space="preserve"> PAGEREF _Toc97821289 \h </w:instrText>
        </w:r>
        <w:r w:rsidR="00490009">
          <w:rPr>
            <w:noProof/>
            <w:webHidden/>
          </w:rPr>
        </w:r>
        <w:r w:rsidR="00490009">
          <w:rPr>
            <w:noProof/>
            <w:webHidden/>
          </w:rPr>
          <w:fldChar w:fldCharType="separate"/>
        </w:r>
        <w:r w:rsidR="00B36065">
          <w:rPr>
            <w:noProof/>
            <w:webHidden/>
          </w:rPr>
          <w:t>100</w:t>
        </w:r>
        <w:r w:rsidR="00490009">
          <w:rPr>
            <w:noProof/>
            <w:webHidden/>
          </w:rPr>
          <w:fldChar w:fldCharType="end"/>
        </w:r>
      </w:hyperlink>
    </w:p>
    <w:p w14:paraId="722DA9AF" w14:textId="4C8A6725" w:rsidR="00490009" w:rsidRDefault="00AF6115" w:rsidP="00490009">
      <w:pPr>
        <w:pStyle w:val="TOC2"/>
        <w:ind w:left="1928"/>
        <w:rPr>
          <w:rFonts w:asciiTheme="minorHAnsi" w:eastAsiaTheme="minorEastAsia" w:hAnsiTheme="minorHAnsi" w:cstheme="minorBidi"/>
          <w:noProof/>
          <w:sz w:val="22"/>
          <w:szCs w:val="22"/>
          <w:lang w:val="en-US" w:eastAsia="zh-CN"/>
        </w:rPr>
      </w:pPr>
      <w:hyperlink w:anchor="_Toc97821290" w:history="1">
        <w:r w:rsidR="00490009" w:rsidRPr="007B3919">
          <w:rPr>
            <w:rStyle w:val="Hyperlink"/>
            <w:noProof/>
          </w:rPr>
          <w:t>Facilitadores</w:t>
        </w:r>
        <w:r w:rsidR="00490009">
          <w:rPr>
            <w:noProof/>
            <w:webHidden/>
          </w:rPr>
          <w:tab/>
        </w:r>
        <w:r w:rsidR="00490009">
          <w:rPr>
            <w:noProof/>
            <w:webHidden/>
          </w:rPr>
          <w:tab/>
        </w:r>
        <w:r w:rsidR="00490009">
          <w:rPr>
            <w:noProof/>
            <w:webHidden/>
          </w:rPr>
          <w:fldChar w:fldCharType="begin"/>
        </w:r>
        <w:r w:rsidR="00490009">
          <w:rPr>
            <w:noProof/>
            <w:webHidden/>
          </w:rPr>
          <w:instrText xml:space="preserve"> PAGEREF _Toc97821290 \h </w:instrText>
        </w:r>
        <w:r w:rsidR="00490009">
          <w:rPr>
            <w:noProof/>
            <w:webHidden/>
          </w:rPr>
        </w:r>
        <w:r w:rsidR="00490009">
          <w:rPr>
            <w:noProof/>
            <w:webHidden/>
          </w:rPr>
          <w:fldChar w:fldCharType="separate"/>
        </w:r>
        <w:r w:rsidR="00B36065">
          <w:rPr>
            <w:noProof/>
            <w:webHidden/>
          </w:rPr>
          <w:t>106</w:t>
        </w:r>
        <w:r w:rsidR="00490009">
          <w:rPr>
            <w:noProof/>
            <w:webHidden/>
          </w:rPr>
          <w:fldChar w:fldCharType="end"/>
        </w:r>
      </w:hyperlink>
    </w:p>
    <w:p w14:paraId="54E88410" w14:textId="5CD38FCA" w:rsidR="00823AB3" w:rsidRPr="00B237E2" w:rsidRDefault="00823AB3" w:rsidP="00E124B0">
      <w:pPr>
        <w:rPr>
          <w:lang w:val="es-ES"/>
        </w:rPr>
      </w:pPr>
      <w:r w:rsidRPr="00B237E2">
        <w:rPr>
          <w:lang w:val="es-ES"/>
        </w:rPr>
        <w:fldChar w:fldCharType="end"/>
      </w:r>
    </w:p>
    <w:p w14:paraId="771F3406" w14:textId="77777777" w:rsidR="00823AB3" w:rsidRPr="00B237E2" w:rsidRDefault="00823AB3" w:rsidP="00E124B0">
      <w:pPr>
        <w:rPr>
          <w:lang w:val="es-ES"/>
        </w:rPr>
        <w:sectPr w:rsidR="00823AB3" w:rsidRPr="00B237E2" w:rsidSect="005F6817">
          <w:headerReference w:type="even" r:id="rId13"/>
          <w:headerReference w:type="default" r:id="rId14"/>
          <w:footerReference w:type="even" r:id="rId15"/>
          <w:footerReference w:type="default" r:id="rId16"/>
          <w:headerReference w:type="first" r:id="rId17"/>
          <w:footerReference w:type="first" r:id="rId18"/>
          <w:pgSz w:w="11907" w:h="16834"/>
          <w:pgMar w:top="1418" w:right="1134" w:bottom="1418" w:left="1134" w:header="720" w:footer="720" w:gutter="0"/>
          <w:paperSrc w:first="15" w:other="15"/>
          <w:pgNumType w:fmt="lowerRoman"/>
          <w:cols w:space="720"/>
          <w:titlePg/>
        </w:sectPr>
      </w:pPr>
    </w:p>
    <w:p w14:paraId="031BBEB2" w14:textId="77777777" w:rsidR="00823AB3" w:rsidRPr="00B237E2" w:rsidRDefault="00823AB3" w:rsidP="00E124B0">
      <w:pPr>
        <w:pStyle w:val="Heading1"/>
        <w:tabs>
          <w:tab w:val="center" w:pos="4819"/>
        </w:tabs>
        <w:rPr>
          <w:lang w:val="es-ES"/>
        </w:rPr>
      </w:pPr>
      <w:bookmarkStart w:id="14" w:name="_Toc41289272"/>
      <w:bookmarkStart w:id="15" w:name="_Toc41289414"/>
      <w:bookmarkStart w:id="16" w:name="_Toc97821259"/>
      <w:r w:rsidRPr="00B237E2">
        <w:rPr>
          <w:lang w:val="es-ES"/>
        </w:rPr>
        <w:lastRenderedPageBreak/>
        <w:t>1</w:t>
      </w:r>
      <w:r w:rsidRPr="00B237E2">
        <w:rPr>
          <w:lang w:val="es-ES"/>
        </w:rPr>
        <w:tab/>
        <w:t>Temas de trabajo principales</w:t>
      </w:r>
      <w:bookmarkEnd w:id="14"/>
      <w:bookmarkEnd w:id="15"/>
      <w:bookmarkEnd w:id="16"/>
    </w:p>
    <w:p w14:paraId="5A6F7786" w14:textId="01056099" w:rsidR="00823AB3" w:rsidRPr="00B237E2" w:rsidRDefault="00823AB3" w:rsidP="00E124B0">
      <w:pPr>
        <w:pStyle w:val="Heading2"/>
        <w:rPr>
          <w:lang w:val="es-ES"/>
        </w:rPr>
      </w:pPr>
      <w:bookmarkStart w:id="17" w:name="_1.1_CMR-19_y"/>
      <w:bookmarkStart w:id="18" w:name="Section_1_1"/>
      <w:bookmarkStart w:id="19" w:name="_Toc41289273"/>
      <w:bookmarkStart w:id="20" w:name="_Toc41289415"/>
      <w:bookmarkStart w:id="21" w:name="_Toc97821260"/>
      <w:bookmarkEnd w:id="17"/>
      <w:bookmarkEnd w:id="18"/>
      <w:r w:rsidRPr="00B237E2">
        <w:rPr>
          <w:lang w:val="es-ES"/>
        </w:rPr>
        <w:t>1.1</w:t>
      </w:r>
      <w:r w:rsidRPr="00B237E2">
        <w:rPr>
          <w:lang w:val="es-ES"/>
        </w:rPr>
        <w:tab/>
        <w:t>CMR-19 y AR-19</w:t>
      </w:r>
      <w:bookmarkEnd w:id="19"/>
      <w:bookmarkEnd w:id="20"/>
      <w:r w:rsidR="00011FF2">
        <w:rPr>
          <w:lang w:val="es-ES"/>
        </w:rPr>
        <w:t xml:space="preserve"> </w:t>
      </w:r>
      <w:r w:rsidR="00011FF2" w:rsidRPr="00011FF2">
        <w:rPr>
          <w:lang w:val="es-ES"/>
        </w:rPr>
        <w:t>–</w:t>
      </w:r>
      <w:r w:rsidRPr="00B237E2">
        <w:rPr>
          <w:lang w:val="es-ES"/>
        </w:rPr>
        <w:t xml:space="preserve"> </w:t>
      </w:r>
      <w:r w:rsidR="00094A28" w:rsidRPr="00B237E2">
        <w:rPr>
          <w:lang w:val="es-ES"/>
        </w:rPr>
        <w:t>Establecimiento del marco mundial de las tecnologías de radiocomunicaciones</w:t>
      </w:r>
      <w:bookmarkEnd w:id="21"/>
    </w:p>
    <w:p w14:paraId="014926C1" w14:textId="4F6F5B56" w:rsidR="00823AB3" w:rsidRPr="00B237E2" w:rsidRDefault="00823AB3" w:rsidP="00E124B0">
      <w:pPr>
        <w:pStyle w:val="Headingb"/>
        <w:rPr>
          <w:lang w:val="es-ES"/>
        </w:rPr>
      </w:pPr>
      <w:r w:rsidRPr="00B237E2">
        <w:rPr>
          <w:lang w:val="es-ES"/>
        </w:rPr>
        <w:t>Conferencia Mundial de Radiocomunicaciones de 2019</w:t>
      </w:r>
      <w:r w:rsidR="001776A3">
        <w:rPr>
          <w:lang w:val="es-ES"/>
        </w:rPr>
        <w:t xml:space="preserve"> </w:t>
      </w:r>
      <w:r w:rsidR="001776A3" w:rsidRPr="00392A9C">
        <w:rPr>
          <w:lang w:val="es-ES"/>
        </w:rPr>
        <w:t>(CMR-19)</w:t>
      </w:r>
    </w:p>
    <w:p w14:paraId="3E1363BE" w14:textId="6B54B2BB" w:rsidR="00823AB3" w:rsidRPr="00B237E2" w:rsidRDefault="00823AB3" w:rsidP="00E124B0">
      <w:pPr>
        <w:rPr>
          <w:lang w:val="es-ES"/>
        </w:rPr>
      </w:pPr>
      <w:r w:rsidRPr="00B237E2">
        <w:rPr>
          <w:lang w:val="es-ES"/>
        </w:rPr>
        <w:t xml:space="preserve">Con arreglo a lo dispuesto en la Resolución 809 (CMR-15), y de conformidad con la Resolución 1380 (C16, modificada en C17) del Consejo, la Conferencia Mundial de Radiocomunicaciones de 2019 (CMR-19) </w:t>
      </w:r>
      <w:r w:rsidR="00BE07E8" w:rsidRPr="00B237E2">
        <w:rPr>
          <w:lang w:val="es-ES"/>
        </w:rPr>
        <w:t>tuvo lugar</w:t>
      </w:r>
      <w:r w:rsidRPr="00B237E2">
        <w:rPr>
          <w:lang w:val="es-ES"/>
        </w:rPr>
        <w:t xml:space="preserve"> en Sharm el-Sheikh (Egipto) del 28 de octubre al 22 de noviembre de 2019</w:t>
      </w:r>
      <w:r w:rsidR="00094A28" w:rsidRPr="00B237E2">
        <w:rPr>
          <w:lang w:val="es-ES"/>
        </w:rPr>
        <w:t>, y asistieron a la misma</w:t>
      </w:r>
      <w:r w:rsidRPr="00B237E2">
        <w:rPr>
          <w:lang w:val="es-ES"/>
        </w:rPr>
        <w:t xml:space="preserve"> 3 420 participantes en representación de 163 Estados Miembros y 129 </w:t>
      </w:r>
      <w:r w:rsidR="000342BA" w:rsidRPr="00B237E2">
        <w:rPr>
          <w:lang w:val="es-ES"/>
        </w:rPr>
        <w:t xml:space="preserve">organizaciones </w:t>
      </w:r>
      <w:r w:rsidRPr="00B237E2">
        <w:rPr>
          <w:lang w:val="es-ES"/>
        </w:rPr>
        <w:t>observador</w:t>
      </w:r>
      <w:r w:rsidR="000342BA" w:rsidRPr="00B237E2">
        <w:rPr>
          <w:lang w:val="es-ES"/>
        </w:rPr>
        <w:t>a</w:t>
      </w:r>
      <w:r w:rsidRPr="00B237E2">
        <w:rPr>
          <w:lang w:val="es-ES"/>
        </w:rPr>
        <w:t>s.</w:t>
      </w:r>
      <w:bookmarkStart w:id="22" w:name="_Hlk33781756"/>
      <w:r w:rsidR="00EC6AD2" w:rsidRPr="00B237E2">
        <w:rPr>
          <w:lang w:val="es-ES"/>
        </w:rPr>
        <w:t xml:space="preserve"> Sus principales conclusiones figuran en </w:t>
      </w:r>
      <w:bookmarkEnd w:id="22"/>
      <w:r w:rsidR="00EC6AD2" w:rsidRPr="00B237E2">
        <w:rPr>
          <w:lang w:val="es-ES"/>
        </w:rPr>
        <w:t>las</w:t>
      </w:r>
      <w:r w:rsidRPr="00B237E2">
        <w:rPr>
          <w:lang w:val="es-ES"/>
        </w:rPr>
        <w:t xml:space="preserve"> </w:t>
      </w:r>
      <w:hyperlink r:id="rId19" w:history="1">
        <w:r w:rsidRPr="00B237E2">
          <w:rPr>
            <w:rStyle w:val="Hyperlink"/>
            <w:lang w:val="es-ES"/>
          </w:rPr>
          <w:t>Actas Finales de la CMR-19</w:t>
        </w:r>
      </w:hyperlink>
      <w:r w:rsidRPr="00B237E2">
        <w:rPr>
          <w:lang w:val="es-ES"/>
        </w:rPr>
        <w:t xml:space="preserve">. Toda la información </w:t>
      </w:r>
      <w:r w:rsidR="00EC6AD2" w:rsidRPr="00B237E2">
        <w:rPr>
          <w:lang w:val="es-ES"/>
        </w:rPr>
        <w:t>conexa</w:t>
      </w:r>
      <w:r w:rsidRPr="00B237E2">
        <w:rPr>
          <w:lang w:val="es-ES"/>
        </w:rPr>
        <w:t xml:space="preserve"> puede consultarse en </w:t>
      </w:r>
      <w:r w:rsidR="00EC6AD2" w:rsidRPr="00B237E2">
        <w:rPr>
          <w:lang w:val="es-ES"/>
        </w:rPr>
        <w:t>el sitio web siguiente:</w:t>
      </w:r>
      <w:r w:rsidRPr="00B237E2">
        <w:rPr>
          <w:lang w:val="es-ES"/>
        </w:rPr>
        <w:t xml:space="preserve"> </w:t>
      </w:r>
      <w:hyperlink r:id="rId20" w:history="1">
        <w:r w:rsidRPr="00B237E2">
          <w:rPr>
            <w:rStyle w:val="Hyperlink"/>
            <w:lang w:val="es-ES"/>
          </w:rPr>
          <w:t>www.itu.int/go/WRC-19</w:t>
        </w:r>
      </w:hyperlink>
      <w:r w:rsidRPr="00B237E2">
        <w:rPr>
          <w:lang w:val="es-ES"/>
        </w:rPr>
        <w:t>.</w:t>
      </w:r>
    </w:p>
    <w:p w14:paraId="08E650D6" w14:textId="77777777" w:rsidR="00823AB3" w:rsidRPr="00B237E2" w:rsidRDefault="00823AB3" w:rsidP="00E124B0">
      <w:pPr>
        <w:pStyle w:val="Headingb"/>
        <w:rPr>
          <w:b w:val="0"/>
          <w:bCs/>
          <w:u w:val="single"/>
          <w:lang w:val="es-ES"/>
        </w:rPr>
      </w:pPr>
      <w:bookmarkStart w:id="23" w:name="lt_pId231"/>
      <w:r w:rsidRPr="00B237E2">
        <w:rPr>
          <w:b w:val="0"/>
          <w:bCs/>
          <w:u w:val="single"/>
          <w:lang w:val="es-ES"/>
        </w:rPr>
        <w:t>Resultados principales de la CMR-19</w:t>
      </w:r>
      <w:bookmarkEnd w:id="23"/>
    </w:p>
    <w:p w14:paraId="06B7DFF0" w14:textId="77777777" w:rsidR="00823AB3" w:rsidRPr="00B237E2" w:rsidRDefault="00823AB3" w:rsidP="00E124B0">
      <w:pPr>
        <w:rPr>
          <w:lang w:val="es-ES"/>
        </w:rPr>
      </w:pPr>
      <w:bookmarkStart w:id="24" w:name="lt_pId232"/>
      <w:r w:rsidRPr="00B237E2">
        <w:rPr>
          <w:lang w:val="es-ES"/>
        </w:rPr>
        <w:t>La CMR-19 abordó más de 36 temas relacionados con la atribución y la compartición de frecuencias para la utilización eficaz del espectro y los recursos orbitales. A continuación, se exponen los resultados principales de la CMR-19</w:t>
      </w:r>
      <w:bookmarkEnd w:id="24"/>
      <w:r w:rsidRPr="00B237E2">
        <w:rPr>
          <w:lang w:val="es-ES"/>
        </w:rPr>
        <w:t>.</w:t>
      </w:r>
    </w:p>
    <w:p w14:paraId="5716A485" w14:textId="5247B6A5" w:rsidR="00823AB3" w:rsidRPr="00B237E2" w:rsidRDefault="0077163E" w:rsidP="0077163E">
      <w:pPr>
        <w:pStyle w:val="enumlev1"/>
        <w:rPr>
          <w:lang w:val="es-ES"/>
        </w:rPr>
      </w:pPr>
      <w:r w:rsidRPr="0077163E">
        <w:rPr>
          <w:lang w:val="es-ES"/>
        </w:rPr>
        <w:t>•</w:t>
      </w:r>
      <w:r>
        <w:rPr>
          <w:lang w:val="es-ES"/>
        </w:rPr>
        <w:tab/>
      </w:r>
      <w:r w:rsidR="00823AB3" w:rsidRPr="00B237E2">
        <w:rPr>
          <w:lang w:val="es-ES"/>
        </w:rPr>
        <w:t>Comunicaciones móviles y fijas de banda ancha</w:t>
      </w:r>
    </w:p>
    <w:p w14:paraId="1AB27436" w14:textId="36B1D95C" w:rsidR="00823AB3" w:rsidRPr="00B237E2" w:rsidRDefault="00CF7C5C" w:rsidP="00CF7C5C">
      <w:pPr>
        <w:pStyle w:val="enumlev1"/>
        <w:rPr>
          <w:lang w:val="es-ES"/>
        </w:rPr>
      </w:pPr>
      <w:bookmarkStart w:id="25" w:name="lt_pId236"/>
      <w:r>
        <w:rPr>
          <w:lang w:val="es-ES"/>
        </w:rPr>
        <w:tab/>
      </w:r>
      <w:r w:rsidR="00823AB3" w:rsidRPr="00B237E2">
        <w:rPr>
          <w:lang w:val="es-ES"/>
        </w:rPr>
        <w:t>Para satisfacer las necesidades de las IMT-2020/5G en términos de espectro de ondas milimétricas, la CMR-19 identificó 17,25 GHz de espectro adicional para las IMT en frecuencias comprendidas entre 24 GHz y 71 GHz, de l</w:t>
      </w:r>
      <w:r w:rsidR="00E52776" w:rsidRPr="00B237E2">
        <w:rPr>
          <w:lang w:val="es-ES"/>
        </w:rPr>
        <w:t>a</w:t>
      </w:r>
      <w:r w:rsidR="00823AB3" w:rsidRPr="00B237E2">
        <w:rPr>
          <w:lang w:val="es-ES"/>
        </w:rPr>
        <w:t xml:space="preserve">s cuales el 86 por ciento se armonizó a escala mundial. </w:t>
      </w:r>
      <w:r w:rsidR="00F527CF" w:rsidRPr="00B237E2">
        <w:rPr>
          <w:lang w:val="es-ES"/>
        </w:rPr>
        <w:t>Se identificaron l</w:t>
      </w:r>
      <w:r w:rsidR="00823AB3" w:rsidRPr="00B237E2">
        <w:rPr>
          <w:lang w:val="es-ES"/>
        </w:rPr>
        <w:t xml:space="preserve">as bandas de frecuencias </w:t>
      </w:r>
      <w:r w:rsidR="00E52776" w:rsidRPr="00B237E2">
        <w:rPr>
          <w:lang w:val="es-ES"/>
        </w:rPr>
        <w:t xml:space="preserve">suplementarias </w:t>
      </w:r>
      <w:r w:rsidR="00823AB3" w:rsidRPr="00B237E2">
        <w:rPr>
          <w:lang w:val="es-ES"/>
        </w:rPr>
        <w:t>24,25-27,5 GHz, 37-43,5 GHz y 66</w:t>
      </w:r>
      <w:r w:rsidR="005B6938">
        <w:rPr>
          <w:lang w:val="es-ES"/>
        </w:rPr>
        <w:noBreakHyphen/>
      </w:r>
      <w:r w:rsidR="00823AB3" w:rsidRPr="00B237E2">
        <w:rPr>
          <w:lang w:val="es-ES"/>
        </w:rPr>
        <w:t xml:space="preserve">71 GHz, con identificaciones </w:t>
      </w:r>
      <w:r w:rsidR="00F527CF" w:rsidRPr="00B237E2">
        <w:rPr>
          <w:lang w:val="es-ES"/>
        </w:rPr>
        <w:t>a escalas regional y nacional</w:t>
      </w:r>
      <w:r w:rsidR="00823AB3" w:rsidRPr="00B237E2">
        <w:rPr>
          <w:lang w:val="es-ES"/>
        </w:rPr>
        <w:t xml:space="preserve"> en las bandas 45,5-47 GHz y 47,2</w:t>
      </w:r>
      <w:r w:rsidR="005B6938">
        <w:rPr>
          <w:lang w:val="es-ES"/>
        </w:rPr>
        <w:noBreakHyphen/>
      </w:r>
      <w:r w:rsidR="00823AB3" w:rsidRPr="00B237E2">
        <w:rPr>
          <w:lang w:val="es-ES"/>
        </w:rPr>
        <w:t>48,2 GHz</w:t>
      </w:r>
      <w:bookmarkEnd w:id="25"/>
      <w:r w:rsidR="00823AB3" w:rsidRPr="00B237E2">
        <w:rPr>
          <w:lang w:val="es-ES"/>
        </w:rPr>
        <w:t>.</w:t>
      </w:r>
    </w:p>
    <w:p w14:paraId="4B20F2B0" w14:textId="5FEC67ED" w:rsidR="00823AB3" w:rsidRPr="00B237E2" w:rsidRDefault="00CF7C5C" w:rsidP="00CF7C5C">
      <w:pPr>
        <w:pStyle w:val="enumlev1"/>
        <w:rPr>
          <w:lang w:val="es-ES"/>
        </w:rPr>
      </w:pPr>
      <w:bookmarkStart w:id="26" w:name="lt_pId238"/>
      <w:r>
        <w:rPr>
          <w:lang w:val="es-ES"/>
        </w:rPr>
        <w:tab/>
      </w:r>
      <w:r w:rsidR="00F527CF" w:rsidRPr="00B237E2">
        <w:rPr>
          <w:lang w:val="es-ES"/>
        </w:rPr>
        <w:t>L</w:t>
      </w:r>
      <w:r w:rsidR="00823AB3" w:rsidRPr="00B237E2">
        <w:rPr>
          <w:lang w:val="es-ES"/>
        </w:rPr>
        <w:t xml:space="preserve">a CMR-19 actualizó la Resolución 750 </w:t>
      </w:r>
      <w:r w:rsidR="00E97C37" w:rsidRPr="00B237E2">
        <w:rPr>
          <w:lang w:val="es-ES"/>
        </w:rPr>
        <w:t xml:space="preserve">con objeto de fijar límites </w:t>
      </w:r>
      <w:r w:rsidR="00823AB3" w:rsidRPr="00B237E2">
        <w:rPr>
          <w:lang w:val="es-ES"/>
        </w:rPr>
        <w:t xml:space="preserve">de potencia de </w:t>
      </w:r>
      <w:r w:rsidR="00E97C37" w:rsidRPr="00B237E2">
        <w:rPr>
          <w:lang w:val="es-ES"/>
        </w:rPr>
        <w:t>las emisiones no deseadas</w:t>
      </w:r>
      <w:r w:rsidR="00823AB3" w:rsidRPr="00B237E2">
        <w:rPr>
          <w:lang w:val="es-ES"/>
        </w:rPr>
        <w:t xml:space="preserve"> de los sistemas IMT en la banda 24,25-27,5 GHz. </w:t>
      </w:r>
      <w:r w:rsidR="003931C7" w:rsidRPr="00B237E2">
        <w:rPr>
          <w:lang w:val="es-ES"/>
        </w:rPr>
        <w:t>S</w:t>
      </w:r>
      <w:r w:rsidR="00823AB3" w:rsidRPr="00B237E2">
        <w:rPr>
          <w:lang w:val="es-ES"/>
        </w:rPr>
        <w:t xml:space="preserve">e </w:t>
      </w:r>
      <w:r w:rsidR="003931C7" w:rsidRPr="00B237E2">
        <w:rPr>
          <w:lang w:val="es-ES"/>
        </w:rPr>
        <w:t>estableció</w:t>
      </w:r>
      <w:r w:rsidR="00823AB3" w:rsidRPr="00B237E2">
        <w:rPr>
          <w:lang w:val="es-ES"/>
        </w:rPr>
        <w:t xml:space="preserve"> un límite de potencia de emisiones no deseadas más estricto para los sistemas IMT desplegados </w:t>
      </w:r>
      <w:r w:rsidR="0055641F" w:rsidRPr="00B237E2">
        <w:rPr>
          <w:lang w:val="es-ES"/>
        </w:rPr>
        <w:t>después</w:t>
      </w:r>
      <w:r w:rsidR="00823AB3" w:rsidRPr="00B237E2">
        <w:rPr>
          <w:lang w:val="es-ES"/>
        </w:rPr>
        <w:t xml:space="preserve"> del 1 de septiembre de 2027.</w:t>
      </w:r>
      <w:bookmarkEnd w:id="26"/>
    </w:p>
    <w:p w14:paraId="4A0B372F" w14:textId="0B5BD035" w:rsidR="00823AB3" w:rsidRPr="00B237E2" w:rsidRDefault="00CF7C5C" w:rsidP="00CF7C5C">
      <w:pPr>
        <w:pStyle w:val="enumlev1"/>
        <w:rPr>
          <w:lang w:val="es-ES"/>
        </w:rPr>
      </w:pPr>
      <w:bookmarkStart w:id="27" w:name="lt_pId240"/>
      <w:r>
        <w:rPr>
          <w:lang w:val="es-ES"/>
        </w:rPr>
        <w:tab/>
      </w:r>
      <w:r w:rsidR="00823AB3" w:rsidRPr="00B237E2">
        <w:rPr>
          <w:lang w:val="es-ES"/>
        </w:rPr>
        <w:t>La CMR-19 modificó las condiciones reglamentarias aplicables a los sistemas de acceso inalámbrico, incluidas las redes radioeléctricas de área local (WAS/RLAN) en la banda de frecuencias 5 150-5 250 MHz</w:t>
      </w:r>
      <w:r w:rsidR="00B744AD" w:rsidRPr="00B237E2">
        <w:rPr>
          <w:lang w:val="es-ES"/>
        </w:rPr>
        <w:t xml:space="preserve">, a fin de facilitar la utilización de </w:t>
      </w:r>
      <w:r w:rsidR="00823AB3" w:rsidRPr="00B237E2">
        <w:rPr>
          <w:lang w:val="es-ES"/>
        </w:rPr>
        <w:t xml:space="preserve">dispositivos Wi-Fi en trenes y </w:t>
      </w:r>
      <w:r w:rsidR="00B744AD" w:rsidRPr="00B237E2">
        <w:rPr>
          <w:lang w:val="es-ES"/>
        </w:rPr>
        <w:t>vehículos</w:t>
      </w:r>
      <w:r w:rsidR="00823AB3" w:rsidRPr="00B237E2">
        <w:rPr>
          <w:lang w:val="es-ES"/>
        </w:rPr>
        <w:t xml:space="preserve">. </w:t>
      </w:r>
      <w:r w:rsidR="007B5E8E" w:rsidRPr="00B237E2">
        <w:rPr>
          <w:lang w:val="es-ES"/>
        </w:rPr>
        <w:t>Ello</w:t>
      </w:r>
      <w:r w:rsidR="00823AB3" w:rsidRPr="00B237E2">
        <w:rPr>
          <w:lang w:val="es-ES"/>
        </w:rPr>
        <w:t xml:space="preserve"> permite</w:t>
      </w:r>
      <w:r w:rsidR="007B5E8E" w:rsidRPr="00B237E2">
        <w:rPr>
          <w:lang w:val="es-ES"/>
        </w:rPr>
        <w:t xml:space="preserve"> asimismo</w:t>
      </w:r>
      <w:r w:rsidR="00823AB3" w:rsidRPr="00B237E2">
        <w:rPr>
          <w:lang w:val="es-ES"/>
        </w:rPr>
        <w:t xml:space="preserve"> un despliegue limitado de </w:t>
      </w:r>
      <w:r w:rsidR="007B5E8E" w:rsidRPr="00B237E2">
        <w:rPr>
          <w:lang w:val="es-ES"/>
        </w:rPr>
        <w:t xml:space="preserve">redes </w:t>
      </w:r>
      <w:r w:rsidR="00823AB3" w:rsidRPr="00B237E2">
        <w:rPr>
          <w:lang w:val="es-ES"/>
        </w:rPr>
        <w:t xml:space="preserve">WAS/RLAN en exteriores, </w:t>
      </w:r>
      <w:r w:rsidR="007B5E8E" w:rsidRPr="00B237E2">
        <w:rPr>
          <w:lang w:val="es-ES"/>
        </w:rPr>
        <w:t>con</w:t>
      </w:r>
      <w:r w:rsidR="00823AB3" w:rsidRPr="00B237E2">
        <w:rPr>
          <w:lang w:val="es-ES"/>
        </w:rPr>
        <w:t xml:space="preserve"> protección de los servicios espaciales.</w:t>
      </w:r>
      <w:bookmarkEnd w:id="27"/>
    </w:p>
    <w:p w14:paraId="2B50D979" w14:textId="5C4F4450" w:rsidR="00823AB3" w:rsidRPr="00B237E2" w:rsidRDefault="00CF7C5C" w:rsidP="00CF7C5C">
      <w:pPr>
        <w:pStyle w:val="enumlev1"/>
        <w:rPr>
          <w:lang w:val="es-ES"/>
        </w:rPr>
      </w:pPr>
      <w:bookmarkStart w:id="28" w:name="lt_pId243"/>
      <w:r>
        <w:rPr>
          <w:lang w:val="es-ES"/>
        </w:rPr>
        <w:tab/>
      </w:r>
      <w:r w:rsidR="00823AB3" w:rsidRPr="00B237E2">
        <w:rPr>
          <w:lang w:val="es-ES"/>
        </w:rPr>
        <w:t>Se identificaron</w:t>
      </w:r>
      <w:r w:rsidR="007A2352" w:rsidRPr="00B237E2">
        <w:rPr>
          <w:lang w:val="es-ES"/>
        </w:rPr>
        <w:t xml:space="preserve"> varias</w:t>
      </w:r>
      <w:r w:rsidR="00823AB3" w:rsidRPr="00B237E2">
        <w:rPr>
          <w:lang w:val="es-ES"/>
        </w:rPr>
        <w:t xml:space="preserve"> bandas de frecuencias para </w:t>
      </w:r>
      <w:r w:rsidR="007A2352" w:rsidRPr="00B237E2">
        <w:rPr>
          <w:lang w:val="es-ES"/>
        </w:rPr>
        <w:t xml:space="preserve">las </w:t>
      </w:r>
      <w:r w:rsidR="00823AB3" w:rsidRPr="00B237E2">
        <w:rPr>
          <w:lang w:val="es-ES"/>
        </w:rPr>
        <w:t xml:space="preserve">estaciones en plataformas a gran altitud (HAPS) a escala mundial, </w:t>
      </w:r>
      <w:r w:rsidR="00924172" w:rsidRPr="00B237E2">
        <w:rPr>
          <w:lang w:val="es-ES"/>
        </w:rPr>
        <w:t>y</w:t>
      </w:r>
      <w:r w:rsidR="00823AB3" w:rsidRPr="00B237E2">
        <w:rPr>
          <w:lang w:val="es-ES"/>
        </w:rPr>
        <w:t xml:space="preserve"> otras bandas en la Región 2</w:t>
      </w:r>
      <w:r w:rsidR="007A2352" w:rsidRPr="00B237E2">
        <w:rPr>
          <w:lang w:val="es-ES"/>
        </w:rPr>
        <w:t xml:space="preserve"> que abarcan</w:t>
      </w:r>
      <w:r w:rsidR="00823AB3" w:rsidRPr="00B237E2">
        <w:rPr>
          <w:lang w:val="es-ES"/>
        </w:rPr>
        <w:t xml:space="preserve"> 5,25 GHz de espectro</w:t>
      </w:r>
      <w:r w:rsidR="00924172" w:rsidRPr="00B237E2">
        <w:rPr>
          <w:lang w:val="es-ES"/>
        </w:rPr>
        <w:t xml:space="preserve">, a fin de facilitar </w:t>
      </w:r>
      <w:r w:rsidR="00823AB3" w:rsidRPr="00B237E2">
        <w:rPr>
          <w:lang w:val="es-ES"/>
        </w:rPr>
        <w:t xml:space="preserve">el desarrollo de HAPS, ofrecer conectividad de banda ancha </w:t>
      </w:r>
      <w:r w:rsidR="003E61B5" w:rsidRPr="00B237E2">
        <w:rPr>
          <w:lang w:val="es-ES"/>
        </w:rPr>
        <w:t>por un precio</w:t>
      </w:r>
      <w:r w:rsidR="00823AB3" w:rsidRPr="00B237E2">
        <w:rPr>
          <w:lang w:val="es-ES"/>
        </w:rPr>
        <w:t xml:space="preserve"> asequible</w:t>
      </w:r>
      <w:r w:rsidR="007A2352" w:rsidRPr="00B237E2">
        <w:rPr>
          <w:lang w:val="es-ES"/>
        </w:rPr>
        <w:t>,</w:t>
      </w:r>
      <w:r w:rsidR="00823AB3" w:rsidRPr="00B237E2">
        <w:rPr>
          <w:lang w:val="es-ES"/>
        </w:rPr>
        <w:t xml:space="preserve"> tanto a las </w:t>
      </w:r>
      <w:r w:rsidR="007A2352" w:rsidRPr="00B237E2">
        <w:rPr>
          <w:lang w:val="es-ES"/>
        </w:rPr>
        <w:t xml:space="preserve">comunidades insuficientemente atendidas </w:t>
      </w:r>
      <w:r w:rsidR="00823AB3" w:rsidRPr="00B237E2">
        <w:rPr>
          <w:lang w:val="es-ES"/>
        </w:rPr>
        <w:t xml:space="preserve">como a zonas rurales y </w:t>
      </w:r>
      <w:r w:rsidR="003E61B5" w:rsidRPr="00B237E2">
        <w:rPr>
          <w:lang w:val="es-ES"/>
        </w:rPr>
        <w:t>aisladas</w:t>
      </w:r>
      <w:r w:rsidR="00823AB3" w:rsidRPr="00B237E2">
        <w:rPr>
          <w:lang w:val="es-ES"/>
        </w:rPr>
        <w:t xml:space="preserve">, incluidas las zonas montañosas y desérticas. Las HAPS pueden </w:t>
      </w:r>
      <w:r w:rsidR="007B1AD6" w:rsidRPr="00B237E2">
        <w:rPr>
          <w:lang w:val="es-ES"/>
        </w:rPr>
        <w:t>utilizarse asimismo para</w:t>
      </w:r>
      <w:r w:rsidR="00823AB3" w:rsidRPr="00B237E2">
        <w:rPr>
          <w:lang w:val="es-ES"/>
        </w:rPr>
        <w:t xml:space="preserve"> las comunicaciones </w:t>
      </w:r>
      <w:r w:rsidR="007B1AD6" w:rsidRPr="00B237E2">
        <w:rPr>
          <w:lang w:val="es-ES"/>
        </w:rPr>
        <w:t>que facilitan</w:t>
      </w:r>
      <w:r w:rsidR="003E61B5" w:rsidRPr="00B237E2">
        <w:rPr>
          <w:lang w:val="es-ES"/>
        </w:rPr>
        <w:t xml:space="preserve"> la</w:t>
      </w:r>
      <w:r w:rsidR="00823AB3" w:rsidRPr="00B237E2">
        <w:rPr>
          <w:lang w:val="es-ES"/>
        </w:rPr>
        <w:t xml:space="preserve"> recuperación en caso de catástrofe.</w:t>
      </w:r>
    </w:p>
    <w:p w14:paraId="57B3B0CD" w14:textId="67FCA0B4" w:rsidR="00823AB3" w:rsidRPr="00B237E2" w:rsidRDefault="00CF7C5C" w:rsidP="00CF7C5C">
      <w:pPr>
        <w:pStyle w:val="enumlev1"/>
        <w:rPr>
          <w:lang w:val="es-ES"/>
        </w:rPr>
      </w:pPr>
      <w:bookmarkStart w:id="29" w:name="lt_pId246"/>
      <w:bookmarkEnd w:id="28"/>
      <w:r>
        <w:rPr>
          <w:lang w:val="es-ES"/>
        </w:rPr>
        <w:tab/>
      </w:r>
      <w:r w:rsidR="00823AB3" w:rsidRPr="00B237E2">
        <w:rPr>
          <w:lang w:val="es-ES"/>
        </w:rPr>
        <w:t xml:space="preserve">Se identificaron varias bandas </w:t>
      </w:r>
      <w:r w:rsidR="007A2352" w:rsidRPr="00B237E2">
        <w:rPr>
          <w:lang w:val="es-ES"/>
        </w:rPr>
        <w:t>de frecuencias de</w:t>
      </w:r>
      <w:r w:rsidR="00823AB3" w:rsidRPr="00B237E2">
        <w:rPr>
          <w:lang w:val="es-ES"/>
        </w:rPr>
        <w:t xml:space="preserve"> 275 GHz </w:t>
      </w:r>
      <w:r w:rsidR="007A2352" w:rsidRPr="00B237E2">
        <w:rPr>
          <w:lang w:val="es-ES"/>
        </w:rPr>
        <w:t xml:space="preserve">a </w:t>
      </w:r>
      <w:r w:rsidR="00823AB3" w:rsidRPr="00B237E2">
        <w:rPr>
          <w:lang w:val="es-ES"/>
        </w:rPr>
        <w:t xml:space="preserve">450 GHz para los servicios móvil terrestre y fijo, con las condiciones necesarias para proteger las aplicaciones del </w:t>
      </w:r>
      <w:r w:rsidR="00FF4983" w:rsidRPr="00B237E2">
        <w:rPr>
          <w:lang w:val="es-ES"/>
        </w:rPr>
        <w:t>S</w:t>
      </w:r>
      <w:r w:rsidR="00823AB3" w:rsidRPr="00B237E2">
        <w:rPr>
          <w:lang w:val="es-ES"/>
        </w:rPr>
        <w:t xml:space="preserve">ervicio de exploración de la Tierra por satélite (SETS) </w:t>
      </w:r>
      <w:r w:rsidR="00FF4983" w:rsidRPr="00B237E2">
        <w:rPr>
          <w:lang w:val="es-ES"/>
        </w:rPr>
        <w:t>(pasivo)</w:t>
      </w:r>
      <w:r w:rsidR="00823AB3" w:rsidRPr="00B237E2">
        <w:rPr>
          <w:lang w:val="es-ES"/>
        </w:rPr>
        <w:t xml:space="preserve">. </w:t>
      </w:r>
      <w:r w:rsidR="0078217B" w:rsidRPr="00B237E2">
        <w:rPr>
          <w:lang w:val="es-ES"/>
        </w:rPr>
        <w:t>Ello permitirá que</w:t>
      </w:r>
      <w:r w:rsidR="00823AB3" w:rsidRPr="00B237E2">
        <w:rPr>
          <w:lang w:val="es-ES"/>
        </w:rPr>
        <w:t xml:space="preserve"> </w:t>
      </w:r>
      <w:r w:rsidR="0078217B" w:rsidRPr="00B237E2">
        <w:rPr>
          <w:lang w:val="es-ES"/>
        </w:rPr>
        <w:t xml:space="preserve">la velocidad de transmisión de datos de </w:t>
      </w:r>
      <w:r w:rsidR="00823AB3" w:rsidRPr="00B237E2">
        <w:rPr>
          <w:lang w:val="es-ES"/>
        </w:rPr>
        <w:t xml:space="preserve">los sistemas fijo y móvil </w:t>
      </w:r>
      <w:r w:rsidR="0078217B" w:rsidRPr="00B237E2">
        <w:rPr>
          <w:lang w:val="es-ES"/>
        </w:rPr>
        <w:t>rebase</w:t>
      </w:r>
      <w:r w:rsidR="00823AB3" w:rsidRPr="00B237E2">
        <w:rPr>
          <w:lang w:val="es-ES"/>
        </w:rPr>
        <w:t xml:space="preserve"> los 100 Gbit/s</w:t>
      </w:r>
      <w:r w:rsidR="0078217B" w:rsidRPr="00B237E2">
        <w:rPr>
          <w:lang w:val="es-ES"/>
        </w:rPr>
        <w:t xml:space="preserve"> en el futuro</w:t>
      </w:r>
      <w:r w:rsidR="00823AB3" w:rsidRPr="00B237E2">
        <w:rPr>
          <w:lang w:val="es-ES"/>
        </w:rPr>
        <w:t>.</w:t>
      </w:r>
    </w:p>
    <w:bookmarkEnd w:id="29"/>
    <w:p w14:paraId="23928B01" w14:textId="216B13CB" w:rsidR="00823AB3" w:rsidRPr="00630E20" w:rsidRDefault="0077163E" w:rsidP="0077163E">
      <w:pPr>
        <w:pStyle w:val="enumlev1"/>
        <w:rPr>
          <w:lang w:val="es-ES"/>
        </w:rPr>
      </w:pPr>
      <w:r w:rsidRPr="00135847">
        <w:rPr>
          <w:lang w:val="es-ES"/>
        </w:rPr>
        <w:lastRenderedPageBreak/>
        <w:t>•</w:t>
      </w:r>
      <w:r w:rsidRPr="00135847">
        <w:rPr>
          <w:lang w:val="es-ES"/>
        </w:rPr>
        <w:tab/>
      </w:r>
      <w:r w:rsidR="00823AB3" w:rsidRPr="00135847">
        <w:rPr>
          <w:lang w:val="es-ES"/>
        </w:rPr>
        <w:t>Servicio de radioaficionados</w:t>
      </w:r>
    </w:p>
    <w:p w14:paraId="47EB79BB" w14:textId="61AE0BF4" w:rsidR="00823AB3" w:rsidRPr="00B237E2" w:rsidRDefault="00CF7C5C" w:rsidP="00CF7C5C">
      <w:pPr>
        <w:pStyle w:val="enumlev1"/>
        <w:rPr>
          <w:lang w:val="es-ES"/>
        </w:rPr>
      </w:pPr>
      <w:bookmarkStart w:id="30" w:name="lt_pId251"/>
      <w:r>
        <w:rPr>
          <w:lang w:val="es-ES"/>
        </w:rPr>
        <w:tab/>
      </w:r>
      <w:r w:rsidR="00823AB3" w:rsidRPr="00B237E2">
        <w:rPr>
          <w:lang w:val="es-ES"/>
        </w:rPr>
        <w:t>La CMR-19 efectuó atribuciones al servicio de aficionados a título secundario en la banda de frecuencias 50-52 MHz en la Región 1</w:t>
      </w:r>
      <w:r w:rsidR="001F6BA9" w:rsidRPr="00B237E2">
        <w:rPr>
          <w:lang w:val="es-ES"/>
        </w:rPr>
        <w:t xml:space="preserve"> (R1)</w:t>
      </w:r>
      <w:r w:rsidR="00823AB3" w:rsidRPr="00B237E2">
        <w:rPr>
          <w:lang w:val="es-ES"/>
        </w:rPr>
        <w:t>, con las condiciones necesarias para proteger los servicios existentes. En algunos países de la Región 1, la totalidad o parte de la banda de frecuencias 50</w:t>
      </w:r>
      <w:r w:rsidR="00823AB3" w:rsidRPr="00B237E2">
        <w:rPr>
          <w:lang w:val="es-ES"/>
        </w:rPr>
        <w:noBreakHyphen/>
        <w:t xml:space="preserve">54 MHz está atribuida a título primario al servicio de </w:t>
      </w:r>
      <w:r w:rsidR="0098564F" w:rsidRPr="00B237E2">
        <w:rPr>
          <w:lang w:val="es-ES"/>
        </w:rPr>
        <w:t>radio</w:t>
      </w:r>
      <w:r w:rsidR="00823AB3" w:rsidRPr="00B237E2">
        <w:rPr>
          <w:lang w:val="es-ES"/>
        </w:rPr>
        <w:t>aficionados</w:t>
      </w:r>
      <w:r w:rsidR="0098564F" w:rsidRPr="00B237E2">
        <w:rPr>
          <w:lang w:val="es-ES"/>
        </w:rPr>
        <w:t xml:space="preserve">, a fin de concluir </w:t>
      </w:r>
      <w:r w:rsidR="00823AB3" w:rsidRPr="00B237E2">
        <w:rPr>
          <w:lang w:val="es-ES"/>
        </w:rPr>
        <w:t>la armonización del espectro en las tres Regiones.</w:t>
      </w:r>
      <w:bookmarkEnd w:id="30"/>
    </w:p>
    <w:p w14:paraId="2FA9E901" w14:textId="63AABC2B" w:rsidR="00823AB3" w:rsidRPr="00B237E2" w:rsidRDefault="0077163E" w:rsidP="0077163E">
      <w:pPr>
        <w:pStyle w:val="enumlev1"/>
        <w:rPr>
          <w:u w:val="single"/>
          <w:lang w:val="es-ES"/>
        </w:rPr>
      </w:pPr>
      <w:r w:rsidRPr="00135847">
        <w:rPr>
          <w:lang w:val="es-ES"/>
        </w:rPr>
        <w:t>•</w:t>
      </w:r>
      <w:r w:rsidRPr="00135847">
        <w:rPr>
          <w:lang w:val="es-ES"/>
        </w:rPr>
        <w:tab/>
      </w:r>
      <w:r w:rsidR="00823AB3" w:rsidRPr="00135847">
        <w:rPr>
          <w:lang w:val="es-ES"/>
        </w:rPr>
        <w:t>Radiocomunicaciones para sistemas de transporte</w:t>
      </w:r>
      <w:r w:rsidR="00C046AF" w:rsidRPr="00135847">
        <w:rPr>
          <w:lang w:val="es-ES"/>
        </w:rPr>
        <w:t xml:space="preserve"> y sistemas de transporte inteligentes (STI)</w:t>
      </w:r>
    </w:p>
    <w:p w14:paraId="245C9EB0" w14:textId="6D0D856D" w:rsidR="00823AB3" w:rsidRPr="00B237E2" w:rsidRDefault="00CF7C5C" w:rsidP="00CF7C5C">
      <w:pPr>
        <w:pStyle w:val="enumlev1"/>
        <w:rPr>
          <w:lang w:val="es-ES"/>
        </w:rPr>
      </w:pPr>
      <w:bookmarkStart w:id="31" w:name="lt_pId257"/>
      <w:r>
        <w:rPr>
          <w:lang w:val="es-ES"/>
        </w:rPr>
        <w:tab/>
      </w:r>
      <w:r w:rsidR="00823AB3" w:rsidRPr="00B237E2">
        <w:rPr>
          <w:lang w:val="es-ES"/>
        </w:rPr>
        <w:t>La CMR-19 adoptó una Resolución sobre los sistemas de radiocomunicaciones ferroviarias entre el tren y la infraestructura ferroviaria (RSTT</w:t>
      </w:r>
      <w:r w:rsidR="00C046AF" w:rsidRPr="00B237E2">
        <w:rPr>
          <w:lang w:val="es-ES"/>
        </w:rPr>
        <w:t>)</w:t>
      </w:r>
      <w:r w:rsidR="00823AB3" w:rsidRPr="00B237E2">
        <w:rPr>
          <w:lang w:val="es-ES"/>
        </w:rPr>
        <w:t xml:space="preserve">. </w:t>
      </w:r>
      <w:r w:rsidR="00C046AF" w:rsidRPr="00B237E2">
        <w:rPr>
          <w:lang w:val="es-ES"/>
        </w:rPr>
        <w:t>Dicha</w:t>
      </w:r>
      <w:r w:rsidR="00823AB3" w:rsidRPr="00B237E2">
        <w:rPr>
          <w:lang w:val="es-ES"/>
        </w:rPr>
        <w:t xml:space="preserve"> Resolución contribuye a la armonización </w:t>
      </w:r>
      <w:r w:rsidR="00C046AF" w:rsidRPr="00B237E2">
        <w:rPr>
          <w:lang w:val="es-ES"/>
        </w:rPr>
        <w:t xml:space="preserve">a escalas </w:t>
      </w:r>
      <w:r w:rsidR="00823AB3" w:rsidRPr="00B237E2">
        <w:rPr>
          <w:lang w:val="es-ES"/>
        </w:rPr>
        <w:t xml:space="preserve">mundial y regional de las aplicaciones de los RSTT y </w:t>
      </w:r>
      <w:r w:rsidR="00BA49FA" w:rsidRPr="00B237E2">
        <w:rPr>
          <w:lang w:val="es-ES"/>
        </w:rPr>
        <w:t>facilita</w:t>
      </w:r>
      <w:r w:rsidR="00823AB3" w:rsidRPr="00B237E2">
        <w:rPr>
          <w:lang w:val="es-ES"/>
        </w:rPr>
        <w:t xml:space="preserve"> las economías de escala y la interoperabilidad.</w:t>
      </w:r>
      <w:bookmarkEnd w:id="31"/>
    </w:p>
    <w:p w14:paraId="104078D1" w14:textId="3AC4951E" w:rsidR="00823AB3" w:rsidRPr="00B237E2" w:rsidRDefault="00CF7C5C" w:rsidP="00CF7C5C">
      <w:pPr>
        <w:pStyle w:val="enumlev1"/>
        <w:rPr>
          <w:lang w:val="es-ES"/>
        </w:rPr>
      </w:pPr>
      <w:bookmarkStart w:id="32" w:name="lt_pId261"/>
      <w:r>
        <w:rPr>
          <w:lang w:val="es-ES"/>
        </w:rPr>
        <w:tab/>
      </w:r>
      <w:r w:rsidR="00823AB3" w:rsidRPr="00B237E2">
        <w:rPr>
          <w:lang w:val="es-ES"/>
        </w:rPr>
        <w:t xml:space="preserve">La CMR-19 adoptó una nueva Recomendación en la que se recomienda que las administraciones </w:t>
      </w:r>
      <w:r w:rsidR="00BA49FA" w:rsidRPr="00B237E2">
        <w:rPr>
          <w:lang w:val="es-ES"/>
        </w:rPr>
        <w:t>estudien</w:t>
      </w:r>
      <w:r w:rsidR="00823AB3" w:rsidRPr="00B237E2">
        <w:rPr>
          <w:lang w:val="es-ES"/>
        </w:rPr>
        <w:t xml:space="preserve"> la posibilidad de utilizar las bandas de</w:t>
      </w:r>
      <w:r w:rsidR="00135847">
        <w:rPr>
          <w:lang w:val="es-ES"/>
        </w:rPr>
        <w:t xml:space="preserve"> </w:t>
      </w:r>
      <w:r w:rsidR="00823AB3" w:rsidRPr="00B237E2">
        <w:rPr>
          <w:lang w:val="es-ES"/>
        </w:rPr>
        <w:t>frecuencias armonizadas que se indican en las Recomendaciones pertinentes (por ejemplo, UIT</w:t>
      </w:r>
      <w:r w:rsidR="00823AB3" w:rsidRPr="00B237E2">
        <w:rPr>
          <w:lang w:val="es-ES"/>
        </w:rPr>
        <w:noBreakHyphen/>
        <w:t xml:space="preserve">R M.2121), cuando planifiquen y desplieguen aplicaciones de STI evolutivos. </w:t>
      </w:r>
      <w:r w:rsidR="00BA49FA" w:rsidRPr="00B237E2">
        <w:rPr>
          <w:lang w:val="es-ES"/>
        </w:rPr>
        <w:t>Dicha</w:t>
      </w:r>
      <w:r w:rsidR="00823AB3" w:rsidRPr="00B237E2">
        <w:rPr>
          <w:lang w:val="es-ES"/>
        </w:rPr>
        <w:t xml:space="preserve"> Recomendación </w:t>
      </w:r>
      <w:r w:rsidR="00BA49FA" w:rsidRPr="00B237E2">
        <w:rPr>
          <w:lang w:val="es-ES"/>
        </w:rPr>
        <w:t xml:space="preserve">facilita </w:t>
      </w:r>
      <w:r w:rsidR="00823AB3" w:rsidRPr="00B237E2">
        <w:rPr>
          <w:lang w:val="es-ES"/>
        </w:rPr>
        <w:t xml:space="preserve">la armonización </w:t>
      </w:r>
      <w:r w:rsidR="00BA49FA" w:rsidRPr="00B237E2">
        <w:rPr>
          <w:lang w:val="es-ES"/>
        </w:rPr>
        <w:t xml:space="preserve">a escalas </w:t>
      </w:r>
      <w:r w:rsidR="00823AB3" w:rsidRPr="00B237E2">
        <w:rPr>
          <w:lang w:val="es-ES"/>
        </w:rPr>
        <w:t>mundial y regional de las aplicaciones de los STI</w:t>
      </w:r>
      <w:bookmarkStart w:id="33" w:name="lt_pId263"/>
      <w:bookmarkEnd w:id="32"/>
      <w:r w:rsidR="00823AB3" w:rsidRPr="00B237E2">
        <w:rPr>
          <w:lang w:val="es-ES"/>
        </w:rPr>
        <w:t>.</w:t>
      </w:r>
      <w:bookmarkEnd w:id="33"/>
    </w:p>
    <w:p w14:paraId="1467AA38" w14:textId="6294BF16" w:rsidR="00823AB3" w:rsidRPr="00630E20" w:rsidRDefault="0077163E" w:rsidP="0077163E">
      <w:pPr>
        <w:pStyle w:val="enumlev1"/>
        <w:rPr>
          <w:lang w:val="es-ES"/>
        </w:rPr>
      </w:pPr>
      <w:r w:rsidRPr="008D47EC">
        <w:rPr>
          <w:lang w:val="es-ES"/>
        </w:rPr>
        <w:t>•</w:t>
      </w:r>
      <w:r w:rsidRPr="008D47EC">
        <w:rPr>
          <w:lang w:val="es-ES"/>
        </w:rPr>
        <w:tab/>
      </w:r>
      <w:r w:rsidR="00823AB3" w:rsidRPr="008D47EC">
        <w:rPr>
          <w:lang w:val="es-ES"/>
        </w:rPr>
        <w:t>Sistemas y servicios de comunicaciones marítimas mejorados</w:t>
      </w:r>
    </w:p>
    <w:p w14:paraId="67F9D3F9" w14:textId="229976BE" w:rsidR="00823AB3" w:rsidRPr="00B237E2" w:rsidRDefault="00CF7C5C" w:rsidP="00CF7C5C">
      <w:pPr>
        <w:pStyle w:val="enumlev1"/>
        <w:rPr>
          <w:lang w:val="es-ES"/>
        </w:rPr>
      </w:pPr>
      <w:bookmarkStart w:id="34" w:name="lt_pId266"/>
      <w:bookmarkStart w:id="35" w:name="_Hlk31362949"/>
      <w:r>
        <w:rPr>
          <w:lang w:val="es-ES"/>
        </w:rPr>
        <w:tab/>
      </w:r>
      <w:r w:rsidR="00823AB3" w:rsidRPr="00B237E2">
        <w:rPr>
          <w:lang w:val="es-ES"/>
        </w:rPr>
        <w:t xml:space="preserve">La CMR-19 autorizó el uso de NAVDAT </w:t>
      </w:r>
      <w:r w:rsidR="000D5BFE" w:rsidRPr="00B237E2">
        <w:rPr>
          <w:lang w:val="es-ES"/>
        </w:rPr>
        <w:t xml:space="preserve">(sistema de datos de navegación) </w:t>
      </w:r>
      <w:r w:rsidR="00823AB3" w:rsidRPr="00B237E2">
        <w:rPr>
          <w:lang w:val="es-ES"/>
        </w:rPr>
        <w:t xml:space="preserve">en ciertas bandas de frecuencias medias y altas del servicio móvil marítimo, </w:t>
      </w:r>
      <w:r w:rsidR="000D5BFE" w:rsidRPr="00B237E2">
        <w:rPr>
          <w:lang w:val="es-ES"/>
        </w:rPr>
        <w:t>a fin de proporcionar</w:t>
      </w:r>
      <w:r w:rsidR="00823AB3" w:rsidRPr="00B237E2">
        <w:rPr>
          <w:lang w:val="es-ES"/>
        </w:rPr>
        <w:t xml:space="preserve"> información de seguridad a los buques que utilicen tecnologías digitales.</w:t>
      </w:r>
      <w:bookmarkEnd w:id="34"/>
    </w:p>
    <w:p w14:paraId="7645E90C" w14:textId="746D1E81" w:rsidR="00823AB3" w:rsidRPr="00B237E2" w:rsidRDefault="00CF7C5C" w:rsidP="00CF7C5C">
      <w:pPr>
        <w:pStyle w:val="enumlev1"/>
        <w:rPr>
          <w:lang w:val="es-ES"/>
        </w:rPr>
      </w:pPr>
      <w:bookmarkStart w:id="36" w:name="lt_pId268"/>
      <w:bookmarkEnd w:id="35"/>
      <w:r>
        <w:rPr>
          <w:lang w:val="es-ES"/>
        </w:rPr>
        <w:tab/>
      </w:r>
      <w:r w:rsidR="00823AB3" w:rsidRPr="00B237E2">
        <w:rPr>
          <w:lang w:val="es-ES"/>
        </w:rPr>
        <w:t xml:space="preserve">La CMR-19 adoptó </w:t>
      </w:r>
      <w:r w:rsidR="00280A90" w:rsidRPr="00B237E2">
        <w:rPr>
          <w:lang w:val="es-ES"/>
        </w:rPr>
        <w:t>varias</w:t>
      </w:r>
      <w:r w:rsidR="00823AB3" w:rsidRPr="00B237E2">
        <w:rPr>
          <w:lang w:val="es-ES"/>
        </w:rPr>
        <w:t xml:space="preserve"> disposiciones reglamentarias para añadir Iridium como segundo proveedor de satélites del Sistema Mundial de Socorro y Seguridad Marítimos (SMSSM). </w:t>
      </w:r>
      <w:r w:rsidR="00280A90" w:rsidRPr="00B237E2">
        <w:rPr>
          <w:lang w:val="es-ES"/>
        </w:rPr>
        <w:t xml:space="preserve">Por otro lado, </w:t>
      </w:r>
      <w:r w:rsidR="00823AB3" w:rsidRPr="00B237E2">
        <w:rPr>
          <w:lang w:val="es-ES"/>
        </w:rPr>
        <w:t xml:space="preserve">se reforzaron las disposiciones reglamentarias necesarias para proteger el servicio de radioastronomía en la banda adyacente inferior y el servicio móvil por satélite en la misma banda y en la banda adyacente superior. </w:t>
      </w:r>
      <w:r w:rsidR="00AF45D2" w:rsidRPr="00B237E2">
        <w:rPr>
          <w:lang w:val="es-ES"/>
        </w:rPr>
        <w:t>E</w:t>
      </w:r>
      <w:r w:rsidR="00823AB3" w:rsidRPr="00B237E2">
        <w:rPr>
          <w:lang w:val="es-ES"/>
        </w:rPr>
        <w:t xml:space="preserve">ste segundo proveedor de satélites </w:t>
      </w:r>
      <w:r w:rsidR="00AF45D2" w:rsidRPr="00B237E2">
        <w:rPr>
          <w:lang w:val="es-ES"/>
        </w:rPr>
        <w:t>del</w:t>
      </w:r>
      <w:r w:rsidR="00823AB3" w:rsidRPr="00B237E2">
        <w:rPr>
          <w:lang w:val="es-ES"/>
        </w:rPr>
        <w:t xml:space="preserve"> SMSSM</w:t>
      </w:r>
      <w:r w:rsidR="00AF45D2" w:rsidRPr="00B237E2">
        <w:rPr>
          <w:lang w:val="es-ES"/>
        </w:rPr>
        <w:t xml:space="preserve"> es de gran utilidad para</w:t>
      </w:r>
      <w:r w:rsidR="00823AB3" w:rsidRPr="00B237E2">
        <w:rPr>
          <w:lang w:val="es-ES"/>
        </w:rPr>
        <w:t xml:space="preserve"> la comunidad marítima, </w:t>
      </w:r>
      <w:r w:rsidR="00AF45D2" w:rsidRPr="00B237E2">
        <w:rPr>
          <w:lang w:val="es-ES"/>
        </w:rPr>
        <w:t>en particular en</w:t>
      </w:r>
      <w:r w:rsidR="00823AB3" w:rsidRPr="00B237E2">
        <w:rPr>
          <w:lang w:val="es-ES"/>
        </w:rPr>
        <w:t xml:space="preserve"> las zonas polares, y </w:t>
      </w:r>
      <w:r w:rsidR="00AF45D2" w:rsidRPr="00B237E2">
        <w:rPr>
          <w:lang w:val="es-ES"/>
        </w:rPr>
        <w:t>fomenta</w:t>
      </w:r>
      <w:r w:rsidR="00823AB3" w:rsidRPr="00B237E2">
        <w:rPr>
          <w:lang w:val="es-ES"/>
        </w:rPr>
        <w:t xml:space="preserve"> la competencia en las comunicaciones marítimas.</w:t>
      </w:r>
      <w:bookmarkStart w:id="37" w:name="lt_pId273"/>
      <w:bookmarkStart w:id="38" w:name="_Hlk31365716"/>
      <w:bookmarkEnd w:id="36"/>
    </w:p>
    <w:p w14:paraId="730A5948" w14:textId="19381FA5" w:rsidR="00823AB3" w:rsidRPr="00B237E2" w:rsidRDefault="00CF7C5C" w:rsidP="00CF7C5C">
      <w:pPr>
        <w:pStyle w:val="enumlev1"/>
        <w:rPr>
          <w:lang w:val="es-ES"/>
        </w:rPr>
      </w:pPr>
      <w:r>
        <w:rPr>
          <w:lang w:val="es-ES"/>
        </w:rPr>
        <w:tab/>
      </w:r>
      <w:r w:rsidR="00823AB3" w:rsidRPr="00B237E2">
        <w:rPr>
          <w:lang w:val="es-ES"/>
        </w:rPr>
        <w:t xml:space="preserve">Se reguló la utilización de canales de frecuencias marítimas por dispositivos autónomos de radiocomunicaciones marítimas (DARM), </w:t>
      </w:r>
      <w:r w:rsidR="00AF45D2" w:rsidRPr="00B237E2">
        <w:rPr>
          <w:lang w:val="es-ES"/>
        </w:rPr>
        <w:t xml:space="preserve">por medio de la </w:t>
      </w:r>
      <w:r w:rsidR="000F4D2B" w:rsidRPr="00B237E2">
        <w:rPr>
          <w:lang w:val="es-ES"/>
        </w:rPr>
        <w:t>distinción</w:t>
      </w:r>
      <w:r w:rsidR="00AF45D2" w:rsidRPr="00B237E2">
        <w:rPr>
          <w:lang w:val="es-ES"/>
        </w:rPr>
        <w:t xml:space="preserve"> de</w:t>
      </w:r>
      <w:r w:rsidR="00823AB3" w:rsidRPr="00B237E2">
        <w:rPr>
          <w:lang w:val="es-ES"/>
        </w:rPr>
        <w:t xml:space="preserve"> los canales relacionados con la seguridad </w:t>
      </w:r>
      <w:r w:rsidR="000F4D2B" w:rsidRPr="00B237E2">
        <w:rPr>
          <w:lang w:val="es-ES"/>
        </w:rPr>
        <w:t>frente a</w:t>
      </w:r>
      <w:r w:rsidR="00823AB3" w:rsidRPr="00B237E2">
        <w:rPr>
          <w:lang w:val="es-ES"/>
        </w:rPr>
        <w:t xml:space="preserve"> los demás y </w:t>
      </w:r>
      <w:r w:rsidR="00AF45D2" w:rsidRPr="00B237E2">
        <w:rPr>
          <w:lang w:val="es-ES"/>
        </w:rPr>
        <w:t>la limitación d</w:t>
      </w:r>
      <w:r w:rsidR="00823AB3" w:rsidRPr="00B237E2">
        <w:rPr>
          <w:lang w:val="es-ES"/>
        </w:rPr>
        <w:t>el acceso a los mismos</w:t>
      </w:r>
      <w:r w:rsidR="000F4D2B" w:rsidRPr="00B237E2">
        <w:rPr>
          <w:lang w:val="es-ES"/>
        </w:rPr>
        <w:t>, a fin de mejorar la</w:t>
      </w:r>
      <w:r w:rsidR="00823AB3" w:rsidRPr="00B237E2">
        <w:rPr>
          <w:lang w:val="es-ES"/>
        </w:rPr>
        <w:t xml:space="preserve"> seguridad de la navegación marítima.</w:t>
      </w:r>
    </w:p>
    <w:p w14:paraId="6F101CF5" w14:textId="1922BC42" w:rsidR="00823AB3" w:rsidRPr="00B237E2" w:rsidRDefault="00CF7C5C" w:rsidP="00CF7C5C">
      <w:pPr>
        <w:pStyle w:val="enumlev1"/>
        <w:rPr>
          <w:lang w:val="es-ES"/>
        </w:rPr>
      </w:pPr>
      <w:bookmarkStart w:id="39" w:name="lt_pId275"/>
      <w:bookmarkEnd w:id="37"/>
      <w:bookmarkEnd w:id="38"/>
      <w:r>
        <w:rPr>
          <w:lang w:val="es-ES"/>
        </w:rPr>
        <w:tab/>
      </w:r>
      <w:r w:rsidR="000F4D2B" w:rsidRPr="00B237E2">
        <w:rPr>
          <w:lang w:val="es-ES"/>
        </w:rPr>
        <w:t>S</w:t>
      </w:r>
      <w:r w:rsidR="00823AB3" w:rsidRPr="00B237E2">
        <w:rPr>
          <w:lang w:val="es-ES"/>
        </w:rPr>
        <w:t>e efectuaron atribuciones a título secundario al servicio móvil marítimo por satélite. Al habilitar el</w:t>
      </w:r>
      <w:r w:rsidR="00115DF9">
        <w:rPr>
          <w:lang w:val="es-ES"/>
        </w:rPr>
        <w:t> </w:t>
      </w:r>
      <w:r w:rsidR="00823AB3" w:rsidRPr="00B237E2">
        <w:rPr>
          <w:lang w:val="es-ES"/>
        </w:rPr>
        <w:t xml:space="preserve">VDES por satélite, se amplió </w:t>
      </w:r>
      <w:r w:rsidR="000F4D2B" w:rsidRPr="00B237E2">
        <w:rPr>
          <w:lang w:val="es-ES"/>
        </w:rPr>
        <w:t xml:space="preserve">la cobertura del servicio para que tuviera </w:t>
      </w:r>
      <w:r w:rsidR="00823AB3" w:rsidRPr="00B237E2">
        <w:rPr>
          <w:lang w:val="es-ES"/>
        </w:rPr>
        <w:t>alcance mundial. Esa decisión mejora las comunicaciones en ondas métricas y aumenta la seguridad marítima a escala mundial.</w:t>
      </w:r>
      <w:bookmarkEnd w:id="39"/>
    </w:p>
    <w:p w14:paraId="5833E24E" w14:textId="42479F2B" w:rsidR="00823AB3" w:rsidRPr="00B237E2" w:rsidRDefault="0077163E" w:rsidP="0077163E">
      <w:pPr>
        <w:pStyle w:val="enumlev1"/>
        <w:rPr>
          <w:u w:val="single"/>
          <w:lang w:val="es-ES"/>
        </w:rPr>
      </w:pPr>
      <w:r w:rsidRPr="008D47EC">
        <w:rPr>
          <w:lang w:val="es-ES"/>
        </w:rPr>
        <w:t>•</w:t>
      </w:r>
      <w:r w:rsidRPr="008D47EC">
        <w:rPr>
          <w:lang w:val="es-ES"/>
        </w:rPr>
        <w:tab/>
      </w:r>
      <w:r w:rsidR="00823AB3" w:rsidRPr="008D47EC">
        <w:rPr>
          <w:lang w:val="es-ES"/>
        </w:rPr>
        <w:t xml:space="preserve">Sistema </w:t>
      </w:r>
      <w:r w:rsidR="00630E20" w:rsidRPr="008D47EC">
        <w:rPr>
          <w:lang w:val="es-ES"/>
        </w:rPr>
        <w:t>Mundial de Socorro y Seguridad Aeronáuticos</w:t>
      </w:r>
    </w:p>
    <w:p w14:paraId="597DBB8D" w14:textId="649CF61C" w:rsidR="00823AB3" w:rsidRPr="00B237E2" w:rsidRDefault="00CF7C5C" w:rsidP="00CF7C5C">
      <w:pPr>
        <w:pStyle w:val="enumlev1"/>
        <w:rPr>
          <w:lang w:val="es-ES"/>
        </w:rPr>
      </w:pPr>
      <w:bookmarkStart w:id="40" w:name="lt_pId280"/>
      <w:r>
        <w:rPr>
          <w:lang w:val="es-ES"/>
        </w:rPr>
        <w:tab/>
      </w:r>
      <w:r w:rsidR="005D0270" w:rsidRPr="00B237E2">
        <w:rPr>
          <w:lang w:val="es-ES"/>
        </w:rPr>
        <w:t>Sobre la base de</w:t>
      </w:r>
      <w:r w:rsidR="00823AB3" w:rsidRPr="00B237E2">
        <w:rPr>
          <w:lang w:val="es-ES"/>
        </w:rPr>
        <w:t xml:space="preserve"> </w:t>
      </w:r>
      <w:r w:rsidR="005D0270" w:rsidRPr="00B237E2">
        <w:rPr>
          <w:lang w:val="es-ES"/>
        </w:rPr>
        <w:t xml:space="preserve">varios </w:t>
      </w:r>
      <w:r w:rsidR="00823AB3" w:rsidRPr="00B237E2">
        <w:rPr>
          <w:lang w:val="es-ES"/>
        </w:rPr>
        <w:t xml:space="preserve">estudios del UIT-R, la CMR-19 decidió no modificar el Reglamento de Radiocomunicaciones con miras a la integración </w:t>
      </w:r>
      <w:r w:rsidR="005D0270" w:rsidRPr="00B237E2">
        <w:rPr>
          <w:lang w:val="es-ES"/>
        </w:rPr>
        <w:t>del SMSSA</w:t>
      </w:r>
      <w:r w:rsidR="00823AB3" w:rsidRPr="00B237E2">
        <w:rPr>
          <w:lang w:val="es-ES"/>
        </w:rPr>
        <w:t xml:space="preserve">, </w:t>
      </w:r>
      <w:r w:rsidR="005D0270" w:rsidRPr="00B237E2">
        <w:rPr>
          <w:lang w:val="es-ES"/>
        </w:rPr>
        <w:t>habida cuenta de la dificultad</w:t>
      </w:r>
      <w:r w:rsidR="00823AB3" w:rsidRPr="00B237E2">
        <w:rPr>
          <w:lang w:val="es-ES"/>
        </w:rPr>
        <w:t xml:space="preserve"> de describir </w:t>
      </w:r>
      <w:r w:rsidR="005D0270" w:rsidRPr="00B237E2">
        <w:rPr>
          <w:lang w:val="es-ES"/>
        </w:rPr>
        <w:t xml:space="preserve">dicho sistema </w:t>
      </w:r>
      <w:r w:rsidR="00823AB3" w:rsidRPr="00B237E2">
        <w:rPr>
          <w:lang w:val="es-ES"/>
        </w:rPr>
        <w:t>en términos reglamentarios específicos.</w:t>
      </w:r>
      <w:bookmarkEnd w:id="40"/>
    </w:p>
    <w:p w14:paraId="4790FBAB" w14:textId="5A4911E2" w:rsidR="00823AB3" w:rsidRPr="00B237E2" w:rsidRDefault="0077163E" w:rsidP="00CF7C5C">
      <w:pPr>
        <w:pStyle w:val="enumlev1"/>
        <w:keepNext/>
        <w:keepLines/>
        <w:rPr>
          <w:u w:val="single"/>
          <w:lang w:val="es-ES"/>
        </w:rPr>
      </w:pPr>
      <w:r w:rsidRPr="008D47EC">
        <w:rPr>
          <w:lang w:val="es-ES"/>
        </w:rPr>
        <w:lastRenderedPageBreak/>
        <w:t>•</w:t>
      </w:r>
      <w:r w:rsidRPr="008D47EC">
        <w:rPr>
          <w:lang w:val="es-ES"/>
        </w:rPr>
        <w:tab/>
      </w:r>
      <w:r w:rsidR="00823AB3" w:rsidRPr="008D47EC">
        <w:rPr>
          <w:lang w:val="es-ES"/>
        </w:rPr>
        <w:t>Servicios por satélite</w:t>
      </w:r>
    </w:p>
    <w:p w14:paraId="2013BB18" w14:textId="749A6A9C" w:rsidR="00823AB3" w:rsidRPr="00B237E2" w:rsidRDefault="00CF7C5C" w:rsidP="00CF7C5C">
      <w:pPr>
        <w:pStyle w:val="enumlev1"/>
        <w:keepNext/>
        <w:keepLines/>
        <w:rPr>
          <w:lang w:val="es-ES"/>
        </w:rPr>
      </w:pPr>
      <w:bookmarkStart w:id="41" w:name="lt_pId284"/>
      <w:r>
        <w:rPr>
          <w:lang w:val="es-ES"/>
        </w:rPr>
        <w:tab/>
      </w:r>
      <w:r w:rsidR="00823AB3" w:rsidRPr="00B237E2">
        <w:rPr>
          <w:lang w:val="es-ES"/>
        </w:rPr>
        <w:t xml:space="preserve">La CMR-19 adoptó un nuevo marco normativo, </w:t>
      </w:r>
      <w:r w:rsidR="00584F93" w:rsidRPr="00B237E2">
        <w:rPr>
          <w:lang w:val="es-ES"/>
        </w:rPr>
        <w:t>incluido un</w:t>
      </w:r>
      <w:r w:rsidR="00823AB3" w:rsidRPr="00B237E2">
        <w:rPr>
          <w:lang w:val="es-ES"/>
        </w:rPr>
        <w:t xml:space="preserve"> </w:t>
      </w:r>
      <w:r w:rsidR="00584F93" w:rsidRPr="00B237E2">
        <w:rPr>
          <w:lang w:val="es-ES"/>
        </w:rPr>
        <w:t>enfoque</w:t>
      </w:r>
      <w:r w:rsidR="00823AB3" w:rsidRPr="00B237E2">
        <w:rPr>
          <w:lang w:val="es-ES"/>
        </w:rPr>
        <w:t xml:space="preserve"> por etapas para el despliegue de constelaciones de satélites no OSG en bandas de frecuencias </w:t>
      </w:r>
      <w:r w:rsidR="00584F93" w:rsidRPr="00B237E2">
        <w:rPr>
          <w:lang w:val="es-ES"/>
        </w:rPr>
        <w:t>determinadas para</w:t>
      </w:r>
      <w:r w:rsidR="00823AB3" w:rsidRPr="00B237E2">
        <w:rPr>
          <w:lang w:val="es-ES"/>
        </w:rPr>
        <w:t xml:space="preserve"> servicios específicos</w:t>
      </w:r>
      <w:r w:rsidR="00584F93" w:rsidRPr="00B237E2">
        <w:rPr>
          <w:lang w:val="es-ES"/>
        </w:rPr>
        <w:t>, a fin de garantizar</w:t>
      </w:r>
      <w:r w:rsidR="00823AB3" w:rsidRPr="00B237E2">
        <w:rPr>
          <w:lang w:val="es-ES"/>
        </w:rPr>
        <w:t xml:space="preserve"> el funcionamiento del mayor número posible de sistemas. </w:t>
      </w:r>
      <w:r w:rsidR="00584F93" w:rsidRPr="00B237E2">
        <w:rPr>
          <w:lang w:val="es-ES"/>
        </w:rPr>
        <w:t>Ello</w:t>
      </w:r>
      <w:r w:rsidR="00823AB3" w:rsidRPr="00B237E2">
        <w:rPr>
          <w:lang w:val="es-ES"/>
        </w:rPr>
        <w:t xml:space="preserve"> </w:t>
      </w:r>
      <w:r w:rsidR="00584F93" w:rsidRPr="00B237E2">
        <w:rPr>
          <w:lang w:val="es-ES"/>
        </w:rPr>
        <w:t>permite asimismo velar por que</w:t>
      </w:r>
      <w:r w:rsidR="00823AB3" w:rsidRPr="00B237E2">
        <w:rPr>
          <w:lang w:val="es-ES"/>
        </w:rPr>
        <w:t xml:space="preserve"> el Registro Internacional de Frecuencias esté en consonancia con el despliegue de sistemas de satélites no OSG.</w:t>
      </w:r>
      <w:bookmarkEnd w:id="41"/>
    </w:p>
    <w:p w14:paraId="2FFD57BE" w14:textId="62F8C5BA" w:rsidR="00823AB3" w:rsidRPr="00B237E2" w:rsidRDefault="00CF7C5C" w:rsidP="00CF7C5C">
      <w:pPr>
        <w:pStyle w:val="enumlev1"/>
        <w:rPr>
          <w:lang w:val="es-ES"/>
        </w:rPr>
      </w:pPr>
      <w:r>
        <w:rPr>
          <w:lang w:val="es-ES"/>
        </w:rPr>
        <w:tab/>
      </w:r>
      <w:r w:rsidR="00823AB3" w:rsidRPr="00B237E2">
        <w:rPr>
          <w:lang w:val="es-ES"/>
        </w:rPr>
        <w:t xml:space="preserve">Se </w:t>
      </w:r>
      <w:r w:rsidR="00584F93" w:rsidRPr="00B237E2">
        <w:rPr>
          <w:lang w:val="es-ES"/>
        </w:rPr>
        <w:t>establecieron</w:t>
      </w:r>
      <w:r w:rsidR="00823AB3" w:rsidRPr="00B237E2">
        <w:rPr>
          <w:lang w:val="es-ES"/>
        </w:rPr>
        <w:t xml:space="preserve"> nuevas posiciones orbitales para satélites de radiodifusión, </w:t>
      </w:r>
      <w:r w:rsidR="00584F93" w:rsidRPr="00B237E2">
        <w:rPr>
          <w:lang w:val="es-ES"/>
        </w:rPr>
        <w:t>lo que facilitó</w:t>
      </w:r>
      <w:r w:rsidR="00823AB3" w:rsidRPr="00B237E2">
        <w:rPr>
          <w:lang w:val="es-ES"/>
        </w:rPr>
        <w:t xml:space="preserve"> a los países en desarrollo </w:t>
      </w:r>
      <w:r w:rsidR="00584F93" w:rsidRPr="00B237E2">
        <w:rPr>
          <w:lang w:val="es-ES"/>
        </w:rPr>
        <w:t>la recuperación de</w:t>
      </w:r>
      <w:r w:rsidR="00823AB3" w:rsidRPr="00B237E2">
        <w:rPr>
          <w:lang w:val="es-ES"/>
        </w:rPr>
        <w:t xml:space="preserve"> acceso a recursos orbitales y de espectro a través de un mecanismo de establecimiento </w:t>
      </w:r>
      <w:r w:rsidR="008D47EC">
        <w:rPr>
          <w:lang w:val="es-ES"/>
        </w:rPr>
        <w:t xml:space="preserve">de </w:t>
      </w:r>
      <w:r w:rsidR="00823AB3" w:rsidRPr="00B237E2">
        <w:rPr>
          <w:lang w:val="es-ES"/>
        </w:rPr>
        <w:t xml:space="preserve">prioridades específicamente concebido </w:t>
      </w:r>
      <w:r w:rsidR="00584F93" w:rsidRPr="00B237E2">
        <w:rPr>
          <w:lang w:val="es-ES"/>
        </w:rPr>
        <w:t>a tal efecto</w:t>
      </w:r>
      <w:r w:rsidR="00823AB3" w:rsidRPr="00B237E2">
        <w:rPr>
          <w:lang w:val="es-ES"/>
        </w:rPr>
        <w:t>.</w:t>
      </w:r>
    </w:p>
    <w:p w14:paraId="251BED91" w14:textId="7CC64F80" w:rsidR="00823AB3" w:rsidRPr="00B237E2" w:rsidRDefault="00CF7C5C" w:rsidP="00CF7C5C">
      <w:pPr>
        <w:pStyle w:val="enumlev1"/>
        <w:rPr>
          <w:lang w:val="es-ES"/>
        </w:rPr>
      </w:pPr>
      <w:bookmarkStart w:id="42" w:name="lt_pId289"/>
      <w:bookmarkStart w:id="43" w:name="_Hlk34053811"/>
      <w:r>
        <w:rPr>
          <w:lang w:val="es-ES"/>
        </w:rPr>
        <w:tab/>
      </w:r>
      <w:r w:rsidR="00823AB3" w:rsidRPr="00B237E2">
        <w:rPr>
          <w:lang w:val="es-ES"/>
        </w:rPr>
        <w:t xml:space="preserve">La CMR-19 definió las condiciones reglamentarias, operacionales y técnicas en </w:t>
      </w:r>
      <w:r w:rsidR="00271ECD" w:rsidRPr="00B237E2">
        <w:rPr>
          <w:lang w:val="es-ES"/>
        </w:rPr>
        <w:t xml:space="preserve">virtud de las cuales </w:t>
      </w:r>
      <w:r w:rsidR="00823AB3" w:rsidRPr="00B237E2">
        <w:rPr>
          <w:lang w:val="es-ES"/>
        </w:rPr>
        <w:t>las estaciones terrenas en movimiento (ETEM) que se comunican con estaciones espaciales geoestacionarias (OSG) del servicio fijo por satélite pueden utilizar bandas de frecuencias en la gama de frecuencias 30/20</w:t>
      </w:r>
      <w:r w:rsidR="00115DF9">
        <w:rPr>
          <w:lang w:val="es-ES"/>
        </w:rPr>
        <w:t> </w:t>
      </w:r>
      <w:r w:rsidR="00823AB3" w:rsidRPr="00B237E2">
        <w:rPr>
          <w:lang w:val="es-ES"/>
        </w:rPr>
        <w:t xml:space="preserve">GHz en todas las Regiones. Esa decisión </w:t>
      </w:r>
      <w:r w:rsidR="00271ECD" w:rsidRPr="00B237E2">
        <w:rPr>
          <w:lang w:val="es-ES"/>
        </w:rPr>
        <w:t>proporciona conexión</w:t>
      </w:r>
      <w:r w:rsidR="00823AB3" w:rsidRPr="00B237E2">
        <w:rPr>
          <w:lang w:val="es-ES"/>
        </w:rPr>
        <w:t xml:space="preserve"> a personas situadas </w:t>
      </w:r>
      <w:r w:rsidR="00271ECD" w:rsidRPr="00B237E2">
        <w:rPr>
          <w:lang w:val="es-ES"/>
        </w:rPr>
        <w:t>a bordo de buques</w:t>
      </w:r>
      <w:r w:rsidR="00823AB3" w:rsidRPr="00B237E2">
        <w:rPr>
          <w:lang w:val="es-ES"/>
        </w:rPr>
        <w:t xml:space="preserve"> (ETEM marítimas), aeronaves (ETEM aeronáuticas) </w:t>
      </w:r>
      <w:r w:rsidR="00271ECD" w:rsidRPr="00B237E2">
        <w:rPr>
          <w:lang w:val="es-ES"/>
        </w:rPr>
        <w:t>o</w:t>
      </w:r>
      <w:r w:rsidR="00823AB3" w:rsidRPr="00B237E2">
        <w:rPr>
          <w:lang w:val="es-ES"/>
        </w:rPr>
        <w:t xml:space="preserve"> vehículos terrestres (ETEM terrestres)</w:t>
      </w:r>
      <w:r w:rsidR="00271ECD" w:rsidRPr="00B237E2">
        <w:rPr>
          <w:lang w:val="es-ES"/>
        </w:rPr>
        <w:t>, y permite</w:t>
      </w:r>
      <w:r w:rsidR="00823AB3" w:rsidRPr="00B237E2">
        <w:rPr>
          <w:lang w:val="es-ES"/>
        </w:rPr>
        <w:t xml:space="preserve"> garantiza</w:t>
      </w:r>
      <w:r w:rsidR="00271ECD" w:rsidRPr="00B237E2">
        <w:rPr>
          <w:lang w:val="es-ES"/>
        </w:rPr>
        <w:t>r</w:t>
      </w:r>
      <w:r w:rsidR="00823AB3" w:rsidRPr="00B237E2">
        <w:rPr>
          <w:lang w:val="es-ES"/>
        </w:rPr>
        <w:t xml:space="preserve"> su </w:t>
      </w:r>
      <w:r w:rsidR="00271ECD" w:rsidRPr="00B237E2">
        <w:rPr>
          <w:lang w:val="es-ES"/>
        </w:rPr>
        <w:t>seguridad</w:t>
      </w:r>
      <w:r w:rsidR="00823AB3" w:rsidRPr="00B237E2">
        <w:rPr>
          <w:lang w:val="es-ES"/>
        </w:rPr>
        <w:t xml:space="preserve">. </w:t>
      </w:r>
      <w:r w:rsidR="00271ECD" w:rsidRPr="00B237E2">
        <w:rPr>
          <w:lang w:val="es-ES"/>
        </w:rPr>
        <w:t>Por otro lado</w:t>
      </w:r>
      <w:r w:rsidR="00823AB3" w:rsidRPr="00B237E2">
        <w:rPr>
          <w:lang w:val="es-ES"/>
        </w:rPr>
        <w:t xml:space="preserve">, propiciará el uso de las ETEM, </w:t>
      </w:r>
      <w:r w:rsidR="00271ECD" w:rsidRPr="00B237E2">
        <w:rPr>
          <w:lang w:val="es-ES"/>
        </w:rPr>
        <w:t>al tiempo que se protegen</w:t>
      </w:r>
      <w:r w:rsidR="00823AB3" w:rsidRPr="00B237E2">
        <w:rPr>
          <w:lang w:val="es-ES"/>
        </w:rPr>
        <w:t xml:space="preserve"> otras redes OSG</w:t>
      </w:r>
      <w:r w:rsidR="00271ECD" w:rsidRPr="00B237E2">
        <w:rPr>
          <w:lang w:val="es-ES"/>
        </w:rPr>
        <w:t>,</w:t>
      </w:r>
      <w:r w:rsidR="00823AB3" w:rsidRPr="00B237E2">
        <w:rPr>
          <w:lang w:val="es-ES"/>
        </w:rPr>
        <w:t xml:space="preserve"> sistemas no OSG,</w:t>
      </w:r>
      <w:r w:rsidR="00BA7549" w:rsidRPr="00B237E2">
        <w:rPr>
          <w:lang w:val="es-ES"/>
        </w:rPr>
        <w:t xml:space="preserve"> y los</w:t>
      </w:r>
      <w:r w:rsidR="00823AB3" w:rsidRPr="00B237E2">
        <w:rPr>
          <w:lang w:val="es-ES"/>
        </w:rPr>
        <w:t xml:space="preserve"> servicios terrenales</w:t>
      </w:r>
      <w:bookmarkStart w:id="44" w:name="lt_pId291"/>
      <w:bookmarkEnd w:id="42"/>
      <w:r w:rsidR="00271ECD" w:rsidRPr="00B237E2">
        <w:rPr>
          <w:lang w:val="es-ES"/>
        </w:rPr>
        <w:t xml:space="preserve"> pertinentes</w:t>
      </w:r>
      <w:r w:rsidR="00823AB3" w:rsidRPr="00B237E2">
        <w:rPr>
          <w:lang w:val="es-ES"/>
        </w:rPr>
        <w:t>.</w:t>
      </w:r>
      <w:bookmarkEnd w:id="44"/>
    </w:p>
    <w:bookmarkEnd w:id="43"/>
    <w:p w14:paraId="3B75897A" w14:textId="6EF0FB34" w:rsidR="00823AB3" w:rsidRPr="00EE255F" w:rsidRDefault="0077163E" w:rsidP="0077163E">
      <w:pPr>
        <w:pStyle w:val="enumlev1"/>
        <w:rPr>
          <w:lang w:val="es-ES"/>
        </w:rPr>
      </w:pPr>
      <w:r w:rsidRPr="00315F6F">
        <w:rPr>
          <w:lang w:val="es-ES"/>
        </w:rPr>
        <w:t>•</w:t>
      </w:r>
      <w:r w:rsidRPr="00315F6F">
        <w:rPr>
          <w:lang w:val="es-ES"/>
        </w:rPr>
        <w:tab/>
      </w:r>
      <w:r w:rsidR="00823AB3" w:rsidRPr="00315F6F">
        <w:rPr>
          <w:lang w:val="es-ES"/>
        </w:rPr>
        <w:t>Apoyo a servicios científicos</w:t>
      </w:r>
    </w:p>
    <w:p w14:paraId="2727D0D5" w14:textId="5EE4E705" w:rsidR="00823AB3" w:rsidRPr="00B237E2" w:rsidRDefault="00CF7C5C" w:rsidP="00CF7C5C">
      <w:pPr>
        <w:pStyle w:val="enumlev1"/>
        <w:rPr>
          <w:lang w:val="es-ES"/>
        </w:rPr>
      </w:pPr>
      <w:bookmarkStart w:id="45" w:name="lt_pId294"/>
      <w:r>
        <w:rPr>
          <w:lang w:val="es-ES"/>
        </w:rPr>
        <w:tab/>
      </w:r>
      <w:r w:rsidR="00823AB3" w:rsidRPr="00B237E2">
        <w:rPr>
          <w:lang w:val="es-ES"/>
        </w:rPr>
        <w:t>La CMR-19 estableció protecciones para el servicio de exploración de la Tierra por satélite (SETS) y las estaciones de radiocomunicaciones espaciales (SRS), tanto en la misma banda como en bandas adyacentes, a fin de garantizar que la vigilancia de la Tierra y su atmósfera desde el espacio siguiera desarrollándose sin trabas.</w:t>
      </w:r>
      <w:bookmarkEnd w:id="45"/>
    </w:p>
    <w:p w14:paraId="3D83481B" w14:textId="5104C52E" w:rsidR="00823AB3" w:rsidRPr="00B237E2" w:rsidRDefault="00CF7C5C" w:rsidP="00CF7C5C">
      <w:pPr>
        <w:pStyle w:val="enumlev1"/>
        <w:rPr>
          <w:lang w:val="es-ES"/>
        </w:rPr>
      </w:pPr>
      <w:bookmarkStart w:id="46" w:name="lt_pId295"/>
      <w:r>
        <w:rPr>
          <w:lang w:val="es-ES"/>
        </w:rPr>
        <w:tab/>
      </w:r>
      <w:r w:rsidR="00823AB3" w:rsidRPr="00B237E2">
        <w:rPr>
          <w:lang w:val="es-ES"/>
        </w:rPr>
        <w:t xml:space="preserve">Se aprobaron medidas </w:t>
      </w:r>
      <w:r w:rsidR="003A1FB9" w:rsidRPr="00B237E2">
        <w:rPr>
          <w:lang w:val="es-ES"/>
        </w:rPr>
        <w:t>de índole diversa</w:t>
      </w:r>
      <w:r w:rsidR="00823AB3" w:rsidRPr="00B237E2">
        <w:rPr>
          <w:lang w:val="es-ES"/>
        </w:rPr>
        <w:t xml:space="preserve"> para proteger el desarrollo a largo plazo de las plataformas de recopilación de datos. Se determinaron bandas de frecuencias del servicio de operaciones espaciales y</w:t>
      </w:r>
      <w:r w:rsidR="003A1FB9" w:rsidRPr="00B237E2">
        <w:rPr>
          <w:lang w:val="es-ES"/>
        </w:rPr>
        <w:t xml:space="preserve"> los</w:t>
      </w:r>
      <w:r w:rsidR="00823AB3" w:rsidRPr="00B237E2">
        <w:rPr>
          <w:lang w:val="es-ES"/>
        </w:rPr>
        <w:t xml:space="preserve"> procedimientos </w:t>
      </w:r>
      <w:r w:rsidR="003A1FB9" w:rsidRPr="00B237E2">
        <w:rPr>
          <w:lang w:val="es-ES"/>
        </w:rPr>
        <w:t xml:space="preserve">pertinentes </w:t>
      </w:r>
      <w:r w:rsidR="00823AB3" w:rsidRPr="00B237E2">
        <w:rPr>
          <w:lang w:val="es-ES"/>
        </w:rPr>
        <w:t xml:space="preserve">para satélites con misiones de corta duración, </w:t>
      </w:r>
      <w:r w:rsidR="003A1FB9" w:rsidRPr="00B237E2">
        <w:rPr>
          <w:lang w:val="es-ES"/>
        </w:rPr>
        <w:t>y garantizar</w:t>
      </w:r>
      <w:r w:rsidR="00823AB3" w:rsidRPr="00B237E2">
        <w:rPr>
          <w:lang w:val="es-ES"/>
        </w:rPr>
        <w:t xml:space="preserve"> protección al servicio </w:t>
      </w:r>
      <w:bookmarkEnd w:id="46"/>
      <w:r w:rsidR="00823AB3" w:rsidRPr="00B237E2">
        <w:rPr>
          <w:lang w:val="es-ES"/>
        </w:rPr>
        <w:t>terrenal.</w:t>
      </w:r>
    </w:p>
    <w:p w14:paraId="70720DA5" w14:textId="0E7F9F09" w:rsidR="00823AB3" w:rsidRPr="00B237E2" w:rsidRDefault="00CF7C5C" w:rsidP="00CF7C5C">
      <w:pPr>
        <w:pStyle w:val="enumlev1"/>
        <w:rPr>
          <w:lang w:val="es-ES"/>
        </w:rPr>
      </w:pPr>
      <w:r>
        <w:rPr>
          <w:lang w:val="es-ES"/>
        </w:rPr>
        <w:tab/>
      </w:r>
      <w:r w:rsidR="00823AB3" w:rsidRPr="00B237E2">
        <w:rPr>
          <w:lang w:val="es-ES"/>
        </w:rPr>
        <w:t xml:space="preserve">La CMR-19 </w:t>
      </w:r>
      <w:r w:rsidR="003A1FB9" w:rsidRPr="00B237E2">
        <w:rPr>
          <w:lang w:val="es-ES"/>
        </w:rPr>
        <w:t>garantizó la protección</w:t>
      </w:r>
      <w:r w:rsidR="00823AB3" w:rsidRPr="00B237E2">
        <w:rPr>
          <w:lang w:val="es-ES"/>
        </w:rPr>
        <w:t xml:space="preserve"> </w:t>
      </w:r>
      <w:r w:rsidR="003E599D" w:rsidRPr="00B237E2">
        <w:rPr>
          <w:lang w:val="es-ES"/>
        </w:rPr>
        <w:t>contra la interferencia perjudicial de radiofrecuencias de</w:t>
      </w:r>
      <w:r w:rsidR="00823AB3" w:rsidRPr="00B237E2">
        <w:rPr>
          <w:lang w:val="es-ES"/>
        </w:rPr>
        <w:t xml:space="preserve"> los servicios </w:t>
      </w:r>
      <w:r w:rsidR="003E599D" w:rsidRPr="00B237E2">
        <w:rPr>
          <w:lang w:val="es-ES"/>
        </w:rPr>
        <w:t>de satélite</w:t>
      </w:r>
      <w:r w:rsidR="00823AB3" w:rsidRPr="00B237E2">
        <w:rPr>
          <w:lang w:val="es-ES"/>
        </w:rPr>
        <w:t xml:space="preserve"> de apoyo a la meteorología y la climatología, cuyo objetivo es salvaguardar la vida humana y evaluar el estado de los recursos naturales, </w:t>
      </w:r>
      <w:r w:rsidR="003E599D" w:rsidRPr="00B237E2">
        <w:rPr>
          <w:lang w:val="es-ES"/>
        </w:rPr>
        <w:t>así</w:t>
      </w:r>
      <w:r w:rsidR="003E599D" w:rsidRPr="00B237E2">
        <w:rPr>
          <w:sz w:val="22"/>
          <w:szCs w:val="18"/>
          <w:lang w:val="es-ES"/>
        </w:rPr>
        <w:t xml:space="preserve"> como la de</w:t>
      </w:r>
      <w:r w:rsidR="00823AB3" w:rsidRPr="00B237E2">
        <w:rPr>
          <w:lang w:val="es-ES"/>
        </w:rPr>
        <w:t xml:space="preserve"> los sistemas que utilizan los radioastrónomos para la exploración del espacio profundo. </w:t>
      </w:r>
      <w:r w:rsidR="003E599D" w:rsidRPr="00B237E2">
        <w:rPr>
          <w:lang w:val="es-ES"/>
        </w:rPr>
        <w:t>Se protegerán las</w:t>
      </w:r>
      <w:r w:rsidR="00823AB3" w:rsidRPr="00B237E2">
        <w:rPr>
          <w:lang w:val="es-ES"/>
        </w:rPr>
        <w:t xml:space="preserve"> estaciones de radioastronomía frente a la interferencia</w:t>
      </w:r>
      <w:r w:rsidR="003E599D" w:rsidRPr="00B237E2">
        <w:rPr>
          <w:lang w:val="es-ES"/>
        </w:rPr>
        <w:t xml:space="preserve"> </w:t>
      </w:r>
      <w:r w:rsidR="00823AB3" w:rsidRPr="00B237E2">
        <w:rPr>
          <w:lang w:val="es-ES"/>
        </w:rPr>
        <w:t xml:space="preserve">radioeléctrica </w:t>
      </w:r>
      <w:r w:rsidR="003E599D" w:rsidRPr="00B237E2">
        <w:rPr>
          <w:lang w:val="es-ES"/>
        </w:rPr>
        <w:t>perjudicial provocada por</w:t>
      </w:r>
      <w:r w:rsidR="00823AB3" w:rsidRPr="00B237E2">
        <w:rPr>
          <w:lang w:val="es-ES"/>
        </w:rPr>
        <w:t xml:space="preserve"> otras estaciones espaciales o sistemas de satélites en órbita.</w:t>
      </w:r>
    </w:p>
    <w:p w14:paraId="62826AFA" w14:textId="3F0D564B" w:rsidR="00823AB3" w:rsidRPr="00B237E2" w:rsidRDefault="00CF7C5C" w:rsidP="00CF7C5C">
      <w:pPr>
        <w:pStyle w:val="enumlev1"/>
        <w:rPr>
          <w:lang w:val="es-ES"/>
        </w:rPr>
      </w:pPr>
      <w:r>
        <w:rPr>
          <w:lang w:val="es-ES"/>
        </w:rPr>
        <w:tab/>
      </w:r>
      <w:r w:rsidR="00BF5CE9" w:rsidRPr="00B237E2">
        <w:rPr>
          <w:lang w:val="es-ES"/>
        </w:rPr>
        <w:t>S</w:t>
      </w:r>
      <w:r w:rsidR="00823AB3" w:rsidRPr="00B237E2">
        <w:rPr>
          <w:lang w:val="es-ES"/>
        </w:rPr>
        <w:t xml:space="preserve">e adoptaron medidas para garantizar el apoyo </w:t>
      </w:r>
      <w:r w:rsidR="003E599D" w:rsidRPr="00B237E2">
        <w:rPr>
          <w:lang w:val="es-ES"/>
        </w:rPr>
        <w:t>ininterrumpido</w:t>
      </w:r>
      <w:r w:rsidR="00823AB3" w:rsidRPr="00B237E2">
        <w:rPr>
          <w:lang w:val="es-ES"/>
        </w:rPr>
        <w:t xml:space="preserve"> </w:t>
      </w:r>
      <w:r w:rsidR="00BF5CE9" w:rsidRPr="00B237E2">
        <w:rPr>
          <w:lang w:val="es-ES"/>
        </w:rPr>
        <w:t>a</w:t>
      </w:r>
      <w:r w:rsidR="00823AB3" w:rsidRPr="00B237E2">
        <w:rPr>
          <w:lang w:val="es-ES"/>
        </w:rPr>
        <w:t xml:space="preserve"> la implementación de nuevas tecnologías, </w:t>
      </w:r>
      <w:r w:rsidR="003E599D" w:rsidRPr="00B237E2">
        <w:rPr>
          <w:lang w:val="es-ES"/>
        </w:rPr>
        <w:t>en particular</w:t>
      </w:r>
      <w:r w:rsidR="00823AB3" w:rsidRPr="00B237E2">
        <w:rPr>
          <w:lang w:val="es-ES"/>
        </w:rPr>
        <w:t xml:space="preserve"> servicios y redes 4G y 5G, en Palestina.</w:t>
      </w:r>
    </w:p>
    <w:p w14:paraId="404ED25C" w14:textId="4D6768F4" w:rsidR="00823AB3" w:rsidRPr="00EE255F" w:rsidRDefault="0077163E" w:rsidP="0077163E">
      <w:pPr>
        <w:pStyle w:val="enumlev1"/>
        <w:rPr>
          <w:lang w:val="es-ES"/>
        </w:rPr>
      </w:pPr>
      <w:r w:rsidRPr="00315F6F">
        <w:rPr>
          <w:lang w:val="es-ES"/>
        </w:rPr>
        <w:t>•</w:t>
      </w:r>
      <w:r w:rsidRPr="00315F6F">
        <w:rPr>
          <w:lang w:val="es-ES"/>
        </w:rPr>
        <w:tab/>
      </w:r>
      <w:r w:rsidR="00823AB3" w:rsidRPr="00315F6F">
        <w:rPr>
          <w:lang w:val="es-ES"/>
        </w:rPr>
        <w:t>Publicaciones</w:t>
      </w:r>
    </w:p>
    <w:p w14:paraId="2AE8EF96" w14:textId="7DB45A40" w:rsidR="00823AB3" w:rsidRPr="00B237E2" w:rsidRDefault="00CF7C5C" w:rsidP="00CF7C5C">
      <w:pPr>
        <w:pStyle w:val="enumlev1"/>
        <w:rPr>
          <w:lang w:val="es-ES"/>
        </w:rPr>
      </w:pPr>
      <w:r>
        <w:rPr>
          <w:lang w:val="es-ES"/>
        </w:rPr>
        <w:tab/>
      </w:r>
      <w:r w:rsidR="00BF5CE9" w:rsidRPr="00B237E2">
        <w:rPr>
          <w:lang w:val="es-ES"/>
        </w:rPr>
        <w:t>La</w:t>
      </w:r>
      <w:r w:rsidR="00823AB3" w:rsidRPr="00B237E2">
        <w:rPr>
          <w:lang w:val="es-ES"/>
        </w:rPr>
        <w:t xml:space="preserve"> </w:t>
      </w:r>
      <w:hyperlink r:id="rId21" w:history="1">
        <w:r w:rsidR="00823AB3" w:rsidRPr="00ED57F2">
          <w:rPr>
            <w:rStyle w:val="Hyperlink"/>
            <w:lang w:val="es-ES"/>
          </w:rPr>
          <w:t>edición de 2020 del Reglamento de Radiocomunicaciones</w:t>
        </w:r>
      </w:hyperlink>
      <w:r w:rsidR="00823AB3" w:rsidRPr="00B237E2">
        <w:rPr>
          <w:lang w:val="es-ES"/>
        </w:rPr>
        <w:t xml:space="preserve"> puede descargarse </w:t>
      </w:r>
      <w:r w:rsidR="00BF5CE9" w:rsidRPr="00B237E2">
        <w:rPr>
          <w:lang w:val="es-ES"/>
        </w:rPr>
        <w:t>a través del</w:t>
      </w:r>
      <w:r w:rsidR="00823AB3" w:rsidRPr="00B237E2">
        <w:rPr>
          <w:lang w:val="es-ES"/>
        </w:rPr>
        <w:t xml:space="preserve"> sitio web de la UIT. También se ha publicado el Manual para los servicios móvil marítimo y móvil marítimo por satélite, actualizado con arreglo a la nueva edición del Reglamento de Radiocomunicaciones.</w:t>
      </w:r>
    </w:p>
    <w:p w14:paraId="453C1101" w14:textId="179768E6" w:rsidR="00823AB3" w:rsidRPr="00EE255F" w:rsidRDefault="00EE255F" w:rsidP="00E124B0">
      <w:pPr>
        <w:pStyle w:val="Headingb"/>
        <w:rPr>
          <w:b w:val="0"/>
          <w:u w:val="single"/>
          <w:lang w:val="es-ES"/>
        </w:rPr>
      </w:pPr>
      <w:r w:rsidRPr="00315F6F">
        <w:rPr>
          <w:b w:val="0"/>
          <w:u w:val="single"/>
          <w:lang w:val="es-ES"/>
        </w:rPr>
        <w:t>Declaración sobre g</w:t>
      </w:r>
      <w:r w:rsidR="00823AB3" w:rsidRPr="00315F6F">
        <w:rPr>
          <w:b w:val="0"/>
          <w:u w:val="single"/>
          <w:lang w:val="es-ES"/>
        </w:rPr>
        <w:t>énero</w:t>
      </w:r>
    </w:p>
    <w:p w14:paraId="2C652017" w14:textId="40B7B0E6" w:rsidR="00823AB3" w:rsidRPr="00B237E2" w:rsidRDefault="00823AB3" w:rsidP="00E124B0">
      <w:pPr>
        <w:rPr>
          <w:lang w:val="es-ES"/>
        </w:rPr>
      </w:pPr>
      <w:r w:rsidRPr="00B237E2">
        <w:rPr>
          <w:lang w:val="es-ES"/>
        </w:rPr>
        <w:t>La CRM-19 adoptó la "</w:t>
      </w:r>
      <w:hyperlink r:id="rId22" w:history="1">
        <w:r w:rsidRPr="00ED57F2">
          <w:rPr>
            <w:rStyle w:val="Hyperlink"/>
            <w:lang w:val="es-ES"/>
          </w:rPr>
          <w:t>Declaración sobre la promoción de la igualdad, la equidad y la paridad entre hombres y mujeres en el Sector de Radiocomunicaciones de la UIT</w:t>
        </w:r>
      </w:hyperlink>
      <w:r w:rsidRPr="00B237E2">
        <w:rPr>
          <w:lang w:val="es-ES"/>
        </w:rPr>
        <w:t xml:space="preserve">", </w:t>
      </w:r>
      <w:r w:rsidR="00BF5CE9" w:rsidRPr="00B237E2">
        <w:rPr>
          <w:lang w:val="es-ES"/>
        </w:rPr>
        <w:t xml:space="preserve">a fin de </w:t>
      </w:r>
      <w:r w:rsidR="00B31C10" w:rsidRPr="00B237E2">
        <w:rPr>
          <w:lang w:val="es-ES"/>
        </w:rPr>
        <w:t>fomentar</w:t>
      </w:r>
      <w:r w:rsidRPr="00B237E2">
        <w:rPr>
          <w:lang w:val="es-ES"/>
        </w:rPr>
        <w:t xml:space="preserve"> la igualdad y el equilibrio entre hombres y mujeres.</w:t>
      </w:r>
    </w:p>
    <w:p w14:paraId="3E8CEC32" w14:textId="77777777" w:rsidR="00823AB3" w:rsidRPr="00B237E2" w:rsidRDefault="00823AB3" w:rsidP="00E124B0">
      <w:pPr>
        <w:keepNext/>
        <w:keepLines/>
        <w:rPr>
          <w:u w:val="single"/>
          <w:lang w:val="es-ES"/>
        </w:rPr>
      </w:pPr>
      <w:r w:rsidRPr="00B237E2">
        <w:rPr>
          <w:u w:val="single"/>
          <w:lang w:val="es-ES"/>
        </w:rPr>
        <w:lastRenderedPageBreak/>
        <w:t>Orden del día de la CMR-23 y orden del día preliminar de la CMR-27</w:t>
      </w:r>
    </w:p>
    <w:p w14:paraId="3F4E0BD6" w14:textId="689FB55F" w:rsidR="00823AB3" w:rsidRPr="00B237E2" w:rsidRDefault="00823AB3" w:rsidP="00E124B0">
      <w:pPr>
        <w:rPr>
          <w:lang w:val="es-ES"/>
        </w:rPr>
      </w:pPr>
      <w:bookmarkStart w:id="47" w:name="lt_pId304"/>
      <w:r w:rsidRPr="00B237E2">
        <w:rPr>
          <w:lang w:val="es-ES"/>
        </w:rPr>
        <w:t xml:space="preserve">La CMR-19 adoptó nuevas Resoluciones, que contienen el orden del día de la CMR-23 y el orden del día preliminar de la CMR-27. El orden del día de la CMR-23 comprende 19 puntos específicos sobre desarrollo tecnológico y nuevos requisitos de espectro para los usuarios de los servicios terrenales, aeronáuticos, marítimos, </w:t>
      </w:r>
      <w:r w:rsidR="00B31C10" w:rsidRPr="00B237E2">
        <w:rPr>
          <w:lang w:val="es-ES"/>
        </w:rPr>
        <w:t xml:space="preserve">de </w:t>
      </w:r>
      <w:r w:rsidR="0077163E" w:rsidRPr="00B237E2">
        <w:rPr>
          <w:lang w:val="es-ES"/>
        </w:rPr>
        <w:t>sat</w:t>
      </w:r>
      <w:r w:rsidR="0077163E" w:rsidRPr="0077163E">
        <w:rPr>
          <w:lang w:val="es-ES"/>
        </w:rPr>
        <w:t>élite</w:t>
      </w:r>
      <w:r w:rsidRPr="00B237E2">
        <w:rPr>
          <w:lang w:val="es-ES"/>
        </w:rPr>
        <w:t xml:space="preserve"> o científicos.</w:t>
      </w:r>
      <w:bookmarkEnd w:id="47"/>
    </w:p>
    <w:p w14:paraId="3028EA22" w14:textId="06520F92" w:rsidR="00823AB3" w:rsidRPr="00B237E2" w:rsidRDefault="00823AB3" w:rsidP="00E124B0">
      <w:pPr>
        <w:pStyle w:val="Headingb"/>
        <w:rPr>
          <w:lang w:val="es-ES"/>
        </w:rPr>
      </w:pPr>
      <w:bookmarkStart w:id="48" w:name="lt_pId043"/>
      <w:r w:rsidRPr="001373A9">
        <w:rPr>
          <w:lang w:val="es-ES"/>
        </w:rPr>
        <w:t>Asamblea de Radiocomunicaciones de 2019</w:t>
      </w:r>
      <w:r w:rsidR="00315F6F" w:rsidRPr="001373A9">
        <w:rPr>
          <w:lang w:val="es-ES"/>
        </w:rPr>
        <w:t xml:space="preserve"> </w:t>
      </w:r>
      <w:r w:rsidR="00315F6F" w:rsidRPr="00392A9C">
        <w:rPr>
          <w:lang w:val="es-ES"/>
        </w:rPr>
        <w:t>(AR-19)</w:t>
      </w:r>
    </w:p>
    <w:p w14:paraId="2CAAE894" w14:textId="30660D7E" w:rsidR="00823AB3" w:rsidRPr="00B237E2" w:rsidRDefault="00823AB3" w:rsidP="00E124B0">
      <w:pPr>
        <w:rPr>
          <w:lang w:val="es-ES"/>
        </w:rPr>
      </w:pPr>
      <w:r w:rsidRPr="00B237E2">
        <w:rPr>
          <w:lang w:val="es-ES"/>
        </w:rPr>
        <w:t>De conformidad con la Resolución 1343 del Consejo, la Asamblea de Radiocomunicaciones de 2019 (AR-19</w:t>
      </w:r>
      <w:r w:rsidR="00B31C10" w:rsidRPr="00B237E2">
        <w:rPr>
          <w:lang w:val="es-ES"/>
        </w:rPr>
        <w:t>), celebrada</w:t>
      </w:r>
      <w:r w:rsidRPr="00B237E2">
        <w:rPr>
          <w:lang w:val="es-ES"/>
        </w:rPr>
        <w:t xml:space="preserve"> en Sharm el-Sheikh (Egipto) del 21 al 25 de octubre de 2019</w:t>
      </w:r>
      <w:r w:rsidR="00B31C10" w:rsidRPr="00B237E2">
        <w:rPr>
          <w:lang w:val="es-ES"/>
        </w:rPr>
        <w:t>,</w:t>
      </w:r>
      <w:r w:rsidRPr="00B237E2">
        <w:rPr>
          <w:lang w:val="es-ES"/>
        </w:rPr>
        <w:t xml:space="preserve"> congregó a 521 participantes en representación de 91 Administraciones, 31 Miembros de Sector y un organismo especializado de las Naciones Unidas.</w:t>
      </w:r>
      <w:bookmarkStart w:id="49" w:name="lt_pId086"/>
      <w:bookmarkEnd w:id="48"/>
    </w:p>
    <w:bookmarkEnd w:id="49"/>
    <w:p w14:paraId="7F43574A" w14:textId="54773E62" w:rsidR="00823AB3" w:rsidRPr="00B237E2" w:rsidRDefault="00B31C10" w:rsidP="00E124B0">
      <w:pPr>
        <w:rPr>
          <w:lang w:val="es-ES"/>
        </w:rPr>
      </w:pPr>
      <w:r w:rsidRPr="00B237E2">
        <w:rPr>
          <w:lang w:val="es-ES"/>
        </w:rPr>
        <w:t>Se</w:t>
      </w:r>
      <w:r w:rsidR="00823AB3" w:rsidRPr="00B237E2">
        <w:rPr>
          <w:lang w:val="es-ES"/>
        </w:rPr>
        <w:t xml:space="preserve"> revisó la Resolución UIT-R</w:t>
      </w:r>
      <w:r w:rsidR="00115DF9">
        <w:rPr>
          <w:lang w:val="es-ES"/>
        </w:rPr>
        <w:t> </w:t>
      </w:r>
      <w:hyperlink r:id="rId23" w:history="1">
        <w:r w:rsidR="00823AB3" w:rsidRPr="00B237E2">
          <w:rPr>
            <w:rStyle w:val="Hyperlink"/>
            <w:lang w:val="es-ES"/>
          </w:rPr>
          <w:t>1</w:t>
        </w:r>
      </w:hyperlink>
      <w:r w:rsidR="00823AB3" w:rsidRPr="00B237E2">
        <w:rPr>
          <w:lang w:val="es-ES"/>
        </w:rPr>
        <w:t xml:space="preserve">, "Métodos de trabajo de la Asamblea de Radiocomunicaciones, de las Comisiones de Estudio de Radiocomunicaciones, del Grupo Asesor de Radiocomunicaciones y de otros grupos del Sector de Radiocomunicaciones", </w:t>
      </w:r>
      <w:r w:rsidRPr="00B237E2">
        <w:rPr>
          <w:sz w:val="22"/>
          <w:szCs w:val="18"/>
          <w:lang w:val="es-ES"/>
        </w:rPr>
        <w:t>así como</w:t>
      </w:r>
      <w:r w:rsidR="00823AB3" w:rsidRPr="00B237E2">
        <w:rPr>
          <w:lang w:val="es-ES"/>
        </w:rPr>
        <w:t xml:space="preserve"> la Resolución UIT</w:t>
      </w:r>
      <w:r w:rsidR="00823AB3" w:rsidRPr="00B237E2">
        <w:rPr>
          <w:lang w:val="es-ES"/>
        </w:rPr>
        <w:noBreakHyphen/>
        <w:t>R </w:t>
      </w:r>
      <w:hyperlink r:id="rId24" w:history="1">
        <w:r w:rsidR="00823AB3" w:rsidRPr="00B237E2">
          <w:rPr>
            <w:rStyle w:val="Hyperlink"/>
            <w:lang w:val="es-ES"/>
          </w:rPr>
          <w:t>2</w:t>
        </w:r>
      </w:hyperlink>
      <w:r w:rsidR="00823AB3" w:rsidRPr="00B237E2">
        <w:rPr>
          <w:lang w:val="es-ES"/>
        </w:rPr>
        <w:t>, "Reunión Preparatoria de la Conferencia".</w:t>
      </w:r>
      <w:bookmarkStart w:id="50" w:name="lt_pId102"/>
    </w:p>
    <w:p w14:paraId="5578B921" w14:textId="77A74278" w:rsidR="00823AB3" w:rsidRPr="00B237E2" w:rsidRDefault="00823AB3" w:rsidP="00E124B0">
      <w:pPr>
        <w:rPr>
          <w:lang w:val="es-ES"/>
        </w:rPr>
      </w:pPr>
      <w:r w:rsidRPr="00B237E2">
        <w:rPr>
          <w:lang w:val="es-ES"/>
        </w:rPr>
        <w:t>Las</w:t>
      </w:r>
      <w:r w:rsidR="001373A9">
        <w:rPr>
          <w:lang w:val="es-ES"/>
        </w:rPr>
        <w:t xml:space="preserve"> </w:t>
      </w:r>
      <w:r w:rsidRPr="00B237E2">
        <w:rPr>
          <w:lang w:val="es-ES"/>
        </w:rPr>
        <w:t>seis</w:t>
      </w:r>
      <w:r w:rsidR="001373A9">
        <w:rPr>
          <w:lang w:val="es-ES"/>
        </w:rPr>
        <w:t xml:space="preserve"> </w:t>
      </w:r>
      <w:r w:rsidRPr="00B237E2">
        <w:rPr>
          <w:lang w:val="es-ES"/>
        </w:rPr>
        <w:t xml:space="preserve">Comisiones de Estudio </w:t>
      </w:r>
      <w:r w:rsidR="00B31C10" w:rsidRPr="00B237E2">
        <w:rPr>
          <w:lang w:val="es-ES"/>
        </w:rPr>
        <w:t>del UIT-R</w:t>
      </w:r>
      <w:r w:rsidRPr="00B237E2">
        <w:rPr>
          <w:lang w:val="es-ES"/>
        </w:rPr>
        <w:t xml:space="preserve"> proseguirán su labor durante el nuevo periodo de estudios (2019</w:t>
      </w:r>
      <w:r w:rsidRPr="00B237E2">
        <w:rPr>
          <w:lang w:val="es-ES"/>
        </w:rPr>
        <w:noBreakHyphen/>
        <w:t xml:space="preserve">2023). </w:t>
      </w:r>
      <w:bookmarkStart w:id="51" w:name="lt_pId103"/>
      <w:bookmarkEnd w:id="50"/>
      <w:r w:rsidRPr="00B237E2">
        <w:rPr>
          <w:lang w:val="es-ES"/>
        </w:rPr>
        <w:t xml:space="preserve">La estructura de las Comisiones de Estudio de Radiocomunicaciones figura en la </w:t>
      </w:r>
      <w:bookmarkEnd w:id="51"/>
      <w:r w:rsidRPr="00B237E2">
        <w:rPr>
          <w:lang w:val="es-ES"/>
        </w:rPr>
        <w:t>Resolución UIT-R</w:t>
      </w:r>
      <w:r w:rsidR="001373A9">
        <w:rPr>
          <w:lang w:val="es-ES"/>
        </w:rPr>
        <w:t> </w:t>
      </w:r>
      <w:hyperlink r:id="rId25" w:history="1">
        <w:r w:rsidRPr="00B237E2">
          <w:rPr>
            <w:rStyle w:val="Hyperlink"/>
            <w:lang w:val="es-ES"/>
          </w:rPr>
          <w:t>4</w:t>
        </w:r>
      </w:hyperlink>
      <w:r w:rsidRPr="00B237E2">
        <w:rPr>
          <w:lang w:val="es-ES"/>
        </w:rPr>
        <w:t>.</w:t>
      </w:r>
    </w:p>
    <w:p w14:paraId="1362FB96" w14:textId="6D7EF934" w:rsidR="00823AB3" w:rsidRPr="00B237E2" w:rsidRDefault="00823AB3" w:rsidP="00E124B0">
      <w:pPr>
        <w:rPr>
          <w:lang w:val="es-ES"/>
        </w:rPr>
      </w:pPr>
      <w:r w:rsidRPr="00B237E2">
        <w:rPr>
          <w:lang w:val="es-ES"/>
        </w:rPr>
        <w:t>La AR-19 aprobó el programa de trabajo y las Cuestiones de las Comisiones de Estudio de Radiocomunicaciones (véase la Resolución UIT-R</w:t>
      </w:r>
      <w:r w:rsidR="001373A9">
        <w:rPr>
          <w:lang w:val="es-ES"/>
        </w:rPr>
        <w:t> </w:t>
      </w:r>
      <w:hyperlink r:id="rId26" w:history="1">
        <w:r w:rsidRPr="00B237E2">
          <w:rPr>
            <w:rStyle w:val="Hyperlink"/>
            <w:lang w:val="es-ES"/>
          </w:rPr>
          <w:t>5</w:t>
        </w:r>
      </w:hyperlink>
      <w:r w:rsidRPr="00B237E2">
        <w:rPr>
          <w:lang w:val="es-ES"/>
        </w:rPr>
        <w:t>), así como cinco Recomendaciones UIT-R.</w:t>
      </w:r>
    </w:p>
    <w:p w14:paraId="479FF18C" w14:textId="48D022E8" w:rsidR="00823AB3" w:rsidRPr="00B237E2" w:rsidRDefault="002C4455" w:rsidP="0077163E">
      <w:pPr>
        <w:rPr>
          <w:lang w:val="es-ES"/>
        </w:rPr>
      </w:pPr>
      <w:r w:rsidRPr="00B237E2">
        <w:rPr>
          <w:lang w:val="es-ES"/>
        </w:rPr>
        <w:t xml:space="preserve">Se aprobó la </w:t>
      </w:r>
      <w:r w:rsidR="00823AB3" w:rsidRPr="00B237E2">
        <w:rPr>
          <w:lang w:val="es-ES"/>
        </w:rPr>
        <w:t>Resolución UIT-R</w:t>
      </w:r>
      <w:r w:rsidR="00115DF9">
        <w:rPr>
          <w:lang w:val="es-ES"/>
        </w:rPr>
        <w:t> </w:t>
      </w:r>
      <w:hyperlink r:id="rId27" w:history="1">
        <w:r w:rsidR="00823AB3" w:rsidRPr="001373A9">
          <w:rPr>
            <w:rStyle w:val="Hyperlink"/>
            <w:lang w:val="es-ES"/>
          </w:rPr>
          <w:t>70</w:t>
        </w:r>
      </w:hyperlink>
      <w:r w:rsidR="001373A9">
        <w:rPr>
          <w:lang w:val="es-ES"/>
        </w:rPr>
        <w:t>,</w:t>
      </w:r>
      <w:r w:rsidR="00823AB3" w:rsidRPr="00B237E2">
        <w:rPr>
          <w:lang w:val="es-ES"/>
        </w:rPr>
        <w:t xml:space="preserve"> </w:t>
      </w:r>
      <w:r w:rsidR="0077163E">
        <w:rPr>
          <w:lang w:val="es-ES"/>
        </w:rPr>
        <w:t>"</w:t>
      </w:r>
      <w:r w:rsidR="00823AB3" w:rsidRPr="00B237E2">
        <w:rPr>
          <w:lang w:val="es-ES"/>
        </w:rPr>
        <w:t>Principios aplicables al futuro desarrollo de la radiodifusión</w:t>
      </w:r>
      <w:r w:rsidR="0077163E">
        <w:rPr>
          <w:lang w:val="es-ES"/>
        </w:rPr>
        <w:t>"</w:t>
      </w:r>
      <w:r w:rsidRPr="00B237E2">
        <w:rPr>
          <w:lang w:val="es-ES"/>
        </w:rPr>
        <w:t xml:space="preserve">, así como la </w:t>
      </w:r>
      <w:r w:rsidR="00823AB3" w:rsidRPr="00B237E2">
        <w:rPr>
          <w:lang w:val="es-ES"/>
        </w:rPr>
        <w:t>Resolución UIT-</w:t>
      </w:r>
      <w:r w:rsidR="00823AB3" w:rsidRPr="001373A9">
        <w:rPr>
          <w:lang w:val="es-ES"/>
        </w:rPr>
        <w:t>R</w:t>
      </w:r>
      <w:r w:rsidR="00115DF9">
        <w:rPr>
          <w:lang w:val="es-ES"/>
        </w:rPr>
        <w:t> </w:t>
      </w:r>
      <w:hyperlink r:id="rId28" w:history="1">
        <w:r w:rsidR="00823AB3" w:rsidRPr="001373A9">
          <w:rPr>
            <w:rStyle w:val="Hyperlink"/>
            <w:lang w:val="es-ES"/>
          </w:rPr>
          <w:t>71</w:t>
        </w:r>
      </w:hyperlink>
      <w:r w:rsidR="001373A9">
        <w:rPr>
          <w:lang w:val="es-ES"/>
        </w:rPr>
        <w:t>,</w:t>
      </w:r>
      <w:r w:rsidR="00823AB3" w:rsidRPr="00B237E2">
        <w:rPr>
          <w:lang w:val="es-ES"/>
        </w:rPr>
        <w:t xml:space="preserve"> </w:t>
      </w:r>
      <w:r w:rsidR="0077163E">
        <w:rPr>
          <w:lang w:val="es-ES"/>
        </w:rPr>
        <w:t>"</w:t>
      </w:r>
      <w:r w:rsidR="00823AB3" w:rsidRPr="00B237E2">
        <w:rPr>
          <w:lang w:val="es-ES"/>
        </w:rPr>
        <w:t>Función del Sector de Radiocomunicaciones en el desarrollo continuo de la radiodifusión de televisión, sonido y multimedios</w:t>
      </w:r>
      <w:r w:rsidR="0077163E">
        <w:rPr>
          <w:lang w:val="es-ES"/>
        </w:rPr>
        <w:t>"</w:t>
      </w:r>
      <w:r w:rsidRPr="00B237E2">
        <w:rPr>
          <w:lang w:val="es-ES"/>
        </w:rPr>
        <w:t>.</w:t>
      </w:r>
    </w:p>
    <w:p w14:paraId="5607622E" w14:textId="0EEDDCE8" w:rsidR="00823AB3" w:rsidRPr="00B237E2" w:rsidRDefault="00823AB3" w:rsidP="001373A9">
      <w:pPr>
        <w:rPr>
          <w:lang w:val="es-ES"/>
        </w:rPr>
      </w:pPr>
      <w:bookmarkStart w:id="52" w:name="lt_pId104"/>
      <w:r w:rsidRPr="00B237E2">
        <w:rPr>
          <w:lang w:val="es-ES"/>
        </w:rPr>
        <w:t>La Asamblea suprimió tres Resoluciones UIT-R, a saber</w:t>
      </w:r>
      <w:bookmarkEnd w:id="52"/>
      <w:r w:rsidR="002C4455" w:rsidRPr="00B237E2">
        <w:rPr>
          <w:lang w:val="es-ES"/>
        </w:rPr>
        <w:t xml:space="preserve">, la </w:t>
      </w:r>
      <w:bookmarkStart w:id="53" w:name="lt_pId105"/>
      <w:r w:rsidRPr="00B237E2">
        <w:rPr>
          <w:lang w:val="es-ES"/>
        </w:rPr>
        <w:t xml:space="preserve">Resolución UIT-R </w:t>
      </w:r>
      <w:hyperlink r:id="rId29" w:history="1">
        <w:r w:rsidRPr="00B237E2">
          <w:rPr>
            <w:rStyle w:val="Hyperlink"/>
            <w:lang w:val="es-ES"/>
          </w:rPr>
          <w:t>34</w:t>
        </w:r>
      </w:hyperlink>
      <w:r w:rsidR="001373A9">
        <w:rPr>
          <w:lang w:val="es-ES"/>
        </w:rPr>
        <w:t>,</w:t>
      </w:r>
      <w:r w:rsidRPr="00B237E2">
        <w:rPr>
          <w:lang w:val="es-ES"/>
        </w:rPr>
        <w:t xml:space="preserve"> </w:t>
      </w:r>
      <w:bookmarkEnd w:id="53"/>
      <w:r w:rsidR="0077163E">
        <w:rPr>
          <w:lang w:val="es-ES"/>
        </w:rPr>
        <w:t>"</w:t>
      </w:r>
      <w:r w:rsidRPr="00B237E2">
        <w:rPr>
          <w:lang w:val="es-ES"/>
        </w:rPr>
        <w:t>Directrices para la preparación de términos y definiciones</w:t>
      </w:r>
      <w:r w:rsidR="0077163E">
        <w:rPr>
          <w:lang w:val="es-ES"/>
        </w:rPr>
        <w:t>"</w:t>
      </w:r>
      <w:r w:rsidR="002C4455" w:rsidRPr="00B237E2">
        <w:rPr>
          <w:lang w:val="es-ES"/>
        </w:rPr>
        <w:t xml:space="preserve">; la </w:t>
      </w:r>
      <w:bookmarkStart w:id="54" w:name="lt_pId106"/>
      <w:r w:rsidRPr="00B237E2">
        <w:rPr>
          <w:lang w:val="es-ES"/>
        </w:rPr>
        <w:t xml:space="preserve">Resolución UIT-R </w:t>
      </w:r>
      <w:hyperlink r:id="rId30" w:history="1">
        <w:r w:rsidRPr="00B237E2">
          <w:rPr>
            <w:rStyle w:val="Hyperlink"/>
            <w:lang w:val="es-ES"/>
          </w:rPr>
          <w:t>35</w:t>
        </w:r>
      </w:hyperlink>
      <w:r w:rsidR="001373A9">
        <w:rPr>
          <w:lang w:val="es-ES"/>
        </w:rPr>
        <w:t>,</w:t>
      </w:r>
      <w:r w:rsidRPr="00B237E2">
        <w:rPr>
          <w:lang w:val="es-ES"/>
        </w:rPr>
        <w:t xml:space="preserve"> </w:t>
      </w:r>
      <w:bookmarkEnd w:id="54"/>
      <w:r w:rsidR="0077163E">
        <w:rPr>
          <w:lang w:val="es-ES"/>
        </w:rPr>
        <w:t>"</w:t>
      </w:r>
      <w:r w:rsidRPr="00B237E2">
        <w:rPr>
          <w:lang w:val="es-ES"/>
        </w:rPr>
        <w:t>Organización de las tareas de vocabulario en cuanto a los términos y las definiciones</w:t>
      </w:r>
      <w:r w:rsidR="0077163E">
        <w:rPr>
          <w:lang w:val="es-ES"/>
        </w:rPr>
        <w:t>"</w:t>
      </w:r>
      <w:r w:rsidR="002C4455" w:rsidRPr="00B237E2">
        <w:rPr>
          <w:lang w:val="es-ES"/>
        </w:rPr>
        <w:t xml:space="preserve">; y la </w:t>
      </w:r>
      <w:bookmarkStart w:id="55" w:name="lt_pId107"/>
      <w:r w:rsidRPr="00B237E2">
        <w:rPr>
          <w:lang w:val="es-ES"/>
        </w:rPr>
        <w:t xml:space="preserve">Resolución UIT-R </w:t>
      </w:r>
      <w:hyperlink r:id="rId31" w:history="1">
        <w:r w:rsidRPr="00B237E2">
          <w:rPr>
            <w:rStyle w:val="Hyperlink"/>
            <w:lang w:val="es-ES"/>
          </w:rPr>
          <w:t>43</w:t>
        </w:r>
      </w:hyperlink>
      <w:r w:rsidR="001373A9">
        <w:rPr>
          <w:lang w:val="es-ES"/>
        </w:rPr>
        <w:t>,</w:t>
      </w:r>
      <w:r w:rsidRPr="00B237E2">
        <w:rPr>
          <w:lang w:val="es-ES"/>
        </w:rPr>
        <w:t xml:space="preserve"> </w:t>
      </w:r>
      <w:bookmarkEnd w:id="55"/>
      <w:r w:rsidR="001373A9">
        <w:rPr>
          <w:lang w:val="es-ES"/>
        </w:rPr>
        <w:t>"</w:t>
      </w:r>
      <w:r w:rsidRPr="00B237E2">
        <w:rPr>
          <w:lang w:val="es-ES"/>
        </w:rPr>
        <w:t>Derechos de los asociados</w:t>
      </w:r>
      <w:r w:rsidR="001373A9">
        <w:rPr>
          <w:lang w:val="es-ES"/>
        </w:rPr>
        <w:t>".</w:t>
      </w:r>
    </w:p>
    <w:p w14:paraId="1AAFC74A" w14:textId="0A533137" w:rsidR="00F23900" w:rsidRPr="001373A9" w:rsidRDefault="00F23900" w:rsidP="00E124B0">
      <w:pPr>
        <w:rPr>
          <w:u w:val="single"/>
          <w:lang w:val="es-ES" w:eastAsia="en-GB"/>
        </w:rPr>
      </w:pPr>
      <w:r w:rsidRPr="001373A9">
        <w:rPr>
          <w:u w:val="single"/>
          <w:lang w:val="es-ES" w:eastAsia="en-GB"/>
        </w:rPr>
        <w:t>Publica</w:t>
      </w:r>
      <w:r w:rsidR="002C4455" w:rsidRPr="00B237E2">
        <w:rPr>
          <w:u w:val="single"/>
          <w:lang w:val="es-ES" w:eastAsia="en-GB"/>
        </w:rPr>
        <w:t>ciones</w:t>
      </w:r>
    </w:p>
    <w:p w14:paraId="2106DFEE" w14:textId="25E2F212" w:rsidR="00F23900" w:rsidRPr="001373A9" w:rsidRDefault="006D3673" w:rsidP="001373A9">
      <w:pPr>
        <w:rPr>
          <w:lang w:val="es-ES"/>
        </w:rPr>
      </w:pPr>
      <w:r w:rsidRPr="001373A9">
        <w:rPr>
          <w:lang w:val="es-ES"/>
        </w:rPr>
        <w:t xml:space="preserve">Se ha publicado </w:t>
      </w:r>
      <w:r w:rsidR="00EE255F" w:rsidRPr="001373A9">
        <w:rPr>
          <w:lang w:val="es-ES"/>
        </w:rPr>
        <w:t>una</w:t>
      </w:r>
      <w:r w:rsidRPr="001373A9">
        <w:rPr>
          <w:lang w:val="es-ES"/>
        </w:rPr>
        <w:t xml:space="preserve"> recopilación de las </w:t>
      </w:r>
      <w:hyperlink r:id="rId32" w:history="1">
        <w:r w:rsidRPr="00ED57F2">
          <w:rPr>
            <w:rStyle w:val="Hyperlink"/>
            <w:lang w:val="es-ES"/>
          </w:rPr>
          <w:t>Resoluciones del UIT-R</w:t>
        </w:r>
      </w:hyperlink>
      <w:r w:rsidR="00EE255F" w:rsidRPr="001373A9">
        <w:rPr>
          <w:lang w:val="es-ES"/>
        </w:rPr>
        <w:t>,</w:t>
      </w:r>
      <w:r w:rsidRPr="001373A9">
        <w:rPr>
          <w:lang w:val="es-ES"/>
        </w:rPr>
        <w:t xml:space="preserve"> </w:t>
      </w:r>
      <w:r w:rsidR="00EE255F" w:rsidRPr="001373A9">
        <w:rPr>
          <w:lang w:val="es-ES"/>
        </w:rPr>
        <w:t>que</w:t>
      </w:r>
      <w:r w:rsidRPr="001373A9">
        <w:rPr>
          <w:lang w:val="es-ES"/>
        </w:rPr>
        <w:t xml:space="preserve"> puede descargarse a través del sitio web de la UIT</w:t>
      </w:r>
      <w:r w:rsidR="00F23900" w:rsidRPr="00EB7F22">
        <w:rPr>
          <w:lang w:val="es-ES"/>
        </w:rPr>
        <w:t>.</w:t>
      </w:r>
    </w:p>
    <w:p w14:paraId="744E53E7" w14:textId="77777777" w:rsidR="00823AB3" w:rsidRPr="00B237E2" w:rsidRDefault="00823AB3" w:rsidP="00E124B0">
      <w:pPr>
        <w:pStyle w:val="Heading2"/>
        <w:rPr>
          <w:lang w:val="es-ES"/>
        </w:rPr>
      </w:pPr>
      <w:bookmarkStart w:id="56" w:name="_Toc41289274"/>
      <w:bookmarkStart w:id="57" w:name="_Toc41289416"/>
      <w:bookmarkStart w:id="58" w:name="_Toc97821261"/>
      <w:r w:rsidRPr="00D564B7">
        <w:rPr>
          <w:lang w:val="es-ES"/>
        </w:rPr>
        <w:t>1.2</w:t>
      </w:r>
      <w:r w:rsidRPr="00D564B7">
        <w:rPr>
          <w:lang w:val="es-ES"/>
        </w:rPr>
        <w:tab/>
        <w:t>Reglamentación y gestión del espectro y/o las órbitas</w:t>
      </w:r>
      <w:bookmarkEnd w:id="56"/>
      <w:bookmarkEnd w:id="57"/>
      <w:bookmarkEnd w:id="58"/>
    </w:p>
    <w:p w14:paraId="7BF5B2E9" w14:textId="2FC29342" w:rsidR="00823AB3" w:rsidRPr="00B237E2" w:rsidRDefault="00823AB3" w:rsidP="00E124B0">
      <w:pPr>
        <w:rPr>
          <w:lang w:val="es-ES"/>
        </w:rPr>
      </w:pPr>
      <w:r w:rsidRPr="00B237E2">
        <w:rPr>
          <w:lang w:val="es-ES"/>
        </w:rPr>
        <w:t xml:space="preserve">El </w:t>
      </w:r>
      <w:hyperlink r:id="rId33" w:history="1">
        <w:r w:rsidRPr="00FD7DE1">
          <w:rPr>
            <w:rStyle w:val="Hyperlink"/>
            <w:lang w:val="es-ES"/>
          </w:rPr>
          <w:t>Sector de Radiocomunicaciones de la UIT (UIT-R)</w:t>
        </w:r>
      </w:hyperlink>
      <w:r w:rsidRPr="00B237E2">
        <w:rPr>
          <w:lang w:val="es-ES"/>
        </w:rPr>
        <w:t xml:space="preserve"> desempeña un papel primordial en la gestión mundial del espectro de frecuencias radioeléctricas y las órbitas de satélite</w:t>
      </w:r>
      <w:r w:rsidR="00C5429E" w:rsidRPr="00B237E2">
        <w:rPr>
          <w:lang w:val="es-ES"/>
        </w:rPr>
        <w:t>. Esos</w:t>
      </w:r>
      <w:r w:rsidRPr="00B237E2">
        <w:rPr>
          <w:lang w:val="es-ES"/>
        </w:rPr>
        <w:t xml:space="preserve"> recursos naturales limitados </w:t>
      </w:r>
      <w:r w:rsidR="00C5429E" w:rsidRPr="00B237E2">
        <w:rPr>
          <w:lang w:val="es-ES"/>
        </w:rPr>
        <w:t>se destinan a</w:t>
      </w:r>
      <w:r w:rsidRPr="00B237E2">
        <w:rPr>
          <w:lang w:val="es-ES"/>
        </w:rPr>
        <w:t xml:space="preserve"> </w:t>
      </w:r>
      <w:r w:rsidR="00EE255F">
        <w:rPr>
          <w:lang w:val="es-ES"/>
        </w:rPr>
        <w:t>varios</w:t>
      </w:r>
      <w:r w:rsidRPr="00B237E2">
        <w:rPr>
          <w:lang w:val="es-ES"/>
        </w:rPr>
        <w:t xml:space="preserve"> servicios, </w:t>
      </w:r>
      <w:r w:rsidR="00C5429E" w:rsidRPr="00B237E2">
        <w:rPr>
          <w:lang w:val="es-ES"/>
        </w:rPr>
        <w:t>en particular,</w:t>
      </w:r>
      <w:r w:rsidRPr="00B237E2">
        <w:rPr>
          <w:lang w:val="es-ES"/>
        </w:rPr>
        <w:t xml:space="preserve"> los servicios fijo, móvil, de radiodifusión, de radioaficionados, de investigación espacial, de telecomunicaciones de emergencia, de meteorología, los sistemas mundiales de determinación de posición, la gestión medioambiental y los servicios de comunicaciones. </w:t>
      </w:r>
      <w:r w:rsidR="00C5429E" w:rsidRPr="00B237E2">
        <w:rPr>
          <w:lang w:val="es-ES"/>
        </w:rPr>
        <w:t>E</w:t>
      </w:r>
      <w:r w:rsidRPr="00B237E2">
        <w:rPr>
          <w:lang w:val="es-ES"/>
        </w:rPr>
        <w:t xml:space="preserve">l UIT-R crea las condiciones </w:t>
      </w:r>
      <w:r w:rsidR="00C5429E" w:rsidRPr="00B237E2">
        <w:rPr>
          <w:lang w:val="es-ES"/>
        </w:rPr>
        <w:t>propicias</w:t>
      </w:r>
      <w:r w:rsidRPr="00B237E2">
        <w:rPr>
          <w:lang w:val="es-ES"/>
        </w:rPr>
        <w:t xml:space="preserve"> para el desarrollo armonizado y el funcionamiento eficaz de los sistemas de radiocomunicaciones</w:t>
      </w:r>
      <w:r w:rsidR="00F55CF4" w:rsidRPr="00B237E2">
        <w:rPr>
          <w:lang w:val="es-ES"/>
        </w:rPr>
        <w:t>, tanto de los</w:t>
      </w:r>
      <w:r w:rsidRPr="00B237E2">
        <w:rPr>
          <w:lang w:val="es-ES"/>
        </w:rPr>
        <w:t xml:space="preserve"> existentes </w:t>
      </w:r>
      <w:r w:rsidR="00F55CF4" w:rsidRPr="00B237E2">
        <w:rPr>
          <w:lang w:val="es-ES"/>
        </w:rPr>
        <w:t>como de los de nueva creación</w:t>
      </w:r>
      <w:r w:rsidRPr="00B237E2">
        <w:rPr>
          <w:lang w:val="es-ES"/>
        </w:rPr>
        <w:t>.</w:t>
      </w:r>
    </w:p>
    <w:p w14:paraId="1BDD875D" w14:textId="639FFF05" w:rsidR="00823AB3" w:rsidRPr="00B237E2" w:rsidRDefault="00823AB3" w:rsidP="00CF7C5C">
      <w:pPr>
        <w:keepNext/>
        <w:keepLines/>
        <w:rPr>
          <w:lang w:val="es-ES"/>
        </w:rPr>
      </w:pPr>
      <w:r w:rsidRPr="00B237E2">
        <w:rPr>
          <w:lang w:val="es-ES"/>
        </w:rPr>
        <w:lastRenderedPageBreak/>
        <w:t>La UIT ayuda a los países en desarrollo a crear capacidades relacionadas con la gestión del espectro</w:t>
      </w:r>
      <w:r w:rsidR="00F55CF4" w:rsidRPr="00B237E2">
        <w:rPr>
          <w:lang w:val="es-ES"/>
        </w:rPr>
        <w:t>, como se refleja en los</w:t>
      </w:r>
      <w:r w:rsidRPr="00B237E2">
        <w:rPr>
          <w:lang w:val="es-ES"/>
        </w:rPr>
        <w:t xml:space="preserve"> resultados principales de la CMR-19 y la AR-19, incluidas la atribución y la compartición de frecuencias para una utilización eficaz de los recursos espectrales y orbitales</w:t>
      </w:r>
      <w:r w:rsidR="00EE255F">
        <w:rPr>
          <w:lang w:val="es-ES"/>
        </w:rPr>
        <w:t xml:space="preserve"> (véase la </w:t>
      </w:r>
      <w:hyperlink w:anchor="_1.1_CMR-19_y" w:history="1">
        <w:r w:rsidR="00210F77" w:rsidRPr="00084CD9">
          <w:rPr>
            <w:rStyle w:val="Hyperlink"/>
            <w:lang w:val="es-ES"/>
          </w:rPr>
          <w:t>s</w:t>
        </w:r>
        <w:r w:rsidR="00EE255F" w:rsidRPr="00084CD9">
          <w:rPr>
            <w:rStyle w:val="Hyperlink"/>
            <w:lang w:val="es-ES"/>
          </w:rPr>
          <w:t>ección</w:t>
        </w:r>
        <w:r w:rsidR="00115DF9" w:rsidRPr="00084CD9">
          <w:rPr>
            <w:rStyle w:val="Hyperlink"/>
            <w:lang w:val="es-ES"/>
          </w:rPr>
          <w:t> </w:t>
        </w:r>
        <w:r w:rsidR="00EE255F" w:rsidRPr="00084CD9">
          <w:rPr>
            <w:rStyle w:val="Hyperlink"/>
            <w:lang w:val="es-ES"/>
          </w:rPr>
          <w:t>1.1</w:t>
        </w:r>
      </w:hyperlink>
      <w:r w:rsidR="00EE255F">
        <w:rPr>
          <w:lang w:val="es-ES"/>
        </w:rPr>
        <w:t>)</w:t>
      </w:r>
      <w:r w:rsidRPr="00B237E2">
        <w:rPr>
          <w:lang w:val="es-ES"/>
        </w:rPr>
        <w:t>.</w:t>
      </w:r>
    </w:p>
    <w:p w14:paraId="1C9EB1DC" w14:textId="77777777" w:rsidR="00823AB3" w:rsidRPr="00B237E2" w:rsidRDefault="00823AB3" w:rsidP="00B0512E">
      <w:pPr>
        <w:pStyle w:val="Headingb"/>
        <w:spacing w:after="120"/>
        <w:rPr>
          <w:lang w:val="es-ES"/>
        </w:rPr>
      </w:pPr>
      <w:r w:rsidRPr="005C1927">
        <w:rPr>
          <w:lang w:val="es-ES"/>
        </w:rPr>
        <w:t>Resultados de la tramitación de notificaciones espaciales y otras actividades conexas</w:t>
      </w:r>
    </w:p>
    <w:tbl>
      <w:tblPr>
        <w:tblStyle w:val="ListTable4-Accent11"/>
        <w:tblW w:w="5000" w:type="pct"/>
        <w:jc w:val="center"/>
        <w:tblInd w:w="0" w:type="dxa"/>
        <w:tblLook w:val="04A0" w:firstRow="1" w:lastRow="0" w:firstColumn="1" w:lastColumn="0" w:noHBand="0" w:noVBand="1"/>
      </w:tblPr>
      <w:tblGrid>
        <w:gridCol w:w="3530"/>
        <w:gridCol w:w="903"/>
        <w:gridCol w:w="1008"/>
        <w:gridCol w:w="1021"/>
        <w:gridCol w:w="1960"/>
        <w:gridCol w:w="1207"/>
      </w:tblGrid>
      <w:tr w:rsidR="005C1927" w:rsidRPr="00B237E2" w14:paraId="1497DABB" w14:textId="77777777" w:rsidTr="005B15C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0" w:type="dxa"/>
            <w:hideMark/>
          </w:tcPr>
          <w:p w14:paraId="0F1A0BCF" w14:textId="77777777" w:rsidR="00F23900" w:rsidRPr="00B237E2" w:rsidRDefault="00F23900" w:rsidP="00E124B0">
            <w:pPr>
              <w:pStyle w:val="Tablehead"/>
              <w:rPr>
                <w:lang w:val="es-ES"/>
              </w:rPr>
            </w:pPr>
          </w:p>
        </w:tc>
        <w:tc>
          <w:tcPr>
            <w:tcW w:w="903" w:type="dxa"/>
            <w:noWrap/>
            <w:hideMark/>
          </w:tcPr>
          <w:p w14:paraId="4605EA1C" w14:textId="77777777" w:rsidR="00F23900" w:rsidRPr="00B237E2" w:rsidRDefault="00F23900" w:rsidP="00E124B0">
            <w:pPr>
              <w:pStyle w:val="Tablehead"/>
              <w:cnfStyle w:val="100000000000" w:firstRow="1" w:lastRow="0" w:firstColumn="0" w:lastColumn="0" w:oddVBand="0" w:evenVBand="0" w:oddHBand="0" w:evenHBand="0" w:firstRowFirstColumn="0" w:firstRowLastColumn="0" w:lastRowFirstColumn="0" w:lastRowLastColumn="0"/>
              <w:rPr>
                <w:b/>
                <w:bCs w:val="0"/>
                <w:lang w:val="es-ES"/>
              </w:rPr>
            </w:pPr>
            <w:r w:rsidRPr="00B237E2">
              <w:rPr>
                <w:b/>
                <w:bCs w:val="0"/>
                <w:lang w:val="es-ES"/>
              </w:rPr>
              <w:t>2018</w:t>
            </w:r>
          </w:p>
        </w:tc>
        <w:tc>
          <w:tcPr>
            <w:tcW w:w="1008" w:type="dxa"/>
            <w:noWrap/>
            <w:hideMark/>
          </w:tcPr>
          <w:p w14:paraId="6BF3088A" w14:textId="77777777" w:rsidR="00F23900" w:rsidRPr="00B237E2" w:rsidRDefault="00F23900" w:rsidP="00E124B0">
            <w:pPr>
              <w:pStyle w:val="Tablehead"/>
              <w:cnfStyle w:val="100000000000" w:firstRow="1" w:lastRow="0" w:firstColumn="0" w:lastColumn="0" w:oddVBand="0" w:evenVBand="0" w:oddHBand="0" w:evenHBand="0" w:firstRowFirstColumn="0" w:firstRowLastColumn="0" w:lastRowFirstColumn="0" w:lastRowLastColumn="0"/>
              <w:rPr>
                <w:b/>
                <w:bCs w:val="0"/>
                <w:lang w:val="es-ES"/>
              </w:rPr>
            </w:pPr>
            <w:r w:rsidRPr="00B237E2">
              <w:rPr>
                <w:b/>
                <w:bCs w:val="0"/>
                <w:lang w:val="es-ES"/>
              </w:rPr>
              <w:t>2019</w:t>
            </w:r>
          </w:p>
        </w:tc>
        <w:tc>
          <w:tcPr>
            <w:tcW w:w="1021" w:type="dxa"/>
            <w:noWrap/>
            <w:hideMark/>
          </w:tcPr>
          <w:p w14:paraId="659B8433" w14:textId="77777777" w:rsidR="00F23900" w:rsidRPr="00B237E2" w:rsidRDefault="00F23900" w:rsidP="00E124B0">
            <w:pPr>
              <w:pStyle w:val="Tablehead"/>
              <w:cnfStyle w:val="100000000000" w:firstRow="1" w:lastRow="0" w:firstColumn="0" w:lastColumn="0" w:oddVBand="0" w:evenVBand="0" w:oddHBand="0" w:evenHBand="0" w:firstRowFirstColumn="0" w:firstRowLastColumn="0" w:lastRowFirstColumn="0" w:lastRowLastColumn="0"/>
              <w:rPr>
                <w:b/>
                <w:bCs w:val="0"/>
                <w:lang w:val="es-ES"/>
              </w:rPr>
            </w:pPr>
            <w:r w:rsidRPr="00B237E2">
              <w:rPr>
                <w:b/>
                <w:bCs w:val="0"/>
                <w:lang w:val="es-ES"/>
              </w:rPr>
              <w:t>2020</w:t>
            </w:r>
          </w:p>
        </w:tc>
        <w:tc>
          <w:tcPr>
            <w:tcW w:w="1960" w:type="dxa"/>
          </w:tcPr>
          <w:p w14:paraId="6CFEB11E" w14:textId="6B166163" w:rsidR="00F23900" w:rsidRPr="00011FF2" w:rsidRDefault="00F23900" w:rsidP="00E124B0">
            <w:pPr>
              <w:pStyle w:val="Tablehead"/>
              <w:cnfStyle w:val="100000000000" w:firstRow="1" w:lastRow="0" w:firstColumn="0" w:lastColumn="0" w:oddVBand="0" w:evenVBand="0" w:oddHBand="0" w:evenHBand="0" w:firstRowFirstColumn="0" w:firstRowLastColumn="0" w:lastRowFirstColumn="0" w:lastRowLastColumn="0"/>
              <w:rPr>
                <w:b/>
                <w:bCs w:val="0"/>
                <w:lang w:val="es-ES"/>
              </w:rPr>
            </w:pPr>
            <w:r w:rsidRPr="00011FF2">
              <w:rPr>
                <w:b/>
                <w:bCs w:val="0"/>
                <w:lang w:val="es-ES"/>
              </w:rPr>
              <w:t>2021 (</w:t>
            </w:r>
            <w:r w:rsidR="00F55CF4" w:rsidRPr="00011FF2">
              <w:rPr>
                <w:b/>
                <w:bCs w:val="0"/>
                <w:lang w:val="es-ES"/>
              </w:rPr>
              <w:t>hasta el 16</w:t>
            </w:r>
            <w:r w:rsidR="00CF7C5C">
              <w:rPr>
                <w:b/>
                <w:bCs w:val="0"/>
                <w:lang w:val="es-ES"/>
              </w:rPr>
              <w:t> </w:t>
            </w:r>
            <w:r w:rsidR="00F55CF4" w:rsidRPr="00011FF2">
              <w:rPr>
                <w:b/>
                <w:bCs w:val="0"/>
                <w:lang w:val="es-ES"/>
              </w:rPr>
              <w:t>de noviembre</w:t>
            </w:r>
            <w:r w:rsidRPr="00011FF2">
              <w:rPr>
                <w:b/>
                <w:bCs w:val="0"/>
                <w:lang w:val="es-ES"/>
              </w:rPr>
              <w:t>)</w:t>
            </w:r>
          </w:p>
        </w:tc>
        <w:tc>
          <w:tcPr>
            <w:tcW w:w="1207" w:type="dxa"/>
          </w:tcPr>
          <w:p w14:paraId="1A2B924A" w14:textId="0A097494" w:rsidR="00F23900" w:rsidRPr="00B237E2" w:rsidRDefault="00F23900" w:rsidP="00E124B0">
            <w:pPr>
              <w:pStyle w:val="Tablehead"/>
              <w:cnfStyle w:val="100000000000" w:firstRow="1" w:lastRow="0" w:firstColumn="0" w:lastColumn="0" w:oddVBand="0" w:evenVBand="0" w:oddHBand="0" w:evenHBand="0" w:firstRowFirstColumn="0" w:firstRowLastColumn="0" w:lastRowFirstColumn="0" w:lastRowLastColumn="0"/>
              <w:rPr>
                <w:b/>
                <w:bCs w:val="0"/>
                <w:lang w:val="es-ES"/>
              </w:rPr>
            </w:pPr>
            <w:r w:rsidRPr="00B237E2">
              <w:rPr>
                <w:b/>
                <w:bCs w:val="0"/>
                <w:lang w:val="es-ES"/>
              </w:rPr>
              <w:t>Total</w:t>
            </w:r>
            <w:r w:rsidR="00011FF2">
              <w:rPr>
                <w:b/>
                <w:bCs w:val="0"/>
                <w:lang w:val="es-ES"/>
              </w:rPr>
              <w:br/>
              <w:t>2018-2021</w:t>
            </w:r>
          </w:p>
        </w:tc>
      </w:tr>
      <w:tr w:rsidR="005C1927" w:rsidRPr="00B237E2" w14:paraId="122A169F" w14:textId="77777777" w:rsidTr="005B15C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0" w:type="dxa"/>
            <w:hideMark/>
          </w:tcPr>
          <w:p w14:paraId="20AEF41A" w14:textId="77777777" w:rsidR="00F23900" w:rsidRPr="00B237E2" w:rsidRDefault="00F23900" w:rsidP="005C1927">
            <w:pPr>
              <w:pStyle w:val="Tabletext"/>
            </w:pPr>
            <w:r w:rsidRPr="00B237E2">
              <w:t xml:space="preserve">Solicitudes de </w:t>
            </w:r>
            <w:r w:rsidRPr="005C1927">
              <w:t>coordinación</w:t>
            </w:r>
            <w:r w:rsidRPr="00B237E2">
              <w:t xml:space="preserve"> y notificación</w:t>
            </w:r>
          </w:p>
        </w:tc>
        <w:tc>
          <w:tcPr>
            <w:tcW w:w="903" w:type="dxa"/>
            <w:noWrap/>
            <w:hideMark/>
          </w:tcPr>
          <w:p w14:paraId="13A13440" w14:textId="77777777" w:rsidR="00F23900" w:rsidRPr="004F745B" w:rsidRDefault="00F23900" w:rsidP="004F745B">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4F745B">
              <w:rPr>
                <w:lang w:val="es-ES"/>
              </w:rPr>
              <w:t>957</w:t>
            </w:r>
          </w:p>
        </w:tc>
        <w:tc>
          <w:tcPr>
            <w:tcW w:w="1008" w:type="dxa"/>
            <w:noWrap/>
            <w:hideMark/>
          </w:tcPr>
          <w:p w14:paraId="2A5E3519" w14:textId="77777777" w:rsidR="00F23900" w:rsidRPr="00B237E2" w:rsidRDefault="00F23900" w:rsidP="00E124B0">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B237E2">
              <w:rPr>
                <w:lang w:val="es-ES"/>
              </w:rPr>
              <w:t>1 174</w:t>
            </w:r>
          </w:p>
        </w:tc>
        <w:tc>
          <w:tcPr>
            <w:tcW w:w="1021" w:type="dxa"/>
            <w:noWrap/>
            <w:hideMark/>
          </w:tcPr>
          <w:p w14:paraId="7B27BC3F" w14:textId="77777777" w:rsidR="00F23900" w:rsidRPr="00B237E2" w:rsidRDefault="00F23900" w:rsidP="00E124B0">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B237E2">
              <w:rPr>
                <w:lang w:val="es-ES"/>
              </w:rPr>
              <w:t>886</w:t>
            </w:r>
          </w:p>
        </w:tc>
        <w:tc>
          <w:tcPr>
            <w:tcW w:w="1960" w:type="dxa"/>
          </w:tcPr>
          <w:p w14:paraId="3350C59D" w14:textId="2764500B" w:rsidR="00F23900" w:rsidRPr="00B237E2" w:rsidRDefault="00F23900" w:rsidP="00E124B0">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B237E2">
              <w:rPr>
                <w:lang w:val="es-ES"/>
              </w:rPr>
              <w:t>1</w:t>
            </w:r>
            <w:r w:rsidR="005C1927">
              <w:rPr>
                <w:lang w:val="es-ES"/>
              </w:rPr>
              <w:t> </w:t>
            </w:r>
            <w:r w:rsidRPr="00B237E2">
              <w:rPr>
                <w:lang w:val="es-ES"/>
              </w:rPr>
              <w:t>493</w:t>
            </w:r>
          </w:p>
        </w:tc>
        <w:tc>
          <w:tcPr>
            <w:tcW w:w="1207" w:type="dxa"/>
          </w:tcPr>
          <w:p w14:paraId="3E6DB79F" w14:textId="736EB29B" w:rsidR="00F23900" w:rsidRPr="00B237E2" w:rsidDel="009A1210" w:rsidRDefault="00F23900" w:rsidP="00E124B0">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B237E2">
              <w:rPr>
                <w:lang w:val="es-ES"/>
              </w:rPr>
              <w:t>4</w:t>
            </w:r>
            <w:r w:rsidR="005C1927">
              <w:rPr>
                <w:lang w:val="es-ES"/>
              </w:rPr>
              <w:t> </w:t>
            </w:r>
            <w:r w:rsidRPr="00B237E2">
              <w:rPr>
                <w:lang w:val="es-ES"/>
              </w:rPr>
              <w:t>510</w:t>
            </w:r>
          </w:p>
        </w:tc>
      </w:tr>
      <w:tr w:rsidR="00F55CF4" w:rsidRPr="00B237E2" w14:paraId="21A910B5" w14:textId="77777777" w:rsidTr="005B15CE">
        <w:trPr>
          <w:jc w:val="center"/>
        </w:trPr>
        <w:tc>
          <w:tcPr>
            <w:cnfStyle w:val="001000000000" w:firstRow="0" w:lastRow="0" w:firstColumn="1" w:lastColumn="0" w:oddVBand="0" w:evenVBand="0" w:oddHBand="0" w:evenHBand="0" w:firstRowFirstColumn="0" w:firstRowLastColumn="0" w:lastRowFirstColumn="0" w:lastRowLastColumn="0"/>
            <w:tcW w:w="3530" w:type="dxa"/>
            <w:hideMark/>
          </w:tcPr>
          <w:p w14:paraId="73B28CA7" w14:textId="77777777" w:rsidR="00F23900" w:rsidRPr="004F745B" w:rsidRDefault="00F23900" w:rsidP="00E124B0">
            <w:pPr>
              <w:pStyle w:val="Tabletext"/>
            </w:pPr>
            <w:r w:rsidRPr="004F745B">
              <w:t>Solicitudes de planes de radiodifusión por satélite y para enlaces de conexión conexos</w:t>
            </w:r>
          </w:p>
        </w:tc>
        <w:tc>
          <w:tcPr>
            <w:tcW w:w="903" w:type="dxa"/>
            <w:noWrap/>
            <w:hideMark/>
          </w:tcPr>
          <w:p w14:paraId="048E61BD" w14:textId="77777777" w:rsidR="00F23900" w:rsidRPr="00B237E2" w:rsidRDefault="00F23900" w:rsidP="00E124B0">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B237E2">
              <w:rPr>
                <w:lang w:val="es-ES"/>
              </w:rPr>
              <w:t>135</w:t>
            </w:r>
          </w:p>
        </w:tc>
        <w:tc>
          <w:tcPr>
            <w:tcW w:w="1008" w:type="dxa"/>
            <w:noWrap/>
            <w:hideMark/>
          </w:tcPr>
          <w:p w14:paraId="654853EB" w14:textId="77777777" w:rsidR="00F23900" w:rsidRPr="00B237E2" w:rsidRDefault="00F23900" w:rsidP="00E124B0">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B237E2">
              <w:rPr>
                <w:lang w:val="es-ES"/>
              </w:rPr>
              <w:t>73</w:t>
            </w:r>
          </w:p>
        </w:tc>
        <w:tc>
          <w:tcPr>
            <w:tcW w:w="1021" w:type="dxa"/>
            <w:noWrap/>
            <w:hideMark/>
          </w:tcPr>
          <w:p w14:paraId="22C84A6B" w14:textId="77777777" w:rsidR="00F23900" w:rsidRPr="00B237E2" w:rsidRDefault="00F23900" w:rsidP="00E124B0">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B237E2">
              <w:rPr>
                <w:lang w:val="es-ES"/>
              </w:rPr>
              <w:t>186*</w:t>
            </w:r>
          </w:p>
        </w:tc>
        <w:tc>
          <w:tcPr>
            <w:tcW w:w="1960" w:type="dxa"/>
          </w:tcPr>
          <w:p w14:paraId="40C3D21E" w14:textId="708EA851" w:rsidR="00F23900" w:rsidRPr="00B237E2" w:rsidRDefault="00F23900" w:rsidP="00E124B0">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B237E2">
              <w:rPr>
                <w:lang w:val="es-ES"/>
              </w:rPr>
              <w:t>63</w:t>
            </w:r>
          </w:p>
        </w:tc>
        <w:tc>
          <w:tcPr>
            <w:tcW w:w="1207" w:type="dxa"/>
          </w:tcPr>
          <w:p w14:paraId="78DBC1DC" w14:textId="7D1E0A40" w:rsidR="00F23900" w:rsidRPr="00B237E2" w:rsidRDefault="00F23900" w:rsidP="00E124B0">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B237E2">
              <w:rPr>
                <w:lang w:val="es-ES" w:eastAsia="fr-FR"/>
              </w:rPr>
              <w:t>457</w:t>
            </w:r>
          </w:p>
        </w:tc>
      </w:tr>
      <w:tr w:rsidR="005C1927" w:rsidRPr="00B237E2" w14:paraId="6EB79D5D" w14:textId="77777777" w:rsidTr="005B15C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0" w:type="dxa"/>
            <w:tcBorders>
              <w:bottom w:val="single" w:sz="4" w:space="0" w:color="95B3D7" w:themeColor="accent1" w:themeTint="99"/>
            </w:tcBorders>
            <w:hideMark/>
          </w:tcPr>
          <w:p w14:paraId="6DF2A5ED" w14:textId="77777777" w:rsidR="00F23900" w:rsidRPr="004F745B" w:rsidRDefault="00F23900" w:rsidP="00E124B0">
            <w:pPr>
              <w:pStyle w:val="Tabletext"/>
            </w:pPr>
            <w:r w:rsidRPr="004F745B">
              <w:t>Solicitudes de planes de servicio fijo por satélite</w:t>
            </w:r>
          </w:p>
        </w:tc>
        <w:tc>
          <w:tcPr>
            <w:tcW w:w="903" w:type="dxa"/>
            <w:tcBorders>
              <w:bottom w:val="single" w:sz="4" w:space="0" w:color="95B3D7" w:themeColor="accent1" w:themeTint="99"/>
            </w:tcBorders>
            <w:noWrap/>
            <w:hideMark/>
          </w:tcPr>
          <w:p w14:paraId="4FD28ACB" w14:textId="77777777" w:rsidR="00F23900" w:rsidRPr="00B237E2" w:rsidRDefault="00F23900" w:rsidP="00E124B0">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B237E2">
              <w:rPr>
                <w:lang w:val="es-ES"/>
              </w:rPr>
              <w:t>89</w:t>
            </w:r>
          </w:p>
        </w:tc>
        <w:tc>
          <w:tcPr>
            <w:tcW w:w="1008" w:type="dxa"/>
            <w:tcBorders>
              <w:bottom w:val="single" w:sz="4" w:space="0" w:color="95B3D7" w:themeColor="accent1" w:themeTint="99"/>
            </w:tcBorders>
            <w:noWrap/>
            <w:hideMark/>
          </w:tcPr>
          <w:p w14:paraId="5B236BEE" w14:textId="77777777" w:rsidR="00F23900" w:rsidRPr="00B237E2" w:rsidRDefault="00F23900" w:rsidP="00E124B0">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B237E2">
              <w:rPr>
                <w:lang w:val="es-ES"/>
              </w:rPr>
              <w:t>51</w:t>
            </w:r>
          </w:p>
        </w:tc>
        <w:tc>
          <w:tcPr>
            <w:tcW w:w="1021" w:type="dxa"/>
            <w:tcBorders>
              <w:bottom w:val="single" w:sz="4" w:space="0" w:color="95B3D7" w:themeColor="accent1" w:themeTint="99"/>
            </w:tcBorders>
            <w:noWrap/>
            <w:hideMark/>
          </w:tcPr>
          <w:p w14:paraId="78F06FA9" w14:textId="77777777" w:rsidR="00F23900" w:rsidRPr="00B237E2" w:rsidRDefault="00F23900" w:rsidP="00E124B0">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B237E2">
              <w:rPr>
                <w:lang w:val="es-ES"/>
              </w:rPr>
              <w:t>27**</w:t>
            </w:r>
          </w:p>
        </w:tc>
        <w:tc>
          <w:tcPr>
            <w:tcW w:w="1960" w:type="dxa"/>
            <w:tcBorders>
              <w:bottom w:val="single" w:sz="4" w:space="0" w:color="95B3D7" w:themeColor="accent1" w:themeTint="99"/>
            </w:tcBorders>
          </w:tcPr>
          <w:p w14:paraId="1A929DE4" w14:textId="7EADF51F" w:rsidR="00F23900" w:rsidRPr="004F745B" w:rsidRDefault="00F23900" w:rsidP="00E124B0">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4F745B">
              <w:rPr>
                <w:lang w:val="es-ES"/>
              </w:rPr>
              <w:t>62</w:t>
            </w:r>
          </w:p>
        </w:tc>
        <w:tc>
          <w:tcPr>
            <w:tcW w:w="1207" w:type="dxa"/>
            <w:tcBorders>
              <w:bottom w:val="single" w:sz="4" w:space="0" w:color="95B3D7" w:themeColor="accent1" w:themeTint="99"/>
            </w:tcBorders>
          </w:tcPr>
          <w:p w14:paraId="3AF89D4E" w14:textId="0A7B9814" w:rsidR="00F23900" w:rsidRPr="004F745B" w:rsidRDefault="00F23900" w:rsidP="00E124B0">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B237E2">
              <w:rPr>
                <w:lang w:val="es-ES"/>
              </w:rPr>
              <w:t>229</w:t>
            </w:r>
          </w:p>
        </w:tc>
      </w:tr>
      <w:tr w:rsidR="00CF7C5C" w:rsidRPr="00B237E2" w14:paraId="095BED21" w14:textId="77777777" w:rsidTr="005B15CE">
        <w:trPr>
          <w:jc w:val="center"/>
        </w:trPr>
        <w:tc>
          <w:tcPr>
            <w:cnfStyle w:val="001000000000" w:firstRow="0" w:lastRow="0" w:firstColumn="1" w:lastColumn="0" w:oddVBand="0" w:evenVBand="0" w:oddHBand="0" w:evenHBand="0" w:firstRowFirstColumn="0" w:firstRowLastColumn="0" w:lastRowFirstColumn="0" w:lastRowLastColumn="0"/>
            <w:tcW w:w="9629" w:type="dxa"/>
            <w:gridSpan w:val="6"/>
            <w:tcBorders>
              <w:left w:val="nil"/>
              <w:bottom w:val="nil"/>
              <w:right w:val="nil"/>
            </w:tcBorders>
          </w:tcPr>
          <w:p w14:paraId="1F9ED43E" w14:textId="77777777" w:rsidR="00CF7C5C" w:rsidRPr="00CF7C5C" w:rsidRDefault="00CF7C5C" w:rsidP="00CF7C5C">
            <w:pPr>
              <w:pStyle w:val="Tablelegend"/>
              <w:rPr>
                <w:b w:val="0"/>
                <w:bCs w:val="0"/>
                <w:lang w:val="es-ES"/>
              </w:rPr>
            </w:pPr>
            <w:r w:rsidRPr="00CF7C5C">
              <w:rPr>
                <w:b w:val="0"/>
                <w:bCs w:val="0"/>
                <w:lang w:val="es-ES"/>
              </w:rPr>
              <w:t>*</w:t>
            </w:r>
            <w:r w:rsidRPr="00CF7C5C">
              <w:rPr>
                <w:b w:val="0"/>
                <w:bCs w:val="0"/>
                <w:lang w:val="es-ES"/>
              </w:rPr>
              <w:tab/>
              <w:t xml:space="preserve">Comprendidas 90 solicitudes con arreglo a la Resolución </w:t>
            </w:r>
            <w:r w:rsidRPr="00CF7C5C">
              <w:rPr>
                <w:lang w:val="es-ES"/>
              </w:rPr>
              <w:t>559 (CMR-19)</w:t>
            </w:r>
            <w:r w:rsidRPr="00CF7C5C">
              <w:rPr>
                <w:b w:val="0"/>
                <w:bCs w:val="0"/>
                <w:lang w:val="es-ES"/>
              </w:rPr>
              <w:t>.</w:t>
            </w:r>
          </w:p>
          <w:p w14:paraId="3C57A4D9" w14:textId="0773932A" w:rsidR="00CF7C5C" w:rsidRPr="00CF7C5C" w:rsidRDefault="00CF7C5C" w:rsidP="00CF7C5C">
            <w:pPr>
              <w:pStyle w:val="Tablelegend"/>
              <w:rPr>
                <w:b w:val="0"/>
                <w:bCs w:val="0"/>
                <w:lang w:val="es-ES"/>
              </w:rPr>
            </w:pPr>
            <w:r w:rsidRPr="00CF7C5C">
              <w:rPr>
                <w:b w:val="0"/>
                <w:bCs w:val="0"/>
                <w:lang w:val="es-ES"/>
              </w:rPr>
              <w:t>**</w:t>
            </w:r>
            <w:r w:rsidRPr="00CF7C5C">
              <w:rPr>
                <w:b w:val="0"/>
                <w:bCs w:val="0"/>
                <w:lang w:val="es-ES"/>
              </w:rPr>
              <w:tab/>
              <w:t xml:space="preserve">A raíz de las notificaciones recibidas con arreglo al Artículo 7 del Apéndice </w:t>
            </w:r>
            <w:r w:rsidRPr="00CF7C5C">
              <w:rPr>
                <w:lang w:val="es-ES"/>
              </w:rPr>
              <w:t>30B</w:t>
            </w:r>
            <w:r w:rsidRPr="00CF7C5C">
              <w:rPr>
                <w:b w:val="0"/>
                <w:bCs w:val="0"/>
                <w:lang w:val="es-ES"/>
              </w:rPr>
              <w:t>, se ha aplazado la tramitación de otras notificaciones en aplicación del § 7.3 de este artículo.</w:t>
            </w:r>
          </w:p>
        </w:tc>
      </w:tr>
    </w:tbl>
    <w:p w14:paraId="7689CF66" w14:textId="30A9AD55" w:rsidR="00823AB3" w:rsidRPr="00B237E2" w:rsidRDefault="00823AB3" w:rsidP="00E124B0">
      <w:pPr>
        <w:pStyle w:val="Headingb"/>
        <w:spacing w:after="120"/>
        <w:rPr>
          <w:lang w:val="es-ES"/>
        </w:rPr>
      </w:pPr>
      <w:r w:rsidRPr="005C1927">
        <w:rPr>
          <w:lang w:val="es-ES"/>
        </w:rPr>
        <w:t>Resultados de la tramitación de notificaciones terrenales y otras actividades conexas</w:t>
      </w:r>
    </w:p>
    <w:tbl>
      <w:tblPr>
        <w:tblStyle w:val="GridTable4-Accent11"/>
        <w:tblW w:w="5000" w:type="pct"/>
        <w:jc w:val="center"/>
        <w:tblInd w:w="0" w:type="dxa"/>
        <w:tblLook w:val="04A0" w:firstRow="1" w:lastRow="0" w:firstColumn="1" w:lastColumn="0" w:noHBand="0" w:noVBand="1"/>
      </w:tblPr>
      <w:tblGrid>
        <w:gridCol w:w="3355"/>
        <w:gridCol w:w="1260"/>
        <w:gridCol w:w="1244"/>
        <w:gridCol w:w="1247"/>
        <w:gridCol w:w="1246"/>
        <w:gridCol w:w="1277"/>
      </w:tblGrid>
      <w:tr w:rsidR="00F51894" w:rsidRPr="00B237E2" w14:paraId="07736BF5" w14:textId="77777777" w:rsidTr="00F5189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55" w:type="dxa"/>
          </w:tcPr>
          <w:p w14:paraId="1FE66D59" w14:textId="77777777" w:rsidR="00823AB3" w:rsidRPr="00B237E2" w:rsidRDefault="00823AB3" w:rsidP="00E124B0">
            <w:pPr>
              <w:pStyle w:val="Tablehead"/>
              <w:rPr>
                <w:b/>
                <w:bCs w:val="0"/>
                <w:lang w:val="es-ES"/>
              </w:rPr>
            </w:pPr>
          </w:p>
        </w:tc>
        <w:tc>
          <w:tcPr>
            <w:tcW w:w="1260" w:type="dxa"/>
          </w:tcPr>
          <w:p w14:paraId="65FDBB62" w14:textId="6FB3F063" w:rsidR="00823AB3" w:rsidRPr="00B237E2" w:rsidRDefault="00F23900" w:rsidP="00E124B0">
            <w:pPr>
              <w:pStyle w:val="Tablehead"/>
              <w:cnfStyle w:val="100000000000" w:firstRow="1" w:lastRow="0" w:firstColumn="0" w:lastColumn="0" w:oddVBand="0" w:evenVBand="0" w:oddHBand="0" w:evenHBand="0" w:firstRowFirstColumn="0" w:firstRowLastColumn="0" w:lastRowFirstColumn="0" w:lastRowLastColumn="0"/>
              <w:rPr>
                <w:b/>
                <w:bCs w:val="0"/>
                <w:lang w:val="es-ES"/>
              </w:rPr>
            </w:pPr>
            <w:r w:rsidRPr="00B237E2">
              <w:rPr>
                <w:b/>
                <w:bCs w:val="0"/>
                <w:lang w:val="es-ES"/>
              </w:rPr>
              <w:t>2018</w:t>
            </w:r>
          </w:p>
        </w:tc>
        <w:tc>
          <w:tcPr>
            <w:tcW w:w="1244" w:type="dxa"/>
          </w:tcPr>
          <w:p w14:paraId="520A8674" w14:textId="367FFA7D" w:rsidR="00823AB3" w:rsidRPr="00B237E2" w:rsidRDefault="00F23900" w:rsidP="00E124B0">
            <w:pPr>
              <w:pStyle w:val="Tablehead"/>
              <w:cnfStyle w:val="100000000000" w:firstRow="1" w:lastRow="0" w:firstColumn="0" w:lastColumn="0" w:oddVBand="0" w:evenVBand="0" w:oddHBand="0" w:evenHBand="0" w:firstRowFirstColumn="0" w:firstRowLastColumn="0" w:lastRowFirstColumn="0" w:lastRowLastColumn="0"/>
              <w:rPr>
                <w:b/>
                <w:bCs w:val="0"/>
                <w:lang w:val="es-ES"/>
              </w:rPr>
            </w:pPr>
            <w:r w:rsidRPr="00B237E2">
              <w:rPr>
                <w:b/>
                <w:bCs w:val="0"/>
                <w:lang w:val="es-ES"/>
              </w:rPr>
              <w:t>2019</w:t>
            </w:r>
          </w:p>
        </w:tc>
        <w:tc>
          <w:tcPr>
            <w:tcW w:w="1247" w:type="dxa"/>
          </w:tcPr>
          <w:p w14:paraId="78D4E089" w14:textId="16A78DB6" w:rsidR="00823AB3" w:rsidRPr="00B237E2" w:rsidRDefault="00F23900" w:rsidP="00E124B0">
            <w:pPr>
              <w:pStyle w:val="Tablehead"/>
              <w:cnfStyle w:val="100000000000" w:firstRow="1" w:lastRow="0" w:firstColumn="0" w:lastColumn="0" w:oddVBand="0" w:evenVBand="0" w:oddHBand="0" w:evenHBand="0" w:firstRowFirstColumn="0" w:firstRowLastColumn="0" w:lastRowFirstColumn="0" w:lastRowLastColumn="0"/>
              <w:rPr>
                <w:b/>
                <w:bCs w:val="0"/>
                <w:lang w:val="es-ES"/>
              </w:rPr>
            </w:pPr>
            <w:r w:rsidRPr="00B237E2">
              <w:rPr>
                <w:b/>
                <w:bCs w:val="0"/>
                <w:lang w:val="es-ES"/>
              </w:rPr>
              <w:t>2020</w:t>
            </w:r>
          </w:p>
        </w:tc>
        <w:tc>
          <w:tcPr>
            <w:tcW w:w="1246" w:type="dxa"/>
          </w:tcPr>
          <w:p w14:paraId="19B6E427" w14:textId="47CED5B0" w:rsidR="00823AB3" w:rsidRPr="00B237E2" w:rsidRDefault="00F23900" w:rsidP="00E124B0">
            <w:pPr>
              <w:pStyle w:val="Tablehead"/>
              <w:cnfStyle w:val="100000000000" w:firstRow="1" w:lastRow="0" w:firstColumn="0" w:lastColumn="0" w:oddVBand="0" w:evenVBand="0" w:oddHBand="0" w:evenHBand="0" w:firstRowFirstColumn="0" w:firstRowLastColumn="0" w:lastRowFirstColumn="0" w:lastRowLastColumn="0"/>
              <w:rPr>
                <w:b/>
                <w:bCs w:val="0"/>
                <w:lang w:val="es-ES"/>
              </w:rPr>
            </w:pPr>
            <w:r w:rsidRPr="00B237E2">
              <w:rPr>
                <w:b/>
                <w:bCs w:val="0"/>
                <w:lang w:val="es-ES"/>
              </w:rPr>
              <w:t>2021</w:t>
            </w:r>
          </w:p>
        </w:tc>
        <w:tc>
          <w:tcPr>
            <w:tcW w:w="1277" w:type="dxa"/>
          </w:tcPr>
          <w:p w14:paraId="185B73BA" w14:textId="6F306980" w:rsidR="00823AB3" w:rsidRPr="00B237E2" w:rsidRDefault="00823AB3" w:rsidP="00E124B0">
            <w:pPr>
              <w:pStyle w:val="Tablehead"/>
              <w:cnfStyle w:val="100000000000" w:firstRow="1" w:lastRow="0" w:firstColumn="0" w:lastColumn="0" w:oddVBand="0" w:evenVBand="0" w:oddHBand="0" w:evenHBand="0" w:firstRowFirstColumn="0" w:firstRowLastColumn="0" w:lastRowFirstColumn="0" w:lastRowLastColumn="0"/>
              <w:rPr>
                <w:b/>
                <w:bCs w:val="0"/>
                <w:lang w:val="es-ES"/>
              </w:rPr>
            </w:pPr>
            <w:r w:rsidRPr="00B237E2">
              <w:rPr>
                <w:b/>
                <w:bCs w:val="0"/>
                <w:lang w:val="es-ES"/>
              </w:rPr>
              <w:t>Total</w:t>
            </w:r>
            <w:r w:rsidRPr="00B237E2">
              <w:rPr>
                <w:b/>
                <w:bCs w:val="0"/>
                <w:lang w:val="es-ES"/>
              </w:rPr>
              <w:br/>
            </w:r>
            <w:r w:rsidR="00F23900" w:rsidRPr="00B237E2">
              <w:rPr>
                <w:b/>
                <w:bCs w:val="0"/>
                <w:lang w:val="es-ES"/>
              </w:rPr>
              <w:t>2018</w:t>
            </w:r>
            <w:r w:rsidRPr="00B237E2">
              <w:rPr>
                <w:b/>
                <w:bCs w:val="0"/>
                <w:lang w:val="es-ES"/>
              </w:rPr>
              <w:t>-</w:t>
            </w:r>
            <w:r w:rsidR="00F23900" w:rsidRPr="00B237E2">
              <w:rPr>
                <w:b/>
                <w:bCs w:val="0"/>
                <w:lang w:val="es-ES"/>
              </w:rPr>
              <w:t>2021</w:t>
            </w:r>
          </w:p>
        </w:tc>
      </w:tr>
      <w:tr w:rsidR="00F51894" w:rsidRPr="00B237E2" w14:paraId="715F88CA" w14:textId="77777777" w:rsidTr="00F518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55" w:type="dxa"/>
          </w:tcPr>
          <w:p w14:paraId="7201511F" w14:textId="77777777" w:rsidR="00A56453" w:rsidRPr="00B237E2" w:rsidRDefault="00A56453" w:rsidP="00E124B0">
            <w:pPr>
              <w:pStyle w:val="Tabletext"/>
              <w:rPr>
                <w:lang w:val="es-ES"/>
              </w:rPr>
            </w:pPr>
            <w:r w:rsidRPr="00B237E2">
              <w:rPr>
                <w:lang w:val="es-ES"/>
              </w:rPr>
              <w:t>Notificaciones inscritas en el MIFR/Planes</w:t>
            </w:r>
          </w:p>
        </w:tc>
        <w:tc>
          <w:tcPr>
            <w:tcW w:w="1260" w:type="dxa"/>
          </w:tcPr>
          <w:p w14:paraId="3791F82A" w14:textId="1A91B93C" w:rsidR="00A56453" w:rsidRPr="00B237E2" w:rsidRDefault="00A56453" w:rsidP="00E124B0">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B237E2">
              <w:rPr>
                <w:lang w:val="es-ES"/>
              </w:rPr>
              <w:t>79 134/</w:t>
            </w:r>
            <w:r w:rsidRPr="00B237E2">
              <w:rPr>
                <w:lang w:val="es-ES"/>
              </w:rPr>
              <w:br/>
              <w:t>2 798</w:t>
            </w:r>
          </w:p>
        </w:tc>
        <w:tc>
          <w:tcPr>
            <w:tcW w:w="1244" w:type="dxa"/>
          </w:tcPr>
          <w:p w14:paraId="75EA3E4B" w14:textId="487758E5" w:rsidR="00A56453" w:rsidRPr="00B237E2" w:rsidRDefault="00A56453" w:rsidP="00E124B0">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B237E2">
              <w:rPr>
                <w:lang w:val="es-ES"/>
              </w:rPr>
              <w:t>81 602/</w:t>
            </w:r>
            <w:r w:rsidRPr="00B237E2">
              <w:rPr>
                <w:lang w:val="es-ES"/>
              </w:rPr>
              <w:br/>
              <w:t>3 690</w:t>
            </w:r>
          </w:p>
        </w:tc>
        <w:tc>
          <w:tcPr>
            <w:tcW w:w="1247" w:type="dxa"/>
          </w:tcPr>
          <w:p w14:paraId="3664B7B0" w14:textId="38A97783" w:rsidR="00A56453" w:rsidRPr="00B237E2" w:rsidRDefault="00A56453" w:rsidP="00E124B0">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B237E2">
              <w:rPr>
                <w:lang w:val="es-ES"/>
              </w:rPr>
              <w:t>252 555/</w:t>
            </w:r>
            <w:r w:rsidRPr="00B237E2">
              <w:rPr>
                <w:lang w:val="es-ES"/>
              </w:rPr>
              <w:br/>
              <w:t>5 355</w:t>
            </w:r>
          </w:p>
        </w:tc>
        <w:tc>
          <w:tcPr>
            <w:tcW w:w="1246" w:type="dxa"/>
          </w:tcPr>
          <w:p w14:paraId="50E798E7" w14:textId="1219B658" w:rsidR="00A56453" w:rsidRPr="00B237E2" w:rsidRDefault="00A56453" w:rsidP="00E124B0">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B237E2">
              <w:rPr>
                <w:rFonts w:eastAsia="Calibri"/>
                <w:lang w:val="es-ES"/>
              </w:rPr>
              <w:t>73 686/</w:t>
            </w:r>
            <w:r w:rsidRPr="00B237E2">
              <w:rPr>
                <w:rFonts w:eastAsia="Calibri"/>
                <w:lang w:val="es-ES"/>
              </w:rPr>
              <w:br/>
              <w:t>3 824</w:t>
            </w:r>
          </w:p>
        </w:tc>
        <w:tc>
          <w:tcPr>
            <w:tcW w:w="1277" w:type="dxa"/>
          </w:tcPr>
          <w:p w14:paraId="5FE1B813" w14:textId="0244CFF0" w:rsidR="00A56453" w:rsidRPr="00B237E2" w:rsidRDefault="00A56453" w:rsidP="00E124B0">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B237E2">
              <w:rPr>
                <w:rFonts w:eastAsia="Calibri"/>
                <w:color w:val="000000"/>
                <w:lang w:val="es-ES"/>
              </w:rPr>
              <w:t>486 977/</w:t>
            </w:r>
            <w:r w:rsidRPr="00B237E2">
              <w:rPr>
                <w:rFonts w:eastAsia="Calibri"/>
                <w:color w:val="000000"/>
                <w:lang w:val="es-ES"/>
              </w:rPr>
              <w:br/>
              <w:t>15 667</w:t>
            </w:r>
          </w:p>
        </w:tc>
      </w:tr>
      <w:tr w:rsidR="00A56453" w:rsidRPr="00B237E2" w14:paraId="56A3583B" w14:textId="77777777" w:rsidTr="00F51894">
        <w:trPr>
          <w:jc w:val="center"/>
        </w:trPr>
        <w:tc>
          <w:tcPr>
            <w:cnfStyle w:val="001000000000" w:firstRow="0" w:lastRow="0" w:firstColumn="1" w:lastColumn="0" w:oddVBand="0" w:evenVBand="0" w:oddHBand="0" w:evenHBand="0" w:firstRowFirstColumn="0" w:firstRowLastColumn="0" w:lastRowFirstColumn="0" w:lastRowLastColumn="0"/>
            <w:tcW w:w="3355" w:type="dxa"/>
          </w:tcPr>
          <w:p w14:paraId="790FB00E" w14:textId="77777777" w:rsidR="00A56453" w:rsidRPr="004F745B" w:rsidRDefault="00A56453" w:rsidP="00E124B0">
            <w:pPr>
              <w:pStyle w:val="Tabletext"/>
              <w:rPr>
                <w:lang w:val="es-ES"/>
              </w:rPr>
            </w:pPr>
            <w:r w:rsidRPr="004F745B">
              <w:rPr>
                <w:lang w:val="es-ES"/>
              </w:rPr>
              <w:t>Examen de las conclusiones de las asignaciones a estaciones terrenales inscritas en el MIFR</w:t>
            </w:r>
          </w:p>
        </w:tc>
        <w:tc>
          <w:tcPr>
            <w:tcW w:w="1260" w:type="dxa"/>
          </w:tcPr>
          <w:p w14:paraId="69E200E5" w14:textId="0005F29D" w:rsidR="00A56453" w:rsidRPr="00B237E2" w:rsidRDefault="00A56453" w:rsidP="00E124B0">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B237E2">
              <w:rPr>
                <w:lang w:val="es-ES"/>
              </w:rPr>
              <w:t>244</w:t>
            </w:r>
          </w:p>
        </w:tc>
        <w:tc>
          <w:tcPr>
            <w:tcW w:w="1244" w:type="dxa"/>
          </w:tcPr>
          <w:p w14:paraId="1E493C1E" w14:textId="13884EC8" w:rsidR="00A56453" w:rsidRPr="00B237E2" w:rsidRDefault="00A56453" w:rsidP="00E124B0">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B237E2">
              <w:rPr>
                <w:lang w:val="es-ES"/>
              </w:rPr>
              <w:t>164</w:t>
            </w:r>
          </w:p>
        </w:tc>
        <w:tc>
          <w:tcPr>
            <w:tcW w:w="1247" w:type="dxa"/>
          </w:tcPr>
          <w:p w14:paraId="7A940617" w14:textId="1A720949" w:rsidR="00A56453" w:rsidRPr="00B237E2" w:rsidRDefault="00A56453" w:rsidP="00E124B0">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B237E2">
              <w:rPr>
                <w:lang w:val="es-ES"/>
              </w:rPr>
              <w:t>5 221</w:t>
            </w:r>
          </w:p>
        </w:tc>
        <w:tc>
          <w:tcPr>
            <w:tcW w:w="1246" w:type="dxa"/>
          </w:tcPr>
          <w:p w14:paraId="1BBA8D3B" w14:textId="6CC3DAEE" w:rsidR="00A56453" w:rsidRPr="00B237E2" w:rsidRDefault="00A56453" w:rsidP="00E124B0">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B237E2">
              <w:rPr>
                <w:rFonts w:eastAsia="Calibri"/>
                <w:color w:val="000000"/>
                <w:lang w:val="es-ES"/>
              </w:rPr>
              <w:t>51 468</w:t>
            </w:r>
          </w:p>
        </w:tc>
        <w:tc>
          <w:tcPr>
            <w:tcW w:w="1277" w:type="dxa"/>
          </w:tcPr>
          <w:p w14:paraId="5EC8C10F" w14:textId="3821F3C6" w:rsidR="00A56453" w:rsidRPr="00B237E2" w:rsidRDefault="00A56453" w:rsidP="00E124B0">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B237E2">
              <w:rPr>
                <w:rFonts w:eastAsia="Calibri"/>
                <w:lang w:val="es-ES"/>
              </w:rPr>
              <w:t>57 097</w:t>
            </w:r>
          </w:p>
        </w:tc>
      </w:tr>
      <w:tr w:rsidR="00F51894" w:rsidRPr="00B237E2" w14:paraId="281DC5D9" w14:textId="77777777" w:rsidTr="00F518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55" w:type="dxa"/>
          </w:tcPr>
          <w:p w14:paraId="537CABF8" w14:textId="77777777" w:rsidR="00A56453" w:rsidRPr="004F745B" w:rsidRDefault="00A56453" w:rsidP="00E124B0">
            <w:pPr>
              <w:pStyle w:val="Tabletext"/>
              <w:rPr>
                <w:lang w:val="es-ES"/>
              </w:rPr>
            </w:pPr>
            <w:r w:rsidRPr="004F745B">
              <w:rPr>
                <w:lang w:val="es-ES"/>
              </w:rPr>
              <w:t>Notificaciones de estaciones costeras y de barco para su inclusión en la base de datos de servicios marítimos de la UIT</w:t>
            </w:r>
          </w:p>
        </w:tc>
        <w:tc>
          <w:tcPr>
            <w:tcW w:w="1260" w:type="dxa"/>
          </w:tcPr>
          <w:p w14:paraId="70DE2F71" w14:textId="5E3A537A" w:rsidR="00A56453" w:rsidRPr="00B237E2" w:rsidRDefault="00A56453" w:rsidP="00E124B0">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B237E2">
              <w:rPr>
                <w:lang w:val="es-ES"/>
              </w:rPr>
              <w:t>2 367</w:t>
            </w:r>
          </w:p>
        </w:tc>
        <w:tc>
          <w:tcPr>
            <w:tcW w:w="1244" w:type="dxa"/>
          </w:tcPr>
          <w:p w14:paraId="16CF06E7" w14:textId="51C33E2C" w:rsidR="00A56453" w:rsidRPr="00B237E2" w:rsidRDefault="00A56453" w:rsidP="00E124B0">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B237E2">
              <w:rPr>
                <w:lang w:val="es-ES"/>
              </w:rPr>
              <w:t>2 414</w:t>
            </w:r>
          </w:p>
        </w:tc>
        <w:tc>
          <w:tcPr>
            <w:tcW w:w="1247" w:type="dxa"/>
          </w:tcPr>
          <w:p w14:paraId="1F488158" w14:textId="167A6664" w:rsidR="00A56453" w:rsidRPr="00B237E2" w:rsidRDefault="00A56453" w:rsidP="00E124B0">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B237E2">
              <w:rPr>
                <w:lang w:val="es-ES"/>
              </w:rPr>
              <w:t>1 982</w:t>
            </w:r>
          </w:p>
        </w:tc>
        <w:tc>
          <w:tcPr>
            <w:tcW w:w="1246" w:type="dxa"/>
          </w:tcPr>
          <w:p w14:paraId="3B96D400" w14:textId="38CAD062" w:rsidR="00A56453" w:rsidRPr="00B237E2" w:rsidRDefault="00A56453" w:rsidP="00E124B0">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B237E2">
              <w:rPr>
                <w:color w:val="000000"/>
                <w:lang w:val="es-ES"/>
              </w:rPr>
              <w:t>1</w:t>
            </w:r>
            <w:r w:rsidR="005C1927">
              <w:rPr>
                <w:rFonts w:eastAsia="Calibri"/>
                <w:color w:val="000000"/>
                <w:lang w:val="es-ES"/>
              </w:rPr>
              <w:t> </w:t>
            </w:r>
            <w:r w:rsidRPr="00B237E2">
              <w:rPr>
                <w:rFonts w:eastAsia="Calibri"/>
                <w:color w:val="000000"/>
                <w:lang w:val="es-ES"/>
              </w:rPr>
              <w:t>865</w:t>
            </w:r>
          </w:p>
        </w:tc>
        <w:tc>
          <w:tcPr>
            <w:tcW w:w="1277" w:type="dxa"/>
          </w:tcPr>
          <w:p w14:paraId="244FE555" w14:textId="22CC2913" w:rsidR="00A56453" w:rsidRPr="00B237E2" w:rsidRDefault="00A56453" w:rsidP="00E124B0">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B237E2">
              <w:rPr>
                <w:rFonts w:eastAsia="Calibri"/>
                <w:color w:val="000000"/>
                <w:lang w:val="es-ES"/>
              </w:rPr>
              <w:t>8</w:t>
            </w:r>
            <w:r w:rsidR="005C1927">
              <w:rPr>
                <w:rFonts w:eastAsia="Calibri"/>
                <w:color w:val="000000"/>
                <w:lang w:val="es-ES"/>
              </w:rPr>
              <w:t> </w:t>
            </w:r>
            <w:r w:rsidRPr="00B237E2">
              <w:rPr>
                <w:color w:val="000000"/>
                <w:lang w:val="es-ES"/>
              </w:rPr>
              <w:t>628</w:t>
            </w:r>
          </w:p>
        </w:tc>
      </w:tr>
      <w:tr w:rsidR="00A56453" w:rsidRPr="00B237E2" w14:paraId="547B746C" w14:textId="77777777" w:rsidTr="00F51894">
        <w:trPr>
          <w:jc w:val="center"/>
        </w:trPr>
        <w:tc>
          <w:tcPr>
            <w:cnfStyle w:val="001000000000" w:firstRow="0" w:lastRow="0" w:firstColumn="1" w:lastColumn="0" w:oddVBand="0" w:evenVBand="0" w:oddHBand="0" w:evenHBand="0" w:firstRowFirstColumn="0" w:firstRowLastColumn="0" w:lastRowFirstColumn="0" w:lastRowLastColumn="0"/>
            <w:tcW w:w="3355" w:type="dxa"/>
          </w:tcPr>
          <w:p w14:paraId="193BD2C0" w14:textId="77777777" w:rsidR="00A56453" w:rsidRPr="004F745B" w:rsidRDefault="00A56453" w:rsidP="00E124B0">
            <w:pPr>
              <w:pStyle w:val="Tabletext"/>
              <w:rPr>
                <w:lang w:val="es-ES"/>
              </w:rPr>
            </w:pPr>
            <w:r w:rsidRPr="004F745B">
              <w:rPr>
                <w:lang w:val="es-ES"/>
              </w:rPr>
              <w:t>Requisitos de radiodifusión por ondas decamétricas</w:t>
            </w:r>
          </w:p>
        </w:tc>
        <w:tc>
          <w:tcPr>
            <w:tcW w:w="1260" w:type="dxa"/>
          </w:tcPr>
          <w:p w14:paraId="2710DD14" w14:textId="667D718F" w:rsidR="00A56453" w:rsidRPr="00B237E2" w:rsidRDefault="00A56453" w:rsidP="00E124B0">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B237E2">
              <w:rPr>
                <w:lang w:val="es-ES"/>
              </w:rPr>
              <w:t>31 215</w:t>
            </w:r>
          </w:p>
        </w:tc>
        <w:tc>
          <w:tcPr>
            <w:tcW w:w="1244" w:type="dxa"/>
          </w:tcPr>
          <w:p w14:paraId="4CFE0D20" w14:textId="272A096A" w:rsidR="00A56453" w:rsidRPr="00B237E2" w:rsidRDefault="00A56453" w:rsidP="00E124B0">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B237E2">
              <w:rPr>
                <w:lang w:val="es-ES"/>
              </w:rPr>
              <w:t>34 344</w:t>
            </w:r>
          </w:p>
        </w:tc>
        <w:tc>
          <w:tcPr>
            <w:tcW w:w="1247" w:type="dxa"/>
          </w:tcPr>
          <w:p w14:paraId="494A5BB1" w14:textId="25739DD8" w:rsidR="00A56453" w:rsidRPr="00B237E2" w:rsidRDefault="00A56453" w:rsidP="00E124B0">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B237E2">
              <w:rPr>
                <w:lang w:val="es-ES"/>
              </w:rPr>
              <w:t>31 738</w:t>
            </w:r>
          </w:p>
        </w:tc>
        <w:tc>
          <w:tcPr>
            <w:tcW w:w="1246" w:type="dxa"/>
          </w:tcPr>
          <w:p w14:paraId="44AC71B0" w14:textId="023E6828" w:rsidR="00A56453" w:rsidRPr="00B237E2" w:rsidRDefault="00A56453" w:rsidP="00E124B0">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B237E2">
              <w:rPr>
                <w:rFonts w:eastAsia="Calibri"/>
                <w:lang w:val="es-ES"/>
              </w:rPr>
              <w:t>20 806</w:t>
            </w:r>
          </w:p>
        </w:tc>
        <w:tc>
          <w:tcPr>
            <w:tcW w:w="1277" w:type="dxa"/>
          </w:tcPr>
          <w:p w14:paraId="2692455B" w14:textId="5977DED1" w:rsidR="00A56453" w:rsidRPr="00B237E2" w:rsidRDefault="00A56453" w:rsidP="00E124B0">
            <w:pPr>
              <w:pStyle w:val="Tabletext"/>
              <w:jc w:val="center"/>
              <w:cnfStyle w:val="000000000000" w:firstRow="0" w:lastRow="0" w:firstColumn="0" w:lastColumn="0" w:oddVBand="0" w:evenVBand="0" w:oddHBand="0" w:evenHBand="0" w:firstRowFirstColumn="0" w:firstRowLastColumn="0" w:lastRowFirstColumn="0" w:lastRowLastColumn="0"/>
              <w:rPr>
                <w:lang w:val="es-ES"/>
              </w:rPr>
            </w:pPr>
          </w:p>
        </w:tc>
      </w:tr>
      <w:tr w:rsidR="00F51894" w:rsidRPr="00B237E2" w14:paraId="010B216C" w14:textId="77777777" w:rsidTr="00F518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55" w:type="dxa"/>
          </w:tcPr>
          <w:p w14:paraId="1F2E2E33" w14:textId="39E7B7B5" w:rsidR="00A56453" w:rsidRPr="004F745B" w:rsidRDefault="00A56453" w:rsidP="004F745B">
            <w:pPr>
              <w:pStyle w:val="Tabletext"/>
              <w:rPr>
                <w:lang w:val="es-ES"/>
              </w:rPr>
            </w:pPr>
            <w:r w:rsidRPr="004F745B">
              <w:rPr>
                <w:lang w:val="es-ES"/>
              </w:rPr>
              <w:t>Observaciones relativas a la comprobación técnica en relación con el programa de comprobación en las bandas 2 850-28 000</w:t>
            </w:r>
            <w:r w:rsidR="00F51894" w:rsidRPr="004F745B">
              <w:rPr>
                <w:lang w:val="es-ES"/>
              </w:rPr>
              <w:t> </w:t>
            </w:r>
            <w:r w:rsidRPr="004F745B">
              <w:rPr>
                <w:lang w:val="es-ES"/>
              </w:rPr>
              <w:t>kHz y 406-406,1</w:t>
            </w:r>
            <w:r w:rsidR="00F51894" w:rsidRPr="004F745B">
              <w:rPr>
                <w:lang w:val="es-ES"/>
              </w:rPr>
              <w:t> </w:t>
            </w:r>
            <w:r w:rsidRPr="004F745B">
              <w:rPr>
                <w:lang w:val="es-ES"/>
              </w:rPr>
              <w:t>MHz</w:t>
            </w:r>
          </w:p>
        </w:tc>
        <w:tc>
          <w:tcPr>
            <w:tcW w:w="1260" w:type="dxa"/>
          </w:tcPr>
          <w:p w14:paraId="49AF21A2" w14:textId="3AA4808C" w:rsidR="00A56453" w:rsidRPr="00B237E2" w:rsidRDefault="00A56453" w:rsidP="00E124B0">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B237E2">
              <w:rPr>
                <w:lang w:val="es-ES"/>
              </w:rPr>
              <w:t>27 908/</w:t>
            </w:r>
            <w:r w:rsidRPr="00B237E2">
              <w:rPr>
                <w:lang w:val="es-ES"/>
              </w:rPr>
              <w:br/>
              <w:t>222</w:t>
            </w:r>
          </w:p>
        </w:tc>
        <w:tc>
          <w:tcPr>
            <w:tcW w:w="1244" w:type="dxa"/>
          </w:tcPr>
          <w:p w14:paraId="5EAA2C26" w14:textId="50E933CE" w:rsidR="00A56453" w:rsidRPr="00B237E2" w:rsidRDefault="00A56453" w:rsidP="00E124B0">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B237E2">
              <w:rPr>
                <w:lang w:val="es-ES"/>
              </w:rPr>
              <w:t>30 825/</w:t>
            </w:r>
            <w:r w:rsidRPr="00B237E2">
              <w:rPr>
                <w:lang w:val="es-ES"/>
              </w:rPr>
              <w:br/>
              <w:t>253</w:t>
            </w:r>
          </w:p>
        </w:tc>
        <w:tc>
          <w:tcPr>
            <w:tcW w:w="1247" w:type="dxa"/>
          </w:tcPr>
          <w:p w14:paraId="416CA803" w14:textId="412C7A3F" w:rsidR="00A56453" w:rsidRPr="00B237E2" w:rsidRDefault="00A56453" w:rsidP="00E124B0">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B237E2">
              <w:rPr>
                <w:lang w:val="es-ES"/>
              </w:rPr>
              <w:t>25 642/</w:t>
            </w:r>
            <w:r w:rsidRPr="00B237E2">
              <w:rPr>
                <w:lang w:val="es-ES"/>
              </w:rPr>
              <w:br/>
              <w:t>174</w:t>
            </w:r>
          </w:p>
        </w:tc>
        <w:tc>
          <w:tcPr>
            <w:tcW w:w="1246" w:type="dxa"/>
          </w:tcPr>
          <w:p w14:paraId="00765EC0" w14:textId="6C70B4B7" w:rsidR="00A56453" w:rsidRPr="00B237E2" w:rsidRDefault="00A56453" w:rsidP="00E124B0">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B237E2">
              <w:rPr>
                <w:rFonts w:eastAsia="Calibri"/>
                <w:color w:val="000000"/>
                <w:lang w:val="es-ES"/>
              </w:rPr>
              <w:t>17</w:t>
            </w:r>
            <w:r w:rsidR="005C1927">
              <w:rPr>
                <w:rFonts w:eastAsia="Calibri"/>
                <w:color w:val="000000"/>
                <w:lang w:val="es-ES"/>
              </w:rPr>
              <w:t> </w:t>
            </w:r>
            <w:r w:rsidRPr="00B237E2">
              <w:rPr>
                <w:rFonts w:eastAsia="Calibri"/>
                <w:color w:val="000000"/>
                <w:lang w:val="es-ES"/>
              </w:rPr>
              <w:t>513/</w:t>
            </w:r>
            <w:r w:rsidRPr="00B237E2">
              <w:rPr>
                <w:rFonts w:eastAsia="Calibri"/>
                <w:color w:val="000000"/>
                <w:lang w:val="es-ES"/>
              </w:rPr>
              <w:br/>
              <w:t>125</w:t>
            </w:r>
          </w:p>
        </w:tc>
        <w:tc>
          <w:tcPr>
            <w:tcW w:w="1277" w:type="dxa"/>
          </w:tcPr>
          <w:p w14:paraId="581D8F31" w14:textId="4E8C41CA" w:rsidR="00A56453" w:rsidRPr="00B237E2" w:rsidRDefault="00A56453" w:rsidP="00E124B0">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B237E2">
              <w:rPr>
                <w:rFonts w:eastAsia="Calibri"/>
                <w:color w:val="000000"/>
                <w:lang w:val="es-ES"/>
              </w:rPr>
              <w:t>101</w:t>
            </w:r>
            <w:r w:rsidR="005C1927">
              <w:rPr>
                <w:rFonts w:eastAsia="Calibri"/>
                <w:color w:val="000000"/>
                <w:lang w:val="es-ES"/>
              </w:rPr>
              <w:t> </w:t>
            </w:r>
            <w:r w:rsidRPr="00B237E2">
              <w:rPr>
                <w:rFonts w:eastAsia="Calibri"/>
                <w:color w:val="000000"/>
                <w:lang w:val="es-ES"/>
              </w:rPr>
              <w:t>888/</w:t>
            </w:r>
            <w:r w:rsidRPr="00B237E2">
              <w:rPr>
                <w:rFonts w:eastAsia="Calibri"/>
                <w:color w:val="000000"/>
                <w:lang w:val="es-ES"/>
              </w:rPr>
              <w:br/>
              <w:t>774</w:t>
            </w:r>
          </w:p>
        </w:tc>
      </w:tr>
      <w:tr w:rsidR="00F51894" w:rsidRPr="00B237E2" w14:paraId="21B891FD" w14:textId="77777777" w:rsidTr="00F51894">
        <w:trPr>
          <w:jc w:val="center"/>
        </w:trPr>
        <w:tc>
          <w:tcPr>
            <w:cnfStyle w:val="001000000000" w:firstRow="0" w:lastRow="0" w:firstColumn="1" w:lastColumn="0" w:oddVBand="0" w:evenVBand="0" w:oddHBand="0" w:evenHBand="0" w:firstRowFirstColumn="0" w:firstRowLastColumn="0" w:lastRowFirstColumn="0" w:lastRowLastColumn="0"/>
            <w:tcW w:w="3355" w:type="dxa"/>
          </w:tcPr>
          <w:p w14:paraId="230DEA47" w14:textId="77777777" w:rsidR="00A56453" w:rsidRPr="004F745B" w:rsidRDefault="00A56453" w:rsidP="00E124B0">
            <w:pPr>
              <w:pStyle w:val="Tabletext"/>
              <w:rPr>
                <w:lang w:val="es-ES"/>
              </w:rPr>
            </w:pPr>
            <w:r w:rsidRPr="004F745B">
              <w:rPr>
                <w:lang w:val="es-ES"/>
              </w:rPr>
              <w:t>Informes sobre interferencia perjudicial</w:t>
            </w:r>
          </w:p>
        </w:tc>
        <w:tc>
          <w:tcPr>
            <w:tcW w:w="1260" w:type="dxa"/>
          </w:tcPr>
          <w:p w14:paraId="67E1688E" w14:textId="05A9E8C6" w:rsidR="00A56453" w:rsidRPr="00B237E2" w:rsidRDefault="00A56453" w:rsidP="00E124B0">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B237E2">
              <w:rPr>
                <w:lang w:val="es-ES"/>
              </w:rPr>
              <w:t>1 096</w:t>
            </w:r>
          </w:p>
        </w:tc>
        <w:tc>
          <w:tcPr>
            <w:tcW w:w="1244" w:type="dxa"/>
          </w:tcPr>
          <w:p w14:paraId="4D74EEDB" w14:textId="6B8FDBA4" w:rsidR="00A56453" w:rsidRPr="00B237E2" w:rsidRDefault="00A56453" w:rsidP="00E124B0">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B237E2">
              <w:rPr>
                <w:lang w:val="es-ES"/>
              </w:rPr>
              <w:t>1 088</w:t>
            </w:r>
          </w:p>
        </w:tc>
        <w:tc>
          <w:tcPr>
            <w:tcW w:w="1247" w:type="dxa"/>
          </w:tcPr>
          <w:p w14:paraId="19FC32DC" w14:textId="4C77EA3C" w:rsidR="00A56453" w:rsidRPr="00B237E2" w:rsidRDefault="00A56453" w:rsidP="00E124B0">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B237E2">
              <w:rPr>
                <w:lang w:val="es-ES"/>
              </w:rPr>
              <w:t>1 165</w:t>
            </w:r>
          </w:p>
        </w:tc>
        <w:tc>
          <w:tcPr>
            <w:tcW w:w="1246" w:type="dxa"/>
          </w:tcPr>
          <w:p w14:paraId="7B37D997" w14:textId="21F6CF2A" w:rsidR="00A56453" w:rsidRPr="00B237E2" w:rsidRDefault="00A56453" w:rsidP="00E124B0">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B237E2">
              <w:rPr>
                <w:lang w:val="es-ES"/>
              </w:rPr>
              <w:t>1</w:t>
            </w:r>
            <w:r w:rsidR="005C1927">
              <w:rPr>
                <w:lang w:val="es-ES"/>
              </w:rPr>
              <w:t> </w:t>
            </w:r>
            <w:r w:rsidRPr="00B237E2">
              <w:rPr>
                <w:lang w:val="es-ES"/>
              </w:rPr>
              <w:t>163</w:t>
            </w:r>
          </w:p>
        </w:tc>
        <w:tc>
          <w:tcPr>
            <w:tcW w:w="1277" w:type="dxa"/>
          </w:tcPr>
          <w:p w14:paraId="28A3747C" w14:textId="384A2002" w:rsidR="00A56453" w:rsidRPr="00B237E2" w:rsidRDefault="00A56453" w:rsidP="00E124B0">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B237E2">
              <w:rPr>
                <w:rFonts w:eastAsia="Calibri"/>
                <w:lang w:val="es-ES"/>
              </w:rPr>
              <w:t>4</w:t>
            </w:r>
            <w:r w:rsidR="005C1927">
              <w:rPr>
                <w:rFonts w:eastAsia="Calibri"/>
                <w:lang w:val="es-ES"/>
              </w:rPr>
              <w:t> </w:t>
            </w:r>
            <w:r w:rsidRPr="00B237E2">
              <w:rPr>
                <w:rFonts w:eastAsia="Calibri"/>
                <w:lang w:val="es-ES"/>
              </w:rPr>
              <w:t>512</w:t>
            </w:r>
          </w:p>
        </w:tc>
      </w:tr>
    </w:tbl>
    <w:p w14:paraId="40C561B0" w14:textId="77777777" w:rsidR="00823AB3" w:rsidRPr="00B237E2" w:rsidRDefault="00823AB3" w:rsidP="00E124B0">
      <w:pPr>
        <w:pStyle w:val="Headingb"/>
        <w:rPr>
          <w:lang w:val="es-ES"/>
        </w:rPr>
      </w:pPr>
      <w:r w:rsidRPr="004F745B">
        <w:rPr>
          <w:lang w:val="es-ES"/>
        </w:rPr>
        <w:lastRenderedPageBreak/>
        <w:t xml:space="preserve">Mejora del </w:t>
      </w:r>
      <w:r w:rsidRPr="004F745B">
        <w:rPr>
          <w:i/>
          <w:lang w:val="es-ES"/>
        </w:rPr>
        <w:t>software</w:t>
      </w:r>
      <w:r w:rsidRPr="004F745B">
        <w:rPr>
          <w:lang w:val="es-ES"/>
        </w:rPr>
        <w:t xml:space="preserve"> del UIT</w:t>
      </w:r>
      <w:r w:rsidRPr="004F745B">
        <w:rPr>
          <w:rFonts w:ascii="Cambria Math" w:hAnsi="Cambria Math" w:cs="Cambria Math"/>
          <w:lang w:val="es-ES"/>
        </w:rPr>
        <w:t>‑</w:t>
      </w:r>
      <w:r w:rsidRPr="004F745B">
        <w:rPr>
          <w:lang w:val="es-ES"/>
        </w:rPr>
        <w:t>R</w:t>
      </w:r>
    </w:p>
    <w:p w14:paraId="3F0EAF9A" w14:textId="7C67A528" w:rsidR="00823AB3" w:rsidRPr="00B237E2" w:rsidRDefault="00F55CF4" w:rsidP="00E124B0">
      <w:pPr>
        <w:rPr>
          <w:lang w:val="es-ES"/>
        </w:rPr>
      </w:pPr>
      <w:r w:rsidRPr="00B237E2">
        <w:rPr>
          <w:lang w:val="es-ES"/>
        </w:rPr>
        <w:t>La</w:t>
      </w:r>
      <w:r w:rsidR="00823AB3" w:rsidRPr="00B237E2">
        <w:rPr>
          <w:lang w:val="es-ES"/>
        </w:rPr>
        <w:t xml:space="preserve"> Oficina de Radiocomunicaciones (BR) </w:t>
      </w:r>
      <w:r w:rsidR="00E124B0" w:rsidRPr="00B237E2">
        <w:rPr>
          <w:lang w:val="es-ES"/>
        </w:rPr>
        <w:t>sigue</w:t>
      </w:r>
      <w:r w:rsidR="00823AB3" w:rsidRPr="00B237E2">
        <w:rPr>
          <w:lang w:val="es-ES"/>
        </w:rPr>
        <w:t xml:space="preserve"> desarrollando aplicaciones informáticas y bases de datos</w:t>
      </w:r>
      <w:r w:rsidR="00F06875" w:rsidRPr="00B237E2">
        <w:rPr>
          <w:lang w:val="es-ES"/>
        </w:rPr>
        <w:t xml:space="preserve"> para</w:t>
      </w:r>
      <w:r w:rsidR="00823AB3" w:rsidRPr="00B237E2">
        <w:rPr>
          <w:lang w:val="es-ES"/>
        </w:rPr>
        <w:t xml:space="preserve"> facilitar a los miembros de la UIT la utilización de los productos del UIT-R.</w:t>
      </w:r>
      <w:r w:rsidR="00F06875" w:rsidRPr="00B237E2">
        <w:rPr>
          <w:lang w:val="es-ES"/>
        </w:rPr>
        <w:t xml:space="preserve"> </w:t>
      </w:r>
      <w:r w:rsidR="00823AB3" w:rsidRPr="00B237E2">
        <w:rPr>
          <w:lang w:val="es-ES"/>
        </w:rPr>
        <w:t>En 20</w:t>
      </w:r>
      <w:r w:rsidR="00F06875" w:rsidRPr="00B237E2">
        <w:rPr>
          <w:lang w:val="es-ES"/>
        </w:rPr>
        <w:t>2</w:t>
      </w:r>
      <w:r w:rsidR="00823AB3" w:rsidRPr="00B237E2">
        <w:rPr>
          <w:lang w:val="es-ES"/>
        </w:rPr>
        <w:t>0</w:t>
      </w:r>
      <w:r w:rsidR="004F745B">
        <w:rPr>
          <w:lang w:val="es-ES"/>
        </w:rPr>
        <w:t>,</w:t>
      </w:r>
      <w:r w:rsidR="00823AB3" w:rsidRPr="00B237E2">
        <w:rPr>
          <w:lang w:val="es-ES"/>
        </w:rPr>
        <w:t xml:space="preserve"> la BR actualizó la aplicación informática que </w:t>
      </w:r>
      <w:r w:rsidR="00E124B0" w:rsidRPr="00B237E2">
        <w:rPr>
          <w:lang w:val="es-ES"/>
        </w:rPr>
        <w:t>permite</w:t>
      </w:r>
      <w:r w:rsidR="00823AB3" w:rsidRPr="00B237E2">
        <w:rPr>
          <w:lang w:val="es-ES"/>
        </w:rPr>
        <w:t xml:space="preserve"> a los usuarios consultar y analizar el Cuadro de atribución de bandas de frecuencias, </w:t>
      </w:r>
      <w:r w:rsidR="00F06875" w:rsidRPr="00B237E2">
        <w:rPr>
          <w:lang w:val="es-ES"/>
        </w:rPr>
        <w:t>con arreglo a</w:t>
      </w:r>
      <w:r w:rsidR="00823AB3" w:rsidRPr="00B237E2">
        <w:rPr>
          <w:lang w:val="es-ES"/>
        </w:rPr>
        <w:t xml:space="preserve">l Artículo 5 del Reglamento de Radiocomunicaciones, así como otros textos, </w:t>
      </w:r>
      <w:r w:rsidR="00F06875" w:rsidRPr="00B237E2">
        <w:rPr>
          <w:lang w:val="es-ES"/>
        </w:rPr>
        <w:t>en particular</w:t>
      </w:r>
      <w:r w:rsidR="00823AB3" w:rsidRPr="00B237E2">
        <w:rPr>
          <w:lang w:val="es-ES"/>
        </w:rPr>
        <w:t xml:space="preserve"> Resoluciones de la CMR y las Recomendaciones UIT-R incorporadas por referencia y Reglas de Procedimiento. </w:t>
      </w:r>
      <w:r w:rsidR="006B23B2" w:rsidRPr="00B237E2">
        <w:rPr>
          <w:lang w:val="es-ES"/>
        </w:rPr>
        <w:t>Dicha</w:t>
      </w:r>
      <w:r w:rsidR="00823AB3" w:rsidRPr="00B237E2">
        <w:rPr>
          <w:lang w:val="es-ES"/>
        </w:rPr>
        <w:t xml:space="preserve"> aplicación </w:t>
      </w:r>
      <w:r w:rsidR="006B23B2" w:rsidRPr="00B237E2">
        <w:rPr>
          <w:lang w:val="es-ES"/>
        </w:rPr>
        <w:t>permite</w:t>
      </w:r>
      <w:r w:rsidR="00823AB3" w:rsidRPr="00B237E2">
        <w:rPr>
          <w:lang w:val="es-ES"/>
        </w:rPr>
        <w:t xml:space="preserve"> extraer la normativa regional o nacional aplicable con miras a la presentación de cuadros de atribución de bandas de frecuencias </w:t>
      </w:r>
      <w:r w:rsidR="006B23B2" w:rsidRPr="00B237E2">
        <w:rPr>
          <w:lang w:val="es-ES"/>
        </w:rPr>
        <w:t xml:space="preserve">a escalas </w:t>
      </w:r>
      <w:r w:rsidR="00823AB3" w:rsidRPr="00B237E2">
        <w:rPr>
          <w:lang w:val="es-ES"/>
        </w:rPr>
        <w:t>regional o naciona</w:t>
      </w:r>
      <w:r w:rsidR="006B23B2" w:rsidRPr="00B237E2">
        <w:rPr>
          <w:lang w:val="es-ES"/>
        </w:rPr>
        <w:t>l</w:t>
      </w:r>
      <w:r w:rsidR="00823AB3" w:rsidRPr="00B237E2">
        <w:rPr>
          <w:lang w:val="es-ES"/>
        </w:rPr>
        <w:t>.</w:t>
      </w:r>
    </w:p>
    <w:p w14:paraId="31737698" w14:textId="0E87F15B" w:rsidR="00823AB3" w:rsidRPr="00B237E2" w:rsidRDefault="00F06875" w:rsidP="00E124B0">
      <w:pPr>
        <w:rPr>
          <w:lang w:val="es-ES"/>
        </w:rPr>
      </w:pPr>
      <w:r w:rsidRPr="00B237E2">
        <w:rPr>
          <w:lang w:val="es-ES"/>
        </w:rPr>
        <w:t>Por otro lado</w:t>
      </w:r>
      <w:r w:rsidR="00823AB3" w:rsidRPr="00B237E2">
        <w:rPr>
          <w:lang w:val="es-ES"/>
        </w:rPr>
        <w:t xml:space="preserve">, el </w:t>
      </w:r>
      <w:r w:rsidR="00823AB3" w:rsidRPr="00B237E2">
        <w:rPr>
          <w:i/>
          <w:iCs/>
          <w:lang w:val="es-ES"/>
        </w:rPr>
        <w:t>software</w:t>
      </w:r>
      <w:r w:rsidR="00823AB3" w:rsidRPr="00B237E2">
        <w:rPr>
          <w:lang w:val="es-ES"/>
        </w:rPr>
        <w:t xml:space="preserve"> y las bases de datos se actualizaron para aplicar las decisiones de la</w:t>
      </w:r>
      <w:r w:rsidR="00CF7C5C">
        <w:rPr>
          <w:lang w:val="es-ES"/>
        </w:rPr>
        <w:t> </w:t>
      </w:r>
      <w:r w:rsidR="00823AB3" w:rsidRPr="00B237E2">
        <w:rPr>
          <w:lang w:val="es-ES"/>
        </w:rPr>
        <w:t>CMR-19 que entraron en vigor el 1 de enero de 2021.</w:t>
      </w:r>
    </w:p>
    <w:p w14:paraId="35998248" w14:textId="49F37182" w:rsidR="00823AB3" w:rsidRPr="00B237E2" w:rsidRDefault="00823AB3" w:rsidP="00E124B0">
      <w:pPr>
        <w:pStyle w:val="Headingb"/>
        <w:rPr>
          <w:lang w:val="es-ES"/>
        </w:rPr>
      </w:pPr>
      <w:r w:rsidRPr="00D564B7">
        <w:rPr>
          <w:lang w:val="es-ES"/>
        </w:rPr>
        <w:t>Avances relativos a los servicios terrenales</w:t>
      </w:r>
    </w:p>
    <w:p w14:paraId="75B6D5E7" w14:textId="38E0299A" w:rsidR="00A56453" w:rsidRPr="00876FCF" w:rsidRDefault="00F06875" w:rsidP="00EB7F22">
      <w:pPr>
        <w:rPr>
          <w:lang w:val="es-ES"/>
        </w:rPr>
      </w:pPr>
      <w:r w:rsidRPr="0077163E">
        <w:rPr>
          <w:lang w:val="es-ES"/>
        </w:rPr>
        <w:t xml:space="preserve">A continuación se especifican los </w:t>
      </w:r>
      <w:r w:rsidR="008E0292" w:rsidRPr="0077163E">
        <w:rPr>
          <w:lang w:val="es-ES"/>
        </w:rPr>
        <w:t>avances registrados al respecto:</w:t>
      </w:r>
    </w:p>
    <w:p w14:paraId="5D27CE8F" w14:textId="455B6F06" w:rsidR="00823AB3" w:rsidRPr="00B237E2" w:rsidRDefault="00823AB3" w:rsidP="00E124B0">
      <w:pPr>
        <w:pStyle w:val="enumlev1"/>
        <w:rPr>
          <w:lang w:val="es-ES"/>
        </w:rPr>
      </w:pPr>
      <w:r w:rsidRPr="00B237E2">
        <w:rPr>
          <w:lang w:val="es-ES"/>
        </w:rPr>
        <w:t>•</w:t>
      </w:r>
      <w:r w:rsidRPr="00B237E2">
        <w:rPr>
          <w:lang w:val="es-ES"/>
        </w:rPr>
        <w:tab/>
        <w:t xml:space="preserve">Aplicación de los cambios </w:t>
      </w:r>
      <w:r w:rsidR="00454902" w:rsidRPr="00B237E2">
        <w:rPr>
          <w:lang w:val="es-ES"/>
        </w:rPr>
        <w:t>que guardan relación con el</w:t>
      </w:r>
      <w:r w:rsidRPr="00B237E2">
        <w:rPr>
          <w:lang w:val="es-ES"/>
        </w:rPr>
        <w:t xml:space="preserve"> examen de notificaciones </w:t>
      </w:r>
      <w:r w:rsidR="002A1315" w:rsidRPr="00B237E2">
        <w:rPr>
          <w:lang w:val="es-ES"/>
        </w:rPr>
        <w:t>(</w:t>
      </w:r>
      <w:r w:rsidRPr="00B237E2">
        <w:rPr>
          <w:lang w:val="es-ES"/>
        </w:rPr>
        <w:t>número</w:t>
      </w:r>
      <w:r w:rsidR="0077163E">
        <w:rPr>
          <w:lang w:val="es-ES"/>
        </w:rPr>
        <w:t> </w:t>
      </w:r>
      <w:r w:rsidRPr="004F745B">
        <w:rPr>
          <w:lang w:val="es-ES"/>
        </w:rPr>
        <w:t xml:space="preserve">9.19 </w:t>
      </w:r>
      <w:r w:rsidRPr="00B237E2">
        <w:rPr>
          <w:lang w:val="es-ES"/>
        </w:rPr>
        <w:t>del Reglamento de Radiocomunicaciones).</w:t>
      </w:r>
    </w:p>
    <w:p w14:paraId="5B2C2BF3" w14:textId="10BC7C05" w:rsidR="00823AB3" w:rsidRPr="00B237E2" w:rsidRDefault="00823AB3" w:rsidP="00E124B0">
      <w:pPr>
        <w:pStyle w:val="enumlev1"/>
        <w:rPr>
          <w:lang w:val="es-ES"/>
        </w:rPr>
      </w:pPr>
      <w:r w:rsidRPr="00B237E2">
        <w:rPr>
          <w:lang w:val="es-ES"/>
        </w:rPr>
        <w:t>•</w:t>
      </w:r>
      <w:r w:rsidRPr="00B237E2">
        <w:rPr>
          <w:lang w:val="es-ES"/>
        </w:rPr>
        <w:tab/>
      </w:r>
      <w:r w:rsidR="00454902" w:rsidRPr="00B237E2">
        <w:rPr>
          <w:lang w:val="es-ES"/>
        </w:rPr>
        <w:t>Desarrollo de programas</w:t>
      </w:r>
      <w:r w:rsidR="004F745B">
        <w:rPr>
          <w:lang w:val="es-ES"/>
        </w:rPr>
        <w:t xml:space="preserve"> de</w:t>
      </w:r>
      <w:r w:rsidR="00454902" w:rsidRPr="00B237E2">
        <w:rPr>
          <w:lang w:val="es-ES"/>
        </w:rPr>
        <w:t xml:space="preserve"> información y herramientas para facilitar</w:t>
      </w:r>
      <w:r w:rsidRPr="00B237E2">
        <w:rPr>
          <w:lang w:val="es-ES"/>
        </w:rPr>
        <w:t xml:space="preserve"> la tramitación de solicitudes de coordinación </w:t>
      </w:r>
      <w:r w:rsidR="00454902" w:rsidRPr="00B237E2">
        <w:rPr>
          <w:lang w:val="es-ES"/>
        </w:rPr>
        <w:t>(</w:t>
      </w:r>
      <w:r w:rsidRPr="00B237E2">
        <w:rPr>
          <w:lang w:val="es-ES"/>
        </w:rPr>
        <w:t>número</w:t>
      </w:r>
      <w:r w:rsidR="005B15CE">
        <w:rPr>
          <w:lang w:val="es-ES"/>
        </w:rPr>
        <w:t> </w:t>
      </w:r>
      <w:r w:rsidRPr="004F745B">
        <w:rPr>
          <w:lang w:val="es-ES"/>
        </w:rPr>
        <w:t>9.21 del</w:t>
      </w:r>
      <w:r w:rsidRPr="00B237E2">
        <w:rPr>
          <w:lang w:val="es-ES"/>
        </w:rPr>
        <w:t xml:space="preserve"> RR</w:t>
      </w:r>
      <w:r w:rsidR="00454902" w:rsidRPr="00B237E2">
        <w:rPr>
          <w:lang w:val="es-ES"/>
        </w:rPr>
        <w:t>)</w:t>
      </w:r>
      <w:r w:rsidRPr="00B237E2">
        <w:rPr>
          <w:lang w:val="es-ES"/>
        </w:rPr>
        <w:t>.</w:t>
      </w:r>
    </w:p>
    <w:p w14:paraId="489EE79D" w14:textId="77777777" w:rsidR="00823AB3" w:rsidRPr="00B237E2" w:rsidRDefault="00823AB3" w:rsidP="00E124B0">
      <w:pPr>
        <w:pStyle w:val="enumlev1"/>
        <w:rPr>
          <w:lang w:val="es-ES"/>
        </w:rPr>
      </w:pPr>
      <w:r w:rsidRPr="00B237E2">
        <w:rPr>
          <w:lang w:val="es-ES"/>
        </w:rPr>
        <w:t>•</w:t>
      </w:r>
      <w:r w:rsidRPr="00B237E2">
        <w:rPr>
          <w:lang w:val="es-ES"/>
        </w:rPr>
        <w:tab/>
        <w:t xml:space="preserve">Integración del </w:t>
      </w:r>
      <w:r w:rsidRPr="00B237E2">
        <w:rPr>
          <w:i/>
          <w:lang w:val="es-ES"/>
        </w:rPr>
        <w:t>software</w:t>
      </w:r>
      <w:r w:rsidRPr="00B237E2">
        <w:rPr>
          <w:lang w:val="es-ES"/>
        </w:rPr>
        <w:t xml:space="preserve"> GE06 en TerRaSys.</w:t>
      </w:r>
    </w:p>
    <w:p w14:paraId="13283FD0" w14:textId="52EE2D22" w:rsidR="00823AB3" w:rsidRPr="00B237E2" w:rsidRDefault="00823AB3" w:rsidP="00E124B0">
      <w:pPr>
        <w:pStyle w:val="enumlev1"/>
        <w:rPr>
          <w:lang w:val="es-ES"/>
        </w:rPr>
      </w:pPr>
      <w:r w:rsidRPr="00B237E2">
        <w:rPr>
          <w:lang w:val="es-ES"/>
        </w:rPr>
        <w:t>•</w:t>
      </w:r>
      <w:r w:rsidRPr="00B237E2">
        <w:rPr>
          <w:lang w:val="es-ES"/>
        </w:rPr>
        <w:tab/>
        <w:t xml:space="preserve">Desarrollo </w:t>
      </w:r>
      <w:r w:rsidR="00454902" w:rsidRPr="00B237E2">
        <w:rPr>
          <w:lang w:val="es-ES"/>
        </w:rPr>
        <w:t xml:space="preserve">y mejora </w:t>
      </w:r>
      <w:r w:rsidRPr="00B237E2">
        <w:rPr>
          <w:lang w:val="es-ES"/>
        </w:rPr>
        <w:t xml:space="preserve">de la plataforma web eTerrestrial, que integra las herramientas eMIFR, eValidation </w:t>
      </w:r>
      <w:bookmarkStart w:id="59" w:name="_Hlk68686100"/>
      <w:r w:rsidRPr="00B237E2">
        <w:rPr>
          <w:lang w:val="es-ES"/>
        </w:rPr>
        <w:t xml:space="preserve">y eBroadcasting </w:t>
      </w:r>
      <w:bookmarkEnd w:id="59"/>
      <w:r w:rsidRPr="00B237E2">
        <w:rPr>
          <w:lang w:val="es-ES"/>
        </w:rPr>
        <w:t>(eQuery, ePub, eTools y MyAdmin).</w:t>
      </w:r>
    </w:p>
    <w:p w14:paraId="0A24D6DF" w14:textId="2B2B7207" w:rsidR="00823AB3" w:rsidRPr="00B237E2" w:rsidRDefault="00823AB3" w:rsidP="00E124B0">
      <w:pPr>
        <w:pStyle w:val="enumlev1"/>
        <w:rPr>
          <w:lang w:val="es-ES"/>
        </w:rPr>
      </w:pPr>
      <w:r w:rsidRPr="00B237E2">
        <w:rPr>
          <w:lang w:val="es-ES"/>
        </w:rPr>
        <w:t>•</w:t>
      </w:r>
      <w:r w:rsidRPr="00B237E2">
        <w:rPr>
          <w:lang w:val="es-ES"/>
        </w:rPr>
        <w:tab/>
        <w:t xml:space="preserve">Desarrollo </w:t>
      </w:r>
      <w:r w:rsidR="00454902" w:rsidRPr="00B237E2">
        <w:rPr>
          <w:lang w:val="es-ES"/>
        </w:rPr>
        <w:t xml:space="preserve">y mejora </w:t>
      </w:r>
      <w:r w:rsidRPr="00B237E2">
        <w:rPr>
          <w:lang w:val="es-ES"/>
        </w:rPr>
        <w:t xml:space="preserve">de la herramienta en línea "GE84 Optimization", para la optimización del Plan GE84 en países </w:t>
      </w:r>
      <w:r w:rsidR="00454902" w:rsidRPr="00B237E2">
        <w:rPr>
          <w:lang w:val="es-ES"/>
        </w:rPr>
        <w:t xml:space="preserve">de África, y su utilización por todos los Estados </w:t>
      </w:r>
      <w:r w:rsidR="00DB38F7" w:rsidRPr="00B237E2">
        <w:rPr>
          <w:lang w:val="es-ES"/>
        </w:rPr>
        <w:t>que son parte</w:t>
      </w:r>
      <w:r w:rsidR="00454902" w:rsidRPr="00B237E2">
        <w:rPr>
          <w:lang w:val="es-ES"/>
        </w:rPr>
        <w:t xml:space="preserve"> del Acuerdo GE84</w:t>
      </w:r>
      <w:r w:rsidRPr="00B237E2">
        <w:rPr>
          <w:lang w:val="es-ES"/>
        </w:rPr>
        <w:t>.</w:t>
      </w:r>
    </w:p>
    <w:p w14:paraId="4253E75A" w14:textId="3B018C68" w:rsidR="00823AB3" w:rsidRPr="00B237E2" w:rsidRDefault="00823AB3" w:rsidP="00E124B0">
      <w:pPr>
        <w:pStyle w:val="enumlev1"/>
        <w:rPr>
          <w:lang w:val="es-ES"/>
        </w:rPr>
      </w:pPr>
      <w:r w:rsidRPr="00B237E2">
        <w:rPr>
          <w:lang w:val="es-ES"/>
        </w:rPr>
        <w:t>•</w:t>
      </w:r>
      <w:r w:rsidRPr="00B237E2">
        <w:rPr>
          <w:lang w:val="es-ES"/>
        </w:rPr>
        <w:tab/>
      </w:r>
      <w:r w:rsidR="00B04C32">
        <w:rPr>
          <w:lang w:val="es-ES"/>
        </w:rPr>
        <w:t>Continuación</w:t>
      </w:r>
      <w:r w:rsidRPr="00B237E2">
        <w:rPr>
          <w:lang w:val="es-ES"/>
        </w:rPr>
        <w:t xml:space="preserve"> de la migración de la plataforma Ingres a SQL Server.</w:t>
      </w:r>
    </w:p>
    <w:p w14:paraId="27DF4655" w14:textId="730AFF4A" w:rsidR="00823AB3" w:rsidRPr="00B237E2" w:rsidRDefault="00823AB3" w:rsidP="00E124B0">
      <w:pPr>
        <w:pStyle w:val="enumlev1"/>
        <w:rPr>
          <w:lang w:val="es-ES"/>
        </w:rPr>
      </w:pPr>
      <w:r w:rsidRPr="00B237E2">
        <w:rPr>
          <w:lang w:val="es-ES"/>
        </w:rPr>
        <w:t>•</w:t>
      </w:r>
      <w:r w:rsidRPr="00B237E2">
        <w:rPr>
          <w:lang w:val="es-ES"/>
        </w:rPr>
        <w:tab/>
      </w:r>
      <w:r w:rsidR="00DB38F7" w:rsidRPr="00B237E2">
        <w:rPr>
          <w:lang w:val="es-ES"/>
        </w:rPr>
        <w:t>Migración</w:t>
      </w:r>
      <w:r w:rsidRPr="00B237E2">
        <w:rPr>
          <w:lang w:val="es-ES"/>
        </w:rPr>
        <w:t xml:space="preserve"> de </w:t>
      </w:r>
      <w:r w:rsidR="00DB38F7" w:rsidRPr="001B1357">
        <w:rPr>
          <w:lang w:val="es-ES"/>
        </w:rPr>
        <w:t>INGRES</w:t>
      </w:r>
      <w:r w:rsidR="00DB38F7" w:rsidRPr="00B237E2">
        <w:rPr>
          <w:lang w:val="es-ES"/>
        </w:rPr>
        <w:t xml:space="preserve"> a la plataforma SQL Server </w:t>
      </w:r>
      <w:r w:rsidRPr="00B237E2">
        <w:rPr>
          <w:lang w:val="es-ES"/>
        </w:rPr>
        <w:t>y mejora de la interfaz del sistema de acceso y consulta de la base de datos del servicio móvil marítimo (MARS) y las estaciones de comprobación técnica internacional.</w:t>
      </w:r>
    </w:p>
    <w:p w14:paraId="3B99EE2A" w14:textId="1868AFBD" w:rsidR="00823AB3" w:rsidRPr="00B237E2" w:rsidRDefault="00823AB3" w:rsidP="00E124B0">
      <w:pPr>
        <w:pStyle w:val="enumlev1"/>
        <w:rPr>
          <w:lang w:val="es-ES"/>
        </w:rPr>
      </w:pPr>
      <w:r w:rsidRPr="00B237E2">
        <w:rPr>
          <w:lang w:val="es-ES"/>
        </w:rPr>
        <w:t>•</w:t>
      </w:r>
      <w:r w:rsidRPr="00B237E2">
        <w:rPr>
          <w:lang w:val="es-ES"/>
        </w:rPr>
        <w:tab/>
      </w:r>
      <w:r w:rsidR="00DB38F7" w:rsidRPr="00B237E2">
        <w:rPr>
          <w:lang w:val="es-ES"/>
        </w:rPr>
        <w:t>Continuación de la aplicación de</w:t>
      </w:r>
      <w:r w:rsidRPr="00B237E2">
        <w:rPr>
          <w:lang w:val="es-ES"/>
        </w:rPr>
        <w:t xml:space="preserve"> la nueva Regla de Procedimiento relativa al número 5.441B del RR.</w:t>
      </w:r>
    </w:p>
    <w:p w14:paraId="1B529F72" w14:textId="77777777" w:rsidR="00823AB3" w:rsidRPr="004F745B" w:rsidRDefault="00823AB3" w:rsidP="004F745B">
      <w:pPr>
        <w:pStyle w:val="Headingb"/>
      </w:pPr>
      <w:r w:rsidRPr="004F745B">
        <w:t>Avances en el cumplimiento de la hoja de ruta de los sistemas de información espacial de la BR (GAR-19, 2012)</w:t>
      </w:r>
    </w:p>
    <w:p w14:paraId="4BBB9841" w14:textId="77777777" w:rsidR="00823AB3" w:rsidRPr="00B237E2" w:rsidRDefault="00823AB3" w:rsidP="00E124B0">
      <w:pPr>
        <w:pStyle w:val="enumlev1"/>
        <w:rPr>
          <w:lang w:val="es-ES"/>
        </w:rPr>
      </w:pPr>
      <w:r w:rsidRPr="00B237E2">
        <w:rPr>
          <w:lang w:val="es-ES"/>
        </w:rPr>
        <w:t>•</w:t>
      </w:r>
      <w:r w:rsidRPr="00B237E2">
        <w:rPr>
          <w:lang w:val="es-ES"/>
        </w:rPr>
        <w:tab/>
        <w:t>Continuidad de las actividades y recuperación en caso de catástrofe (servicios espaciales y terrenales).</w:t>
      </w:r>
    </w:p>
    <w:p w14:paraId="76CCC628" w14:textId="77777777" w:rsidR="00823AB3" w:rsidRPr="00B237E2" w:rsidRDefault="00823AB3" w:rsidP="00E124B0">
      <w:pPr>
        <w:pStyle w:val="enumlev1"/>
        <w:rPr>
          <w:lang w:val="es-ES"/>
        </w:rPr>
      </w:pPr>
      <w:bookmarkStart w:id="60" w:name="_Hlk34385380"/>
      <w:r w:rsidRPr="00B237E2">
        <w:rPr>
          <w:lang w:val="es-ES"/>
        </w:rPr>
        <w:t>•</w:t>
      </w:r>
      <w:r w:rsidRPr="00B237E2">
        <w:rPr>
          <w:lang w:val="es-ES"/>
        </w:rPr>
        <w:tab/>
        <w:t xml:space="preserve">Reescritura del </w:t>
      </w:r>
      <w:bookmarkEnd w:id="60"/>
      <w:r w:rsidRPr="004F745B">
        <w:rPr>
          <w:i/>
          <w:iCs/>
          <w:lang w:val="es-ES"/>
        </w:rPr>
        <w:t>software</w:t>
      </w:r>
      <w:r w:rsidRPr="00B237E2">
        <w:rPr>
          <w:lang w:val="es-ES"/>
        </w:rPr>
        <w:t xml:space="preserve"> existente para los exámenes técnicos.</w:t>
      </w:r>
    </w:p>
    <w:p w14:paraId="28DAF6DA" w14:textId="77777777" w:rsidR="00823AB3" w:rsidRPr="00B237E2" w:rsidRDefault="00823AB3" w:rsidP="00E124B0">
      <w:pPr>
        <w:pStyle w:val="enumlev1"/>
        <w:rPr>
          <w:lang w:val="es-ES"/>
        </w:rPr>
      </w:pPr>
      <w:r w:rsidRPr="00B237E2">
        <w:rPr>
          <w:lang w:val="es-ES"/>
        </w:rPr>
        <w:t>•</w:t>
      </w:r>
      <w:r w:rsidRPr="00B237E2">
        <w:rPr>
          <w:lang w:val="es-ES"/>
        </w:rPr>
        <w:tab/>
        <w:t>Diseño y desarrollo del sistema de información espacial de la BR (BR SIS).</w:t>
      </w:r>
    </w:p>
    <w:p w14:paraId="733CC8A8" w14:textId="77777777" w:rsidR="00823AB3" w:rsidRPr="00B237E2" w:rsidRDefault="00823AB3" w:rsidP="00E124B0">
      <w:pPr>
        <w:pStyle w:val="Headingb"/>
        <w:rPr>
          <w:lang w:val="es-ES"/>
        </w:rPr>
      </w:pPr>
      <w:r w:rsidRPr="004F745B">
        <w:rPr>
          <w:lang w:val="es-ES"/>
        </w:rPr>
        <w:t>Resultados de las actividades relacionadas con las aplicaciones espaciales</w:t>
      </w:r>
    </w:p>
    <w:p w14:paraId="7DEACF76" w14:textId="77777777" w:rsidR="00823AB3" w:rsidRPr="00B237E2" w:rsidRDefault="00823AB3" w:rsidP="00E124B0">
      <w:pPr>
        <w:pStyle w:val="enumlev1"/>
        <w:rPr>
          <w:lang w:val="es-ES"/>
        </w:rPr>
      </w:pPr>
      <w:r w:rsidRPr="00B237E2">
        <w:rPr>
          <w:lang w:val="es-ES"/>
        </w:rPr>
        <w:t>•</w:t>
      </w:r>
      <w:r w:rsidRPr="00B237E2">
        <w:rPr>
          <w:lang w:val="es-ES"/>
        </w:rPr>
        <w:tab/>
        <w:t>Aplicación de la Resolución 907 (Rev.CMR-15): Utilización de medios electrónicos modernos de comunicación para la correspondencia administrativa relativa a las redes de satélites.</w:t>
      </w:r>
    </w:p>
    <w:p w14:paraId="3425DA94" w14:textId="77777777" w:rsidR="00823AB3" w:rsidRPr="00B237E2" w:rsidRDefault="00823AB3" w:rsidP="00E124B0">
      <w:pPr>
        <w:pStyle w:val="enumlev1"/>
        <w:rPr>
          <w:lang w:val="es-ES"/>
        </w:rPr>
      </w:pPr>
      <w:bookmarkStart w:id="61" w:name="lt_pId489"/>
      <w:r w:rsidRPr="00B237E2">
        <w:rPr>
          <w:lang w:val="es-ES"/>
        </w:rPr>
        <w:t>•</w:t>
      </w:r>
      <w:r w:rsidRPr="00B237E2">
        <w:rPr>
          <w:lang w:val="es-ES"/>
        </w:rPr>
        <w:tab/>
        <w:t xml:space="preserve">Implementación del nuevo </w:t>
      </w:r>
      <w:r w:rsidRPr="004F745B">
        <w:rPr>
          <w:i/>
          <w:iCs/>
          <w:lang w:val="es-ES"/>
        </w:rPr>
        <w:t>software</w:t>
      </w:r>
      <w:r w:rsidRPr="00B237E2">
        <w:rPr>
          <w:lang w:val="es-ES"/>
        </w:rPr>
        <w:t xml:space="preserve"> de examen de la DFP no OSG</w:t>
      </w:r>
      <w:bookmarkEnd w:id="61"/>
      <w:r w:rsidRPr="00B237E2">
        <w:rPr>
          <w:lang w:val="es-ES"/>
        </w:rPr>
        <w:t>.</w:t>
      </w:r>
    </w:p>
    <w:p w14:paraId="1C518E44" w14:textId="0AAB73C2" w:rsidR="00823AB3" w:rsidRPr="00B237E2" w:rsidRDefault="00823AB3" w:rsidP="00E124B0">
      <w:pPr>
        <w:pStyle w:val="Heading2"/>
        <w:rPr>
          <w:lang w:val="es-ES"/>
        </w:rPr>
      </w:pPr>
      <w:bookmarkStart w:id="62" w:name="Section_1_3"/>
      <w:bookmarkStart w:id="63" w:name="_1.3_Normalización_–"/>
      <w:bookmarkStart w:id="64" w:name="_Toc41289417"/>
      <w:bookmarkStart w:id="65" w:name="_Toc97821262"/>
      <w:bookmarkEnd w:id="62"/>
      <w:bookmarkEnd w:id="63"/>
      <w:r w:rsidRPr="00704442">
        <w:rPr>
          <w:lang w:val="es-ES"/>
        </w:rPr>
        <w:lastRenderedPageBreak/>
        <w:t>1.3</w:t>
      </w:r>
      <w:r w:rsidRPr="00704442">
        <w:rPr>
          <w:lang w:val="es-ES"/>
        </w:rPr>
        <w:tab/>
        <w:t>Normalización</w:t>
      </w:r>
      <w:bookmarkEnd w:id="64"/>
      <w:r w:rsidR="00656360" w:rsidRPr="00704442">
        <w:rPr>
          <w:lang w:val="es-ES"/>
        </w:rPr>
        <w:t xml:space="preserve"> –</w:t>
      </w:r>
      <w:r w:rsidR="00DB38F7" w:rsidRPr="00704442">
        <w:rPr>
          <w:lang w:val="es-ES"/>
        </w:rPr>
        <w:t xml:space="preserve"> </w:t>
      </w:r>
      <w:r w:rsidR="00B46A4F" w:rsidRPr="00704442">
        <w:rPr>
          <w:lang w:val="es-ES"/>
        </w:rPr>
        <w:t>Base para facilitar el</w:t>
      </w:r>
      <w:r w:rsidR="00DB38F7" w:rsidRPr="00704442">
        <w:rPr>
          <w:lang w:val="es-ES"/>
        </w:rPr>
        <w:t xml:space="preserve"> desarrollo de las tecnologías actuales y las futuras</w:t>
      </w:r>
      <w:bookmarkEnd w:id="65"/>
    </w:p>
    <w:p w14:paraId="7FCB9526" w14:textId="77777777" w:rsidR="00823AB3" w:rsidRPr="00B237E2" w:rsidRDefault="00823AB3" w:rsidP="00E124B0">
      <w:pPr>
        <w:rPr>
          <w:lang w:val="es-ES"/>
        </w:rPr>
      </w:pPr>
      <w:r w:rsidRPr="00B237E2">
        <w:rPr>
          <w:lang w:val="es-ES"/>
        </w:rPr>
        <w:t>La labor de normalización de la UIT comprende la elaboración de normas de telecomunicaciones (Recomendaciones UIT-T) y de radiocomunicaciones (Recomendaciones UIT-R).</w:t>
      </w:r>
    </w:p>
    <w:p w14:paraId="4025D9D3" w14:textId="77777777" w:rsidR="00823AB3" w:rsidRPr="00B237E2" w:rsidRDefault="00823AB3" w:rsidP="00E124B0">
      <w:pPr>
        <w:pStyle w:val="Headingb"/>
        <w:rPr>
          <w:lang w:val="es-ES"/>
        </w:rPr>
      </w:pPr>
      <w:r w:rsidRPr="00704442">
        <w:rPr>
          <w:lang w:val="es-ES"/>
        </w:rPr>
        <w:t>Recomendaciones UIT-T</w:t>
      </w:r>
    </w:p>
    <w:p w14:paraId="072259C9" w14:textId="69791CD1" w:rsidR="00823AB3" w:rsidRPr="00B237E2" w:rsidRDefault="00823AB3" w:rsidP="00E124B0">
      <w:pPr>
        <w:rPr>
          <w:lang w:val="es-ES"/>
        </w:rPr>
      </w:pPr>
      <w:r w:rsidRPr="00B237E2">
        <w:rPr>
          <w:lang w:val="es-ES"/>
        </w:rPr>
        <w:t xml:space="preserve">Las </w:t>
      </w:r>
      <w:hyperlink r:id="rId34" w:history="1">
        <w:r w:rsidRPr="00B237E2">
          <w:rPr>
            <w:rStyle w:val="Hyperlink"/>
            <w:lang w:val="es-ES"/>
          </w:rPr>
          <w:t>Recomendaciones UIT-T</w:t>
        </w:r>
      </w:hyperlink>
      <w:r w:rsidRPr="00B237E2">
        <w:rPr>
          <w:lang w:val="es-ES"/>
        </w:rPr>
        <w:t xml:space="preserve"> definen </w:t>
      </w:r>
      <w:r w:rsidR="00B46A4F" w:rsidRPr="00B237E2">
        <w:rPr>
          <w:lang w:val="es-ES"/>
        </w:rPr>
        <w:t>la manera en que</w:t>
      </w:r>
      <w:r w:rsidRPr="00B237E2">
        <w:rPr>
          <w:lang w:val="es-ES"/>
        </w:rPr>
        <w:t xml:space="preserve"> funcionan e interactúan las redes de TIC. Aunque </w:t>
      </w:r>
      <w:r w:rsidR="00B46A4F" w:rsidRPr="00B237E2">
        <w:rPr>
          <w:lang w:val="es-ES"/>
        </w:rPr>
        <w:t>dichas</w:t>
      </w:r>
      <w:r w:rsidRPr="00B237E2">
        <w:rPr>
          <w:lang w:val="es-ES"/>
        </w:rPr>
        <w:t xml:space="preserve"> Recomendaciones sólo adquieren un carácter vinculante a partir de su trasposición a la legislación nacional, el grado de cumplimiento es elevado, ya que pueden aplicarse a escala internacional y son instrumentos de gran calidad. </w:t>
      </w:r>
      <w:r w:rsidR="006F1E4F" w:rsidRPr="00B237E2">
        <w:rPr>
          <w:lang w:val="es-ES"/>
        </w:rPr>
        <w:t>E</w:t>
      </w:r>
      <w:r w:rsidRPr="00B237E2">
        <w:rPr>
          <w:lang w:val="es-ES"/>
        </w:rPr>
        <w:t>xisten más de 4 000 Recomendaciones en vigor sobre temas que abarcan</w:t>
      </w:r>
      <w:r w:rsidR="006F1E4F" w:rsidRPr="00B237E2">
        <w:rPr>
          <w:lang w:val="es-ES"/>
        </w:rPr>
        <w:t xml:space="preserve">, en particular, </w:t>
      </w:r>
      <w:r w:rsidRPr="00B237E2">
        <w:rPr>
          <w:lang w:val="es-ES"/>
        </w:rPr>
        <w:t xml:space="preserve">la definición de servicios </w:t>
      </w:r>
      <w:r w:rsidR="006F1E4F" w:rsidRPr="00B237E2">
        <w:rPr>
          <w:lang w:val="es-ES"/>
        </w:rPr>
        <w:t>y</w:t>
      </w:r>
      <w:r w:rsidRPr="00B237E2">
        <w:rPr>
          <w:lang w:val="es-ES"/>
        </w:rPr>
        <w:t xml:space="preserve"> la arquitectura y la seguridad de las redes, la DSL de banda ancha, los sistemas de transmisión óptica de Gbit/s, </w:t>
      </w:r>
      <w:r w:rsidR="006F1E4F" w:rsidRPr="00B237E2">
        <w:rPr>
          <w:lang w:val="es-ES"/>
        </w:rPr>
        <w:t xml:space="preserve">el aprendizaje automático </w:t>
      </w:r>
      <w:r w:rsidR="00B46A4F" w:rsidRPr="00B237E2">
        <w:rPr>
          <w:lang w:val="es-ES"/>
        </w:rPr>
        <w:t>en</w:t>
      </w:r>
      <w:r w:rsidR="006F1E4F" w:rsidRPr="00B237E2">
        <w:rPr>
          <w:lang w:val="es-ES"/>
        </w:rPr>
        <w:t xml:space="preserve"> las redes futuras, incluidas las IMT-2020,</w:t>
      </w:r>
      <w:r w:rsidRPr="00B237E2">
        <w:rPr>
          <w:lang w:val="es-ES"/>
        </w:rPr>
        <w:t xml:space="preserve"> la tecnología de la información cuántica, la cadena de bloques y las cuestiones relativas </w:t>
      </w:r>
      <w:r w:rsidR="006F1E4F" w:rsidRPr="00B237E2">
        <w:rPr>
          <w:lang w:val="es-ES"/>
        </w:rPr>
        <w:t>a la calidad de funcionamiento</w:t>
      </w:r>
      <w:r w:rsidRPr="00B237E2">
        <w:rPr>
          <w:lang w:val="es-ES"/>
        </w:rPr>
        <w:t xml:space="preserve"> IP. </w:t>
      </w:r>
      <w:r w:rsidR="006F1E4F" w:rsidRPr="00B237E2">
        <w:rPr>
          <w:lang w:val="es-ES"/>
        </w:rPr>
        <w:t>Esos</w:t>
      </w:r>
      <w:r w:rsidRPr="00B237E2">
        <w:rPr>
          <w:lang w:val="es-ES"/>
        </w:rPr>
        <w:t xml:space="preserve"> temas son componentes fundamentales de las TIC </w:t>
      </w:r>
      <w:r w:rsidR="006F1E4F" w:rsidRPr="00B237E2">
        <w:rPr>
          <w:lang w:val="es-ES"/>
        </w:rPr>
        <w:t>actuales</w:t>
      </w:r>
      <w:r w:rsidRPr="00B237E2">
        <w:rPr>
          <w:lang w:val="es-ES"/>
        </w:rPr>
        <w:t>.</w:t>
      </w:r>
    </w:p>
    <w:p w14:paraId="1C15DFC1" w14:textId="56321EAD" w:rsidR="00FD7DE1" w:rsidRPr="00D5601F" w:rsidRDefault="00FD7DE1" w:rsidP="00FD7DE1">
      <w:r w:rsidRPr="00DA44C6">
        <w:t>En</w:t>
      </w:r>
      <w:r w:rsidRPr="00FD7DE1">
        <w:t xml:space="preserve"> la </w:t>
      </w:r>
      <w:hyperlink r:id="rId35" w:history="1">
        <w:r w:rsidRPr="00FD7DE1">
          <w:rPr>
            <w:rStyle w:val="Hyperlink"/>
          </w:rPr>
          <w:t>página web de inicio de cada Comisión de Estudio del UIT-T</w:t>
        </w:r>
      </w:hyperlink>
      <w:r w:rsidRPr="00FD7DE1">
        <w:t xml:space="preserve"> pueden consultarse los resúmenes ejecutivos de las reuniones de dichas Comisiones, incluidos sus logros en materia de normalización.</w:t>
      </w:r>
    </w:p>
    <w:p w14:paraId="4ABCD506" w14:textId="4DE870F1" w:rsidR="00A07A85" w:rsidRPr="007A1D13" w:rsidRDefault="00ED3056" w:rsidP="00054053">
      <w:pPr>
        <w:spacing w:after="120"/>
        <w:rPr>
          <w:lang w:val="es-ES"/>
        </w:rPr>
      </w:pPr>
      <w:r w:rsidRPr="00B237E2">
        <w:rPr>
          <w:lang w:val="es-ES"/>
        </w:rPr>
        <w:t xml:space="preserve">En el cuadro siguiente se enumeran, por años, todas las Recomendaciones del UIT-T para el periodo </w:t>
      </w:r>
      <w:r w:rsidR="009A4ED1">
        <w:rPr>
          <w:lang w:val="es-ES"/>
        </w:rPr>
        <w:t xml:space="preserve">comprendido entre </w:t>
      </w:r>
      <w:r w:rsidRPr="00B237E2">
        <w:rPr>
          <w:lang w:val="es-ES"/>
        </w:rPr>
        <w:t>2018</w:t>
      </w:r>
      <w:r w:rsidR="009A4ED1">
        <w:rPr>
          <w:lang w:val="es-ES"/>
        </w:rPr>
        <w:t xml:space="preserve"> y el 1 de noviembre de </w:t>
      </w:r>
      <w:r w:rsidRPr="00B237E2">
        <w:rPr>
          <w:lang w:val="es-ES"/>
        </w:rPr>
        <w:t>2021</w:t>
      </w:r>
      <w:r w:rsidR="00A07A85" w:rsidRPr="007A1D13">
        <w:rPr>
          <w:lang w:val="es-ES"/>
        </w:rPr>
        <w:t>.</w:t>
      </w:r>
    </w:p>
    <w:tbl>
      <w:tblPr>
        <w:tblStyle w:val="ListTable3-Accent1"/>
        <w:tblW w:w="5000" w:type="pct"/>
        <w:jc w:val="center"/>
        <w:tblLayout w:type="fixed"/>
        <w:tblLook w:val="01E0" w:firstRow="1" w:lastRow="1" w:firstColumn="1" w:lastColumn="1" w:noHBand="0" w:noVBand="0"/>
      </w:tblPr>
      <w:tblGrid>
        <w:gridCol w:w="695"/>
        <w:gridCol w:w="8939"/>
      </w:tblGrid>
      <w:tr w:rsidR="00A07A85" w:rsidRPr="00292613" w14:paraId="5FAF58A4" w14:textId="77777777" w:rsidTr="00570996">
        <w:trPr>
          <w:cnfStyle w:val="100000000000" w:firstRow="1" w:lastRow="0" w:firstColumn="0" w:lastColumn="0" w:oddVBand="0" w:evenVBand="0" w:oddHBand="0" w:evenHBand="0" w:firstRowFirstColumn="0" w:firstRowLastColumn="0" w:lastRowFirstColumn="0" w:lastRowLastColumn="0"/>
          <w:tblHeader/>
          <w:jc w:val="center"/>
        </w:trPr>
        <w:tc>
          <w:tcPr>
            <w:cnfStyle w:val="001000000100" w:firstRow="0" w:lastRow="0" w:firstColumn="1" w:lastColumn="0" w:oddVBand="0" w:evenVBand="0" w:oddHBand="0" w:evenHBand="0" w:firstRowFirstColumn="1" w:firstRowLastColumn="0" w:lastRowFirstColumn="0" w:lastRowLastColumn="0"/>
            <w:tcW w:w="9924" w:type="dxa"/>
            <w:gridSpan w:val="2"/>
            <w:tcBorders>
              <w:top w:val="single" w:sz="4" w:space="0" w:color="4F81BD" w:themeColor="accent1"/>
              <w:left w:val="single" w:sz="4" w:space="0" w:color="5B9BD5"/>
            </w:tcBorders>
            <w:vAlign w:val="center"/>
            <w:hideMark/>
          </w:tcPr>
          <w:p w14:paraId="5FE1420A" w14:textId="2C851533" w:rsidR="00A07A85" w:rsidRPr="00292613" w:rsidRDefault="00ED3056" w:rsidP="00292613">
            <w:pPr>
              <w:pStyle w:val="Tablehead"/>
              <w:rPr>
                <w:b/>
                <w:bCs w:val="0"/>
                <w:sz w:val="18"/>
                <w:szCs w:val="18"/>
              </w:rPr>
            </w:pPr>
            <w:r w:rsidRPr="00292613">
              <w:rPr>
                <w:b/>
                <w:bCs w:val="0"/>
                <w:sz w:val="18"/>
                <w:szCs w:val="18"/>
              </w:rPr>
              <w:t>Recom</w:t>
            </w:r>
            <w:r w:rsidR="00AE6CF6" w:rsidRPr="00292613">
              <w:rPr>
                <w:b/>
                <w:bCs w:val="0"/>
                <w:sz w:val="18"/>
                <w:szCs w:val="18"/>
              </w:rPr>
              <w:t xml:space="preserve">endaciones del UIT-T aprobadas </w:t>
            </w:r>
            <w:r w:rsidRPr="00292613">
              <w:rPr>
                <w:b/>
                <w:bCs w:val="0"/>
                <w:sz w:val="18"/>
                <w:szCs w:val="18"/>
              </w:rPr>
              <w:t>nuevas o revisadas</w:t>
            </w:r>
          </w:p>
        </w:tc>
      </w:tr>
      <w:tr w:rsidR="00A07A85" w:rsidRPr="00B237E2" w14:paraId="0A1D02F5" w14:textId="77777777" w:rsidTr="005709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0" w:type="dxa"/>
            <w:tcBorders>
              <w:right w:val="single" w:sz="4" w:space="0" w:color="4F81BD" w:themeColor="accent1"/>
            </w:tcBorders>
            <w:shd w:val="clear" w:color="auto" w:fill="B6C8E8"/>
          </w:tcPr>
          <w:p w14:paraId="64E871B4" w14:textId="77777777" w:rsidR="00A07A85" w:rsidRPr="00EB7F22" w:rsidRDefault="00A07A85" w:rsidP="00DA44C6">
            <w:pPr>
              <w:pStyle w:val="Tabletext"/>
              <w:keepNext/>
              <w:keepLines/>
              <w:rPr>
                <w:b w:val="0"/>
                <w:bCs w:val="0"/>
                <w:sz w:val="18"/>
                <w:szCs w:val="18"/>
                <w:lang w:val="es-ES"/>
              </w:rPr>
            </w:pPr>
          </w:p>
        </w:tc>
        <w:tc>
          <w:tcPr>
            <w:cnfStyle w:val="000100000000" w:firstRow="0" w:lastRow="0" w:firstColumn="0" w:lastColumn="1" w:oddVBand="0" w:evenVBand="0" w:oddHBand="0" w:evenHBand="0" w:firstRowFirstColumn="0" w:firstRowLastColumn="0" w:lastRowFirstColumn="0" w:lastRowLastColumn="0"/>
            <w:tcW w:w="9214" w:type="dxa"/>
            <w:tcBorders>
              <w:left w:val="single" w:sz="4" w:space="0" w:color="4F81BD" w:themeColor="accent1"/>
            </w:tcBorders>
            <w:shd w:val="clear" w:color="auto" w:fill="B6C8E8"/>
          </w:tcPr>
          <w:p w14:paraId="445EF655" w14:textId="43A896E5" w:rsidR="00A07A85" w:rsidRPr="00427E28" w:rsidRDefault="00AF6115" w:rsidP="00DA44C6">
            <w:pPr>
              <w:pStyle w:val="Tabletext"/>
              <w:keepNext/>
              <w:keepLines/>
              <w:rPr>
                <w:sz w:val="18"/>
                <w:szCs w:val="18"/>
                <w:lang w:val="es-ES"/>
              </w:rPr>
            </w:pPr>
            <w:hyperlink r:id="rId36" w:history="1">
              <w:r w:rsidR="00ED3056" w:rsidRPr="00427E28">
                <w:rPr>
                  <w:rStyle w:val="Hyperlink"/>
                  <w:sz w:val="18"/>
                  <w:szCs w:val="18"/>
                  <w:lang w:val="es-ES"/>
                </w:rPr>
                <w:t>CE</w:t>
              </w:r>
              <w:r w:rsidR="00427E28">
                <w:rPr>
                  <w:rStyle w:val="Hyperlink"/>
                  <w:sz w:val="18"/>
                  <w:szCs w:val="18"/>
                  <w:lang w:val="es-ES"/>
                </w:rPr>
                <w:t> </w:t>
              </w:r>
              <w:r w:rsidR="00A07A85" w:rsidRPr="00427E28">
                <w:rPr>
                  <w:rStyle w:val="Hyperlink"/>
                  <w:sz w:val="18"/>
                  <w:szCs w:val="18"/>
                  <w:lang w:val="es-ES"/>
                </w:rPr>
                <w:t xml:space="preserve">2 </w:t>
              </w:r>
              <w:r w:rsidR="00ED3056" w:rsidRPr="00427E28">
                <w:rPr>
                  <w:rStyle w:val="Hyperlink"/>
                  <w:sz w:val="18"/>
                  <w:szCs w:val="18"/>
                  <w:lang w:val="es-ES"/>
                </w:rPr>
                <w:t>–</w:t>
              </w:r>
              <w:r w:rsidR="00A07A85" w:rsidRPr="00427E28">
                <w:rPr>
                  <w:rStyle w:val="Hyperlink"/>
                  <w:sz w:val="18"/>
                  <w:szCs w:val="18"/>
                  <w:lang w:val="es-ES"/>
                </w:rPr>
                <w:t xml:space="preserve"> </w:t>
              </w:r>
              <w:r w:rsidR="00ED3056" w:rsidRPr="00427E28">
                <w:rPr>
                  <w:rStyle w:val="Hyperlink"/>
                  <w:sz w:val="18"/>
                  <w:szCs w:val="18"/>
                  <w:lang w:val="es-ES"/>
                </w:rPr>
                <w:t>Aspectos op</w:t>
              </w:r>
              <w:r w:rsidR="00F97933" w:rsidRPr="00427E28">
                <w:rPr>
                  <w:rStyle w:val="Hyperlink"/>
                  <w:sz w:val="18"/>
                  <w:szCs w:val="18"/>
                  <w:lang w:val="es-ES"/>
                </w:rPr>
                <w:t>erativos</w:t>
              </w:r>
            </w:hyperlink>
          </w:p>
        </w:tc>
      </w:tr>
      <w:tr w:rsidR="00A07A85" w:rsidRPr="00B237E2" w14:paraId="6E3949B8" w14:textId="77777777" w:rsidTr="00570996">
        <w:trPr>
          <w:jc w:val="center"/>
        </w:trPr>
        <w:tc>
          <w:tcPr>
            <w:cnfStyle w:val="001000000000" w:firstRow="0" w:lastRow="0" w:firstColumn="1" w:lastColumn="0" w:oddVBand="0" w:evenVBand="0" w:oddHBand="0" w:evenHBand="0" w:firstRowFirstColumn="0" w:firstRowLastColumn="0" w:lastRowFirstColumn="0" w:lastRowLastColumn="0"/>
            <w:tcW w:w="710" w:type="dxa"/>
            <w:tcBorders>
              <w:right w:val="single" w:sz="4" w:space="0" w:color="4F81BD" w:themeColor="accent1"/>
            </w:tcBorders>
            <w:shd w:val="clear" w:color="auto" w:fill="B6C8E8"/>
            <w:hideMark/>
          </w:tcPr>
          <w:p w14:paraId="16072FF2" w14:textId="77777777" w:rsidR="00A07A85" w:rsidRPr="00427E28" w:rsidRDefault="00A07A85" w:rsidP="00570996">
            <w:pPr>
              <w:pStyle w:val="Tabletext"/>
              <w:rPr>
                <w:b w:val="0"/>
                <w:bCs w:val="0"/>
                <w:sz w:val="18"/>
                <w:szCs w:val="18"/>
                <w:lang w:val="es-ES"/>
              </w:rPr>
            </w:pPr>
            <w:r w:rsidRPr="00427E28">
              <w:rPr>
                <w:b w:val="0"/>
                <w:bCs w:val="0"/>
                <w:sz w:val="18"/>
                <w:szCs w:val="18"/>
                <w:lang w:val="es-ES"/>
              </w:rPr>
              <w:t>2018</w:t>
            </w:r>
          </w:p>
        </w:tc>
        <w:tc>
          <w:tcPr>
            <w:cnfStyle w:val="000100000000" w:firstRow="0" w:lastRow="0" w:firstColumn="0" w:lastColumn="1" w:oddVBand="0" w:evenVBand="0" w:oddHBand="0" w:evenHBand="0" w:firstRowFirstColumn="0" w:firstRowLastColumn="0" w:lastRowFirstColumn="0" w:lastRowLastColumn="0"/>
            <w:tcW w:w="9214" w:type="dxa"/>
            <w:tcBorders>
              <w:top w:val="single" w:sz="4" w:space="0" w:color="4F81BD" w:themeColor="accent1"/>
              <w:left w:val="single" w:sz="4" w:space="0" w:color="4F81BD" w:themeColor="accent1"/>
              <w:bottom w:val="single" w:sz="4" w:space="0" w:color="4F81BD" w:themeColor="accent1"/>
            </w:tcBorders>
            <w:shd w:val="clear" w:color="auto" w:fill="B6C8E8"/>
          </w:tcPr>
          <w:p w14:paraId="2CC72092" w14:textId="77777777" w:rsidR="00A07A85" w:rsidRPr="00427E28" w:rsidRDefault="00A07A85" w:rsidP="00570996">
            <w:pPr>
              <w:pStyle w:val="Tabletext"/>
              <w:rPr>
                <w:b w:val="0"/>
                <w:bCs w:val="0"/>
                <w:sz w:val="18"/>
                <w:szCs w:val="18"/>
                <w:lang w:val="es-ES"/>
              </w:rPr>
            </w:pPr>
            <w:r w:rsidRPr="00427E28">
              <w:rPr>
                <w:b w:val="0"/>
                <w:bCs w:val="0"/>
                <w:sz w:val="18"/>
                <w:szCs w:val="18"/>
                <w:lang w:val="es-ES"/>
              </w:rPr>
              <w:t>M.1400 Amd.1, M.3071, M.3372, X.760</w:t>
            </w:r>
          </w:p>
        </w:tc>
      </w:tr>
      <w:tr w:rsidR="00A07A85" w:rsidRPr="00B237E2" w14:paraId="4C7DEB6E" w14:textId="77777777" w:rsidTr="005709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0" w:type="dxa"/>
            <w:tcBorders>
              <w:right w:val="single" w:sz="4" w:space="0" w:color="4F81BD" w:themeColor="accent1"/>
            </w:tcBorders>
            <w:shd w:val="clear" w:color="auto" w:fill="B6C8E8"/>
          </w:tcPr>
          <w:p w14:paraId="26CDF907" w14:textId="77777777" w:rsidR="00A07A85" w:rsidRPr="00427E28" w:rsidRDefault="00A07A85" w:rsidP="00570996">
            <w:pPr>
              <w:pStyle w:val="Tabletext"/>
              <w:rPr>
                <w:b w:val="0"/>
                <w:bCs w:val="0"/>
                <w:sz w:val="18"/>
                <w:szCs w:val="18"/>
                <w:lang w:val="es-ES"/>
              </w:rPr>
            </w:pPr>
            <w:r w:rsidRPr="00427E28">
              <w:rPr>
                <w:b w:val="0"/>
                <w:bCs w:val="0"/>
                <w:sz w:val="18"/>
                <w:szCs w:val="18"/>
                <w:lang w:val="es-ES"/>
              </w:rPr>
              <w:t>2019</w:t>
            </w:r>
          </w:p>
        </w:tc>
        <w:tc>
          <w:tcPr>
            <w:cnfStyle w:val="000100000000" w:firstRow="0" w:lastRow="0" w:firstColumn="0" w:lastColumn="1" w:oddVBand="0" w:evenVBand="0" w:oddHBand="0" w:evenHBand="0" w:firstRowFirstColumn="0" w:firstRowLastColumn="0" w:lastRowFirstColumn="0" w:lastRowLastColumn="0"/>
            <w:tcW w:w="9214" w:type="dxa"/>
            <w:tcBorders>
              <w:left w:val="single" w:sz="4" w:space="0" w:color="4F81BD" w:themeColor="accent1"/>
            </w:tcBorders>
            <w:shd w:val="clear" w:color="auto" w:fill="B6C8E8"/>
          </w:tcPr>
          <w:p w14:paraId="46D74BA6" w14:textId="77777777" w:rsidR="00A07A85" w:rsidRPr="00427E28" w:rsidRDefault="00A07A85" w:rsidP="00570996">
            <w:pPr>
              <w:pStyle w:val="Tabletext"/>
              <w:rPr>
                <w:b w:val="0"/>
                <w:bCs w:val="0"/>
                <w:sz w:val="18"/>
                <w:szCs w:val="18"/>
                <w:lang w:val="es-ES"/>
              </w:rPr>
            </w:pPr>
            <w:r w:rsidRPr="00427E28">
              <w:rPr>
                <w:b w:val="0"/>
                <w:bCs w:val="0"/>
                <w:sz w:val="18"/>
                <w:szCs w:val="18"/>
                <w:lang w:val="es-ES"/>
              </w:rPr>
              <w:t>E.102, E.118 Amd.1, E.169.1, E.217, M.3040</w:t>
            </w:r>
          </w:p>
        </w:tc>
      </w:tr>
      <w:tr w:rsidR="00A07A85" w:rsidRPr="00BD3DCF" w14:paraId="7939AC37" w14:textId="77777777" w:rsidTr="00570996">
        <w:trPr>
          <w:jc w:val="center"/>
        </w:trPr>
        <w:tc>
          <w:tcPr>
            <w:cnfStyle w:val="001000000000" w:firstRow="0" w:lastRow="0" w:firstColumn="1" w:lastColumn="0" w:oddVBand="0" w:evenVBand="0" w:oddHBand="0" w:evenHBand="0" w:firstRowFirstColumn="0" w:firstRowLastColumn="0" w:lastRowFirstColumn="0" w:lastRowLastColumn="0"/>
            <w:tcW w:w="710" w:type="dxa"/>
            <w:tcBorders>
              <w:right w:val="single" w:sz="4" w:space="0" w:color="4F81BD" w:themeColor="accent1"/>
            </w:tcBorders>
            <w:shd w:val="clear" w:color="auto" w:fill="B6C8E8"/>
          </w:tcPr>
          <w:p w14:paraId="15BDC9C8" w14:textId="77777777" w:rsidR="00A07A85" w:rsidRPr="00427E28" w:rsidRDefault="00A07A85" w:rsidP="00570996">
            <w:pPr>
              <w:pStyle w:val="Tabletext"/>
              <w:rPr>
                <w:b w:val="0"/>
                <w:bCs w:val="0"/>
                <w:sz w:val="18"/>
                <w:szCs w:val="18"/>
                <w:lang w:val="es-ES"/>
              </w:rPr>
            </w:pPr>
            <w:r w:rsidRPr="00427E28">
              <w:rPr>
                <w:b w:val="0"/>
                <w:bCs w:val="0"/>
                <w:sz w:val="18"/>
                <w:szCs w:val="18"/>
                <w:lang w:val="es-ES"/>
              </w:rPr>
              <w:t>2020</w:t>
            </w:r>
          </w:p>
        </w:tc>
        <w:tc>
          <w:tcPr>
            <w:cnfStyle w:val="000100000000" w:firstRow="0" w:lastRow="0" w:firstColumn="0" w:lastColumn="1" w:oddVBand="0" w:evenVBand="0" w:oddHBand="0" w:evenHBand="0" w:firstRowFirstColumn="0" w:firstRowLastColumn="0" w:lastRowFirstColumn="0" w:lastRowLastColumn="0"/>
            <w:tcW w:w="9214" w:type="dxa"/>
            <w:tcBorders>
              <w:top w:val="single" w:sz="4" w:space="0" w:color="4F81BD" w:themeColor="accent1"/>
              <w:left w:val="single" w:sz="4" w:space="0" w:color="4F81BD" w:themeColor="accent1"/>
              <w:bottom w:val="single" w:sz="4" w:space="0" w:color="4F81BD" w:themeColor="accent1"/>
            </w:tcBorders>
            <w:shd w:val="clear" w:color="auto" w:fill="B6C8E8"/>
          </w:tcPr>
          <w:p w14:paraId="2CF2C9EF" w14:textId="77777777" w:rsidR="00A07A85" w:rsidRPr="00427E28" w:rsidRDefault="00A07A85" w:rsidP="00570996">
            <w:pPr>
              <w:pStyle w:val="Tabletext"/>
              <w:rPr>
                <w:b w:val="0"/>
                <w:bCs w:val="0"/>
                <w:sz w:val="18"/>
                <w:szCs w:val="18"/>
                <w:lang w:val="es-ES"/>
              </w:rPr>
            </w:pPr>
            <w:r w:rsidRPr="00427E28">
              <w:rPr>
                <w:b w:val="0"/>
                <w:bCs w:val="0"/>
                <w:sz w:val="18"/>
                <w:szCs w:val="18"/>
                <w:lang w:val="es-ES"/>
              </w:rPr>
              <w:t xml:space="preserve">E.156, E.164.2, E.212 Amd.2, E.212 Amd.3, E.218 Amd.1, M.3041, M.3164, </w:t>
            </w:r>
            <w:r w:rsidRPr="00EB7F22">
              <w:rPr>
                <w:b w:val="0"/>
                <w:bCs w:val="0"/>
                <w:sz w:val="18"/>
                <w:szCs w:val="18"/>
                <w:lang w:val="es-ES"/>
              </w:rPr>
              <w:t>M.3362, M.3363, M.3364, M.3373</w:t>
            </w:r>
          </w:p>
        </w:tc>
      </w:tr>
      <w:tr w:rsidR="00A07A85" w:rsidRPr="00BD3DCF" w14:paraId="6EF21097" w14:textId="77777777" w:rsidTr="005709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0" w:type="dxa"/>
            <w:tcBorders>
              <w:right w:val="single" w:sz="4" w:space="0" w:color="4F81BD" w:themeColor="accent1"/>
            </w:tcBorders>
            <w:shd w:val="clear" w:color="auto" w:fill="B6C8E8"/>
          </w:tcPr>
          <w:p w14:paraId="3490A461" w14:textId="77777777" w:rsidR="00A07A85" w:rsidRPr="00427E28" w:rsidRDefault="00A07A85" w:rsidP="00570996">
            <w:pPr>
              <w:pStyle w:val="Tabletext"/>
              <w:rPr>
                <w:b w:val="0"/>
                <w:bCs w:val="0"/>
                <w:sz w:val="18"/>
                <w:szCs w:val="18"/>
                <w:lang w:val="es-ES"/>
              </w:rPr>
            </w:pPr>
            <w:r w:rsidRPr="00427E28">
              <w:rPr>
                <w:b w:val="0"/>
                <w:bCs w:val="0"/>
                <w:sz w:val="18"/>
                <w:szCs w:val="18"/>
                <w:lang w:val="es-ES"/>
              </w:rPr>
              <w:t>2021</w:t>
            </w:r>
          </w:p>
        </w:tc>
        <w:tc>
          <w:tcPr>
            <w:cnfStyle w:val="000100000000" w:firstRow="0" w:lastRow="0" w:firstColumn="0" w:lastColumn="1" w:oddVBand="0" w:evenVBand="0" w:oddHBand="0" w:evenHBand="0" w:firstRowFirstColumn="0" w:firstRowLastColumn="0" w:lastRowFirstColumn="0" w:lastRowLastColumn="0"/>
            <w:tcW w:w="9214" w:type="dxa"/>
            <w:tcBorders>
              <w:left w:val="single" w:sz="4" w:space="0" w:color="4F81BD" w:themeColor="accent1"/>
            </w:tcBorders>
            <w:shd w:val="clear" w:color="auto" w:fill="B6C8E8"/>
          </w:tcPr>
          <w:p w14:paraId="2BFEF462" w14:textId="77777777" w:rsidR="00A07A85" w:rsidRPr="00427E28" w:rsidRDefault="00A07A85" w:rsidP="00570996">
            <w:pPr>
              <w:pStyle w:val="Tabletext"/>
              <w:rPr>
                <w:b w:val="0"/>
                <w:bCs w:val="0"/>
                <w:sz w:val="18"/>
                <w:szCs w:val="18"/>
                <w:lang w:val="es-ES"/>
              </w:rPr>
            </w:pPr>
            <w:r w:rsidRPr="00427E28">
              <w:rPr>
                <w:b w:val="0"/>
                <w:bCs w:val="0"/>
                <w:sz w:val="18"/>
                <w:szCs w:val="18"/>
                <w:lang w:val="es-ES"/>
              </w:rPr>
              <w:t>E.157, M.3080, M.3365, Q.834.1 Amd.1, Q.834.4 Amd.2, Q.838.1 Amd.1, X.785</w:t>
            </w:r>
          </w:p>
        </w:tc>
      </w:tr>
      <w:tr w:rsidR="00A07A85" w:rsidRPr="00B237E2" w14:paraId="7EC9A89C" w14:textId="77777777" w:rsidTr="00570996">
        <w:trPr>
          <w:jc w:val="center"/>
        </w:trPr>
        <w:tc>
          <w:tcPr>
            <w:cnfStyle w:val="001000000000" w:firstRow="0" w:lastRow="0" w:firstColumn="1" w:lastColumn="0" w:oddVBand="0" w:evenVBand="0" w:oddHBand="0" w:evenHBand="0" w:firstRowFirstColumn="0" w:firstRowLastColumn="0" w:lastRowFirstColumn="0" w:lastRowLastColumn="0"/>
            <w:tcW w:w="710" w:type="dxa"/>
            <w:tcBorders>
              <w:right w:val="single" w:sz="4" w:space="0" w:color="4F81BD" w:themeColor="accent1"/>
            </w:tcBorders>
          </w:tcPr>
          <w:p w14:paraId="57736B83" w14:textId="77777777" w:rsidR="00A07A85" w:rsidRPr="00EB7F22" w:rsidRDefault="00A07A85" w:rsidP="00570996">
            <w:pPr>
              <w:pStyle w:val="Tabletext"/>
              <w:rPr>
                <w:b w:val="0"/>
                <w:bCs w:val="0"/>
                <w:sz w:val="18"/>
                <w:szCs w:val="18"/>
                <w:lang w:val="es-ES"/>
              </w:rPr>
            </w:pPr>
          </w:p>
        </w:tc>
        <w:tc>
          <w:tcPr>
            <w:cnfStyle w:val="000100000000" w:firstRow="0" w:lastRow="0" w:firstColumn="0" w:lastColumn="1" w:oddVBand="0" w:evenVBand="0" w:oddHBand="0" w:evenHBand="0" w:firstRowFirstColumn="0" w:firstRowLastColumn="0" w:lastRowFirstColumn="0" w:lastRowLastColumn="0"/>
            <w:tcW w:w="9214" w:type="dxa"/>
            <w:tcBorders>
              <w:top w:val="single" w:sz="4" w:space="0" w:color="4F81BD" w:themeColor="accent1"/>
              <w:left w:val="single" w:sz="4" w:space="0" w:color="4F81BD" w:themeColor="accent1"/>
              <w:bottom w:val="single" w:sz="4" w:space="0" w:color="4F81BD" w:themeColor="accent1"/>
            </w:tcBorders>
          </w:tcPr>
          <w:p w14:paraId="01F067C5" w14:textId="7A837706" w:rsidR="00A07A85" w:rsidRPr="00C12B29" w:rsidRDefault="00AF6115" w:rsidP="00570996">
            <w:pPr>
              <w:pStyle w:val="Tabletext"/>
              <w:rPr>
                <w:sz w:val="18"/>
                <w:szCs w:val="18"/>
                <w:lang w:val="es-ES"/>
              </w:rPr>
            </w:pPr>
            <w:hyperlink r:id="rId37" w:history="1">
              <w:r w:rsidR="00ED3056" w:rsidRPr="00427E28">
                <w:rPr>
                  <w:rStyle w:val="Hyperlink"/>
                  <w:sz w:val="18"/>
                  <w:szCs w:val="18"/>
                  <w:lang w:val="es-ES"/>
                </w:rPr>
                <w:t>CE</w:t>
              </w:r>
              <w:r w:rsidR="00427E28">
                <w:rPr>
                  <w:rStyle w:val="Hyperlink"/>
                  <w:sz w:val="18"/>
                  <w:szCs w:val="18"/>
                  <w:lang w:val="es-ES"/>
                </w:rPr>
                <w:t> </w:t>
              </w:r>
              <w:r w:rsidR="00A07A85" w:rsidRPr="00427E28">
                <w:rPr>
                  <w:rStyle w:val="Hyperlink"/>
                  <w:sz w:val="18"/>
                  <w:szCs w:val="18"/>
                  <w:lang w:val="es-ES"/>
                </w:rPr>
                <w:t xml:space="preserve">3 </w:t>
              </w:r>
              <w:r w:rsidR="00427E28" w:rsidRPr="00427E28">
                <w:rPr>
                  <w:rStyle w:val="Hyperlink"/>
                  <w:sz w:val="18"/>
                  <w:szCs w:val="18"/>
                  <w:lang w:val="es-ES"/>
                </w:rPr>
                <w:t>–</w:t>
              </w:r>
              <w:r w:rsidR="00A07A85" w:rsidRPr="00EB7F22">
                <w:rPr>
                  <w:rStyle w:val="Hyperlink"/>
                  <w:sz w:val="18"/>
                  <w:szCs w:val="18"/>
                  <w:lang w:val="es-ES"/>
                </w:rPr>
                <w:t xml:space="preserve"> </w:t>
              </w:r>
              <w:r w:rsidR="00F97933" w:rsidRPr="00427E28">
                <w:rPr>
                  <w:rStyle w:val="Hyperlink"/>
                  <w:sz w:val="18"/>
                  <w:szCs w:val="18"/>
                  <w:lang w:val="es-ES"/>
                </w:rPr>
                <w:t>Temas relativos a economía y política</w:t>
              </w:r>
            </w:hyperlink>
          </w:p>
        </w:tc>
      </w:tr>
      <w:tr w:rsidR="00A07A85" w:rsidRPr="00B237E2" w14:paraId="5DF89C7B" w14:textId="77777777" w:rsidTr="005709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0" w:type="dxa"/>
            <w:tcBorders>
              <w:right w:val="single" w:sz="4" w:space="0" w:color="4F81BD" w:themeColor="accent1"/>
            </w:tcBorders>
          </w:tcPr>
          <w:p w14:paraId="195663C9" w14:textId="77777777" w:rsidR="00A07A85" w:rsidRPr="00427E28" w:rsidRDefault="00A07A85" w:rsidP="00570996">
            <w:pPr>
              <w:pStyle w:val="Tabletext"/>
              <w:rPr>
                <w:b w:val="0"/>
                <w:bCs w:val="0"/>
                <w:sz w:val="18"/>
                <w:szCs w:val="18"/>
                <w:lang w:val="es-ES"/>
              </w:rPr>
            </w:pPr>
            <w:r w:rsidRPr="00427E28">
              <w:rPr>
                <w:b w:val="0"/>
                <w:bCs w:val="0"/>
                <w:sz w:val="18"/>
                <w:szCs w:val="18"/>
                <w:lang w:val="es-ES"/>
              </w:rPr>
              <w:t>2019</w:t>
            </w:r>
          </w:p>
        </w:tc>
        <w:tc>
          <w:tcPr>
            <w:cnfStyle w:val="000100000000" w:firstRow="0" w:lastRow="0" w:firstColumn="0" w:lastColumn="1" w:oddVBand="0" w:evenVBand="0" w:oddHBand="0" w:evenHBand="0" w:firstRowFirstColumn="0" w:firstRowLastColumn="0" w:lastRowFirstColumn="0" w:lastRowLastColumn="0"/>
            <w:tcW w:w="9214" w:type="dxa"/>
            <w:tcBorders>
              <w:left w:val="single" w:sz="4" w:space="0" w:color="4F81BD" w:themeColor="accent1"/>
            </w:tcBorders>
          </w:tcPr>
          <w:p w14:paraId="223ECAD9" w14:textId="77777777" w:rsidR="00A07A85" w:rsidRPr="00427E28" w:rsidRDefault="00A07A85" w:rsidP="00570996">
            <w:pPr>
              <w:pStyle w:val="Tabletext"/>
              <w:rPr>
                <w:b w:val="0"/>
                <w:bCs w:val="0"/>
                <w:sz w:val="18"/>
                <w:szCs w:val="18"/>
                <w:lang w:val="es-ES"/>
              </w:rPr>
            </w:pPr>
            <w:r w:rsidRPr="00427E28">
              <w:rPr>
                <w:b w:val="0"/>
                <w:bCs w:val="0"/>
                <w:sz w:val="18"/>
                <w:szCs w:val="18"/>
                <w:lang w:val="es-ES"/>
              </w:rPr>
              <w:t>D.198, D.262, D.263</w:t>
            </w:r>
          </w:p>
        </w:tc>
      </w:tr>
      <w:tr w:rsidR="00A07A85" w:rsidRPr="00B237E2" w14:paraId="27580D06" w14:textId="77777777" w:rsidTr="00570996">
        <w:trPr>
          <w:jc w:val="center"/>
        </w:trPr>
        <w:tc>
          <w:tcPr>
            <w:cnfStyle w:val="001000000000" w:firstRow="0" w:lastRow="0" w:firstColumn="1" w:lastColumn="0" w:oddVBand="0" w:evenVBand="0" w:oddHBand="0" w:evenHBand="0" w:firstRowFirstColumn="0" w:firstRowLastColumn="0" w:lastRowFirstColumn="0" w:lastRowLastColumn="0"/>
            <w:tcW w:w="710" w:type="dxa"/>
            <w:tcBorders>
              <w:right w:val="single" w:sz="4" w:space="0" w:color="4F81BD" w:themeColor="accent1"/>
            </w:tcBorders>
          </w:tcPr>
          <w:p w14:paraId="2597F69F" w14:textId="77777777" w:rsidR="00A07A85" w:rsidRPr="00427E28" w:rsidRDefault="00A07A85" w:rsidP="00570996">
            <w:pPr>
              <w:pStyle w:val="Tabletext"/>
              <w:rPr>
                <w:b w:val="0"/>
                <w:bCs w:val="0"/>
                <w:sz w:val="18"/>
                <w:szCs w:val="18"/>
                <w:lang w:val="es-ES"/>
              </w:rPr>
            </w:pPr>
            <w:r w:rsidRPr="00427E28">
              <w:rPr>
                <w:b w:val="0"/>
                <w:bCs w:val="0"/>
                <w:sz w:val="18"/>
                <w:szCs w:val="18"/>
                <w:lang w:val="es-ES"/>
              </w:rPr>
              <w:t>2020</w:t>
            </w:r>
          </w:p>
        </w:tc>
        <w:tc>
          <w:tcPr>
            <w:cnfStyle w:val="000100000000" w:firstRow="0" w:lastRow="0" w:firstColumn="0" w:lastColumn="1" w:oddVBand="0" w:evenVBand="0" w:oddHBand="0" w:evenHBand="0" w:firstRowFirstColumn="0" w:firstRowLastColumn="0" w:lastRowFirstColumn="0" w:lastRowLastColumn="0"/>
            <w:tcW w:w="9214" w:type="dxa"/>
            <w:tcBorders>
              <w:top w:val="single" w:sz="4" w:space="0" w:color="4F81BD" w:themeColor="accent1"/>
              <w:left w:val="single" w:sz="4" w:space="0" w:color="4F81BD" w:themeColor="accent1"/>
              <w:bottom w:val="single" w:sz="4" w:space="0" w:color="4F81BD" w:themeColor="accent1"/>
            </w:tcBorders>
          </w:tcPr>
          <w:p w14:paraId="51DD06BB" w14:textId="77777777" w:rsidR="00A07A85" w:rsidRPr="00427E28" w:rsidRDefault="00A07A85" w:rsidP="00570996">
            <w:pPr>
              <w:pStyle w:val="Tabletext"/>
              <w:rPr>
                <w:b w:val="0"/>
                <w:bCs w:val="0"/>
                <w:sz w:val="18"/>
                <w:szCs w:val="18"/>
                <w:lang w:val="es-ES"/>
              </w:rPr>
            </w:pPr>
            <w:r w:rsidRPr="00427E28">
              <w:rPr>
                <w:b w:val="0"/>
                <w:bCs w:val="0"/>
                <w:sz w:val="18"/>
                <w:szCs w:val="18"/>
                <w:lang w:val="es-ES"/>
              </w:rPr>
              <w:t>D.264, D.265, D.266, D.267/X.1261</w:t>
            </w:r>
          </w:p>
        </w:tc>
      </w:tr>
      <w:tr w:rsidR="00A07A85" w:rsidRPr="00B237E2" w14:paraId="66DF0E83" w14:textId="77777777" w:rsidTr="005709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0" w:type="dxa"/>
            <w:tcBorders>
              <w:right w:val="single" w:sz="4" w:space="0" w:color="4F81BD" w:themeColor="accent1"/>
            </w:tcBorders>
          </w:tcPr>
          <w:p w14:paraId="77F877E4" w14:textId="77777777" w:rsidR="00A07A85" w:rsidRPr="00427E28" w:rsidRDefault="00A07A85" w:rsidP="00570996">
            <w:pPr>
              <w:pStyle w:val="Tabletext"/>
              <w:rPr>
                <w:b w:val="0"/>
                <w:bCs w:val="0"/>
                <w:sz w:val="18"/>
                <w:szCs w:val="18"/>
                <w:lang w:val="es-ES"/>
              </w:rPr>
            </w:pPr>
            <w:r w:rsidRPr="00427E28">
              <w:rPr>
                <w:b w:val="0"/>
                <w:bCs w:val="0"/>
                <w:sz w:val="18"/>
                <w:szCs w:val="18"/>
                <w:lang w:val="es-ES"/>
              </w:rPr>
              <w:t>2021</w:t>
            </w:r>
          </w:p>
        </w:tc>
        <w:tc>
          <w:tcPr>
            <w:cnfStyle w:val="000100000000" w:firstRow="0" w:lastRow="0" w:firstColumn="0" w:lastColumn="1" w:oddVBand="0" w:evenVBand="0" w:oddHBand="0" w:evenHBand="0" w:firstRowFirstColumn="0" w:firstRowLastColumn="0" w:lastRowFirstColumn="0" w:lastRowLastColumn="0"/>
            <w:tcW w:w="9214" w:type="dxa"/>
            <w:tcBorders>
              <w:left w:val="single" w:sz="4" w:space="0" w:color="4F81BD" w:themeColor="accent1"/>
            </w:tcBorders>
          </w:tcPr>
          <w:p w14:paraId="121C686E" w14:textId="77777777" w:rsidR="00A07A85" w:rsidRPr="00427E28" w:rsidRDefault="00A07A85" w:rsidP="00570996">
            <w:pPr>
              <w:pStyle w:val="Tabletext"/>
              <w:rPr>
                <w:b w:val="0"/>
                <w:bCs w:val="0"/>
                <w:sz w:val="18"/>
                <w:szCs w:val="18"/>
                <w:lang w:val="es-ES"/>
              </w:rPr>
            </w:pPr>
            <w:r w:rsidRPr="00427E28">
              <w:rPr>
                <w:b w:val="0"/>
                <w:bCs w:val="0"/>
                <w:sz w:val="18"/>
                <w:szCs w:val="18"/>
                <w:lang w:val="es-ES"/>
              </w:rPr>
              <w:t>D.600R Amd.1, D.607R, D.1041</w:t>
            </w:r>
          </w:p>
        </w:tc>
      </w:tr>
      <w:tr w:rsidR="00A07A85" w:rsidRPr="00B237E2" w14:paraId="32F80F3E" w14:textId="77777777" w:rsidTr="00570996">
        <w:trPr>
          <w:jc w:val="center"/>
        </w:trPr>
        <w:tc>
          <w:tcPr>
            <w:cnfStyle w:val="001000000000" w:firstRow="0" w:lastRow="0" w:firstColumn="1" w:lastColumn="0" w:oddVBand="0" w:evenVBand="0" w:oddHBand="0" w:evenHBand="0" w:firstRowFirstColumn="0" w:firstRowLastColumn="0" w:lastRowFirstColumn="0" w:lastRowLastColumn="0"/>
            <w:tcW w:w="710" w:type="dxa"/>
            <w:tcBorders>
              <w:right w:val="single" w:sz="4" w:space="0" w:color="4F81BD" w:themeColor="accent1"/>
            </w:tcBorders>
            <w:shd w:val="clear" w:color="auto" w:fill="B6C8E8"/>
          </w:tcPr>
          <w:p w14:paraId="163CAD88" w14:textId="77777777" w:rsidR="00A07A85" w:rsidRPr="00427E28" w:rsidRDefault="00A07A85" w:rsidP="00570996">
            <w:pPr>
              <w:pStyle w:val="Tabletext"/>
              <w:rPr>
                <w:b w:val="0"/>
                <w:bCs w:val="0"/>
                <w:sz w:val="18"/>
                <w:szCs w:val="18"/>
                <w:lang w:val="es-ES"/>
              </w:rPr>
            </w:pPr>
          </w:p>
        </w:tc>
        <w:tc>
          <w:tcPr>
            <w:cnfStyle w:val="000100000000" w:firstRow="0" w:lastRow="0" w:firstColumn="0" w:lastColumn="1" w:oddVBand="0" w:evenVBand="0" w:oddHBand="0" w:evenHBand="0" w:firstRowFirstColumn="0" w:firstRowLastColumn="0" w:lastRowFirstColumn="0" w:lastRowLastColumn="0"/>
            <w:tcW w:w="9214" w:type="dxa"/>
            <w:tcBorders>
              <w:top w:val="single" w:sz="4" w:space="0" w:color="4F81BD" w:themeColor="accent1"/>
              <w:left w:val="single" w:sz="4" w:space="0" w:color="4F81BD" w:themeColor="accent1"/>
              <w:bottom w:val="single" w:sz="4" w:space="0" w:color="4F81BD" w:themeColor="accent1"/>
            </w:tcBorders>
            <w:shd w:val="clear" w:color="auto" w:fill="B6C8E8"/>
          </w:tcPr>
          <w:p w14:paraId="30D9EA23" w14:textId="5EA6FFC0" w:rsidR="00A07A85" w:rsidRPr="00C12B29" w:rsidRDefault="00AF6115" w:rsidP="00570996">
            <w:pPr>
              <w:pStyle w:val="Tabletext"/>
              <w:rPr>
                <w:sz w:val="18"/>
                <w:szCs w:val="18"/>
                <w:lang w:val="es-ES"/>
              </w:rPr>
            </w:pPr>
            <w:hyperlink r:id="rId38" w:history="1">
              <w:r w:rsidR="00C0244F" w:rsidRPr="00427E28">
                <w:rPr>
                  <w:rStyle w:val="Hyperlink"/>
                  <w:sz w:val="18"/>
                  <w:szCs w:val="18"/>
                  <w:lang w:val="es-ES"/>
                </w:rPr>
                <w:t>CE</w:t>
              </w:r>
              <w:r w:rsidR="00427E28" w:rsidRPr="00427E28">
                <w:rPr>
                  <w:rStyle w:val="Hyperlink"/>
                  <w:sz w:val="18"/>
                  <w:szCs w:val="18"/>
                  <w:lang w:val="es-ES"/>
                </w:rPr>
                <w:t> </w:t>
              </w:r>
              <w:r w:rsidR="00A07A85" w:rsidRPr="00EB7F22">
                <w:rPr>
                  <w:rStyle w:val="Hyperlink"/>
                  <w:sz w:val="18"/>
                  <w:szCs w:val="18"/>
                  <w:lang w:val="es-ES"/>
                </w:rPr>
                <w:t xml:space="preserve">5 </w:t>
              </w:r>
              <w:r w:rsidR="00C0244F" w:rsidRPr="00427E28">
                <w:rPr>
                  <w:rStyle w:val="Hyperlink"/>
                  <w:sz w:val="18"/>
                  <w:szCs w:val="18"/>
                  <w:lang w:val="es-ES"/>
                </w:rPr>
                <w:t>–</w:t>
              </w:r>
              <w:r w:rsidR="00A07A85" w:rsidRPr="00EB7F22">
                <w:rPr>
                  <w:rStyle w:val="Hyperlink"/>
                  <w:sz w:val="18"/>
                  <w:szCs w:val="18"/>
                  <w:lang w:val="es-ES"/>
                </w:rPr>
                <w:t xml:space="preserve"> </w:t>
              </w:r>
              <w:r w:rsidR="00C0244F" w:rsidRPr="00427E28">
                <w:rPr>
                  <w:rStyle w:val="Hyperlink"/>
                  <w:sz w:val="18"/>
                  <w:szCs w:val="18"/>
                  <w:lang w:val="es-ES"/>
                </w:rPr>
                <w:t>Medio ambiente y economía circular</w:t>
              </w:r>
            </w:hyperlink>
          </w:p>
        </w:tc>
      </w:tr>
      <w:tr w:rsidR="00A07A85" w:rsidRPr="00B237E2" w14:paraId="42CB61E8" w14:textId="77777777" w:rsidTr="005709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0" w:type="dxa"/>
            <w:tcBorders>
              <w:right w:val="single" w:sz="4" w:space="0" w:color="4F81BD" w:themeColor="accent1"/>
            </w:tcBorders>
            <w:shd w:val="clear" w:color="auto" w:fill="B6C8E8"/>
            <w:hideMark/>
          </w:tcPr>
          <w:p w14:paraId="716D7EC9" w14:textId="77777777" w:rsidR="00A07A85" w:rsidRPr="00427E28" w:rsidRDefault="00A07A85" w:rsidP="00570996">
            <w:pPr>
              <w:pStyle w:val="Tabletext"/>
              <w:rPr>
                <w:b w:val="0"/>
                <w:bCs w:val="0"/>
                <w:sz w:val="18"/>
                <w:szCs w:val="18"/>
                <w:lang w:val="es-ES"/>
              </w:rPr>
            </w:pPr>
            <w:r w:rsidRPr="00427E28">
              <w:rPr>
                <w:b w:val="0"/>
                <w:bCs w:val="0"/>
                <w:sz w:val="18"/>
                <w:szCs w:val="18"/>
                <w:lang w:val="es-ES"/>
              </w:rPr>
              <w:t>2018</w:t>
            </w:r>
          </w:p>
        </w:tc>
        <w:tc>
          <w:tcPr>
            <w:cnfStyle w:val="000100000000" w:firstRow="0" w:lastRow="0" w:firstColumn="0" w:lastColumn="1" w:oddVBand="0" w:evenVBand="0" w:oddHBand="0" w:evenHBand="0" w:firstRowFirstColumn="0" w:firstRowLastColumn="0" w:lastRowFirstColumn="0" w:lastRowLastColumn="0"/>
            <w:tcW w:w="9214" w:type="dxa"/>
            <w:tcBorders>
              <w:left w:val="single" w:sz="4" w:space="0" w:color="4F81BD" w:themeColor="accent1"/>
            </w:tcBorders>
            <w:shd w:val="clear" w:color="auto" w:fill="B6C8E8"/>
          </w:tcPr>
          <w:p w14:paraId="10A5C6E1" w14:textId="77777777" w:rsidR="00A07A85" w:rsidRPr="00427E28" w:rsidRDefault="00A07A85" w:rsidP="00570996">
            <w:pPr>
              <w:pStyle w:val="Tabletext"/>
              <w:rPr>
                <w:b w:val="0"/>
                <w:bCs w:val="0"/>
                <w:sz w:val="18"/>
                <w:szCs w:val="18"/>
                <w:lang w:val="es-ES"/>
              </w:rPr>
            </w:pPr>
            <w:r w:rsidRPr="00427E28">
              <w:rPr>
                <w:b w:val="0"/>
                <w:bCs w:val="0"/>
                <w:sz w:val="18"/>
                <w:szCs w:val="18"/>
                <w:lang w:val="es-ES"/>
              </w:rPr>
              <w:t>K.20, K.21, K.35, K.40, K.44, K.45, K.50, K.52, K.61, K.70, K.90, K.91, K.100, K.128, K.129, K.130, K.131, K.132, K.133, K.134, K.135, K.136, K.137, K.138, K.139, L.1020, L.1021, L.1030, L.1031, L.1207, L.1221, L.1222, L.1303, L.1332, L.1351, L.1361, L.1370, L.1450, L.1460, L.1505, L.1506</w:t>
            </w:r>
          </w:p>
        </w:tc>
      </w:tr>
      <w:tr w:rsidR="00A07A85" w:rsidRPr="00B237E2" w14:paraId="1CC24933" w14:textId="77777777" w:rsidTr="00570996">
        <w:trPr>
          <w:jc w:val="center"/>
        </w:trPr>
        <w:tc>
          <w:tcPr>
            <w:cnfStyle w:val="001000000000" w:firstRow="0" w:lastRow="0" w:firstColumn="1" w:lastColumn="0" w:oddVBand="0" w:evenVBand="0" w:oddHBand="0" w:evenHBand="0" w:firstRowFirstColumn="0" w:firstRowLastColumn="0" w:lastRowFirstColumn="0" w:lastRowLastColumn="0"/>
            <w:tcW w:w="710" w:type="dxa"/>
            <w:tcBorders>
              <w:right w:val="single" w:sz="4" w:space="0" w:color="4F81BD" w:themeColor="accent1"/>
            </w:tcBorders>
            <w:shd w:val="clear" w:color="auto" w:fill="B6C8E8"/>
          </w:tcPr>
          <w:p w14:paraId="0F77D5A7" w14:textId="77777777" w:rsidR="00A07A85" w:rsidRPr="00427E28" w:rsidRDefault="00A07A85" w:rsidP="00570996">
            <w:pPr>
              <w:pStyle w:val="Tabletext"/>
              <w:rPr>
                <w:b w:val="0"/>
                <w:bCs w:val="0"/>
                <w:sz w:val="18"/>
                <w:szCs w:val="18"/>
                <w:lang w:val="es-ES"/>
              </w:rPr>
            </w:pPr>
            <w:r w:rsidRPr="00427E28">
              <w:rPr>
                <w:b w:val="0"/>
                <w:bCs w:val="0"/>
                <w:sz w:val="18"/>
                <w:szCs w:val="18"/>
                <w:lang w:val="es-ES"/>
              </w:rPr>
              <w:t>2019</w:t>
            </w:r>
          </w:p>
        </w:tc>
        <w:tc>
          <w:tcPr>
            <w:cnfStyle w:val="000100000000" w:firstRow="0" w:lastRow="0" w:firstColumn="0" w:lastColumn="1" w:oddVBand="0" w:evenVBand="0" w:oddHBand="0" w:evenHBand="0" w:firstRowFirstColumn="0" w:firstRowLastColumn="0" w:lastRowFirstColumn="0" w:lastRowLastColumn="0"/>
            <w:tcW w:w="9214" w:type="dxa"/>
            <w:tcBorders>
              <w:top w:val="single" w:sz="4" w:space="0" w:color="4F81BD" w:themeColor="accent1"/>
              <w:left w:val="single" w:sz="4" w:space="0" w:color="4F81BD" w:themeColor="accent1"/>
              <w:bottom w:val="single" w:sz="4" w:space="0" w:color="4F81BD" w:themeColor="accent1"/>
            </w:tcBorders>
            <w:shd w:val="clear" w:color="auto" w:fill="B6C8E8"/>
          </w:tcPr>
          <w:p w14:paraId="034C2F61" w14:textId="77777777" w:rsidR="00A07A85" w:rsidRPr="005621ED" w:rsidRDefault="00A07A85" w:rsidP="00570996">
            <w:pPr>
              <w:pStyle w:val="Tabletext"/>
              <w:rPr>
                <w:b w:val="0"/>
                <w:bCs w:val="0"/>
                <w:sz w:val="18"/>
                <w:szCs w:val="18"/>
                <w:lang w:val="es-ES"/>
              </w:rPr>
            </w:pPr>
            <w:r w:rsidRPr="005621ED">
              <w:rPr>
                <w:b w:val="0"/>
                <w:bCs w:val="0"/>
                <w:sz w:val="18"/>
                <w:szCs w:val="18"/>
                <w:lang w:val="es-ES"/>
              </w:rPr>
              <w:t>K.20, K.20, K.21, K.39, K.40, K.44, K.45, K.66, K.73, K.77, K.91, K.100, K.112, K.116, K.123, K.140, K.141, K.142, K.143, K.144, K.145, L.1000, L.1015, L.1022, L.1032, L.1210, L.1305, L.1316, L.1362, L.1380, L.1451, L.1507</w:t>
            </w:r>
          </w:p>
        </w:tc>
      </w:tr>
      <w:tr w:rsidR="00A07A85" w:rsidRPr="00BD3DCF" w14:paraId="6097F8D4" w14:textId="77777777" w:rsidTr="005709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0" w:type="dxa"/>
            <w:tcBorders>
              <w:right w:val="single" w:sz="4" w:space="0" w:color="4F81BD" w:themeColor="accent1"/>
            </w:tcBorders>
            <w:shd w:val="clear" w:color="auto" w:fill="B6C8E8"/>
          </w:tcPr>
          <w:p w14:paraId="647EDC67" w14:textId="77777777" w:rsidR="00A07A85" w:rsidRPr="00427E28" w:rsidRDefault="00A07A85" w:rsidP="00570996">
            <w:pPr>
              <w:pStyle w:val="Tabletext"/>
              <w:rPr>
                <w:b w:val="0"/>
                <w:bCs w:val="0"/>
                <w:sz w:val="18"/>
                <w:szCs w:val="18"/>
                <w:lang w:val="es-ES"/>
              </w:rPr>
            </w:pPr>
            <w:r w:rsidRPr="00427E28">
              <w:rPr>
                <w:b w:val="0"/>
                <w:bCs w:val="0"/>
                <w:sz w:val="18"/>
                <w:szCs w:val="18"/>
                <w:lang w:val="es-ES"/>
              </w:rPr>
              <w:t>2020</w:t>
            </w:r>
          </w:p>
        </w:tc>
        <w:tc>
          <w:tcPr>
            <w:cnfStyle w:val="000100000000" w:firstRow="0" w:lastRow="0" w:firstColumn="0" w:lastColumn="1" w:oddVBand="0" w:evenVBand="0" w:oddHBand="0" w:evenHBand="0" w:firstRowFirstColumn="0" w:firstRowLastColumn="0" w:lastRowFirstColumn="0" w:lastRowLastColumn="0"/>
            <w:tcW w:w="9214" w:type="dxa"/>
            <w:tcBorders>
              <w:left w:val="single" w:sz="4" w:space="0" w:color="4F81BD" w:themeColor="accent1"/>
            </w:tcBorders>
            <w:shd w:val="clear" w:color="auto" w:fill="B6C8E8"/>
          </w:tcPr>
          <w:p w14:paraId="71DA5912" w14:textId="77777777" w:rsidR="00A07A85" w:rsidRPr="005621ED" w:rsidRDefault="00A07A85" w:rsidP="00570996">
            <w:pPr>
              <w:pStyle w:val="Tabletext"/>
              <w:rPr>
                <w:b w:val="0"/>
                <w:bCs w:val="0"/>
                <w:sz w:val="18"/>
                <w:szCs w:val="18"/>
                <w:lang w:val="es-ES"/>
              </w:rPr>
            </w:pPr>
            <w:r w:rsidRPr="005621ED">
              <w:rPr>
                <w:b w:val="0"/>
                <w:bCs w:val="0"/>
                <w:sz w:val="18"/>
                <w:szCs w:val="18"/>
                <w:lang w:val="es-ES"/>
              </w:rPr>
              <w:t>K.21 Amd.1, K.34, K.35, K.44 Cor.1, K.45 Amd.1, K.50 Amd.1, K.50 Cor.1, K.64, K.70, K.78, K.83, K.91, K.91, K.98 Cor.2, K.145, K.146, K.147, K.148, K.149, K.150, L.1023, L.1031, L.1304, L.1310, L.1331, L.1371, L.1381, L.1382, L.1470</w:t>
            </w:r>
          </w:p>
        </w:tc>
      </w:tr>
      <w:tr w:rsidR="00A07A85" w:rsidRPr="00B237E2" w14:paraId="387979F6" w14:textId="77777777" w:rsidTr="00570996">
        <w:trPr>
          <w:jc w:val="center"/>
        </w:trPr>
        <w:tc>
          <w:tcPr>
            <w:cnfStyle w:val="001000000000" w:firstRow="0" w:lastRow="0" w:firstColumn="1" w:lastColumn="0" w:oddVBand="0" w:evenVBand="0" w:oddHBand="0" w:evenHBand="0" w:firstRowFirstColumn="0" w:firstRowLastColumn="0" w:lastRowFirstColumn="0" w:lastRowLastColumn="0"/>
            <w:tcW w:w="710" w:type="dxa"/>
            <w:tcBorders>
              <w:right w:val="single" w:sz="4" w:space="0" w:color="4F81BD" w:themeColor="accent1"/>
            </w:tcBorders>
            <w:shd w:val="clear" w:color="auto" w:fill="B6C8E8"/>
          </w:tcPr>
          <w:p w14:paraId="4131CF6E" w14:textId="77777777" w:rsidR="00A07A85" w:rsidRPr="00427E28" w:rsidRDefault="00A07A85" w:rsidP="00570996">
            <w:pPr>
              <w:pStyle w:val="Tabletext"/>
              <w:rPr>
                <w:b w:val="0"/>
                <w:bCs w:val="0"/>
                <w:sz w:val="18"/>
                <w:szCs w:val="18"/>
                <w:lang w:val="es-ES"/>
              </w:rPr>
            </w:pPr>
            <w:r w:rsidRPr="00427E28">
              <w:rPr>
                <w:b w:val="0"/>
                <w:bCs w:val="0"/>
                <w:sz w:val="18"/>
                <w:szCs w:val="18"/>
                <w:lang w:val="es-ES"/>
              </w:rPr>
              <w:t>2021</w:t>
            </w:r>
          </w:p>
        </w:tc>
        <w:tc>
          <w:tcPr>
            <w:cnfStyle w:val="000100000000" w:firstRow="0" w:lastRow="0" w:firstColumn="0" w:lastColumn="1" w:oddVBand="0" w:evenVBand="0" w:oddHBand="0" w:evenHBand="0" w:firstRowFirstColumn="0" w:firstRowLastColumn="0" w:lastRowFirstColumn="0" w:lastRowLastColumn="0"/>
            <w:tcW w:w="9214" w:type="dxa"/>
            <w:tcBorders>
              <w:top w:val="single" w:sz="4" w:space="0" w:color="4F81BD" w:themeColor="accent1"/>
              <w:left w:val="single" w:sz="4" w:space="0" w:color="4F81BD" w:themeColor="accent1"/>
              <w:bottom w:val="single" w:sz="4" w:space="0" w:color="4F81BD" w:themeColor="accent1"/>
            </w:tcBorders>
            <w:shd w:val="clear" w:color="auto" w:fill="B6C8E8"/>
          </w:tcPr>
          <w:p w14:paraId="2EEF96D0" w14:textId="47AE5878" w:rsidR="00A07A85" w:rsidRPr="00427E28" w:rsidRDefault="00A07A85" w:rsidP="00570996">
            <w:pPr>
              <w:pStyle w:val="Tabletext"/>
              <w:rPr>
                <w:b w:val="0"/>
                <w:bCs w:val="0"/>
                <w:sz w:val="18"/>
                <w:szCs w:val="18"/>
                <w:lang w:val="es-ES"/>
              </w:rPr>
            </w:pPr>
            <w:r w:rsidRPr="00427E28">
              <w:rPr>
                <w:b w:val="0"/>
                <w:bCs w:val="0"/>
                <w:sz w:val="18"/>
                <w:szCs w:val="18"/>
                <w:lang w:val="es-ES"/>
              </w:rPr>
              <w:t>K.20, K.50 Cor.2, K.52, K.56, K.100, K.112, K.147 Cor.1, L.1024, L.1033, L.1060, L.1383, L.1471</w:t>
            </w:r>
          </w:p>
        </w:tc>
      </w:tr>
      <w:tr w:rsidR="00A07A85" w:rsidRPr="00B237E2" w14:paraId="618ACB10" w14:textId="77777777" w:rsidTr="005709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0" w:type="dxa"/>
            <w:tcBorders>
              <w:right w:val="single" w:sz="4" w:space="0" w:color="4F81BD" w:themeColor="accent1"/>
            </w:tcBorders>
          </w:tcPr>
          <w:p w14:paraId="2748A863" w14:textId="77777777" w:rsidR="00A07A85" w:rsidRPr="00427E28" w:rsidRDefault="00A07A85" w:rsidP="00570996">
            <w:pPr>
              <w:pStyle w:val="Tabletext"/>
              <w:rPr>
                <w:b w:val="0"/>
                <w:bCs w:val="0"/>
                <w:sz w:val="18"/>
                <w:szCs w:val="18"/>
                <w:lang w:val="es-ES"/>
              </w:rPr>
            </w:pPr>
          </w:p>
        </w:tc>
        <w:tc>
          <w:tcPr>
            <w:cnfStyle w:val="000100000000" w:firstRow="0" w:lastRow="0" w:firstColumn="0" w:lastColumn="1" w:oddVBand="0" w:evenVBand="0" w:oddHBand="0" w:evenHBand="0" w:firstRowFirstColumn="0" w:firstRowLastColumn="0" w:lastRowFirstColumn="0" w:lastRowLastColumn="0"/>
            <w:tcW w:w="9214" w:type="dxa"/>
            <w:tcBorders>
              <w:left w:val="single" w:sz="4" w:space="0" w:color="4F81BD" w:themeColor="accent1"/>
            </w:tcBorders>
          </w:tcPr>
          <w:p w14:paraId="2970A586" w14:textId="5007A722" w:rsidR="00A07A85" w:rsidRPr="00C12B29" w:rsidRDefault="00AF6115" w:rsidP="00570996">
            <w:pPr>
              <w:pStyle w:val="Tabletext"/>
              <w:rPr>
                <w:sz w:val="18"/>
                <w:szCs w:val="18"/>
                <w:lang w:val="es-ES"/>
              </w:rPr>
            </w:pPr>
            <w:hyperlink r:id="rId39" w:history="1">
              <w:r w:rsidR="00C0244F" w:rsidRPr="00427E28">
                <w:rPr>
                  <w:rStyle w:val="Hyperlink"/>
                  <w:sz w:val="18"/>
                  <w:szCs w:val="18"/>
                  <w:lang w:val="es-ES"/>
                </w:rPr>
                <w:t>CE</w:t>
              </w:r>
              <w:r w:rsidR="00427E28" w:rsidRPr="00427E28">
                <w:rPr>
                  <w:rStyle w:val="Hyperlink"/>
                  <w:sz w:val="18"/>
                  <w:szCs w:val="18"/>
                  <w:lang w:val="es-ES"/>
                </w:rPr>
                <w:t> </w:t>
              </w:r>
              <w:r w:rsidR="00A07A85" w:rsidRPr="00EB7F22">
                <w:rPr>
                  <w:rStyle w:val="Hyperlink"/>
                  <w:sz w:val="18"/>
                  <w:szCs w:val="18"/>
                  <w:lang w:val="es-ES"/>
                </w:rPr>
                <w:t xml:space="preserve">9 </w:t>
              </w:r>
              <w:r w:rsidR="00427E28" w:rsidRPr="00427E28">
                <w:rPr>
                  <w:rStyle w:val="Hyperlink"/>
                  <w:sz w:val="18"/>
                  <w:szCs w:val="18"/>
                  <w:lang w:val="es-ES"/>
                </w:rPr>
                <w:t>–</w:t>
              </w:r>
              <w:r w:rsidR="00A07A85" w:rsidRPr="00EB7F22">
                <w:rPr>
                  <w:rStyle w:val="Hyperlink"/>
                  <w:sz w:val="18"/>
                  <w:szCs w:val="18"/>
                  <w:lang w:val="es-ES"/>
                </w:rPr>
                <w:t xml:space="preserve"> </w:t>
              </w:r>
              <w:r w:rsidR="00C0244F" w:rsidRPr="00427E28">
                <w:rPr>
                  <w:rStyle w:val="Hyperlink"/>
                  <w:sz w:val="18"/>
                  <w:szCs w:val="18"/>
                  <w:lang w:val="es-ES"/>
                </w:rPr>
                <w:t>Cable y TV de banda ancha</w:t>
              </w:r>
            </w:hyperlink>
          </w:p>
        </w:tc>
      </w:tr>
      <w:tr w:rsidR="00A07A85" w:rsidRPr="00B237E2" w14:paraId="2EC0F9D8" w14:textId="77777777" w:rsidTr="00570996">
        <w:trPr>
          <w:jc w:val="center"/>
        </w:trPr>
        <w:tc>
          <w:tcPr>
            <w:cnfStyle w:val="001000000000" w:firstRow="0" w:lastRow="0" w:firstColumn="1" w:lastColumn="0" w:oddVBand="0" w:evenVBand="0" w:oddHBand="0" w:evenHBand="0" w:firstRowFirstColumn="0" w:firstRowLastColumn="0" w:lastRowFirstColumn="0" w:lastRowLastColumn="0"/>
            <w:tcW w:w="710" w:type="dxa"/>
            <w:tcBorders>
              <w:right w:val="single" w:sz="4" w:space="0" w:color="4F81BD" w:themeColor="accent1"/>
            </w:tcBorders>
            <w:hideMark/>
          </w:tcPr>
          <w:p w14:paraId="249D064C" w14:textId="77777777" w:rsidR="00A07A85" w:rsidRPr="00427E28" w:rsidRDefault="00A07A85" w:rsidP="00570996">
            <w:pPr>
              <w:pStyle w:val="Tabletext"/>
              <w:rPr>
                <w:b w:val="0"/>
                <w:bCs w:val="0"/>
                <w:sz w:val="18"/>
                <w:szCs w:val="18"/>
                <w:lang w:val="es-ES"/>
              </w:rPr>
            </w:pPr>
            <w:r w:rsidRPr="00427E28">
              <w:rPr>
                <w:b w:val="0"/>
                <w:bCs w:val="0"/>
                <w:sz w:val="18"/>
                <w:szCs w:val="18"/>
                <w:lang w:val="es-ES"/>
              </w:rPr>
              <w:t>2018</w:t>
            </w:r>
          </w:p>
        </w:tc>
        <w:tc>
          <w:tcPr>
            <w:cnfStyle w:val="000100000000" w:firstRow="0" w:lastRow="0" w:firstColumn="0" w:lastColumn="1" w:oddVBand="0" w:evenVBand="0" w:oddHBand="0" w:evenHBand="0" w:firstRowFirstColumn="0" w:firstRowLastColumn="0" w:lastRowFirstColumn="0" w:lastRowLastColumn="0"/>
            <w:tcW w:w="9214" w:type="dxa"/>
            <w:tcBorders>
              <w:top w:val="single" w:sz="4" w:space="0" w:color="4F81BD" w:themeColor="accent1"/>
              <w:left w:val="single" w:sz="4" w:space="0" w:color="4F81BD" w:themeColor="accent1"/>
              <w:bottom w:val="single" w:sz="4" w:space="0" w:color="4F81BD" w:themeColor="accent1"/>
            </w:tcBorders>
          </w:tcPr>
          <w:p w14:paraId="37075126" w14:textId="77777777" w:rsidR="00A07A85" w:rsidRPr="00427E28" w:rsidRDefault="00A07A85" w:rsidP="00570996">
            <w:pPr>
              <w:pStyle w:val="Tabletext"/>
              <w:rPr>
                <w:b w:val="0"/>
                <w:bCs w:val="0"/>
                <w:sz w:val="18"/>
                <w:szCs w:val="18"/>
                <w:lang w:val="es-ES"/>
              </w:rPr>
            </w:pPr>
            <w:r w:rsidRPr="00427E28">
              <w:rPr>
                <w:b w:val="0"/>
                <w:bCs w:val="0"/>
                <w:sz w:val="18"/>
                <w:szCs w:val="18"/>
                <w:lang w:val="es-ES"/>
              </w:rPr>
              <w:t>J.207, J.297, J.382, J.1107</w:t>
            </w:r>
          </w:p>
        </w:tc>
      </w:tr>
      <w:tr w:rsidR="00A07A85" w:rsidRPr="00BD3DCF" w14:paraId="62F70211" w14:textId="77777777" w:rsidTr="005709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0" w:type="dxa"/>
            <w:tcBorders>
              <w:right w:val="single" w:sz="4" w:space="0" w:color="4F81BD" w:themeColor="accent1"/>
            </w:tcBorders>
          </w:tcPr>
          <w:p w14:paraId="3C3DA18B" w14:textId="77777777" w:rsidR="00A07A85" w:rsidRPr="00427E28" w:rsidRDefault="00A07A85" w:rsidP="00570996">
            <w:pPr>
              <w:pStyle w:val="Tabletext"/>
              <w:rPr>
                <w:b w:val="0"/>
                <w:bCs w:val="0"/>
                <w:sz w:val="18"/>
                <w:szCs w:val="18"/>
                <w:lang w:val="es-ES"/>
              </w:rPr>
            </w:pPr>
            <w:r w:rsidRPr="00427E28">
              <w:rPr>
                <w:b w:val="0"/>
                <w:bCs w:val="0"/>
                <w:sz w:val="18"/>
                <w:szCs w:val="18"/>
                <w:lang w:val="es-ES"/>
              </w:rPr>
              <w:t>2019</w:t>
            </w:r>
          </w:p>
        </w:tc>
        <w:tc>
          <w:tcPr>
            <w:cnfStyle w:val="000100000000" w:firstRow="0" w:lastRow="0" w:firstColumn="0" w:lastColumn="1" w:oddVBand="0" w:evenVBand="0" w:oddHBand="0" w:evenHBand="0" w:firstRowFirstColumn="0" w:firstRowLastColumn="0" w:lastRowFirstColumn="0" w:lastRowLastColumn="0"/>
            <w:tcW w:w="9214" w:type="dxa"/>
            <w:tcBorders>
              <w:left w:val="single" w:sz="4" w:space="0" w:color="4F81BD" w:themeColor="accent1"/>
            </w:tcBorders>
          </w:tcPr>
          <w:p w14:paraId="236B35AD" w14:textId="77777777" w:rsidR="00A07A85" w:rsidRPr="00427E28" w:rsidRDefault="00A07A85" w:rsidP="00570996">
            <w:pPr>
              <w:pStyle w:val="Tabletext"/>
              <w:rPr>
                <w:b w:val="0"/>
                <w:bCs w:val="0"/>
                <w:sz w:val="18"/>
                <w:szCs w:val="18"/>
                <w:lang w:val="es-ES"/>
              </w:rPr>
            </w:pPr>
            <w:r w:rsidRPr="00427E28">
              <w:rPr>
                <w:b w:val="0"/>
                <w:bCs w:val="0"/>
                <w:sz w:val="18"/>
                <w:szCs w:val="18"/>
                <w:lang w:val="es-ES"/>
              </w:rPr>
              <w:t>J.1, J.207, J.216, J.224, J.288, J.298, J.302 Amd.1, J.383, J.1026, J.1027, J.1028, J.1108, J.1109, J.1201, J.1202, J.1210, J.1600</w:t>
            </w:r>
          </w:p>
        </w:tc>
      </w:tr>
      <w:tr w:rsidR="00A07A85" w:rsidRPr="00B237E2" w14:paraId="61B662D4" w14:textId="77777777" w:rsidTr="00570996">
        <w:trPr>
          <w:jc w:val="center"/>
        </w:trPr>
        <w:tc>
          <w:tcPr>
            <w:cnfStyle w:val="001000000000" w:firstRow="0" w:lastRow="0" w:firstColumn="1" w:lastColumn="0" w:oddVBand="0" w:evenVBand="0" w:oddHBand="0" w:evenHBand="0" w:firstRowFirstColumn="0" w:firstRowLastColumn="0" w:lastRowFirstColumn="0" w:lastRowLastColumn="0"/>
            <w:tcW w:w="710" w:type="dxa"/>
            <w:tcBorders>
              <w:right w:val="single" w:sz="4" w:space="0" w:color="4F81BD" w:themeColor="accent1"/>
            </w:tcBorders>
          </w:tcPr>
          <w:p w14:paraId="3917264F" w14:textId="77777777" w:rsidR="00A07A85" w:rsidRPr="00427E28" w:rsidRDefault="00A07A85" w:rsidP="00570996">
            <w:pPr>
              <w:pStyle w:val="Tabletext"/>
              <w:rPr>
                <w:b w:val="0"/>
                <w:bCs w:val="0"/>
                <w:sz w:val="18"/>
                <w:szCs w:val="18"/>
                <w:lang w:val="es-ES"/>
              </w:rPr>
            </w:pPr>
            <w:r w:rsidRPr="00427E28">
              <w:rPr>
                <w:b w:val="0"/>
                <w:bCs w:val="0"/>
                <w:sz w:val="18"/>
                <w:szCs w:val="18"/>
                <w:lang w:val="es-ES"/>
              </w:rPr>
              <w:t>2020</w:t>
            </w:r>
          </w:p>
        </w:tc>
        <w:tc>
          <w:tcPr>
            <w:cnfStyle w:val="000100000000" w:firstRow="0" w:lastRow="0" w:firstColumn="0" w:lastColumn="1" w:oddVBand="0" w:evenVBand="0" w:oddHBand="0" w:evenHBand="0" w:firstRowFirstColumn="0" w:firstRowLastColumn="0" w:lastRowFirstColumn="0" w:lastRowLastColumn="0"/>
            <w:tcW w:w="9214" w:type="dxa"/>
            <w:tcBorders>
              <w:top w:val="single" w:sz="4" w:space="0" w:color="4F81BD" w:themeColor="accent1"/>
              <w:left w:val="single" w:sz="4" w:space="0" w:color="4F81BD" w:themeColor="accent1"/>
              <w:bottom w:val="single" w:sz="4" w:space="0" w:color="4F81BD" w:themeColor="accent1"/>
            </w:tcBorders>
          </w:tcPr>
          <w:p w14:paraId="48258043" w14:textId="77777777" w:rsidR="00A07A85" w:rsidRPr="00427E28" w:rsidRDefault="00A07A85" w:rsidP="00570996">
            <w:pPr>
              <w:pStyle w:val="Tabletext"/>
              <w:rPr>
                <w:b w:val="0"/>
                <w:bCs w:val="0"/>
                <w:sz w:val="18"/>
                <w:szCs w:val="18"/>
                <w:lang w:val="es-ES"/>
              </w:rPr>
            </w:pPr>
            <w:r w:rsidRPr="00427E28">
              <w:rPr>
                <w:b w:val="0"/>
                <w:bCs w:val="0"/>
                <w:sz w:val="18"/>
                <w:szCs w:val="18"/>
                <w:lang w:val="es-ES"/>
              </w:rPr>
              <w:t>J.1, J.216, J.224, J.225, J.299, J.1012, J.1013, J.1014, J.1015, J.1015.1, J.1031, J.1032, J.1033, J.1203, J.1204, J.1211</w:t>
            </w:r>
          </w:p>
        </w:tc>
      </w:tr>
      <w:tr w:rsidR="00A07A85" w:rsidRPr="00B237E2" w14:paraId="3B8D7CD9" w14:textId="77777777" w:rsidTr="005709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0" w:type="dxa"/>
            <w:tcBorders>
              <w:right w:val="single" w:sz="4" w:space="0" w:color="4F81BD" w:themeColor="accent1"/>
            </w:tcBorders>
          </w:tcPr>
          <w:p w14:paraId="2CFA4CB6" w14:textId="77777777" w:rsidR="00A07A85" w:rsidRPr="00427E28" w:rsidRDefault="00A07A85" w:rsidP="00570996">
            <w:pPr>
              <w:pStyle w:val="Tabletext"/>
              <w:rPr>
                <w:b w:val="0"/>
                <w:bCs w:val="0"/>
                <w:sz w:val="18"/>
                <w:szCs w:val="18"/>
                <w:lang w:val="es-ES"/>
              </w:rPr>
            </w:pPr>
            <w:r w:rsidRPr="00427E28">
              <w:rPr>
                <w:b w:val="0"/>
                <w:bCs w:val="0"/>
                <w:sz w:val="18"/>
                <w:szCs w:val="18"/>
                <w:lang w:val="es-ES"/>
              </w:rPr>
              <w:lastRenderedPageBreak/>
              <w:t>2021</w:t>
            </w:r>
          </w:p>
        </w:tc>
        <w:tc>
          <w:tcPr>
            <w:cnfStyle w:val="000100000000" w:firstRow="0" w:lastRow="0" w:firstColumn="0" w:lastColumn="1" w:oddVBand="0" w:evenVBand="0" w:oddHBand="0" w:evenHBand="0" w:firstRowFirstColumn="0" w:firstRowLastColumn="0" w:lastRowFirstColumn="0" w:lastRowLastColumn="0"/>
            <w:tcW w:w="9214" w:type="dxa"/>
            <w:tcBorders>
              <w:left w:val="single" w:sz="4" w:space="0" w:color="4F81BD" w:themeColor="accent1"/>
            </w:tcBorders>
          </w:tcPr>
          <w:p w14:paraId="195DB8F6" w14:textId="77777777" w:rsidR="00A07A85" w:rsidRPr="00427E28" w:rsidRDefault="00A07A85" w:rsidP="00570996">
            <w:pPr>
              <w:pStyle w:val="Tabletext"/>
              <w:rPr>
                <w:b w:val="0"/>
                <w:bCs w:val="0"/>
                <w:sz w:val="18"/>
                <w:szCs w:val="18"/>
                <w:lang w:val="es-ES"/>
              </w:rPr>
            </w:pPr>
            <w:r w:rsidRPr="00427E28">
              <w:rPr>
                <w:b w:val="0"/>
                <w:bCs w:val="0"/>
                <w:sz w:val="18"/>
                <w:szCs w:val="18"/>
                <w:lang w:val="es-ES"/>
              </w:rPr>
              <w:t>J.208, J.481, J.482, J.1110, J.1301, J.1302, J.1611</w:t>
            </w:r>
          </w:p>
        </w:tc>
      </w:tr>
      <w:tr w:rsidR="00A07A85" w:rsidRPr="00B237E2" w14:paraId="7478ADF4" w14:textId="77777777" w:rsidTr="00570996">
        <w:trPr>
          <w:jc w:val="center"/>
        </w:trPr>
        <w:tc>
          <w:tcPr>
            <w:cnfStyle w:val="001000000000" w:firstRow="0" w:lastRow="0" w:firstColumn="1" w:lastColumn="0" w:oddVBand="0" w:evenVBand="0" w:oddHBand="0" w:evenHBand="0" w:firstRowFirstColumn="0" w:firstRowLastColumn="0" w:lastRowFirstColumn="0" w:lastRowLastColumn="0"/>
            <w:tcW w:w="710" w:type="dxa"/>
            <w:tcBorders>
              <w:top w:val="single" w:sz="4" w:space="0" w:color="4F81BD" w:themeColor="accent1"/>
              <w:bottom w:val="single" w:sz="4" w:space="0" w:color="4F81BD" w:themeColor="accent1"/>
              <w:right w:val="single" w:sz="4" w:space="0" w:color="4F81BD" w:themeColor="accent1"/>
            </w:tcBorders>
            <w:shd w:val="clear" w:color="auto" w:fill="B6C8E8"/>
          </w:tcPr>
          <w:p w14:paraId="3DFB759C" w14:textId="77777777" w:rsidR="00A07A85" w:rsidRPr="00427E28" w:rsidRDefault="00A07A85" w:rsidP="00570996">
            <w:pPr>
              <w:pStyle w:val="Tabletext"/>
              <w:rPr>
                <w:b w:val="0"/>
                <w:bCs w:val="0"/>
                <w:sz w:val="18"/>
                <w:szCs w:val="18"/>
                <w:lang w:val="es-ES"/>
              </w:rPr>
            </w:pPr>
          </w:p>
        </w:tc>
        <w:tc>
          <w:tcPr>
            <w:cnfStyle w:val="000100000000" w:firstRow="0" w:lastRow="0" w:firstColumn="0" w:lastColumn="1" w:oddVBand="0" w:evenVBand="0" w:oddHBand="0" w:evenHBand="0" w:firstRowFirstColumn="0" w:firstRowLastColumn="0" w:lastRowFirstColumn="0" w:lastRowLastColumn="0"/>
            <w:tcW w:w="9214" w:type="dxa"/>
            <w:tcBorders>
              <w:top w:val="single" w:sz="4" w:space="0" w:color="4F81BD" w:themeColor="accent1"/>
              <w:left w:val="single" w:sz="4" w:space="0" w:color="4F81BD" w:themeColor="accent1"/>
              <w:bottom w:val="single" w:sz="4" w:space="0" w:color="4F81BD" w:themeColor="accent1"/>
            </w:tcBorders>
            <w:shd w:val="clear" w:color="auto" w:fill="B6C8E8"/>
          </w:tcPr>
          <w:p w14:paraId="72DBC746" w14:textId="533F2941" w:rsidR="00A07A85" w:rsidRPr="00C12B29" w:rsidRDefault="00AF6115" w:rsidP="00570996">
            <w:pPr>
              <w:pStyle w:val="Tabletext"/>
              <w:rPr>
                <w:sz w:val="18"/>
                <w:szCs w:val="18"/>
                <w:lang w:val="es-ES"/>
              </w:rPr>
            </w:pPr>
            <w:hyperlink r:id="rId40" w:history="1">
              <w:r w:rsidR="00C0244F" w:rsidRPr="009A4ED1">
                <w:rPr>
                  <w:rStyle w:val="Hyperlink"/>
                  <w:sz w:val="18"/>
                  <w:szCs w:val="18"/>
                  <w:lang w:val="es-ES"/>
                </w:rPr>
                <w:t>CE</w:t>
              </w:r>
              <w:r w:rsidR="00427E28">
                <w:rPr>
                  <w:rStyle w:val="Hyperlink"/>
                  <w:sz w:val="18"/>
                  <w:szCs w:val="18"/>
                  <w:lang w:val="es-ES"/>
                </w:rPr>
                <w:t> </w:t>
              </w:r>
              <w:r w:rsidR="00A07A85" w:rsidRPr="00EB7F22">
                <w:rPr>
                  <w:rStyle w:val="Hyperlink"/>
                  <w:sz w:val="18"/>
                  <w:szCs w:val="18"/>
                  <w:lang w:val="es-ES"/>
                </w:rPr>
                <w:t xml:space="preserve">11 </w:t>
              </w:r>
              <w:r w:rsidR="00C0244F" w:rsidRPr="00427E28">
                <w:rPr>
                  <w:rStyle w:val="Hyperlink"/>
                  <w:sz w:val="18"/>
                  <w:szCs w:val="18"/>
                  <w:lang w:val="es-ES"/>
                </w:rPr>
                <w:t>–</w:t>
              </w:r>
              <w:r w:rsidR="00A07A85" w:rsidRPr="00EB7F22">
                <w:rPr>
                  <w:rStyle w:val="Hyperlink"/>
                  <w:sz w:val="18"/>
                  <w:szCs w:val="18"/>
                  <w:lang w:val="es-ES"/>
                </w:rPr>
                <w:t xml:space="preserve"> </w:t>
              </w:r>
              <w:r w:rsidR="00A07A85" w:rsidRPr="00427E28">
                <w:rPr>
                  <w:rStyle w:val="Hyperlink"/>
                  <w:sz w:val="18"/>
                  <w:szCs w:val="18"/>
                  <w:lang w:val="es-ES"/>
                </w:rPr>
                <w:t>P</w:t>
              </w:r>
              <w:r w:rsidR="00C0244F" w:rsidRPr="00427E28">
                <w:rPr>
                  <w:rStyle w:val="Hyperlink"/>
                  <w:sz w:val="18"/>
                  <w:szCs w:val="18"/>
                  <w:lang w:val="es-ES"/>
                </w:rPr>
                <w:t>rotocolos y especificaciones de pruebas</w:t>
              </w:r>
            </w:hyperlink>
          </w:p>
        </w:tc>
      </w:tr>
      <w:tr w:rsidR="00A07A85" w:rsidRPr="00B237E2" w14:paraId="46F77857" w14:textId="77777777" w:rsidTr="005709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0" w:type="dxa"/>
            <w:tcBorders>
              <w:right w:val="single" w:sz="4" w:space="0" w:color="4F81BD" w:themeColor="accent1"/>
            </w:tcBorders>
            <w:shd w:val="clear" w:color="auto" w:fill="B6C8E8"/>
            <w:hideMark/>
          </w:tcPr>
          <w:p w14:paraId="54B66EA3" w14:textId="77777777" w:rsidR="00A07A85" w:rsidRPr="00427E28" w:rsidRDefault="00A07A85" w:rsidP="00570996">
            <w:pPr>
              <w:pStyle w:val="Tabletext"/>
              <w:rPr>
                <w:b w:val="0"/>
                <w:bCs w:val="0"/>
                <w:sz w:val="18"/>
                <w:szCs w:val="18"/>
                <w:lang w:val="es-ES"/>
              </w:rPr>
            </w:pPr>
            <w:r w:rsidRPr="00427E28">
              <w:rPr>
                <w:b w:val="0"/>
                <w:bCs w:val="0"/>
                <w:sz w:val="18"/>
                <w:szCs w:val="18"/>
                <w:lang w:val="es-ES"/>
              </w:rPr>
              <w:t>2018</w:t>
            </w:r>
          </w:p>
        </w:tc>
        <w:tc>
          <w:tcPr>
            <w:cnfStyle w:val="000100000000" w:firstRow="0" w:lastRow="0" w:firstColumn="0" w:lastColumn="1" w:oddVBand="0" w:evenVBand="0" w:oddHBand="0" w:evenHBand="0" w:firstRowFirstColumn="0" w:firstRowLastColumn="0" w:lastRowFirstColumn="0" w:lastRowLastColumn="0"/>
            <w:tcW w:w="9214" w:type="dxa"/>
            <w:tcBorders>
              <w:left w:val="single" w:sz="4" w:space="0" w:color="4F81BD" w:themeColor="accent1"/>
            </w:tcBorders>
            <w:shd w:val="clear" w:color="auto" w:fill="B6C8E8"/>
          </w:tcPr>
          <w:p w14:paraId="75BF4CF0" w14:textId="77777777" w:rsidR="00A07A85" w:rsidRPr="00427E28" w:rsidRDefault="00A07A85" w:rsidP="00570996">
            <w:pPr>
              <w:pStyle w:val="Tabletext"/>
              <w:rPr>
                <w:b w:val="0"/>
                <w:bCs w:val="0"/>
                <w:sz w:val="18"/>
                <w:szCs w:val="18"/>
                <w:lang w:val="es-ES"/>
              </w:rPr>
            </w:pPr>
            <w:r w:rsidRPr="00427E28">
              <w:rPr>
                <w:b w:val="0"/>
                <w:bCs w:val="0"/>
                <w:sz w:val="18"/>
                <w:szCs w:val="18"/>
                <w:lang w:val="es-ES"/>
              </w:rPr>
              <w:t>Q.850, Q.1912.5, Q.3405, Q.3640, Q.3641, Q.3714, Q.3715, Q.3716, Q.3717, Q.3718, Q.3740, Q.3914, Q.3940, Q.3952, Q.3953, Q.4016, Q.4041.1, Q.4042.1, Q.4060, Q.5001, X.609.4, X.609.5, X.609.6, X.609.7</w:t>
            </w:r>
          </w:p>
        </w:tc>
      </w:tr>
      <w:tr w:rsidR="00A07A85" w:rsidRPr="00BD3DCF" w14:paraId="0584F724" w14:textId="77777777" w:rsidTr="00570996">
        <w:trPr>
          <w:jc w:val="center"/>
        </w:trPr>
        <w:tc>
          <w:tcPr>
            <w:cnfStyle w:val="001000000000" w:firstRow="0" w:lastRow="0" w:firstColumn="1" w:lastColumn="0" w:oddVBand="0" w:evenVBand="0" w:oddHBand="0" w:evenHBand="0" w:firstRowFirstColumn="0" w:firstRowLastColumn="0" w:lastRowFirstColumn="0" w:lastRowLastColumn="0"/>
            <w:tcW w:w="710" w:type="dxa"/>
            <w:tcBorders>
              <w:top w:val="single" w:sz="4" w:space="0" w:color="4F81BD" w:themeColor="accent1"/>
              <w:bottom w:val="single" w:sz="4" w:space="0" w:color="4F81BD" w:themeColor="accent1"/>
              <w:right w:val="single" w:sz="4" w:space="0" w:color="4F81BD" w:themeColor="accent1"/>
            </w:tcBorders>
            <w:shd w:val="clear" w:color="auto" w:fill="B6C8E8"/>
          </w:tcPr>
          <w:p w14:paraId="1ED083D7" w14:textId="77777777" w:rsidR="00A07A85" w:rsidRPr="00427E28" w:rsidRDefault="00A07A85" w:rsidP="00570996">
            <w:pPr>
              <w:pStyle w:val="Tabletext"/>
              <w:rPr>
                <w:b w:val="0"/>
                <w:bCs w:val="0"/>
                <w:sz w:val="18"/>
                <w:szCs w:val="18"/>
                <w:lang w:val="es-ES"/>
              </w:rPr>
            </w:pPr>
            <w:r w:rsidRPr="00427E28">
              <w:rPr>
                <w:b w:val="0"/>
                <w:bCs w:val="0"/>
                <w:sz w:val="18"/>
                <w:szCs w:val="18"/>
                <w:lang w:val="es-ES"/>
              </w:rPr>
              <w:t>2019</w:t>
            </w:r>
          </w:p>
        </w:tc>
        <w:tc>
          <w:tcPr>
            <w:cnfStyle w:val="000100000000" w:firstRow="0" w:lastRow="0" w:firstColumn="0" w:lastColumn="1" w:oddVBand="0" w:evenVBand="0" w:oddHBand="0" w:evenHBand="0" w:firstRowFirstColumn="0" w:firstRowLastColumn="0" w:lastRowFirstColumn="0" w:lastRowLastColumn="0"/>
            <w:tcW w:w="9214" w:type="dxa"/>
            <w:tcBorders>
              <w:left w:val="single" w:sz="4" w:space="0" w:color="4F81BD" w:themeColor="accent1"/>
            </w:tcBorders>
            <w:shd w:val="clear" w:color="auto" w:fill="B6C8E8"/>
          </w:tcPr>
          <w:p w14:paraId="405E879A" w14:textId="77777777" w:rsidR="00A07A85" w:rsidRPr="00427E28" w:rsidRDefault="00A07A85" w:rsidP="00570996">
            <w:pPr>
              <w:pStyle w:val="Tabletext"/>
              <w:rPr>
                <w:b w:val="0"/>
                <w:bCs w:val="0"/>
                <w:sz w:val="18"/>
                <w:szCs w:val="18"/>
                <w:lang w:val="es-ES"/>
              </w:rPr>
            </w:pPr>
            <w:r w:rsidRPr="00427E28">
              <w:rPr>
                <w:b w:val="0"/>
                <w:bCs w:val="0"/>
                <w:sz w:val="18"/>
                <w:szCs w:val="18"/>
                <w:lang w:val="es-ES"/>
              </w:rPr>
              <w:t>Q.731.3, Q.731.4, Q.731.5, Q.731.6, Q.850 Amd.1, Q.3054, Q.3055, Q.3056, Q.3642, Q.3644, Q.3719, Q.3741, Q.3916, Q.4014.1, Q.4014.2, Q.4043, Q.4061, Q.5002, Q.5020, Q.5021, Q.5050, X.609.8</w:t>
            </w:r>
          </w:p>
        </w:tc>
      </w:tr>
      <w:tr w:rsidR="00A07A85" w:rsidRPr="00B237E2" w14:paraId="053F3B12" w14:textId="77777777" w:rsidTr="005709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0" w:type="dxa"/>
            <w:tcBorders>
              <w:right w:val="single" w:sz="4" w:space="0" w:color="4F81BD" w:themeColor="accent1"/>
            </w:tcBorders>
            <w:shd w:val="clear" w:color="auto" w:fill="B6C8E8"/>
          </w:tcPr>
          <w:p w14:paraId="5909CB89" w14:textId="77777777" w:rsidR="00A07A85" w:rsidRPr="00427E28" w:rsidRDefault="00A07A85" w:rsidP="00570996">
            <w:pPr>
              <w:pStyle w:val="Tabletext"/>
              <w:rPr>
                <w:b w:val="0"/>
                <w:bCs w:val="0"/>
                <w:sz w:val="18"/>
                <w:szCs w:val="18"/>
                <w:lang w:val="es-ES"/>
              </w:rPr>
            </w:pPr>
            <w:r w:rsidRPr="00427E28">
              <w:rPr>
                <w:b w:val="0"/>
                <w:bCs w:val="0"/>
                <w:sz w:val="18"/>
                <w:szCs w:val="18"/>
                <w:lang w:val="es-ES"/>
              </w:rPr>
              <w:t>2020</w:t>
            </w:r>
          </w:p>
        </w:tc>
        <w:tc>
          <w:tcPr>
            <w:cnfStyle w:val="000100000000" w:firstRow="0" w:lastRow="0" w:firstColumn="0" w:lastColumn="1" w:oddVBand="0" w:evenVBand="0" w:oddHBand="0" w:evenHBand="0" w:firstRowFirstColumn="0" w:firstRowLastColumn="0" w:lastRowFirstColumn="0" w:lastRowLastColumn="0"/>
            <w:tcW w:w="9214" w:type="dxa"/>
            <w:tcBorders>
              <w:left w:val="single" w:sz="4" w:space="0" w:color="4F81BD" w:themeColor="accent1"/>
            </w:tcBorders>
            <w:shd w:val="clear" w:color="auto" w:fill="B6C8E8"/>
          </w:tcPr>
          <w:p w14:paraId="67D22E18" w14:textId="77777777" w:rsidR="00A07A85" w:rsidRPr="00427E28" w:rsidRDefault="00A07A85" w:rsidP="00570996">
            <w:pPr>
              <w:pStyle w:val="Tabletext"/>
              <w:rPr>
                <w:b w:val="0"/>
                <w:bCs w:val="0"/>
                <w:sz w:val="18"/>
                <w:szCs w:val="18"/>
                <w:lang w:val="es-ES"/>
              </w:rPr>
            </w:pPr>
            <w:r w:rsidRPr="00427E28">
              <w:rPr>
                <w:b w:val="0"/>
                <w:bCs w:val="0"/>
                <w:sz w:val="18"/>
                <w:szCs w:val="18"/>
                <w:lang w:val="es-ES"/>
              </w:rPr>
              <w:t>Q.3057, Q.3058, Q.3059, Q.3060, Q.3643, Q.3645, Q.3720, Q.3745, Q.3915, Q.3961, Q.3963, Q.4062, Q.4063, Q.4064, Q.4066, Q.4100, Q.5022, Q.5051, Q.5052, X.609.5, X.609.9, X.609.10</w:t>
            </w:r>
          </w:p>
        </w:tc>
      </w:tr>
      <w:tr w:rsidR="00A07A85" w:rsidRPr="00B237E2" w14:paraId="1897207B" w14:textId="77777777" w:rsidTr="00570996">
        <w:trPr>
          <w:jc w:val="center"/>
        </w:trPr>
        <w:tc>
          <w:tcPr>
            <w:cnfStyle w:val="001000000000" w:firstRow="0" w:lastRow="0" w:firstColumn="1" w:lastColumn="0" w:oddVBand="0" w:evenVBand="0" w:oddHBand="0" w:evenHBand="0" w:firstRowFirstColumn="0" w:firstRowLastColumn="0" w:lastRowFirstColumn="0" w:lastRowLastColumn="0"/>
            <w:tcW w:w="710" w:type="dxa"/>
            <w:tcBorders>
              <w:top w:val="single" w:sz="4" w:space="0" w:color="4F81BD" w:themeColor="accent1"/>
              <w:bottom w:val="single" w:sz="4" w:space="0" w:color="4F81BD" w:themeColor="accent1"/>
              <w:right w:val="single" w:sz="4" w:space="0" w:color="4F81BD" w:themeColor="accent1"/>
            </w:tcBorders>
            <w:shd w:val="clear" w:color="auto" w:fill="B6C8E8"/>
          </w:tcPr>
          <w:p w14:paraId="65C9C7AD" w14:textId="77777777" w:rsidR="00A07A85" w:rsidRPr="00427E28" w:rsidRDefault="00A07A85" w:rsidP="00570996">
            <w:pPr>
              <w:pStyle w:val="Tabletext"/>
              <w:rPr>
                <w:b w:val="0"/>
                <w:bCs w:val="0"/>
                <w:sz w:val="18"/>
                <w:szCs w:val="18"/>
                <w:lang w:val="es-ES"/>
              </w:rPr>
            </w:pPr>
            <w:r w:rsidRPr="00427E28">
              <w:rPr>
                <w:b w:val="0"/>
                <w:bCs w:val="0"/>
                <w:sz w:val="18"/>
                <w:szCs w:val="18"/>
                <w:lang w:val="es-ES"/>
              </w:rPr>
              <w:t>2021</w:t>
            </w:r>
          </w:p>
        </w:tc>
        <w:tc>
          <w:tcPr>
            <w:cnfStyle w:val="000100000000" w:firstRow="0" w:lastRow="0" w:firstColumn="0" w:lastColumn="1" w:oddVBand="0" w:evenVBand="0" w:oddHBand="0" w:evenHBand="0" w:firstRowFirstColumn="0" w:firstRowLastColumn="0" w:lastRowFirstColumn="0" w:lastRowLastColumn="0"/>
            <w:tcW w:w="9214" w:type="dxa"/>
            <w:tcBorders>
              <w:left w:val="single" w:sz="4" w:space="0" w:color="4F81BD" w:themeColor="accent1"/>
            </w:tcBorders>
            <w:shd w:val="clear" w:color="auto" w:fill="B6C8E8"/>
          </w:tcPr>
          <w:p w14:paraId="08FE2326" w14:textId="391E8A9D" w:rsidR="00A07A85" w:rsidRPr="00427E28" w:rsidRDefault="00A07A85" w:rsidP="00570996">
            <w:pPr>
              <w:pStyle w:val="Tabletext"/>
              <w:rPr>
                <w:b w:val="0"/>
                <w:bCs w:val="0"/>
                <w:sz w:val="18"/>
                <w:szCs w:val="18"/>
                <w:lang w:val="es-ES"/>
              </w:rPr>
            </w:pPr>
            <w:r w:rsidRPr="00427E28">
              <w:rPr>
                <w:b w:val="0"/>
                <w:bCs w:val="0"/>
                <w:sz w:val="18"/>
                <w:szCs w:val="18"/>
                <w:lang w:val="es-ES"/>
              </w:rPr>
              <w:t>Q.3961 Cor.1, Q.4044, Q.4065, Q.4067, Q.4068, Q.4101, Q.5023, Q.5053</w:t>
            </w:r>
          </w:p>
        </w:tc>
      </w:tr>
      <w:tr w:rsidR="00A07A85" w:rsidRPr="00B237E2" w14:paraId="47429470" w14:textId="77777777" w:rsidTr="005709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0" w:type="dxa"/>
            <w:tcBorders>
              <w:right w:val="single" w:sz="4" w:space="0" w:color="4F81BD" w:themeColor="accent1"/>
            </w:tcBorders>
          </w:tcPr>
          <w:p w14:paraId="78C5C095" w14:textId="77777777" w:rsidR="00A07A85" w:rsidRPr="00427E28" w:rsidRDefault="00A07A85" w:rsidP="00570996">
            <w:pPr>
              <w:pStyle w:val="Tabletext"/>
              <w:rPr>
                <w:b w:val="0"/>
                <w:bCs w:val="0"/>
                <w:sz w:val="18"/>
                <w:szCs w:val="18"/>
                <w:lang w:val="es-ES"/>
              </w:rPr>
            </w:pPr>
          </w:p>
        </w:tc>
        <w:tc>
          <w:tcPr>
            <w:cnfStyle w:val="000100000000" w:firstRow="0" w:lastRow="0" w:firstColumn="0" w:lastColumn="1" w:oddVBand="0" w:evenVBand="0" w:oddHBand="0" w:evenHBand="0" w:firstRowFirstColumn="0" w:firstRowLastColumn="0" w:lastRowFirstColumn="0" w:lastRowLastColumn="0"/>
            <w:tcW w:w="9214" w:type="dxa"/>
            <w:tcBorders>
              <w:left w:val="single" w:sz="4" w:space="0" w:color="4F81BD" w:themeColor="accent1"/>
            </w:tcBorders>
          </w:tcPr>
          <w:p w14:paraId="557A1348" w14:textId="6F6406BC" w:rsidR="00A07A85" w:rsidRPr="00C12B29" w:rsidRDefault="00AF6115" w:rsidP="00570996">
            <w:pPr>
              <w:pStyle w:val="Tabletext"/>
              <w:rPr>
                <w:sz w:val="18"/>
                <w:szCs w:val="18"/>
                <w:lang w:val="es-ES"/>
              </w:rPr>
            </w:pPr>
            <w:hyperlink r:id="rId41" w:history="1">
              <w:r w:rsidR="00C0244F" w:rsidRPr="00427E28">
                <w:rPr>
                  <w:rStyle w:val="Hyperlink"/>
                  <w:sz w:val="18"/>
                  <w:szCs w:val="18"/>
                  <w:lang w:val="es-ES"/>
                </w:rPr>
                <w:t>CE</w:t>
              </w:r>
              <w:r w:rsidR="00427E28" w:rsidRPr="00427E28">
                <w:rPr>
                  <w:rStyle w:val="Hyperlink"/>
                  <w:sz w:val="18"/>
                  <w:szCs w:val="18"/>
                  <w:lang w:val="es-ES"/>
                </w:rPr>
                <w:t> </w:t>
              </w:r>
              <w:r w:rsidR="00A07A85" w:rsidRPr="00EB7F22">
                <w:rPr>
                  <w:rStyle w:val="Hyperlink"/>
                  <w:sz w:val="18"/>
                  <w:szCs w:val="18"/>
                  <w:lang w:val="es-ES"/>
                </w:rPr>
                <w:t xml:space="preserve">12 </w:t>
              </w:r>
              <w:r w:rsidR="00427E28" w:rsidRPr="00427E28">
                <w:rPr>
                  <w:rStyle w:val="Hyperlink"/>
                  <w:sz w:val="18"/>
                  <w:szCs w:val="18"/>
                  <w:lang w:val="es-ES"/>
                </w:rPr>
                <w:t>–</w:t>
              </w:r>
              <w:r w:rsidR="00A07A85" w:rsidRPr="00EB7F22">
                <w:rPr>
                  <w:rStyle w:val="Hyperlink"/>
                  <w:sz w:val="18"/>
                  <w:szCs w:val="18"/>
                  <w:lang w:val="es-ES"/>
                </w:rPr>
                <w:t xml:space="preserve"> </w:t>
              </w:r>
              <w:r w:rsidR="00C0244F" w:rsidRPr="00427E28">
                <w:rPr>
                  <w:rStyle w:val="Hyperlink"/>
                  <w:sz w:val="18"/>
                  <w:szCs w:val="18"/>
                  <w:lang w:val="es-ES"/>
                </w:rPr>
                <w:t xml:space="preserve">Calidad de funcionamiento, </w:t>
              </w:r>
              <w:r w:rsidR="00DC066D" w:rsidRPr="00427E28">
                <w:rPr>
                  <w:rStyle w:val="Hyperlink"/>
                  <w:sz w:val="18"/>
                  <w:szCs w:val="18"/>
                  <w:lang w:val="es-ES"/>
                </w:rPr>
                <w:t>calidad de servicio (QoS) y calidad percibida (QoE)</w:t>
              </w:r>
            </w:hyperlink>
          </w:p>
        </w:tc>
      </w:tr>
      <w:tr w:rsidR="00A07A85" w:rsidRPr="00BD3DCF" w14:paraId="5ACDA421" w14:textId="77777777" w:rsidTr="00570996">
        <w:trPr>
          <w:jc w:val="center"/>
        </w:trPr>
        <w:tc>
          <w:tcPr>
            <w:cnfStyle w:val="001000000000" w:firstRow="0" w:lastRow="0" w:firstColumn="1" w:lastColumn="0" w:oddVBand="0" w:evenVBand="0" w:oddHBand="0" w:evenHBand="0" w:firstRowFirstColumn="0" w:firstRowLastColumn="0" w:lastRowFirstColumn="0" w:lastRowLastColumn="0"/>
            <w:tcW w:w="710" w:type="dxa"/>
            <w:tcBorders>
              <w:top w:val="single" w:sz="4" w:space="0" w:color="4F81BD" w:themeColor="accent1"/>
              <w:bottom w:val="single" w:sz="4" w:space="0" w:color="4F81BD" w:themeColor="accent1"/>
              <w:right w:val="single" w:sz="4" w:space="0" w:color="4F81BD" w:themeColor="accent1"/>
            </w:tcBorders>
            <w:hideMark/>
          </w:tcPr>
          <w:p w14:paraId="60455A03" w14:textId="77777777" w:rsidR="00A07A85" w:rsidRPr="00427E28" w:rsidRDefault="00A07A85" w:rsidP="00570996">
            <w:pPr>
              <w:pStyle w:val="Tabletext"/>
              <w:rPr>
                <w:b w:val="0"/>
                <w:bCs w:val="0"/>
                <w:sz w:val="18"/>
                <w:szCs w:val="18"/>
                <w:lang w:val="es-ES"/>
              </w:rPr>
            </w:pPr>
            <w:r w:rsidRPr="00427E28">
              <w:rPr>
                <w:b w:val="0"/>
                <w:bCs w:val="0"/>
                <w:sz w:val="18"/>
                <w:szCs w:val="18"/>
                <w:lang w:val="es-ES"/>
              </w:rPr>
              <w:t>2018</w:t>
            </w:r>
          </w:p>
        </w:tc>
        <w:tc>
          <w:tcPr>
            <w:cnfStyle w:val="000100000000" w:firstRow="0" w:lastRow="0" w:firstColumn="0" w:lastColumn="1" w:oddVBand="0" w:evenVBand="0" w:oddHBand="0" w:evenHBand="0" w:firstRowFirstColumn="0" w:firstRowLastColumn="0" w:lastRowFirstColumn="0" w:lastRowLastColumn="0"/>
            <w:tcW w:w="9214" w:type="dxa"/>
            <w:tcBorders>
              <w:left w:val="single" w:sz="4" w:space="0" w:color="4F81BD" w:themeColor="accent1"/>
            </w:tcBorders>
          </w:tcPr>
          <w:p w14:paraId="5F9B1050" w14:textId="77777777" w:rsidR="00A07A85" w:rsidRPr="00C12B29" w:rsidRDefault="00A07A85" w:rsidP="00570996">
            <w:pPr>
              <w:pStyle w:val="Tabletext"/>
              <w:rPr>
                <w:b w:val="0"/>
                <w:bCs w:val="0"/>
                <w:sz w:val="18"/>
                <w:szCs w:val="18"/>
                <w:lang w:val="es-ES"/>
              </w:rPr>
            </w:pPr>
            <w:r w:rsidRPr="00EB7F22">
              <w:rPr>
                <w:b w:val="0"/>
                <w:bCs w:val="0"/>
                <w:sz w:val="18"/>
                <w:szCs w:val="18"/>
                <w:lang w:val="es-ES"/>
              </w:rPr>
              <w:t>E.802 Amd.2, E.840, G.1070, P.501 Amd.1, P.570, P.808, P.809, P.862 Cor.2, P.863, Y.1543, Y.1546 Amd.1</w:t>
            </w:r>
          </w:p>
        </w:tc>
      </w:tr>
      <w:tr w:rsidR="00A07A85" w:rsidRPr="00BD3DCF" w14:paraId="30F35E9C" w14:textId="77777777" w:rsidTr="005709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0" w:type="dxa"/>
            <w:tcBorders>
              <w:right w:val="single" w:sz="4" w:space="0" w:color="4F81BD" w:themeColor="accent1"/>
            </w:tcBorders>
          </w:tcPr>
          <w:p w14:paraId="1E1E6261" w14:textId="77777777" w:rsidR="00A07A85" w:rsidRPr="00427E28" w:rsidRDefault="00A07A85" w:rsidP="00570996">
            <w:pPr>
              <w:pStyle w:val="Tabletext"/>
              <w:rPr>
                <w:b w:val="0"/>
                <w:bCs w:val="0"/>
                <w:sz w:val="18"/>
                <w:szCs w:val="18"/>
                <w:lang w:val="es-ES"/>
              </w:rPr>
            </w:pPr>
            <w:r w:rsidRPr="00427E28">
              <w:rPr>
                <w:b w:val="0"/>
                <w:bCs w:val="0"/>
                <w:sz w:val="18"/>
                <w:szCs w:val="18"/>
                <w:lang w:val="es-ES"/>
              </w:rPr>
              <w:t>2019</w:t>
            </w:r>
          </w:p>
        </w:tc>
        <w:tc>
          <w:tcPr>
            <w:cnfStyle w:val="000100000000" w:firstRow="0" w:lastRow="0" w:firstColumn="0" w:lastColumn="1" w:oddVBand="0" w:evenVBand="0" w:oddHBand="0" w:evenHBand="0" w:firstRowFirstColumn="0" w:firstRowLastColumn="0" w:lastRowFirstColumn="0" w:lastRowLastColumn="0"/>
            <w:tcW w:w="9214" w:type="dxa"/>
            <w:tcBorders>
              <w:left w:val="single" w:sz="4" w:space="0" w:color="4F81BD" w:themeColor="accent1"/>
            </w:tcBorders>
          </w:tcPr>
          <w:p w14:paraId="0EB0D54B" w14:textId="56D7F7EA" w:rsidR="00A07A85" w:rsidRPr="00427E28" w:rsidRDefault="00A07A85" w:rsidP="00570996">
            <w:pPr>
              <w:pStyle w:val="Tabletext"/>
              <w:rPr>
                <w:b w:val="0"/>
                <w:bCs w:val="0"/>
                <w:sz w:val="18"/>
                <w:szCs w:val="18"/>
                <w:lang w:val="es-ES"/>
              </w:rPr>
            </w:pPr>
            <w:r w:rsidRPr="00427E28">
              <w:rPr>
                <w:b w:val="0"/>
                <w:bCs w:val="0"/>
                <w:sz w:val="18"/>
                <w:szCs w:val="18"/>
                <w:lang w:val="es-ES"/>
              </w:rPr>
              <w:t>E.805, E.806, G.107.1, G.107.2, G.191, G.1028, G.1028.1, G.1028.2, G.1033, P.10/G.100 Amd.1, P.64, P.340 Amd.2, P.700, P.811, P.863.1, P.917, P.1100, P.1110, P.1201.2 Cor.2, P.1203.1, P.1203.3, Y.1540, Y.1550</w:t>
            </w:r>
          </w:p>
        </w:tc>
      </w:tr>
      <w:tr w:rsidR="00A07A85" w:rsidRPr="00BD3DCF" w14:paraId="21873F17" w14:textId="77777777" w:rsidTr="00570996">
        <w:trPr>
          <w:jc w:val="center"/>
        </w:trPr>
        <w:tc>
          <w:tcPr>
            <w:cnfStyle w:val="001000000000" w:firstRow="0" w:lastRow="0" w:firstColumn="1" w:lastColumn="0" w:oddVBand="0" w:evenVBand="0" w:oddHBand="0" w:evenHBand="0" w:firstRowFirstColumn="0" w:firstRowLastColumn="0" w:lastRowFirstColumn="0" w:lastRowLastColumn="0"/>
            <w:tcW w:w="710" w:type="dxa"/>
            <w:tcBorders>
              <w:top w:val="single" w:sz="4" w:space="0" w:color="4F81BD" w:themeColor="accent1"/>
              <w:bottom w:val="single" w:sz="4" w:space="0" w:color="4F81BD" w:themeColor="accent1"/>
              <w:right w:val="single" w:sz="4" w:space="0" w:color="4F81BD" w:themeColor="accent1"/>
            </w:tcBorders>
          </w:tcPr>
          <w:p w14:paraId="038161A4" w14:textId="77777777" w:rsidR="00A07A85" w:rsidRPr="00427E28" w:rsidRDefault="00A07A85" w:rsidP="00570996">
            <w:pPr>
              <w:pStyle w:val="Tabletext"/>
              <w:rPr>
                <w:b w:val="0"/>
                <w:bCs w:val="0"/>
                <w:sz w:val="18"/>
                <w:szCs w:val="18"/>
                <w:lang w:val="es-ES"/>
              </w:rPr>
            </w:pPr>
            <w:r w:rsidRPr="00427E28">
              <w:rPr>
                <w:b w:val="0"/>
                <w:bCs w:val="0"/>
                <w:sz w:val="18"/>
                <w:szCs w:val="18"/>
                <w:lang w:val="es-ES"/>
              </w:rPr>
              <w:t>2020</w:t>
            </w:r>
          </w:p>
        </w:tc>
        <w:tc>
          <w:tcPr>
            <w:cnfStyle w:val="000100000000" w:firstRow="0" w:lastRow="0" w:firstColumn="0" w:lastColumn="1" w:oddVBand="0" w:evenVBand="0" w:oddHBand="0" w:evenHBand="0" w:firstRowFirstColumn="0" w:firstRowLastColumn="0" w:lastRowFirstColumn="0" w:lastRowLastColumn="0"/>
            <w:tcW w:w="9214" w:type="dxa"/>
            <w:tcBorders>
              <w:left w:val="single" w:sz="4" w:space="0" w:color="4F81BD" w:themeColor="accent1"/>
            </w:tcBorders>
          </w:tcPr>
          <w:p w14:paraId="158B7153" w14:textId="77777777" w:rsidR="00A07A85" w:rsidRPr="00427E28" w:rsidRDefault="00A07A85" w:rsidP="00570996">
            <w:pPr>
              <w:pStyle w:val="Tabletext"/>
              <w:rPr>
                <w:b w:val="0"/>
                <w:bCs w:val="0"/>
                <w:sz w:val="18"/>
                <w:szCs w:val="18"/>
                <w:lang w:val="es-ES"/>
              </w:rPr>
            </w:pPr>
            <w:r w:rsidRPr="00427E28">
              <w:rPr>
                <w:b w:val="0"/>
                <w:bCs w:val="0"/>
                <w:sz w:val="18"/>
                <w:szCs w:val="18"/>
                <w:lang w:val="es-ES"/>
              </w:rPr>
              <w:t>E.475, E.804.1, E.812, G.107.1 Cor.1, G.1034, G.1035, G.1072, G.1072 Cor.1, P.381, P.382, P.501, P.565, P.918, P.919, P.1150, P.1203.3 Amd.1, P.1204, P.1204.3, P.1204.4, P.1204.5, P.1401, P.1502, Y.1540 Amd.1</w:t>
            </w:r>
          </w:p>
        </w:tc>
      </w:tr>
      <w:tr w:rsidR="00A07A85" w:rsidRPr="00B237E2" w14:paraId="390A6DE1" w14:textId="77777777" w:rsidTr="005709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0" w:type="dxa"/>
            <w:tcBorders>
              <w:right w:val="single" w:sz="4" w:space="0" w:color="4F81BD" w:themeColor="accent1"/>
            </w:tcBorders>
          </w:tcPr>
          <w:p w14:paraId="5C8C2933" w14:textId="77777777" w:rsidR="00A07A85" w:rsidRPr="00427E28" w:rsidRDefault="00A07A85" w:rsidP="00570996">
            <w:pPr>
              <w:pStyle w:val="Tabletext"/>
              <w:rPr>
                <w:b w:val="0"/>
                <w:bCs w:val="0"/>
                <w:sz w:val="18"/>
                <w:szCs w:val="18"/>
                <w:lang w:val="es-ES"/>
              </w:rPr>
            </w:pPr>
            <w:r w:rsidRPr="00427E28">
              <w:rPr>
                <w:b w:val="0"/>
                <w:bCs w:val="0"/>
                <w:sz w:val="18"/>
                <w:szCs w:val="18"/>
                <w:lang w:val="es-ES"/>
              </w:rPr>
              <w:t>2021</w:t>
            </w:r>
          </w:p>
        </w:tc>
        <w:tc>
          <w:tcPr>
            <w:cnfStyle w:val="000100000000" w:firstRow="0" w:lastRow="0" w:firstColumn="0" w:lastColumn="1" w:oddVBand="0" w:evenVBand="0" w:oddHBand="0" w:evenHBand="0" w:firstRowFirstColumn="0" w:firstRowLastColumn="0" w:lastRowFirstColumn="0" w:lastRowLastColumn="0"/>
            <w:tcW w:w="9214" w:type="dxa"/>
            <w:tcBorders>
              <w:left w:val="single" w:sz="4" w:space="0" w:color="4F81BD" w:themeColor="accent1"/>
            </w:tcBorders>
          </w:tcPr>
          <w:p w14:paraId="08156D30" w14:textId="77777777" w:rsidR="00A07A85" w:rsidRPr="005621ED" w:rsidRDefault="00A07A85" w:rsidP="00570996">
            <w:pPr>
              <w:pStyle w:val="Tabletext"/>
              <w:rPr>
                <w:b w:val="0"/>
                <w:bCs w:val="0"/>
                <w:sz w:val="18"/>
                <w:szCs w:val="18"/>
                <w:lang w:val="es-ES"/>
              </w:rPr>
            </w:pPr>
            <w:r w:rsidRPr="005621ED">
              <w:rPr>
                <w:b w:val="0"/>
                <w:bCs w:val="0"/>
                <w:sz w:val="18"/>
                <w:szCs w:val="18"/>
                <w:lang w:val="es-ES"/>
              </w:rPr>
              <w:t>E.805.1, P.1203.3 Cor.1, P.57, P.57, P.58, P.58, P.383, P.700, P.808, P.913, Y.1222 Cor.1, Y.1545.1 Amd.1, Y.1563 Cor.1, Y.1564 Cor.1</w:t>
            </w:r>
          </w:p>
        </w:tc>
      </w:tr>
      <w:tr w:rsidR="00A07A85" w:rsidRPr="00B237E2" w14:paraId="23D375C8" w14:textId="77777777" w:rsidTr="00570996">
        <w:trPr>
          <w:jc w:val="center"/>
        </w:trPr>
        <w:tc>
          <w:tcPr>
            <w:cnfStyle w:val="001000000000" w:firstRow="0" w:lastRow="0" w:firstColumn="1" w:lastColumn="0" w:oddVBand="0" w:evenVBand="0" w:oddHBand="0" w:evenHBand="0" w:firstRowFirstColumn="0" w:firstRowLastColumn="0" w:lastRowFirstColumn="0" w:lastRowLastColumn="0"/>
            <w:tcW w:w="710" w:type="dxa"/>
            <w:tcBorders>
              <w:top w:val="single" w:sz="4" w:space="0" w:color="4F81BD" w:themeColor="accent1"/>
              <w:bottom w:val="single" w:sz="4" w:space="0" w:color="4F81BD" w:themeColor="accent1"/>
              <w:right w:val="single" w:sz="4" w:space="0" w:color="4F81BD" w:themeColor="accent1"/>
            </w:tcBorders>
            <w:shd w:val="clear" w:color="auto" w:fill="B6C8E8"/>
          </w:tcPr>
          <w:p w14:paraId="6026275B" w14:textId="77777777" w:rsidR="00A07A85" w:rsidRPr="00427E28" w:rsidRDefault="00A07A85" w:rsidP="00DA44C6">
            <w:pPr>
              <w:pStyle w:val="Tabletext"/>
              <w:keepNext/>
              <w:keepLines/>
              <w:rPr>
                <w:b w:val="0"/>
                <w:bCs w:val="0"/>
                <w:sz w:val="18"/>
                <w:szCs w:val="18"/>
                <w:lang w:val="es-ES"/>
              </w:rPr>
            </w:pPr>
          </w:p>
        </w:tc>
        <w:tc>
          <w:tcPr>
            <w:cnfStyle w:val="000100000000" w:firstRow="0" w:lastRow="0" w:firstColumn="0" w:lastColumn="1" w:oddVBand="0" w:evenVBand="0" w:oddHBand="0" w:evenHBand="0" w:firstRowFirstColumn="0" w:firstRowLastColumn="0" w:lastRowFirstColumn="0" w:lastRowLastColumn="0"/>
            <w:tcW w:w="9214" w:type="dxa"/>
            <w:tcBorders>
              <w:left w:val="single" w:sz="4" w:space="0" w:color="4F81BD" w:themeColor="accent1"/>
            </w:tcBorders>
            <w:shd w:val="clear" w:color="auto" w:fill="B6C8E8"/>
          </w:tcPr>
          <w:p w14:paraId="32C0A700" w14:textId="5F5168C7" w:rsidR="00A07A85" w:rsidRPr="005621ED" w:rsidRDefault="00AF6115" w:rsidP="00DA44C6">
            <w:pPr>
              <w:pStyle w:val="Tabletext"/>
              <w:keepNext/>
              <w:keepLines/>
              <w:rPr>
                <w:sz w:val="18"/>
                <w:szCs w:val="18"/>
                <w:lang w:val="es-ES"/>
              </w:rPr>
            </w:pPr>
            <w:hyperlink r:id="rId42" w:history="1">
              <w:r w:rsidR="00C0244F" w:rsidRPr="005621ED">
                <w:rPr>
                  <w:rStyle w:val="Hyperlink"/>
                  <w:sz w:val="18"/>
                  <w:szCs w:val="18"/>
                  <w:lang w:val="es-ES"/>
                </w:rPr>
                <w:t>CE</w:t>
              </w:r>
              <w:r w:rsidR="005F4555" w:rsidRPr="005621ED">
                <w:rPr>
                  <w:rStyle w:val="Hyperlink"/>
                  <w:sz w:val="18"/>
                  <w:szCs w:val="18"/>
                  <w:lang w:val="es-ES"/>
                </w:rPr>
                <w:t> </w:t>
              </w:r>
              <w:r w:rsidR="00A07A85" w:rsidRPr="005621ED">
                <w:rPr>
                  <w:rStyle w:val="Hyperlink"/>
                  <w:sz w:val="18"/>
                  <w:szCs w:val="18"/>
                  <w:lang w:val="es-ES"/>
                </w:rPr>
                <w:t xml:space="preserve">13 </w:t>
              </w:r>
              <w:r w:rsidR="00957FDC" w:rsidRPr="005621ED">
                <w:rPr>
                  <w:rStyle w:val="Hyperlink"/>
                  <w:sz w:val="18"/>
                  <w:szCs w:val="18"/>
                  <w:lang w:val="es-ES"/>
                </w:rPr>
                <w:t>–</w:t>
              </w:r>
              <w:r w:rsidR="00A07A85" w:rsidRPr="005621ED">
                <w:rPr>
                  <w:rStyle w:val="Hyperlink"/>
                  <w:sz w:val="18"/>
                  <w:szCs w:val="18"/>
                  <w:lang w:val="es-ES"/>
                </w:rPr>
                <w:t xml:space="preserve"> </w:t>
              </w:r>
              <w:r w:rsidR="00957FDC" w:rsidRPr="005621ED">
                <w:rPr>
                  <w:rStyle w:val="Hyperlink"/>
                  <w:sz w:val="18"/>
                  <w:szCs w:val="18"/>
                  <w:lang w:val="es-ES"/>
                </w:rPr>
                <w:t>Redes futuras</w:t>
              </w:r>
              <w:r w:rsidR="00A07A85" w:rsidRPr="005621ED">
                <w:rPr>
                  <w:rStyle w:val="Hyperlink"/>
                  <w:sz w:val="18"/>
                  <w:szCs w:val="18"/>
                  <w:lang w:val="es-ES"/>
                </w:rPr>
                <w:t xml:space="preserve"> (</w:t>
              </w:r>
              <w:r w:rsidR="00957FDC" w:rsidRPr="005621ED">
                <w:rPr>
                  <w:rStyle w:val="Hyperlink"/>
                  <w:sz w:val="18"/>
                  <w:szCs w:val="18"/>
                  <w:lang w:val="es-ES"/>
                </w:rPr>
                <w:t>y de computación en la nube</w:t>
              </w:r>
              <w:r w:rsidR="00A07A85" w:rsidRPr="005621ED">
                <w:rPr>
                  <w:rStyle w:val="Hyperlink"/>
                  <w:sz w:val="18"/>
                  <w:szCs w:val="18"/>
                  <w:lang w:val="es-ES"/>
                </w:rPr>
                <w:t>)</w:t>
              </w:r>
            </w:hyperlink>
          </w:p>
        </w:tc>
      </w:tr>
      <w:tr w:rsidR="00A07A85" w:rsidRPr="00B237E2" w14:paraId="4360D30C" w14:textId="77777777" w:rsidTr="005709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0" w:type="dxa"/>
            <w:tcBorders>
              <w:right w:val="single" w:sz="4" w:space="0" w:color="4F81BD" w:themeColor="accent1"/>
            </w:tcBorders>
            <w:shd w:val="clear" w:color="auto" w:fill="B6C8E8"/>
            <w:hideMark/>
          </w:tcPr>
          <w:p w14:paraId="025A37C7" w14:textId="77777777" w:rsidR="00A07A85" w:rsidRPr="00427E28" w:rsidRDefault="00A07A85" w:rsidP="00570996">
            <w:pPr>
              <w:pStyle w:val="Tabletext"/>
              <w:rPr>
                <w:b w:val="0"/>
                <w:bCs w:val="0"/>
                <w:sz w:val="18"/>
                <w:szCs w:val="18"/>
                <w:lang w:val="es-ES"/>
              </w:rPr>
            </w:pPr>
            <w:r w:rsidRPr="00427E28">
              <w:rPr>
                <w:b w:val="0"/>
                <w:bCs w:val="0"/>
                <w:sz w:val="18"/>
                <w:szCs w:val="18"/>
                <w:lang w:val="es-ES"/>
              </w:rPr>
              <w:t>2018</w:t>
            </w:r>
          </w:p>
        </w:tc>
        <w:tc>
          <w:tcPr>
            <w:cnfStyle w:val="000100000000" w:firstRow="0" w:lastRow="0" w:firstColumn="0" w:lastColumn="1" w:oddVBand="0" w:evenVBand="0" w:oddHBand="0" w:evenHBand="0" w:firstRowFirstColumn="0" w:firstRowLastColumn="0" w:lastRowFirstColumn="0" w:lastRowLastColumn="0"/>
            <w:tcW w:w="9214" w:type="dxa"/>
            <w:tcBorders>
              <w:left w:val="single" w:sz="4" w:space="0" w:color="4F81BD" w:themeColor="accent1"/>
            </w:tcBorders>
            <w:shd w:val="clear" w:color="auto" w:fill="B6C8E8"/>
          </w:tcPr>
          <w:p w14:paraId="5A1A70A8" w14:textId="1C093CBB" w:rsidR="00A07A85" w:rsidRPr="005621ED" w:rsidRDefault="00A07A85" w:rsidP="00570996">
            <w:pPr>
              <w:pStyle w:val="Tabletext"/>
              <w:rPr>
                <w:b w:val="0"/>
                <w:bCs w:val="0"/>
                <w:sz w:val="18"/>
                <w:szCs w:val="18"/>
                <w:lang w:val="es-ES"/>
              </w:rPr>
            </w:pPr>
            <w:r w:rsidRPr="005621ED">
              <w:rPr>
                <w:b w:val="0"/>
                <w:bCs w:val="0"/>
                <w:sz w:val="18"/>
                <w:szCs w:val="18"/>
                <w:lang w:val="es-ES"/>
              </w:rPr>
              <w:t>I.570, Y.2072, Y.2242, Y.2255, Y.2305, Y.2322, Y.2323, Y.2618, Y.2619, Y.2814, Y.2815, Y.3053 Amd.1, Y.3053, Y.3054, Y.3101, Y.3102, Y.3103, Y.3104, Y.3105, Y.3112, Y.3112, Y.3130, Y.3150, Y.3170, Y.3324, Y.3505, Y.3506, Y.3507, Y.3514</w:t>
            </w:r>
            <w:r w:rsidR="000F2CE0" w:rsidRPr="005621ED">
              <w:rPr>
                <w:b w:val="0"/>
                <w:bCs w:val="0"/>
                <w:sz w:val="18"/>
                <w:szCs w:val="18"/>
                <w:lang w:val="es-ES"/>
              </w:rPr>
              <w:t> </w:t>
            </w:r>
            <w:r w:rsidRPr="005621ED">
              <w:rPr>
                <w:b w:val="0"/>
                <w:bCs w:val="0"/>
                <w:sz w:val="18"/>
                <w:szCs w:val="18"/>
                <w:lang w:val="es-ES"/>
              </w:rPr>
              <w:t>Cor.1, Y.3517, Y.3518, Y.3519, Y.3601, Y.3602, Y.3650, Y.3651</w:t>
            </w:r>
          </w:p>
        </w:tc>
      </w:tr>
      <w:tr w:rsidR="00A07A85" w:rsidRPr="00B237E2" w14:paraId="7A42CEA0" w14:textId="77777777" w:rsidTr="00570996">
        <w:trPr>
          <w:jc w:val="center"/>
        </w:trPr>
        <w:tc>
          <w:tcPr>
            <w:cnfStyle w:val="001000000000" w:firstRow="0" w:lastRow="0" w:firstColumn="1" w:lastColumn="0" w:oddVBand="0" w:evenVBand="0" w:oddHBand="0" w:evenHBand="0" w:firstRowFirstColumn="0" w:firstRowLastColumn="0" w:lastRowFirstColumn="0" w:lastRowLastColumn="0"/>
            <w:tcW w:w="710" w:type="dxa"/>
            <w:tcBorders>
              <w:top w:val="single" w:sz="4" w:space="0" w:color="4F81BD" w:themeColor="accent1"/>
              <w:bottom w:val="single" w:sz="4" w:space="0" w:color="4F81BD" w:themeColor="accent1"/>
              <w:right w:val="single" w:sz="4" w:space="0" w:color="4F81BD" w:themeColor="accent1"/>
            </w:tcBorders>
            <w:shd w:val="clear" w:color="auto" w:fill="B6C8E8"/>
          </w:tcPr>
          <w:p w14:paraId="748D410F" w14:textId="77777777" w:rsidR="00A07A85" w:rsidRPr="00427E28" w:rsidRDefault="00A07A85" w:rsidP="00570996">
            <w:pPr>
              <w:pStyle w:val="Tabletext"/>
              <w:rPr>
                <w:b w:val="0"/>
                <w:bCs w:val="0"/>
                <w:sz w:val="18"/>
                <w:szCs w:val="18"/>
                <w:lang w:val="es-ES"/>
              </w:rPr>
            </w:pPr>
            <w:r w:rsidRPr="00427E28">
              <w:rPr>
                <w:b w:val="0"/>
                <w:bCs w:val="0"/>
                <w:sz w:val="18"/>
                <w:szCs w:val="18"/>
                <w:lang w:val="es-ES"/>
              </w:rPr>
              <w:t>2019</w:t>
            </w:r>
          </w:p>
        </w:tc>
        <w:tc>
          <w:tcPr>
            <w:cnfStyle w:val="000100000000" w:firstRow="0" w:lastRow="0" w:firstColumn="0" w:lastColumn="1" w:oddVBand="0" w:evenVBand="0" w:oddHBand="0" w:evenHBand="0" w:firstRowFirstColumn="0" w:firstRowLastColumn="0" w:lastRowFirstColumn="0" w:lastRowLastColumn="0"/>
            <w:tcW w:w="9214" w:type="dxa"/>
            <w:tcBorders>
              <w:left w:val="single" w:sz="4" w:space="0" w:color="4F81BD" w:themeColor="accent1"/>
            </w:tcBorders>
            <w:shd w:val="clear" w:color="auto" w:fill="B6C8E8"/>
          </w:tcPr>
          <w:p w14:paraId="6A05C426" w14:textId="77777777" w:rsidR="00A07A85" w:rsidRPr="00427E28" w:rsidRDefault="00A07A85" w:rsidP="00570996">
            <w:pPr>
              <w:pStyle w:val="Tabletext"/>
              <w:rPr>
                <w:b w:val="0"/>
                <w:bCs w:val="0"/>
                <w:sz w:val="18"/>
                <w:szCs w:val="18"/>
                <w:lang w:val="es-ES"/>
              </w:rPr>
            </w:pPr>
            <w:r w:rsidRPr="00427E28">
              <w:rPr>
                <w:b w:val="0"/>
                <w:bCs w:val="0"/>
                <w:sz w:val="18"/>
                <w:szCs w:val="18"/>
                <w:lang w:val="es-ES"/>
              </w:rPr>
              <w:t>Y.2243, Y.2244, Y.2324, Y.2342, Y.2620, Y.2774, Y.2775, Y.3072, Y.3073, Y.3074, Y.3106, Y.3107, Y.3108, Y.3131, Y.3132, Y.3133, Y.3151, Y.3152, Y.3153, Y.3172, Y.3508, Y.3509, Y.3523, Y.3524, Y.3603, Y.3800</w:t>
            </w:r>
          </w:p>
        </w:tc>
      </w:tr>
      <w:tr w:rsidR="00A07A85" w:rsidRPr="00B237E2" w14:paraId="23D74A32" w14:textId="77777777" w:rsidTr="005709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0" w:type="dxa"/>
            <w:tcBorders>
              <w:right w:val="single" w:sz="4" w:space="0" w:color="4F81BD" w:themeColor="accent1"/>
            </w:tcBorders>
            <w:shd w:val="clear" w:color="auto" w:fill="B6C8E8"/>
          </w:tcPr>
          <w:p w14:paraId="6FFDD4BF" w14:textId="77777777" w:rsidR="00A07A85" w:rsidRPr="00427E28" w:rsidRDefault="00A07A85" w:rsidP="00570996">
            <w:pPr>
              <w:pStyle w:val="Tabletext"/>
              <w:rPr>
                <w:b w:val="0"/>
                <w:bCs w:val="0"/>
                <w:sz w:val="18"/>
                <w:szCs w:val="18"/>
                <w:lang w:val="es-ES"/>
              </w:rPr>
            </w:pPr>
            <w:r w:rsidRPr="00427E28">
              <w:rPr>
                <w:b w:val="0"/>
                <w:bCs w:val="0"/>
                <w:sz w:val="18"/>
                <w:szCs w:val="18"/>
                <w:lang w:val="es-ES"/>
              </w:rPr>
              <w:t>2020</w:t>
            </w:r>
          </w:p>
        </w:tc>
        <w:tc>
          <w:tcPr>
            <w:cnfStyle w:val="000100000000" w:firstRow="0" w:lastRow="0" w:firstColumn="0" w:lastColumn="1" w:oddVBand="0" w:evenVBand="0" w:oddHBand="0" w:evenHBand="0" w:firstRowFirstColumn="0" w:firstRowLastColumn="0" w:lastRowFirstColumn="0" w:lastRowLastColumn="0"/>
            <w:tcW w:w="9214" w:type="dxa"/>
            <w:tcBorders>
              <w:left w:val="single" w:sz="4" w:space="0" w:color="4F81BD" w:themeColor="accent1"/>
            </w:tcBorders>
            <w:shd w:val="clear" w:color="auto" w:fill="B6C8E8"/>
          </w:tcPr>
          <w:p w14:paraId="77D790B4" w14:textId="77777777" w:rsidR="00A07A85" w:rsidRPr="00427E28" w:rsidRDefault="00A07A85" w:rsidP="00570996">
            <w:pPr>
              <w:pStyle w:val="Tabletext"/>
              <w:rPr>
                <w:b w:val="0"/>
                <w:bCs w:val="0"/>
                <w:sz w:val="18"/>
                <w:szCs w:val="18"/>
                <w:lang w:val="es-ES"/>
              </w:rPr>
            </w:pPr>
            <w:r w:rsidRPr="00427E28">
              <w:rPr>
                <w:b w:val="0"/>
                <w:bCs w:val="0"/>
                <w:sz w:val="18"/>
                <w:szCs w:val="18"/>
                <w:lang w:val="es-ES"/>
              </w:rPr>
              <w:t>Y.2029 Amd.1, Y.2245, Y.3055, Y.3075, Y.3076, Y.3134, Y.3136, Y.3150, Y.3154, Y.3155, Y.3156, Y.3173, Y.3174, Y.3175, Y.3176, Y.3525, Y.3530, Y.3531, Y.3604, Y.3605, Y.3652, Y.3800 Cor.1, Y.3801, Y.3802, Y.3803, Y.3804</w:t>
            </w:r>
          </w:p>
        </w:tc>
      </w:tr>
      <w:tr w:rsidR="00A07A85" w:rsidRPr="00B237E2" w14:paraId="0BD15716" w14:textId="77777777" w:rsidTr="00570996">
        <w:trPr>
          <w:jc w:val="center"/>
        </w:trPr>
        <w:tc>
          <w:tcPr>
            <w:cnfStyle w:val="001000000000" w:firstRow="0" w:lastRow="0" w:firstColumn="1" w:lastColumn="0" w:oddVBand="0" w:evenVBand="0" w:oddHBand="0" w:evenHBand="0" w:firstRowFirstColumn="0" w:firstRowLastColumn="0" w:lastRowFirstColumn="0" w:lastRowLastColumn="0"/>
            <w:tcW w:w="710" w:type="dxa"/>
            <w:tcBorders>
              <w:top w:val="single" w:sz="4" w:space="0" w:color="4F81BD" w:themeColor="accent1"/>
              <w:bottom w:val="single" w:sz="4" w:space="0" w:color="4F81BD" w:themeColor="accent1"/>
              <w:right w:val="single" w:sz="4" w:space="0" w:color="4F81BD" w:themeColor="accent1"/>
            </w:tcBorders>
            <w:shd w:val="clear" w:color="auto" w:fill="B6C8E8"/>
          </w:tcPr>
          <w:p w14:paraId="15461CEF" w14:textId="77777777" w:rsidR="00A07A85" w:rsidRPr="00427E28" w:rsidRDefault="00A07A85" w:rsidP="00570996">
            <w:pPr>
              <w:pStyle w:val="Tabletext"/>
              <w:rPr>
                <w:b w:val="0"/>
                <w:bCs w:val="0"/>
                <w:sz w:val="18"/>
                <w:szCs w:val="18"/>
                <w:lang w:val="es-ES"/>
              </w:rPr>
            </w:pPr>
            <w:r w:rsidRPr="00427E28">
              <w:rPr>
                <w:b w:val="0"/>
                <w:bCs w:val="0"/>
                <w:sz w:val="18"/>
                <w:szCs w:val="18"/>
                <w:lang w:val="es-ES"/>
              </w:rPr>
              <w:t>2021</w:t>
            </w:r>
          </w:p>
        </w:tc>
        <w:tc>
          <w:tcPr>
            <w:cnfStyle w:val="000100000000" w:firstRow="0" w:lastRow="0" w:firstColumn="0" w:lastColumn="1" w:oddVBand="0" w:evenVBand="0" w:oddHBand="0" w:evenHBand="0" w:firstRowFirstColumn="0" w:firstRowLastColumn="0" w:lastRowFirstColumn="0" w:lastRowLastColumn="0"/>
            <w:tcW w:w="9214" w:type="dxa"/>
            <w:tcBorders>
              <w:left w:val="single" w:sz="4" w:space="0" w:color="4F81BD" w:themeColor="accent1"/>
            </w:tcBorders>
            <w:shd w:val="clear" w:color="auto" w:fill="B6C8E8"/>
          </w:tcPr>
          <w:p w14:paraId="3DD0BC37" w14:textId="77777777" w:rsidR="00A07A85" w:rsidRPr="00427E28" w:rsidRDefault="00A07A85" w:rsidP="00570996">
            <w:pPr>
              <w:pStyle w:val="Tabletext"/>
              <w:rPr>
                <w:b w:val="0"/>
                <w:bCs w:val="0"/>
                <w:sz w:val="18"/>
                <w:szCs w:val="18"/>
                <w:lang w:val="es-ES"/>
              </w:rPr>
            </w:pPr>
            <w:r w:rsidRPr="00427E28">
              <w:rPr>
                <w:b w:val="0"/>
                <w:bCs w:val="0"/>
                <w:sz w:val="18"/>
                <w:szCs w:val="18"/>
                <w:lang w:val="es-ES"/>
              </w:rPr>
              <w:t>Y.2246, Y.2343, Y.2501, Y.2623, Y.3056, Y.3077, Y.3109, Y.3113, Y.3135, Y.3157, Y.3177, Y.3178, Y.3179, Y.3527, Y.3653, Y.3802 Cor.1, Y.3806</w:t>
            </w:r>
          </w:p>
        </w:tc>
      </w:tr>
      <w:tr w:rsidR="00A07A85" w:rsidRPr="00B237E2" w14:paraId="14A8FC4F" w14:textId="77777777" w:rsidTr="005709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0" w:type="dxa"/>
            <w:tcBorders>
              <w:right w:val="single" w:sz="4" w:space="0" w:color="4F81BD" w:themeColor="accent1"/>
            </w:tcBorders>
          </w:tcPr>
          <w:p w14:paraId="790696F1" w14:textId="77777777" w:rsidR="00A07A85" w:rsidRPr="00427E28" w:rsidRDefault="00A07A85" w:rsidP="00570996">
            <w:pPr>
              <w:pStyle w:val="Tabletext"/>
              <w:rPr>
                <w:b w:val="0"/>
                <w:bCs w:val="0"/>
                <w:sz w:val="18"/>
                <w:szCs w:val="18"/>
                <w:lang w:val="es-ES"/>
              </w:rPr>
            </w:pPr>
          </w:p>
        </w:tc>
        <w:tc>
          <w:tcPr>
            <w:cnfStyle w:val="000100000000" w:firstRow="0" w:lastRow="0" w:firstColumn="0" w:lastColumn="1" w:oddVBand="0" w:evenVBand="0" w:oddHBand="0" w:evenHBand="0" w:firstRowFirstColumn="0" w:firstRowLastColumn="0" w:lastRowFirstColumn="0" w:lastRowLastColumn="0"/>
            <w:tcW w:w="9214" w:type="dxa"/>
            <w:tcBorders>
              <w:left w:val="single" w:sz="4" w:space="0" w:color="4F81BD" w:themeColor="accent1"/>
            </w:tcBorders>
          </w:tcPr>
          <w:p w14:paraId="0CD9A559" w14:textId="4814C86C" w:rsidR="00A07A85" w:rsidRPr="00C12B29" w:rsidRDefault="00AF6115" w:rsidP="00570996">
            <w:pPr>
              <w:pStyle w:val="Tabletext"/>
              <w:rPr>
                <w:sz w:val="18"/>
                <w:szCs w:val="18"/>
                <w:lang w:val="es-ES"/>
              </w:rPr>
            </w:pPr>
            <w:hyperlink r:id="rId43" w:history="1">
              <w:r w:rsidR="00C0244F" w:rsidRPr="00D77C83">
                <w:rPr>
                  <w:rStyle w:val="Hyperlink"/>
                  <w:sz w:val="18"/>
                  <w:szCs w:val="18"/>
                  <w:lang w:val="es-ES"/>
                </w:rPr>
                <w:t>CE</w:t>
              </w:r>
              <w:r w:rsidR="00D77C83" w:rsidRPr="00D77C83">
                <w:rPr>
                  <w:rStyle w:val="Hyperlink"/>
                  <w:sz w:val="18"/>
                  <w:szCs w:val="18"/>
                  <w:lang w:val="es-ES"/>
                </w:rPr>
                <w:t> </w:t>
              </w:r>
              <w:r w:rsidR="00A07A85" w:rsidRPr="00EB7F22">
                <w:rPr>
                  <w:rStyle w:val="Hyperlink"/>
                  <w:sz w:val="18"/>
                  <w:szCs w:val="18"/>
                  <w:lang w:val="es-ES"/>
                </w:rPr>
                <w:t xml:space="preserve">15 </w:t>
              </w:r>
              <w:r w:rsidR="00D77C83" w:rsidRPr="00D77C83">
                <w:rPr>
                  <w:rStyle w:val="Hyperlink"/>
                  <w:sz w:val="18"/>
                  <w:szCs w:val="18"/>
                  <w:lang w:val="es-ES"/>
                </w:rPr>
                <w:t>–</w:t>
              </w:r>
              <w:r w:rsidR="00A07A85" w:rsidRPr="00EB7F22">
                <w:rPr>
                  <w:rStyle w:val="Hyperlink"/>
                  <w:sz w:val="18"/>
                  <w:szCs w:val="18"/>
                  <w:lang w:val="es-ES"/>
                </w:rPr>
                <w:t xml:space="preserve"> </w:t>
              </w:r>
              <w:r w:rsidR="00957FDC" w:rsidRPr="00D77C83">
                <w:rPr>
                  <w:rStyle w:val="Hyperlink"/>
                  <w:sz w:val="18"/>
                  <w:szCs w:val="18"/>
                  <w:lang w:val="es-ES"/>
                </w:rPr>
                <w:t>Redes de transporte, de acceso y domésticas</w:t>
              </w:r>
            </w:hyperlink>
          </w:p>
        </w:tc>
      </w:tr>
      <w:tr w:rsidR="00A07A85" w:rsidRPr="00B237E2" w14:paraId="6FFF1DB2" w14:textId="77777777" w:rsidTr="00570996">
        <w:trPr>
          <w:jc w:val="center"/>
        </w:trPr>
        <w:tc>
          <w:tcPr>
            <w:cnfStyle w:val="001000000000" w:firstRow="0" w:lastRow="0" w:firstColumn="1" w:lastColumn="0" w:oddVBand="0" w:evenVBand="0" w:oddHBand="0" w:evenHBand="0" w:firstRowFirstColumn="0" w:firstRowLastColumn="0" w:lastRowFirstColumn="0" w:lastRowLastColumn="0"/>
            <w:tcW w:w="710" w:type="dxa"/>
            <w:tcBorders>
              <w:top w:val="single" w:sz="4" w:space="0" w:color="4F81BD" w:themeColor="accent1"/>
              <w:bottom w:val="single" w:sz="4" w:space="0" w:color="4F81BD" w:themeColor="accent1"/>
              <w:right w:val="single" w:sz="4" w:space="0" w:color="4F81BD" w:themeColor="accent1"/>
            </w:tcBorders>
          </w:tcPr>
          <w:p w14:paraId="31E42649" w14:textId="77777777" w:rsidR="00A07A85" w:rsidRPr="00427E28" w:rsidRDefault="00A07A85" w:rsidP="00570996">
            <w:pPr>
              <w:pStyle w:val="Tabletext"/>
              <w:rPr>
                <w:b w:val="0"/>
                <w:bCs w:val="0"/>
                <w:sz w:val="18"/>
                <w:szCs w:val="18"/>
                <w:lang w:val="es-ES"/>
              </w:rPr>
            </w:pPr>
            <w:r w:rsidRPr="00427E28">
              <w:rPr>
                <w:b w:val="0"/>
                <w:bCs w:val="0"/>
                <w:sz w:val="18"/>
                <w:szCs w:val="18"/>
                <w:lang w:val="es-ES"/>
              </w:rPr>
              <w:t>2018</w:t>
            </w:r>
          </w:p>
        </w:tc>
        <w:tc>
          <w:tcPr>
            <w:cnfStyle w:val="000100000000" w:firstRow="0" w:lastRow="0" w:firstColumn="0" w:lastColumn="1" w:oddVBand="0" w:evenVBand="0" w:oddHBand="0" w:evenHBand="0" w:firstRowFirstColumn="0" w:firstRowLastColumn="0" w:lastRowFirstColumn="0" w:lastRowLastColumn="0"/>
            <w:tcW w:w="9214" w:type="dxa"/>
            <w:tcBorders>
              <w:left w:val="single" w:sz="4" w:space="0" w:color="4F81BD" w:themeColor="accent1"/>
            </w:tcBorders>
          </w:tcPr>
          <w:p w14:paraId="189D9238" w14:textId="4E63697E" w:rsidR="00A07A85" w:rsidRPr="00427E28" w:rsidRDefault="00A07A85" w:rsidP="00570996">
            <w:pPr>
              <w:pStyle w:val="Tabletext"/>
              <w:rPr>
                <w:b w:val="0"/>
                <w:bCs w:val="0"/>
                <w:sz w:val="18"/>
                <w:szCs w:val="18"/>
                <w:lang w:val="es-ES"/>
              </w:rPr>
            </w:pPr>
            <w:r w:rsidRPr="00427E28">
              <w:rPr>
                <w:b w:val="0"/>
                <w:bCs w:val="0"/>
                <w:sz w:val="18"/>
                <w:szCs w:val="18"/>
                <w:lang w:val="es-ES"/>
              </w:rPr>
              <w:t>G.650.1, G.651.1, G.672, G.695, G.698.2, G.698.4, G.698.4 Cor.1, G.709.1/Y.1331.1, G.709.2/Y.1331.2, G.709.3/Y.1331.3, G.709.3/Y.1331.3 Amd.1, G.709/Y.1331 Amd.2, G.798 Amd.1, G.798 Cor.1, G.808 Amd.1, G.875, G.959.1, G.984.5 Amd.1, G.988 Amd.1, G.989.3 Amd.2, G.993.2 Amd.3, G.993.2 Amd.4, G.993.5 Cor.2, G.994.1, G.994.1</w:t>
            </w:r>
            <w:r w:rsidR="000F2CE0">
              <w:rPr>
                <w:b w:val="0"/>
                <w:bCs w:val="0"/>
                <w:sz w:val="18"/>
                <w:szCs w:val="18"/>
                <w:lang w:val="es-ES"/>
              </w:rPr>
              <w:t> </w:t>
            </w:r>
            <w:r w:rsidRPr="00427E28">
              <w:rPr>
                <w:b w:val="0"/>
                <w:bCs w:val="0"/>
                <w:sz w:val="18"/>
                <w:szCs w:val="18"/>
                <w:lang w:val="es-ES"/>
              </w:rPr>
              <w:t>Amd.2, G.996.2, G.996.2 Amd.6, G.996.2 Cor.1, G.998.2, G.998.2 Cor.1, G.998.4, G.7041/Y.1303 Cor.1, G.7701</w:t>
            </w:r>
            <w:r w:rsidR="000F2CE0">
              <w:rPr>
                <w:b w:val="0"/>
                <w:bCs w:val="0"/>
                <w:sz w:val="18"/>
                <w:szCs w:val="18"/>
                <w:lang w:val="es-ES"/>
              </w:rPr>
              <w:t> </w:t>
            </w:r>
            <w:r w:rsidRPr="00427E28">
              <w:rPr>
                <w:b w:val="0"/>
                <w:bCs w:val="0"/>
                <w:sz w:val="18"/>
                <w:szCs w:val="18"/>
                <w:lang w:val="es-ES"/>
              </w:rPr>
              <w:t>Amd.1, G.7702, G.7711, G.7721, G.8011/Y.1307, G.8013/Y.1731 Cor.1, G.8013/Y.1731 Amd.1, G.8021/Y.1341, G.8023, G.8023 Cor.1, G.8031/Y.1342 Amd.1, G.8051/Y.1345, G.8052/Y.1346, G.8121/Y.1381, G.8121.1/Y.1381.1, G.8121.2/Y.1381.2, G.8131 Amd.3, G.8151/Y.1374, G.8152/Y.1375, G.8251, G.8260 Amd.2, G.8262, G.8264/Y.1364</w:t>
            </w:r>
            <w:r w:rsidR="000F2CE0">
              <w:rPr>
                <w:b w:val="0"/>
                <w:bCs w:val="0"/>
                <w:sz w:val="18"/>
                <w:szCs w:val="18"/>
                <w:lang w:val="es-ES"/>
              </w:rPr>
              <w:t> </w:t>
            </w:r>
            <w:r w:rsidRPr="00427E28">
              <w:rPr>
                <w:b w:val="0"/>
                <w:bCs w:val="0"/>
                <w:sz w:val="18"/>
                <w:szCs w:val="18"/>
                <w:lang w:val="es-ES"/>
              </w:rPr>
              <w:t>Amd.1, G.8266/Y.1376 Amd.1, G.8271 Amd.1, G.8271 Amd.2, G.8271.1/Y.1366.1 Amd.1, G.8271.2</w:t>
            </w:r>
            <w:r w:rsidR="000F2CE0">
              <w:rPr>
                <w:b w:val="0"/>
                <w:bCs w:val="0"/>
                <w:sz w:val="18"/>
                <w:szCs w:val="18"/>
                <w:lang w:val="es-ES"/>
              </w:rPr>
              <w:t> </w:t>
            </w:r>
            <w:r w:rsidRPr="00427E28">
              <w:rPr>
                <w:b w:val="0"/>
                <w:bCs w:val="0"/>
                <w:sz w:val="18"/>
                <w:szCs w:val="18"/>
                <w:lang w:val="es-ES"/>
              </w:rPr>
              <w:t>Amd.2, G.8271.2/Y.1366.2 Amd.1, G.8272, G.8273.3/Y.1368.3 Amd.1, G.8273/Y.1368, G.8275.1/Y.1369.1</w:t>
            </w:r>
            <w:r w:rsidR="000F2CE0">
              <w:rPr>
                <w:b w:val="0"/>
                <w:bCs w:val="0"/>
                <w:sz w:val="18"/>
                <w:szCs w:val="18"/>
                <w:lang w:val="es-ES"/>
              </w:rPr>
              <w:t> </w:t>
            </w:r>
            <w:r w:rsidRPr="00427E28">
              <w:rPr>
                <w:b w:val="0"/>
                <w:bCs w:val="0"/>
                <w:sz w:val="18"/>
                <w:szCs w:val="18"/>
                <w:lang w:val="es-ES"/>
              </w:rPr>
              <w:t>Amd.2, G.8275.2/Y.1369.2 Amd.2, G.8275/Y.1369 Amd.1, G.9701 Amd.5, G.9701 Cor.5, G.9803, G.9807.2 Amd.1, G.9958, G.9960, G.9960 Cor.4, G.9961, G.9961 Amd.3, G.9961 Amd.4, G.9961 Cor.5, G.9962, G.9963, G.997.1 Amd.2, G.997.1 Cor.1, G.997.2 Amd.5, G.997.2 Cor.4, G.9978, G.9978, G.9979, L.108, L.109, L.156, L.163, L.207, L.314, L.315</w:t>
            </w:r>
          </w:p>
        </w:tc>
      </w:tr>
      <w:tr w:rsidR="00A07A85" w:rsidRPr="00B237E2" w14:paraId="5B48996B" w14:textId="77777777" w:rsidTr="005709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0" w:type="dxa"/>
            <w:tcBorders>
              <w:right w:val="single" w:sz="4" w:space="0" w:color="4F81BD" w:themeColor="accent1"/>
            </w:tcBorders>
          </w:tcPr>
          <w:p w14:paraId="29232E13" w14:textId="77777777" w:rsidR="00A07A85" w:rsidRPr="00427E28" w:rsidRDefault="00A07A85" w:rsidP="00570996">
            <w:pPr>
              <w:pStyle w:val="Tabletext"/>
              <w:rPr>
                <w:b w:val="0"/>
                <w:bCs w:val="0"/>
                <w:sz w:val="18"/>
                <w:szCs w:val="18"/>
                <w:lang w:val="es-ES"/>
              </w:rPr>
            </w:pPr>
            <w:r w:rsidRPr="00427E28">
              <w:rPr>
                <w:b w:val="0"/>
                <w:bCs w:val="0"/>
                <w:sz w:val="18"/>
                <w:szCs w:val="18"/>
                <w:lang w:val="es-ES"/>
              </w:rPr>
              <w:t>2019</w:t>
            </w:r>
          </w:p>
        </w:tc>
        <w:tc>
          <w:tcPr>
            <w:cnfStyle w:val="000100000000" w:firstRow="0" w:lastRow="0" w:firstColumn="0" w:lastColumn="1" w:oddVBand="0" w:evenVBand="0" w:oddHBand="0" w:evenHBand="0" w:firstRowFirstColumn="0" w:firstRowLastColumn="0" w:lastRowFirstColumn="0" w:lastRowLastColumn="0"/>
            <w:tcW w:w="9214" w:type="dxa"/>
            <w:tcBorders>
              <w:left w:val="single" w:sz="4" w:space="0" w:color="4F81BD" w:themeColor="accent1"/>
            </w:tcBorders>
          </w:tcPr>
          <w:p w14:paraId="45AB64D8" w14:textId="477389EE" w:rsidR="00A07A85" w:rsidRPr="00427E28" w:rsidRDefault="00A07A85" w:rsidP="00570996">
            <w:pPr>
              <w:pStyle w:val="Tabletext"/>
              <w:rPr>
                <w:b w:val="0"/>
                <w:bCs w:val="0"/>
                <w:sz w:val="18"/>
                <w:szCs w:val="18"/>
                <w:lang w:val="es-ES"/>
              </w:rPr>
            </w:pPr>
            <w:r w:rsidRPr="00427E28">
              <w:rPr>
                <w:b w:val="0"/>
                <w:bCs w:val="0"/>
                <w:sz w:val="18"/>
                <w:szCs w:val="18"/>
                <w:lang w:val="es-ES"/>
              </w:rPr>
              <w:t>G.671, G.709.1/Y.1331.1 Amd.1, G.709/Y.1331 Amd.3, G.709/Y.1331 Cor.2, G.798 Amd.2, G.808.2, G.872, G.984.2, G.988 Amd.2, G.989.2, G.989.2 Cor.1, G.993.2, G.993.5, G.997.1, G.997.2, G.998.4 Cor.1, G.999.1, G.7041/Y.1303</w:t>
            </w:r>
            <w:r w:rsidR="000F2CE0">
              <w:rPr>
                <w:b w:val="0"/>
                <w:bCs w:val="0"/>
                <w:sz w:val="18"/>
                <w:szCs w:val="18"/>
                <w:lang w:val="es-ES"/>
              </w:rPr>
              <w:t> </w:t>
            </w:r>
            <w:r w:rsidRPr="00427E28">
              <w:rPr>
                <w:b w:val="0"/>
                <w:bCs w:val="0"/>
                <w:sz w:val="18"/>
                <w:szCs w:val="18"/>
                <w:lang w:val="es-ES"/>
              </w:rPr>
              <w:t>Amd.1, G.7710/Y.1701, G.7712/Y.1703, G.8013/Y.1731 Cor.2, G.8021/Y.1341 Cor.1, G.8132/Y.1383</w:t>
            </w:r>
            <w:r w:rsidR="000F2CE0">
              <w:rPr>
                <w:b w:val="0"/>
                <w:bCs w:val="0"/>
                <w:sz w:val="18"/>
                <w:szCs w:val="18"/>
                <w:lang w:val="es-ES"/>
              </w:rPr>
              <w:t> </w:t>
            </w:r>
            <w:r w:rsidRPr="00427E28">
              <w:rPr>
                <w:b w:val="0"/>
                <w:bCs w:val="0"/>
                <w:sz w:val="18"/>
                <w:szCs w:val="18"/>
                <w:lang w:val="es-ES"/>
              </w:rPr>
              <w:t>Cor.1, G.8133, G.8261/Y.1361, G.8262.1/Y.1362.1, G.8262.1/Y.1362.1 Amd.1, G.8265.1/Y.1365.1</w:t>
            </w:r>
            <w:r w:rsidR="000F2CE0">
              <w:rPr>
                <w:b w:val="0"/>
                <w:bCs w:val="0"/>
                <w:sz w:val="18"/>
                <w:szCs w:val="18"/>
                <w:lang w:val="es-ES"/>
              </w:rPr>
              <w:t> </w:t>
            </w:r>
            <w:r w:rsidRPr="00427E28">
              <w:rPr>
                <w:b w:val="0"/>
                <w:bCs w:val="0"/>
                <w:sz w:val="18"/>
                <w:szCs w:val="18"/>
                <w:lang w:val="es-ES"/>
              </w:rPr>
              <w:t>Amd.1, G.8271.1/Y.1366.1 Amd.2, G.8272.1/Y.1367.1 Amd.2, G.8273.2/Y.1368.2, G.8273.2/Y.1368.2 Amd.2, G.8275.1/Y.1369.1 Amd.3, G.8275.2/Y.1369.2 Amd.3, G.8275/Y.1369 Amd.2, G.9700, G.9701, G.9701 Amd.1, G.9701</w:t>
            </w:r>
            <w:r w:rsidR="000F2CE0">
              <w:rPr>
                <w:b w:val="0"/>
                <w:bCs w:val="0"/>
                <w:sz w:val="18"/>
                <w:szCs w:val="18"/>
                <w:lang w:val="es-ES"/>
              </w:rPr>
              <w:t> </w:t>
            </w:r>
            <w:r w:rsidRPr="00427E28">
              <w:rPr>
                <w:b w:val="0"/>
                <w:bCs w:val="0"/>
                <w:sz w:val="18"/>
                <w:szCs w:val="18"/>
                <w:lang w:val="es-ES"/>
              </w:rPr>
              <w:t>Cor.1, G.9803 Amd.1, G.9804.1, G.9960 Cor.1, G.9961 Cor.1, G.9991, G.9992, L.208</w:t>
            </w:r>
          </w:p>
        </w:tc>
      </w:tr>
      <w:tr w:rsidR="00A07A85" w:rsidRPr="00B237E2" w14:paraId="667D84A0" w14:textId="77777777" w:rsidTr="00570996">
        <w:trPr>
          <w:cantSplit/>
          <w:jc w:val="center"/>
        </w:trPr>
        <w:tc>
          <w:tcPr>
            <w:cnfStyle w:val="001000000000" w:firstRow="0" w:lastRow="0" w:firstColumn="1" w:lastColumn="0" w:oddVBand="0" w:evenVBand="0" w:oddHBand="0" w:evenHBand="0" w:firstRowFirstColumn="0" w:firstRowLastColumn="0" w:lastRowFirstColumn="0" w:lastRowLastColumn="0"/>
            <w:tcW w:w="710" w:type="dxa"/>
            <w:tcBorders>
              <w:top w:val="single" w:sz="4" w:space="0" w:color="4F81BD" w:themeColor="accent1"/>
              <w:bottom w:val="single" w:sz="4" w:space="0" w:color="4F81BD" w:themeColor="accent1"/>
              <w:right w:val="single" w:sz="4" w:space="0" w:color="4F81BD" w:themeColor="accent1"/>
            </w:tcBorders>
          </w:tcPr>
          <w:p w14:paraId="0B328DBE" w14:textId="77777777" w:rsidR="00A07A85" w:rsidRPr="00427E28" w:rsidRDefault="00A07A85" w:rsidP="00570996">
            <w:pPr>
              <w:pStyle w:val="Tabletext"/>
              <w:rPr>
                <w:b w:val="0"/>
                <w:bCs w:val="0"/>
                <w:sz w:val="18"/>
                <w:szCs w:val="18"/>
                <w:lang w:val="es-ES"/>
              </w:rPr>
            </w:pPr>
            <w:r w:rsidRPr="00427E28">
              <w:rPr>
                <w:b w:val="0"/>
                <w:bCs w:val="0"/>
                <w:sz w:val="18"/>
                <w:szCs w:val="18"/>
                <w:lang w:val="es-ES"/>
              </w:rPr>
              <w:lastRenderedPageBreak/>
              <w:t>2020</w:t>
            </w:r>
          </w:p>
        </w:tc>
        <w:tc>
          <w:tcPr>
            <w:cnfStyle w:val="000100000000" w:firstRow="0" w:lastRow="0" w:firstColumn="0" w:lastColumn="1" w:oddVBand="0" w:evenVBand="0" w:oddHBand="0" w:evenHBand="0" w:firstRowFirstColumn="0" w:firstRowLastColumn="0" w:lastRowFirstColumn="0" w:lastRowLastColumn="0"/>
            <w:tcW w:w="9214" w:type="dxa"/>
            <w:tcBorders>
              <w:top w:val="single" w:sz="4" w:space="0" w:color="4F81BD" w:themeColor="accent1"/>
              <w:left w:val="single" w:sz="4" w:space="0" w:color="4F81BD" w:themeColor="accent1"/>
              <w:bottom w:val="single" w:sz="4" w:space="0" w:color="4F81BD" w:themeColor="accent1"/>
            </w:tcBorders>
          </w:tcPr>
          <w:p w14:paraId="2D746CC5" w14:textId="1BF0DD40" w:rsidR="00A07A85" w:rsidRPr="00427E28" w:rsidRDefault="00A07A85" w:rsidP="00570996">
            <w:pPr>
              <w:pStyle w:val="Tabletext"/>
              <w:rPr>
                <w:b w:val="0"/>
                <w:bCs w:val="0"/>
                <w:sz w:val="18"/>
                <w:szCs w:val="18"/>
                <w:lang w:val="es-ES"/>
              </w:rPr>
            </w:pPr>
            <w:r w:rsidRPr="00427E28">
              <w:rPr>
                <w:b w:val="0"/>
                <w:bCs w:val="0"/>
                <w:sz w:val="18"/>
                <w:szCs w:val="18"/>
                <w:lang w:val="es-ES"/>
              </w:rPr>
              <w:t>G.650.1, G.654, G.672, G.694.1, G.709.1 Cor.1, G.709.1/Y.1331.1 Amd.2, G.709.3/Y.1331.3, G.709.4, G.709/Y.1331, G.709/Y.1331 Amd.1, G.781, G.807, G.873.1 Cor.1, G.874, G.875, G.971, G.972, G.977.1, G.984.3 Amd.1, G.984.5</w:t>
            </w:r>
            <w:r w:rsidR="000F2CE0">
              <w:rPr>
                <w:b w:val="0"/>
                <w:bCs w:val="0"/>
                <w:sz w:val="18"/>
                <w:szCs w:val="18"/>
                <w:lang w:val="es-ES"/>
              </w:rPr>
              <w:t> </w:t>
            </w:r>
            <w:r w:rsidRPr="00427E28">
              <w:rPr>
                <w:b w:val="0"/>
                <w:bCs w:val="0"/>
                <w:sz w:val="18"/>
                <w:szCs w:val="18"/>
                <w:lang w:val="es-ES"/>
              </w:rPr>
              <w:t>Amd.2, G.987.1 Cor.1, G.987.2 Amd.2, G.987.3 Amd.1, G.988 Amd.3, G.989.2 Amd.1, G.989.3 Amd.3, G.993.5</w:t>
            </w:r>
            <w:r w:rsidR="000F2CE0">
              <w:rPr>
                <w:b w:val="0"/>
                <w:bCs w:val="0"/>
                <w:sz w:val="18"/>
                <w:szCs w:val="18"/>
                <w:lang w:val="es-ES"/>
              </w:rPr>
              <w:t> </w:t>
            </w:r>
            <w:r w:rsidRPr="00427E28">
              <w:rPr>
                <w:b w:val="0"/>
                <w:bCs w:val="0"/>
                <w:sz w:val="18"/>
                <w:szCs w:val="18"/>
                <w:lang w:val="es-ES"/>
              </w:rPr>
              <w:t>Cor.1, G.994.1 Amd.1, G.997.2 Cor.1, G.997.2 Amd.1, G.997.2 Amd.2, G.7701 Amd.2, G.7710/Y.1701, G.7718, G.8011/Y.1307, G.8032/Y.1344, G.8051/Y.1345, G.8110.1 Amd.1, G.8112/Y.1371, G.8151/Y.1374, G.8260, G.8261/Y.1361 Amd.1, G.8261/Y.1361 Amd.2, G.8262 Amd.1, G.8271, G.8271.1/Y.1366.1, G.8271.1/Y.1366.1 Amd.1, G.8272 Amd.1, G.8273 Amd.1, G.8273 Cor.1, G.8273.2/Y.1368.2, G.8273.2/Y.1368.2 Amd.1, G.8273.3/Y.1368.3, G.8273.4/Y.1368.4, G.8275.1/Y.1369.1, G.8275.1/Y.1369.1 Amd.1, G.8275.2/Y.1369.2, G.8275.2/Y.1369.2 Amd.1, G.8275/Y.1369, G.8300, G.8310, G.8312, G.9701 Amd.2, G.9701 Cor.2, G.9701 Amd.3, G.9710, G.9806, G.9806 Amd.1, G.9807.1 Amd.2, G.9807.1 Cor.1, G.9960 Amd.1, G.9960 Amd.2, G.9960 Cor.2, G.9961 Amd.1, G.9961 Amd.2, G.9961</w:t>
            </w:r>
            <w:r w:rsidR="000F2CE0">
              <w:rPr>
                <w:b w:val="0"/>
                <w:bCs w:val="0"/>
                <w:sz w:val="18"/>
                <w:szCs w:val="18"/>
                <w:lang w:val="es-ES"/>
              </w:rPr>
              <w:t> </w:t>
            </w:r>
            <w:r w:rsidRPr="00427E28">
              <w:rPr>
                <w:b w:val="0"/>
                <w:bCs w:val="0"/>
                <w:sz w:val="18"/>
                <w:szCs w:val="18"/>
                <w:lang w:val="es-ES"/>
              </w:rPr>
              <w:t>Cor.2, G.9962 Cor.1, G.9962 Amd.1, G.9964 Amd.3, G.9991 Amd.1, G.9991 Cor.1, L.111, L.151, L.330</w:t>
            </w:r>
          </w:p>
        </w:tc>
      </w:tr>
      <w:tr w:rsidR="00A07A85" w:rsidRPr="00B237E2" w14:paraId="04234712" w14:textId="77777777" w:rsidTr="005709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0" w:type="dxa"/>
            <w:tcBorders>
              <w:right w:val="single" w:sz="4" w:space="0" w:color="4F81BD" w:themeColor="accent1"/>
            </w:tcBorders>
          </w:tcPr>
          <w:p w14:paraId="7855DDC4" w14:textId="77777777" w:rsidR="00A07A85" w:rsidRPr="00427E28" w:rsidRDefault="00A07A85" w:rsidP="00570996">
            <w:pPr>
              <w:pStyle w:val="Tabletext"/>
              <w:rPr>
                <w:b w:val="0"/>
                <w:bCs w:val="0"/>
                <w:sz w:val="18"/>
                <w:szCs w:val="18"/>
                <w:lang w:val="es-ES"/>
              </w:rPr>
            </w:pPr>
            <w:r w:rsidRPr="00427E28">
              <w:rPr>
                <w:b w:val="0"/>
                <w:bCs w:val="0"/>
                <w:sz w:val="18"/>
                <w:szCs w:val="18"/>
                <w:lang w:val="es-ES"/>
              </w:rPr>
              <w:t>2021</w:t>
            </w:r>
          </w:p>
        </w:tc>
        <w:tc>
          <w:tcPr>
            <w:cnfStyle w:val="000100000000" w:firstRow="0" w:lastRow="0" w:firstColumn="0" w:lastColumn="1" w:oddVBand="0" w:evenVBand="0" w:oddHBand="0" w:evenHBand="0" w:firstRowFirstColumn="0" w:firstRowLastColumn="0" w:lastRowFirstColumn="0" w:lastRowLastColumn="0"/>
            <w:tcW w:w="9214" w:type="dxa"/>
            <w:tcBorders>
              <w:left w:val="single" w:sz="4" w:space="0" w:color="4F81BD" w:themeColor="accent1"/>
            </w:tcBorders>
          </w:tcPr>
          <w:p w14:paraId="11299AC6" w14:textId="03C0888C" w:rsidR="00A07A85" w:rsidRPr="00427E28" w:rsidRDefault="00A07A85" w:rsidP="00570996">
            <w:pPr>
              <w:pStyle w:val="Tabletext"/>
              <w:rPr>
                <w:b w:val="0"/>
                <w:bCs w:val="0"/>
                <w:sz w:val="18"/>
                <w:szCs w:val="18"/>
                <w:lang w:val="es-ES"/>
              </w:rPr>
            </w:pPr>
            <w:r w:rsidRPr="00427E28">
              <w:rPr>
                <w:b w:val="0"/>
                <w:bCs w:val="0"/>
                <w:sz w:val="18"/>
                <w:szCs w:val="18"/>
                <w:lang w:val="es-ES"/>
              </w:rPr>
              <w:t>G.703 Amd.1, G.709 Cor.1, G.709.4 Cor.1, G.798 Cor.2, G.798 Amd.3, G.807 Amd.1, G.872 Amd.1, G.876, G.987.3</w:t>
            </w:r>
            <w:r w:rsidR="00C83216">
              <w:rPr>
                <w:b w:val="0"/>
                <w:bCs w:val="0"/>
                <w:sz w:val="18"/>
                <w:szCs w:val="18"/>
                <w:lang w:val="es-ES"/>
              </w:rPr>
              <w:t> </w:t>
            </w:r>
            <w:r w:rsidRPr="00427E28">
              <w:rPr>
                <w:b w:val="0"/>
                <w:bCs w:val="0"/>
                <w:sz w:val="18"/>
                <w:szCs w:val="18"/>
                <w:lang w:val="es-ES"/>
              </w:rPr>
              <w:t>Amd.2, G.988 Amd.4, G.989.3, G.994.1, G.997.3, G.7703, G.7714.1/Y.1705.1 Amd.1, G.7719, G.8010 Amd.3, G.8052.1/Y.1346.1, G.8052.2/Y.1346.2, G.8152.1/Y.1375.1, G.8152.2/Y.1375.2, G.8265.1, G.8271.2/Y.1366.2, G.8273.4/Y.1368.4 Amd.1, G.8275.1/Y.1369.1 Amd.2, G.8275.2/Y.1369.2 Amd.2, G.8275/Y.1369 Amd.1, G.9711, G.9802.1, G.9804.1 Amd.1, G.9804.2, G.9804.3, G.9806 Amd.2, G.9903 Amd.1, G.9961 Amd.3, G.9963 Amd.1, G.9991</w:t>
            </w:r>
            <w:r w:rsidR="00C83216">
              <w:rPr>
                <w:b w:val="0"/>
                <w:bCs w:val="0"/>
                <w:sz w:val="18"/>
                <w:szCs w:val="18"/>
                <w:lang w:val="es-ES"/>
              </w:rPr>
              <w:t> </w:t>
            </w:r>
            <w:r w:rsidRPr="00427E28">
              <w:rPr>
                <w:b w:val="0"/>
                <w:bCs w:val="0"/>
                <w:sz w:val="18"/>
                <w:szCs w:val="18"/>
                <w:lang w:val="es-ES"/>
              </w:rPr>
              <w:t>Amd.2, L.100/L.10, L.201</w:t>
            </w:r>
          </w:p>
        </w:tc>
      </w:tr>
      <w:tr w:rsidR="00A07A85" w:rsidRPr="00B237E2" w14:paraId="340BD6A7" w14:textId="77777777" w:rsidTr="00570996">
        <w:trPr>
          <w:jc w:val="center"/>
        </w:trPr>
        <w:tc>
          <w:tcPr>
            <w:cnfStyle w:val="001000000000" w:firstRow="0" w:lastRow="0" w:firstColumn="1" w:lastColumn="0" w:oddVBand="0" w:evenVBand="0" w:oddHBand="0" w:evenHBand="0" w:firstRowFirstColumn="0" w:firstRowLastColumn="0" w:lastRowFirstColumn="0" w:lastRowLastColumn="0"/>
            <w:tcW w:w="710" w:type="dxa"/>
            <w:tcBorders>
              <w:top w:val="single" w:sz="4" w:space="0" w:color="4F81BD" w:themeColor="accent1"/>
              <w:bottom w:val="single" w:sz="4" w:space="0" w:color="4F81BD" w:themeColor="accent1"/>
              <w:right w:val="single" w:sz="4" w:space="0" w:color="4F81BD" w:themeColor="accent1"/>
            </w:tcBorders>
            <w:shd w:val="clear" w:color="auto" w:fill="B6C8E8"/>
          </w:tcPr>
          <w:p w14:paraId="586A264D" w14:textId="77777777" w:rsidR="00A07A85" w:rsidRPr="00427E28" w:rsidRDefault="00A07A85" w:rsidP="00570996">
            <w:pPr>
              <w:pStyle w:val="Tabletext"/>
              <w:rPr>
                <w:b w:val="0"/>
                <w:bCs w:val="0"/>
                <w:sz w:val="18"/>
                <w:szCs w:val="18"/>
                <w:lang w:val="es-ES"/>
              </w:rPr>
            </w:pPr>
          </w:p>
        </w:tc>
        <w:tc>
          <w:tcPr>
            <w:cnfStyle w:val="000100000000" w:firstRow="0" w:lastRow="0" w:firstColumn="0" w:lastColumn="1" w:oddVBand="0" w:evenVBand="0" w:oddHBand="0" w:evenHBand="0" w:firstRowFirstColumn="0" w:firstRowLastColumn="0" w:lastRowFirstColumn="0" w:lastRowLastColumn="0"/>
            <w:tcW w:w="9214" w:type="dxa"/>
            <w:tcBorders>
              <w:left w:val="single" w:sz="4" w:space="0" w:color="4F81BD" w:themeColor="accent1"/>
            </w:tcBorders>
            <w:shd w:val="clear" w:color="auto" w:fill="B6C8E8"/>
          </w:tcPr>
          <w:p w14:paraId="7B4C2A9E" w14:textId="79DB6F02" w:rsidR="00A07A85" w:rsidRPr="00D77C83" w:rsidRDefault="00AF6115" w:rsidP="00570996">
            <w:pPr>
              <w:pStyle w:val="Tabletext"/>
              <w:rPr>
                <w:sz w:val="18"/>
                <w:szCs w:val="18"/>
                <w:lang w:val="es-ES"/>
              </w:rPr>
            </w:pPr>
            <w:hyperlink r:id="rId44" w:history="1">
              <w:r w:rsidR="00C0244F" w:rsidRPr="00D77C83">
                <w:rPr>
                  <w:rStyle w:val="Hyperlink"/>
                  <w:sz w:val="18"/>
                  <w:szCs w:val="18"/>
                  <w:lang w:val="es-ES"/>
                </w:rPr>
                <w:t>CE</w:t>
              </w:r>
              <w:r w:rsidR="00D77C83" w:rsidRPr="00D77C83">
                <w:rPr>
                  <w:rStyle w:val="Hyperlink"/>
                  <w:sz w:val="18"/>
                  <w:szCs w:val="18"/>
                  <w:lang w:val="es-ES"/>
                </w:rPr>
                <w:t> </w:t>
              </w:r>
              <w:r w:rsidR="00A07A85" w:rsidRPr="00D77C83">
                <w:rPr>
                  <w:rStyle w:val="Hyperlink"/>
                  <w:sz w:val="18"/>
                  <w:szCs w:val="18"/>
                  <w:lang w:val="es-ES"/>
                </w:rPr>
                <w:t xml:space="preserve">16 </w:t>
              </w:r>
              <w:r w:rsidR="00D77C83" w:rsidRPr="00D77C83">
                <w:rPr>
                  <w:rStyle w:val="Hyperlink"/>
                  <w:sz w:val="18"/>
                  <w:szCs w:val="18"/>
                  <w:lang w:val="es-ES"/>
                </w:rPr>
                <w:t>–</w:t>
              </w:r>
              <w:r w:rsidR="00A07A85" w:rsidRPr="00D77C83">
                <w:rPr>
                  <w:rStyle w:val="Hyperlink"/>
                  <w:sz w:val="18"/>
                  <w:szCs w:val="18"/>
                  <w:lang w:val="es-ES"/>
                </w:rPr>
                <w:t xml:space="preserve"> Multimedi</w:t>
              </w:r>
              <w:r w:rsidR="00957FDC" w:rsidRPr="00D77C83">
                <w:rPr>
                  <w:rStyle w:val="Hyperlink"/>
                  <w:sz w:val="18"/>
                  <w:szCs w:val="18"/>
                  <w:lang w:val="es-ES"/>
                </w:rPr>
                <w:t>os</w:t>
              </w:r>
            </w:hyperlink>
          </w:p>
        </w:tc>
      </w:tr>
      <w:tr w:rsidR="00A07A85" w:rsidRPr="00B237E2" w14:paraId="73CFB9DD" w14:textId="77777777" w:rsidTr="005709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0" w:type="dxa"/>
            <w:tcBorders>
              <w:right w:val="single" w:sz="4" w:space="0" w:color="4F81BD" w:themeColor="accent1"/>
            </w:tcBorders>
            <w:shd w:val="clear" w:color="auto" w:fill="B6C8E8"/>
            <w:hideMark/>
          </w:tcPr>
          <w:p w14:paraId="453683D5" w14:textId="77777777" w:rsidR="00A07A85" w:rsidRPr="00427E28" w:rsidRDefault="00A07A85" w:rsidP="00570996">
            <w:pPr>
              <w:pStyle w:val="Tabletext"/>
              <w:rPr>
                <w:b w:val="0"/>
                <w:bCs w:val="0"/>
                <w:sz w:val="18"/>
                <w:szCs w:val="18"/>
                <w:lang w:val="es-ES"/>
              </w:rPr>
            </w:pPr>
            <w:r w:rsidRPr="00427E28">
              <w:rPr>
                <w:b w:val="0"/>
                <w:bCs w:val="0"/>
                <w:sz w:val="18"/>
                <w:szCs w:val="18"/>
                <w:lang w:val="es-ES"/>
              </w:rPr>
              <w:t>2018</w:t>
            </w:r>
          </w:p>
        </w:tc>
        <w:tc>
          <w:tcPr>
            <w:cnfStyle w:val="000100000000" w:firstRow="0" w:lastRow="0" w:firstColumn="0" w:lastColumn="1" w:oddVBand="0" w:evenVBand="0" w:oddHBand="0" w:evenHBand="0" w:firstRowFirstColumn="0" w:firstRowLastColumn="0" w:lastRowFirstColumn="0" w:lastRowLastColumn="0"/>
            <w:tcW w:w="9214" w:type="dxa"/>
            <w:tcBorders>
              <w:left w:val="single" w:sz="4" w:space="0" w:color="4F81BD" w:themeColor="accent1"/>
            </w:tcBorders>
            <w:shd w:val="clear" w:color="auto" w:fill="B6C8E8"/>
          </w:tcPr>
          <w:p w14:paraId="576C60F0" w14:textId="723E925D" w:rsidR="00A07A85" w:rsidRPr="00427E28" w:rsidRDefault="00A07A85" w:rsidP="00570996">
            <w:pPr>
              <w:pStyle w:val="Tabletext"/>
              <w:rPr>
                <w:b w:val="0"/>
                <w:bCs w:val="0"/>
                <w:sz w:val="18"/>
                <w:szCs w:val="18"/>
                <w:lang w:val="es-ES"/>
              </w:rPr>
            </w:pPr>
            <w:r w:rsidRPr="00427E28">
              <w:rPr>
                <w:b w:val="0"/>
                <w:bCs w:val="0"/>
                <w:sz w:val="18"/>
                <w:szCs w:val="18"/>
                <w:lang w:val="es-ES"/>
              </w:rPr>
              <w:t>F.743.5, F.743.6, F.746.7, F.746.8, F.780.1, F.791, F.921, F.930, G.722.2 Cor.1, H.222.0, H.265, H.265.1, H.430.1, H.430.2, H.430.3, H.626.3, H.626.4, H.766, H.782, H.783, H.784, H.785.1, H.820,H.830.13, H.830.14, H.830.15, H.830.16, H.841, H.842, H.843, H.844, H.845.2, H.845.17, H.846, H.849, H.861.1, H.870, T.88</w:t>
            </w:r>
          </w:p>
        </w:tc>
      </w:tr>
      <w:tr w:rsidR="00A07A85" w:rsidRPr="00B237E2" w14:paraId="1D7B20AB" w14:textId="77777777" w:rsidTr="00570996">
        <w:trPr>
          <w:jc w:val="center"/>
        </w:trPr>
        <w:tc>
          <w:tcPr>
            <w:cnfStyle w:val="001000000000" w:firstRow="0" w:lastRow="0" w:firstColumn="1" w:lastColumn="0" w:oddVBand="0" w:evenVBand="0" w:oddHBand="0" w:evenHBand="0" w:firstRowFirstColumn="0" w:firstRowLastColumn="0" w:lastRowFirstColumn="0" w:lastRowLastColumn="0"/>
            <w:tcW w:w="710" w:type="dxa"/>
            <w:tcBorders>
              <w:top w:val="single" w:sz="4" w:space="0" w:color="4F81BD" w:themeColor="accent1"/>
              <w:bottom w:val="single" w:sz="4" w:space="0" w:color="4F81BD" w:themeColor="accent1"/>
              <w:right w:val="single" w:sz="4" w:space="0" w:color="4F81BD" w:themeColor="accent1"/>
            </w:tcBorders>
            <w:shd w:val="clear" w:color="auto" w:fill="B6C8E8"/>
          </w:tcPr>
          <w:p w14:paraId="031A5BF5" w14:textId="77777777" w:rsidR="00A07A85" w:rsidRPr="00427E28" w:rsidRDefault="00A07A85" w:rsidP="00570996">
            <w:pPr>
              <w:pStyle w:val="Tabletext"/>
              <w:rPr>
                <w:b w:val="0"/>
                <w:bCs w:val="0"/>
                <w:sz w:val="18"/>
                <w:szCs w:val="18"/>
                <w:lang w:val="es-ES"/>
              </w:rPr>
            </w:pPr>
            <w:r w:rsidRPr="00427E28">
              <w:rPr>
                <w:b w:val="0"/>
                <w:bCs w:val="0"/>
                <w:sz w:val="18"/>
                <w:szCs w:val="18"/>
                <w:lang w:val="es-ES"/>
              </w:rPr>
              <w:t>2019</w:t>
            </w:r>
          </w:p>
        </w:tc>
        <w:tc>
          <w:tcPr>
            <w:cnfStyle w:val="000100000000" w:firstRow="0" w:lastRow="0" w:firstColumn="0" w:lastColumn="1" w:oddVBand="0" w:evenVBand="0" w:oddHBand="0" w:evenHBand="0" w:firstRowFirstColumn="0" w:firstRowLastColumn="0" w:lastRowFirstColumn="0" w:lastRowLastColumn="0"/>
            <w:tcW w:w="9214" w:type="dxa"/>
            <w:tcBorders>
              <w:left w:val="single" w:sz="4" w:space="0" w:color="4F81BD" w:themeColor="accent1"/>
            </w:tcBorders>
            <w:shd w:val="clear" w:color="auto" w:fill="B6C8E8"/>
          </w:tcPr>
          <w:p w14:paraId="25468578" w14:textId="77777777" w:rsidR="00A07A85" w:rsidRPr="005621ED" w:rsidRDefault="00A07A85" w:rsidP="00570996">
            <w:pPr>
              <w:pStyle w:val="Tabletext"/>
              <w:rPr>
                <w:b w:val="0"/>
                <w:bCs w:val="0"/>
                <w:sz w:val="18"/>
                <w:szCs w:val="18"/>
                <w:lang w:val="es-ES"/>
              </w:rPr>
            </w:pPr>
            <w:r w:rsidRPr="005621ED">
              <w:rPr>
                <w:b w:val="0"/>
                <w:bCs w:val="0"/>
                <w:sz w:val="18"/>
                <w:szCs w:val="18"/>
                <w:lang w:val="es-ES"/>
              </w:rPr>
              <w:t>F.740.1, F.743, F.743.7, F.743.8, F.743.9, F.743.10, F.746.9, F.749.10, F.749.11, H.222.0 Amd.1, H.222.0 Cor.1, H.230, H.243, H.264, H.265, H.265, H.430.4, H.626, H.626.5, H.629.1, H.643.1, H.644.1, H.644.2, H.753, H.764, H.783, H.810, H.813, H.830.15, H.842, H.844, H.845.17, H.846, H.846, H.849, H.850, H.850.6, H.850.7, H.862.0, H.871, T.800, T.814, T.815, T.832, T.873</w:t>
            </w:r>
          </w:p>
        </w:tc>
      </w:tr>
      <w:tr w:rsidR="00A07A85" w:rsidRPr="00B237E2" w14:paraId="41959097" w14:textId="77777777" w:rsidTr="005709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0" w:type="dxa"/>
            <w:tcBorders>
              <w:right w:val="single" w:sz="4" w:space="0" w:color="4F81BD" w:themeColor="accent1"/>
            </w:tcBorders>
            <w:shd w:val="clear" w:color="auto" w:fill="B6C8E8"/>
          </w:tcPr>
          <w:p w14:paraId="17A102F6" w14:textId="77777777" w:rsidR="00A07A85" w:rsidRPr="00427E28" w:rsidRDefault="00A07A85" w:rsidP="00570996">
            <w:pPr>
              <w:pStyle w:val="Tabletext"/>
              <w:rPr>
                <w:b w:val="0"/>
                <w:bCs w:val="0"/>
                <w:sz w:val="18"/>
                <w:szCs w:val="18"/>
                <w:lang w:val="es-ES"/>
              </w:rPr>
            </w:pPr>
            <w:r w:rsidRPr="00427E28">
              <w:rPr>
                <w:b w:val="0"/>
                <w:bCs w:val="0"/>
                <w:sz w:val="18"/>
                <w:szCs w:val="18"/>
                <w:lang w:val="es-ES"/>
              </w:rPr>
              <w:t>2020</w:t>
            </w:r>
          </w:p>
        </w:tc>
        <w:tc>
          <w:tcPr>
            <w:cnfStyle w:val="000100000000" w:firstRow="0" w:lastRow="0" w:firstColumn="0" w:lastColumn="1" w:oddVBand="0" w:evenVBand="0" w:oddHBand="0" w:evenHBand="0" w:firstRowFirstColumn="0" w:firstRowLastColumn="0" w:lastRowFirstColumn="0" w:lastRowLastColumn="0"/>
            <w:tcW w:w="9214" w:type="dxa"/>
            <w:tcBorders>
              <w:left w:val="single" w:sz="4" w:space="0" w:color="4F81BD" w:themeColor="accent1"/>
            </w:tcBorders>
            <w:shd w:val="clear" w:color="auto" w:fill="B6C8E8"/>
          </w:tcPr>
          <w:p w14:paraId="16FB4BBF" w14:textId="77777777" w:rsidR="00A07A85" w:rsidRPr="00427E28" w:rsidRDefault="00A07A85" w:rsidP="00570996">
            <w:pPr>
              <w:pStyle w:val="Tabletext"/>
              <w:rPr>
                <w:b w:val="0"/>
                <w:bCs w:val="0"/>
                <w:sz w:val="18"/>
                <w:szCs w:val="18"/>
                <w:lang w:val="es-ES"/>
              </w:rPr>
            </w:pPr>
            <w:r w:rsidRPr="00427E28">
              <w:rPr>
                <w:b w:val="0"/>
                <w:bCs w:val="0"/>
                <w:sz w:val="18"/>
                <w:szCs w:val="18"/>
                <w:lang w:val="es-ES"/>
              </w:rPr>
              <w:t>F.735.1, F.743.11, F.743.20, F.743.21, F.746.10, F.746.11, F.748.11, F.749.12, F.749.3, F.751.0, F.751.1, F.751.2, F.922, H.266, H.274, H.430.5, H.627, H.644.3, H.702, H.704, H.841, H.850.1, H.850.2, H.850.3, H.850.4, H.850.5, H.850.6, H.850.7, H.862.1, H.862.2, H.862.3, T.701.11</w:t>
            </w:r>
          </w:p>
        </w:tc>
      </w:tr>
      <w:tr w:rsidR="00A07A85" w:rsidRPr="00B237E2" w14:paraId="55236978" w14:textId="77777777" w:rsidTr="00570996">
        <w:trPr>
          <w:jc w:val="center"/>
        </w:trPr>
        <w:tc>
          <w:tcPr>
            <w:cnfStyle w:val="001000000000" w:firstRow="0" w:lastRow="0" w:firstColumn="1" w:lastColumn="0" w:oddVBand="0" w:evenVBand="0" w:oddHBand="0" w:evenHBand="0" w:firstRowFirstColumn="0" w:firstRowLastColumn="0" w:lastRowFirstColumn="0" w:lastRowLastColumn="0"/>
            <w:tcW w:w="710" w:type="dxa"/>
            <w:tcBorders>
              <w:top w:val="single" w:sz="4" w:space="0" w:color="4F81BD" w:themeColor="accent1"/>
              <w:bottom w:val="single" w:sz="4" w:space="0" w:color="4F81BD" w:themeColor="accent1"/>
              <w:right w:val="single" w:sz="4" w:space="0" w:color="4F81BD" w:themeColor="accent1"/>
            </w:tcBorders>
            <w:shd w:val="clear" w:color="auto" w:fill="B6C8E8"/>
          </w:tcPr>
          <w:p w14:paraId="21D8BF28" w14:textId="77777777" w:rsidR="00A07A85" w:rsidRPr="00427E28" w:rsidRDefault="00A07A85" w:rsidP="00570996">
            <w:pPr>
              <w:pStyle w:val="Tabletext"/>
              <w:rPr>
                <w:b w:val="0"/>
                <w:bCs w:val="0"/>
                <w:sz w:val="18"/>
                <w:szCs w:val="18"/>
                <w:lang w:val="es-ES"/>
              </w:rPr>
            </w:pPr>
            <w:r w:rsidRPr="00427E28">
              <w:rPr>
                <w:b w:val="0"/>
                <w:bCs w:val="0"/>
                <w:sz w:val="18"/>
                <w:szCs w:val="18"/>
                <w:lang w:val="es-ES"/>
              </w:rPr>
              <w:t>2021</w:t>
            </w:r>
          </w:p>
        </w:tc>
        <w:tc>
          <w:tcPr>
            <w:cnfStyle w:val="000100000000" w:firstRow="0" w:lastRow="0" w:firstColumn="0" w:lastColumn="1" w:oddVBand="0" w:evenVBand="0" w:oddHBand="0" w:evenHBand="0" w:firstRowFirstColumn="0" w:firstRowLastColumn="0" w:lastRowFirstColumn="0" w:lastRowLastColumn="0"/>
            <w:tcW w:w="9214" w:type="dxa"/>
            <w:tcBorders>
              <w:left w:val="single" w:sz="4" w:space="0" w:color="4F81BD" w:themeColor="accent1"/>
            </w:tcBorders>
            <w:shd w:val="clear" w:color="auto" w:fill="B6C8E8"/>
          </w:tcPr>
          <w:p w14:paraId="132A3441" w14:textId="77777777" w:rsidR="00A07A85" w:rsidRPr="00427E28" w:rsidRDefault="00A07A85" w:rsidP="00570996">
            <w:pPr>
              <w:pStyle w:val="Tabletext"/>
              <w:rPr>
                <w:b w:val="0"/>
                <w:bCs w:val="0"/>
                <w:sz w:val="18"/>
                <w:szCs w:val="18"/>
                <w:lang w:val="es-ES"/>
              </w:rPr>
            </w:pPr>
            <w:r w:rsidRPr="00427E28">
              <w:rPr>
                <w:b w:val="0"/>
                <w:bCs w:val="0"/>
                <w:sz w:val="18"/>
                <w:szCs w:val="18"/>
                <w:lang w:val="es-ES"/>
              </w:rPr>
              <w:t>F.735.2, F.740.2, F.743.12, F.748.12, F.748.13, F.749.4, F.749.5, F.749.13, F.749.14, H.222.0, H.264, H.265, H.273, H.644.4, H.753 Cor.1, H.830.17, H.830.18, H.862.4, H.862.5, T.627, T.801, T.803, T.804, T.815, T.873</w:t>
            </w:r>
          </w:p>
        </w:tc>
      </w:tr>
      <w:tr w:rsidR="00A07A85" w:rsidRPr="00B237E2" w14:paraId="51621433" w14:textId="77777777" w:rsidTr="005709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0" w:type="dxa"/>
            <w:tcBorders>
              <w:right w:val="single" w:sz="4" w:space="0" w:color="4F81BD" w:themeColor="accent1"/>
            </w:tcBorders>
          </w:tcPr>
          <w:p w14:paraId="4A9201DA" w14:textId="77777777" w:rsidR="00A07A85" w:rsidRPr="00427E28" w:rsidRDefault="00A07A85" w:rsidP="00570996">
            <w:pPr>
              <w:pStyle w:val="Tabletext"/>
              <w:rPr>
                <w:b w:val="0"/>
                <w:bCs w:val="0"/>
                <w:sz w:val="18"/>
                <w:szCs w:val="18"/>
                <w:lang w:val="es-ES"/>
              </w:rPr>
            </w:pPr>
          </w:p>
        </w:tc>
        <w:tc>
          <w:tcPr>
            <w:cnfStyle w:val="000100000000" w:firstRow="0" w:lastRow="0" w:firstColumn="0" w:lastColumn="1" w:oddVBand="0" w:evenVBand="0" w:oddHBand="0" w:evenHBand="0" w:firstRowFirstColumn="0" w:firstRowLastColumn="0" w:lastRowFirstColumn="0" w:lastRowLastColumn="0"/>
            <w:tcW w:w="9214" w:type="dxa"/>
            <w:tcBorders>
              <w:left w:val="single" w:sz="4" w:space="0" w:color="4F81BD" w:themeColor="accent1"/>
            </w:tcBorders>
          </w:tcPr>
          <w:p w14:paraId="5E5DD931" w14:textId="35D327C2" w:rsidR="00A07A85" w:rsidRPr="00D77C83" w:rsidRDefault="00AF6115" w:rsidP="00570996">
            <w:pPr>
              <w:pStyle w:val="Tabletext"/>
              <w:rPr>
                <w:sz w:val="18"/>
                <w:szCs w:val="18"/>
                <w:lang w:val="es-ES"/>
              </w:rPr>
            </w:pPr>
            <w:hyperlink r:id="rId45" w:history="1">
              <w:r w:rsidR="00C0244F" w:rsidRPr="00570996">
                <w:rPr>
                  <w:rStyle w:val="Hyperlink"/>
                  <w:b w:val="0"/>
                  <w:bCs w:val="0"/>
                  <w:sz w:val="18"/>
                  <w:szCs w:val="18"/>
                  <w:lang w:val="es-ES"/>
                </w:rPr>
                <w:t>CE</w:t>
              </w:r>
              <w:r w:rsidR="00D77C83" w:rsidRPr="00D77C83">
                <w:rPr>
                  <w:rStyle w:val="Hyperlink"/>
                  <w:sz w:val="18"/>
                  <w:szCs w:val="18"/>
                  <w:lang w:val="es-ES"/>
                </w:rPr>
                <w:t> </w:t>
              </w:r>
              <w:r w:rsidR="00A07A85" w:rsidRPr="00D77C83">
                <w:rPr>
                  <w:rStyle w:val="Hyperlink"/>
                  <w:sz w:val="18"/>
                  <w:szCs w:val="18"/>
                  <w:lang w:val="es-ES"/>
                </w:rPr>
                <w:t xml:space="preserve">17 </w:t>
              </w:r>
              <w:r w:rsidR="00D77C83" w:rsidRPr="00D77C83">
                <w:rPr>
                  <w:rStyle w:val="Hyperlink"/>
                  <w:sz w:val="18"/>
                  <w:szCs w:val="18"/>
                  <w:lang w:val="es-ES"/>
                </w:rPr>
                <w:t>–</w:t>
              </w:r>
              <w:r w:rsidR="00A07A85" w:rsidRPr="00D77C83">
                <w:rPr>
                  <w:rStyle w:val="Hyperlink"/>
                  <w:sz w:val="18"/>
                  <w:szCs w:val="18"/>
                  <w:lang w:val="es-ES"/>
                </w:rPr>
                <w:t xml:space="preserve"> Se</w:t>
              </w:r>
              <w:r w:rsidR="00957FDC" w:rsidRPr="00D77C83">
                <w:rPr>
                  <w:rStyle w:val="Hyperlink"/>
                  <w:sz w:val="18"/>
                  <w:szCs w:val="18"/>
                  <w:lang w:val="es-ES"/>
                </w:rPr>
                <w:t>guridad</w:t>
              </w:r>
            </w:hyperlink>
          </w:p>
        </w:tc>
      </w:tr>
      <w:tr w:rsidR="00A07A85" w:rsidRPr="00B237E2" w14:paraId="00683182" w14:textId="77777777" w:rsidTr="00570996">
        <w:trPr>
          <w:jc w:val="center"/>
        </w:trPr>
        <w:tc>
          <w:tcPr>
            <w:cnfStyle w:val="001000000000" w:firstRow="0" w:lastRow="0" w:firstColumn="1" w:lastColumn="0" w:oddVBand="0" w:evenVBand="0" w:oddHBand="0" w:evenHBand="0" w:firstRowFirstColumn="0" w:firstRowLastColumn="0" w:lastRowFirstColumn="0" w:lastRowLastColumn="0"/>
            <w:tcW w:w="710" w:type="dxa"/>
            <w:tcBorders>
              <w:right w:val="single" w:sz="4" w:space="0" w:color="4F81BD" w:themeColor="accent1"/>
            </w:tcBorders>
          </w:tcPr>
          <w:p w14:paraId="3AADDBD8" w14:textId="77777777" w:rsidR="00A07A85" w:rsidRPr="00427E28" w:rsidRDefault="00A07A85" w:rsidP="000F6B41">
            <w:pPr>
              <w:pStyle w:val="Tabletext"/>
              <w:rPr>
                <w:b w:val="0"/>
                <w:bCs w:val="0"/>
                <w:sz w:val="18"/>
                <w:szCs w:val="18"/>
                <w:lang w:val="es-ES"/>
              </w:rPr>
            </w:pPr>
            <w:r w:rsidRPr="00427E28">
              <w:rPr>
                <w:b w:val="0"/>
                <w:bCs w:val="0"/>
                <w:sz w:val="18"/>
                <w:szCs w:val="18"/>
                <w:lang w:val="es-ES"/>
              </w:rPr>
              <w:t>2018</w:t>
            </w:r>
          </w:p>
        </w:tc>
        <w:tc>
          <w:tcPr>
            <w:cnfStyle w:val="000100000000" w:firstRow="0" w:lastRow="0" w:firstColumn="0" w:lastColumn="1" w:oddVBand="0" w:evenVBand="0" w:oddHBand="0" w:evenHBand="0" w:firstRowFirstColumn="0" w:firstRowLastColumn="0" w:lastRowFirstColumn="0" w:lastRowLastColumn="0"/>
            <w:tcW w:w="9214" w:type="dxa"/>
            <w:tcBorders>
              <w:top w:val="single" w:sz="4" w:space="0" w:color="4F81BD" w:themeColor="accent1"/>
              <w:left w:val="single" w:sz="4" w:space="0" w:color="4F81BD" w:themeColor="accent1"/>
              <w:bottom w:val="single" w:sz="4" w:space="0" w:color="4F81BD" w:themeColor="accent1"/>
            </w:tcBorders>
          </w:tcPr>
          <w:p w14:paraId="3AD7B5DA" w14:textId="77777777" w:rsidR="00A07A85" w:rsidRPr="005621ED" w:rsidRDefault="00A07A85" w:rsidP="000F6B41">
            <w:pPr>
              <w:pStyle w:val="Tabletext"/>
              <w:rPr>
                <w:b w:val="0"/>
                <w:bCs w:val="0"/>
                <w:sz w:val="18"/>
                <w:szCs w:val="18"/>
                <w:lang w:val="es-ES"/>
              </w:rPr>
            </w:pPr>
            <w:r w:rsidRPr="005621ED">
              <w:rPr>
                <w:b w:val="0"/>
                <w:bCs w:val="0"/>
                <w:sz w:val="18"/>
                <w:szCs w:val="18"/>
                <w:lang w:val="es-ES"/>
              </w:rPr>
              <w:t>X.676, X.680 Amd.1, X.680 Cor.3, X.681 Cor.1, X.682 Cor.2, X.683 Cor.1, X.696 Cor.3, X.894, X.1041, X.1080.1, X.1093, X.1147, X.1214, X.1276, X.1277, X.1278, X.1331, X.1361, X.1450, X.1603, Z.100, Z.100, Z.100, Z.151, Z.161, Z.161.2, Z.161.4, Z.161.6, Z.166, Z.167, Z.169, Z.171</w:t>
            </w:r>
          </w:p>
        </w:tc>
      </w:tr>
      <w:tr w:rsidR="00A07A85" w:rsidRPr="00B237E2" w14:paraId="6CAAD89A" w14:textId="77777777" w:rsidTr="005709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0" w:type="dxa"/>
            <w:tcBorders>
              <w:right w:val="single" w:sz="4" w:space="0" w:color="4F81BD" w:themeColor="accent1"/>
            </w:tcBorders>
          </w:tcPr>
          <w:p w14:paraId="383FFC61" w14:textId="77777777" w:rsidR="00A07A85" w:rsidRPr="00427E28" w:rsidRDefault="00A07A85" w:rsidP="000F6B41">
            <w:pPr>
              <w:pStyle w:val="Tabletext"/>
              <w:rPr>
                <w:b w:val="0"/>
                <w:bCs w:val="0"/>
                <w:sz w:val="18"/>
                <w:szCs w:val="18"/>
                <w:lang w:val="es-ES"/>
              </w:rPr>
            </w:pPr>
            <w:r w:rsidRPr="00427E28">
              <w:rPr>
                <w:b w:val="0"/>
                <w:bCs w:val="0"/>
                <w:sz w:val="18"/>
                <w:szCs w:val="18"/>
                <w:lang w:val="es-ES"/>
              </w:rPr>
              <w:t>2019</w:t>
            </w:r>
          </w:p>
        </w:tc>
        <w:tc>
          <w:tcPr>
            <w:cnfStyle w:val="000100000000" w:firstRow="0" w:lastRow="0" w:firstColumn="0" w:lastColumn="1" w:oddVBand="0" w:evenVBand="0" w:oddHBand="0" w:evenHBand="0" w:firstRowFirstColumn="0" w:firstRowLastColumn="0" w:lastRowFirstColumn="0" w:lastRowLastColumn="0"/>
            <w:tcW w:w="9214" w:type="dxa"/>
            <w:tcBorders>
              <w:left w:val="single" w:sz="4" w:space="0" w:color="4F81BD" w:themeColor="accent1"/>
            </w:tcBorders>
          </w:tcPr>
          <w:p w14:paraId="09C1D8E7" w14:textId="79BEE700" w:rsidR="00A07A85" w:rsidRPr="005621ED" w:rsidRDefault="00A07A85" w:rsidP="000F6B41">
            <w:pPr>
              <w:pStyle w:val="Tabletext"/>
              <w:rPr>
                <w:b w:val="0"/>
                <w:bCs w:val="0"/>
                <w:sz w:val="18"/>
                <w:szCs w:val="18"/>
                <w:lang w:val="es-ES"/>
              </w:rPr>
            </w:pPr>
            <w:r w:rsidRPr="005621ED">
              <w:rPr>
                <w:b w:val="0"/>
                <w:bCs w:val="0"/>
                <w:sz w:val="18"/>
                <w:szCs w:val="18"/>
                <w:lang w:val="es-ES"/>
              </w:rPr>
              <w:t>X.500, X.501, X.509, X.511, X.518, X.519, X.520, X.521, X.525, X.694 Cor.1, X.893 Cor.1, X.894 Cor.1, X.1042, X.1043, X.1044, X.1045, X.1059, X.1094, X.1215, X.1232, X.1249, X.1401, X.1702, Z.100, Z.100, Z.100, Z.100, Z.101, Z.102, Z.103, Z.104, Z.105, Z.106, Z.107, Z.161, Z.161.2, Z.161.6, Z.161.7, Z.166, Z.169</w:t>
            </w:r>
          </w:p>
        </w:tc>
      </w:tr>
      <w:tr w:rsidR="00A07A85" w:rsidRPr="00B237E2" w14:paraId="3A9F8BAE" w14:textId="77777777" w:rsidTr="00570996">
        <w:trPr>
          <w:jc w:val="center"/>
        </w:trPr>
        <w:tc>
          <w:tcPr>
            <w:cnfStyle w:val="001000000000" w:firstRow="0" w:lastRow="0" w:firstColumn="1" w:lastColumn="0" w:oddVBand="0" w:evenVBand="0" w:oddHBand="0" w:evenHBand="0" w:firstRowFirstColumn="0" w:firstRowLastColumn="0" w:lastRowFirstColumn="0" w:lastRowLastColumn="0"/>
            <w:tcW w:w="710" w:type="dxa"/>
            <w:tcBorders>
              <w:right w:val="single" w:sz="4" w:space="0" w:color="4F81BD" w:themeColor="accent1"/>
            </w:tcBorders>
          </w:tcPr>
          <w:p w14:paraId="71447F1B" w14:textId="77777777" w:rsidR="00A07A85" w:rsidRPr="00427E28" w:rsidRDefault="00A07A85" w:rsidP="000F6B41">
            <w:pPr>
              <w:pStyle w:val="Tabletext"/>
              <w:rPr>
                <w:b w:val="0"/>
                <w:bCs w:val="0"/>
                <w:sz w:val="18"/>
                <w:szCs w:val="18"/>
                <w:lang w:val="es-ES"/>
              </w:rPr>
            </w:pPr>
            <w:r w:rsidRPr="00427E28">
              <w:rPr>
                <w:b w:val="0"/>
                <w:bCs w:val="0"/>
                <w:sz w:val="18"/>
                <w:szCs w:val="18"/>
                <w:lang w:val="es-ES"/>
              </w:rPr>
              <w:t>2020</w:t>
            </w:r>
          </w:p>
        </w:tc>
        <w:tc>
          <w:tcPr>
            <w:cnfStyle w:val="000100000000" w:firstRow="0" w:lastRow="0" w:firstColumn="0" w:lastColumn="1" w:oddVBand="0" w:evenVBand="0" w:oddHBand="0" w:evenHBand="0" w:firstRowFirstColumn="0" w:firstRowLastColumn="0" w:lastRowFirstColumn="0" w:lastRowLastColumn="0"/>
            <w:tcW w:w="9214" w:type="dxa"/>
            <w:tcBorders>
              <w:top w:val="single" w:sz="4" w:space="0" w:color="4F81BD" w:themeColor="accent1"/>
              <w:left w:val="single" w:sz="4" w:space="0" w:color="4F81BD" w:themeColor="accent1"/>
              <w:bottom w:val="single" w:sz="4" w:space="0" w:color="4F81BD" w:themeColor="accent1"/>
            </w:tcBorders>
          </w:tcPr>
          <w:p w14:paraId="6BCD360D" w14:textId="77777777" w:rsidR="00A07A85" w:rsidRPr="00427E28" w:rsidRDefault="00A07A85" w:rsidP="000F6B41">
            <w:pPr>
              <w:pStyle w:val="Tabletext"/>
              <w:rPr>
                <w:b w:val="0"/>
                <w:bCs w:val="0"/>
                <w:sz w:val="18"/>
                <w:szCs w:val="18"/>
                <w:lang w:val="es-ES"/>
              </w:rPr>
            </w:pPr>
            <w:r w:rsidRPr="00427E28">
              <w:rPr>
                <w:b w:val="0"/>
                <w:bCs w:val="0"/>
                <w:sz w:val="18"/>
                <w:szCs w:val="18"/>
                <w:lang w:val="es-ES"/>
              </w:rPr>
              <w:t>X.510, X.677, X.1046, X.1052, X.1148, X.1149, X.1216, X.1218, X.1254, X.1279, X.1332, X.1363, X.1364, X.1365, X.1366, X.1367, X.1371, X.1372, X.1374, X.1375, X.1400, X.1402, X.1403, X.1404, X.1451, X.1452, X.1604, X.1605, X.1606, X.1710, X.1714, X.1750, X.1751, Z.161, Z.161.3, Z.161.4, Z.161.6, Z.161.7, Z.165.1, Z.166, Z.167, Z.169</w:t>
            </w:r>
          </w:p>
        </w:tc>
      </w:tr>
      <w:tr w:rsidR="00A07A85" w:rsidRPr="00B237E2" w14:paraId="3B43B3ED" w14:textId="77777777" w:rsidTr="005709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0" w:type="dxa"/>
            <w:tcBorders>
              <w:right w:val="single" w:sz="4" w:space="0" w:color="4F81BD" w:themeColor="accent1"/>
            </w:tcBorders>
          </w:tcPr>
          <w:p w14:paraId="15BE6EE6" w14:textId="77777777" w:rsidR="00A07A85" w:rsidRPr="00427E28" w:rsidRDefault="00A07A85" w:rsidP="000F6B41">
            <w:pPr>
              <w:pStyle w:val="Tabletext"/>
              <w:rPr>
                <w:b w:val="0"/>
                <w:bCs w:val="0"/>
                <w:sz w:val="18"/>
                <w:szCs w:val="18"/>
                <w:lang w:val="es-ES"/>
              </w:rPr>
            </w:pPr>
            <w:r w:rsidRPr="00427E28">
              <w:rPr>
                <w:b w:val="0"/>
                <w:bCs w:val="0"/>
                <w:sz w:val="18"/>
                <w:szCs w:val="18"/>
                <w:lang w:val="es-ES"/>
              </w:rPr>
              <w:t>2021</w:t>
            </w:r>
          </w:p>
        </w:tc>
        <w:tc>
          <w:tcPr>
            <w:cnfStyle w:val="000100000000" w:firstRow="0" w:lastRow="0" w:firstColumn="0" w:lastColumn="1" w:oddVBand="0" w:evenVBand="0" w:oddHBand="0" w:evenHBand="0" w:firstRowFirstColumn="0" w:firstRowLastColumn="0" w:lastRowFirstColumn="0" w:lastRowLastColumn="0"/>
            <w:tcW w:w="9214" w:type="dxa"/>
            <w:tcBorders>
              <w:left w:val="single" w:sz="4" w:space="0" w:color="4F81BD" w:themeColor="accent1"/>
            </w:tcBorders>
          </w:tcPr>
          <w:p w14:paraId="45B13B7B" w14:textId="03556315" w:rsidR="00A07A85" w:rsidRPr="005621ED" w:rsidRDefault="00A07A85" w:rsidP="000F6B41">
            <w:pPr>
              <w:pStyle w:val="Tabletext"/>
              <w:rPr>
                <w:b w:val="0"/>
                <w:bCs w:val="0"/>
                <w:sz w:val="18"/>
                <w:szCs w:val="18"/>
                <w:lang w:val="es-ES"/>
              </w:rPr>
            </w:pPr>
            <w:r w:rsidRPr="005621ED">
              <w:rPr>
                <w:b w:val="0"/>
                <w:bCs w:val="0"/>
                <w:sz w:val="18"/>
                <w:szCs w:val="18"/>
                <w:lang w:val="es-ES"/>
              </w:rPr>
              <w:t>X.501 Amd.1, X.509 Cor.1, X.680, X.681, X.682, X.683, X.690, X.691, X.692, X.693, X.694, X.695, X.696, X.697, X.894</w:t>
            </w:r>
            <w:r w:rsidR="00C83216" w:rsidRPr="005621ED">
              <w:rPr>
                <w:b w:val="0"/>
                <w:bCs w:val="0"/>
                <w:sz w:val="18"/>
                <w:szCs w:val="18"/>
                <w:lang w:val="es-ES"/>
              </w:rPr>
              <w:t> </w:t>
            </w:r>
            <w:r w:rsidRPr="005621ED">
              <w:rPr>
                <w:b w:val="0"/>
                <w:bCs w:val="0"/>
                <w:sz w:val="18"/>
                <w:szCs w:val="18"/>
                <w:lang w:val="es-ES"/>
              </w:rPr>
              <w:t>Cor.2, X.1011, X.1047, X.1060, X.1061, X.1080.2, X.1217, X.1233, X.1252, X.1368, X.1376, X.1405, X.1406, X.1408, X.1712, X.1770, X.1811, Z.100, Z.100, Z.100, Z.101, Z.102, Z.103, Z.104, Z.105, Z.106, Z.107, Z.161, Z.161.2, Z.161.3, Z.161.4, Z.161.7, Z.167, Z.168, Z.169, Z.171</w:t>
            </w:r>
          </w:p>
        </w:tc>
      </w:tr>
      <w:tr w:rsidR="00A07A85" w:rsidRPr="00B237E2" w14:paraId="5303777C" w14:textId="77777777" w:rsidTr="00570996">
        <w:trPr>
          <w:jc w:val="center"/>
        </w:trPr>
        <w:tc>
          <w:tcPr>
            <w:cnfStyle w:val="001000000000" w:firstRow="0" w:lastRow="0" w:firstColumn="1" w:lastColumn="0" w:oddVBand="0" w:evenVBand="0" w:oddHBand="0" w:evenHBand="0" w:firstRowFirstColumn="0" w:firstRowLastColumn="0" w:lastRowFirstColumn="0" w:lastRowLastColumn="0"/>
            <w:tcW w:w="710" w:type="dxa"/>
            <w:tcBorders>
              <w:right w:val="single" w:sz="4" w:space="0" w:color="4F81BD" w:themeColor="accent1"/>
            </w:tcBorders>
            <w:shd w:val="clear" w:color="auto" w:fill="B6C8E8"/>
          </w:tcPr>
          <w:p w14:paraId="2F5A678F" w14:textId="77777777" w:rsidR="00A07A85" w:rsidRPr="00427E28" w:rsidRDefault="00A07A85" w:rsidP="00570996">
            <w:pPr>
              <w:pStyle w:val="Tabletext"/>
              <w:rPr>
                <w:b w:val="0"/>
                <w:bCs w:val="0"/>
                <w:sz w:val="18"/>
                <w:szCs w:val="18"/>
                <w:lang w:val="es-ES"/>
              </w:rPr>
            </w:pPr>
          </w:p>
        </w:tc>
        <w:tc>
          <w:tcPr>
            <w:cnfStyle w:val="000100000000" w:firstRow="0" w:lastRow="0" w:firstColumn="0" w:lastColumn="1" w:oddVBand="0" w:evenVBand="0" w:oddHBand="0" w:evenHBand="0" w:firstRowFirstColumn="0" w:firstRowLastColumn="0" w:lastRowFirstColumn="0" w:lastRowLastColumn="0"/>
            <w:tcW w:w="9214" w:type="dxa"/>
            <w:tcBorders>
              <w:top w:val="single" w:sz="4" w:space="0" w:color="4F81BD" w:themeColor="accent1"/>
              <w:left w:val="single" w:sz="4" w:space="0" w:color="4F81BD" w:themeColor="accent1"/>
              <w:bottom w:val="single" w:sz="4" w:space="0" w:color="4F81BD" w:themeColor="accent1"/>
            </w:tcBorders>
            <w:shd w:val="clear" w:color="auto" w:fill="B6C8E8"/>
          </w:tcPr>
          <w:p w14:paraId="3A43B855" w14:textId="5185168C" w:rsidR="00A07A85" w:rsidRPr="00C12B29" w:rsidRDefault="00AF6115" w:rsidP="00570996">
            <w:pPr>
              <w:pStyle w:val="Tabletext"/>
              <w:rPr>
                <w:sz w:val="18"/>
                <w:szCs w:val="18"/>
                <w:lang w:val="es-ES"/>
              </w:rPr>
            </w:pPr>
            <w:hyperlink r:id="rId46" w:history="1">
              <w:r w:rsidR="00C0244F" w:rsidRPr="00D77C83">
                <w:rPr>
                  <w:rStyle w:val="Hyperlink"/>
                  <w:sz w:val="18"/>
                  <w:szCs w:val="18"/>
                  <w:lang w:val="es-ES"/>
                </w:rPr>
                <w:t>CE</w:t>
              </w:r>
              <w:r w:rsidR="00D77C83" w:rsidRPr="00D77C83">
                <w:rPr>
                  <w:rStyle w:val="Hyperlink"/>
                  <w:sz w:val="18"/>
                  <w:szCs w:val="18"/>
                  <w:lang w:val="es-ES"/>
                </w:rPr>
                <w:t> </w:t>
              </w:r>
              <w:r w:rsidR="00A07A85" w:rsidRPr="00EB7F22">
                <w:rPr>
                  <w:rStyle w:val="Hyperlink"/>
                  <w:sz w:val="18"/>
                  <w:szCs w:val="18"/>
                  <w:lang w:val="es-ES"/>
                </w:rPr>
                <w:t xml:space="preserve">20 </w:t>
              </w:r>
              <w:r w:rsidR="00D77C83" w:rsidRPr="00D77C83">
                <w:rPr>
                  <w:rStyle w:val="Hyperlink"/>
                  <w:sz w:val="18"/>
                  <w:szCs w:val="18"/>
                  <w:lang w:val="es-ES"/>
                </w:rPr>
                <w:t>–</w:t>
              </w:r>
              <w:r w:rsidR="00A07A85" w:rsidRPr="00EB7F22">
                <w:rPr>
                  <w:rStyle w:val="Hyperlink"/>
                  <w:sz w:val="18"/>
                  <w:szCs w:val="18"/>
                  <w:lang w:val="es-ES"/>
                </w:rPr>
                <w:t xml:space="preserve"> </w:t>
              </w:r>
              <w:r w:rsidR="00957FDC" w:rsidRPr="00D77C83">
                <w:rPr>
                  <w:rStyle w:val="Hyperlink"/>
                  <w:sz w:val="18"/>
                  <w:szCs w:val="18"/>
                  <w:lang w:val="es-ES"/>
                </w:rPr>
                <w:t>Internet de las cosas (IoT) y ciudades y comunidades inteligentes</w:t>
              </w:r>
            </w:hyperlink>
          </w:p>
        </w:tc>
      </w:tr>
      <w:tr w:rsidR="00A07A85" w:rsidRPr="00B237E2" w14:paraId="0746CCEC" w14:textId="77777777" w:rsidTr="005709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0" w:type="dxa"/>
            <w:tcBorders>
              <w:right w:val="single" w:sz="4" w:space="0" w:color="4F81BD" w:themeColor="accent1"/>
            </w:tcBorders>
            <w:shd w:val="clear" w:color="auto" w:fill="B6C8E8"/>
            <w:hideMark/>
          </w:tcPr>
          <w:p w14:paraId="470BAB62" w14:textId="77777777" w:rsidR="00A07A85" w:rsidRPr="00427E28" w:rsidRDefault="00A07A85" w:rsidP="000F6B41">
            <w:pPr>
              <w:pStyle w:val="Tabletext"/>
              <w:rPr>
                <w:b w:val="0"/>
                <w:bCs w:val="0"/>
                <w:sz w:val="18"/>
                <w:szCs w:val="18"/>
                <w:lang w:val="es-ES"/>
              </w:rPr>
            </w:pPr>
            <w:r w:rsidRPr="00427E28">
              <w:rPr>
                <w:b w:val="0"/>
                <w:bCs w:val="0"/>
                <w:sz w:val="18"/>
                <w:szCs w:val="18"/>
                <w:lang w:val="es-ES"/>
              </w:rPr>
              <w:t>2018</w:t>
            </w:r>
          </w:p>
        </w:tc>
        <w:tc>
          <w:tcPr>
            <w:cnfStyle w:val="000100000000" w:firstRow="0" w:lastRow="0" w:firstColumn="0" w:lastColumn="1" w:oddVBand="0" w:evenVBand="0" w:oddHBand="0" w:evenHBand="0" w:firstRowFirstColumn="0" w:firstRowLastColumn="0" w:lastRowFirstColumn="0" w:lastRowLastColumn="0"/>
            <w:tcW w:w="9214" w:type="dxa"/>
            <w:tcBorders>
              <w:left w:val="single" w:sz="4" w:space="0" w:color="4F81BD" w:themeColor="accent1"/>
            </w:tcBorders>
            <w:shd w:val="clear" w:color="auto" w:fill="B6C8E8"/>
          </w:tcPr>
          <w:p w14:paraId="25BAB88D" w14:textId="77777777" w:rsidR="00A07A85" w:rsidRPr="00427E28" w:rsidRDefault="00A07A85" w:rsidP="000F6B41">
            <w:pPr>
              <w:pStyle w:val="Tabletext"/>
              <w:rPr>
                <w:b w:val="0"/>
                <w:bCs w:val="0"/>
                <w:sz w:val="18"/>
                <w:szCs w:val="18"/>
                <w:lang w:val="es-ES"/>
              </w:rPr>
            </w:pPr>
            <w:r w:rsidRPr="00427E28">
              <w:rPr>
                <w:b w:val="0"/>
                <w:bCs w:val="0"/>
                <w:sz w:val="18"/>
                <w:szCs w:val="18"/>
                <w:lang w:val="es-ES"/>
              </w:rPr>
              <w:t>Y.4003, Y.4118, Y.4119, Y.4120, Y.4121, Y.4200, Y.4201, Y.4415, Y.4416, Y.4417, Y.4418, Y.4456, Y.4457, Y.4500.1, Y.4500.2, Y.4500.4, Y.4500.5, Y.4500.6, Y.4500.8, Y.4500.9, Y.4500.10, Y.4500.11, Y.4500.12, Y.4500.13, Y.4500.14, Y.4500.15, Y.4500.20, Y.4500.22, Y.4500.23, Y.4500.32</w:t>
            </w:r>
          </w:p>
        </w:tc>
      </w:tr>
      <w:tr w:rsidR="00A07A85" w:rsidRPr="00B237E2" w14:paraId="77322A48" w14:textId="77777777" w:rsidTr="00570996">
        <w:trPr>
          <w:jc w:val="center"/>
        </w:trPr>
        <w:tc>
          <w:tcPr>
            <w:cnfStyle w:val="001000000000" w:firstRow="0" w:lastRow="0" w:firstColumn="1" w:lastColumn="0" w:oddVBand="0" w:evenVBand="0" w:oddHBand="0" w:evenHBand="0" w:firstRowFirstColumn="0" w:firstRowLastColumn="0" w:lastRowFirstColumn="0" w:lastRowLastColumn="0"/>
            <w:tcW w:w="710" w:type="dxa"/>
            <w:tcBorders>
              <w:right w:val="single" w:sz="4" w:space="0" w:color="4F81BD" w:themeColor="accent1"/>
            </w:tcBorders>
            <w:shd w:val="clear" w:color="auto" w:fill="B6C8E8"/>
          </w:tcPr>
          <w:p w14:paraId="42302917" w14:textId="77777777" w:rsidR="00A07A85" w:rsidRPr="00427E28" w:rsidRDefault="00A07A85" w:rsidP="000F6B41">
            <w:pPr>
              <w:pStyle w:val="Tabletext"/>
              <w:rPr>
                <w:b w:val="0"/>
                <w:bCs w:val="0"/>
                <w:sz w:val="18"/>
                <w:szCs w:val="18"/>
                <w:lang w:val="es-ES"/>
              </w:rPr>
            </w:pPr>
            <w:r w:rsidRPr="00427E28">
              <w:rPr>
                <w:b w:val="0"/>
                <w:bCs w:val="0"/>
                <w:sz w:val="18"/>
                <w:szCs w:val="18"/>
                <w:lang w:val="es-ES"/>
              </w:rPr>
              <w:t>2019</w:t>
            </w:r>
          </w:p>
        </w:tc>
        <w:tc>
          <w:tcPr>
            <w:cnfStyle w:val="000100000000" w:firstRow="0" w:lastRow="0" w:firstColumn="0" w:lastColumn="1" w:oddVBand="0" w:evenVBand="0" w:oddHBand="0" w:evenHBand="0" w:firstRowFirstColumn="0" w:firstRowLastColumn="0" w:lastRowFirstColumn="0" w:lastRowLastColumn="0"/>
            <w:tcW w:w="9214" w:type="dxa"/>
            <w:tcBorders>
              <w:top w:val="single" w:sz="4" w:space="0" w:color="4F81BD" w:themeColor="accent1"/>
              <w:left w:val="single" w:sz="4" w:space="0" w:color="4F81BD" w:themeColor="accent1"/>
              <w:bottom w:val="single" w:sz="4" w:space="0" w:color="4F81BD" w:themeColor="accent1"/>
            </w:tcBorders>
            <w:shd w:val="clear" w:color="auto" w:fill="B6C8E8"/>
          </w:tcPr>
          <w:p w14:paraId="4CA52967" w14:textId="77777777" w:rsidR="00A07A85" w:rsidRPr="00427E28" w:rsidRDefault="00A07A85" w:rsidP="000F6B41">
            <w:pPr>
              <w:pStyle w:val="Tabletext"/>
              <w:rPr>
                <w:b w:val="0"/>
                <w:bCs w:val="0"/>
                <w:sz w:val="18"/>
                <w:szCs w:val="18"/>
                <w:lang w:val="es-ES"/>
              </w:rPr>
            </w:pPr>
            <w:r w:rsidRPr="00427E28">
              <w:rPr>
                <w:b w:val="0"/>
                <w:bCs w:val="0"/>
                <w:sz w:val="18"/>
                <w:szCs w:val="18"/>
                <w:lang w:val="es-ES"/>
              </w:rPr>
              <w:t>Y.4051, Y.4202, Y.4203, Y.4204, Y.4205, Y.4206, Y.4207, Y.4458, Y.4460, Y.4555, Y.4556, Y.4904, Y.4905, Y.4906</w:t>
            </w:r>
          </w:p>
        </w:tc>
      </w:tr>
      <w:tr w:rsidR="00A07A85" w:rsidRPr="00B237E2" w14:paraId="67E7F803" w14:textId="77777777" w:rsidTr="005709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0" w:type="dxa"/>
            <w:tcBorders>
              <w:right w:val="single" w:sz="4" w:space="0" w:color="4F81BD" w:themeColor="accent1"/>
            </w:tcBorders>
            <w:shd w:val="clear" w:color="auto" w:fill="B6C8E8"/>
          </w:tcPr>
          <w:p w14:paraId="5A8D1280" w14:textId="77777777" w:rsidR="00A07A85" w:rsidRPr="00427E28" w:rsidRDefault="00A07A85" w:rsidP="000F6B41">
            <w:pPr>
              <w:pStyle w:val="Tabletext"/>
              <w:rPr>
                <w:b w:val="0"/>
                <w:bCs w:val="0"/>
                <w:sz w:val="18"/>
                <w:szCs w:val="18"/>
                <w:lang w:val="es-ES"/>
              </w:rPr>
            </w:pPr>
            <w:r w:rsidRPr="00427E28">
              <w:rPr>
                <w:b w:val="0"/>
                <w:bCs w:val="0"/>
                <w:sz w:val="18"/>
                <w:szCs w:val="18"/>
                <w:lang w:val="es-ES"/>
              </w:rPr>
              <w:t>2020</w:t>
            </w:r>
          </w:p>
        </w:tc>
        <w:tc>
          <w:tcPr>
            <w:cnfStyle w:val="000100000000" w:firstRow="0" w:lastRow="0" w:firstColumn="0" w:lastColumn="1" w:oddVBand="0" w:evenVBand="0" w:oddHBand="0" w:evenHBand="0" w:firstRowFirstColumn="0" w:firstRowLastColumn="0" w:lastRowFirstColumn="0" w:lastRowLastColumn="0"/>
            <w:tcW w:w="9214" w:type="dxa"/>
            <w:tcBorders>
              <w:left w:val="single" w:sz="4" w:space="0" w:color="4F81BD" w:themeColor="accent1"/>
            </w:tcBorders>
            <w:shd w:val="clear" w:color="auto" w:fill="B6C8E8"/>
          </w:tcPr>
          <w:p w14:paraId="710BAC90" w14:textId="77777777" w:rsidR="00A07A85" w:rsidRPr="00427E28" w:rsidRDefault="00A07A85" w:rsidP="000F6B41">
            <w:pPr>
              <w:pStyle w:val="Tabletext"/>
              <w:rPr>
                <w:b w:val="0"/>
                <w:bCs w:val="0"/>
                <w:sz w:val="18"/>
                <w:szCs w:val="18"/>
                <w:lang w:val="es-ES"/>
              </w:rPr>
            </w:pPr>
            <w:r w:rsidRPr="00427E28">
              <w:rPr>
                <w:b w:val="0"/>
                <w:bCs w:val="0"/>
                <w:sz w:val="18"/>
                <w:szCs w:val="18"/>
                <w:lang w:val="es-ES"/>
              </w:rPr>
              <w:t>Y.4208, Y.4209, Y.4210, Y.4211, Y.4459, Y.4461, Y.4462, Y.4463, Y.4464, Y.4465, Y.4466, Y.4467, Y.4468, Y.4469, Y.4470, Y.4472, Y.4473, Y.4474, Y.4475, Y.4558, Y.4559, Y.4560, Y.4561, Y.4807, Y.4808, Y.4907, Y.4908</w:t>
            </w:r>
          </w:p>
        </w:tc>
      </w:tr>
      <w:tr w:rsidR="00A07A85" w:rsidRPr="00B237E2" w14:paraId="40EE3BE0" w14:textId="77777777" w:rsidTr="00570996">
        <w:trPr>
          <w:jc w:val="center"/>
        </w:trPr>
        <w:tc>
          <w:tcPr>
            <w:cnfStyle w:val="001000000000" w:firstRow="0" w:lastRow="0" w:firstColumn="1" w:lastColumn="0" w:oddVBand="0" w:evenVBand="0" w:oddHBand="0" w:evenHBand="0" w:firstRowFirstColumn="0" w:firstRowLastColumn="0" w:lastRowFirstColumn="0" w:lastRowLastColumn="0"/>
            <w:tcW w:w="710" w:type="dxa"/>
            <w:tcBorders>
              <w:top w:val="single" w:sz="4" w:space="0" w:color="4F81BD" w:themeColor="accent1"/>
              <w:bottom w:val="single" w:sz="4" w:space="0" w:color="4F81BD" w:themeColor="accent1"/>
              <w:right w:val="single" w:sz="4" w:space="0" w:color="4F81BD" w:themeColor="accent1"/>
            </w:tcBorders>
            <w:shd w:val="clear" w:color="auto" w:fill="B6C8E8"/>
          </w:tcPr>
          <w:p w14:paraId="492273EA" w14:textId="77777777" w:rsidR="00A07A85" w:rsidRPr="00427E28" w:rsidRDefault="00A07A85" w:rsidP="000F6B41">
            <w:pPr>
              <w:pStyle w:val="Tabletext"/>
              <w:rPr>
                <w:b w:val="0"/>
                <w:bCs w:val="0"/>
                <w:sz w:val="18"/>
                <w:szCs w:val="18"/>
                <w:lang w:val="es-ES"/>
              </w:rPr>
            </w:pPr>
            <w:r w:rsidRPr="00427E28">
              <w:rPr>
                <w:b w:val="0"/>
                <w:bCs w:val="0"/>
                <w:sz w:val="18"/>
                <w:szCs w:val="18"/>
                <w:lang w:val="es-ES"/>
              </w:rPr>
              <w:lastRenderedPageBreak/>
              <w:t>2021</w:t>
            </w:r>
          </w:p>
        </w:tc>
        <w:tc>
          <w:tcPr>
            <w:cnfStyle w:val="000100000000" w:firstRow="0" w:lastRow="0" w:firstColumn="0" w:lastColumn="1" w:oddVBand="0" w:evenVBand="0" w:oddHBand="0" w:evenHBand="0" w:firstRowFirstColumn="0" w:firstRowLastColumn="0" w:lastRowFirstColumn="0" w:lastRowLastColumn="0"/>
            <w:tcW w:w="9214" w:type="dxa"/>
            <w:tcBorders>
              <w:top w:val="single" w:sz="4" w:space="0" w:color="4F81BD" w:themeColor="accent1"/>
              <w:left w:val="single" w:sz="4" w:space="0" w:color="4F81BD" w:themeColor="accent1"/>
              <w:bottom w:val="single" w:sz="4" w:space="0" w:color="4F81BD" w:themeColor="accent1"/>
            </w:tcBorders>
            <w:shd w:val="clear" w:color="auto" w:fill="B6C8E8"/>
          </w:tcPr>
          <w:p w14:paraId="49C5B644" w14:textId="77777777" w:rsidR="00A07A85" w:rsidRPr="00427E28" w:rsidRDefault="00A07A85" w:rsidP="000F6B41">
            <w:pPr>
              <w:pStyle w:val="Tabletext"/>
              <w:rPr>
                <w:b w:val="0"/>
                <w:bCs w:val="0"/>
                <w:sz w:val="18"/>
                <w:szCs w:val="18"/>
                <w:lang w:val="es-ES"/>
              </w:rPr>
            </w:pPr>
            <w:r w:rsidRPr="00427E28">
              <w:rPr>
                <w:b w:val="0"/>
                <w:bCs w:val="0"/>
                <w:sz w:val="18"/>
                <w:szCs w:val="18"/>
                <w:lang w:val="es-ES"/>
              </w:rPr>
              <w:t>Y.4122, Y.4419, Y.4420, Y.4421, Y.4471, Y.4476, Y.4809</w:t>
            </w:r>
          </w:p>
        </w:tc>
      </w:tr>
      <w:tr w:rsidR="00A07A85" w:rsidRPr="00B237E2" w14:paraId="6BFA72A0" w14:textId="77777777" w:rsidTr="00570996">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0" w:type="dxa"/>
            <w:tcBorders>
              <w:left w:val="single" w:sz="4" w:space="0" w:color="5B9BD5"/>
              <w:right w:val="single" w:sz="4" w:space="0" w:color="5B9BD5"/>
            </w:tcBorders>
          </w:tcPr>
          <w:p w14:paraId="0E7BCCCE" w14:textId="77777777" w:rsidR="00A07A85" w:rsidRPr="000F6B41" w:rsidRDefault="00A07A85" w:rsidP="000F6B41">
            <w:pPr>
              <w:pStyle w:val="Tabletext"/>
              <w:rPr>
                <w:sz w:val="18"/>
                <w:szCs w:val="18"/>
                <w:lang w:val="es-ES"/>
              </w:rPr>
            </w:pPr>
          </w:p>
        </w:tc>
        <w:tc>
          <w:tcPr>
            <w:tcW w:w="9214" w:type="dxa"/>
            <w:tcBorders>
              <w:left w:val="single" w:sz="4" w:space="0" w:color="5B9BD5"/>
            </w:tcBorders>
          </w:tcPr>
          <w:p w14:paraId="3E6CB8CD" w14:textId="768601AE" w:rsidR="00A07A85" w:rsidRPr="000F6B41" w:rsidRDefault="00AF6115" w:rsidP="000F6B41">
            <w:pPr>
              <w:pStyle w:val="Tabletext"/>
              <w:cnfStyle w:val="000000100000" w:firstRow="0" w:lastRow="0" w:firstColumn="0" w:lastColumn="0" w:oddVBand="0" w:evenVBand="0" w:oddHBand="1" w:evenHBand="0" w:firstRowFirstColumn="0" w:firstRowLastColumn="0" w:lastRowFirstColumn="0" w:lastRowLastColumn="0"/>
              <w:rPr>
                <w:b/>
                <w:bCs/>
                <w:sz w:val="18"/>
                <w:szCs w:val="18"/>
                <w:lang w:val="es-ES"/>
              </w:rPr>
            </w:pPr>
            <w:hyperlink r:id="rId47" w:history="1">
              <w:r w:rsidR="00957FDC" w:rsidRPr="009A4ED1">
                <w:rPr>
                  <w:rStyle w:val="Hyperlink"/>
                  <w:b/>
                  <w:bCs/>
                  <w:sz w:val="18"/>
                  <w:szCs w:val="18"/>
                  <w:lang w:val="es-ES"/>
                </w:rPr>
                <w:t>GANT</w:t>
              </w:r>
            </w:hyperlink>
          </w:p>
        </w:tc>
      </w:tr>
      <w:tr w:rsidR="00A07A85" w:rsidRPr="00B237E2" w14:paraId="6329758A" w14:textId="77777777" w:rsidTr="00570996">
        <w:tblPrEx>
          <w:tblLook w:val="04A0" w:firstRow="1" w:lastRow="0" w:firstColumn="1" w:lastColumn="0" w:noHBand="0" w:noVBand="1"/>
        </w:tblPrEx>
        <w:trPr>
          <w:jc w:val="center"/>
        </w:trPr>
        <w:tc>
          <w:tcPr>
            <w:cnfStyle w:val="001000000000" w:firstRow="0" w:lastRow="0" w:firstColumn="1" w:lastColumn="0" w:oddVBand="0" w:evenVBand="0" w:oddHBand="0" w:evenHBand="0" w:firstRowFirstColumn="0" w:firstRowLastColumn="0" w:lastRowFirstColumn="0" w:lastRowLastColumn="0"/>
            <w:tcW w:w="710" w:type="dxa"/>
            <w:tcBorders>
              <w:left w:val="single" w:sz="4" w:space="0" w:color="5B9BD5"/>
              <w:bottom w:val="single" w:sz="4" w:space="0" w:color="4F81BD" w:themeColor="accent1"/>
              <w:right w:val="single" w:sz="4" w:space="0" w:color="5B9BD5"/>
            </w:tcBorders>
          </w:tcPr>
          <w:p w14:paraId="020C6262" w14:textId="77777777" w:rsidR="00A07A85" w:rsidRPr="000F6B41" w:rsidRDefault="00A07A85" w:rsidP="000F6B41">
            <w:pPr>
              <w:pStyle w:val="Tabletext"/>
              <w:rPr>
                <w:b w:val="0"/>
                <w:bCs w:val="0"/>
                <w:sz w:val="18"/>
                <w:szCs w:val="18"/>
                <w:lang w:val="es-ES"/>
              </w:rPr>
            </w:pPr>
            <w:r w:rsidRPr="00427E28">
              <w:rPr>
                <w:b w:val="0"/>
                <w:bCs w:val="0"/>
                <w:sz w:val="18"/>
                <w:szCs w:val="18"/>
                <w:lang w:val="es-ES"/>
              </w:rPr>
              <w:t>2019</w:t>
            </w:r>
          </w:p>
        </w:tc>
        <w:tc>
          <w:tcPr>
            <w:tcW w:w="9214" w:type="dxa"/>
            <w:tcBorders>
              <w:left w:val="single" w:sz="4" w:space="0" w:color="5B9BD5"/>
              <w:bottom w:val="single" w:sz="4" w:space="0" w:color="4F81BD" w:themeColor="accent1"/>
            </w:tcBorders>
          </w:tcPr>
          <w:p w14:paraId="3026FFA0" w14:textId="77777777" w:rsidR="00A07A85" w:rsidRPr="000F6B41" w:rsidRDefault="00A07A85" w:rsidP="000F6B41">
            <w:pPr>
              <w:pStyle w:val="Tabletext"/>
              <w:cnfStyle w:val="000000000000" w:firstRow="0" w:lastRow="0" w:firstColumn="0" w:lastColumn="0" w:oddVBand="0" w:evenVBand="0" w:oddHBand="0" w:evenHBand="0" w:firstRowFirstColumn="0" w:firstRowLastColumn="0" w:lastRowFirstColumn="0" w:lastRowLastColumn="0"/>
              <w:rPr>
                <w:sz w:val="18"/>
                <w:szCs w:val="18"/>
                <w:lang w:val="es-ES"/>
              </w:rPr>
            </w:pPr>
            <w:r w:rsidRPr="000F6B41">
              <w:rPr>
                <w:sz w:val="18"/>
                <w:szCs w:val="18"/>
                <w:lang w:val="es-ES"/>
              </w:rPr>
              <w:t>A.1, A.5, A.13, A.25</w:t>
            </w:r>
          </w:p>
        </w:tc>
      </w:tr>
    </w:tbl>
    <w:p w14:paraId="140AA478" w14:textId="7BB9C6B5" w:rsidR="00533209" w:rsidRPr="007F2CA4" w:rsidRDefault="00823AB3" w:rsidP="00054053">
      <w:pPr>
        <w:pStyle w:val="Normalaftertitle"/>
      </w:pPr>
      <w:r w:rsidRPr="007F2CA4">
        <w:rPr>
          <w:lang w:val="es-ES"/>
        </w:rPr>
        <w:t>La</w:t>
      </w:r>
      <w:r w:rsidRPr="00B237E2">
        <w:rPr>
          <w:lang w:val="es-ES"/>
        </w:rPr>
        <w:t xml:space="preserve"> inclusividad de la plataforma de normalización de la UIT está respaldada por el </w:t>
      </w:r>
      <w:hyperlink r:id="rId48" w:history="1">
        <w:r w:rsidRPr="007F2CA4">
          <w:rPr>
            <w:rStyle w:val="Hyperlink"/>
            <w:lang w:val="es-ES"/>
          </w:rPr>
          <w:t>programa</w:t>
        </w:r>
      </w:hyperlink>
      <w:r w:rsidRPr="00B237E2">
        <w:rPr>
          <w:lang w:val="es-ES"/>
        </w:rPr>
        <w:t xml:space="preserve"> de la</w:t>
      </w:r>
      <w:r w:rsidR="007F2CA4">
        <w:rPr>
          <w:lang w:val="es-ES"/>
        </w:rPr>
        <w:t> </w:t>
      </w:r>
      <w:r w:rsidRPr="00B237E2">
        <w:rPr>
          <w:lang w:val="es-ES"/>
        </w:rPr>
        <w:t xml:space="preserve">UIT sobre reducción de la brecha de normalización. </w:t>
      </w:r>
      <w:r w:rsidR="00533209" w:rsidRPr="00B237E2">
        <w:rPr>
          <w:lang w:val="es-ES"/>
        </w:rPr>
        <w:t>El tema del Día Mundial de las Telecomunicaciones y la Sociedad de la Información (DMTSI) de 2019 fue la "</w:t>
      </w:r>
      <w:hyperlink r:id="rId49" w:history="1">
        <w:r w:rsidR="00533209" w:rsidRPr="00B237E2">
          <w:rPr>
            <w:rStyle w:val="Hyperlink"/>
            <w:lang w:val="es-ES"/>
          </w:rPr>
          <w:t>Reducción de la brecha de normalización</w:t>
        </w:r>
      </w:hyperlink>
      <w:r w:rsidR="00533209" w:rsidRPr="00B237E2">
        <w:rPr>
          <w:lang w:val="es-ES"/>
        </w:rPr>
        <w:t xml:space="preserve">". Véase más información al respecto en la </w:t>
      </w:r>
      <w:bookmarkStart w:id="66" w:name="_Hlk95380657"/>
      <w:r w:rsidR="00DF1CE0">
        <w:fldChar w:fldCharType="begin"/>
      </w:r>
      <w:r w:rsidR="00060EB5">
        <w:instrText>HYPERLINK  \l "_1.11_Principales_eventos"</w:instrText>
      </w:r>
      <w:r w:rsidR="00DF1CE0">
        <w:fldChar w:fldCharType="separate"/>
      </w:r>
      <w:r w:rsidR="00533209" w:rsidRPr="00B237E2">
        <w:rPr>
          <w:rStyle w:val="Hyperlink"/>
          <w:lang w:val="es-ES"/>
        </w:rPr>
        <w:t>sección</w:t>
      </w:r>
      <w:r w:rsidR="00D63B64">
        <w:rPr>
          <w:rStyle w:val="Hyperlink"/>
          <w:lang w:val="es-ES"/>
        </w:rPr>
        <w:t> </w:t>
      </w:r>
      <w:r w:rsidR="00533209" w:rsidRPr="00B237E2">
        <w:rPr>
          <w:rStyle w:val="Hyperlink"/>
          <w:lang w:val="es-ES"/>
        </w:rPr>
        <w:t>1.11</w:t>
      </w:r>
      <w:r w:rsidR="00DF1CE0">
        <w:rPr>
          <w:rStyle w:val="Hyperlink"/>
          <w:lang w:val="es-ES"/>
        </w:rPr>
        <w:fldChar w:fldCharType="end"/>
      </w:r>
      <w:bookmarkEnd w:id="66"/>
      <w:r w:rsidR="00533209" w:rsidRPr="00B237E2">
        <w:rPr>
          <w:lang w:val="es-ES"/>
        </w:rPr>
        <w:t>.</w:t>
      </w:r>
    </w:p>
    <w:p w14:paraId="7475F05F" w14:textId="528575BB" w:rsidR="00823AB3" w:rsidRPr="00B237E2" w:rsidRDefault="00823AB3" w:rsidP="00E124B0">
      <w:pPr>
        <w:rPr>
          <w:lang w:val="es-ES"/>
        </w:rPr>
      </w:pPr>
      <w:r w:rsidRPr="00173E0B">
        <w:rPr>
          <w:lang w:val="es-ES"/>
        </w:rPr>
        <w:t>Diversas</w:t>
      </w:r>
      <w:r w:rsidRPr="00B237E2">
        <w:rPr>
          <w:lang w:val="es-ES"/>
        </w:rPr>
        <w:t xml:space="preserve"> plataformas abiertas –tales como grupos temáticos del UIT-T e iniciativas de colaboración de la índole de la Cumbre Mundial de </w:t>
      </w:r>
      <w:r w:rsidR="00693B94" w:rsidRPr="00693B94">
        <w:rPr>
          <w:lang w:val="es-ES"/>
        </w:rPr>
        <w:t>AI for Good</w:t>
      </w:r>
      <w:r w:rsidRPr="00B237E2">
        <w:rPr>
          <w:lang w:val="es-ES"/>
        </w:rPr>
        <w:t xml:space="preserve"> (véase la </w:t>
      </w:r>
      <w:hyperlink w:anchor="AI_for_Good" w:history="1">
        <w:r w:rsidRPr="00B237E2">
          <w:rPr>
            <w:rStyle w:val="Hyperlink"/>
            <w:lang w:val="es-ES"/>
          </w:rPr>
          <w:t>descripción</w:t>
        </w:r>
      </w:hyperlink>
      <w:r w:rsidRPr="00B237E2">
        <w:rPr>
          <w:lang w:val="es-ES"/>
        </w:rPr>
        <w:t xml:space="preserve"> en la </w:t>
      </w:r>
      <w:hyperlink w:anchor="_1.11_Principales_eventos" w:history="1">
        <w:r w:rsidR="00D63B64">
          <w:rPr>
            <w:rStyle w:val="Hyperlink"/>
            <w:lang w:val="es-ES"/>
          </w:rPr>
          <w:t>sección 1.11</w:t>
        </w:r>
      </w:hyperlink>
      <w:r w:rsidRPr="00B237E2">
        <w:rPr>
          <w:lang w:val="es-ES"/>
        </w:rPr>
        <w:t xml:space="preserve">), la Iniciativa Mundial para la moneda digital (véase el </w:t>
      </w:r>
      <w:hyperlink w:anchor="Resolution_204" w:history="1">
        <w:r w:rsidRPr="00B237E2">
          <w:rPr>
            <w:rStyle w:val="Hyperlink"/>
            <w:lang w:val="es-ES"/>
          </w:rPr>
          <w:t>Anexo 1 a la Resolución 204</w:t>
        </w:r>
      </w:hyperlink>
      <w:r w:rsidRPr="00B237E2">
        <w:rPr>
          <w:lang w:val="es-ES"/>
        </w:rPr>
        <w:t xml:space="preserve">); la Iniciativa Mundial para la Inclusión Financiera (véase el </w:t>
      </w:r>
      <w:hyperlink w:anchor="Resolution_204" w:history="1">
        <w:r w:rsidRPr="00B237E2">
          <w:rPr>
            <w:rStyle w:val="Hyperlink"/>
            <w:lang w:val="es-ES"/>
          </w:rPr>
          <w:t>Anexo 1 a la Resolución 204</w:t>
        </w:r>
      </w:hyperlink>
      <w:r w:rsidRPr="00B237E2">
        <w:rPr>
          <w:lang w:val="es-ES"/>
        </w:rPr>
        <w:t xml:space="preserve">) o la iniciativa "Unidos por las ciudades inteligentes y sostenibles" (véase la </w:t>
      </w:r>
      <w:hyperlink w:anchor="_1.9_Alianzas_estratégicas" w:history="1">
        <w:r w:rsidRPr="00B237E2">
          <w:rPr>
            <w:rStyle w:val="Hyperlink"/>
            <w:lang w:val="es-ES"/>
          </w:rPr>
          <w:t>sección 1.9</w:t>
        </w:r>
      </w:hyperlink>
      <w:r w:rsidRPr="00B237E2">
        <w:rPr>
          <w:lang w:val="es-ES"/>
        </w:rPr>
        <w:t xml:space="preserve">)– </w:t>
      </w:r>
      <w:r w:rsidR="00E62115" w:rsidRPr="00B237E2">
        <w:rPr>
          <w:lang w:val="es-ES"/>
        </w:rPr>
        <w:t>fomentan</w:t>
      </w:r>
      <w:r w:rsidRPr="00B237E2">
        <w:rPr>
          <w:lang w:val="es-ES"/>
        </w:rPr>
        <w:t xml:space="preserve"> nuevas asociaciones en ámbitos </w:t>
      </w:r>
      <w:r w:rsidR="00EE5736">
        <w:rPr>
          <w:lang w:val="es-ES"/>
        </w:rPr>
        <w:t>incipientes</w:t>
      </w:r>
      <w:r w:rsidRPr="00B237E2">
        <w:rPr>
          <w:lang w:val="es-ES"/>
        </w:rPr>
        <w:t xml:space="preserve"> de innovación en TIC y contribuyen a esclarecer el contenido de las contribuciones previstas en el marco de las actividades de normalización de la UIT.</w:t>
      </w:r>
    </w:p>
    <w:p w14:paraId="6B936E83" w14:textId="68F912F1" w:rsidR="00823AB3" w:rsidRPr="00B237E2" w:rsidRDefault="00957FDC" w:rsidP="007F2CA4">
      <w:pPr>
        <w:keepNext/>
        <w:keepLines/>
        <w:rPr>
          <w:u w:val="single"/>
          <w:lang w:val="es-ES"/>
        </w:rPr>
      </w:pPr>
      <w:r w:rsidRPr="00B237E2">
        <w:rPr>
          <w:u w:val="single"/>
          <w:lang w:val="es-ES"/>
        </w:rPr>
        <w:t xml:space="preserve">Actividad de los Grupos </w:t>
      </w:r>
      <w:r w:rsidR="00032987" w:rsidRPr="00B237E2">
        <w:rPr>
          <w:u w:val="single"/>
          <w:lang w:val="es-ES"/>
        </w:rPr>
        <w:t>T</w:t>
      </w:r>
      <w:r w:rsidRPr="00B237E2">
        <w:rPr>
          <w:u w:val="single"/>
          <w:lang w:val="es-ES"/>
        </w:rPr>
        <w:t>emáticos del UIT-T de</w:t>
      </w:r>
      <w:r w:rsidR="00533209" w:rsidRPr="00B237E2">
        <w:rPr>
          <w:u w:val="single"/>
          <w:lang w:val="es-ES"/>
        </w:rPr>
        <w:t xml:space="preserve"> 2018 </w:t>
      </w:r>
      <w:r w:rsidRPr="00B237E2">
        <w:rPr>
          <w:u w:val="single"/>
          <w:lang w:val="es-ES"/>
        </w:rPr>
        <w:t>a 2021</w:t>
      </w:r>
    </w:p>
    <w:p w14:paraId="464AC18E" w14:textId="290A4330" w:rsidR="00533209" w:rsidRPr="00EB7F22" w:rsidRDefault="00032987" w:rsidP="007F2CA4">
      <w:pPr>
        <w:spacing w:after="120"/>
        <w:rPr>
          <w:lang w:val="es-ES"/>
        </w:rPr>
      </w:pPr>
      <w:r w:rsidRPr="00054053">
        <w:rPr>
          <w:lang w:val="es-ES"/>
        </w:rPr>
        <w:t xml:space="preserve">En el cuadro siguiente se proporciona información sobre los Grupos Temáticos del UIT-T que desarrollaron su labor de 2018 a 2021. En la </w:t>
      </w:r>
      <w:hyperlink r:id="rId50" w:history="1">
        <w:r w:rsidRPr="009A4ED1">
          <w:rPr>
            <w:rStyle w:val="Hyperlink"/>
            <w:lang w:val="es-ES"/>
          </w:rPr>
          <w:t>página de inicio de los Grupos Temáticos</w:t>
        </w:r>
      </w:hyperlink>
      <w:r w:rsidRPr="00054053">
        <w:rPr>
          <w:lang w:val="es-ES"/>
        </w:rPr>
        <w:t xml:space="preserve"> puede obtenerse información suplementaria, </w:t>
      </w:r>
      <w:r w:rsidR="002401E7" w:rsidRPr="00054053">
        <w:rPr>
          <w:lang w:val="es-ES"/>
        </w:rPr>
        <w:t>incluidos</w:t>
      </w:r>
      <w:r w:rsidRPr="00054053">
        <w:rPr>
          <w:lang w:val="es-ES"/>
        </w:rPr>
        <w:t xml:space="preserve"> </w:t>
      </w:r>
      <w:r w:rsidR="002401E7" w:rsidRPr="00054053">
        <w:rPr>
          <w:lang w:val="es-ES"/>
        </w:rPr>
        <w:t>sus</w:t>
      </w:r>
      <w:r w:rsidRPr="00054053">
        <w:rPr>
          <w:lang w:val="es-ES"/>
        </w:rPr>
        <w:t xml:space="preserve"> </w:t>
      </w:r>
      <w:r w:rsidR="002401E7" w:rsidRPr="00054053">
        <w:rPr>
          <w:lang w:val="es-ES"/>
        </w:rPr>
        <w:t>productos finales</w:t>
      </w:r>
      <w:r w:rsidRPr="00054053">
        <w:rPr>
          <w:lang w:val="es-ES"/>
        </w:rPr>
        <w:t>.</w:t>
      </w:r>
    </w:p>
    <w:tbl>
      <w:tblPr>
        <w:tblW w:w="5003" w:type="pct"/>
        <w:jc w:val="center"/>
        <w:tblLayout w:type="fixed"/>
        <w:tblLook w:val="01E0" w:firstRow="1" w:lastRow="1" w:firstColumn="1" w:lastColumn="1" w:noHBand="0" w:noVBand="0"/>
      </w:tblPr>
      <w:tblGrid>
        <w:gridCol w:w="7372"/>
        <w:gridCol w:w="1120"/>
        <w:gridCol w:w="1143"/>
      </w:tblGrid>
      <w:tr w:rsidR="00533209" w:rsidRPr="007F2CA4" w14:paraId="4D361FCE" w14:textId="77777777" w:rsidTr="009B293E">
        <w:trPr>
          <w:jc w:val="center"/>
        </w:trPr>
        <w:tc>
          <w:tcPr>
            <w:tcW w:w="7372" w:type="dxa"/>
            <w:tcBorders>
              <w:top w:val="single" w:sz="4" w:space="0" w:color="5B9BD5"/>
              <w:left w:val="single" w:sz="4" w:space="0" w:color="5B9BD5"/>
              <w:bottom w:val="single" w:sz="4" w:space="0" w:color="5B9BD5"/>
              <w:right w:val="single" w:sz="4" w:space="0" w:color="5B9BD5"/>
            </w:tcBorders>
            <w:vAlign w:val="center"/>
            <w:hideMark/>
          </w:tcPr>
          <w:p w14:paraId="04B4229E" w14:textId="366C5274" w:rsidR="00533209" w:rsidRPr="00C12B29" w:rsidRDefault="00032987" w:rsidP="007F2CA4">
            <w:pPr>
              <w:pStyle w:val="Tablehead"/>
              <w:jc w:val="left"/>
              <w:rPr>
                <w:sz w:val="18"/>
                <w:szCs w:val="18"/>
                <w:lang w:val="es-ES"/>
              </w:rPr>
            </w:pPr>
            <w:r w:rsidRPr="007F2CA4">
              <w:rPr>
                <w:sz w:val="18"/>
                <w:szCs w:val="18"/>
                <w:lang w:val="es-ES"/>
              </w:rPr>
              <w:t>Grupo Temático del UIT-T (GT)</w:t>
            </w:r>
          </w:p>
        </w:tc>
        <w:tc>
          <w:tcPr>
            <w:tcW w:w="1120" w:type="dxa"/>
            <w:tcBorders>
              <w:top w:val="single" w:sz="4" w:space="0" w:color="5B9BD5"/>
              <w:bottom w:val="single" w:sz="4" w:space="0" w:color="5B9BD5"/>
            </w:tcBorders>
            <w:vAlign w:val="center"/>
            <w:hideMark/>
          </w:tcPr>
          <w:p w14:paraId="0DA0AF30" w14:textId="75763111" w:rsidR="00533209" w:rsidRPr="007F2CA4" w:rsidRDefault="00032987" w:rsidP="007F2CA4">
            <w:pPr>
              <w:pStyle w:val="Tablehead"/>
              <w:rPr>
                <w:sz w:val="18"/>
                <w:szCs w:val="18"/>
                <w:lang w:val="es-ES"/>
              </w:rPr>
            </w:pPr>
            <w:r w:rsidRPr="007F2CA4">
              <w:rPr>
                <w:sz w:val="18"/>
                <w:szCs w:val="18"/>
                <w:lang w:val="es-ES"/>
              </w:rPr>
              <w:t>Fecha de comienzo</w:t>
            </w:r>
          </w:p>
        </w:tc>
        <w:tc>
          <w:tcPr>
            <w:tcW w:w="1143" w:type="dxa"/>
            <w:tcBorders>
              <w:top w:val="single" w:sz="4" w:space="0" w:color="5B9BD5"/>
              <w:left w:val="single" w:sz="4" w:space="0" w:color="5B9BD5"/>
              <w:bottom w:val="single" w:sz="4" w:space="0" w:color="5B9BD5"/>
              <w:right w:val="single" w:sz="4" w:space="0" w:color="5B9BD5"/>
            </w:tcBorders>
            <w:vAlign w:val="center"/>
          </w:tcPr>
          <w:p w14:paraId="686D8938" w14:textId="2CEFBFD0" w:rsidR="00533209" w:rsidRPr="007F2CA4" w:rsidRDefault="00032987" w:rsidP="007F2CA4">
            <w:pPr>
              <w:pStyle w:val="Tablehead"/>
              <w:rPr>
                <w:sz w:val="18"/>
                <w:szCs w:val="18"/>
                <w:lang w:val="es-ES"/>
              </w:rPr>
            </w:pPr>
            <w:r w:rsidRPr="007F2CA4">
              <w:rPr>
                <w:sz w:val="18"/>
                <w:szCs w:val="18"/>
                <w:lang w:val="es-ES"/>
              </w:rPr>
              <w:t>Fecha de finalización</w:t>
            </w:r>
          </w:p>
        </w:tc>
      </w:tr>
      <w:tr w:rsidR="00533209" w:rsidRPr="00B237E2" w14:paraId="2E163007" w14:textId="77777777" w:rsidTr="009B293E">
        <w:trPr>
          <w:jc w:val="center"/>
        </w:trPr>
        <w:tc>
          <w:tcPr>
            <w:tcW w:w="7372" w:type="dxa"/>
            <w:tcBorders>
              <w:top w:val="single" w:sz="4" w:space="0" w:color="5B9BD5"/>
              <w:left w:val="single" w:sz="4" w:space="0" w:color="5B9BD5"/>
              <w:bottom w:val="single" w:sz="4" w:space="0" w:color="5B9BD5"/>
              <w:right w:val="single" w:sz="4" w:space="0" w:color="5B9BD5"/>
            </w:tcBorders>
            <w:shd w:val="clear" w:color="auto" w:fill="B6C8E8"/>
          </w:tcPr>
          <w:p w14:paraId="306F0258" w14:textId="0735E338" w:rsidR="00533209" w:rsidRPr="00C12B29" w:rsidRDefault="00AF6115" w:rsidP="003624F7">
            <w:pPr>
              <w:pStyle w:val="Tabletext"/>
              <w:rPr>
                <w:sz w:val="18"/>
                <w:szCs w:val="18"/>
              </w:rPr>
            </w:pPr>
            <w:hyperlink r:id="rId51" w:history="1">
              <w:r w:rsidR="00533209" w:rsidRPr="003624F7">
                <w:rPr>
                  <w:rStyle w:val="Hyperlink"/>
                  <w:sz w:val="18"/>
                  <w:szCs w:val="18"/>
                </w:rPr>
                <w:t>Grupo Temático del UIT-T para el tratamiento y la gestión de datos con miras a dar soporte a la Internet de las cosas y a las ciudades y comunidades inteligentes (</w:t>
              </w:r>
              <w:r w:rsidR="00533209" w:rsidRPr="00392A9C">
                <w:rPr>
                  <w:rStyle w:val="Hyperlink"/>
                  <w:sz w:val="18"/>
                  <w:szCs w:val="18"/>
                </w:rPr>
                <w:t>FG</w:t>
              </w:r>
              <w:r w:rsidR="003624F7" w:rsidRPr="003624F7">
                <w:rPr>
                  <w:rStyle w:val="Hyperlink"/>
                  <w:sz w:val="18"/>
                  <w:szCs w:val="18"/>
                </w:rPr>
                <w:noBreakHyphen/>
              </w:r>
              <w:r w:rsidR="00533209" w:rsidRPr="003624F7">
                <w:rPr>
                  <w:rStyle w:val="Hyperlink"/>
                  <w:sz w:val="18"/>
                  <w:szCs w:val="18"/>
                </w:rPr>
                <w:t>DPM)</w:t>
              </w:r>
            </w:hyperlink>
          </w:p>
        </w:tc>
        <w:tc>
          <w:tcPr>
            <w:tcW w:w="1120" w:type="dxa"/>
            <w:tcBorders>
              <w:top w:val="single" w:sz="4" w:space="0" w:color="5B9BD5"/>
              <w:left w:val="single" w:sz="4" w:space="0" w:color="5B9BD5"/>
              <w:bottom w:val="single" w:sz="4" w:space="0" w:color="5B9BD5"/>
              <w:right w:val="single" w:sz="4" w:space="0" w:color="5B9BD5"/>
            </w:tcBorders>
            <w:shd w:val="clear" w:color="auto" w:fill="B6C8E8"/>
          </w:tcPr>
          <w:p w14:paraId="2DB9C203" w14:textId="2E57EA96" w:rsidR="00533209" w:rsidRPr="007F2CA4" w:rsidRDefault="00184251" w:rsidP="007F2CA4">
            <w:pPr>
              <w:pStyle w:val="Tabletext"/>
              <w:jc w:val="center"/>
              <w:rPr>
                <w:sz w:val="18"/>
                <w:szCs w:val="18"/>
              </w:rPr>
            </w:pPr>
            <w:r>
              <w:rPr>
                <w:sz w:val="18"/>
                <w:szCs w:val="18"/>
              </w:rPr>
              <w:t>03/</w:t>
            </w:r>
            <w:r w:rsidR="00533209" w:rsidRPr="007F2CA4">
              <w:rPr>
                <w:sz w:val="18"/>
                <w:szCs w:val="18"/>
              </w:rPr>
              <w:t>2017</w:t>
            </w:r>
          </w:p>
        </w:tc>
        <w:tc>
          <w:tcPr>
            <w:tcW w:w="1143" w:type="dxa"/>
            <w:tcBorders>
              <w:top w:val="single" w:sz="4" w:space="0" w:color="5B9BD5"/>
              <w:left w:val="single" w:sz="4" w:space="0" w:color="5B9BD5"/>
              <w:bottom w:val="single" w:sz="4" w:space="0" w:color="5B9BD5"/>
              <w:right w:val="single" w:sz="4" w:space="0" w:color="5B9BD5"/>
            </w:tcBorders>
            <w:shd w:val="clear" w:color="auto" w:fill="B6C8E8"/>
          </w:tcPr>
          <w:p w14:paraId="4A54B0F9" w14:textId="1C9FBBCE" w:rsidR="00533209" w:rsidRPr="007F2CA4" w:rsidRDefault="00184251" w:rsidP="007F2CA4">
            <w:pPr>
              <w:pStyle w:val="Tabletext"/>
              <w:jc w:val="center"/>
              <w:rPr>
                <w:sz w:val="18"/>
                <w:szCs w:val="18"/>
              </w:rPr>
            </w:pPr>
            <w:r>
              <w:rPr>
                <w:sz w:val="18"/>
                <w:szCs w:val="18"/>
              </w:rPr>
              <w:t>07/</w:t>
            </w:r>
            <w:r w:rsidR="00533209" w:rsidRPr="007F2CA4">
              <w:rPr>
                <w:sz w:val="18"/>
                <w:szCs w:val="18"/>
              </w:rPr>
              <w:t>2019</w:t>
            </w:r>
          </w:p>
        </w:tc>
      </w:tr>
      <w:tr w:rsidR="00533209" w:rsidRPr="00B237E2" w14:paraId="36A853C1" w14:textId="77777777" w:rsidTr="009B293E">
        <w:trPr>
          <w:jc w:val="center"/>
        </w:trPr>
        <w:tc>
          <w:tcPr>
            <w:tcW w:w="7372" w:type="dxa"/>
            <w:tcBorders>
              <w:top w:val="single" w:sz="4" w:space="0" w:color="5B9BD5"/>
              <w:left w:val="single" w:sz="4" w:space="0" w:color="5B9BD5"/>
              <w:bottom w:val="single" w:sz="4" w:space="0" w:color="5B9BD5"/>
              <w:right w:val="single" w:sz="4" w:space="0" w:color="5B9BD5"/>
            </w:tcBorders>
          </w:tcPr>
          <w:p w14:paraId="243D41C7" w14:textId="0B854518" w:rsidR="00533209" w:rsidRPr="00C12B29" w:rsidRDefault="00AF6115" w:rsidP="003624F7">
            <w:pPr>
              <w:pStyle w:val="Tabletext"/>
              <w:rPr>
                <w:sz w:val="18"/>
                <w:szCs w:val="18"/>
              </w:rPr>
            </w:pPr>
            <w:hyperlink r:id="rId52" w:history="1">
              <w:r w:rsidR="00533209" w:rsidRPr="003624F7">
                <w:rPr>
                  <w:rStyle w:val="Hyperlink"/>
                  <w:sz w:val="18"/>
                  <w:szCs w:val="18"/>
                </w:rPr>
                <w:t xml:space="preserve">Grupo Temático del UIT-T sobre divisa digital, incluida la divisa digital </w:t>
              </w:r>
              <w:r w:rsidR="00032987" w:rsidRPr="003624F7">
                <w:rPr>
                  <w:rStyle w:val="Hyperlink"/>
                  <w:sz w:val="18"/>
                  <w:szCs w:val="18"/>
                </w:rPr>
                <w:t>F</w:t>
              </w:r>
              <w:r w:rsidR="00533209" w:rsidRPr="003624F7">
                <w:rPr>
                  <w:rStyle w:val="Hyperlink"/>
                  <w:sz w:val="18"/>
                  <w:szCs w:val="18"/>
                </w:rPr>
                <w:t>iat (</w:t>
              </w:r>
              <w:r w:rsidR="00533209" w:rsidRPr="00392A9C">
                <w:rPr>
                  <w:rStyle w:val="Hyperlink"/>
                  <w:sz w:val="18"/>
                  <w:szCs w:val="18"/>
                </w:rPr>
                <w:t>FG</w:t>
              </w:r>
              <w:r w:rsidR="00533209" w:rsidRPr="003624F7">
                <w:rPr>
                  <w:rStyle w:val="Hyperlink"/>
                  <w:sz w:val="18"/>
                  <w:szCs w:val="18"/>
                </w:rPr>
                <w:noBreakHyphen/>
                <w:t>DFC)</w:t>
              </w:r>
            </w:hyperlink>
          </w:p>
        </w:tc>
        <w:tc>
          <w:tcPr>
            <w:tcW w:w="1120" w:type="dxa"/>
            <w:tcBorders>
              <w:top w:val="single" w:sz="4" w:space="0" w:color="5B9BD5"/>
              <w:bottom w:val="single" w:sz="4" w:space="0" w:color="5B9BD5"/>
            </w:tcBorders>
          </w:tcPr>
          <w:p w14:paraId="5D1142D6" w14:textId="16252DC8" w:rsidR="00533209" w:rsidRPr="007F2CA4" w:rsidRDefault="00184251" w:rsidP="007F2CA4">
            <w:pPr>
              <w:pStyle w:val="Tabletext"/>
              <w:jc w:val="center"/>
              <w:rPr>
                <w:sz w:val="18"/>
                <w:szCs w:val="18"/>
              </w:rPr>
            </w:pPr>
            <w:r>
              <w:rPr>
                <w:sz w:val="18"/>
                <w:szCs w:val="18"/>
              </w:rPr>
              <w:t>05/</w:t>
            </w:r>
            <w:r w:rsidR="00533209" w:rsidRPr="007F2CA4">
              <w:rPr>
                <w:sz w:val="18"/>
                <w:szCs w:val="18"/>
              </w:rPr>
              <w:t>2017</w:t>
            </w:r>
          </w:p>
        </w:tc>
        <w:tc>
          <w:tcPr>
            <w:tcW w:w="1143" w:type="dxa"/>
            <w:tcBorders>
              <w:top w:val="single" w:sz="4" w:space="0" w:color="5B9BD5"/>
              <w:left w:val="single" w:sz="4" w:space="0" w:color="5B9BD5"/>
              <w:bottom w:val="single" w:sz="4" w:space="0" w:color="5B9BD5"/>
              <w:right w:val="single" w:sz="4" w:space="0" w:color="5B9BD5"/>
            </w:tcBorders>
          </w:tcPr>
          <w:p w14:paraId="7A3DF9E2" w14:textId="23DA344D" w:rsidR="00533209" w:rsidRPr="007F2CA4" w:rsidRDefault="00184251" w:rsidP="007F2CA4">
            <w:pPr>
              <w:pStyle w:val="Tabletext"/>
              <w:jc w:val="center"/>
              <w:rPr>
                <w:sz w:val="18"/>
                <w:szCs w:val="18"/>
              </w:rPr>
            </w:pPr>
            <w:r>
              <w:rPr>
                <w:sz w:val="18"/>
                <w:szCs w:val="18"/>
              </w:rPr>
              <w:t>06/</w:t>
            </w:r>
            <w:r w:rsidR="00533209" w:rsidRPr="007F2CA4">
              <w:rPr>
                <w:sz w:val="18"/>
                <w:szCs w:val="18"/>
              </w:rPr>
              <w:t>2019</w:t>
            </w:r>
          </w:p>
        </w:tc>
      </w:tr>
      <w:tr w:rsidR="00533209" w:rsidRPr="00B237E2" w14:paraId="05160FCC" w14:textId="77777777" w:rsidTr="009B293E">
        <w:trPr>
          <w:jc w:val="center"/>
        </w:trPr>
        <w:tc>
          <w:tcPr>
            <w:tcW w:w="7372" w:type="dxa"/>
            <w:tcBorders>
              <w:top w:val="single" w:sz="4" w:space="0" w:color="5B9BD5"/>
              <w:left w:val="single" w:sz="4" w:space="0" w:color="5B9BD5"/>
              <w:bottom w:val="single" w:sz="4" w:space="0" w:color="5B9BD5"/>
              <w:right w:val="single" w:sz="4" w:space="0" w:color="5B9BD5"/>
            </w:tcBorders>
            <w:shd w:val="clear" w:color="auto" w:fill="B6C8E8"/>
          </w:tcPr>
          <w:p w14:paraId="72A1E84E" w14:textId="2155A42F" w:rsidR="00533209" w:rsidRPr="00C12B29" w:rsidRDefault="00AF6115" w:rsidP="003624F7">
            <w:pPr>
              <w:pStyle w:val="Tabletext"/>
              <w:rPr>
                <w:sz w:val="18"/>
                <w:szCs w:val="18"/>
              </w:rPr>
            </w:pPr>
            <w:hyperlink r:id="rId53" w:history="1">
              <w:r w:rsidR="00533209" w:rsidRPr="003624F7">
                <w:rPr>
                  <w:rStyle w:val="Hyperlink"/>
                  <w:sz w:val="18"/>
                  <w:szCs w:val="18"/>
                </w:rPr>
                <w:t>Grupo Temático del UIT-T sobre la aplicación de la tecnología de libro mayor distribuido (FG</w:t>
              </w:r>
              <w:r w:rsidR="00DA44C6">
                <w:rPr>
                  <w:rStyle w:val="Hyperlink"/>
                  <w:sz w:val="18"/>
                  <w:szCs w:val="18"/>
                </w:rPr>
                <w:noBreakHyphen/>
              </w:r>
              <w:r w:rsidR="00533209" w:rsidRPr="003624F7">
                <w:rPr>
                  <w:rStyle w:val="Hyperlink"/>
                  <w:sz w:val="18"/>
                  <w:szCs w:val="18"/>
                </w:rPr>
                <w:t>DLT)</w:t>
              </w:r>
            </w:hyperlink>
          </w:p>
        </w:tc>
        <w:tc>
          <w:tcPr>
            <w:tcW w:w="1120" w:type="dxa"/>
            <w:tcBorders>
              <w:top w:val="single" w:sz="4" w:space="0" w:color="5B9BD5"/>
              <w:left w:val="single" w:sz="4" w:space="0" w:color="5B9BD5"/>
              <w:bottom w:val="single" w:sz="4" w:space="0" w:color="5B9BD5"/>
              <w:right w:val="single" w:sz="4" w:space="0" w:color="5B9BD5"/>
            </w:tcBorders>
            <w:shd w:val="clear" w:color="auto" w:fill="B6C8E8"/>
          </w:tcPr>
          <w:p w14:paraId="4859E655" w14:textId="1F371A7C" w:rsidR="00533209" w:rsidRPr="007F2CA4" w:rsidRDefault="00184251" w:rsidP="007F2CA4">
            <w:pPr>
              <w:pStyle w:val="Tabletext"/>
              <w:jc w:val="center"/>
              <w:rPr>
                <w:sz w:val="18"/>
                <w:szCs w:val="18"/>
              </w:rPr>
            </w:pPr>
            <w:r>
              <w:rPr>
                <w:sz w:val="18"/>
                <w:szCs w:val="18"/>
              </w:rPr>
              <w:t>05/</w:t>
            </w:r>
            <w:r w:rsidRPr="007F2CA4">
              <w:rPr>
                <w:sz w:val="18"/>
                <w:szCs w:val="18"/>
              </w:rPr>
              <w:t>2017</w:t>
            </w:r>
          </w:p>
        </w:tc>
        <w:tc>
          <w:tcPr>
            <w:tcW w:w="1143" w:type="dxa"/>
            <w:tcBorders>
              <w:top w:val="single" w:sz="4" w:space="0" w:color="5B9BD5"/>
              <w:left w:val="single" w:sz="4" w:space="0" w:color="5B9BD5"/>
              <w:bottom w:val="single" w:sz="4" w:space="0" w:color="5B9BD5"/>
              <w:right w:val="single" w:sz="4" w:space="0" w:color="5B9BD5"/>
            </w:tcBorders>
            <w:shd w:val="clear" w:color="auto" w:fill="B6C8E8"/>
          </w:tcPr>
          <w:p w14:paraId="3BE6173B" w14:textId="3D3E0D8F" w:rsidR="00533209" w:rsidRPr="007F2CA4" w:rsidRDefault="00184251" w:rsidP="007F2CA4">
            <w:pPr>
              <w:pStyle w:val="Tabletext"/>
              <w:jc w:val="center"/>
              <w:rPr>
                <w:sz w:val="18"/>
                <w:szCs w:val="18"/>
              </w:rPr>
            </w:pPr>
            <w:r>
              <w:rPr>
                <w:sz w:val="18"/>
                <w:szCs w:val="18"/>
              </w:rPr>
              <w:t>08/</w:t>
            </w:r>
            <w:r w:rsidR="00533209" w:rsidRPr="007F2CA4">
              <w:rPr>
                <w:sz w:val="18"/>
                <w:szCs w:val="18"/>
              </w:rPr>
              <w:t>2019</w:t>
            </w:r>
          </w:p>
        </w:tc>
      </w:tr>
      <w:tr w:rsidR="00533209" w:rsidRPr="00B237E2" w14:paraId="198C0831" w14:textId="77777777" w:rsidTr="009B293E">
        <w:trPr>
          <w:jc w:val="center"/>
        </w:trPr>
        <w:tc>
          <w:tcPr>
            <w:tcW w:w="7372" w:type="dxa"/>
            <w:tcBorders>
              <w:top w:val="single" w:sz="4" w:space="0" w:color="5B9BD5"/>
              <w:left w:val="single" w:sz="4" w:space="0" w:color="5B9BD5"/>
              <w:bottom w:val="single" w:sz="4" w:space="0" w:color="5B9BD5"/>
              <w:right w:val="single" w:sz="4" w:space="0" w:color="5B9BD5"/>
            </w:tcBorders>
          </w:tcPr>
          <w:p w14:paraId="3A68C506" w14:textId="363740E9" w:rsidR="00533209" w:rsidRPr="00C12B29" w:rsidRDefault="00AF6115" w:rsidP="003624F7">
            <w:pPr>
              <w:pStyle w:val="Tabletext"/>
              <w:rPr>
                <w:sz w:val="18"/>
                <w:szCs w:val="18"/>
              </w:rPr>
            </w:pPr>
            <w:hyperlink r:id="rId54" w:history="1">
              <w:r w:rsidR="00533209" w:rsidRPr="003624F7">
                <w:rPr>
                  <w:rStyle w:val="Hyperlink"/>
                  <w:sz w:val="18"/>
                  <w:szCs w:val="18"/>
                </w:rPr>
                <w:t xml:space="preserve">Grupo Temático del UIT-T sobre </w:t>
              </w:r>
              <w:r w:rsidR="00CF21FF" w:rsidRPr="003624F7">
                <w:rPr>
                  <w:rStyle w:val="Hyperlink"/>
                  <w:sz w:val="18"/>
                  <w:szCs w:val="18"/>
                </w:rPr>
                <w:t>t</w:t>
              </w:r>
              <w:r w:rsidR="00533209" w:rsidRPr="003624F7">
                <w:rPr>
                  <w:rStyle w:val="Hyperlink"/>
                  <w:sz w:val="18"/>
                  <w:szCs w:val="18"/>
                </w:rPr>
                <w:t>ecnologías de red 2030 (FG-NET</w:t>
              </w:r>
              <w:r w:rsidR="003624F7">
                <w:rPr>
                  <w:rStyle w:val="Hyperlink"/>
                  <w:sz w:val="18"/>
                  <w:szCs w:val="18"/>
                </w:rPr>
                <w:t>-</w:t>
              </w:r>
              <w:r w:rsidR="00533209" w:rsidRPr="003624F7">
                <w:rPr>
                  <w:rStyle w:val="Hyperlink"/>
                  <w:sz w:val="18"/>
                  <w:szCs w:val="18"/>
                </w:rPr>
                <w:t>2030)</w:t>
              </w:r>
            </w:hyperlink>
          </w:p>
        </w:tc>
        <w:tc>
          <w:tcPr>
            <w:tcW w:w="1120" w:type="dxa"/>
            <w:tcBorders>
              <w:top w:val="single" w:sz="4" w:space="0" w:color="5B9BD5"/>
              <w:bottom w:val="single" w:sz="4" w:space="0" w:color="5B9BD5"/>
            </w:tcBorders>
          </w:tcPr>
          <w:p w14:paraId="605B4EB2" w14:textId="13CA2927" w:rsidR="00533209" w:rsidRPr="007F2CA4" w:rsidRDefault="00184251" w:rsidP="007F2CA4">
            <w:pPr>
              <w:pStyle w:val="Tabletext"/>
              <w:jc w:val="center"/>
              <w:rPr>
                <w:sz w:val="18"/>
                <w:szCs w:val="18"/>
              </w:rPr>
            </w:pPr>
            <w:r>
              <w:rPr>
                <w:sz w:val="18"/>
                <w:szCs w:val="18"/>
              </w:rPr>
              <w:t>07/</w:t>
            </w:r>
            <w:r w:rsidR="00533209" w:rsidRPr="007F2CA4">
              <w:rPr>
                <w:sz w:val="18"/>
                <w:szCs w:val="18"/>
              </w:rPr>
              <w:t>2018</w:t>
            </w:r>
          </w:p>
        </w:tc>
        <w:tc>
          <w:tcPr>
            <w:tcW w:w="1143" w:type="dxa"/>
            <w:tcBorders>
              <w:top w:val="single" w:sz="4" w:space="0" w:color="5B9BD5"/>
              <w:left w:val="single" w:sz="4" w:space="0" w:color="5B9BD5"/>
              <w:bottom w:val="single" w:sz="4" w:space="0" w:color="5B9BD5"/>
              <w:right w:val="single" w:sz="4" w:space="0" w:color="5B9BD5"/>
            </w:tcBorders>
          </w:tcPr>
          <w:p w14:paraId="29E6E280" w14:textId="215E833A" w:rsidR="00533209" w:rsidRPr="007F2CA4" w:rsidRDefault="00184251" w:rsidP="007F2CA4">
            <w:pPr>
              <w:pStyle w:val="Tabletext"/>
              <w:jc w:val="center"/>
              <w:rPr>
                <w:sz w:val="18"/>
                <w:szCs w:val="18"/>
              </w:rPr>
            </w:pPr>
            <w:r>
              <w:rPr>
                <w:sz w:val="18"/>
                <w:szCs w:val="18"/>
              </w:rPr>
              <w:t>07/</w:t>
            </w:r>
            <w:r w:rsidR="00533209" w:rsidRPr="007F2CA4">
              <w:rPr>
                <w:sz w:val="18"/>
                <w:szCs w:val="18"/>
              </w:rPr>
              <w:t>2020</w:t>
            </w:r>
          </w:p>
        </w:tc>
      </w:tr>
      <w:tr w:rsidR="00A1286B" w:rsidRPr="00B237E2" w14:paraId="7BC29061" w14:textId="77777777" w:rsidTr="009B293E">
        <w:trPr>
          <w:jc w:val="center"/>
        </w:trPr>
        <w:tc>
          <w:tcPr>
            <w:tcW w:w="7372" w:type="dxa"/>
            <w:tcBorders>
              <w:top w:val="single" w:sz="4" w:space="0" w:color="5B9BD5"/>
              <w:left w:val="single" w:sz="4" w:space="0" w:color="5B9BD5"/>
              <w:bottom w:val="single" w:sz="4" w:space="0" w:color="5B9BD5"/>
              <w:right w:val="single" w:sz="4" w:space="0" w:color="5B9BD5"/>
            </w:tcBorders>
            <w:shd w:val="clear" w:color="auto" w:fill="B6C8E8"/>
          </w:tcPr>
          <w:p w14:paraId="56206257" w14:textId="5DC2A68A" w:rsidR="00533209" w:rsidRPr="003624F7" w:rsidRDefault="00AF6115" w:rsidP="003624F7">
            <w:pPr>
              <w:pStyle w:val="Tabletext"/>
              <w:rPr>
                <w:sz w:val="18"/>
                <w:szCs w:val="18"/>
              </w:rPr>
            </w:pPr>
            <w:hyperlink r:id="rId55" w:history="1">
              <w:r w:rsidR="00DA44C6" w:rsidRPr="003624F7">
                <w:rPr>
                  <w:rStyle w:val="Hyperlink"/>
                  <w:sz w:val="18"/>
                  <w:szCs w:val="18"/>
                </w:rPr>
                <w:t>Grupo Temático sobre multimedios en vehículos (FG-VM)</w:t>
              </w:r>
            </w:hyperlink>
          </w:p>
        </w:tc>
        <w:tc>
          <w:tcPr>
            <w:tcW w:w="1120" w:type="dxa"/>
            <w:tcBorders>
              <w:top w:val="single" w:sz="4" w:space="0" w:color="5B9BD5"/>
              <w:left w:val="single" w:sz="4" w:space="0" w:color="5B9BD5"/>
              <w:bottom w:val="single" w:sz="4" w:space="0" w:color="5B9BD5"/>
              <w:right w:val="single" w:sz="4" w:space="0" w:color="5B9BD5"/>
            </w:tcBorders>
            <w:shd w:val="clear" w:color="auto" w:fill="B6C8E8"/>
          </w:tcPr>
          <w:p w14:paraId="33698889" w14:textId="6EBC20D0" w:rsidR="00533209" w:rsidRPr="007F2CA4" w:rsidRDefault="00DA44C6" w:rsidP="007F2CA4">
            <w:pPr>
              <w:pStyle w:val="Tabletext"/>
              <w:jc w:val="center"/>
              <w:rPr>
                <w:sz w:val="18"/>
                <w:szCs w:val="18"/>
              </w:rPr>
            </w:pPr>
            <w:r>
              <w:rPr>
                <w:sz w:val="18"/>
                <w:szCs w:val="18"/>
              </w:rPr>
              <w:t>07/</w:t>
            </w:r>
            <w:r w:rsidRPr="007F2CA4">
              <w:rPr>
                <w:sz w:val="18"/>
                <w:szCs w:val="18"/>
              </w:rPr>
              <w:t>2018</w:t>
            </w:r>
          </w:p>
        </w:tc>
        <w:tc>
          <w:tcPr>
            <w:tcW w:w="1143" w:type="dxa"/>
            <w:tcBorders>
              <w:top w:val="single" w:sz="4" w:space="0" w:color="5B9BD5"/>
              <w:left w:val="single" w:sz="4" w:space="0" w:color="5B9BD5"/>
              <w:bottom w:val="single" w:sz="4" w:space="0" w:color="5B9BD5"/>
              <w:right w:val="single" w:sz="4" w:space="0" w:color="5B9BD5"/>
            </w:tcBorders>
            <w:shd w:val="clear" w:color="auto" w:fill="B6C8E8"/>
          </w:tcPr>
          <w:p w14:paraId="72A7BCF1" w14:textId="6B24660A" w:rsidR="00533209" w:rsidRPr="007F2CA4" w:rsidRDefault="00DA44C6" w:rsidP="007F2CA4">
            <w:pPr>
              <w:pStyle w:val="Tabletext"/>
              <w:jc w:val="center"/>
              <w:rPr>
                <w:sz w:val="18"/>
                <w:szCs w:val="18"/>
              </w:rPr>
            </w:pPr>
            <w:r w:rsidRPr="007F2CA4">
              <w:rPr>
                <w:sz w:val="18"/>
                <w:szCs w:val="18"/>
              </w:rPr>
              <w:t>En curso</w:t>
            </w:r>
          </w:p>
        </w:tc>
      </w:tr>
      <w:tr w:rsidR="00533209" w:rsidRPr="00B237E2" w14:paraId="16924F85" w14:textId="77777777" w:rsidTr="009B293E">
        <w:trPr>
          <w:jc w:val="center"/>
        </w:trPr>
        <w:tc>
          <w:tcPr>
            <w:tcW w:w="7372" w:type="dxa"/>
            <w:tcBorders>
              <w:top w:val="single" w:sz="4" w:space="0" w:color="5B9BD5"/>
              <w:left w:val="single" w:sz="4" w:space="0" w:color="5B9BD5"/>
              <w:bottom w:val="single" w:sz="4" w:space="0" w:color="5B9BD5"/>
              <w:right w:val="single" w:sz="4" w:space="0" w:color="5B9BD5"/>
            </w:tcBorders>
          </w:tcPr>
          <w:p w14:paraId="66521CE9" w14:textId="2EFA5339" w:rsidR="00533209" w:rsidRPr="00C12B29" w:rsidRDefault="00AF6115" w:rsidP="003624F7">
            <w:pPr>
              <w:pStyle w:val="Tabletext"/>
              <w:rPr>
                <w:sz w:val="18"/>
                <w:szCs w:val="18"/>
              </w:rPr>
            </w:pPr>
            <w:hyperlink r:id="rId56" w:history="1">
              <w:r w:rsidR="00DA44C6" w:rsidRPr="003624F7">
                <w:rPr>
                  <w:rStyle w:val="Hyperlink"/>
                  <w:sz w:val="18"/>
                  <w:szCs w:val="18"/>
                </w:rPr>
                <w:t>Grupo Temático sobre inteligencia artificial para la salud (FG-AI4H)</w:t>
              </w:r>
            </w:hyperlink>
          </w:p>
        </w:tc>
        <w:tc>
          <w:tcPr>
            <w:tcW w:w="1120" w:type="dxa"/>
            <w:tcBorders>
              <w:top w:val="single" w:sz="4" w:space="0" w:color="5B9BD5"/>
              <w:bottom w:val="single" w:sz="4" w:space="0" w:color="5B9BD5"/>
            </w:tcBorders>
          </w:tcPr>
          <w:p w14:paraId="772BF93F" w14:textId="12CA5080" w:rsidR="00533209" w:rsidRPr="007F2CA4" w:rsidRDefault="00DA44C6" w:rsidP="007F2CA4">
            <w:pPr>
              <w:pStyle w:val="Tabletext"/>
              <w:jc w:val="center"/>
              <w:rPr>
                <w:sz w:val="18"/>
                <w:szCs w:val="18"/>
              </w:rPr>
            </w:pPr>
            <w:r>
              <w:rPr>
                <w:sz w:val="18"/>
                <w:szCs w:val="18"/>
              </w:rPr>
              <w:t>07/</w:t>
            </w:r>
            <w:r w:rsidRPr="007F2CA4">
              <w:rPr>
                <w:sz w:val="18"/>
                <w:szCs w:val="18"/>
              </w:rPr>
              <w:t>2018</w:t>
            </w:r>
          </w:p>
        </w:tc>
        <w:tc>
          <w:tcPr>
            <w:tcW w:w="1143" w:type="dxa"/>
            <w:tcBorders>
              <w:top w:val="single" w:sz="4" w:space="0" w:color="5B9BD5"/>
              <w:left w:val="single" w:sz="4" w:space="0" w:color="5B9BD5"/>
              <w:bottom w:val="single" w:sz="4" w:space="0" w:color="5B9BD5"/>
              <w:right w:val="single" w:sz="4" w:space="0" w:color="5B9BD5"/>
            </w:tcBorders>
          </w:tcPr>
          <w:p w14:paraId="6D05E796" w14:textId="32064276" w:rsidR="00533209" w:rsidRPr="007F2CA4" w:rsidRDefault="00DA44C6" w:rsidP="007F2CA4">
            <w:pPr>
              <w:pStyle w:val="Tabletext"/>
              <w:jc w:val="center"/>
              <w:rPr>
                <w:sz w:val="18"/>
                <w:szCs w:val="18"/>
              </w:rPr>
            </w:pPr>
            <w:r w:rsidRPr="007F2CA4">
              <w:rPr>
                <w:sz w:val="18"/>
                <w:szCs w:val="18"/>
              </w:rPr>
              <w:t>En curso</w:t>
            </w:r>
          </w:p>
        </w:tc>
      </w:tr>
      <w:tr w:rsidR="00533209" w:rsidRPr="00B237E2" w14:paraId="66F52DCD" w14:textId="77777777" w:rsidTr="009B293E">
        <w:trPr>
          <w:jc w:val="center"/>
        </w:trPr>
        <w:tc>
          <w:tcPr>
            <w:tcW w:w="7372" w:type="dxa"/>
            <w:tcBorders>
              <w:top w:val="single" w:sz="4" w:space="0" w:color="5B9BD5"/>
              <w:left w:val="single" w:sz="4" w:space="0" w:color="5B9BD5"/>
              <w:bottom w:val="single" w:sz="4" w:space="0" w:color="5B9BD5"/>
              <w:right w:val="single" w:sz="4" w:space="0" w:color="5B9BD5"/>
            </w:tcBorders>
            <w:shd w:val="clear" w:color="auto" w:fill="B6C8E8"/>
          </w:tcPr>
          <w:p w14:paraId="7C413FDD" w14:textId="5388C895" w:rsidR="00533209" w:rsidRPr="00C12B29" w:rsidRDefault="00AF6115" w:rsidP="003624F7">
            <w:pPr>
              <w:pStyle w:val="Tabletext"/>
              <w:rPr>
                <w:sz w:val="18"/>
                <w:szCs w:val="18"/>
              </w:rPr>
            </w:pPr>
            <w:hyperlink r:id="rId57" w:history="1">
              <w:r w:rsidR="00DA44C6" w:rsidRPr="00184251">
                <w:rPr>
                  <w:rStyle w:val="Hyperlink"/>
                  <w:sz w:val="18"/>
                  <w:szCs w:val="18"/>
                </w:rPr>
                <w:t>Grupo Temático sobre aprendizaje automático para redes futuras, incluidas las 5G (FG</w:t>
              </w:r>
              <w:r w:rsidR="00DA44C6" w:rsidRPr="00184251">
                <w:rPr>
                  <w:rStyle w:val="Hyperlink"/>
                  <w:sz w:val="18"/>
                  <w:szCs w:val="18"/>
                </w:rPr>
                <w:noBreakHyphen/>
                <w:t>ML5G)</w:t>
              </w:r>
            </w:hyperlink>
          </w:p>
        </w:tc>
        <w:tc>
          <w:tcPr>
            <w:tcW w:w="1120" w:type="dxa"/>
            <w:tcBorders>
              <w:top w:val="single" w:sz="4" w:space="0" w:color="5B9BD5"/>
              <w:left w:val="single" w:sz="4" w:space="0" w:color="5B9BD5"/>
              <w:bottom w:val="single" w:sz="4" w:space="0" w:color="5B9BD5"/>
              <w:right w:val="single" w:sz="4" w:space="0" w:color="5B9BD5"/>
            </w:tcBorders>
            <w:shd w:val="clear" w:color="auto" w:fill="B6C8E8"/>
          </w:tcPr>
          <w:p w14:paraId="6E3BF5F2" w14:textId="77A93F72" w:rsidR="00533209" w:rsidRPr="007F2CA4" w:rsidRDefault="00DA44C6" w:rsidP="007F2CA4">
            <w:pPr>
              <w:pStyle w:val="Tabletext"/>
              <w:jc w:val="center"/>
              <w:rPr>
                <w:sz w:val="18"/>
                <w:szCs w:val="18"/>
              </w:rPr>
            </w:pPr>
            <w:r>
              <w:rPr>
                <w:sz w:val="18"/>
                <w:szCs w:val="18"/>
              </w:rPr>
              <w:t>11/2018</w:t>
            </w:r>
          </w:p>
        </w:tc>
        <w:tc>
          <w:tcPr>
            <w:tcW w:w="1143" w:type="dxa"/>
            <w:tcBorders>
              <w:top w:val="single" w:sz="4" w:space="0" w:color="5B9BD5"/>
              <w:left w:val="single" w:sz="4" w:space="0" w:color="5B9BD5"/>
              <w:bottom w:val="single" w:sz="4" w:space="0" w:color="5B9BD5"/>
              <w:right w:val="single" w:sz="4" w:space="0" w:color="5B9BD5"/>
            </w:tcBorders>
            <w:shd w:val="clear" w:color="auto" w:fill="B6C8E8"/>
          </w:tcPr>
          <w:p w14:paraId="0D573E14" w14:textId="2B4F3C8B" w:rsidR="00533209" w:rsidRPr="007F2CA4" w:rsidRDefault="00DA44C6" w:rsidP="007F2CA4">
            <w:pPr>
              <w:pStyle w:val="Tabletext"/>
              <w:jc w:val="center"/>
              <w:rPr>
                <w:sz w:val="18"/>
                <w:szCs w:val="18"/>
              </w:rPr>
            </w:pPr>
            <w:r>
              <w:rPr>
                <w:sz w:val="18"/>
                <w:szCs w:val="18"/>
              </w:rPr>
              <w:t>07/2020</w:t>
            </w:r>
          </w:p>
        </w:tc>
      </w:tr>
      <w:tr w:rsidR="00A1286B" w:rsidRPr="00B237E2" w14:paraId="635E9DE3" w14:textId="77777777" w:rsidTr="009B293E">
        <w:trPr>
          <w:jc w:val="center"/>
        </w:trPr>
        <w:tc>
          <w:tcPr>
            <w:tcW w:w="7372" w:type="dxa"/>
            <w:tcBorders>
              <w:top w:val="single" w:sz="4" w:space="0" w:color="5B9BD5"/>
              <w:left w:val="single" w:sz="4" w:space="0" w:color="5B9BD5"/>
              <w:bottom w:val="single" w:sz="4" w:space="0" w:color="5B9BD5"/>
              <w:right w:val="single" w:sz="4" w:space="0" w:color="5B9BD5"/>
            </w:tcBorders>
            <w:shd w:val="clear" w:color="auto" w:fill="FFFFFF" w:themeFill="background1"/>
          </w:tcPr>
          <w:p w14:paraId="2822A8ED" w14:textId="34A92314" w:rsidR="00184251" w:rsidRPr="00184251" w:rsidRDefault="00AF6115" w:rsidP="00184251">
            <w:pPr>
              <w:pStyle w:val="Tabletext"/>
              <w:rPr>
                <w:sz w:val="18"/>
                <w:szCs w:val="18"/>
              </w:rPr>
            </w:pPr>
            <w:hyperlink r:id="rId58" w:history="1">
              <w:r w:rsidR="00DA44C6" w:rsidRPr="003624F7">
                <w:rPr>
                  <w:rStyle w:val="Hyperlink"/>
                  <w:sz w:val="18"/>
                  <w:szCs w:val="18"/>
                </w:rPr>
                <w:t>Grupo Temático del UIT-T sobre eficiencia energética para inteligencia artificial y otras tecnologías incipientes</w:t>
              </w:r>
              <w:r w:rsidR="00DA44C6" w:rsidRPr="00EB7F22">
                <w:rPr>
                  <w:rStyle w:val="Hyperlink"/>
                  <w:sz w:val="18"/>
                  <w:szCs w:val="18"/>
                </w:rPr>
                <w:t xml:space="preserve"> (FG-AI4EE)</w:t>
              </w:r>
            </w:hyperlink>
          </w:p>
        </w:tc>
        <w:tc>
          <w:tcPr>
            <w:tcW w:w="1120" w:type="dxa"/>
            <w:tcBorders>
              <w:top w:val="single" w:sz="4" w:space="0" w:color="5B9BD5"/>
              <w:left w:val="single" w:sz="4" w:space="0" w:color="5B9BD5"/>
              <w:bottom w:val="single" w:sz="4" w:space="0" w:color="5B9BD5"/>
              <w:right w:val="single" w:sz="4" w:space="0" w:color="5B9BD5"/>
            </w:tcBorders>
            <w:shd w:val="clear" w:color="auto" w:fill="FFFFFF" w:themeFill="background1"/>
          </w:tcPr>
          <w:p w14:paraId="54B75ED1" w14:textId="79BDEAD2" w:rsidR="00184251" w:rsidRPr="007F2CA4" w:rsidRDefault="00DA44C6" w:rsidP="007F2CA4">
            <w:pPr>
              <w:pStyle w:val="Tabletext"/>
              <w:jc w:val="center"/>
              <w:rPr>
                <w:sz w:val="18"/>
                <w:szCs w:val="18"/>
              </w:rPr>
            </w:pPr>
            <w:r>
              <w:rPr>
                <w:sz w:val="18"/>
                <w:szCs w:val="18"/>
              </w:rPr>
              <w:t>05/</w:t>
            </w:r>
            <w:r w:rsidRPr="007F2CA4">
              <w:rPr>
                <w:sz w:val="18"/>
                <w:szCs w:val="18"/>
              </w:rPr>
              <w:t>2019</w:t>
            </w:r>
          </w:p>
        </w:tc>
        <w:tc>
          <w:tcPr>
            <w:tcW w:w="1143" w:type="dxa"/>
            <w:tcBorders>
              <w:top w:val="single" w:sz="4" w:space="0" w:color="5B9BD5"/>
              <w:left w:val="single" w:sz="4" w:space="0" w:color="5B9BD5"/>
              <w:bottom w:val="single" w:sz="4" w:space="0" w:color="5B9BD5"/>
              <w:right w:val="single" w:sz="4" w:space="0" w:color="5B9BD5"/>
            </w:tcBorders>
            <w:shd w:val="clear" w:color="auto" w:fill="FFFFFF" w:themeFill="background1"/>
          </w:tcPr>
          <w:p w14:paraId="19BD6626" w14:textId="4AB117CB" w:rsidR="00184251" w:rsidRPr="007F2CA4" w:rsidRDefault="00DA44C6" w:rsidP="007F2CA4">
            <w:pPr>
              <w:pStyle w:val="Tabletext"/>
              <w:jc w:val="center"/>
              <w:rPr>
                <w:sz w:val="18"/>
                <w:szCs w:val="18"/>
              </w:rPr>
            </w:pPr>
            <w:r w:rsidRPr="007F2CA4">
              <w:rPr>
                <w:sz w:val="18"/>
                <w:szCs w:val="18"/>
              </w:rPr>
              <w:t>En curso</w:t>
            </w:r>
          </w:p>
        </w:tc>
      </w:tr>
      <w:tr w:rsidR="00184251" w:rsidRPr="00B237E2" w14:paraId="53027F0F" w14:textId="77777777" w:rsidTr="009B293E">
        <w:trPr>
          <w:jc w:val="center"/>
        </w:trPr>
        <w:tc>
          <w:tcPr>
            <w:tcW w:w="7372" w:type="dxa"/>
            <w:tcBorders>
              <w:top w:val="single" w:sz="4" w:space="0" w:color="5B9BD5"/>
              <w:left w:val="single" w:sz="4" w:space="0" w:color="5B9BD5"/>
              <w:bottom w:val="single" w:sz="4" w:space="0" w:color="5B9BD5"/>
              <w:right w:val="single" w:sz="4" w:space="0" w:color="5B9BD5"/>
            </w:tcBorders>
            <w:shd w:val="clear" w:color="auto" w:fill="B6C8E8"/>
          </w:tcPr>
          <w:p w14:paraId="71090CE6" w14:textId="4E71A056" w:rsidR="00184251" w:rsidRPr="00184251" w:rsidRDefault="00AF6115" w:rsidP="00184251">
            <w:pPr>
              <w:pStyle w:val="Tabletext"/>
              <w:rPr>
                <w:sz w:val="18"/>
                <w:szCs w:val="18"/>
              </w:rPr>
            </w:pPr>
            <w:hyperlink r:id="rId59" w:history="1">
              <w:r w:rsidR="00DA44C6" w:rsidRPr="003624F7">
                <w:rPr>
                  <w:rStyle w:val="Hyperlink"/>
                  <w:sz w:val="18"/>
                  <w:szCs w:val="18"/>
                </w:rPr>
                <w:t>Grupo Temático del UIT-T sobre tecnología de la información cuántica para redes (FG-QIT4N)</w:t>
              </w:r>
            </w:hyperlink>
          </w:p>
        </w:tc>
        <w:tc>
          <w:tcPr>
            <w:tcW w:w="1120" w:type="dxa"/>
            <w:tcBorders>
              <w:top w:val="single" w:sz="4" w:space="0" w:color="5B9BD5"/>
              <w:left w:val="single" w:sz="4" w:space="0" w:color="5B9BD5"/>
              <w:bottom w:val="single" w:sz="4" w:space="0" w:color="5B9BD5"/>
              <w:right w:val="single" w:sz="4" w:space="0" w:color="5B9BD5"/>
            </w:tcBorders>
            <w:shd w:val="clear" w:color="auto" w:fill="B6C8E8"/>
          </w:tcPr>
          <w:p w14:paraId="0340C560" w14:textId="73474FA2" w:rsidR="00184251" w:rsidRDefault="00DA44C6" w:rsidP="007F2CA4">
            <w:pPr>
              <w:pStyle w:val="Tabletext"/>
              <w:jc w:val="center"/>
              <w:rPr>
                <w:sz w:val="18"/>
                <w:szCs w:val="18"/>
              </w:rPr>
            </w:pPr>
            <w:r>
              <w:rPr>
                <w:sz w:val="18"/>
                <w:szCs w:val="18"/>
              </w:rPr>
              <w:t>09/</w:t>
            </w:r>
            <w:r w:rsidRPr="007F2CA4">
              <w:rPr>
                <w:sz w:val="18"/>
                <w:szCs w:val="18"/>
              </w:rPr>
              <w:t>2019</w:t>
            </w:r>
          </w:p>
        </w:tc>
        <w:tc>
          <w:tcPr>
            <w:tcW w:w="1143" w:type="dxa"/>
            <w:tcBorders>
              <w:top w:val="single" w:sz="4" w:space="0" w:color="5B9BD5"/>
              <w:left w:val="single" w:sz="4" w:space="0" w:color="5B9BD5"/>
              <w:bottom w:val="single" w:sz="4" w:space="0" w:color="5B9BD5"/>
              <w:right w:val="single" w:sz="4" w:space="0" w:color="5B9BD5"/>
            </w:tcBorders>
            <w:shd w:val="clear" w:color="auto" w:fill="B6C8E8"/>
          </w:tcPr>
          <w:p w14:paraId="66E0A40D" w14:textId="684AF4D9" w:rsidR="00184251" w:rsidRDefault="00DA44C6" w:rsidP="007F2CA4">
            <w:pPr>
              <w:pStyle w:val="Tabletext"/>
              <w:jc w:val="center"/>
              <w:rPr>
                <w:sz w:val="18"/>
                <w:szCs w:val="18"/>
              </w:rPr>
            </w:pPr>
            <w:r>
              <w:rPr>
                <w:sz w:val="18"/>
                <w:szCs w:val="18"/>
              </w:rPr>
              <w:t>11/2021</w:t>
            </w:r>
          </w:p>
        </w:tc>
      </w:tr>
      <w:tr w:rsidR="00533209" w:rsidRPr="00B237E2" w14:paraId="57613FF1" w14:textId="77777777" w:rsidTr="009B293E">
        <w:trPr>
          <w:jc w:val="center"/>
        </w:trPr>
        <w:tc>
          <w:tcPr>
            <w:tcW w:w="7372" w:type="dxa"/>
            <w:tcBorders>
              <w:top w:val="single" w:sz="4" w:space="0" w:color="5B9BD5"/>
              <w:left w:val="single" w:sz="4" w:space="0" w:color="5B9BD5"/>
              <w:bottom w:val="single" w:sz="4" w:space="0" w:color="5B9BD5"/>
              <w:right w:val="single" w:sz="4" w:space="0" w:color="5B9BD5"/>
            </w:tcBorders>
          </w:tcPr>
          <w:p w14:paraId="66EAF593" w14:textId="296E4D19" w:rsidR="00533209" w:rsidRPr="00C12B29" w:rsidRDefault="00AF6115" w:rsidP="003624F7">
            <w:pPr>
              <w:pStyle w:val="Tabletext"/>
              <w:rPr>
                <w:sz w:val="18"/>
                <w:szCs w:val="18"/>
              </w:rPr>
            </w:pPr>
            <w:hyperlink r:id="rId60" w:history="1">
              <w:r w:rsidR="00DA44C6" w:rsidRPr="00CF21FF">
                <w:rPr>
                  <w:rStyle w:val="Hyperlink"/>
                  <w:sz w:val="18"/>
                  <w:szCs w:val="18"/>
                </w:rPr>
                <w:t>Grupo Temático sobre IA para la conducción autónoma y asistida (</w:t>
              </w:r>
              <w:r w:rsidR="00DA44C6">
                <w:rPr>
                  <w:rStyle w:val="Hyperlink"/>
                  <w:sz w:val="18"/>
                  <w:szCs w:val="18"/>
                </w:rPr>
                <w:t>FG</w:t>
              </w:r>
              <w:r w:rsidR="00DA44C6" w:rsidRPr="00CF21FF">
                <w:rPr>
                  <w:rStyle w:val="Hyperlink"/>
                  <w:sz w:val="18"/>
                  <w:szCs w:val="18"/>
                </w:rPr>
                <w:t>-AI4AD)</w:t>
              </w:r>
            </w:hyperlink>
          </w:p>
        </w:tc>
        <w:tc>
          <w:tcPr>
            <w:tcW w:w="1120" w:type="dxa"/>
            <w:tcBorders>
              <w:top w:val="single" w:sz="4" w:space="0" w:color="5B9BD5"/>
              <w:bottom w:val="single" w:sz="4" w:space="0" w:color="5B9BD5"/>
            </w:tcBorders>
          </w:tcPr>
          <w:p w14:paraId="5EDBFC04" w14:textId="7624666F" w:rsidR="00533209" w:rsidRPr="007F2CA4" w:rsidRDefault="00DA44C6" w:rsidP="007F2CA4">
            <w:pPr>
              <w:pStyle w:val="Tabletext"/>
              <w:jc w:val="center"/>
              <w:rPr>
                <w:sz w:val="18"/>
                <w:szCs w:val="18"/>
              </w:rPr>
            </w:pPr>
            <w:r>
              <w:rPr>
                <w:sz w:val="18"/>
                <w:szCs w:val="18"/>
              </w:rPr>
              <w:t>10/</w:t>
            </w:r>
            <w:r w:rsidRPr="007F2CA4">
              <w:rPr>
                <w:sz w:val="18"/>
                <w:szCs w:val="18"/>
              </w:rPr>
              <w:t>2019</w:t>
            </w:r>
          </w:p>
        </w:tc>
        <w:tc>
          <w:tcPr>
            <w:tcW w:w="1143" w:type="dxa"/>
            <w:tcBorders>
              <w:top w:val="single" w:sz="4" w:space="0" w:color="5B9BD5"/>
              <w:left w:val="single" w:sz="4" w:space="0" w:color="5B9BD5"/>
              <w:bottom w:val="single" w:sz="4" w:space="0" w:color="5B9BD5"/>
              <w:right w:val="single" w:sz="4" w:space="0" w:color="5B9BD5"/>
            </w:tcBorders>
          </w:tcPr>
          <w:p w14:paraId="386009B5" w14:textId="104716FF" w:rsidR="00533209" w:rsidRPr="007F2CA4" w:rsidRDefault="00DA44C6" w:rsidP="007F2CA4">
            <w:pPr>
              <w:pStyle w:val="Tabletext"/>
              <w:jc w:val="center"/>
              <w:rPr>
                <w:sz w:val="18"/>
                <w:szCs w:val="18"/>
              </w:rPr>
            </w:pPr>
            <w:r w:rsidRPr="007F2CA4">
              <w:rPr>
                <w:sz w:val="18"/>
                <w:szCs w:val="18"/>
              </w:rPr>
              <w:t>En curso</w:t>
            </w:r>
          </w:p>
        </w:tc>
      </w:tr>
      <w:tr w:rsidR="00533209" w:rsidRPr="00B237E2" w14:paraId="6D36B56E" w14:textId="77777777" w:rsidTr="009B293E">
        <w:trPr>
          <w:jc w:val="center"/>
        </w:trPr>
        <w:tc>
          <w:tcPr>
            <w:tcW w:w="7372" w:type="dxa"/>
            <w:tcBorders>
              <w:top w:val="single" w:sz="4" w:space="0" w:color="5B9BD5"/>
              <w:left w:val="single" w:sz="4" w:space="0" w:color="5B9BD5"/>
              <w:bottom w:val="single" w:sz="4" w:space="0" w:color="5B9BD5"/>
              <w:right w:val="single" w:sz="4" w:space="0" w:color="5B9BD5"/>
            </w:tcBorders>
            <w:shd w:val="clear" w:color="auto" w:fill="B6C8E8"/>
          </w:tcPr>
          <w:p w14:paraId="48DEDC90" w14:textId="2384BF1A" w:rsidR="00533209" w:rsidRPr="00C12B29" w:rsidRDefault="00AF6115" w:rsidP="003624F7">
            <w:pPr>
              <w:pStyle w:val="Tabletext"/>
              <w:rPr>
                <w:sz w:val="18"/>
                <w:szCs w:val="18"/>
              </w:rPr>
            </w:pPr>
            <w:hyperlink r:id="rId61" w:history="1">
              <w:r w:rsidR="00DA44C6" w:rsidRPr="00CF21FF">
                <w:rPr>
                  <w:rStyle w:val="Hyperlink"/>
                  <w:sz w:val="18"/>
                  <w:szCs w:val="18"/>
                </w:rPr>
                <w:t>Grupo Temático del UIT-T sobre redes autónomas (FG-AN)</w:t>
              </w:r>
            </w:hyperlink>
          </w:p>
        </w:tc>
        <w:tc>
          <w:tcPr>
            <w:tcW w:w="1120" w:type="dxa"/>
            <w:tcBorders>
              <w:top w:val="single" w:sz="4" w:space="0" w:color="5B9BD5"/>
              <w:left w:val="single" w:sz="4" w:space="0" w:color="5B9BD5"/>
              <w:bottom w:val="single" w:sz="4" w:space="0" w:color="5B9BD5"/>
              <w:right w:val="single" w:sz="4" w:space="0" w:color="5B9BD5"/>
            </w:tcBorders>
            <w:shd w:val="clear" w:color="auto" w:fill="B6C8E8"/>
          </w:tcPr>
          <w:p w14:paraId="28C05C40" w14:textId="57711D79" w:rsidR="00533209" w:rsidRPr="007F2CA4" w:rsidRDefault="00DA44C6" w:rsidP="007F2CA4">
            <w:pPr>
              <w:pStyle w:val="Tabletext"/>
              <w:jc w:val="center"/>
              <w:rPr>
                <w:sz w:val="18"/>
                <w:szCs w:val="18"/>
              </w:rPr>
            </w:pPr>
            <w:r w:rsidRPr="00184251">
              <w:rPr>
                <w:sz w:val="18"/>
                <w:szCs w:val="18"/>
              </w:rPr>
              <w:t>12/2020</w:t>
            </w:r>
          </w:p>
        </w:tc>
        <w:tc>
          <w:tcPr>
            <w:tcW w:w="1143" w:type="dxa"/>
            <w:tcBorders>
              <w:top w:val="single" w:sz="4" w:space="0" w:color="5B9BD5"/>
              <w:left w:val="single" w:sz="4" w:space="0" w:color="5B9BD5"/>
              <w:bottom w:val="single" w:sz="4" w:space="0" w:color="5B9BD5"/>
              <w:right w:val="single" w:sz="4" w:space="0" w:color="5B9BD5"/>
            </w:tcBorders>
            <w:shd w:val="clear" w:color="auto" w:fill="B6C8E8"/>
          </w:tcPr>
          <w:p w14:paraId="769FD837" w14:textId="7CB20B69" w:rsidR="00533209" w:rsidRPr="007F2CA4" w:rsidRDefault="00DA44C6" w:rsidP="007F2CA4">
            <w:pPr>
              <w:pStyle w:val="Tabletext"/>
              <w:jc w:val="center"/>
              <w:rPr>
                <w:sz w:val="18"/>
                <w:szCs w:val="18"/>
              </w:rPr>
            </w:pPr>
            <w:r w:rsidRPr="007F2CA4">
              <w:rPr>
                <w:sz w:val="18"/>
                <w:szCs w:val="18"/>
              </w:rPr>
              <w:t>En curso</w:t>
            </w:r>
          </w:p>
        </w:tc>
      </w:tr>
      <w:tr w:rsidR="00533209" w:rsidRPr="00B237E2" w14:paraId="1FADAD07" w14:textId="77777777" w:rsidTr="009B293E">
        <w:trPr>
          <w:jc w:val="center"/>
        </w:trPr>
        <w:tc>
          <w:tcPr>
            <w:tcW w:w="7372" w:type="dxa"/>
            <w:tcBorders>
              <w:top w:val="single" w:sz="4" w:space="0" w:color="5B9BD5"/>
              <w:left w:val="single" w:sz="4" w:space="0" w:color="5B9BD5"/>
              <w:bottom w:val="single" w:sz="4" w:space="0" w:color="5B9BD5"/>
              <w:right w:val="single" w:sz="4" w:space="0" w:color="5B9BD5"/>
            </w:tcBorders>
          </w:tcPr>
          <w:p w14:paraId="039E07D2" w14:textId="089E14C9" w:rsidR="00533209" w:rsidRPr="00C12B29" w:rsidRDefault="00AF6115" w:rsidP="003624F7">
            <w:pPr>
              <w:pStyle w:val="Tabletext"/>
              <w:rPr>
                <w:sz w:val="18"/>
                <w:szCs w:val="18"/>
              </w:rPr>
            </w:pPr>
            <w:hyperlink r:id="rId62" w:history="1">
              <w:r w:rsidR="00DA44C6" w:rsidRPr="00CF21FF">
                <w:rPr>
                  <w:rStyle w:val="Hyperlink"/>
                  <w:sz w:val="18"/>
                  <w:szCs w:val="18"/>
                </w:rPr>
                <w:t>Grupo Temático sobre la IA para la gestión de catástrofes naturales (FG-AI4NDM)</w:t>
              </w:r>
            </w:hyperlink>
          </w:p>
        </w:tc>
        <w:tc>
          <w:tcPr>
            <w:tcW w:w="1120" w:type="dxa"/>
            <w:tcBorders>
              <w:top w:val="single" w:sz="4" w:space="0" w:color="5B9BD5"/>
              <w:bottom w:val="single" w:sz="4" w:space="0" w:color="5B9BD5"/>
            </w:tcBorders>
          </w:tcPr>
          <w:p w14:paraId="609EAA40" w14:textId="2D34118D" w:rsidR="00533209" w:rsidRPr="007F2CA4" w:rsidRDefault="00DA44C6" w:rsidP="007F2CA4">
            <w:pPr>
              <w:pStyle w:val="Tabletext"/>
              <w:jc w:val="center"/>
              <w:rPr>
                <w:sz w:val="18"/>
                <w:szCs w:val="18"/>
              </w:rPr>
            </w:pPr>
            <w:r>
              <w:rPr>
                <w:sz w:val="18"/>
                <w:szCs w:val="18"/>
              </w:rPr>
              <w:t>12/</w:t>
            </w:r>
            <w:r w:rsidRPr="007F2CA4">
              <w:rPr>
                <w:sz w:val="18"/>
                <w:szCs w:val="18"/>
              </w:rPr>
              <w:t>2020</w:t>
            </w:r>
          </w:p>
        </w:tc>
        <w:tc>
          <w:tcPr>
            <w:tcW w:w="1143" w:type="dxa"/>
            <w:tcBorders>
              <w:top w:val="single" w:sz="4" w:space="0" w:color="5B9BD5"/>
              <w:left w:val="single" w:sz="4" w:space="0" w:color="5B9BD5"/>
              <w:bottom w:val="single" w:sz="4" w:space="0" w:color="5B9BD5"/>
              <w:right w:val="single" w:sz="4" w:space="0" w:color="5B9BD5"/>
            </w:tcBorders>
          </w:tcPr>
          <w:p w14:paraId="41F64479" w14:textId="521D2FDA" w:rsidR="00533209" w:rsidRPr="007F2CA4" w:rsidRDefault="00DA44C6" w:rsidP="007F2CA4">
            <w:pPr>
              <w:pStyle w:val="Tabletext"/>
              <w:jc w:val="center"/>
              <w:rPr>
                <w:sz w:val="18"/>
                <w:szCs w:val="18"/>
              </w:rPr>
            </w:pPr>
            <w:r w:rsidRPr="007F2CA4">
              <w:rPr>
                <w:sz w:val="18"/>
                <w:szCs w:val="18"/>
              </w:rPr>
              <w:t>En curso</w:t>
            </w:r>
          </w:p>
        </w:tc>
      </w:tr>
      <w:tr w:rsidR="00533209" w:rsidRPr="00B237E2" w14:paraId="691CC797" w14:textId="77777777" w:rsidTr="009B293E">
        <w:trPr>
          <w:jc w:val="center"/>
        </w:trPr>
        <w:tc>
          <w:tcPr>
            <w:tcW w:w="7372" w:type="dxa"/>
            <w:tcBorders>
              <w:top w:val="single" w:sz="4" w:space="0" w:color="5B9BD5"/>
              <w:left w:val="single" w:sz="4" w:space="0" w:color="5B9BD5"/>
              <w:bottom w:val="single" w:sz="4" w:space="0" w:color="5B9BD5"/>
              <w:right w:val="single" w:sz="4" w:space="0" w:color="5B9BD5"/>
            </w:tcBorders>
            <w:shd w:val="clear" w:color="auto" w:fill="B6C8E8"/>
          </w:tcPr>
          <w:p w14:paraId="64D39B90" w14:textId="1D85A821" w:rsidR="00533209" w:rsidRPr="00C12B29" w:rsidRDefault="00AF6115" w:rsidP="003624F7">
            <w:pPr>
              <w:pStyle w:val="Tabletext"/>
              <w:rPr>
                <w:sz w:val="18"/>
                <w:szCs w:val="18"/>
              </w:rPr>
            </w:pPr>
            <w:hyperlink r:id="rId63" w:history="1">
              <w:r w:rsidR="00DA44C6" w:rsidRPr="00CF21FF">
                <w:rPr>
                  <w:rStyle w:val="Hyperlink"/>
                  <w:sz w:val="18"/>
                  <w:szCs w:val="18"/>
                </w:rPr>
                <w:t>Grupo Temático del UIT-T sobre inteligencia artificial (IA) e Internet de las c</w:t>
              </w:r>
              <w:r w:rsidR="00DA44C6" w:rsidRPr="00EB7F22">
                <w:rPr>
                  <w:rStyle w:val="Hyperlink"/>
                  <w:sz w:val="18"/>
                  <w:szCs w:val="18"/>
                </w:rPr>
                <w:t>osas (IoT) para la agricultura digital (</w:t>
              </w:r>
              <w:r w:rsidR="00DA44C6">
                <w:rPr>
                  <w:rStyle w:val="Hyperlink"/>
                  <w:sz w:val="18"/>
                  <w:szCs w:val="18"/>
                </w:rPr>
                <w:t>FG</w:t>
              </w:r>
              <w:r w:rsidR="00DA44C6" w:rsidRPr="00EB7F22">
                <w:rPr>
                  <w:rStyle w:val="Hyperlink"/>
                  <w:sz w:val="18"/>
                  <w:szCs w:val="18"/>
                </w:rPr>
                <w:t>-AI4A)</w:t>
              </w:r>
            </w:hyperlink>
          </w:p>
        </w:tc>
        <w:tc>
          <w:tcPr>
            <w:tcW w:w="1120" w:type="dxa"/>
            <w:tcBorders>
              <w:top w:val="single" w:sz="4" w:space="0" w:color="5B9BD5"/>
              <w:left w:val="single" w:sz="4" w:space="0" w:color="5B9BD5"/>
              <w:bottom w:val="single" w:sz="4" w:space="0" w:color="5B9BD5"/>
              <w:right w:val="single" w:sz="4" w:space="0" w:color="5B9BD5"/>
            </w:tcBorders>
            <w:shd w:val="clear" w:color="auto" w:fill="B6C8E8"/>
          </w:tcPr>
          <w:p w14:paraId="2503E218" w14:textId="0F8CA9D2" w:rsidR="00533209" w:rsidRPr="007F2CA4" w:rsidRDefault="00DA44C6" w:rsidP="007F2CA4">
            <w:pPr>
              <w:pStyle w:val="Tabletext"/>
              <w:jc w:val="center"/>
              <w:rPr>
                <w:sz w:val="18"/>
                <w:szCs w:val="18"/>
              </w:rPr>
            </w:pPr>
            <w:r>
              <w:rPr>
                <w:sz w:val="18"/>
                <w:szCs w:val="18"/>
              </w:rPr>
              <w:t>10/</w:t>
            </w:r>
            <w:r w:rsidRPr="007F2CA4">
              <w:rPr>
                <w:sz w:val="18"/>
                <w:szCs w:val="18"/>
              </w:rPr>
              <w:t>2021</w:t>
            </w:r>
          </w:p>
        </w:tc>
        <w:tc>
          <w:tcPr>
            <w:tcW w:w="1143" w:type="dxa"/>
            <w:tcBorders>
              <w:top w:val="single" w:sz="4" w:space="0" w:color="5B9BD5"/>
              <w:left w:val="single" w:sz="4" w:space="0" w:color="5B9BD5"/>
              <w:bottom w:val="single" w:sz="4" w:space="0" w:color="5B9BD5"/>
              <w:right w:val="single" w:sz="4" w:space="0" w:color="5B9BD5"/>
            </w:tcBorders>
            <w:shd w:val="clear" w:color="auto" w:fill="B6C8E8"/>
          </w:tcPr>
          <w:p w14:paraId="21057316" w14:textId="0CB5F21A" w:rsidR="00533209" w:rsidRPr="007F2CA4" w:rsidRDefault="00DA44C6" w:rsidP="007F2CA4">
            <w:pPr>
              <w:pStyle w:val="Tabletext"/>
              <w:jc w:val="center"/>
              <w:rPr>
                <w:sz w:val="18"/>
                <w:szCs w:val="18"/>
              </w:rPr>
            </w:pPr>
            <w:r w:rsidRPr="007F2CA4">
              <w:rPr>
                <w:sz w:val="18"/>
                <w:szCs w:val="18"/>
              </w:rPr>
              <w:t>En curso</w:t>
            </w:r>
          </w:p>
        </w:tc>
      </w:tr>
      <w:tr w:rsidR="00533209" w:rsidRPr="00B237E2" w14:paraId="33193D47" w14:textId="77777777" w:rsidTr="009B293E">
        <w:trPr>
          <w:jc w:val="center"/>
        </w:trPr>
        <w:tc>
          <w:tcPr>
            <w:tcW w:w="7372" w:type="dxa"/>
            <w:tcBorders>
              <w:top w:val="single" w:sz="4" w:space="0" w:color="5B9BD5"/>
              <w:left w:val="single" w:sz="4" w:space="0" w:color="5B9BD5"/>
              <w:bottom w:val="single" w:sz="4" w:space="0" w:color="5B9BD5"/>
              <w:right w:val="single" w:sz="4" w:space="0" w:color="5B9BD5"/>
            </w:tcBorders>
            <w:shd w:val="clear" w:color="auto" w:fill="auto"/>
          </w:tcPr>
          <w:p w14:paraId="1021D954" w14:textId="66E5315F" w:rsidR="00533209" w:rsidRPr="00C12B29" w:rsidRDefault="00AF6115" w:rsidP="003624F7">
            <w:pPr>
              <w:pStyle w:val="Tabletext"/>
              <w:rPr>
                <w:sz w:val="18"/>
                <w:szCs w:val="18"/>
              </w:rPr>
            </w:pPr>
            <w:hyperlink r:id="rId64" w:history="1">
              <w:r w:rsidR="00DA44C6" w:rsidRPr="00184251">
                <w:rPr>
                  <w:rStyle w:val="Hyperlink"/>
                  <w:sz w:val="18"/>
                  <w:szCs w:val="18"/>
                </w:rPr>
                <w:t>Grupo Temático sobre federaciones de bancos de pruebas para las IMT-2020 y otros sistemas posteriores (FG-</w:t>
              </w:r>
              <w:proofErr w:type="spellStart"/>
              <w:r w:rsidR="00DA44C6" w:rsidRPr="00184251">
                <w:rPr>
                  <w:rStyle w:val="Hyperlink"/>
                  <w:sz w:val="18"/>
                  <w:szCs w:val="18"/>
                </w:rPr>
                <w:t>TBFxG</w:t>
              </w:r>
              <w:proofErr w:type="spellEnd"/>
              <w:r w:rsidR="00DA44C6" w:rsidRPr="00184251">
                <w:rPr>
                  <w:rStyle w:val="Hyperlink"/>
                  <w:sz w:val="18"/>
                  <w:szCs w:val="18"/>
                </w:rPr>
                <w:t>)</w:t>
              </w:r>
            </w:hyperlink>
          </w:p>
        </w:tc>
        <w:tc>
          <w:tcPr>
            <w:tcW w:w="1120" w:type="dxa"/>
            <w:tcBorders>
              <w:top w:val="single" w:sz="4" w:space="0" w:color="5B9BD5"/>
              <w:bottom w:val="single" w:sz="4" w:space="0" w:color="5B9BD5"/>
            </w:tcBorders>
            <w:shd w:val="clear" w:color="auto" w:fill="auto"/>
          </w:tcPr>
          <w:p w14:paraId="7D9B2D73" w14:textId="51F91FA1" w:rsidR="00533209" w:rsidRPr="007F2CA4" w:rsidRDefault="00DA44C6" w:rsidP="007F2CA4">
            <w:pPr>
              <w:pStyle w:val="Tabletext"/>
              <w:jc w:val="center"/>
              <w:rPr>
                <w:sz w:val="18"/>
                <w:szCs w:val="18"/>
              </w:rPr>
            </w:pPr>
            <w:r>
              <w:rPr>
                <w:sz w:val="18"/>
                <w:szCs w:val="18"/>
              </w:rPr>
              <w:t>12/2021</w:t>
            </w:r>
          </w:p>
        </w:tc>
        <w:tc>
          <w:tcPr>
            <w:tcW w:w="1143" w:type="dxa"/>
            <w:tcBorders>
              <w:top w:val="single" w:sz="4" w:space="0" w:color="5B9BD5"/>
              <w:left w:val="single" w:sz="4" w:space="0" w:color="5B9BD5"/>
              <w:bottom w:val="single" w:sz="4" w:space="0" w:color="5B9BD5"/>
              <w:right w:val="single" w:sz="4" w:space="0" w:color="5B9BD5"/>
            </w:tcBorders>
            <w:shd w:val="clear" w:color="auto" w:fill="auto"/>
          </w:tcPr>
          <w:p w14:paraId="452B8EFC" w14:textId="04F8871F" w:rsidR="00533209" w:rsidRPr="007F2CA4" w:rsidRDefault="00DA44C6" w:rsidP="007F2CA4">
            <w:pPr>
              <w:pStyle w:val="Tabletext"/>
              <w:jc w:val="center"/>
              <w:rPr>
                <w:sz w:val="18"/>
                <w:szCs w:val="18"/>
              </w:rPr>
            </w:pPr>
            <w:r>
              <w:rPr>
                <w:sz w:val="18"/>
                <w:szCs w:val="18"/>
              </w:rPr>
              <w:t>En curso</w:t>
            </w:r>
          </w:p>
        </w:tc>
      </w:tr>
    </w:tbl>
    <w:p w14:paraId="12037720" w14:textId="77777777" w:rsidR="00823AB3" w:rsidRPr="00B237E2" w:rsidRDefault="00823AB3" w:rsidP="00E124B0">
      <w:pPr>
        <w:pStyle w:val="Headingb"/>
        <w:rPr>
          <w:lang w:val="es-ES"/>
        </w:rPr>
      </w:pPr>
      <w:r w:rsidRPr="00B237E2">
        <w:rPr>
          <w:lang w:val="es-ES"/>
        </w:rPr>
        <w:lastRenderedPageBreak/>
        <w:t>Recomendaciones UIT-R</w:t>
      </w:r>
    </w:p>
    <w:p w14:paraId="29FDD0E1" w14:textId="547D2B43" w:rsidR="00823AB3" w:rsidRPr="00B237E2" w:rsidRDefault="00823AB3" w:rsidP="00E124B0">
      <w:pPr>
        <w:rPr>
          <w:lang w:val="es-ES"/>
        </w:rPr>
      </w:pPr>
      <w:r w:rsidRPr="00B237E2">
        <w:rPr>
          <w:lang w:val="es-ES"/>
        </w:rPr>
        <w:t xml:space="preserve">El Sector de Radiocomunicaciones de la UIT (UIT-R) desempeña un papel primordial en la gestión mundial del espectro de frecuencias radioeléctricas y de las órbitas de satélite, recursos naturales limitados que son cada vez más necesarios </w:t>
      </w:r>
      <w:r w:rsidR="00A11CD7" w:rsidRPr="00B237E2">
        <w:rPr>
          <w:lang w:val="es-ES"/>
        </w:rPr>
        <w:t>para la prestación de servicios, en particular,</w:t>
      </w:r>
      <w:r w:rsidRPr="00B237E2">
        <w:rPr>
          <w:lang w:val="es-ES"/>
        </w:rPr>
        <w:t xml:space="preserve"> los servicios fijo, móvil, de radiodifusión, de radioaficionados, de investigación espacial, de telecomunicaciones de emergencia, de meteorología, los sistemas mundiales de determinación de posición, la gestión medioambiental y los servicios de comunicaciones.</w:t>
      </w:r>
    </w:p>
    <w:p w14:paraId="094321CE" w14:textId="5F27FD9F" w:rsidR="00823AB3" w:rsidRPr="00B237E2" w:rsidRDefault="00823AB3" w:rsidP="00E124B0">
      <w:pPr>
        <w:rPr>
          <w:lang w:val="es-ES"/>
        </w:rPr>
      </w:pPr>
      <w:r w:rsidRPr="00B237E2">
        <w:rPr>
          <w:lang w:val="es-ES"/>
        </w:rPr>
        <w:t xml:space="preserve">Las principales actividades relativas a la reglamentación y la gestión del espectro y las órbitas se exponen a lo largo del presente documento según se indica a continuación. En la </w:t>
      </w:r>
      <w:hyperlink w:anchor="_1.1_CMR-19_y" w:history="1">
        <w:r w:rsidRPr="00B237E2">
          <w:rPr>
            <w:rStyle w:val="Hyperlink"/>
            <w:lang w:val="es-ES"/>
          </w:rPr>
          <w:t>sección</w:t>
        </w:r>
        <w:r w:rsidR="00115DF9">
          <w:rPr>
            <w:rStyle w:val="Hyperlink"/>
            <w:lang w:val="es-ES"/>
          </w:rPr>
          <w:t> </w:t>
        </w:r>
        <w:r w:rsidRPr="00B237E2">
          <w:rPr>
            <w:rStyle w:val="Hyperlink"/>
            <w:lang w:val="es-ES"/>
          </w:rPr>
          <w:t>1.1</w:t>
        </w:r>
      </w:hyperlink>
      <w:r w:rsidRPr="00B237E2">
        <w:rPr>
          <w:lang w:val="es-ES"/>
        </w:rPr>
        <w:t xml:space="preserve"> </w:t>
      </w:r>
      <w:r w:rsidRPr="00B237E2">
        <w:rPr>
          <w:i/>
          <w:iCs/>
          <w:lang w:val="es-ES"/>
        </w:rPr>
        <w:t>supra</w:t>
      </w:r>
      <w:r w:rsidRPr="00B237E2">
        <w:rPr>
          <w:lang w:val="es-ES"/>
        </w:rPr>
        <w:t xml:space="preserve"> se presentan los principales resultados de la CMR-19 y la AR-19. Esta sección abarca los resultados obtenidos en los ámbitos de la tramitación de notificaciones espaciales y terrenales, la evolución del </w:t>
      </w:r>
      <w:r w:rsidRPr="00B237E2">
        <w:rPr>
          <w:i/>
          <w:lang w:val="es-ES"/>
        </w:rPr>
        <w:t>software</w:t>
      </w:r>
      <w:r w:rsidRPr="00B237E2">
        <w:rPr>
          <w:lang w:val="es-ES"/>
        </w:rPr>
        <w:t xml:space="preserve"> y los eventos de creación de capacidad en favor de los países en desarrollo. En la </w:t>
      </w:r>
      <w:hyperlink w:anchor="Section_1_10" w:history="1">
        <w:r w:rsidRPr="00B237E2">
          <w:rPr>
            <w:rStyle w:val="Hyperlink"/>
            <w:lang w:val="es-ES"/>
          </w:rPr>
          <w:t>sección 1.10</w:t>
        </w:r>
      </w:hyperlink>
      <w:r w:rsidRPr="00B237E2">
        <w:rPr>
          <w:lang w:val="es-ES"/>
        </w:rPr>
        <w:t xml:space="preserve"> se describen otros eventos de creación de capacidad. En la </w:t>
      </w:r>
      <w:hyperlink w:anchor="Section_1_3" w:history="1">
        <w:r w:rsidRPr="00B237E2">
          <w:rPr>
            <w:rStyle w:val="Hyperlink"/>
            <w:lang w:val="es-ES"/>
          </w:rPr>
          <w:t>sección</w:t>
        </w:r>
        <w:r w:rsidR="00115DF9">
          <w:rPr>
            <w:rStyle w:val="Hyperlink"/>
            <w:lang w:val="es-ES"/>
          </w:rPr>
          <w:t> </w:t>
        </w:r>
        <w:r w:rsidRPr="00B237E2">
          <w:rPr>
            <w:rStyle w:val="Hyperlink"/>
            <w:lang w:val="es-ES"/>
          </w:rPr>
          <w:t>1.3</w:t>
        </w:r>
      </w:hyperlink>
      <w:r w:rsidRPr="00B237E2">
        <w:rPr>
          <w:lang w:val="es-ES"/>
        </w:rPr>
        <w:t xml:space="preserve"> se enumeran los resultados de las actividades de normalización llevadas a cabo por las Comisiones de Estudio del UIT-R, junto con las Recomendaciones UIT-R aprobadas </w:t>
      </w:r>
      <w:r w:rsidR="00250235" w:rsidRPr="00B237E2">
        <w:rPr>
          <w:lang w:val="es-ES"/>
        </w:rPr>
        <w:t>en el per</w:t>
      </w:r>
      <w:r w:rsidR="00EF6125">
        <w:rPr>
          <w:lang w:val="es-ES"/>
        </w:rPr>
        <w:t>i</w:t>
      </w:r>
      <w:r w:rsidR="00250235" w:rsidRPr="00B237E2">
        <w:rPr>
          <w:lang w:val="es-ES"/>
        </w:rPr>
        <w:t>odo objeto de análisis</w:t>
      </w:r>
      <w:r w:rsidRPr="00B237E2">
        <w:rPr>
          <w:lang w:val="es-ES"/>
        </w:rPr>
        <w:t xml:space="preserve">. En la </w:t>
      </w:r>
      <w:hyperlink w:anchor="_1.3_Tecnologías_emergentes" w:history="1">
        <w:r w:rsidRPr="00B237E2">
          <w:rPr>
            <w:rStyle w:val="Hyperlink"/>
            <w:lang w:val="es-ES"/>
          </w:rPr>
          <w:t>sección 1.4</w:t>
        </w:r>
      </w:hyperlink>
      <w:r w:rsidRPr="00B237E2">
        <w:rPr>
          <w:lang w:val="es-ES"/>
        </w:rPr>
        <w:t xml:space="preserve"> se abordan iniciativas en materia de IA relacionadas con las radiocomunicaciones; en la </w:t>
      </w:r>
      <w:hyperlink w:anchor="_1.9_Asociaciones_estratégicas" w:history="1">
        <w:r w:rsidRPr="00B237E2">
          <w:rPr>
            <w:rStyle w:val="Hyperlink"/>
            <w:lang w:val="es-ES"/>
          </w:rPr>
          <w:t>sección 1.9</w:t>
        </w:r>
      </w:hyperlink>
      <w:r w:rsidRPr="00B237E2">
        <w:rPr>
          <w:lang w:val="es-ES"/>
        </w:rPr>
        <w:t xml:space="preserve"> se enumeran algunas de las organizaciones asociadas del UIT-R; y, en la </w:t>
      </w:r>
      <w:hyperlink w:anchor="Section_2_1" w:history="1">
        <w:r w:rsidRPr="00B237E2">
          <w:rPr>
            <w:rStyle w:val="Hyperlink"/>
            <w:lang w:val="es-ES"/>
          </w:rPr>
          <w:t>sección</w:t>
        </w:r>
        <w:r w:rsidR="00115DF9">
          <w:rPr>
            <w:rStyle w:val="Hyperlink"/>
            <w:lang w:val="es-ES"/>
          </w:rPr>
          <w:t> </w:t>
        </w:r>
        <w:r w:rsidRPr="00B237E2">
          <w:rPr>
            <w:rStyle w:val="Hyperlink"/>
            <w:lang w:val="es-ES"/>
          </w:rPr>
          <w:t>2.1</w:t>
        </w:r>
      </w:hyperlink>
      <w:r w:rsidRPr="00B237E2">
        <w:rPr>
          <w:lang w:val="es-ES"/>
        </w:rPr>
        <w:t>, se enuncian los resultados de la Junta del Reglamento de Radiocomunicaciones (RRB) y la asistencia técnica proporcionada por la BR.</w:t>
      </w:r>
    </w:p>
    <w:p w14:paraId="7E7F08AD" w14:textId="199A31FC" w:rsidR="00533209" w:rsidRPr="00B237E2" w:rsidRDefault="00032987" w:rsidP="0038445C">
      <w:pPr>
        <w:spacing w:after="120"/>
        <w:rPr>
          <w:lang w:val="es-ES"/>
        </w:rPr>
      </w:pPr>
      <w:r w:rsidRPr="00B237E2">
        <w:rPr>
          <w:lang w:val="es-ES"/>
        </w:rPr>
        <w:t>En el cuadro siguiente se proporciona información sobre la</w:t>
      </w:r>
      <w:r w:rsidR="003A51A8" w:rsidRPr="00B237E2">
        <w:rPr>
          <w:lang w:val="es-ES"/>
        </w:rPr>
        <w:t>s</w:t>
      </w:r>
      <w:r w:rsidRPr="00B237E2">
        <w:rPr>
          <w:lang w:val="es-ES"/>
        </w:rPr>
        <w:t xml:space="preserve"> </w:t>
      </w:r>
      <w:r w:rsidR="003A51A8" w:rsidRPr="00B237E2">
        <w:rPr>
          <w:lang w:val="es-ES"/>
        </w:rPr>
        <w:t>Recomendaciones</w:t>
      </w:r>
      <w:r w:rsidRPr="00B237E2">
        <w:rPr>
          <w:lang w:val="es-ES"/>
        </w:rPr>
        <w:t xml:space="preserve"> UIT-R aprobada</w:t>
      </w:r>
      <w:r w:rsidR="003A51A8" w:rsidRPr="00B237E2">
        <w:rPr>
          <w:lang w:val="es-ES"/>
        </w:rPr>
        <w:t>s</w:t>
      </w:r>
      <w:r w:rsidRPr="00B237E2">
        <w:rPr>
          <w:lang w:val="es-ES"/>
        </w:rPr>
        <w:t xml:space="preserve"> del 1 de enero de 2018 al 1 de noviembre de 2021.</w:t>
      </w:r>
    </w:p>
    <w:tbl>
      <w:tblPr>
        <w:tblStyle w:val="GridTable4-Accent11"/>
        <w:tblW w:w="5000" w:type="pct"/>
        <w:tblInd w:w="-5" w:type="dxa"/>
        <w:tblLayout w:type="fixed"/>
        <w:tblLook w:val="01E0" w:firstRow="1" w:lastRow="1" w:firstColumn="1" w:lastColumn="1" w:noHBand="0" w:noVBand="0"/>
      </w:tblPr>
      <w:tblGrid>
        <w:gridCol w:w="4951"/>
        <w:gridCol w:w="4678"/>
      </w:tblGrid>
      <w:tr w:rsidR="00214D3D" w:rsidRPr="00214D3D" w14:paraId="2307CAA3" w14:textId="77777777" w:rsidTr="00DA44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51" w:type="dxa"/>
            <w:hideMark/>
          </w:tcPr>
          <w:p w14:paraId="67936BBF" w14:textId="77777777" w:rsidR="00823AB3" w:rsidRPr="00214D3D" w:rsidRDefault="00823AB3" w:rsidP="00E124B0">
            <w:pPr>
              <w:pStyle w:val="Tablehead"/>
              <w:rPr>
                <w:b/>
                <w:bCs w:val="0"/>
                <w:sz w:val="18"/>
                <w:szCs w:val="18"/>
                <w:lang w:val="es-ES"/>
              </w:rPr>
            </w:pPr>
            <w:r w:rsidRPr="00214D3D">
              <w:rPr>
                <w:b/>
                <w:bCs w:val="0"/>
                <w:sz w:val="18"/>
                <w:szCs w:val="18"/>
                <w:lang w:val="es-ES"/>
              </w:rPr>
              <w:t>Grupos de Trabajo (GT)</w:t>
            </w:r>
          </w:p>
        </w:tc>
        <w:tc>
          <w:tcPr>
            <w:cnfStyle w:val="000100000000" w:firstRow="0" w:lastRow="0" w:firstColumn="0" w:lastColumn="1" w:oddVBand="0" w:evenVBand="0" w:oddHBand="0" w:evenHBand="0" w:firstRowFirstColumn="0" w:firstRowLastColumn="0" w:lastRowFirstColumn="0" w:lastRowLastColumn="0"/>
            <w:tcW w:w="4678" w:type="dxa"/>
            <w:hideMark/>
          </w:tcPr>
          <w:p w14:paraId="1D99741A" w14:textId="77777777" w:rsidR="00823AB3" w:rsidRPr="00214D3D" w:rsidRDefault="00823AB3" w:rsidP="00E124B0">
            <w:pPr>
              <w:pStyle w:val="Tablehead"/>
              <w:rPr>
                <w:b/>
                <w:bCs w:val="0"/>
                <w:sz w:val="18"/>
                <w:szCs w:val="18"/>
                <w:lang w:val="es-ES"/>
              </w:rPr>
            </w:pPr>
            <w:r w:rsidRPr="00214D3D">
              <w:rPr>
                <w:b/>
                <w:bCs w:val="0"/>
                <w:sz w:val="18"/>
                <w:szCs w:val="18"/>
                <w:lang w:val="es-ES"/>
              </w:rPr>
              <w:t>Recomendaciones UIT-R nuevas o revisadas</w:t>
            </w:r>
          </w:p>
        </w:tc>
      </w:tr>
      <w:tr w:rsidR="00214D3D" w:rsidRPr="00B237E2" w14:paraId="32FDA151" w14:textId="77777777" w:rsidTr="00214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1" w:type="dxa"/>
            <w:hideMark/>
          </w:tcPr>
          <w:p w14:paraId="7CF583BC" w14:textId="11D62E73" w:rsidR="00823AB3" w:rsidRPr="00214D3D" w:rsidRDefault="00823AB3" w:rsidP="00E124B0">
            <w:pPr>
              <w:pStyle w:val="Tabletext"/>
              <w:rPr>
                <w:b w:val="0"/>
                <w:bCs w:val="0"/>
                <w:sz w:val="18"/>
                <w:szCs w:val="18"/>
                <w:lang w:val="es-ES"/>
              </w:rPr>
            </w:pPr>
            <w:r w:rsidRPr="00214D3D">
              <w:rPr>
                <w:b w:val="0"/>
                <w:bCs w:val="0"/>
                <w:sz w:val="18"/>
                <w:szCs w:val="18"/>
                <w:lang w:val="es-ES"/>
              </w:rPr>
              <w:t>GT</w:t>
            </w:r>
            <w:r w:rsidR="00214D3D">
              <w:rPr>
                <w:b w:val="0"/>
                <w:bCs w:val="0"/>
                <w:sz w:val="18"/>
                <w:szCs w:val="18"/>
                <w:lang w:val="es-ES"/>
              </w:rPr>
              <w:t> </w:t>
            </w:r>
            <w:r w:rsidRPr="00214D3D">
              <w:rPr>
                <w:b w:val="0"/>
                <w:bCs w:val="0"/>
                <w:sz w:val="18"/>
                <w:szCs w:val="18"/>
                <w:lang w:val="es-ES"/>
              </w:rPr>
              <w:t>1A – Técnicas de ingeniería del espectro</w:t>
            </w:r>
          </w:p>
        </w:tc>
        <w:tc>
          <w:tcPr>
            <w:cnfStyle w:val="000100000000" w:firstRow="0" w:lastRow="0" w:firstColumn="0" w:lastColumn="1" w:oddVBand="0" w:evenVBand="0" w:oddHBand="0" w:evenHBand="0" w:firstRowFirstColumn="0" w:firstRowLastColumn="0" w:lastRowFirstColumn="0" w:lastRowLastColumn="0"/>
            <w:tcW w:w="4678" w:type="dxa"/>
            <w:hideMark/>
          </w:tcPr>
          <w:p w14:paraId="71CBD029" w14:textId="77777777" w:rsidR="00823AB3" w:rsidRPr="00214D3D" w:rsidRDefault="00823AB3" w:rsidP="00214D3D">
            <w:pPr>
              <w:pStyle w:val="Tabletext"/>
              <w:rPr>
                <w:b w:val="0"/>
                <w:bCs w:val="0"/>
                <w:sz w:val="18"/>
                <w:szCs w:val="18"/>
                <w:lang w:val="es-ES"/>
              </w:rPr>
            </w:pPr>
            <w:r w:rsidRPr="00214D3D">
              <w:rPr>
                <w:b w:val="0"/>
                <w:bCs w:val="0"/>
                <w:sz w:val="18"/>
                <w:szCs w:val="18"/>
                <w:lang w:val="es-ES"/>
              </w:rPr>
              <w:t>SM.1138-3, SM.1448-1, SM.2110-1, SM.2129</w:t>
            </w:r>
            <w:r w:rsidRPr="00214D3D">
              <w:rPr>
                <w:b w:val="0"/>
                <w:bCs w:val="0"/>
                <w:sz w:val="18"/>
                <w:szCs w:val="18"/>
                <w:lang w:val="es-ES"/>
              </w:rPr>
              <w:noBreakHyphen/>
              <w:t>0</w:t>
            </w:r>
          </w:p>
        </w:tc>
      </w:tr>
      <w:tr w:rsidR="00214D3D" w:rsidRPr="00B237E2" w14:paraId="72F3D706" w14:textId="77777777" w:rsidTr="00214D3D">
        <w:tc>
          <w:tcPr>
            <w:cnfStyle w:val="001000000000" w:firstRow="0" w:lastRow="0" w:firstColumn="1" w:lastColumn="0" w:oddVBand="0" w:evenVBand="0" w:oddHBand="0" w:evenHBand="0" w:firstRowFirstColumn="0" w:firstRowLastColumn="0" w:lastRowFirstColumn="0" w:lastRowLastColumn="0"/>
            <w:tcW w:w="4951" w:type="dxa"/>
          </w:tcPr>
          <w:p w14:paraId="1F2A73DF" w14:textId="4F05D5AC" w:rsidR="00C74900" w:rsidRPr="005621ED" w:rsidRDefault="00243C7C" w:rsidP="00E124B0">
            <w:pPr>
              <w:pStyle w:val="Tabletext"/>
              <w:rPr>
                <w:b w:val="0"/>
                <w:bCs w:val="0"/>
                <w:sz w:val="18"/>
                <w:szCs w:val="18"/>
                <w:lang w:val="es-ES"/>
              </w:rPr>
            </w:pPr>
            <w:r w:rsidRPr="005621ED">
              <w:rPr>
                <w:b w:val="0"/>
                <w:bCs w:val="0"/>
                <w:sz w:val="18"/>
                <w:szCs w:val="18"/>
                <w:lang w:val="es-ES"/>
              </w:rPr>
              <w:t>GT</w:t>
            </w:r>
            <w:r w:rsidR="00214D3D" w:rsidRPr="005621ED">
              <w:rPr>
                <w:b w:val="0"/>
                <w:bCs w:val="0"/>
                <w:sz w:val="18"/>
                <w:szCs w:val="18"/>
                <w:lang w:val="es-ES"/>
              </w:rPr>
              <w:t> </w:t>
            </w:r>
            <w:r w:rsidR="00C74900" w:rsidRPr="005621ED">
              <w:rPr>
                <w:b w:val="0"/>
                <w:bCs w:val="0"/>
                <w:sz w:val="18"/>
                <w:szCs w:val="18"/>
                <w:lang w:val="es-ES"/>
              </w:rPr>
              <w:t xml:space="preserve">1B </w:t>
            </w:r>
            <w:r w:rsidR="00214D3D" w:rsidRPr="005621ED">
              <w:rPr>
                <w:sz w:val="18"/>
                <w:szCs w:val="18"/>
                <w:lang w:val="es-ES"/>
              </w:rPr>
              <w:t>–</w:t>
            </w:r>
            <w:r w:rsidR="00C74900" w:rsidRPr="005621ED">
              <w:rPr>
                <w:b w:val="0"/>
                <w:bCs w:val="0"/>
                <w:sz w:val="18"/>
                <w:szCs w:val="18"/>
                <w:lang w:val="es-ES"/>
              </w:rPr>
              <w:t xml:space="preserve"> </w:t>
            </w:r>
            <w:r w:rsidRPr="005621ED">
              <w:rPr>
                <w:b w:val="0"/>
                <w:bCs w:val="0"/>
                <w:sz w:val="18"/>
                <w:szCs w:val="18"/>
                <w:lang w:val="es-ES"/>
              </w:rPr>
              <w:t>Metodologías para la gestión del espectro y estrategias económicas</w:t>
            </w:r>
            <w:r w:rsidR="00002D25" w:rsidRPr="005621ED">
              <w:rPr>
                <w:b w:val="0"/>
                <w:bCs w:val="0"/>
                <w:sz w:val="18"/>
                <w:szCs w:val="18"/>
                <w:lang w:val="es-ES"/>
              </w:rPr>
              <w:t>. GT 1C – Comprobación técnica del espectro</w:t>
            </w:r>
          </w:p>
        </w:tc>
        <w:tc>
          <w:tcPr>
            <w:cnfStyle w:val="000100000000" w:firstRow="0" w:lastRow="0" w:firstColumn="0" w:lastColumn="1" w:oddVBand="0" w:evenVBand="0" w:oddHBand="0" w:evenHBand="0" w:firstRowFirstColumn="0" w:firstRowLastColumn="0" w:lastRowFirstColumn="0" w:lastRowLastColumn="0"/>
            <w:tcW w:w="4678" w:type="dxa"/>
          </w:tcPr>
          <w:p w14:paraId="3AABFC1E" w14:textId="72991A2D" w:rsidR="00C74900" w:rsidRPr="00214D3D" w:rsidRDefault="00C74900" w:rsidP="00E124B0">
            <w:pPr>
              <w:pStyle w:val="Tabletext"/>
              <w:rPr>
                <w:b w:val="0"/>
                <w:bCs w:val="0"/>
                <w:sz w:val="18"/>
                <w:szCs w:val="18"/>
                <w:lang w:val="es-ES"/>
              </w:rPr>
            </w:pPr>
            <w:r w:rsidRPr="00214D3D">
              <w:rPr>
                <w:b w:val="0"/>
                <w:bCs w:val="0"/>
                <w:sz w:val="18"/>
                <w:szCs w:val="18"/>
                <w:lang w:val="es-ES"/>
              </w:rPr>
              <w:t>SM.1896-1</w:t>
            </w:r>
          </w:p>
        </w:tc>
      </w:tr>
      <w:tr w:rsidR="00214D3D" w:rsidRPr="00BD3DCF" w14:paraId="01CC0174" w14:textId="77777777" w:rsidTr="00214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1" w:type="dxa"/>
            <w:hideMark/>
          </w:tcPr>
          <w:p w14:paraId="472273F9" w14:textId="6DD40B47" w:rsidR="00823AB3" w:rsidRPr="00214D3D" w:rsidRDefault="00823AB3" w:rsidP="00E124B0">
            <w:pPr>
              <w:pStyle w:val="Tabletext"/>
              <w:rPr>
                <w:b w:val="0"/>
                <w:bCs w:val="0"/>
                <w:sz w:val="18"/>
                <w:szCs w:val="18"/>
                <w:lang w:val="es-ES"/>
              </w:rPr>
            </w:pPr>
            <w:r w:rsidRPr="00214D3D">
              <w:rPr>
                <w:b w:val="0"/>
                <w:bCs w:val="0"/>
                <w:sz w:val="18"/>
                <w:szCs w:val="18"/>
                <w:lang w:val="es-ES"/>
              </w:rPr>
              <w:t>GT</w:t>
            </w:r>
            <w:r w:rsidR="00214D3D">
              <w:rPr>
                <w:b w:val="0"/>
                <w:bCs w:val="0"/>
                <w:sz w:val="18"/>
                <w:szCs w:val="18"/>
                <w:lang w:val="es-ES"/>
              </w:rPr>
              <w:t> </w:t>
            </w:r>
            <w:r w:rsidRPr="00214D3D">
              <w:rPr>
                <w:b w:val="0"/>
                <w:bCs w:val="0"/>
                <w:sz w:val="18"/>
                <w:szCs w:val="18"/>
                <w:lang w:val="es-ES"/>
              </w:rPr>
              <w:t>1C – Comprobación técnica del espectro</w:t>
            </w:r>
          </w:p>
        </w:tc>
        <w:tc>
          <w:tcPr>
            <w:cnfStyle w:val="000100000000" w:firstRow="0" w:lastRow="0" w:firstColumn="0" w:lastColumn="1" w:oddVBand="0" w:evenVBand="0" w:oddHBand="0" w:evenHBand="0" w:firstRowFirstColumn="0" w:firstRowLastColumn="0" w:lastRowFirstColumn="0" w:lastRowLastColumn="0"/>
            <w:tcW w:w="4678" w:type="dxa"/>
            <w:hideMark/>
          </w:tcPr>
          <w:p w14:paraId="0FC7DF3E" w14:textId="6962C58E" w:rsidR="00823AB3" w:rsidRPr="00214D3D" w:rsidRDefault="00823AB3" w:rsidP="00E124B0">
            <w:pPr>
              <w:pStyle w:val="Tabletext"/>
              <w:rPr>
                <w:b w:val="0"/>
                <w:bCs w:val="0"/>
                <w:sz w:val="18"/>
                <w:szCs w:val="18"/>
                <w:lang w:val="es-ES"/>
              </w:rPr>
            </w:pPr>
            <w:r w:rsidRPr="00214D3D">
              <w:rPr>
                <w:b w:val="0"/>
                <w:bCs w:val="0"/>
                <w:sz w:val="18"/>
                <w:szCs w:val="18"/>
                <w:lang w:val="es-ES"/>
              </w:rPr>
              <w:t>SM.</w:t>
            </w:r>
            <w:r w:rsidR="00C74900" w:rsidRPr="00214D3D">
              <w:rPr>
                <w:b w:val="0"/>
                <w:bCs w:val="0"/>
                <w:sz w:val="18"/>
                <w:szCs w:val="18"/>
                <w:lang w:val="es-ES"/>
              </w:rPr>
              <w:t>575-3, SM.1051-4, SM.</w:t>
            </w:r>
            <w:r w:rsidRPr="00214D3D">
              <w:rPr>
                <w:b w:val="0"/>
                <w:bCs w:val="0"/>
                <w:sz w:val="18"/>
                <w:szCs w:val="18"/>
                <w:lang w:val="es-ES"/>
              </w:rPr>
              <w:t>1054-1, SM.1268-5, SM.1392-</w:t>
            </w:r>
            <w:r w:rsidR="00C74900" w:rsidRPr="00214D3D">
              <w:rPr>
                <w:b w:val="0"/>
                <w:bCs w:val="0"/>
                <w:sz w:val="18"/>
                <w:szCs w:val="18"/>
                <w:lang w:val="es-ES"/>
              </w:rPr>
              <w:t>3</w:t>
            </w:r>
            <w:r w:rsidRPr="00214D3D">
              <w:rPr>
                <w:b w:val="0"/>
                <w:bCs w:val="0"/>
                <w:sz w:val="18"/>
                <w:szCs w:val="18"/>
                <w:lang w:val="es-ES"/>
              </w:rPr>
              <w:t>, SM.1875</w:t>
            </w:r>
            <w:r w:rsidRPr="00214D3D">
              <w:rPr>
                <w:b w:val="0"/>
                <w:bCs w:val="0"/>
                <w:sz w:val="18"/>
                <w:szCs w:val="18"/>
                <w:lang w:val="es-ES"/>
              </w:rPr>
              <w:noBreakHyphen/>
              <w:t>3, SM.</w:t>
            </w:r>
            <w:r w:rsidR="00C74900" w:rsidRPr="00214D3D">
              <w:rPr>
                <w:b w:val="0"/>
                <w:bCs w:val="0"/>
                <w:sz w:val="18"/>
                <w:szCs w:val="18"/>
                <w:lang w:val="es-ES"/>
              </w:rPr>
              <w:t>2117-0, SM.2138-0, SM.2139-0, SM.2140-0</w:t>
            </w:r>
          </w:p>
        </w:tc>
      </w:tr>
      <w:tr w:rsidR="00823AB3" w:rsidRPr="00B237E2" w14:paraId="26BB38D0" w14:textId="77777777" w:rsidTr="00214D3D">
        <w:tc>
          <w:tcPr>
            <w:cnfStyle w:val="001000000000" w:firstRow="0" w:lastRow="0" w:firstColumn="1" w:lastColumn="0" w:oddVBand="0" w:evenVBand="0" w:oddHBand="0" w:evenHBand="0" w:firstRowFirstColumn="0" w:firstRowLastColumn="0" w:lastRowFirstColumn="0" w:lastRowLastColumn="0"/>
            <w:tcW w:w="4951" w:type="dxa"/>
            <w:hideMark/>
          </w:tcPr>
          <w:p w14:paraId="0A606DE6" w14:textId="070A7803" w:rsidR="00823AB3" w:rsidRPr="00214D3D" w:rsidRDefault="00823AB3" w:rsidP="00E124B0">
            <w:pPr>
              <w:pStyle w:val="Tabletext"/>
              <w:rPr>
                <w:b w:val="0"/>
                <w:bCs w:val="0"/>
                <w:sz w:val="18"/>
                <w:szCs w:val="18"/>
                <w:lang w:val="es-ES"/>
              </w:rPr>
            </w:pPr>
            <w:r w:rsidRPr="00214D3D">
              <w:rPr>
                <w:b w:val="0"/>
                <w:bCs w:val="0"/>
                <w:sz w:val="18"/>
                <w:szCs w:val="18"/>
                <w:lang w:val="es-ES"/>
              </w:rPr>
              <w:t>GT</w:t>
            </w:r>
            <w:r w:rsidR="00214D3D">
              <w:rPr>
                <w:b w:val="0"/>
                <w:bCs w:val="0"/>
                <w:sz w:val="18"/>
                <w:szCs w:val="18"/>
                <w:lang w:val="es-ES"/>
              </w:rPr>
              <w:t> </w:t>
            </w:r>
            <w:r w:rsidRPr="00214D3D">
              <w:rPr>
                <w:b w:val="0"/>
                <w:bCs w:val="0"/>
                <w:sz w:val="18"/>
                <w:szCs w:val="18"/>
                <w:lang w:val="es-ES"/>
              </w:rPr>
              <w:t>3J – Fundamentos de la propagación</w:t>
            </w:r>
          </w:p>
        </w:tc>
        <w:tc>
          <w:tcPr>
            <w:cnfStyle w:val="000100000000" w:firstRow="0" w:lastRow="0" w:firstColumn="0" w:lastColumn="1" w:oddVBand="0" w:evenVBand="0" w:oddHBand="0" w:evenHBand="0" w:firstRowFirstColumn="0" w:firstRowLastColumn="0" w:lastRowFirstColumn="0" w:lastRowLastColumn="0"/>
            <w:tcW w:w="4678" w:type="dxa"/>
            <w:hideMark/>
          </w:tcPr>
          <w:p w14:paraId="3064D139" w14:textId="4EA0C162" w:rsidR="00823AB3" w:rsidRPr="00214D3D" w:rsidRDefault="00823AB3" w:rsidP="00E124B0">
            <w:pPr>
              <w:pStyle w:val="Tabletext"/>
              <w:rPr>
                <w:b w:val="0"/>
                <w:bCs w:val="0"/>
                <w:sz w:val="18"/>
                <w:szCs w:val="18"/>
                <w:lang w:val="es-ES"/>
              </w:rPr>
            </w:pPr>
            <w:r w:rsidRPr="00214D3D">
              <w:rPr>
                <w:b w:val="0"/>
                <w:bCs w:val="0"/>
                <w:sz w:val="18"/>
                <w:szCs w:val="18"/>
                <w:lang w:val="es-ES"/>
              </w:rPr>
              <w:t>P.310-10, P.</w:t>
            </w:r>
            <w:r w:rsidR="00C74900" w:rsidRPr="00214D3D">
              <w:rPr>
                <w:b w:val="0"/>
                <w:bCs w:val="0"/>
                <w:sz w:val="18"/>
                <w:szCs w:val="18"/>
                <w:lang w:val="es-ES"/>
              </w:rPr>
              <w:t>311-18, P.</w:t>
            </w:r>
            <w:r w:rsidRPr="00214D3D">
              <w:rPr>
                <w:b w:val="0"/>
                <w:bCs w:val="0"/>
                <w:sz w:val="18"/>
                <w:szCs w:val="18"/>
                <w:lang w:val="es-ES"/>
              </w:rPr>
              <w:t>341-7, P.453</w:t>
            </w:r>
            <w:r w:rsidRPr="00214D3D">
              <w:rPr>
                <w:b w:val="0"/>
                <w:bCs w:val="0"/>
                <w:sz w:val="18"/>
                <w:szCs w:val="18"/>
                <w:lang w:val="es-ES"/>
              </w:rPr>
              <w:noBreakHyphen/>
              <w:t>14, P.525-4, P.526</w:t>
            </w:r>
            <w:r w:rsidRPr="00214D3D">
              <w:rPr>
                <w:b w:val="0"/>
                <w:bCs w:val="0"/>
                <w:sz w:val="18"/>
                <w:szCs w:val="18"/>
                <w:lang w:val="es-ES"/>
              </w:rPr>
              <w:noBreakHyphen/>
              <w:t>15, P.527-</w:t>
            </w:r>
            <w:r w:rsidR="00C74900" w:rsidRPr="00214D3D">
              <w:rPr>
                <w:b w:val="0"/>
                <w:bCs w:val="0"/>
                <w:sz w:val="18"/>
                <w:szCs w:val="18"/>
                <w:lang w:val="es-ES"/>
              </w:rPr>
              <w:t>6</w:t>
            </w:r>
            <w:r w:rsidRPr="00214D3D">
              <w:rPr>
                <w:b w:val="0"/>
                <w:bCs w:val="0"/>
                <w:sz w:val="18"/>
                <w:szCs w:val="18"/>
                <w:lang w:val="es-ES"/>
              </w:rPr>
              <w:t>, P.676</w:t>
            </w:r>
            <w:r w:rsidRPr="00214D3D">
              <w:rPr>
                <w:b w:val="0"/>
                <w:bCs w:val="0"/>
                <w:sz w:val="18"/>
                <w:szCs w:val="18"/>
                <w:lang w:val="es-ES"/>
              </w:rPr>
              <w:noBreakHyphen/>
              <w:t>12, P.</w:t>
            </w:r>
            <w:r w:rsidR="00C74900" w:rsidRPr="00214D3D">
              <w:rPr>
                <w:b w:val="0"/>
                <w:bCs w:val="0"/>
                <w:sz w:val="18"/>
                <w:szCs w:val="18"/>
                <w:lang w:val="es-ES"/>
              </w:rPr>
              <w:t>833-10, P.</w:t>
            </w:r>
            <w:r w:rsidRPr="00214D3D">
              <w:rPr>
                <w:b w:val="0"/>
                <w:bCs w:val="0"/>
                <w:sz w:val="18"/>
                <w:szCs w:val="18"/>
                <w:lang w:val="es-ES"/>
              </w:rPr>
              <w:t>840</w:t>
            </w:r>
            <w:r w:rsidRPr="00214D3D">
              <w:rPr>
                <w:b w:val="0"/>
                <w:bCs w:val="0"/>
                <w:sz w:val="18"/>
                <w:szCs w:val="18"/>
                <w:lang w:val="es-ES"/>
              </w:rPr>
              <w:noBreakHyphen/>
              <w:t>8, P.841</w:t>
            </w:r>
            <w:r w:rsidRPr="00214D3D">
              <w:rPr>
                <w:b w:val="0"/>
                <w:bCs w:val="0"/>
                <w:sz w:val="18"/>
                <w:szCs w:val="18"/>
                <w:lang w:val="es-ES"/>
              </w:rPr>
              <w:noBreakHyphen/>
              <w:t>6, P.1057</w:t>
            </w:r>
            <w:r w:rsidRPr="00214D3D">
              <w:rPr>
                <w:b w:val="0"/>
                <w:bCs w:val="0"/>
                <w:sz w:val="18"/>
                <w:szCs w:val="18"/>
                <w:lang w:val="es-ES"/>
              </w:rPr>
              <w:noBreakHyphen/>
              <w:t xml:space="preserve">6, </w:t>
            </w:r>
            <w:r w:rsidR="00C74900" w:rsidRPr="00214D3D">
              <w:rPr>
                <w:b w:val="0"/>
                <w:bCs w:val="0"/>
                <w:sz w:val="18"/>
                <w:szCs w:val="18"/>
                <w:lang w:val="es-ES"/>
              </w:rPr>
              <w:t xml:space="preserve">P.1144-11, </w:t>
            </w:r>
            <w:r w:rsidRPr="00214D3D">
              <w:rPr>
                <w:b w:val="0"/>
                <w:bCs w:val="0"/>
                <w:sz w:val="18"/>
                <w:szCs w:val="18"/>
                <w:lang w:val="es-ES"/>
              </w:rPr>
              <w:t>P.1407</w:t>
            </w:r>
            <w:r w:rsidRPr="00214D3D">
              <w:rPr>
                <w:b w:val="0"/>
                <w:bCs w:val="0"/>
                <w:sz w:val="18"/>
                <w:szCs w:val="18"/>
                <w:lang w:val="es-ES"/>
              </w:rPr>
              <w:noBreakHyphen/>
            </w:r>
            <w:r w:rsidR="00C74900" w:rsidRPr="00214D3D">
              <w:rPr>
                <w:b w:val="0"/>
                <w:bCs w:val="0"/>
                <w:sz w:val="18"/>
                <w:szCs w:val="18"/>
                <w:lang w:val="es-ES"/>
              </w:rPr>
              <w:t>8</w:t>
            </w:r>
            <w:r w:rsidRPr="00214D3D">
              <w:rPr>
                <w:b w:val="0"/>
                <w:bCs w:val="0"/>
                <w:sz w:val="18"/>
                <w:szCs w:val="18"/>
                <w:lang w:val="es-ES"/>
              </w:rPr>
              <w:t>, P.1511-2, P.1853-2</w:t>
            </w:r>
            <w:r w:rsidR="00C74900" w:rsidRPr="00214D3D">
              <w:rPr>
                <w:b w:val="0"/>
                <w:bCs w:val="0"/>
                <w:sz w:val="18"/>
                <w:szCs w:val="18"/>
                <w:lang w:val="es-ES"/>
              </w:rPr>
              <w:t>, P.2040-2, P.2108</w:t>
            </w:r>
            <w:r w:rsidR="00214D3D">
              <w:rPr>
                <w:b w:val="0"/>
                <w:bCs w:val="0"/>
                <w:sz w:val="18"/>
                <w:szCs w:val="18"/>
                <w:lang w:val="es-ES"/>
              </w:rPr>
              <w:noBreakHyphen/>
            </w:r>
            <w:r w:rsidR="00C74900" w:rsidRPr="00214D3D">
              <w:rPr>
                <w:b w:val="0"/>
                <w:bCs w:val="0"/>
                <w:sz w:val="18"/>
                <w:szCs w:val="18"/>
                <w:lang w:val="es-ES"/>
              </w:rPr>
              <w:t>1, P.2109-1</w:t>
            </w:r>
          </w:p>
        </w:tc>
      </w:tr>
      <w:tr w:rsidR="00214D3D" w:rsidRPr="00B237E2" w14:paraId="32EF13AC" w14:textId="77777777" w:rsidTr="00214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1" w:type="dxa"/>
            <w:hideMark/>
          </w:tcPr>
          <w:p w14:paraId="777F483B" w14:textId="24232DAD" w:rsidR="00823AB3" w:rsidRPr="00214D3D" w:rsidRDefault="00823AB3" w:rsidP="00E124B0">
            <w:pPr>
              <w:pStyle w:val="Tabletext"/>
              <w:rPr>
                <w:b w:val="0"/>
                <w:bCs w:val="0"/>
                <w:sz w:val="18"/>
                <w:szCs w:val="18"/>
                <w:lang w:val="es-ES"/>
              </w:rPr>
            </w:pPr>
            <w:r w:rsidRPr="00214D3D">
              <w:rPr>
                <w:b w:val="0"/>
                <w:bCs w:val="0"/>
                <w:sz w:val="18"/>
                <w:szCs w:val="18"/>
                <w:lang w:val="es-ES"/>
              </w:rPr>
              <w:t>GT</w:t>
            </w:r>
            <w:r w:rsidR="00214D3D">
              <w:rPr>
                <w:b w:val="0"/>
                <w:bCs w:val="0"/>
                <w:sz w:val="18"/>
                <w:szCs w:val="18"/>
                <w:lang w:val="es-ES"/>
              </w:rPr>
              <w:t> </w:t>
            </w:r>
            <w:r w:rsidRPr="00214D3D">
              <w:rPr>
                <w:b w:val="0"/>
                <w:bCs w:val="0"/>
                <w:sz w:val="18"/>
                <w:szCs w:val="18"/>
                <w:lang w:val="es-ES"/>
              </w:rPr>
              <w:t xml:space="preserve">3K – Propagación punto a </w:t>
            </w:r>
            <w:r w:rsidR="00B54C95" w:rsidRPr="00214D3D">
              <w:rPr>
                <w:b w:val="0"/>
                <w:bCs w:val="0"/>
                <w:sz w:val="18"/>
                <w:szCs w:val="18"/>
                <w:lang w:val="es-ES"/>
              </w:rPr>
              <w:t>punto</w:t>
            </w:r>
          </w:p>
        </w:tc>
        <w:tc>
          <w:tcPr>
            <w:cnfStyle w:val="000100000000" w:firstRow="0" w:lastRow="0" w:firstColumn="0" w:lastColumn="1" w:oddVBand="0" w:evenVBand="0" w:oddHBand="0" w:evenHBand="0" w:firstRowFirstColumn="0" w:firstRowLastColumn="0" w:lastRowFirstColumn="0" w:lastRowLastColumn="0"/>
            <w:tcW w:w="4678" w:type="dxa"/>
            <w:hideMark/>
          </w:tcPr>
          <w:p w14:paraId="6902FE9F" w14:textId="2E5604FC" w:rsidR="00823AB3" w:rsidRPr="00214D3D" w:rsidRDefault="00823AB3" w:rsidP="00E124B0">
            <w:pPr>
              <w:pStyle w:val="Tabletext"/>
              <w:rPr>
                <w:b w:val="0"/>
                <w:bCs w:val="0"/>
                <w:sz w:val="18"/>
                <w:szCs w:val="18"/>
                <w:lang w:val="es-ES"/>
              </w:rPr>
            </w:pPr>
            <w:r w:rsidRPr="00214D3D">
              <w:rPr>
                <w:b w:val="0"/>
                <w:bCs w:val="0"/>
                <w:sz w:val="18"/>
                <w:szCs w:val="18"/>
                <w:lang w:val="es-ES"/>
              </w:rPr>
              <w:t>P.</w:t>
            </w:r>
            <w:r w:rsidR="00C74900" w:rsidRPr="00214D3D">
              <w:rPr>
                <w:b w:val="0"/>
                <w:bCs w:val="0"/>
                <w:sz w:val="18"/>
                <w:szCs w:val="18"/>
                <w:lang w:val="es-ES"/>
              </w:rPr>
              <w:t>311-18, P.</w:t>
            </w:r>
            <w:r w:rsidRPr="00214D3D">
              <w:rPr>
                <w:b w:val="0"/>
                <w:bCs w:val="0"/>
                <w:sz w:val="18"/>
                <w:szCs w:val="18"/>
                <w:lang w:val="es-ES"/>
              </w:rPr>
              <w:t>528-</w:t>
            </w:r>
            <w:r w:rsidR="00C74900" w:rsidRPr="00214D3D">
              <w:rPr>
                <w:b w:val="0"/>
                <w:bCs w:val="0"/>
                <w:sz w:val="18"/>
                <w:szCs w:val="18"/>
                <w:lang w:val="es-ES"/>
              </w:rPr>
              <w:t>5</w:t>
            </w:r>
            <w:r w:rsidRPr="00214D3D">
              <w:rPr>
                <w:b w:val="0"/>
                <w:bCs w:val="0"/>
                <w:sz w:val="18"/>
                <w:szCs w:val="18"/>
                <w:lang w:val="es-ES"/>
              </w:rPr>
              <w:t xml:space="preserve">, </w:t>
            </w:r>
            <w:r w:rsidR="00C74900" w:rsidRPr="00214D3D">
              <w:rPr>
                <w:b w:val="0"/>
                <w:bCs w:val="0"/>
                <w:sz w:val="18"/>
                <w:szCs w:val="18"/>
                <w:lang w:val="es-ES"/>
              </w:rPr>
              <w:t xml:space="preserve">P.1144-11, </w:t>
            </w:r>
            <w:r w:rsidRPr="00214D3D">
              <w:rPr>
                <w:b w:val="0"/>
                <w:bCs w:val="0"/>
                <w:sz w:val="18"/>
                <w:szCs w:val="18"/>
                <w:lang w:val="es-ES"/>
              </w:rPr>
              <w:t>P.1238-</w:t>
            </w:r>
            <w:r w:rsidR="00C74900" w:rsidRPr="00214D3D">
              <w:rPr>
                <w:b w:val="0"/>
                <w:bCs w:val="0"/>
                <w:sz w:val="18"/>
                <w:szCs w:val="18"/>
                <w:lang w:val="es-ES"/>
              </w:rPr>
              <w:t>11</w:t>
            </w:r>
            <w:r w:rsidRPr="00214D3D">
              <w:rPr>
                <w:b w:val="0"/>
                <w:bCs w:val="0"/>
                <w:sz w:val="18"/>
                <w:szCs w:val="18"/>
                <w:lang w:val="es-ES"/>
              </w:rPr>
              <w:t>, P.1411-</w:t>
            </w:r>
            <w:r w:rsidR="00C74900" w:rsidRPr="00214D3D">
              <w:rPr>
                <w:b w:val="0"/>
                <w:bCs w:val="0"/>
                <w:sz w:val="18"/>
                <w:szCs w:val="18"/>
                <w:lang w:val="es-ES"/>
              </w:rPr>
              <w:t>11</w:t>
            </w:r>
            <w:r w:rsidRPr="00214D3D">
              <w:rPr>
                <w:b w:val="0"/>
                <w:bCs w:val="0"/>
                <w:sz w:val="18"/>
                <w:szCs w:val="18"/>
                <w:lang w:val="es-ES"/>
              </w:rPr>
              <w:t>, P.1546</w:t>
            </w:r>
            <w:r w:rsidR="009223E4">
              <w:rPr>
                <w:b w:val="0"/>
                <w:bCs w:val="0"/>
                <w:sz w:val="18"/>
                <w:szCs w:val="18"/>
                <w:lang w:val="es-ES"/>
              </w:rPr>
              <w:noBreakHyphen/>
            </w:r>
            <w:r w:rsidRPr="00214D3D">
              <w:rPr>
                <w:b w:val="0"/>
                <w:bCs w:val="0"/>
                <w:sz w:val="18"/>
                <w:szCs w:val="18"/>
                <w:lang w:val="es-ES"/>
              </w:rPr>
              <w:t>6, P.1812</w:t>
            </w:r>
            <w:r w:rsidRPr="00214D3D">
              <w:rPr>
                <w:b w:val="0"/>
                <w:bCs w:val="0"/>
                <w:sz w:val="18"/>
                <w:szCs w:val="18"/>
                <w:lang w:val="es-ES"/>
              </w:rPr>
              <w:noBreakHyphen/>
            </w:r>
            <w:r w:rsidR="00C74900" w:rsidRPr="00214D3D">
              <w:rPr>
                <w:b w:val="0"/>
                <w:bCs w:val="0"/>
                <w:sz w:val="18"/>
                <w:szCs w:val="18"/>
                <w:lang w:val="es-ES"/>
              </w:rPr>
              <w:t>6</w:t>
            </w:r>
            <w:r w:rsidRPr="00214D3D">
              <w:rPr>
                <w:b w:val="0"/>
                <w:bCs w:val="0"/>
                <w:sz w:val="18"/>
                <w:szCs w:val="18"/>
                <w:lang w:val="es-ES"/>
              </w:rPr>
              <w:t>, P.1816-4, P.</w:t>
            </w:r>
            <w:r w:rsidR="00C74900" w:rsidRPr="00214D3D">
              <w:rPr>
                <w:b w:val="0"/>
                <w:bCs w:val="0"/>
                <w:sz w:val="18"/>
                <w:szCs w:val="18"/>
                <w:lang w:val="es-ES"/>
              </w:rPr>
              <w:t>2040-2, P.2108-1, P.</w:t>
            </w:r>
            <w:r w:rsidRPr="00214D3D">
              <w:rPr>
                <w:b w:val="0"/>
                <w:bCs w:val="0"/>
                <w:sz w:val="18"/>
                <w:szCs w:val="18"/>
                <w:lang w:val="es-ES"/>
              </w:rPr>
              <w:t>2109-1</w:t>
            </w:r>
          </w:p>
        </w:tc>
      </w:tr>
      <w:tr w:rsidR="00823AB3" w:rsidRPr="00B237E2" w14:paraId="06AC6465" w14:textId="77777777" w:rsidTr="00214D3D">
        <w:tc>
          <w:tcPr>
            <w:cnfStyle w:val="001000000000" w:firstRow="0" w:lastRow="0" w:firstColumn="1" w:lastColumn="0" w:oddVBand="0" w:evenVBand="0" w:oddHBand="0" w:evenHBand="0" w:firstRowFirstColumn="0" w:firstRowLastColumn="0" w:lastRowFirstColumn="0" w:lastRowLastColumn="0"/>
            <w:tcW w:w="4951" w:type="dxa"/>
            <w:hideMark/>
          </w:tcPr>
          <w:p w14:paraId="18D27545" w14:textId="70DB976D" w:rsidR="00823AB3" w:rsidRPr="00214D3D" w:rsidRDefault="00823AB3" w:rsidP="00E124B0">
            <w:pPr>
              <w:pStyle w:val="Tabletext"/>
              <w:rPr>
                <w:b w:val="0"/>
                <w:bCs w:val="0"/>
                <w:sz w:val="18"/>
                <w:szCs w:val="18"/>
                <w:lang w:val="es-ES"/>
              </w:rPr>
            </w:pPr>
            <w:r w:rsidRPr="00214D3D">
              <w:rPr>
                <w:b w:val="0"/>
                <w:bCs w:val="0"/>
                <w:sz w:val="18"/>
                <w:szCs w:val="18"/>
                <w:lang w:val="es-ES"/>
              </w:rPr>
              <w:t>GT</w:t>
            </w:r>
            <w:r w:rsidR="009223E4">
              <w:rPr>
                <w:b w:val="0"/>
                <w:bCs w:val="0"/>
                <w:sz w:val="18"/>
                <w:szCs w:val="18"/>
                <w:lang w:val="es-ES"/>
              </w:rPr>
              <w:t> </w:t>
            </w:r>
            <w:r w:rsidRPr="00214D3D">
              <w:rPr>
                <w:b w:val="0"/>
                <w:bCs w:val="0"/>
                <w:sz w:val="18"/>
                <w:szCs w:val="18"/>
                <w:lang w:val="es-ES"/>
              </w:rPr>
              <w:t>3L – Propagación ionosférica y ruido radioeléctrico</w:t>
            </w:r>
          </w:p>
        </w:tc>
        <w:tc>
          <w:tcPr>
            <w:cnfStyle w:val="000100000000" w:firstRow="0" w:lastRow="0" w:firstColumn="0" w:lastColumn="1" w:oddVBand="0" w:evenVBand="0" w:oddHBand="0" w:evenHBand="0" w:firstRowFirstColumn="0" w:firstRowLastColumn="0" w:lastRowFirstColumn="0" w:lastRowLastColumn="0"/>
            <w:tcW w:w="4678" w:type="dxa"/>
            <w:hideMark/>
          </w:tcPr>
          <w:p w14:paraId="5CE98BFE" w14:textId="139CE6F7" w:rsidR="00823AB3" w:rsidRPr="00214D3D" w:rsidRDefault="00823AB3" w:rsidP="00E124B0">
            <w:pPr>
              <w:pStyle w:val="Tabletext"/>
              <w:rPr>
                <w:b w:val="0"/>
                <w:bCs w:val="0"/>
                <w:sz w:val="18"/>
                <w:szCs w:val="18"/>
                <w:lang w:val="es-ES"/>
              </w:rPr>
            </w:pPr>
            <w:r w:rsidRPr="00214D3D">
              <w:rPr>
                <w:b w:val="0"/>
                <w:bCs w:val="0"/>
                <w:sz w:val="18"/>
                <w:szCs w:val="18"/>
                <w:lang w:val="es-ES"/>
              </w:rPr>
              <w:t>P.</w:t>
            </w:r>
            <w:r w:rsidR="00C74900" w:rsidRPr="00214D3D">
              <w:rPr>
                <w:b w:val="0"/>
                <w:bCs w:val="0"/>
                <w:sz w:val="18"/>
                <w:szCs w:val="18"/>
                <w:lang w:val="es-ES"/>
              </w:rPr>
              <w:t>311-18, P.</w:t>
            </w:r>
            <w:r w:rsidRPr="00214D3D">
              <w:rPr>
                <w:b w:val="0"/>
                <w:bCs w:val="0"/>
                <w:sz w:val="18"/>
                <w:szCs w:val="18"/>
                <w:lang w:val="es-ES"/>
              </w:rPr>
              <w:t>372-</w:t>
            </w:r>
            <w:r w:rsidR="00C74900" w:rsidRPr="00214D3D">
              <w:rPr>
                <w:b w:val="0"/>
                <w:bCs w:val="0"/>
                <w:sz w:val="18"/>
                <w:szCs w:val="18"/>
                <w:lang w:val="es-ES"/>
              </w:rPr>
              <w:t>15</w:t>
            </w:r>
            <w:r w:rsidRPr="00214D3D">
              <w:rPr>
                <w:b w:val="0"/>
                <w:bCs w:val="0"/>
                <w:sz w:val="18"/>
                <w:szCs w:val="18"/>
                <w:lang w:val="es-ES"/>
              </w:rPr>
              <w:t>, P.531-14, P.533</w:t>
            </w:r>
            <w:r w:rsidRPr="00214D3D">
              <w:rPr>
                <w:b w:val="0"/>
                <w:bCs w:val="0"/>
                <w:sz w:val="18"/>
                <w:szCs w:val="18"/>
                <w:lang w:val="es-ES"/>
              </w:rPr>
              <w:noBreakHyphen/>
              <w:t>14</w:t>
            </w:r>
            <w:r w:rsidR="00C74900" w:rsidRPr="00214D3D">
              <w:rPr>
                <w:b w:val="0"/>
                <w:bCs w:val="0"/>
                <w:sz w:val="18"/>
                <w:szCs w:val="18"/>
                <w:lang w:val="es-ES"/>
              </w:rPr>
              <w:t>, P.534-6, P.1144-11</w:t>
            </w:r>
          </w:p>
        </w:tc>
      </w:tr>
      <w:tr w:rsidR="00214D3D" w:rsidRPr="00B237E2" w14:paraId="58C93464" w14:textId="77777777" w:rsidTr="00214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1" w:type="dxa"/>
            <w:hideMark/>
          </w:tcPr>
          <w:p w14:paraId="1E94375B" w14:textId="7279F98D" w:rsidR="00823AB3" w:rsidRPr="00214D3D" w:rsidRDefault="00823AB3" w:rsidP="00E124B0">
            <w:pPr>
              <w:pStyle w:val="Tabletext"/>
              <w:rPr>
                <w:b w:val="0"/>
                <w:bCs w:val="0"/>
                <w:sz w:val="18"/>
                <w:szCs w:val="18"/>
                <w:lang w:val="es-ES"/>
              </w:rPr>
            </w:pPr>
            <w:r w:rsidRPr="00214D3D">
              <w:rPr>
                <w:b w:val="0"/>
                <w:bCs w:val="0"/>
                <w:sz w:val="18"/>
                <w:szCs w:val="18"/>
                <w:lang w:val="es-ES"/>
              </w:rPr>
              <w:t>GT</w:t>
            </w:r>
            <w:r w:rsidR="009223E4">
              <w:rPr>
                <w:b w:val="0"/>
                <w:bCs w:val="0"/>
                <w:sz w:val="18"/>
                <w:szCs w:val="18"/>
                <w:lang w:val="es-ES"/>
              </w:rPr>
              <w:t> </w:t>
            </w:r>
            <w:r w:rsidRPr="00214D3D">
              <w:rPr>
                <w:b w:val="0"/>
                <w:bCs w:val="0"/>
                <w:sz w:val="18"/>
                <w:szCs w:val="18"/>
                <w:lang w:val="es-ES"/>
              </w:rPr>
              <w:t>3M – Propagación punto a punto y Tierra</w:t>
            </w:r>
            <w:r w:rsidRPr="00214D3D">
              <w:rPr>
                <w:b w:val="0"/>
                <w:bCs w:val="0"/>
                <w:sz w:val="18"/>
                <w:szCs w:val="18"/>
                <w:lang w:val="es-ES"/>
              </w:rPr>
              <w:noBreakHyphen/>
              <w:t>espacio</w:t>
            </w:r>
          </w:p>
        </w:tc>
        <w:tc>
          <w:tcPr>
            <w:cnfStyle w:val="000100000000" w:firstRow="0" w:lastRow="0" w:firstColumn="0" w:lastColumn="1" w:oddVBand="0" w:evenVBand="0" w:oddHBand="0" w:evenHBand="0" w:firstRowFirstColumn="0" w:firstRowLastColumn="0" w:lastRowFirstColumn="0" w:lastRowLastColumn="0"/>
            <w:tcW w:w="4678" w:type="dxa"/>
            <w:hideMark/>
          </w:tcPr>
          <w:p w14:paraId="371C6E88" w14:textId="1296B46A" w:rsidR="00823AB3" w:rsidRPr="00214D3D" w:rsidRDefault="00823AB3" w:rsidP="00E124B0">
            <w:pPr>
              <w:pStyle w:val="Tabletext"/>
              <w:rPr>
                <w:b w:val="0"/>
                <w:bCs w:val="0"/>
                <w:sz w:val="18"/>
                <w:szCs w:val="18"/>
                <w:lang w:val="es-ES"/>
              </w:rPr>
            </w:pPr>
            <w:r w:rsidRPr="00214D3D">
              <w:rPr>
                <w:b w:val="0"/>
                <w:bCs w:val="0"/>
                <w:sz w:val="18"/>
                <w:szCs w:val="18"/>
                <w:lang w:val="es-ES"/>
              </w:rPr>
              <w:t>P.</w:t>
            </w:r>
            <w:r w:rsidR="00C74900" w:rsidRPr="00214D3D">
              <w:rPr>
                <w:b w:val="0"/>
                <w:bCs w:val="0"/>
                <w:sz w:val="18"/>
                <w:szCs w:val="18"/>
                <w:lang w:val="es-ES"/>
              </w:rPr>
              <w:t>311-18, P.452-17, P.530-18, P.</w:t>
            </w:r>
            <w:r w:rsidRPr="00214D3D">
              <w:rPr>
                <w:b w:val="0"/>
                <w:bCs w:val="0"/>
                <w:sz w:val="18"/>
                <w:szCs w:val="18"/>
                <w:lang w:val="es-ES"/>
              </w:rPr>
              <w:t>617-5, P.619-</w:t>
            </w:r>
            <w:r w:rsidR="00C74900" w:rsidRPr="00214D3D">
              <w:rPr>
                <w:b w:val="0"/>
                <w:bCs w:val="0"/>
                <w:sz w:val="18"/>
                <w:szCs w:val="18"/>
                <w:lang w:val="es-ES"/>
              </w:rPr>
              <w:t>5</w:t>
            </w:r>
            <w:r w:rsidRPr="00214D3D">
              <w:rPr>
                <w:b w:val="0"/>
                <w:bCs w:val="0"/>
                <w:sz w:val="18"/>
                <w:szCs w:val="18"/>
                <w:lang w:val="es-ES"/>
              </w:rPr>
              <w:t>, P.681</w:t>
            </w:r>
            <w:r w:rsidRPr="00214D3D">
              <w:rPr>
                <w:b w:val="0"/>
                <w:bCs w:val="0"/>
                <w:sz w:val="18"/>
                <w:szCs w:val="18"/>
                <w:lang w:val="es-ES"/>
              </w:rPr>
              <w:noBreakHyphen/>
              <w:t>11, P.1144-</w:t>
            </w:r>
            <w:r w:rsidR="00C74900" w:rsidRPr="00214D3D">
              <w:rPr>
                <w:b w:val="0"/>
                <w:bCs w:val="0"/>
                <w:sz w:val="18"/>
                <w:szCs w:val="18"/>
                <w:lang w:val="es-ES"/>
              </w:rPr>
              <w:t>11</w:t>
            </w:r>
            <w:r w:rsidRPr="00214D3D">
              <w:rPr>
                <w:b w:val="0"/>
                <w:bCs w:val="0"/>
                <w:sz w:val="18"/>
                <w:szCs w:val="18"/>
                <w:lang w:val="es-ES"/>
              </w:rPr>
              <w:t xml:space="preserve">, </w:t>
            </w:r>
            <w:r w:rsidR="00C74900" w:rsidRPr="00214D3D">
              <w:rPr>
                <w:b w:val="0"/>
                <w:bCs w:val="0"/>
                <w:sz w:val="18"/>
                <w:szCs w:val="18"/>
                <w:lang w:val="es-ES"/>
              </w:rPr>
              <w:t xml:space="preserve">P.1409-2, </w:t>
            </w:r>
            <w:r w:rsidRPr="00214D3D">
              <w:rPr>
                <w:b w:val="0"/>
                <w:bCs w:val="0"/>
                <w:sz w:val="18"/>
                <w:szCs w:val="18"/>
                <w:lang w:val="es-ES"/>
              </w:rPr>
              <w:t>P.2001-</w:t>
            </w:r>
            <w:r w:rsidR="00C74900" w:rsidRPr="00214D3D">
              <w:rPr>
                <w:b w:val="0"/>
                <w:bCs w:val="0"/>
                <w:sz w:val="18"/>
                <w:szCs w:val="18"/>
                <w:lang w:val="es-ES"/>
              </w:rPr>
              <w:t>4, P.2040-2, P.2108-1, P.2109-1</w:t>
            </w:r>
          </w:p>
        </w:tc>
      </w:tr>
      <w:tr w:rsidR="00823AB3" w:rsidRPr="00B237E2" w14:paraId="56069259" w14:textId="77777777" w:rsidTr="00214D3D">
        <w:tc>
          <w:tcPr>
            <w:cnfStyle w:val="001000000000" w:firstRow="0" w:lastRow="0" w:firstColumn="1" w:lastColumn="0" w:oddVBand="0" w:evenVBand="0" w:oddHBand="0" w:evenHBand="0" w:firstRowFirstColumn="0" w:firstRowLastColumn="0" w:lastRowFirstColumn="0" w:lastRowLastColumn="0"/>
            <w:tcW w:w="4951" w:type="dxa"/>
            <w:hideMark/>
          </w:tcPr>
          <w:p w14:paraId="39EBCA21" w14:textId="62A8CFF8" w:rsidR="00823AB3" w:rsidRPr="00214D3D" w:rsidRDefault="00823AB3" w:rsidP="00E124B0">
            <w:pPr>
              <w:pStyle w:val="Tabletext"/>
              <w:rPr>
                <w:b w:val="0"/>
                <w:bCs w:val="0"/>
                <w:sz w:val="18"/>
                <w:szCs w:val="18"/>
                <w:lang w:val="es-ES"/>
              </w:rPr>
            </w:pPr>
            <w:r w:rsidRPr="00214D3D">
              <w:rPr>
                <w:b w:val="0"/>
                <w:bCs w:val="0"/>
                <w:sz w:val="18"/>
                <w:szCs w:val="18"/>
                <w:lang w:val="es-ES"/>
              </w:rPr>
              <w:t>GT</w:t>
            </w:r>
            <w:r w:rsidR="009223E4">
              <w:rPr>
                <w:b w:val="0"/>
                <w:bCs w:val="0"/>
                <w:sz w:val="18"/>
                <w:szCs w:val="18"/>
                <w:lang w:val="es-ES"/>
              </w:rPr>
              <w:t> </w:t>
            </w:r>
            <w:r w:rsidRPr="00214D3D">
              <w:rPr>
                <w:b w:val="0"/>
                <w:bCs w:val="0"/>
                <w:sz w:val="18"/>
                <w:szCs w:val="18"/>
                <w:lang w:val="es-ES"/>
              </w:rPr>
              <w:t xml:space="preserve">4A – Utilización eficaz de la órbita y </w:t>
            </w:r>
            <w:r w:rsidR="00353E45" w:rsidRPr="00214D3D">
              <w:rPr>
                <w:b w:val="0"/>
                <w:bCs w:val="0"/>
                <w:sz w:val="18"/>
                <w:szCs w:val="18"/>
                <w:lang w:val="es-ES"/>
              </w:rPr>
              <w:t>de los satélites</w:t>
            </w:r>
            <w:r w:rsidRPr="00214D3D">
              <w:rPr>
                <w:b w:val="0"/>
                <w:bCs w:val="0"/>
                <w:sz w:val="18"/>
                <w:szCs w:val="18"/>
                <w:lang w:val="es-ES"/>
              </w:rPr>
              <w:t xml:space="preserve"> para el SFS y el SRS</w:t>
            </w:r>
          </w:p>
        </w:tc>
        <w:tc>
          <w:tcPr>
            <w:cnfStyle w:val="000100000000" w:firstRow="0" w:lastRow="0" w:firstColumn="0" w:lastColumn="1" w:oddVBand="0" w:evenVBand="0" w:oddHBand="0" w:evenHBand="0" w:firstRowFirstColumn="0" w:firstRowLastColumn="0" w:lastRowFirstColumn="0" w:lastRowLastColumn="0"/>
            <w:tcW w:w="4678" w:type="dxa"/>
            <w:hideMark/>
          </w:tcPr>
          <w:p w14:paraId="25B619C0" w14:textId="016C158B" w:rsidR="00823AB3" w:rsidRPr="00214D3D" w:rsidRDefault="00C74900" w:rsidP="00E124B0">
            <w:pPr>
              <w:pStyle w:val="Tabletext"/>
              <w:rPr>
                <w:b w:val="0"/>
                <w:bCs w:val="0"/>
                <w:sz w:val="18"/>
                <w:szCs w:val="18"/>
                <w:lang w:val="es-ES"/>
              </w:rPr>
            </w:pPr>
            <w:r w:rsidRPr="00214D3D">
              <w:rPr>
                <w:b w:val="0"/>
                <w:bCs w:val="0"/>
                <w:sz w:val="18"/>
                <w:szCs w:val="18"/>
                <w:lang w:val="es-ES"/>
              </w:rPr>
              <w:t xml:space="preserve">S.1503-3, </w:t>
            </w:r>
            <w:r w:rsidR="00823AB3" w:rsidRPr="00214D3D">
              <w:rPr>
                <w:b w:val="0"/>
                <w:bCs w:val="0"/>
                <w:sz w:val="18"/>
                <w:szCs w:val="18"/>
                <w:lang w:val="es-ES"/>
              </w:rPr>
              <w:t>S.1782-1</w:t>
            </w:r>
            <w:r w:rsidRPr="00214D3D">
              <w:rPr>
                <w:b w:val="0"/>
                <w:bCs w:val="0"/>
                <w:sz w:val="18"/>
                <w:szCs w:val="18"/>
                <w:lang w:val="es-ES"/>
              </w:rPr>
              <w:t>, S.2112-0</w:t>
            </w:r>
          </w:p>
        </w:tc>
      </w:tr>
      <w:tr w:rsidR="00214D3D" w:rsidRPr="00B237E2" w14:paraId="4A9E8DE3" w14:textId="77777777" w:rsidTr="00214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1" w:type="dxa"/>
            <w:hideMark/>
          </w:tcPr>
          <w:p w14:paraId="552931A1" w14:textId="43FEF6ED" w:rsidR="00823AB3" w:rsidRPr="00214D3D" w:rsidRDefault="00823AB3" w:rsidP="00E124B0">
            <w:pPr>
              <w:pStyle w:val="Tabletext"/>
              <w:rPr>
                <w:b w:val="0"/>
                <w:bCs w:val="0"/>
                <w:sz w:val="18"/>
                <w:szCs w:val="18"/>
                <w:lang w:val="es-ES"/>
              </w:rPr>
            </w:pPr>
            <w:r w:rsidRPr="00214D3D">
              <w:rPr>
                <w:b w:val="0"/>
                <w:bCs w:val="0"/>
                <w:sz w:val="18"/>
                <w:szCs w:val="18"/>
                <w:lang w:val="es-ES"/>
              </w:rPr>
              <w:t>GT</w:t>
            </w:r>
            <w:r w:rsidR="009223E4">
              <w:rPr>
                <w:b w:val="0"/>
                <w:bCs w:val="0"/>
                <w:sz w:val="18"/>
                <w:szCs w:val="18"/>
                <w:lang w:val="es-ES"/>
              </w:rPr>
              <w:t> </w:t>
            </w:r>
            <w:r w:rsidRPr="00214D3D">
              <w:rPr>
                <w:b w:val="0"/>
                <w:bCs w:val="0"/>
                <w:sz w:val="18"/>
                <w:szCs w:val="18"/>
                <w:lang w:val="es-ES"/>
              </w:rPr>
              <w:t>4B – Sistemas, interfaces radioeléctricas, objetivos de calidad de funcionamiento y de disponibilidad para el SFS, SRS y SMS</w:t>
            </w:r>
            <w:r w:rsidR="00353E45" w:rsidRPr="00214D3D">
              <w:rPr>
                <w:b w:val="0"/>
                <w:bCs w:val="0"/>
                <w:sz w:val="18"/>
                <w:szCs w:val="18"/>
                <w:lang w:val="es-ES"/>
              </w:rPr>
              <w:t xml:space="preserve"> (incluidas</w:t>
            </w:r>
            <w:r w:rsidRPr="00214D3D">
              <w:rPr>
                <w:b w:val="0"/>
                <w:bCs w:val="0"/>
                <w:sz w:val="18"/>
                <w:szCs w:val="18"/>
                <w:lang w:val="es-ES"/>
              </w:rPr>
              <w:t xml:space="preserve"> aplicaciones basadas en IP </w:t>
            </w:r>
            <w:r w:rsidR="00353E45" w:rsidRPr="00214D3D">
              <w:rPr>
                <w:b w:val="0"/>
                <w:bCs w:val="0"/>
                <w:sz w:val="18"/>
                <w:szCs w:val="18"/>
                <w:lang w:val="es-ES"/>
              </w:rPr>
              <w:t>y SNG)</w:t>
            </w:r>
            <w:r w:rsidR="000117A8" w:rsidRPr="005621ED">
              <w:rPr>
                <w:b w:val="0"/>
                <w:bCs w:val="0"/>
                <w:sz w:val="18"/>
                <w:szCs w:val="18"/>
                <w:lang w:val="es-ES"/>
              </w:rPr>
              <w:t>. GT 4C – Utilización eficaz de la órbita y de los satélites para el SMS y el SRDS</w:t>
            </w:r>
          </w:p>
        </w:tc>
        <w:tc>
          <w:tcPr>
            <w:cnfStyle w:val="000100000000" w:firstRow="0" w:lastRow="0" w:firstColumn="0" w:lastColumn="1" w:oddVBand="0" w:evenVBand="0" w:oddHBand="0" w:evenHBand="0" w:firstRowFirstColumn="0" w:firstRowLastColumn="0" w:lastRowFirstColumn="0" w:lastRowLastColumn="0"/>
            <w:tcW w:w="4678" w:type="dxa"/>
          </w:tcPr>
          <w:p w14:paraId="2861CA67" w14:textId="77777777" w:rsidR="00823AB3" w:rsidRPr="00214D3D" w:rsidRDefault="00823AB3" w:rsidP="00E124B0">
            <w:pPr>
              <w:pStyle w:val="Tabletext"/>
              <w:rPr>
                <w:b w:val="0"/>
                <w:bCs w:val="0"/>
                <w:sz w:val="18"/>
                <w:szCs w:val="18"/>
                <w:lang w:val="es-ES"/>
              </w:rPr>
            </w:pPr>
            <w:r w:rsidRPr="00214D3D">
              <w:rPr>
                <w:b w:val="0"/>
                <w:bCs w:val="0"/>
                <w:sz w:val="18"/>
                <w:szCs w:val="18"/>
                <w:lang w:val="es-ES"/>
              </w:rPr>
              <w:t>S.2131-0</w:t>
            </w:r>
          </w:p>
        </w:tc>
      </w:tr>
      <w:tr w:rsidR="00823AB3" w:rsidRPr="00B237E2" w14:paraId="739D5467" w14:textId="77777777" w:rsidTr="00214D3D">
        <w:tc>
          <w:tcPr>
            <w:cnfStyle w:val="001000000000" w:firstRow="0" w:lastRow="0" w:firstColumn="1" w:lastColumn="0" w:oddVBand="0" w:evenVBand="0" w:oddHBand="0" w:evenHBand="0" w:firstRowFirstColumn="0" w:firstRowLastColumn="0" w:lastRowFirstColumn="0" w:lastRowLastColumn="0"/>
            <w:tcW w:w="4951" w:type="dxa"/>
            <w:hideMark/>
          </w:tcPr>
          <w:p w14:paraId="3FB60758" w14:textId="3C53BAA3" w:rsidR="00823AB3" w:rsidRPr="00214D3D" w:rsidRDefault="00823AB3" w:rsidP="00E124B0">
            <w:pPr>
              <w:pStyle w:val="Tabletext"/>
              <w:rPr>
                <w:b w:val="0"/>
                <w:bCs w:val="0"/>
                <w:sz w:val="18"/>
                <w:szCs w:val="18"/>
                <w:lang w:val="es-ES"/>
              </w:rPr>
            </w:pPr>
            <w:r w:rsidRPr="00214D3D">
              <w:rPr>
                <w:b w:val="0"/>
                <w:bCs w:val="0"/>
                <w:sz w:val="18"/>
                <w:szCs w:val="18"/>
                <w:lang w:val="es-ES"/>
              </w:rPr>
              <w:t>GT</w:t>
            </w:r>
            <w:r w:rsidR="009223E4">
              <w:rPr>
                <w:b w:val="0"/>
                <w:bCs w:val="0"/>
                <w:sz w:val="18"/>
                <w:szCs w:val="18"/>
                <w:lang w:val="es-ES"/>
              </w:rPr>
              <w:t> </w:t>
            </w:r>
            <w:r w:rsidRPr="00214D3D">
              <w:rPr>
                <w:b w:val="0"/>
                <w:bCs w:val="0"/>
                <w:sz w:val="18"/>
                <w:szCs w:val="18"/>
                <w:lang w:val="es-ES"/>
              </w:rPr>
              <w:t>4C – Utilización eficaz de la órbita y del espectro para el SMS y el SRDS</w:t>
            </w:r>
            <w:r w:rsidR="00002D25" w:rsidRPr="00214D3D">
              <w:rPr>
                <w:b w:val="0"/>
                <w:bCs w:val="0"/>
                <w:sz w:val="18"/>
                <w:szCs w:val="18"/>
                <w:lang w:val="es-ES"/>
              </w:rPr>
              <w:t>*</w:t>
            </w:r>
          </w:p>
        </w:tc>
        <w:tc>
          <w:tcPr>
            <w:cnfStyle w:val="000100000000" w:firstRow="0" w:lastRow="0" w:firstColumn="0" w:lastColumn="1" w:oddVBand="0" w:evenVBand="0" w:oddHBand="0" w:evenHBand="0" w:firstRowFirstColumn="0" w:firstRowLastColumn="0" w:lastRowFirstColumn="0" w:lastRowLastColumn="0"/>
            <w:tcW w:w="4678" w:type="dxa"/>
            <w:hideMark/>
          </w:tcPr>
          <w:p w14:paraId="4544988E" w14:textId="1FE62D03" w:rsidR="00823AB3" w:rsidRPr="00214D3D" w:rsidRDefault="00823AB3" w:rsidP="00E124B0">
            <w:pPr>
              <w:pStyle w:val="Tabletext"/>
              <w:rPr>
                <w:b w:val="0"/>
                <w:bCs w:val="0"/>
                <w:sz w:val="18"/>
                <w:szCs w:val="18"/>
                <w:lang w:val="es-ES"/>
              </w:rPr>
            </w:pPr>
            <w:r w:rsidRPr="00214D3D">
              <w:rPr>
                <w:b w:val="0"/>
                <w:bCs w:val="0"/>
                <w:sz w:val="18"/>
                <w:szCs w:val="18"/>
                <w:lang w:val="es-ES"/>
              </w:rPr>
              <w:t>M.</w:t>
            </w:r>
            <w:r w:rsidR="00C74900" w:rsidRPr="00214D3D">
              <w:rPr>
                <w:b w:val="0"/>
                <w:bCs w:val="0"/>
                <w:sz w:val="18"/>
                <w:szCs w:val="18"/>
                <w:lang w:val="es-ES"/>
              </w:rPr>
              <w:t>1184-3, M.1787-3, M.</w:t>
            </w:r>
            <w:r w:rsidRPr="00214D3D">
              <w:rPr>
                <w:b w:val="0"/>
                <w:bCs w:val="0"/>
                <w:sz w:val="18"/>
                <w:szCs w:val="18"/>
                <w:lang w:val="es-ES"/>
              </w:rPr>
              <w:t>1901-2, M.1902-1, M.1903-1, M.1904-1, M.1905-1</w:t>
            </w:r>
          </w:p>
        </w:tc>
      </w:tr>
      <w:tr w:rsidR="00214D3D" w:rsidRPr="00B237E2" w14:paraId="79FE0516" w14:textId="77777777" w:rsidTr="00214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1" w:type="dxa"/>
            <w:hideMark/>
          </w:tcPr>
          <w:p w14:paraId="75BBE4EE" w14:textId="6E7870DF" w:rsidR="00823AB3" w:rsidRPr="00214D3D" w:rsidRDefault="00823AB3" w:rsidP="00E124B0">
            <w:pPr>
              <w:pStyle w:val="Tabletext"/>
              <w:rPr>
                <w:b w:val="0"/>
                <w:bCs w:val="0"/>
                <w:sz w:val="18"/>
                <w:szCs w:val="18"/>
                <w:lang w:val="es-ES"/>
              </w:rPr>
            </w:pPr>
            <w:r w:rsidRPr="00214D3D">
              <w:rPr>
                <w:b w:val="0"/>
                <w:bCs w:val="0"/>
                <w:sz w:val="18"/>
                <w:szCs w:val="18"/>
                <w:lang w:val="es-ES"/>
              </w:rPr>
              <w:lastRenderedPageBreak/>
              <w:t>GT</w:t>
            </w:r>
            <w:r w:rsidR="009223E4">
              <w:rPr>
                <w:b w:val="0"/>
                <w:bCs w:val="0"/>
                <w:sz w:val="18"/>
                <w:szCs w:val="18"/>
                <w:lang w:val="es-ES"/>
              </w:rPr>
              <w:t> </w:t>
            </w:r>
            <w:r w:rsidRPr="00214D3D">
              <w:rPr>
                <w:b w:val="0"/>
                <w:bCs w:val="0"/>
                <w:sz w:val="18"/>
                <w:szCs w:val="18"/>
                <w:lang w:val="es-ES"/>
              </w:rPr>
              <w:t xml:space="preserve">5A – Servicio móvil terrestre por encima de 30 MHz, </w:t>
            </w:r>
            <w:r w:rsidR="00022EAA" w:rsidRPr="00214D3D">
              <w:rPr>
                <w:b w:val="0"/>
                <w:bCs w:val="0"/>
                <w:sz w:val="18"/>
                <w:szCs w:val="18"/>
                <w:lang w:val="es-ES"/>
              </w:rPr>
              <w:t>WAS fijo</w:t>
            </w:r>
            <w:r w:rsidRPr="00214D3D">
              <w:rPr>
                <w:b w:val="0"/>
                <w:bCs w:val="0"/>
                <w:sz w:val="18"/>
                <w:szCs w:val="18"/>
                <w:lang w:val="es-ES"/>
              </w:rPr>
              <w:t xml:space="preserve"> y servicios de </w:t>
            </w:r>
            <w:r w:rsidR="00022EAA" w:rsidRPr="00214D3D">
              <w:rPr>
                <w:b w:val="0"/>
                <w:bCs w:val="0"/>
                <w:sz w:val="18"/>
                <w:szCs w:val="18"/>
                <w:lang w:val="es-ES"/>
              </w:rPr>
              <w:t>radio</w:t>
            </w:r>
            <w:r w:rsidRPr="00214D3D">
              <w:rPr>
                <w:b w:val="0"/>
                <w:bCs w:val="0"/>
                <w:sz w:val="18"/>
                <w:szCs w:val="18"/>
                <w:lang w:val="es-ES"/>
              </w:rPr>
              <w:t xml:space="preserve">aficionados y de </w:t>
            </w:r>
            <w:r w:rsidR="00022EAA" w:rsidRPr="00214D3D">
              <w:rPr>
                <w:b w:val="0"/>
                <w:bCs w:val="0"/>
                <w:sz w:val="18"/>
                <w:szCs w:val="18"/>
                <w:lang w:val="es-ES"/>
              </w:rPr>
              <w:t>radio</w:t>
            </w:r>
            <w:r w:rsidRPr="00214D3D">
              <w:rPr>
                <w:b w:val="0"/>
                <w:bCs w:val="0"/>
                <w:sz w:val="18"/>
                <w:szCs w:val="18"/>
                <w:lang w:val="es-ES"/>
              </w:rPr>
              <w:t>aficionados por satélite</w:t>
            </w:r>
            <w:r w:rsidR="00002D25" w:rsidRPr="005621ED">
              <w:rPr>
                <w:b w:val="0"/>
                <w:bCs w:val="0"/>
                <w:sz w:val="18"/>
                <w:szCs w:val="18"/>
                <w:lang w:val="es-ES"/>
              </w:rPr>
              <w:t>. GT 5B – Servicios móvil</w:t>
            </w:r>
            <w:r w:rsidR="00147118" w:rsidRPr="005621ED">
              <w:rPr>
                <w:b w:val="0"/>
                <w:bCs w:val="0"/>
                <w:sz w:val="18"/>
                <w:szCs w:val="18"/>
                <w:lang w:val="es-ES"/>
              </w:rPr>
              <w:t>es</w:t>
            </w:r>
            <w:r w:rsidR="00002D25" w:rsidRPr="005621ED">
              <w:rPr>
                <w:b w:val="0"/>
                <w:bCs w:val="0"/>
                <w:sz w:val="18"/>
                <w:szCs w:val="18"/>
                <w:lang w:val="es-ES"/>
              </w:rPr>
              <w:t xml:space="preserve"> marítimo</w:t>
            </w:r>
            <w:r w:rsidR="00147118" w:rsidRPr="005621ED">
              <w:rPr>
                <w:b w:val="0"/>
                <w:bCs w:val="0"/>
                <w:sz w:val="18"/>
                <w:szCs w:val="18"/>
                <w:lang w:val="es-ES"/>
              </w:rPr>
              <w:t xml:space="preserve"> y aeronáutico y servicio de radiodeterminación. GT 5C – Servicios </w:t>
            </w:r>
            <w:r w:rsidR="00C80B15" w:rsidRPr="005621ED">
              <w:rPr>
                <w:b w:val="0"/>
                <w:bCs w:val="0"/>
                <w:sz w:val="18"/>
                <w:szCs w:val="18"/>
                <w:lang w:val="es-ES"/>
              </w:rPr>
              <w:t xml:space="preserve">por ondas decamétricas y </w:t>
            </w:r>
            <w:r w:rsidR="001778F0" w:rsidRPr="005621ED">
              <w:rPr>
                <w:b w:val="0"/>
                <w:bCs w:val="0"/>
                <w:sz w:val="18"/>
                <w:szCs w:val="18"/>
                <w:lang w:val="es-ES"/>
              </w:rPr>
              <w:t>ot</w:t>
            </w:r>
            <w:r w:rsidR="00C80B15" w:rsidRPr="005621ED">
              <w:rPr>
                <w:b w:val="0"/>
                <w:bCs w:val="0"/>
                <w:sz w:val="18"/>
                <w:szCs w:val="18"/>
                <w:lang w:val="es-ES"/>
              </w:rPr>
              <w:t>ros sistemas por debajo de 30 MHz en los servicios fijo y móvil terrestre</w:t>
            </w:r>
            <w:r w:rsidR="001778F0" w:rsidRPr="005621ED">
              <w:rPr>
                <w:b w:val="0"/>
                <w:bCs w:val="0"/>
                <w:sz w:val="18"/>
                <w:szCs w:val="18"/>
                <w:lang w:val="es-ES"/>
              </w:rPr>
              <w:t>.</w:t>
            </w:r>
          </w:p>
        </w:tc>
        <w:tc>
          <w:tcPr>
            <w:cnfStyle w:val="000100000000" w:firstRow="0" w:lastRow="0" w:firstColumn="0" w:lastColumn="1" w:oddVBand="0" w:evenVBand="0" w:oddHBand="0" w:evenHBand="0" w:firstRowFirstColumn="0" w:firstRowLastColumn="0" w:lastRowFirstColumn="0" w:lastRowLastColumn="0"/>
            <w:tcW w:w="4678" w:type="dxa"/>
          </w:tcPr>
          <w:p w14:paraId="444A85DB" w14:textId="64C8007D" w:rsidR="00823AB3" w:rsidRPr="00214D3D" w:rsidRDefault="00C74900" w:rsidP="00E124B0">
            <w:pPr>
              <w:pStyle w:val="Tabletext"/>
              <w:rPr>
                <w:b w:val="0"/>
                <w:bCs w:val="0"/>
                <w:sz w:val="18"/>
                <w:szCs w:val="18"/>
                <w:lang w:val="es-ES"/>
              </w:rPr>
            </w:pPr>
            <w:r w:rsidRPr="00214D3D">
              <w:rPr>
                <w:b w:val="0"/>
                <w:bCs w:val="0"/>
                <w:sz w:val="18"/>
                <w:szCs w:val="18"/>
                <w:lang w:val="es-ES"/>
              </w:rPr>
              <w:t xml:space="preserve">F.758-7, F.1105-4, F.1336-5, F.1509-4, M.1637-1, </w:t>
            </w:r>
            <w:r w:rsidR="00823AB3" w:rsidRPr="00214D3D">
              <w:rPr>
                <w:b w:val="0"/>
                <w:bCs w:val="0"/>
                <w:sz w:val="18"/>
                <w:szCs w:val="18"/>
                <w:lang w:val="es-ES"/>
              </w:rPr>
              <w:t>M.1746-1, M.1808</w:t>
            </w:r>
            <w:r w:rsidR="00823AB3" w:rsidRPr="00214D3D">
              <w:rPr>
                <w:b w:val="0"/>
                <w:bCs w:val="0"/>
                <w:sz w:val="18"/>
                <w:szCs w:val="18"/>
                <w:lang w:val="es-ES"/>
              </w:rPr>
              <w:noBreakHyphen/>
              <w:t>1, M.1826</w:t>
            </w:r>
            <w:r w:rsidR="00823AB3" w:rsidRPr="00214D3D">
              <w:rPr>
                <w:b w:val="0"/>
                <w:bCs w:val="0"/>
                <w:sz w:val="18"/>
                <w:szCs w:val="18"/>
                <w:lang w:val="es-ES"/>
              </w:rPr>
              <w:noBreakHyphen/>
              <w:t xml:space="preserve">1, </w:t>
            </w:r>
            <w:r w:rsidR="00D12CE2" w:rsidRPr="00214D3D">
              <w:rPr>
                <w:b w:val="0"/>
                <w:bCs w:val="0"/>
                <w:sz w:val="18"/>
                <w:szCs w:val="18"/>
                <w:lang w:val="es-ES"/>
              </w:rPr>
              <w:t>M.1890-1, M.2003</w:t>
            </w:r>
            <w:r w:rsidR="009223E4">
              <w:rPr>
                <w:b w:val="0"/>
                <w:bCs w:val="0"/>
                <w:sz w:val="18"/>
                <w:szCs w:val="18"/>
                <w:lang w:val="es-ES"/>
              </w:rPr>
              <w:t>-</w:t>
            </w:r>
            <w:r w:rsidR="00D12CE2" w:rsidRPr="00214D3D">
              <w:rPr>
                <w:b w:val="0"/>
                <w:bCs w:val="0"/>
                <w:sz w:val="18"/>
                <w:szCs w:val="18"/>
                <w:lang w:val="es-ES"/>
              </w:rPr>
              <w:t xml:space="preserve">2, M.2009-2, M.2015-2, M.2057-1, </w:t>
            </w:r>
            <w:r w:rsidR="00823AB3" w:rsidRPr="00214D3D">
              <w:rPr>
                <w:b w:val="0"/>
                <w:bCs w:val="0"/>
                <w:sz w:val="18"/>
                <w:szCs w:val="18"/>
                <w:lang w:val="es-ES"/>
              </w:rPr>
              <w:t>M.2084-1, M.</w:t>
            </w:r>
            <w:r w:rsidR="00D12CE2" w:rsidRPr="00214D3D">
              <w:rPr>
                <w:b w:val="0"/>
                <w:bCs w:val="0"/>
                <w:sz w:val="18"/>
                <w:szCs w:val="18"/>
                <w:lang w:val="es-ES"/>
              </w:rPr>
              <w:t>2121-0, M.</w:t>
            </w:r>
            <w:r w:rsidR="00823AB3" w:rsidRPr="00214D3D">
              <w:rPr>
                <w:b w:val="0"/>
                <w:bCs w:val="0"/>
                <w:sz w:val="18"/>
                <w:szCs w:val="18"/>
                <w:lang w:val="es-ES"/>
              </w:rPr>
              <w:t>2134-0</w:t>
            </w:r>
          </w:p>
        </w:tc>
      </w:tr>
      <w:tr w:rsidR="00823AB3" w:rsidRPr="00B237E2" w14:paraId="73FEF0DA" w14:textId="77777777" w:rsidTr="00214D3D">
        <w:tc>
          <w:tcPr>
            <w:cnfStyle w:val="001000000000" w:firstRow="0" w:lastRow="0" w:firstColumn="1" w:lastColumn="0" w:oddVBand="0" w:evenVBand="0" w:oddHBand="0" w:evenHBand="0" w:firstRowFirstColumn="0" w:firstRowLastColumn="0" w:lastRowFirstColumn="0" w:lastRowLastColumn="0"/>
            <w:tcW w:w="4951" w:type="dxa"/>
            <w:hideMark/>
          </w:tcPr>
          <w:p w14:paraId="211617BA" w14:textId="41519F7D" w:rsidR="00823AB3" w:rsidRPr="00214D3D" w:rsidRDefault="00823AB3" w:rsidP="00E124B0">
            <w:pPr>
              <w:pStyle w:val="Tabletext"/>
              <w:rPr>
                <w:b w:val="0"/>
                <w:bCs w:val="0"/>
                <w:sz w:val="18"/>
                <w:szCs w:val="18"/>
                <w:lang w:val="es-ES"/>
              </w:rPr>
            </w:pPr>
            <w:r w:rsidRPr="00214D3D">
              <w:rPr>
                <w:b w:val="0"/>
                <w:bCs w:val="0"/>
                <w:sz w:val="18"/>
                <w:szCs w:val="18"/>
                <w:lang w:val="es-ES"/>
              </w:rPr>
              <w:t>GT</w:t>
            </w:r>
            <w:r w:rsidR="009223E4">
              <w:rPr>
                <w:b w:val="0"/>
                <w:bCs w:val="0"/>
                <w:sz w:val="18"/>
                <w:szCs w:val="18"/>
                <w:lang w:val="es-ES"/>
              </w:rPr>
              <w:t> </w:t>
            </w:r>
            <w:r w:rsidRPr="00214D3D">
              <w:rPr>
                <w:b w:val="0"/>
                <w:bCs w:val="0"/>
                <w:sz w:val="18"/>
                <w:szCs w:val="18"/>
                <w:lang w:val="es-ES"/>
              </w:rPr>
              <w:t>5B – Servicio móvil marítimo, incluido el Sistema Mundial de Socorro y Seguridad Marítimos (SMSSM), el servicio móvil aeronáutico y el servicio de radiodeterminación</w:t>
            </w:r>
          </w:p>
        </w:tc>
        <w:tc>
          <w:tcPr>
            <w:cnfStyle w:val="000100000000" w:firstRow="0" w:lastRow="0" w:firstColumn="0" w:lastColumn="1" w:oddVBand="0" w:evenVBand="0" w:oddHBand="0" w:evenHBand="0" w:firstRowFirstColumn="0" w:firstRowLastColumn="0" w:lastRowFirstColumn="0" w:lastRowLastColumn="0"/>
            <w:tcW w:w="4678" w:type="dxa"/>
            <w:hideMark/>
          </w:tcPr>
          <w:p w14:paraId="6799026D" w14:textId="4CCF4827" w:rsidR="00823AB3" w:rsidRPr="00214D3D" w:rsidRDefault="00D12CE2" w:rsidP="00E124B0">
            <w:pPr>
              <w:pStyle w:val="Tabletext"/>
              <w:rPr>
                <w:b w:val="0"/>
                <w:bCs w:val="0"/>
                <w:sz w:val="18"/>
                <w:szCs w:val="18"/>
                <w:lang w:val="es-ES"/>
              </w:rPr>
            </w:pPr>
            <w:r w:rsidRPr="00214D3D">
              <w:rPr>
                <w:b w:val="0"/>
                <w:bCs w:val="0"/>
                <w:sz w:val="18"/>
                <w:szCs w:val="18"/>
                <w:lang w:val="es-ES"/>
              </w:rPr>
              <w:t xml:space="preserve">M.493-15, </w:t>
            </w:r>
            <w:r w:rsidR="00823AB3" w:rsidRPr="00214D3D">
              <w:rPr>
                <w:b w:val="0"/>
                <w:bCs w:val="0"/>
                <w:sz w:val="18"/>
                <w:szCs w:val="18"/>
                <w:lang w:val="es-ES"/>
              </w:rPr>
              <w:t>M.585-8, M.1174-4,</w:t>
            </w:r>
            <w:r w:rsidRPr="00214D3D">
              <w:rPr>
                <w:b w:val="0"/>
                <w:bCs w:val="0"/>
                <w:sz w:val="18"/>
                <w:szCs w:val="18"/>
                <w:lang w:val="es-ES"/>
              </w:rPr>
              <w:t xml:space="preserve"> M.1461-2, M.1462-1, M.1465-3, M.1640-1,</w:t>
            </w:r>
            <w:r w:rsidR="00823AB3" w:rsidRPr="00214D3D">
              <w:rPr>
                <w:b w:val="0"/>
                <w:bCs w:val="0"/>
                <w:sz w:val="18"/>
                <w:szCs w:val="18"/>
                <w:lang w:val="es-ES"/>
              </w:rPr>
              <w:t xml:space="preserve"> M.1798-2, </w:t>
            </w:r>
            <w:r w:rsidRPr="00214D3D">
              <w:rPr>
                <w:b w:val="0"/>
                <w:bCs w:val="0"/>
                <w:sz w:val="18"/>
                <w:szCs w:val="18"/>
                <w:lang w:val="es-ES"/>
              </w:rPr>
              <w:t>M.1849-2, M.1851</w:t>
            </w:r>
            <w:r w:rsidR="009223E4">
              <w:rPr>
                <w:b w:val="0"/>
                <w:bCs w:val="0"/>
                <w:sz w:val="18"/>
                <w:szCs w:val="18"/>
                <w:lang w:val="es-ES"/>
              </w:rPr>
              <w:t>-</w:t>
            </w:r>
            <w:r w:rsidRPr="00214D3D">
              <w:rPr>
                <w:b w:val="0"/>
                <w:bCs w:val="0"/>
                <w:sz w:val="18"/>
                <w:szCs w:val="18"/>
                <w:lang w:val="es-ES"/>
              </w:rPr>
              <w:t>1, M.2010-1, M.2057-1, M.2114-0, M.2115</w:t>
            </w:r>
            <w:r w:rsidR="009223E4">
              <w:rPr>
                <w:b w:val="0"/>
                <w:bCs w:val="0"/>
                <w:sz w:val="18"/>
                <w:szCs w:val="18"/>
                <w:lang w:val="es-ES"/>
              </w:rPr>
              <w:t>-</w:t>
            </w:r>
            <w:r w:rsidRPr="00214D3D">
              <w:rPr>
                <w:b w:val="0"/>
                <w:bCs w:val="0"/>
                <w:sz w:val="18"/>
                <w:szCs w:val="18"/>
                <w:lang w:val="es-ES"/>
              </w:rPr>
              <w:t xml:space="preserve">0, M.2116-0, M.2120-0, M.2122-0, </w:t>
            </w:r>
            <w:r w:rsidR="00823AB3" w:rsidRPr="00214D3D">
              <w:rPr>
                <w:b w:val="0"/>
                <w:bCs w:val="0"/>
                <w:sz w:val="18"/>
                <w:szCs w:val="18"/>
                <w:lang w:val="es-ES"/>
              </w:rPr>
              <w:t>M.2135-0</w:t>
            </w:r>
          </w:p>
        </w:tc>
      </w:tr>
      <w:tr w:rsidR="00214D3D" w:rsidRPr="00B237E2" w14:paraId="2E5D2EBC" w14:textId="77777777" w:rsidTr="00214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1" w:type="dxa"/>
            <w:hideMark/>
          </w:tcPr>
          <w:p w14:paraId="166AD28F" w14:textId="646E478D" w:rsidR="00823AB3" w:rsidRPr="00214D3D" w:rsidRDefault="00823AB3" w:rsidP="00E124B0">
            <w:pPr>
              <w:pStyle w:val="Tabletext"/>
              <w:rPr>
                <w:b w:val="0"/>
                <w:bCs w:val="0"/>
                <w:sz w:val="18"/>
                <w:szCs w:val="18"/>
                <w:lang w:val="es-ES"/>
              </w:rPr>
            </w:pPr>
            <w:r w:rsidRPr="00214D3D">
              <w:rPr>
                <w:b w:val="0"/>
                <w:bCs w:val="0"/>
                <w:sz w:val="18"/>
                <w:szCs w:val="18"/>
                <w:lang w:val="es-ES"/>
              </w:rPr>
              <w:t>GT</w:t>
            </w:r>
            <w:r w:rsidR="009223E4">
              <w:rPr>
                <w:b w:val="0"/>
                <w:bCs w:val="0"/>
                <w:sz w:val="18"/>
                <w:szCs w:val="18"/>
                <w:lang w:val="es-ES"/>
              </w:rPr>
              <w:t> </w:t>
            </w:r>
            <w:r w:rsidRPr="00214D3D">
              <w:rPr>
                <w:b w:val="0"/>
                <w:bCs w:val="0"/>
                <w:sz w:val="18"/>
                <w:szCs w:val="18"/>
                <w:lang w:val="es-ES"/>
              </w:rPr>
              <w:t xml:space="preserve">5C – Sistemas fijos inalámbricos, </w:t>
            </w:r>
            <w:r w:rsidR="001778F0" w:rsidRPr="00214D3D">
              <w:rPr>
                <w:b w:val="0"/>
                <w:bCs w:val="0"/>
                <w:sz w:val="18"/>
                <w:szCs w:val="18"/>
                <w:lang w:val="es-ES"/>
              </w:rPr>
              <w:t xml:space="preserve">y </w:t>
            </w:r>
            <w:r w:rsidRPr="00214D3D">
              <w:rPr>
                <w:b w:val="0"/>
                <w:bCs w:val="0"/>
                <w:sz w:val="18"/>
                <w:szCs w:val="18"/>
                <w:lang w:val="es-ES"/>
              </w:rPr>
              <w:t>sistemas por ondas decamétricas en los servicios fijo y móvil terrestre</w:t>
            </w:r>
          </w:p>
        </w:tc>
        <w:tc>
          <w:tcPr>
            <w:cnfStyle w:val="000100000000" w:firstRow="0" w:lastRow="0" w:firstColumn="0" w:lastColumn="1" w:oddVBand="0" w:evenVBand="0" w:oddHBand="0" w:evenHBand="0" w:firstRowFirstColumn="0" w:firstRowLastColumn="0" w:lastRowFirstColumn="0" w:lastRowLastColumn="0"/>
            <w:tcW w:w="4678" w:type="dxa"/>
          </w:tcPr>
          <w:p w14:paraId="1B1C7911" w14:textId="0C60B6C9" w:rsidR="00823AB3" w:rsidRPr="00214D3D" w:rsidRDefault="00823AB3" w:rsidP="00E124B0">
            <w:pPr>
              <w:pStyle w:val="Tabletext"/>
              <w:rPr>
                <w:b w:val="0"/>
                <w:bCs w:val="0"/>
                <w:sz w:val="18"/>
                <w:szCs w:val="18"/>
                <w:lang w:val="es-ES"/>
              </w:rPr>
            </w:pPr>
            <w:r w:rsidRPr="00214D3D">
              <w:rPr>
                <w:b w:val="0"/>
                <w:bCs w:val="0"/>
                <w:sz w:val="18"/>
                <w:szCs w:val="18"/>
                <w:lang w:val="es-ES"/>
              </w:rPr>
              <w:t xml:space="preserve">F.383-10, F.387-13, F.636-5, </w:t>
            </w:r>
            <w:r w:rsidR="00D12CE2" w:rsidRPr="00214D3D">
              <w:rPr>
                <w:b w:val="0"/>
                <w:bCs w:val="0"/>
                <w:sz w:val="18"/>
                <w:szCs w:val="18"/>
                <w:lang w:val="es-ES"/>
              </w:rPr>
              <w:t xml:space="preserve">F.699-8, </w:t>
            </w:r>
            <w:r w:rsidRPr="00214D3D">
              <w:rPr>
                <w:b w:val="0"/>
                <w:bCs w:val="0"/>
                <w:sz w:val="18"/>
                <w:szCs w:val="18"/>
                <w:lang w:val="es-ES"/>
              </w:rPr>
              <w:t xml:space="preserve">F.758-7, </w:t>
            </w:r>
            <w:r w:rsidR="00D12CE2" w:rsidRPr="00214D3D">
              <w:rPr>
                <w:b w:val="0"/>
                <w:bCs w:val="0"/>
                <w:sz w:val="18"/>
                <w:szCs w:val="18"/>
                <w:lang w:val="es-ES"/>
              </w:rPr>
              <w:t>F.1105-4, F.1245-3, F.1249-5, F.1336-5, F.1509-4,</w:t>
            </w:r>
            <w:r w:rsidR="009223E4">
              <w:rPr>
                <w:b w:val="0"/>
                <w:bCs w:val="0"/>
                <w:sz w:val="18"/>
                <w:szCs w:val="18"/>
                <w:lang w:val="es-ES"/>
              </w:rPr>
              <w:t xml:space="preserve"> </w:t>
            </w:r>
            <w:r w:rsidRPr="00214D3D">
              <w:rPr>
                <w:b w:val="0"/>
                <w:bCs w:val="0"/>
                <w:sz w:val="18"/>
                <w:szCs w:val="18"/>
                <w:lang w:val="es-ES"/>
              </w:rPr>
              <w:t>F.1565-1</w:t>
            </w:r>
            <w:r w:rsidR="00D12CE2" w:rsidRPr="00214D3D">
              <w:rPr>
                <w:b w:val="0"/>
                <w:bCs w:val="0"/>
                <w:sz w:val="18"/>
                <w:szCs w:val="18"/>
                <w:lang w:val="es-ES"/>
              </w:rPr>
              <w:t>, F.1777-2, F.2113-0, F.2119-0</w:t>
            </w:r>
          </w:p>
        </w:tc>
      </w:tr>
      <w:tr w:rsidR="00823AB3" w:rsidRPr="00B237E2" w14:paraId="4439FAD8" w14:textId="77777777" w:rsidTr="00214D3D">
        <w:tc>
          <w:tcPr>
            <w:cnfStyle w:val="001000000000" w:firstRow="0" w:lastRow="0" w:firstColumn="1" w:lastColumn="0" w:oddVBand="0" w:evenVBand="0" w:oddHBand="0" w:evenHBand="0" w:firstRowFirstColumn="0" w:firstRowLastColumn="0" w:lastRowFirstColumn="0" w:lastRowLastColumn="0"/>
            <w:tcW w:w="4951" w:type="dxa"/>
            <w:hideMark/>
          </w:tcPr>
          <w:p w14:paraId="47D6A68E" w14:textId="477D7075" w:rsidR="00823AB3" w:rsidRPr="00214D3D" w:rsidRDefault="00823AB3" w:rsidP="00E124B0">
            <w:pPr>
              <w:pStyle w:val="Tabletext"/>
              <w:rPr>
                <w:b w:val="0"/>
                <w:bCs w:val="0"/>
                <w:sz w:val="18"/>
                <w:szCs w:val="18"/>
                <w:lang w:val="es-ES"/>
              </w:rPr>
            </w:pPr>
            <w:r w:rsidRPr="00214D3D">
              <w:rPr>
                <w:b w:val="0"/>
                <w:bCs w:val="0"/>
                <w:sz w:val="18"/>
                <w:szCs w:val="18"/>
                <w:lang w:val="es-ES"/>
              </w:rPr>
              <w:t>GT</w:t>
            </w:r>
            <w:r w:rsidR="009223E4">
              <w:rPr>
                <w:b w:val="0"/>
                <w:bCs w:val="0"/>
                <w:sz w:val="18"/>
                <w:szCs w:val="18"/>
                <w:lang w:val="es-ES"/>
              </w:rPr>
              <w:t> </w:t>
            </w:r>
            <w:r w:rsidRPr="00214D3D">
              <w:rPr>
                <w:b w:val="0"/>
                <w:bCs w:val="0"/>
                <w:sz w:val="18"/>
                <w:szCs w:val="18"/>
                <w:lang w:val="es-ES"/>
              </w:rPr>
              <w:t>5D – Sistemas IMT</w:t>
            </w:r>
          </w:p>
        </w:tc>
        <w:tc>
          <w:tcPr>
            <w:cnfStyle w:val="000100000000" w:firstRow="0" w:lastRow="0" w:firstColumn="0" w:lastColumn="1" w:oddVBand="0" w:evenVBand="0" w:oddHBand="0" w:evenHBand="0" w:firstRowFirstColumn="0" w:firstRowLastColumn="0" w:lastRowFirstColumn="0" w:lastRowLastColumn="0"/>
            <w:tcW w:w="4678" w:type="dxa"/>
            <w:hideMark/>
          </w:tcPr>
          <w:p w14:paraId="10C081A3" w14:textId="77777777" w:rsidR="00823AB3" w:rsidRPr="00214D3D" w:rsidRDefault="00823AB3" w:rsidP="00E124B0">
            <w:pPr>
              <w:pStyle w:val="Tabletext"/>
              <w:rPr>
                <w:b w:val="0"/>
                <w:bCs w:val="0"/>
                <w:sz w:val="18"/>
                <w:szCs w:val="18"/>
                <w:lang w:val="es-ES"/>
              </w:rPr>
            </w:pPr>
            <w:r w:rsidRPr="00214D3D">
              <w:rPr>
                <w:b w:val="0"/>
                <w:bCs w:val="0"/>
                <w:sz w:val="18"/>
                <w:szCs w:val="18"/>
                <w:lang w:val="es-ES"/>
              </w:rPr>
              <w:t>M.1036-6, M.1457-15, M.2012-4, M.2150-0</w:t>
            </w:r>
          </w:p>
        </w:tc>
      </w:tr>
      <w:tr w:rsidR="00214D3D" w:rsidRPr="00BD3DCF" w14:paraId="6110906D" w14:textId="77777777" w:rsidTr="00214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1" w:type="dxa"/>
            <w:hideMark/>
          </w:tcPr>
          <w:p w14:paraId="7F5905E2" w14:textId="3218D6A8" w:rsidR="00823AB3" w:rsidRPr="00214D3D" w:rsidRDefault="00823AB3" w:rsidP="00E124B0">
            <w:pPr>
              <w:pStyle w:val="Tabletext"/>
              <w:rPr>
                <w:b w:val="0"/>
                <w:bCs w:val="0"/>
                <w:sz w:val="18"/>
                <w:szCs w:val="18"/>
                <w:lang w:val="es-ES"/>
              </w:rPr>
            </w:pPr>
            <w:r w:rsidRPr="00214D3D">
              <w:rPr>
                <w:b w:val="0"/>
                <w:bCs w:val="0"/>
                <w:sz w:val="18"/>
                <w:szCs w:val="18"/>
                <w:lang w:val="es-ES"/>
              </w:rPr>
              <w:t>GT</w:t>
            </w:r>
            <w:r w:rsidR="009223E4">
              <w:rPr>
                <w:b w:val="0"/>
                <w:bCs w:val="0"/>
                <w:sz w:val="18"/>
                <w:szCs w:val="18"/>
                <w:lang w:val="es-ES"/>
              </w:rPr>
              <w:t> </w:t>
            </w:r>
            <w:r w:rsidRPr="00214D3D">
              <w:rPr>
                <w:b w:val="0"/>
                <w:bCs w:val="0"/>
                <w:sz w:val="18"/>
                <w:szCs w:val="18"/>
                <w:lang w:val="es-ES"/>
              </w:rPr>
              <w:t>6A – Prestación de servicios de radiodifusión terrenal</w:t>
            </w:r>
          </w:p>
        </w:tc>
        <w:tc>
          <w:tcPr>
            <w:cnfStyle w:val="000100000000" w:firstRow="0" w:lastRow="0" w:firstColumn="0" w:lastColumn="1" w:oddVBand="0" w:evenVBand="0" w:oddHBand="0" w:evenHBand="0" w:firstRowFirstColumn="0" w:firstRowLastColumn="0" w:lastRowFirstColumn="0" w:lastRowLastColumn="0"/>
            <w:tcW w:w="4678" w:type="dxa"/>
            <w:hideMark/>
          </w:tcPr>
          <w:p w14:paraId="1543B201" w14:textId="192AF932" w:rsidR="00823AB3" w:rsidRPr="00214D3D" w:rsidRDefault="00823AB3" w:rsidP="00E124B0">
            <w:pPr>
              <w:pStyle w:val="Tabletext"/>
              <w:rPr>
                <w:b w:val="0"/>
                <w:bCs w:val="0"/>
                <w:sz w:val="18"/>
                <w:szCs w:val="18"/>
                <w:lang w:val="es-ES"/>
              </w:rPr>
            </w:pPr>
            <w:r w:rsidRPr="00214D3D">
              <w:rPr>
                <w:b w:val="0"/>
                <w:bCs w:val="0"/>
                <w:sz w:val="18"/>
                <w:szCs w:val="18"/>
                <w:lang w:val="es-ES"/>
              </w:rPr>
              <w:t>BS.450-4, BS.1114-11, BS.1615-2, BS.1660-8, BT.1306-8, BT.1877-3, BT.2016-2, BT.2036-</w:t>
            </w:r>
            <w:r w:rsidR="00D12CE2" w:rsidRPr="00214D3D">
              <w:rPr>
                <w:b w:val="0"/>
                <w:bCs w:val="0"/>
                <w:sz w:val="18"/>
                <w:szCs w:val="18"/>
                <w:lang w:val="es-ES"/>
              </w:rPr>
              <w:t>4</w:t>
            </w:r>
            <w:r w:rsidRPr="00214D3D">
              <w:rPr>
                <w:b w:val="0"/>
                <w:bCs w:val="0"/>
                <w:sz w:val="18"/>
                <w:szCs w:val="18"/>
                <w:lang w:val="es-ES"/>
              </w:rPr>
              <w:t>, BT.2136-0</w:t>
            </w:r>
          </w:p>
        </w:tc>
      </w:tr>
      <w:tr w:rsidR="00823AB3" w:rsidRPr="00BD3DCF" w14:paraId="0AC968DE" w14:textId="77777777" w:rsidTr="00214D3D">
        <w:tc>
          <w:tcPr>
            <w:cnfStyle w:val="001000000000" w:firstRow="0" w:lastRow="0" w:firstColumn="1" w:lastColumn="0" w:oddVBand="0" w:evenVBand="0" w:oddHBand="0" w:evenHBand="0" w:firstRowFirstColumn="0" w:firstRowLastColumn="0" w:lastRowFirstColumn="0" w:lastRowLastColumn="0"/>
            <w:tcW w:w="4951" w:type="dxa"/>
            <w:hideMark/>
          </w:tcPr>
          <w:p w14:paraId="53818B0D" w14:textId="2D5910AD" w:rsidR="00823AB3" w:rsidRPr="00214D3D" w:rsidRDefault="00823AB3" w:rsidP="00E124B0">
            <w:pPr>
              <w:pStyle w:val="Tabletext"/>
              <w:rPr>
                <w:b w:val="0"/>
                <w:bCs w:val="0"/>
                <w:sz w:val="18"/>
                <w:szCs w:val="18"/>
                <w:lang w:val="es-ES"/>
              </w:rPr>
            </w:pPr>
            <w:r w:rsidRPr="00214D3D">
              <w:rPr>
                <w:b w:val="0"/>
                <w:bCs w:val="0"/>
                <w:sz w:val="18"/>
                <w:szCs w:val="18"/>
                <w:lang w:val="es-ES"/>
              </w:rPr>
              <w:t>GT</w:t>
            </w:r>
            <w:r w:rsidR="009223E4">
              <w:rPr>
                <w:b w:val="0"/>
                <w:bCs w:val="0"/>
                <w:sz w:val="18"/>
                <w:szCs w:val="18"/>
                <w:lang w:val="es-ES"/>
              </w:rPr>
              <w:t> </w:t>
            </w:r>
            <w:r w:rsidRPr="00214D3D">
              <w:rPr>
                <w:b w:val="0"/>
                <w:bCs w:val="0"/>
                <w:sz w:val="18"/>
                <w:szCs w:val="18"/>
                <w:lang w:val="es-ES"/>
              </w:rPr>
              <w:t>6B – Ensamblado y acceso al servicio de radiodifusión</w:t>
            </w:r>
          </w:p>
        </w:tc>
        <w:tc>
          <w:tcPr>
            <w:cnfStyle w:val="000100000000" w:firstRow="0" w:lastRow="0" w:firstColumn="0" w:lastColumn="1" w:oddVBand="0" w:evenVBand="0" w:oddHBand="0" w:evenHBand="0" w:firstRowFirstColumn="0" w:firstRowLastColumn="0" w:lastRowFirstColumn="0" w:lastRowLastColumn="0"/>
            <w:tcW w:w="4678" w:type="dxa"/>
            <w:hideMark/>
          </w:tcPr>
          <w:p w14:paraId="2BC04951" w14:textId="6BAD56D5" w:rsidR="00823AB3" w:rsidRPr="00214D3D" w:rsidRDefault="00823AB3" w:rsidP="00E124B0">
            <w:pPr>
              <w:pStyle w:val="Tabletext"/>
              <w:rPr>
                <w:b w:val="0"/>
                <w:bCs w:val="0"/>
                <w:sz w:val="18"/>
                <w:szCs w:val="18"/>
                <w:lang w:val="es-ES"/>
              </w:rPr>
            </w:pPr>
            <w:r w:rsidRPr="00214D3D">
              <w:rPr>
                <w:b w:val="0"/>
                <w:bCs w:val="0"/>
                <w:sz w:val="18"/>
                <w:szCs w:val="18"/>
                <w:lang w:val="es-ES"/>
              </w:rPr>
              <w:t>BS.1196-8, BS.1548-7, BS.2076-2, BS.2088-1, BS.</w:t>
            </w:r>
            <w:r w:rsidR="00D12CE2" w:rsidRPr="00214D3D">
              <w:rPr>
                <w:b w:val="0"/>
                <w:bCs w:val="0"/>
                <w:sz w:val="18"/>
                <w:szCs w:val="18"/>
                <w:lang w:val="es-ES"/>
              </w:rPr>
              <w:t>2125</w:t>
            </w:r>
            <w:r w:rsidRPr="00214D3D">
              <w:rPr>
                <w:b w:val="0"/>
                <w:bCs w:val="0"/>
                <w:sz w:val="18"/>
                <w:szCs w:val="18"/>
                <w:lang w:val="es-ES"/>
              </w:rPr>
              <w:t xml:space="preserve">-0, </w:t>
            </w:r>
            <w:r w:rsidR="00D12CE2" w:rsidRPr="00214D3D">
              <w:rPr>
                <w:b w:val="0"/>
                <w:bCs w:val="0"/>
                <w:sz w:val="18"/>
                <w:szCs w:val="18"/>
                <w:lang w:val="es-ES"/>
              </w:rPr>
              <w:t xml:space="preserve">BT.1122-3, BT.1366-3, </w:t>
            </w:r>
            <w:r w:rsidRPr="00214D3D">
              <w:rPr>
                <w:b w:val="0"/>
                <w:bCs w:val="0"/>
                <w:sz w:val="18"/>
                <w:szCs w:val="18"/>
                <w:lang w:val="es-ES"/>
              </w:rPr>
              <w:t xml:space="preserve">BT.1872-3, </w:t>
            </w:r>
            <w:r w:rsidR="00D12CE2" w:rsidRPr="00214D3D">
              <w:rPr>
                <w:b w:val="0"/>
                <w:bCs w:val="0"/>
                <w:sz w:val="18"/>
                <w:szCs w:val="18"/>
                <w:lang w:val="es-ES"/>
              </w:rPr>
              <w:t xml:space="preserve">BT.2054-1, BT.2055-1, </w:t>
            </w:r>
            <w:r w:rsidRPr="00214D3D">
              <w:rPr>
                <w:b w:val="0"/>
                <w:bCs w:val="0"/>
                <w:sz w:val="18"/>
                <w:szCs w:val="18"/>
                <w:lang w:val="es-ES"/>
              </w:rPr>
              <w:t xml:space="preserve">BT.2073-1, BT.2075-3, </w:t>
            </w:r>
            <w:r w:rsidR="00D12CE2" w:rsidRPr="00214D3D">
              <w:rPr>
                <w:b w:val="0"/>
                <w:bCs w:val="0"/>
                <w:sz w:val="18"/>
                <w:szCs w:val="18"/>
                <w:lang w:val="es-ES"/>
              </w:rPr>
              <w:t xml:space="preserve">BT.2077-3, </w:t>
            </w:r>
            <w:r w:rsidRPr="00214D3D">
              <w:rPr>
                <w:b w:val="0"/>
                <w:bCs w:val="0"/>
                <w:sz w:val="18"/>
                <w:szCs w:val="18"/>
                <w:lang w:val="es-ES"/>
              </w:rPr>
              <w:t>BT.2133</w:t>
            </w:r>
            <w:r w:rsidRPr="00214D3D">
              <w:rPr>
                <w:b w:val="0"/>
                <w:bCs w:val="0"/>
                <w:sz w:val="18"/>
                <w:szCs w:val="18"/>
                <w:lang w:val="es-ES"/>
              </w:rPr>
              <w:noBreakHyphen/>
              <w:t>0, BT.2137-0</w:t>
            </w:r>
          </w:p>
        </w:tc>
      </w:tr>
      <w:tr w:rsidR="00214D3D" w:rsidRPr="00BD3DCF" w14:paraId="29DFB258" w14:textId="77777777" w:rsidTr="00214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1" w:type="dxa"/>
          </w:tcPr>
          <w:p w14:paraId="6BC8C837" w14:textId="064071C1" w:rsidR="00823AB3" w:rsidRPr="00214D3D" w:rsidRDefault="00823AB3" w:rsidP="00E124B0">
            <w:pPr>
              <w:pStyle w:val="Tabletext"/>
              <w:rPr>
                <w:b w:val="0"/>
                <w:bCs w:val="0"/>
                <w:sz w:val="18"/>
                <w:szCs w:val="18"/>
                <w:lang w:val="es-ES"/>
              </w:rPr>
            </w:pPr>
            <w:r w:rsidRPr="00214D3D">
              <w:rPr>
                <w:b w:val="0"/>
                <w:bCs w:val="0"/>
                <w:sz w:val="18"/>
                <w:szCs w:val="18"/>
                <w:lang w:val="es-ES"/>
              </w:rPr>
              <w:t>GT</w:t>
            </w:r>
            <w:r w:rsidR="009223E4">
              <w:rPr>
                <w:b w:val="0"/>
                <w:bCs w:val="0"/>
                <w:sz w:val="18"/>
                <w:szCs w:val="18"/>
                <w:lang w:val="es-ES"/>
              </w:rPr>
              <w:t> </w:t>
            </w:r>
            <w:r w:rsidRPr="00214D3D">
              <w:rPr>
                <w:b w:val="0"/>
                <w:bCs w:val="0"/>
                <w:sz w:val="18"/>
                <w:szCs w:val="18"/>
                <w:lang w:val="es-ES"/>
              </w:rPr>
              <w:t>6C – Producción y evaluación de la calidad de los programas</w:t>
            </w:r>
          </w:p>
        </w:tc>
        <w:tc>
          <w:tcPr>
            <w:cnfStyle w:val="000100000000" w:firstRow="0" w:lastRow="0" w:firstColumn="0" w:lastColumn="1" w:oddVBand="0" w:evenVBand="0" w:oddHBand="0" w:evenHBand="0" w:firstRowFirstColumn="0" w:firstRowLastColumn="0" w:lastRowFirstColumn="0" w:lastRowLastColumn="0"/>
            <w:tcW w:w="4678" w:type="dxa"/>
          </w:tcPr>
          <w:p w14:paraId="10B5CF55" w14:textId="2AC14026" w:rsidR="00823AB3" w:rsidRPr="00214D3D" w:rsidRDefault="00823AB3" w:rsidP="00E124B0">
            <w:pPr>
              <w:pStyle w:val="Tabletext"/>
              <w:rPr>
                <w:b w:val="0"/>
                <w:bCs w:val="0"/>
                <w:sz w:val="18"/>
                <w:szCs w:val="18"/>
                <w:lang w:val="es-ES"/>
              </w:rPr>
            </w:pPr>
            <w:r w:rsidRPr="00214D3D">
              <w:rPr>
                <w:b w:val="0"/>
                <w:bCs w:val="0"/>
                <w:sz w:val="18"/>
                <w:szCs w:val="18"/>
                <w:lang w:val="es-ES"/>
              </w:rPr>
              <w:t xml:space="preserve">BS.1283-2, </w:t>
            </w:r>
            <w:r w:rsidR="00D12CE2" w:rsidRPr="00214D3D">
              <w:rPr>
                <w:b w:val="0"/>
                <w:bCs w:val="0"/>
                <w:sz w:val="18"/>
                <w:szCs w:val="18"/>
                <w:lang w:val="es-ES"/>
              </w:rPr>
              <w:t xml:space="preserve">BS.1284-2, BS.2051-2, BS.2126-0, BS.2127-0, </w:t>
            </w:r>
            <w:r w:rsidRPr="00214D3D">
              <w:rPr>
                <w:b w:val="0"/>
                <w:bCs w:val="0"/>
                <w:sz w:val="18"/>
                <w:szCs w:val="18"/>
                <w:lang w:val="es-ES"/>
              </w:rPr>
              <w:t xml:space="preserve">BS.2132-0, BT.500-14, </w:t>
            </w:r>
            <w:r w:rsidR="00D12CE2" w:rsidRPr="00214D3D">
              <w:rPr>
                <w:b w:val="0"/>
                <w:bCs w:val="0"/>
                <w:sz w:val="18"/>
                <w:szCs w:val="18"/>
                <w:lang w:val="es-ES"/>
              </w:rPr>
              <w:t xml:space="preserve">BT.814-4, </w:t>
            </w:r>
            <w:r w:rsidRPr="00214D3D">
              <w:rPr>
                <w:b w:val="0"/>
                <w:bCs w:val="0"/>
                <w:sz w:val="18"/>
                <w:szCs w:val="18"/>
                <w:lang w:val="es-ES"/>
              </w:rPr>
              <w:t xml:space="preserve">BT.1702-2, </w:t>
            </w:r>
            <w:r w:rsidR="00D12CE2" w:rsidRPr="00214D3D">
              <w:rPr>
                <w:b w:val="0"/>
                <w:bCs w:val="0"/>
                <w:sz w:val="18"/>
                <w:szCs w:val="18"/>
                <w:lang w:val="es-ES"/>
              </w:rPr>
              <w:t xml:space="preserve">BT.2100-2, </w:t>
            </w:r>
            <w:r w:rsidRPr="00214D3D">
              <w:rPr>
                <w:b w:val="0"/>
                <w:bCs w:val="0"/>
                <w:sz w:val="18"/>
                <w:szCs w:val="18"/>
                <w:lang w:val="es-ES"/>
              </w:rPr>
              <w:t>BT.2111-</w:t>
            </w:r>
            <w:r w:rsidR="00D12CE2" w:rsidRPr="00214D3D">
              <w:rPr>
                <w:b w:val="0"/>
                <w:bCs w:val="0"/>
                <w:sz w:val="18"/>
                <w:szCs w:val="18"/>
                <w:lang w:val="es-ES"/>
              </w:rPr>
              <w:t>2</w:t>
            </w:r>
            <w:r w:rsidRPr="00214D3D">
              <w:rPr>
                <w:b w:val="0"/>
                <w:bCs w:val="0"/>
                <w:sz w:val="18"/>
                <w:szCs w:val="18"/>
                <w:lang w:val="es-ES"/>
              </w:rPr>
              <w:t>, BT.</w:t>
            </w:r>
            <w:r w:rsidR="00D12CE2" w:rsidRPr="00214D3D">
              <w:rPr>
                <w:b w:val="0"/>
                <w:bCs w:val="0"/>
                <w:sz w:val="18"/>
                <w:szCs w:val="18"/>
                <w:lang w:val="es-ES"/>
              </w:rPr>
              <w:t>2123-0, BT.2124-0</w:t>
            </w:r>
          </w:p>
        </w:tc>
      </w:tr>
      <w:tr w:rsidR="009223E4" w:rsidRPr="00B237E2" w14:paraId="580511C9" w14:textId="77777777" w:rsidTr="00214D3D">
        <w:tc>
          <w:tcPr>
            <w:cnfStyle w:val="001000000000" w:firstRow="0" w:lastRow="0" w:firstColumn="1" w:lastColumn="0" w:oddVBand="0" w:evenVBand="0" w:oddHBand="0" w:evenHBand="0" w:firstRowFirstColumn="0" w:firstRowLastColumn="0" w:lastRowFirstColumn="0" w:lastRowLastColumn="0"/>
            <w:tcW w:w="4951" w:type="dxa"/>
          </w:tcPr>
          <w:p w14:paraId="764AD4E7" w14:textId="5BCFF7DA" w:rsidR="00D12CE2" w:rsidRPr="00214D3D" w:rsidRDefault="00D12CE2" w:rsidP="00E124B0">
            <w:pPr>
              <w:pStyle w:val="Tabletext"/>
              <w:rPr>
                <w:b w:val="0"/>
                <w:bCs w:val="0"/>
                <w:sz w:val="18"/>
                <w:szCs w:val="18"/>
                <w:lang w:val="es-ES"/>
              </w:rPr>
            </w:pPr>
            <w:r w:rsidRPr="00214D3D">
              <w:rPr>
                <w:b w:val="0"/>
                <w:bCs w:val="0"/>
                <w:sz w:val="18"/>
                <w:szCs w:val="18"/>
                <w:lang w:val="es-ES"/>
              </w:rPr>
              <w:t>GT</w:t>
            </w:r>
            <w:r w:rsidR="009223E4">
              <w:rPr>
                <w:b w:val="0"/>
                <w:bCs w:val="0"/>
                <w:sz w:val="18"/>
                <w:szCs w:val="18"/>
                <w:lang w:val="es-ES"/>
              </w:rPr>
              <w:t> </w:t>
            </w:r>
            <w:r w:rsidRPr="00EB7F22">
              <w:rPr>
                <w:b w:val="0"/>
                <w:bCs w:val="0"/>
                <w:sz w:val="18"/>
                <w:szCs w:val="18"/>
                <w:lang w:val="es-ES"/>
              </w:rPr>
              <w:t xml:space="preserve">7A </w:t>
            </w:r>
            <w:r w:rsidRPr="00214D3D">
              <w:rPr>
                <w:b w:val="0"/>
                <w:bCs w:val="0"/>
                <w:sz w:val="18"/>
                <w:szCs w:val="18"/>
                <w:lang w:val="es-ES"/>
              </w:rPr>
              <w:t>–</w:t>
            </w:r>
            <w:r w:rsidRPr="00EB7F22">
              <w:rPr>
                <w:b w:val="0"/>
                <w:bCs w:val="0"/>
                <w:sz w:val="18"/>
                <w:szCs w:val="18"/>
                <w:lang w:val="es-ES"/>
              </w:rPr>
              <w:t xml:space="preserve"> </w:t>
            </w:r>
            <w:r w:rsidR="00243C7C" w:rsidRPr="00214D3D">
              <w:rPr>
                <w:b w:val="0"/>
                <w:bCs w:val="0"/>
                <w:sz w:val="18"/>
                <w:szCs w:val="18"/>
                <w:lang w:val="es-ES"/>
              </w:rPr>
              <w:t>Emisiones de frecuencias patrón y de señales horarias</w:t>
            </w:r>
          </w:p>
        </w:tc>
        <w:tc>
          <w:tcPr>
            <w:cnfStyle w:val="000100000000" w:firstRow="0" w:lastRow="0" w:firstColumn="0" w:lastColumn="1" w:oddVBand="0" w:evenVBand="0" w:oddHBand="0" w:evenHBand="0" w:firstRowFirstColumn="0" w:firstRowLastColumn="0" w:lastRowFirstColumn="0" w:lastRowLastColumn="0"/>
            <w:tcW w:w="4678" w:type="dxa"/>
          </w:tcPr>
          <w:p w14:paraId="2FD6A1AC" w14:textId="39C53ACA" w:rsidR="00D12CE2" w:rsidRPr="00214D3D" w:rsidRDefault="00D12CE2" w:rsidP="00E124B0">
            <w:pPr>
              <w:pStyle w:val="Tabletext"/>
              <w:rPr>
                <w:b w:val="0"/>
                <w:bCs w:val="0"/>
                <w:sz w:val="18"/>
                <w:szCs w:val="18"/>
                <w:lang w:val="es-ES"/>
              </w:rPr>
            </w:pPr>
            <w:r w:rsidRPr="00214D3D">
              <w:rPr>
                <w:b w:val="0"/>
                <w:bCs w:val="0"/>
                <w:sz w:val="18"/>
                <w:szCs w:val="18"/>
                <w:lang w:val="es-ES"/>
              </w:rPr>
              <w:t>TF.2118-0</w:t>
            </w:r>
          </w:p>
        </w:tc>
      </w:tr>
      <w:tr w:rsidR="00214D3D" w:rsidRPr="008D6AC1" w14:paraId="5ACA2CEE" w14:textId="77777777" w:rsidTr="00596F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1" w:type="dxa"/>
            <w:shd w:val="clear" w:color="auto" w:fill="DBE5F1"/>
          </w:tcPr>
          <w:p w14:paraId="05C991DE" w14:textId="6CA85C04" w:rsidR="00823AB3" w:rsidRPr="00214D3D" w:rsidRDefault="00823AB3" w:rsidP="00E124B0">
            <w:pPr>
              <w:pStyle w:val="Tabletext"/>
              <w:rPr>
                <w:b w:val="0"/>
                <w:bCs w:val="0"/>
                <w:sz w:val="18"/>
                <w:szCs w:val="18"/>
                <w:lang w:val="es-ES"/>
              </w:rPr>
            </w:pPr>
            <w:r w:rsidRPr="00214D3D">
              <w:rPr>
                <w:b w:val="0"/>
                <w:bCs w:val="0"/>
                <w:sz w:val="18"/>
                <w:szCs w:val="18"/>
                <w:lang w:val="es-ES"/>
              </w:rPr>
              <w:t>GT</w:t>
            </w:r>
            <w:r w:rsidR="009223E4">
              <w:rPr>
                <w:b w:val="0"/>
                <w:bCs w:val="0"/>
                <w:sz w:val="18"/>
                <w:szCs w:val="18"/>
                <w:lang w:val="es-ES"/>
              </w:rPr>
              <w:t> </w:t>
            </w:r>
            <w:r w:rsidRPr="00214D3D">
              <w:rPr>
                <w:b w:val="0"/>
                <w:bCs w:val="0"/>
                <w:sz w:val="18"/>
                <w:szCs w:val="18"/>
                <w:lang w:val="es-ES"/>
              </w:rPr>
              <w:t>7B – Aplicaciones de radiocomunicaciones espaciales</w:t>
            </w:r>
          </w:p>
        </w:tc>
        <w:tc>
          <w:tcPr>
            <w:cnfStyle w:val="000100000000" w:firstRow="0" w:lastRow="0" w:firstColumn="0" w:lastColumn="1" w:oddVBand="0" w:evenVBand="0" w:oddHBand="0" w:evenHBand="0" w:firstRowFirstColumn="0" w:firstRowLastColumn="0" w:lastRowFirstColumn="0" w:lastRowLastColumn="0"/>
            <w:tcW w:w="4678" w:type="dxa"/>
            <w:shd w:val="clear" w:color="auto" w:fill="DBE5F1"/>
          </w:tcPr>
          <w:p w14:paraId="20EDB875" w14:textId="1C2A64B7" w:rsidR="00823AB3" w:rsidRPr="00214D3D" w:rsidRDefault="00823AB3" w:rsidP="00E124B0">
            <w:pPr>
              <w:pStyle w:val="Tabletext"/>
              <w:rPr>
                <w:b w:val="0"/>
                <w:bCs w:val="0"/>
                <w:sz w:val="18"/>
                <w:szCs w:val="18"/>
                <w:lang w:val="es-ES"/>
              </w:rPr>
            </w:pPr>
            <w:r w:rsidRPr="00214D3D">
              <w:rPr>
                <w:b w:val="0"/>
                <w:bCs w:val="0"/>
                <w:sz w:val="18"/>
                <w:szCs w:val="18"/>
                <w:lang w:val="es-ES"/>
              </w:rPr>
              <w:t>SA.</w:t>
            </w:r>
            <w:r w:rsidR="00D12CE2" w:rsidRPr="00214D3D">
              <w:rPr>
                <w:b w:val="0"/>
                <w:bCs w:val="0"/>
                <w:sz w:val="18"/>
                <w:szCs w:val="18"/>
                <w:lang w:val="es-ES"/>
              </w:rPr>
              <w:t>364-6, SA.</w:t>
            </w:r>
            <w:r w:rsidRPr="00214D3D">
              <w:rPr>
                <w:b w:val="0"/>
                <w:bCs w:val="0"/>
                <w:sz w:val="18"/>
                <w:szCs w:val="18"/>
                <w:lang w:val="es-ES"/>
              </w:rPr>
              <w:t xml:space="preserve">1016-1, SA.1027-6, SA.1161-3, </w:t>
            </w:r>
            <w:r w:rsidR="00D12CE2" w:rsidRPr="00214D3D">
              <w:rPr>
                <w:b w:val="0"/>
                <w:bCs w:val="0"/>
                <w:sz w:val="18"/>
                <w:szCs w:val="18"/>
                <w:lang w:val="es-ES"/>
              </w:rPr>
              <w:t>SA.1163</w:t>
            </w:r>
            <w:r w:rsidR="00991293">
              <w:rPr>
                <w:b w:val="0"/>
                <w:bCs w:val="0"/>
                <w:sz w:val="18"/>
                <w:szCs w:val="18"/>
                <w:lang w:val="es-ES"/>
              </w:rPr>
              <w:noBreakHyphen/>
            </w:r>
            <w:r w:rsidR="00D12CE2" w:rsidRPr="00214D3D">
              <w:rPr>
                <w:b w:val="0"/>
                <w:bCs w:val="0"/>
                <w:sz w:val="18"/>
                <w:szCs w:val="18"/>
                <w:lang w:val="es-ES"/>
              </w:rPr>
              <w:t xml:space="preserve">3, </w:t>
            </w:r>
            <w:r w:rsidRPr="00214D3D">
              <w:rPr>
                <w:b w:val="0"/>
                <w:bCs w:val="0"/>
                <w:sz w:val="18"/>
                <w:szCs w:val="18"/>
                <w:lang w:val="es-ES"/>
              </w:rPr>
              <w:t>SA.1164-4</w:t>
            </w:r>
          </w:p>
        </w:tc>
      </w:tr>
      <w:tr w:rsidR="00991293" w:rsidRPr="00BD3DCF" w14:paraId="4C5AA5A4" w14:textId="77777777" w:rsidTr="00596FFB">
        <w:tc>
          <w:tcPr>
            <w:cnfStyle w:val="001000000000" w:firstRow="0" w:lastRow="0" w:firstColumn="1" w:lastColumn="0" w:oddVBand="0" w:evenVBand="0" w:oddHBand="0" w:evenHBand="0" w:firstRowFirstColumn="0" w:firstRowLastColumn="0" w:lastRowFirstColumn="0" w:lastRowLastColumn="0"/>
            <w:tcW w:w="4951" w:type="dxa"/>
            <w:tcBorders>
              <w:bottom w:val="single" w:sz="4" w:space="0" w:color="4F81BD" w:themeColor="accent1"/>
            </w:tcBorders>
          </w:tcPr>
          <w:p w14:paraId="4F9D82D0" w14:textId="746009BD" w:rsidR="00D12CE2" w:rsidRPr="00214D3D" w:rsidRDefault="00D12CE2" w:rsidP="00E124B0">
            <w:pPr>
              <w:pStyle w:val="Tabletext"/>
              <w:rPr>
                <w:b w:val="0"/>
                <w:bCs w:val="0"/>
                <w:sz w:val="18"/>
                <w:szCs w:val="18"/>
                <w:lang w:val="es-ES"/>
              </w:rPr>
            </w:pPr>
            <w:r w:rsidRPr="00EB7F22">
              <w:rPr>
                <w:b w:val="0"/>
                <w:bCs w:val="0"/>
                <w:sz w:val="18"/>
                <w:szCs w:val="18"/>
                <w:lang w:val="es-ES"/>
              </w:rPr>
              <w:t>GT</w:t>
            </w:r>
            <w:r w:rsidR="00991293">
              <w:rPr>
                <w:b w:val="0"/>
                <w:bCs w:val="0"/>
                <w:sz w:val="18"/>
                <w:szCs w:val="18"/>
                <w:lang w:val="es-ES"/>
              </w:rPr>
              <w:t> </w:t>
            </w:r>
            <w:r w:rsidRPr="00EB7F22">
              <w:rPr>
                <w:b w:val="0"/>
                <w:bCs w:val="0"/>
                <w:sz w:val="18"/>
                <w:szCs w:val="18"/>
                <w:lang w:val="es-ES"/>
              </w:rPr>
              <w:t xml:space="preserve">7C </w:t>
            </w:r>
            <w:r w:rsidRPr="00214D3D">
              <w:rPr>
                <w:b w:val="0"/>
                <w:bCs w:val="0"/>
                <w:sz w:val="18"/>
                <w:szCs w:val="18"/>
                <w:lang w:val="es-ES"/>
              </w:rPr>
              <w:t>–</w:t>
            </w:r>
            <w:r w:rsidRPr="00EB7F22">
              <w:rPr>
                <w:b w:val="0"/>
                <w:bCs w:val="0"/>
                <w:sz w:val="18"/>
                <w:szCs w:val="18"/>
                <w:lang w:val="es-ES"/>
              </w:rPr>
              <w:t xml:space="preserve"> </w:t>
            </w:r>
            <w:r w:rsidR="00243C7C" w:rsidRPr="00214D3D">
              <w:rPr>
                <w:b w:val="0"/>
                <w:bCs w:val="0"/>
                <w:sz w:val="18"/>
                <w:szCs w:val="18"/>
                <w:lang w:val="es-ES"/>
              </w:rPr>
              <w:t>Sistemas de detección a distancia</w:t>
            </w:r>
          </w:p>
        </w:tc>
        <w:tc>
          <w:tcPr>
            <w:cnfStyle w:val="000100000000" w:firstRow="0" w:lastRow="0" w:firstColumn="0" w:lastColumn="1" w:oddVBand="0" w:evenVBand="0" w:oddHBand="0" w:evenHBand="0" w:firstRowFirstColumn="0" w:firstRowLastColumn="0" w:lastRowFirstColumn="0" w:lastRowLastColumn="0"/>
            <w:tcW w:w="4678" w:type="dxa"/>
            <w:tcBorders>
              <w:bottom w:val="single" w:sz="4" w:space="0" w:color="4F81BD" w:themeColor="accent1"/>
            </w:tcBorders>
          </w:tcPr>
          <w:p w14:paraId="68B03E80" w14:textId="50672963" w:rsidR="00D12CE2" w:rsidRPr="00214D3D" w:rsidRDefault="00D12CE2" w:rsidP="00E124B0">
            <w:pPr>
              <w:pStyle w:val="Tabletext"/>
              <w:rPr>
                <w:b w:val="0"/>
                <w:bCs w:val="0"/>
                <w:sz w:val="18"/>
                <w:szCs w:val="18"/>
                <w:lang w:val="es-ES"/>
              </w:rPr>
            </w:pPr>
            <w:r w:rsidRPr="00991293">
              <w:rPr>
                <w:b w:val="0"/>
                <w:bCs w:val="0"/>
                <w:sz w:val="18"/>
                <w:szCs w:val="18"/>
                <w:lang w:val="es-ES"/>
              </w:rPr>
              <w:t>RS.1165-3, RS.1263-2, RS.1859-1, RS.1883-1, RS.2042-1</w:t>
            </w:r>
          </w:p>
        </w:tc>
      </w:tr>
      <w:tr w:rsidR="00991293" w:rsidRPr="00BD3DCF" w14:paraId="26B3ADE2" w14:textId="77777777" w:rsidTr="00596FF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1" w:type="dxa"/>
            <w:tcBorders>
              <w:top w:val="single" w:sz="4" w:space="0" w:color="4F81BD" w:themeColor="accent1"/>
              <w:bottom w:val="single" w:sz="4" w:space="0" w:color="4F81BD" w:themeColor="accent1"/>
            </w:tcBorders>
            <w:shd w:val="clear" w:color="auto" w:fill="DBE5F1"/>
          </w:tcPr>
          <w:p w14:paraId="53C33C8C" w14:textId="44A7E30D" w:rsidR="00991293" w:rsidRPr="00991293" w:rsidRDefault="00991293" w:rsidP="00E124B0">
            <w:pPr>
              <w:pStyle w:val="Tabletext"/>
              <w:rPr>
                <w:b w:val="0"/>
                <w:bCs w:val="0"/>
                <w:sz w:val="18"/>
                <w:szCs w:val="18"/>
                <w:lang w:val="es-ES"/>
              </w:rPr>
            </w:pPr>
            <w:r w:rsidRPr="00214D3D">
              <w:rPr>
                <w:b w:val="0"/>
                <w:bCs w:val="0"/>
                <w:sz w:val="18"/>
                <w:szCs w:val="18"/>
                <w:lang w:val="es-ES"/>
              </w:rPr>
              <w:t>CCV – Comité de Coordinación del Vocabulario</w:t>
            </w:r>
          </w:p>
        </w:tc>
        <w:tc>
          <w:tcPr>
            <w:cnfStyle w:val="000100000000" w:firstRow="0" w:lastRow="0" w:firstColumn="0" w:lastColumn="1" w:oddVBand="0" w:evenVBand="0" w:oddHBand="0" w:evenHBand="0" w:firstRowFirstColumn="0" w:firstRowLastColumn="0" w:lastRowFirstColumn="0" w:lastRowLastColumn="0"/>
            <w:tcW w:w="4678" w:type="dxa"/>
            <w:tcBorders>
              <w:top w:val="single" w:sz="4" w:space="0" w:color="4F81BD" w:themeColor="accent1"/>
              <w:bottom w:val="single" w:sz="4" w:space="0" w:color="4F81BD" w:themeColor="accent1"/>
            </w:tcBorders>
            <w:shd w:val="clear" w:color="auto" w:fill="DBE5F1"/>
          </w:tcPr>
          <w:p w14:paraId="03F69B62" w14:textId="38A14B06" w:rsidR="00991293" w:rsidRPr="00991293" w:rsidRDefault="00991293" w:rsidP="00E124B0">
            <w:pPr>
              <w:pStyle w:val="Tabletext"/>
              <w:rPr>
                <w:b w:val="0"/>
                <w:bCs w:val="0"/>
                <w:sz w:val="18"/>
                <w:szCs w:val="18"/>
                <w:lang w:val="es-ES"/>
              </w:rPr>
            </w:pPr>
            <w:r w:rsidRPr="00214D3D">
              <w:rPr>
                <w:b w:val="0"/>
                <w:bCs w:val="0"/>
                <w:sz w:val="18"/>
                <w:szCs w:val="18"/>
                <w:lang w:val="es-ES"/>
              </w:rPr>
              <w:t>V.2130-0</w:t>
            </w:r>
          </w:p>
        </w:tc>
      </w:tr>
    </w:tbl>
    <w:p w14:paraId="3170C17E" w14:textId="6E1A5D77" w:rsidR="00823AB3" w:rsidRPr="00B237E2" w:rsidRDefault="00823AB3" w:rsidP="00E124B0">
      <w:pPr>
        <w:pStyle w:val="Heading2"/>
        <w:rPr>
          <w:lang w:val="es-ES"/>
        </w:rPr>
      </w:pPr>
      <w:bookmarkStart w:id="67" w:name="_1.3_Tecnologías_emergentes"/>
      <w:bookmarkStart w:id="68" w:name="_1.4_Tecnologías_emergentes"/>
      <w:bookmarkStart w:id="69" w:name="_Toc41289275"/>
      <w:bookmarkStart w:id="70" w:name="_Toc41289418"/>
      <w:bookmarkStart w:id="71" w:name="Section_1_4"/>
      <w:bookmarkStart w:id="72" w:name="_Toc97821263"/>
      <w:bookmarkEnd w:id="67"/>
      <w:bookmarkEnd w:id="68"/>
      <w:r w:rsidRPr="00B237E2">
        <w:rPr>
          <w:lang w:val="es-ES"/>
        </w:rPr>
        <w:t>1.4</w:t>
      </w:r>
      <w:r w:rsidRPr="00B237E2">
        <w:rPr>
          <w:lang w:val="es-ES"/>
        </w:rPr>
        <w:tab/>
        <w:t xml:space="preserve">Tecnologías </w:t>
      </w:r>
      <w:r w:rsidR="00EE5736">
        <w:rPr>
          <w:lang w:val="es-ES"/>
        </w:rPr>
        <w:t>incipientes</w:t>
      </w:r>
      <w:bookmarkEnd w:id="69"/>
      <w:bookmarkEnd w:id="70"/>
      <w:bookmarkEnd w:id="71"/>
      <w:r w:rsidR="00D12CE2" w:rsidRPr="00B237E2">
        <w:rPr>
          <w:lang w:val="es-ES"/>
        </w:rPr>
        <w:t xml:space="preserve"> – </w:t>
      </w:r>
      <w:r w:rsidR="00A32FFA" w:rsidRPr="00B237E2">
        <w:rPr>
          <w:lang w:val="es-ES"/>
        </w:rPr>
        <w:t>Marcos propicios de la UIT para gestionar su desarrollo</w:t>
      </w:r>
      <w:bookmarkEnd w:id="72"/>
    </w:p>
    <w:p w14:paraId="4DBBD039" w14:textId="0157B4C4" w:rsidR="00823AB3" w:rsidRPr="00B237E2" w:rsidRDefault="00823AB3" w:rsidP="00E124B0">
      <w:pPr>
        <w:rPr>
          <w:lang w:val="es-ES"/>
        </w:rPr>
      </w:pPr>
      <w:r w:rsidRPr="00B237E2">
        <w:rPr>
          <w:lang w:val="es-ES"/>
        </w:rPr>
        <w:t xml:space="preserve">La UIT </w:t>
      </w:r>
      <w:r w:rsidR="00D77F06" w:rsidRPr="00B237E2">
        <w:rPr>
          <w:lang w:val="es-ES"/>
        </w:rPr>
        <w:t>analiza</w:t>
      </w:r>
      <w:r w:rsidRPr="00B237E2">
        <w:rPr>
          <w:lang w:val="es-ES"/>
        </w:rPr>
        <w:t xml:space="preserve"> </w:t>
      </w:r>
      <w:r w:rsidR="00623CAE" w:rsidRPr="00B237E2">
        <w:rPr>
          <w:lang w:val="es-ES"/>
        </w:rPr>
        <w:t xml:space="preserve">las </w:t>
      </w:r>
      <w:r w:rsidRPr="00B237E2">
        <w:rPr>
          <w:lang w:val="es-ES"/>
        </w:rPr>
        <w:t>tecnologías nuevas</w:t>
      </w:r>
      <w:r w:rsidR="00A32FFA" w:rsidRPr="00B237E2">
        <w:rPr>
          <w:lang w:val="es-ES"/>
        </w:rPr>
        <w:t xml:space="preserve"> o </w:t>
      </w:r>
      <w:r w:rsidR="00EE5736">
        <w:rPr>
          <w:lang w:val="es-ES"/>
        </w:rPr>
        <w:t>incipientes</w:t>
      </w:r>
      <w:r w:rsidRPr="00B237E2">
        <w:rPr>
          <w:lang w:val="es-ES"/>
        </w:rPr>
        <w:t>, como la inteligencia artificial (IA), la Internet de las cosas (IoT) y las tecnologías de la información cuántica (QIT).</w:t>
      </w:r>
      <w:r w:rsidR="00D12CE2" w:rsidRPr="00EB7F22">
        <w:rPr>
          <w:rFonts w:cs="Calibri"/>
          <w:sz w:val="22"/>
          <w:szCs w:val="22"/>
          <w:lang w:val="es-ES" w:eastAsia="en-GB"/>
        </w:rPr>
        <w:t xml:space="preserve"> </w:t>
      </w:r>
      <w:r w:rsidR="00623CAE" w:rsidRPr="00B237E2">
        <w:rPr>
          <w:lang w:val="es-ES"/>
        </w:rPr>
        <w:t>También</w:t>
      </w:r>
      <w:r w:rsidR="002457E7" w:rsidRPr="00B237E2">
        <w:rPr>
          <w:lang w:val="es-ES"/>
        </w:rPr>
        <w:t xml:space="preserve"> ha</w:t>
      </w:r>
      <w:r w:rsidR="00A32FFA" w:rsidRPr="00B237E2">
        <w:rPr>
          <w:lang w:val="es-ES"/>
        </w:rPr>
        <w:t xml:space="preserve"> organizado varias sesiones para informar de </w:t>
      </w:r>
      <w:r w:rsidR="00822F92" w:rsidRPr="00B237E2">
        <w:rPr>
          <w:lang w:val="es-ES"/>
        </w:rPr>
        <w:t>sus</w:t>
      </w:r>
      <w:r w:rsidR="00A32FFA" w:rsidRPr="00B237E2">
        <w:rPr>
          <w:lang w:val="es-ES"/>
        </w:rPr>
        <w:t xml:space="preserve"> actividades en materia de IA y QIT, y </w:t>
      </w:r>
      <w:r w:rsidR="00AE6CF6">
        <w:rPr>
          <w:lang w:val="es-ES"/>
        </w:rPr>
        <w:t>facilitar su promoción</w:t>
      </w:r>
      <w:r w:rsidR="00A32FFA" w:rsidRPr="00B237E2">
        <w:rPr>
          <w:lang w:val="es-ES"/>
        </w:rPr>
        <w:t xml:space="preserve">, en colaboración con otros organismos de las Naciones Unidas en el marco de diversas plataformas de varias partes interesadas, en particular el Foro de la CMSI </w:t>
      </w:r>
      <w:r w:rsidR="00DC0597">
        <w:rPr>
          <w:lang w:val="es-ES"/>
        </w:rPr>
        <w:t xml:space="preserve">2021 </w:t>
      </w:r>
      <w:r w:rsidR="00A32FFA" w:rsidRPr="00B237E2">
        <w:rPr>
          <w:lang w:val="es-ES"/>
        </w:rPr>
        <w:t xml:space="preserve">y el Foro </w:t>
      </w:r>
      <w:r w:rsidR="00403A1E" w:rsidRPr="00B237E2">
        <w:rPr>
          <w:lang w:val="es-ES"/>
        </w:rPr>
        <w:t xml:space="preserve">CTI de </w:t>
      </w:r>
      <w:r w:rsidR="00A32FFA" w:rsidRPr="00B237E2">
        <w:rPr>
          <w:lang w:val="es-ES"/>
        </w:rPr>
        <w:t>2021.</w:t>
      </w:r>
    </w:p>
    <w:p w14:paraId="392FF632" w14:textId="77777777" w:rsidR="00823AB3" w:rsidRPr="00B237E2" w:rsidRDefault="00823AB3" w:rsidP="00E124B0">
      <w:pPr>
        <w:pStyle w:val="Headingb"/>
        <w:rPr>
          <w:lang w:val="es-ES"/>
        </w:rPr>
      </w:pPr>
      <w:r w:rsidRPr="00E63E85">
        <w:rPr>
          <w:lang w:val="es-ES"/>
        </w:rPr>
        <w:t>Inteligencia artificial</w:t>
      </w:r>
    </w:p>
    <w:p w14:paraId="0004ADB1" w14:textId="1D486C34" w:rsidR="00823AB3" w:rsidRPr="00B237E2" w:rsidRDefault="002457E7" w:rsidP="00050AE0">
      <w:pPr>
        <w:rPr>
          <w:lang w:val="es-ES"/>
        </w:rPr>
      </w:pPr>
      <w:r w:rsidRPr="00B237E2">
        <w:rPr>
          <w:lang w:val="es-ES"/>
        </w:rPr>
        <w:t>La IA desempeñará un papel importante para facilitar el cumplimiento de los 17</w:t>
      </w:r>
      <w:r w:rsidR="00050AE0">
        <w:rPr>
          <w:lang w:val="es-ES"/>
        </w:rPr>
        <w:t> </w:t>
      </w:r>
      <w:r w:rsidRPr="00B237E2">
        <w:rPr>
          <w:lang w:val="es-ES"/>
        </w:rPr>
        <w:t xml:space="preserve">ODS a un ritmo más rápido. La UIT ofrece una plataforma neutral para que todas las partes interesadas fomenten un entendimiento común de las capacidades de la IA, y promuevan un desarrollo eficaz, seguro e inclusivo de la IA, así como un acceso equitativo a </w:t>
      </w:r>
      <w:r w:rsidR="00822F92" w:rsidRPr="00B237E2">
        <w:rPr>
          <w:lang w:val="es-ES"/>
        </w:rPr>
        <w:t>las ventajas que brinda</w:t>
      </w:r>
      <w:r w:rsidR="00D12CE2" w:rsidRPr="00B237E2">
        <w:rPr>
          <w:lang w:val="es-ES"/>
        </w:rPr>
        <w:t xml:space="preserve">. </w:t>
      </w:r>
      <w:r w:rsidR="00823AB3" w:rsidRPr="00B237E2">
        <w:rPr>
          <w:lang w:val="es-ES"/>
        </w:rPr>
        <w:t>En los últimos años, la</w:t>
      </w:r>
      <w:r w:rsidR="00050AE0">
        <w:rPr>
          <w:lang w:val="es-ES"/>
        </w:rPr>
        <w:t> </w:t>
      </w:r>
      <w:r w:rsidR="00823AB3" w:rsidRPr="00B237E2">
        <w:rPr>
          <w:lang w:val="es-ES"/>
        </w:rPr>
        <w:t xml:space="preserve">IA ha avanzado a un ritmo exponencial. Las máquinas dotadas </w:t>
      </w:r>
      <w:r w:rsidR="00822F92" w:rsidRPr="00B237E2">
        <w:rPr>
          <w:lang w:val="es-ES"/>
        </w:rPr>
        <w:t>de IA</w:t>
      </w:r>
      <w:r w:rsidR="00823AB3" w:rsidRPr="00B237E2">
        <w:rPr>
          <w:lang w:val="es-ES"/>
        </w:rPr>
        <w:t xml:space="preserve"> </w:t>
      </w:r>
      <w:r w:rsidR="00623CAE" w:rsidRPr="00B237E2">
        <w:rPr>
          <w:lang w:val="es-ES"/>
        </w:rPr>
        <w:t>pueden</w:t>
      </w:r>
      <w:r w:rsidR="00823AB3" w:rsidRPr="00B237E2">
        <w:rPr>
          <w:lang w:val="es-ES"/>
        </w:rPr>
        <w:t xml:space="preserve"> </w:t>
      </w:r>
      <w:r w:rsidR="00F9680D" w:rsidRPr="00B237E2">
        <w:rPr>
          <w:lang w:val="es-ES"/>
        </w:rPr>
        <w:t>clasificar</w:t>
      </w:r>
      <w:r w:rsidR="00823AB3" w:rsidRPr="00B237E2">
        <w:rPr>
          <w:lang w:val="es-ES"/>
        </w:rPr>
        <w:t xml:space="preserve"> e interpretar volúmenes </w:t>
      </w:r>
      <w:r w:rsidR="00F9680D" w:rsidRPr="00B237E2">
        <w:rPr>
          <w:lang w:val="es-ES"/>
        </w:rPr>
        <w:t xml:space="preserve">ingentes </w:t>
      </w:r>
      <w:r w:rsidR="00823AB3" w:rsidRPr="00B237E2">
        <w:rPr>
          <w:lang w:val="es-ES"/>
        </w:rPr>
        <w:t>de datos para ejecutar tareas muy diversas. Sin embargo, el poder transformador de la IA también conlleva problemas, que oscilan desde cuestiones de transparencia, confianza y seguridad, hasta inquietudes relativas a la pérdida de empleos y la exacerbación de las desigualdades.</w:t>
      </w:r>
    </w:p>
    <w:p w14:paraId="5DFD4356" w14:textId="0E6010F5" w:rsidR="00823AB3" w:rsidRPr="00B237E2" w:rsidRDefault="00823AB3" w:rsidP="00E124B0">
      <w:pPr>
        <w:rPr>
          <w:lang w:val="es-ES"/>
        </w:rPr>
      </w:pPr>
      <w:r w:rsidRPr="00B237E2">
        <w:rPr>
          <w:lang w:val="es-ES"/>
        </w:rPr>
        <w:lastRenderedPageBreak/>
        <w:t xml:space="preserve">Véase una serie de Informes y Recomendaciones </w:t>
      </w:r>
      <w:r w:rsidR="00DB09F5" w:rsidRPr="00B237E2">
        <w:rPr>
          <w:lang w:val="es-ES"/>
        </w:rPr>
        <w:t xml:space="preserve">del </w:t>
      </w:r>
      <w:r w:rsidRPr="00B237E2">
        <w:rPr>
          <w:lang w:val="es-ES"/>
        </w:rPr>
        <w:t xml:space="preserve">UIT-R </w:t>
      </w:r>
      <w:r w:rsidR="00DB09F5" w:rsidRPr="00B237E2">
        <w:rPr>
          <w:lang w:val="es-ES"/>
        </w:rPr>
        <w:t>relacionados con la IA</w:t>
      </w:r>
      <w:r w:rsidRPr="00B237E2">
        <w:rPr>
          <w:lang w:val="es-ES"/>
        </w:rPr>
        <w:t xml:space="preserve"> </w:t>
      </w:r>
      <w:hyperlink r:id="rId65" w:history="1">
        <w:r w:rsidRPr="00B237E2">
          <w:rPr>
            <w:rStyle w:val="Hyperlink"/>
            <w:lang w:val="es-ES"/>
          </w:rPr>
          <w:t>en línea</w:t>
        </w:r>
      </w:hyperlink>
      <w:r w:rsidRPr="00B237E2">
        <w:rPr>
          <w:lang w:val="es-ES"/>
        </w:rPr>
        <w:t>.</w:t>
      </w:r>
      <w:r w:rsidR="00E90D75" w:rsidRPr="00B237E2">
        <w:rPr>
          <w:lang w:val="es-ES"/>
        </w:rPr>
        <w:t xml:space="preserve"> En el sitio web intersectorial, disponible </w:t>
      </w:r>
      <w:r w:rsidR="00DB09F5" w:rsidRPr="00050AE0">
        <w:t>a través de</w:t>
      </w:r>
      <w:r w:rsidR="00FC43CF" w:rsidRPr="00050AE0">
        <w:t xml:space="preserve"> esta </w:t>
      </w:r>
      <w:hyperlink r:id="rId66" w:history="1">
        <w:r w:rsidR="00FC43CF" w:rsidRPr="00050AE0">
          <w:rPr>
            <w:rStyle w:val="Hyperlink"/>
          </w:rPr>
          <w:t>página web</w:t>
        </w:r>
      </w:hyperlink>
      <w:r w:rsidR="00E90D75" w:rsidRPr="00050AE0">
        <w:t>, se</w:t>
      </w:r>
      <w:r w:rsidR="00E90D75" w:rsidRPr="00B237E2">
        <w:rPr>
          <w:lang w:val="es-ES"/>
        </w:rPr>
        <w:t xml:space="preserve"> proporciona información suplementaria sobre las actividades de la UIT en materia de IA</w:t>
      </w:r>
      <w:r w:rsidR="00D12CE2" w:rsidRPr="00B237E2">
        <w:rPr>
          <w:lang w:val="es-ES"/>
        </w:rPr>
        <w:t>.</w:t>
      </w:r>
    </w:p>
    <w:p w14:paraId="580D32F3" w14:textId="5E9841AD" w:rsidR="00823AB3" w:rsidRPr="00B237E2" w:rsidRDefault="00DC2895" w:rsidP="00E124B0">
      <w:pPr>
        <w:rPr>
          <w:lang w:val="es-ES"/>
        </w:rPr>
      </w:pPr>
      <w:r w:rsidRPr="00B237E2">
        <w:rPr>
          <w:lang w:val="es-ES"/>
        </w:rPr>
        <w:t>La labor de la UIT en la esfera de la IA abarca, en particular</w:t>
      </w:r>
      <w:r w:rsidR="00823AB3" w:rsidRPr="00B237E2">
        <w:rPr>
          <w:lang w:val="es-ES"/>
        </w:rPr>
        <w:t>:</w:t>
      </w:r>
    </w:p>
    <w:p w14:paraId="745EF196" w14:textId="26FDF343" w:rsidR="00FC43CF" w:rsidRPr="00B237E2" w:rsidRDefault="00823AB3" w:rsidP="00FC43CF">
      <w:pPr>
        <w:pStyle w:val="enumlev1"/>
        <w:rPr>
          <w:lang w:val="es-ES"/>
        </w:rPr>
      </w:pPr>
      <w:r w:rsidRPr="00B237E2">
        <w:rPr>
          <w:lang w:val="es-ES"/>
        </w:rPr>
        <w:t>•</w:t>
      </w:r>
      <w:r w:rsidRPr="00B237E2">
        <w:rPr>
          <w:lang w:val="es-ES"/>
        </w:rPr>
        <w:tab/>
      </w:r>
      <w:r w:rsidR="00FC43CF" w:rsidRPr="00B237E2">
        <w:rPr>
          <w:lang w:val="es-ES"/>
        </w:rPr>
        <w:t xml:space="preserve">La IA en la normalización (véase la </w:t>
      </w:r>
      <w:hyperlink w:anchor="_1.3_Normalización_–" w:history="1">
        <w:r w:rsidR="00AC2BA1" w:rsidRPr="00B237E2">
          <w:rPr>
            <w:rStyle w:val="Hyperlink"/>
            <w:lang w:val="es-ES"/>
          </w:rPr>
          <w:t>sección</w:t>
        </w:r>
        <w:r w:rsidR="00AC2BA1">
          <w:rPr>
            <w:rStyle w:val="Hyperlink"/>
            <w:lang w:val="es-ES"/>
          </w:rPr>
          <w:t> </w:t>
        </w:r>
        <w:r w:rsidR="00AC2BA1" w:rsidRPr="00B237E2">
          <w:rPr>
            <w:rStyle w:val="Hyperlink"/>
            <w:lang w:val="es-ES"/>
          </w:rPr>
          <w:t>1.3</w:t>
        </w:r>
      </w:hyperlink>
      <w:r w:rsidR="00FC43CF" w:rsidRPr="00B237E2">
        <w:rPr>
          <w:lang w:val="es-ES"/>
        </w:rPr>
        <w:t xml:space="preserve"> para ampliar información).</w:t>
      </w:r>
    </w:p>
    <w:p w14:paraId="3FA0B8D0" w14:textId="58ACF88A" w:rsidR="00FC43CF" w:rsidRPr="00B237E2" w:rsidRDefault="00FC43CF" w:rsidP="00FC43CF">
      <w:pPr>
        <w:pStyle w:val="enumlev1"/>
        <w:rPr>
          <w:lang w:val="es-ES"/>
        </w:rPr>
      </w:pPr>
      <w:r w:rsidRPr="00B237E2">
        <w:rPr>
          <w:lang w:val="es-ES"/>
        </w:rPr>
        <w:t>•</w:t>
      </w:r>
      <w:r w:rsidRPr="00B237E2">
        <w:rPr>
          <w:lang w:val="es-ES"/>
        </w:rPr>
        <w:tab/>
        <w:t xml:space="preserve">Cumbre Mundial </w:t>
      </w:r>
      <w:r w:rsidR="00D63B64">
        <w:rPr>
          <w:lang w:val="es-ES"/>
        </w:rPr>
        <w:t xml:space="preserve">de </w:t>
      </w:r>
      <w:r w:rsidR="00693B94" w:rsidRPr="00693B94">
        <w:rPr>
          <w:lang w:val="es-ES"/>
        </w:rPr>
        <w:t>AI for Good</w:t>
      </w:r>
      <w:r w:rsidRPr="00B237E2">
        <w:rPr>
          <w:lang w:val="es-ES"/>
        </w:rPr>
        <w:t xml:space="preserve"> (véase la </w:t>
      </w:r>
      <w:hyperlink w:anchor="_1.11_Principales_eventos" w:history="1">
        <w:r w:rsidR="00084CD9" w:rsidRPr="00084CD9">
          <w:rPr>
            <w:rStyle w:val="Hyperlink"/>
            <w:lang w:val="es-ES"/>
          </w:rPr>
          <w:t>sección</w:t>
        </w:r>
        <w:r w:rsidR="00084CD9">
          <w:rPr>
            <w:rStyle w:val="Hyperlink"/>
            <w:lang w:val="es-ES"/>
          </w:rPr>
          <w:t> </w:t>
        </w:r>
        <w:r w:rsidR="00084CD9" w:rsidRPr="00084CD9">
          <w:rPr>
            <w:rStyle w:val="Hyperlink"/>
            <w:lang w:val="es-ES"/>
          </w:rPr>
          <w:t>1.11</w:t>
        </w:r>
      </w:hyperlink>
      <w:r w:rsidRPr="00B237E2">
        <w:rPr>
          <w:lang w:val="es-ES"/>
        </w:rPr>
        <w:t xml:space="preserve"> </w:t>
      </w:r>
      <w:r w:rsidR="00F13C7E" w:rsidRPr="00B237E2">
        <w:rPr>
          <w:lang w:val="es-ES"/>
        </w:rPr>
        <w:t>para ampliar información</w:t>
      </w:r>
      <w:r w:rsidRPr="00B237E2">
        <w:rPr>
          <w:lang w:val="es-ES"/>
        </w:rPr>
        <w:t>).</w:t>
      </w:r>
    </w:p>
    <w:p w14:paraId="75404C10" w14:textId="6A50BD3E" w:rsidR="00DD35BB" w:rsidRPr="00B237E2" w:rsidRDefault="00F13C7E" w:rsidP="00FC43CF">
      <w:pPr>
        <w:pStyle w:val="enumlev1"/>
        <w:rPr>
          <w:lang w:val="es-ES"/>
        </w:rPr>
      </w:pPr>
      <w:r w:rsidRPr="00B237E2">
        <w:rPr>
          <w:lang w:val="es-ES"/>
        </w:rPr>
        <w:t>•</w:t>
      </w:r>
      <w:r w:rsidRPr="00B237E2">
        <w:rPr>
          <w:lang w:val="es-ES"/>
        </w:rPr>
        <w:tab/>
      </w:r>
      <w:r w:rsidR="00CA2F50" w:rsidRPr="00B237E2">
        <w:rPr>
          <w:lang w:val="es-ES"/>
        </w:rPr>
        <w:t>Concurso</w:t>
      </w:r>
      <w:r w:rsidR="00D923C9">
        <w:rPr>
          <w:lang w:val="es-ES"/>
        </w:rPr>
        <w:t xml:space="preserve"> de la UIT sobre IA y </w:t>
      </w:r>
      <w:r w:rsidR="005D520F">
        <w:rPr>
          <w:lang w:val="es-ES"/>
        </w:rPr>
        <w:t>a</w:t>
      </w:r>
      <w:r w:rsidR="00FC43CF" w:rsidRPr="00B237E2">
        <w:rPr>
          <w:lang w:val="es-ES"/>
        </w:rPr>
        <w:t xml:space="preserve">prendizaje </w:t>
      </w:r>
      <w:r w:rsidR="00CA2F50" w:rsidRPr="00B237E2">
        <w:rPr>
          <w:lang w:val="es-ES"/>
        </w:rPr>
        <w:t>a</w:t>
      </w:r>
      <w:r w:rsidR="00FC43CF" w:rsidRPr="00B237E2">
        <w:rPr>
          <w:lang w:val="es-ES"/>
        </w:rPr>
        <w:t xml:space="preserve">utomático </w:t>
      </w:r>
      <w:r w:rsidR="00CA2F50" w:rsidRPr="00B237E2">
        <w:rPr>
          <w:lang w:val="es-ES"/>
        </w:rPr>
        <w:t>y</w:t>
      </w:r>
      <w:r w:rsidR="00FC43CF" w:rsidRPr="00B237E2">
        <w:rPr>
          <w:lang w:val="es-ES"/>
        </w:rPr>
        <w:t xml:space="preserve"> la </w:t>
      </w:r>
      <w:r w:rsidR="00CA2F50" w:rsidRPr="00B237E2">
        <w:rPr>
          <w:lang w:val="es-ES"/>
        </w:rPr>
        <w:t xml:space="preserve">tecnología </w:t>
      </w:r>
      <w:r w:rsidR="00FC43CF" w:rsidRPr="00B237E2">
        <w:rPr>
          <w:lang w:val="es-ES"/>
        </w:rPr>
        <w:t xml:space="preserve">5G (véase la </w:t>
      </w:r>
      <w:hyperlink w:anchor="_1.11_Principales_eventos" w:history="1">
        <w:r w:rsidR="00084CD9" w:rsidRPr="00084CD9">
          <w:rPr>
            <w:rStyle w:val="Hyperlink"/>
            <w:lang w:val="es-ES"/>
          </w:rPr>
          <w:t>sección</w:t>
        </w:r>
        <w:r w:rsidR="00084CD9">
          <w:rPr>
            <w:rStyle w:val="Hyperlink"/>
            <w:lang w:val="es-ES"/>
          </w:rPr>
          <w:t> </w:t>
        </w:r>
        <w:r w:rsidR="00084CD9" w:rsidRPr="00084CD9">
          <w:rPr>
            <w:rStyle w:val="Hyperlink"/>
            <w:lang w:val="es-ES"/>
          </w:rPr>
          <w:t>1.11</w:t>
        </w:r>
      </w:hyperlink>
      <w:r w:rsidR="00FC43CF" w:rsidRPr="00B237E2">
        <w:rPr>
          <w:lang w:val="es-ES"/>
        </w:rPr>
        <w:t xml:space="preserve"> </w:t>
      </w:r>
      <w:r w:rsidRPr="00B237E2">
        <w:rPr>
          <w:lang w:val="es-ES"/>
        </w:rPr>
        <w:t>para ampliar información</w:t>
      </w:r>
      <w:r w:rsidR="00FC43CF" w:rsidRPr="00B237E2">
        <w:rPr>
          <w:lang w:val="es-ES"/>
        </w:rPr>
        <w:t>)</w:t>
      </w:r>
      <w:r w:rsidR="00AC2BA1">
        <w:rPr>
          <w:lang w:val="es-ES"/>
        </w:rPr>
        <w:t>.</w:t>
      </w:r>
    </w:p>
    <w:p w14:paraId="4B5B0DEF" w14:textId="7DA6B1FF" w:rsidR="00DD35BB" w:rsidRPr="00B237E2" w:rsidRDefault="00DD35BB" w:rsidP="00FC43CF">
      <w:pPr>
        <w:pStyle w:val="enumlev1"/>
        <w:rPr>
          <w:lang w:val="es-ES"/>
        </w:rPr>
      </w:pPr>
      <w:r w:rsidRPr="00B237E2">
        <w:rPr>
          <w:lang w:val="es-ES"/>
        </w:rPr>
        <w:t>•</w:t>
      </w:r>
      <w:r w:rsidRPr="00B237E2">
        <w:rPr>
          <w:lang w:val="es-ES"/>
        </w:rPr>
        <w:tab/>
      </w:r>
      <w:r w:rsidR="00FC43CF" w:rsidRPr="00B237E2">
        <w:rPr>
          <w:lang w:val="es-ES"/>
        </w:rPr>
        <w:t xml:space="preserve">Comisiones de Estudio del UIT-T que abordan aspectos de la IA y el aprendizaje automático </w:t>
      </w:r>
      <w:r w:rsidRPr="00B237E2">
        <w:rPr>
          <w:lang w:val="es-ES"/>
        </w:rPr>
        <w:t>en el marco</w:t>
      </w:r>
      <w:r w:rsidR="00FC43CF" w:rsidRPr="00B237E2">
        <w:rPr>
          <w:lang w:val="es-ES"/>
        </w:rPr>
        <w:t xml:space="preserve"> de sus mandatos. </w:t>
      </w:r>
      <w:r w:rsidRPr="00B237E2">
        <w:rPr>
          <w:lang w:val="es-ES"/>
        </w:rPr>
        <w:t>Su labor</w:t>
      </w:r>
      <w:r w:rsidR="00FC43CF" w:rsidRPr="00B237E2">
        <w:rPr>
          <w:lang w:val="es-ES"/>
        </w:rPr>
        <w:t xml:space="preserve"> ha dado lugar a </w:t>
      </w:r>
      <w:r w:rsidRPr="00B237E2">
        <w:rPr>
          <w:lang w:val="es-ES"/>
        </w:rPr>
        <w:t xml:space="preserve">varias </w:t>
      </w:r>
      <w:r w:rsidR="00FC43CF" w:rsidRPr="00B237E2">
        <w:rPr>
          <w:lang w:val="es-ES"/>
        </w:rPr>
        <w:t>Recomendaciones y Suplementos del UIT-T, por ejemplo</w:t>
      </w:r>
      <w:r w:rsidRPr="00B237E2">
        <w:rPr>
          <w:lang w:val="es-ES"/>
        </w:rPr>
        <w:t>, Recomendaciones UIT-T</w:t>
      </w:r>
      <w:r w:rsidR="00FC43CF" w:rsidRPr="00B237E2">
        <w:rPr>
          <w:lang w:val="es-ES"/>
        </w:rPr>
        <w:t xml:space="preserve"> </w:t>
      </w:r>
      <w:r w:rsidRPr="00B237E2">
        <w:rPr>
          <w:lang w:val="es-ES"/>
        </w:rPr>
        <w:t>de</w:t>
      </w:r>
      <w:r w:rsidR="00FC43CF" w:rsidRPr="00B237E2">
        <w:rPr>
          <w:lang w:val="es-ES"/>
        </w:rPr>
        <w:t xml:space="preserve"> las series </w:t>
      </w:r>
      <w:hyperlink r:id="rId67" w:history="1">
        <w:r w:rsidR="00FC43CF" w:rsidRPr="00031368">
          <w:rPr>
            <w:rStyle w:val="Hyperlink"/>
            <w:lang w:val="es-ES"/>
          </w:rPr>
          <w:t>L</w:t>
        </w:r>
      </w:hyperlink>
      <w:r w:rsidR="00FC43CF" w:rsidRPr="00B237E2">
        <w:rPr>
          <w:lang w:val="es-ES"/>
        </w:rPr>
        <w:t xml:space="preserve">, </w:t>
      </w:r>
      <w:hyperlink r:id="rId68" w:history="1">
        <w:r w:rsidR="00FC43CF" w:rsidRPr="00031368">
          <w:rPr>
            <w:rStyle w:val="Hyperlink"/>
            <w:lang w:val="es-ES"/>
          </w:rPr>
          <w:t>M</w:t>
        </w:r>
      </w:hyperlink>
      <w:r w:rsidR="00FC43CF" w:rsidRPr="00B237E2">
        <w:rPr>
          <w:lang w:val="es-ES"/>
        </w:rPr>
        <w:t xml:space="preserve">, </w:t>
      </w:r>
      <w:hyperlink r:id="rId69" w:history="1">
        <w:r w:rsidR="00FC43CF" w:rsidRPr="00031368">
          <w:rPr>
            <w:rStyle w:val="Hyperlink"/>
            <w:lang w:val="es-ES"/>
          </w:rPr>
          <w:t>P</w:t>
        </w:r>
      </w:hyperlink>
      <w:r w:rsidR="00FC43CF" w:rsidRPr="00B237E2">
        <w:rPr>
          <w:lang w:val="es-ES"/>
        </w:rPr>
        <w:t xml:space="preserve"> e </w:t>
      </w:r>
      <w:hyperlink r:id="rId70" w:history="1">
        <w:r w:rsidR="00FC43CF" w:rsidRPr="00031368">
          <w:rPr>
            <w:rStyle w:val="Hyperlink"/>
            <w:lang w:val="es-ES"/>
          </w:rPr>
          <w:t>Y</w:t>
        </w:r>
      </w:hyperlink>
      <w:r w:rsidR="00FC43CF" w:rsidRPr="00B237E2">
        <w:rPr>
          <w:lang w:val="es-ES"/>
        </w:rPr>
        <w:t>.</w:t>
      </w:r>
    </w:p>
    <w:p w14:paraId="08A19A97" w14:textId="17382F53" w:rsidR="00DD35BB" w:rsidRPr="00B237E2" w:rsidRDefault="00DD35BB" w:rsidP="009E243E">
      <w:pPr>
        <w:pStyle w:val="enumlev1"/>
        <w:rPr>
          <w:lang w:val="es-ES"/>
        </w:rPr>
      </w:pPr>
      <w:r w:rsidRPr="00B237E2">
        <w:rPr>
          <w:lang w:val="es-ES"/>
        </w:rPr>
        <w:t>•</w:t>
      </w:r>
      <w:r w:rsidRPr="00B237E2">
        <w:rPr>
          <w:lang w:val="es-ES"/>
        </w:rPr>
        <w:tab/>
      </w:r>
      <w:r w:rsidR="00FC43CF" w:rsidRPr="00B237E2">
        <w:rPr>
          <w:lang w:val="es-ES"/>
        </w:rPr>
        <w:t xml:space="preserve">Más de cinco Grupos Temáticos del UIT-T </w:t>
      </w:r>
      <w:r w:rsidRPr="00B237E2">
        <w:rPr>
          <w:lang w:val="es-ES"/>
        </w:rPr>
        <w:t>estudian la utilización</w:t>
      </w:r>
      <w:r w:rsidR="00FC43CF" w:rsidRPr="00B237E2">
        <w:rPr>
          <w:lang w:val="es-ES"/>
        </w:rPr>
        <w:t xml:space="preserve"> de la IA y </w:t>
      </w:r>
      <w:r w:rsidRPr="00B237E2">
        <w:rPr>
          <w:lang w:val="es-ES"/>
        </w:rPr>
        <w:t>d</w:t>
      </w:r>
      <w:r w:rsidR="00FC43CF" w:rsidRPr="00B237E2">
        <w:rPr>
          <w:lang w:val="es-ES"/>
        </w:rPr>
        <w:t>el aprendizaje automático</w:t>
      </w:r>
      <w:r w:rsidR="009E243E">
        <w:rPr>
          <w:lang w:val="es-ES"/>
        </w:rPr>
        <w:t xml:space="preserve"> </w:t>
      </w:r>
      <w:r w:rsidR="009E243E" w:rsidRPr="00D5601F">
        <w:t>(</w:t>
      </w:r>
      <w:r w:rsidR="009E243E" w:rsidRPr="009E243E">
        <w:t xml:space="preserve">véase la </w:t>
      </w:r>
      <w:hyperlink w:anchor="Section_1_3" w:history="1">
        <w:r w:rsidR="009E243E" w:rsidRPr="009E243E">
          <w:rPr>
            <w:rStyle w:val="Hyperlink"/>
          </w:rPr>
          <w:t>sección 1</w:t>
        </w:r>
        <w:r w:rsidR="009E243E" w:rsidRPr="00D5601F">
          <w:rPr>
            <w:rStyle w:val="Hyperlink"/>
          </w:rPr>
          <w:t>.3</w:t>
        </w:r>
      </w:hyperlink>
      <w:r w:rsidR="009E243E" w:rsidRPr="00D5601F">
        <w:t xml:space="preserve"> </w:t>
      </w:r>
      <w:r w:rsidR="009E243E" w:rsidRPr="009E243E">
        <w:t>para ampliar información al respecto</w:t>
      </w:r>
      <w:r w:rsidR="009E243E" w:rsidRPr="00D5601F">
        <w:t>)</w:t>
      </w:r>
      <w:r w:rsidR="00FC43CF" w:rsidRPr="00B237E2">
        <w:rPr>
          <w:lang w:val="es-ES"/>
        </w:rPr>
        <w:t>.</w:t>
      </w:r>
    </w:p>
    <w:p w14:paraId="07EC82BA" w14:textId="6BF87D62" w:rsidR="00DD35BB" w:rsidRPr="00B237E2" w:rsidRDefault="00DD35BB" w:rsidP="00FC43CF">
      <w:pPr>
        <w:pStyle w:val="enumlev1"/>
        <w:rPr>
          <w:szCs w:val="24"/>
          <w:lang w:val="es-ES"/>
        </w:rPr>
      </w:pPr>
      <w:r w:rsidRPr="00B237E2">
        <w:rPr>
          <w:lang w:val="es-ES"/>
        </w:rPr>
        <w:t>•</w:t>
      </w:r>
      <w:r w:rsidRPr="00B237E2">
        <w:rPr>
          <w:lang w:val="es-ES"/>
        </w:rPr>
        <w:tab/>
      </w:r>
      <w:r w:rsidR="00FC43CF" w:rsidRPr="00B237E2">
        <w:rPr>
          <w:lang w:val="es-ES"/>
        </w:rPr>
        <w:t xml:space="preserve">La IA en las radiocomunicaciones (véase la </w:t>
      </w:r>
      <w:hyperlink w:anchor="Section_1_3" w:history="1">
        <w:r w:rsidR="00AC2BA1" w:rsidRPr="00B237E2">
          <w:rPr>
            <w:rStyle w:val="Hyperlink"/>
            <w:lang w:val="es-ES"/>
          </w:rPr>
          <w:t>sección</w:t>
        </w:r>
        <w:r w:rsidR="00AC2BA1">
          <w:rPr>
            <w:rStyle w:val="Hyperlink"/>
            <w:lang w:val="es-ES"/>
          </w:rPr>
          <w:t> </w:t>
        </w:r>
        <w:r w:rsidR="00AC2BA1" w:rsidRPr="00B237E2">
          <w:rPr>
            <w:rStyle w:val="Hyperlink"/>
            <w:lang w:val="es-ES"/>
          </w:rPr>
          <w:t>1.3</w:t>
        </w:r>
      </w:hyperlink>
      <w:r w:rsidR="00FC43CF" w:rsidRPr="00B237E2">
        <w:rPr>
          <w:lang w:val="es-ES"/>
        </w:rPr>
        <w:t xml:space="preserve"> para </w:t>
      </w:r>
      <w:r w:rsidRPr="00B237E2">
        <w:rPr>
          <w:lang w:val="es-ES"/>
        </w:rPr>
        <w:t>ampliar información</w:t>
      </w:r>
      <w:r w:rsidR="00FC43CF" w:rsidRPr="00B237E2">
        <w:rPr>
          <w:lang w:val="es-ES"/>
        </w:rPr>
        <w:t xml:space="preserve">). Entre las principales actividades relacionadas con las </w:t>
      </w:r>
      <w:r w:rsidRPr="00B237E2">
        <w:rPr>
          <w:lang w:val="es-ES"/>
        </w:rPr>
        <w:t>C</w:t>
      </w:r>
      <w:r w:rsidR="00FC43CF" w:rsidRPr="00B237E2">
        <w:rPr>
          <w:lang w:val="es-ES"/>
        </w:rPr>
        <w:t xml:space="preserve">omisiones de </w:t>
      </w:r>
      <w:r w:rsidRPr="00B237E2">
        <w:rPr>
          <w:lang w:val="es-ES"/>
        </w:rPr>
        <w:t>E</w:t>
      </w:r>
      <w:r w:rsidR="00FC43CF" w:rsidRPr="00B237E2">
        <w:rPr>
          <w:lang w:val="es-ES"/>
        </w:rPr>
        <w:t xml:space="preserve">studio y los informes del UIT-R </w:t>
      </w:r>
      <w:r w:rsidRPr="00B237E2">
        <w:rPr>
          <w:lang w:val="es-ES"/>
        </w:rPr>
        <w:t xml:space="preserve">cabe </w:t>
      </w:r>
      <w:r w:rsidRPr="00B237E2">
        <w:rPr>
          <w:szCs w:val="24"/>
          <w:lang w:val="es-ES"/>
        </w:rPr>
        <w:t>destacar:</w:t>
      </w:r>
    </w:p>
    <w:p w14:paraId="7977C1C1" w14:textId="72B5CF91" w:rsidR="00163CD5" w:rsidRPr="00054053" w:rsidRDefault="00AC2BA1" w:rsidP="00054053">
      <w:pPr>
        <w:pStyle w:val="enumlev2"/>
        <w:rPr>
          <w:lang w:val="es-ES"/>
        </w:rPr>
      </w:pPr>
      <w:r w:rsidRPr="00AC2BA1">
        <w:rPr>
          <w:lang w:val="es-ES"/>
        </w:rPr>
        <w:t>–</w:t>
      </w:r>
      <w:r w:rsidR="00054053">
        <w:rPr>
          <w:lang w:val="es-ES"/>
        </w:rPr>
        <w:tab/>
      </w:r>
      <w:r w:rsidR="00FC43CF" w:rsidRPr="00054053">
        <w:rPr>
          <w:lang w:val="es-ES"/>
        </w:rPr>
        <w:t>La Comisión de Estudio 1 (CE</w:t>
      </w:r>
      <w:r>
        <w:rPr>
          <w:lang w:val="es-ES"/>
        </w:rPr>
        <w:t> </w:t>
      </w:r>
      <w:r w:rsidR="00FC43CF" w:rsidRPr="00054053">
        <w:rPr>
          <w:lang w:val="es-ES"/>
        </w:rPr>
        <w:t xml:space="preserve">1) </w:t>
      </w:r>
      <w:r w:rsidR="000D35C0" w:rsidRPr="00054053">
        <w:rPr>
          <w:lang w:val="es-ES"/>
        </w:rPr>
        <w:t xml:space="preserve">del UIT-R, que </w:t>
      </w:r>
      <w:r w:rsidR="00163CD5" w:rsidRPr="00054053">
        <w:rPr>
          <w:lang w:val="es-ES"/>
        </w:rPr>
        <w:t>aborda</w:t>
      </w:r>
      <w:r w:rsidR="00FC43CF" w:rsidRPr="00054053">
        <w:rPr>
          <w:lang w:val="es-ES"/>
        </w:rPr>
        <w:t xml:space="preserve"> la gestión y la comprobación técnica del espectro. En relación con la IA, la Cuestión UIT-R 241/1 "</w:t>
      </w:r>
      <w:r w:rsidR="00DD35BB" w:rsidRPr="00054053">
        <w:rPr>
          <w:lang w:val="es-ES"/>
        </w:rPr>
        <w:t>Métodos para evaluar o predecir la disponibilidad de espectro</w:t>
      </w:r>
      <w:r w:rsidR="00FC43CF" w:rsidRPr="00054053">
        <w:rPr>
          <w:lang w:val="es-ES"/>
        </w:rPr>
        <w:t>"</w:t>
      </w:r>
      <w:r w:rsidR="00163CD5" w:rsidRPr="00054053">
        <w:rPr>
          <w:lang w:val="es-ES"/>
        </w:rPr>
        <w:t xml:space="preserve">, </w:t>
      </w:r>
      <w:r w:rsidR="00DD35BB" w:rsidRPr="00054053">
        <w:rPr>
          <w:lang w:val="es-ES"/>
        </w:rPr>
        <w:t>se aprobó</w:t>
      </w:r>
      <w:r w:rsidR="00FC43CF" w:rsidRPr="00054053">
        <w:rPr>
          <w:lang w:val="es-ES"/>
        </w:rPr>
        <w:t xml:space="preserve"> en 2019 y </w:t>
      </w:r>
      <w:r w:rsidR="00DD35BB" w:rsidRPr="00054053">
        <w:rPr>
          <w:lang w:val="es-ES"/>
        </w:rPr>
        <w:t xml:space="preserve">sigue siendo objeto de </w:t>
      </w:r>
      <w:r w:rsidR="00FC43CF" w:rsidRPr="00054053">
        <w:rPr>
          <w:lang w:val="es-ES"/>
        </w:rPr>
        <w:t>estudio.</w:t>
      </w:r>
    </w:p>
    <w:p w14:paraId="45F66905" w14:textId="5881B730" w:rsidR="00FC43CF" w:rsidRPr="00B237E2" w:rsidRDefault="00AC2BA1" w:rsidP="00054053">
      <w:pPr>
        <w:pStyle w:val="enumlev2"/>
        <w:rPr>
          <w:lang w:val="es-ES"/>
        </w:rPr>
      </w:pPr>
      <w:r w:rsidRPr="00AC2BA1">
        <w:rPr>
          <w:lang w:val="es-ES"/>
        </w:rPr>
        <w:t>–</w:t>
      </w:r>
      <w:r w:rsidR="00054053">
        <w:rPr>
          <w:lang w:val="es-ES"/>
        </w:rPr>
        <w:tab/>
      </w:r>
      <w:r w:rsidR="00FC43CF" w:rsidRPr="00B237E2">
        <w:rPr>
          <w:lang w:val="es-ES"/>
        </w:rPr>
        <w:t>La Comisión de Estudio 6 (CE</w:t>
      </w:r>
      <w:r>
        <w:rPr>
          <w:lang w:val="es-ES"/>
        </w:rPr>
        <w:t> </w:t>
      </w:r>
      <w:r w:rsidR="00FC43CF" w:rsidRPr="00B237E2">
        <w:rPr>
          <w:lang w:val="es-ES"/>
        </w:rPr>
        <w:t xml:space="preserve">6) </w:t>
      </w:r>
      <w:r w:rsidR="0023310A" w:rsidRPr="00B237E2">
        <w:rPr>
          <w:lang w:val="es-ES"/>
        </w:rPr>
        <w:t xml:space="preserve">del UIT-R, cuya labor </w:t>
      </w:r>
      <w:r w:rsidR="00163CD5" w:rsidRPr="00B237E2">
        <w:rPr>
          <w:lang w:val="es-ES"/>
        </w:rPr>
        <w:t>abarca</w:t>
      </w:r>
      <w:r w:rsidR="00FC43CF" w:rsidRPr="00B237E2">
        <w:rPr>
          <w:lang w:val="es-ES"/>
        </w:rPr>
        <w:t xml:space="preserve"> todos los aspectos </w:t>
      </w:r>
      <w:r w:rsidR="00163CD5" w:rsidRPr="00B237E2">
        <w:rPr>
          <w:lang w:val="es-ES"/>
        </w:rPr>
        <w:t>relativos al</w:t>
      </w:r>
      <w:r w:rsidR="00FC43CF" w:rsidRPr="00B237E2">
        <w:rPr>
          <w:lang w:val="es-ES"/>
        </w:rPr>
        <w:t xml:space="preserve"> servicio de radiodifusión.</w:t>
      </w:r>
      <w:r w:rsidR="0023310A" w:rsidRPr="00B237E2">
        <w:rPr>
          <w:lang w:val="es-ES"/>
        </w:rPr>
        <w:t xml:space="preserve"> </w:t>
      </w:r>
      <w:r w:rsidR="00FC43CF" w:rsidRPr="00B237E2">
        <w:rPr>
          <w:lang w:val="es-ES"/>
        </w:rPr>
        <w:t xml:space="preserve">Los </w:t>
      </w:r>
      <w:r w:rsidR="0023310A" w:rsidRPr="00B237E2">
        <w:rPr>
          <w:lang w:val="es-ES"/>
        </w:rPr>
        <w:t>productos finales</w:t>
      </w:r>
      <w:r w:rsidR="00FC43CF" w:rsidRPr="00B237E2">
        <w:rPr>
          <w:lang w:val="es-ES"/>
        </w:rPr>
        <w:t xml:space="preserve"> y temas de trabajo de la CE</w:t>
      </w:r>
      <w:r>
        <w:rPr>
          <w:lang w:val="es-ES"/>
        </w:rPr>
        <w:t> </w:t>
      </w:r>
      <w:r w:rsidR="00FC43CF" w:rsidRPr="00B237E2">
        <w:rPr>
          <w:lang w:val="es-ES"/>
        </w:rPr>
        <w:t xml:space="preserve">6 relacionados con la IA y el </w:t>
      </w:r>
      <w:r w:rsidR="00163CD5" w:rsidRPr="00B237E2">
        <w:rPr>
          <w:lang w:val="es-ES"/>
        </w:rPr>
        <w:t>aprendizaje automático</w:t>
      </w:r>
      <w:r w:rsidR="00FC43CF" w:rsidRPr="00B237E2">
        <w:rPr>
          <w:lang w:val="es-ES"/>
        </w:rPr>
        <w:t xml:space="preserve"> incluyen</w:t>
      </w:r>
      <w:r w:rsidR="00163CD5" w:rsidRPr="00B237E2">
        <w:rPr>
          <w:lang w:val="es-ES"/>
        </w:rPr>
        <w:t xml:space="preserve"> la</w:t>
      </w:r>
      <w:r w:rsidR="00FC43CF" w:rsidRPr="00B237E2">
        <w:rPr>
          <w:lang w:val="es-ES"/>
        </w:rPr>
        <w:t xml:space="preserve"> Cuestión</w:t>
      </w:r>
      <w:r>
        <w:rPr>
          <w:lang w:val="es-ES"/>
        </w:rPr>
        <w:t> </w:t>
      </w:r>
      <w:r w:rsidR="00FC43CF" w:rsidRPr="00B237E2">
        <w:rPr>
          <w:lang w:val="es-ES"/>
        </w:rPr>
        <w:t>UIT</w:t>
      </w:r>
      <w:r>
        <w:rPr>
          <w:lang w:val="es-ES"/>
        </w:rPr>
        <w:noBreakHyphen/>
      </w:r>
      <w:r w:rsidR="00FC43CF" w:rsidRPr="00B237E2">
        <w:rPr>
          <w:lang w:val="es-ES"/>
        </w:rPr>
        <w:t>R</w:t>
      </w:r>
      <w:r>
        <w:rPr>
          <w:lang w:val="es-ES"/>
        </w:rPr>
        <w:t> </w:t>
      </w:r>
      <w:r w:rsidR="00FC43CF" w:rsidRPr="00B237E2">
        <w:rPr>
          <w:lang w:val="es-ES"/>
        </w:rPr>
        <w:t>144/6 "</w:t>
      </w:r>
      <w:r w:rsidR="00163CD5" w:rsidRPr="00B237E2">
        <w:rPr>
          <w:lang w:val="es-ES"/>
        </w:rPr>
        <w:t>Utilización de la inteligencia artificial (IA) en la radiodifusión</w:t>
      </w:r>
      <w:r w:rsidR="00FC43CF" w:rsidRPr="00B237E2">
        <w:rPr>
          <w:lang w:val="es-ES"/>
        </w:rPr>
        <w:t>"</w:t>
      </w:r>
      <w:r w:rsidR="00163CD5" w:rsidRPr="00B237E2">
        <w:rPr>
          <w:lang w:val="es-ES"/>
        </w:rPr>
        <w:t>, y el</w:t>
      </w:r>
      <w:r w:rsidR="00FC43CF" w:rsidRPr="00B237E2">
        <w:rPr>
          <w:lang w:val="es-ES"/>
        </w:rPr>
        <w:t xml:space="preserve"> </w:t>
      </w:r>
      <w:hyperlink r:id="rId71" w:history="1">
        <w:r w:rsidR="00FC43CF" w:rsidRPr="00031368">
          <w:rPr>
            <w:rStyle w:val="Hyperlink"/>
            <w:lang w:val="es-ES"/>
          </w:rPr>
          <w:t>Informe UIT-R BT.2447</w:t>
        </w:r>
      </w:hyperlink>
      <w:r w:rsidR="00FC43CF" w:rsidRPr="00B237E2">
        <w:rPr>
          <w:lang w:val="es-ES"/>
        </w:rPr>
        <w:t xml:space="preserve"> "</w:t>
      </w:r>
      <w:r w:rsidR="00163CD5" w:rsidRPr="00B237E2">
        <w:rPr>
          <w:lang w:val="es-ES"/>
        </w:rPr>
        <w:t>Sistemas de inteligencia artificial para la producción y el intercambio de programas</w:t>
      </w:r>
      <w:r w:rsidR="00FC43CF" w:rsidRPr="00B237E2">
        <w:rPr>
          <w:lang w:val="es-ES"/>
        </w:rPr>
        <w:t>".</w:t>
      </w:r>
    </w:p>
    <w:p w14:paraId="3EDA367C" w14:textId="10F23C42" w:rsidR="0023310A" w:rsidRPr="00B237E2" w:rsidRDefault="004D53F7" w:rsidP="0023310A">
      <w:pPr>
        <w:pStyle w:val="enumlev1"/>
        <w:rPr>
          <w:lang w:val="es-ES"/>
        </w:rPr>
      </w:pPr>
      <w:r w:rsidRPr="00B237E2">
        <w:rPr>
          <w:lang w:val="es-ES"/>
        </w:rPr>
        <w:t>•</w:t>
      </w:r>
      <w:r w:rsidRPr="00B237E2">
        <w:rPr>
          <w:lang w:val="es-ES"/>
        </w:rPr>
        <w:tab/>
      </w:r>
      <w:hyperlink r:id="rId72" w:history="1">
        <w:r w:rsidR="0023310A" w:rsidRPr="00B237E2">
          <w:rPr>
            <w:rStyle w:val="Hyperlink"/>
            <w:lang w:val="es-ES"/>
          </w:rPr>
          <w:t>Iniciativa de IA para la seguridad vial</w:t>
        </w:r>
      </w:hyperlink>
      <w:r w:rsidR="0023310A" w:rsidRPr="00B237E2">
        <w:rPr>
          <w:lang w:val="es-ES"/>
        </w:rPr>
        <w:t xml:space="preserve">: </w:t>
      </w:r>
      <w:r w:rsidR="000E2DDA" w:rsidRPr="00B237E2">
        <w:rPr>
          <w:lang w:val="es-ES"/>
        </w:rPr>
        <w:t xml:space="preserve">dicha iniciativa, </w:t>
      </w:r>
      <w:r w:rsidRPr="00B237E2">
        <w:rPr>
          <w:lang w:val="es-ES"/>
        </w:rPr>
        <w:t xml:space="preserve">puesta en marcha </w:t>
      </w:r>
      <w:r w:rsidR="0023310A" w:rsidRPr="00B237E2">
        <w:rPr>
          <w:lang w:val="es-ES"/>
        </w:rPr>
        <w:t xml:space="preserve">en octubre de 2021, promueve un enfoque mejorado por la IA </w:t>
      </w:r>
      <w:r w:rsidR="000E2DDA" w:rsidRPr="00B237E2">
        <w:rPr>
          <w:lang w:val="es-ES"/>
        </w:rPr>
        <w:t>con objeto de</w:t>
      </w:r>
      <w:r w:rsidR="0023310A" w:rsidRPr="00B237E2">
        <w:rPr>
          <w:lang w:val="es-ES"/>
        </w:rPr>
        <w:t xml:space="preserve"> reducir </w:t>
      </w:r>
      <w:r w:rsidRPr="00B237E2">
        <w:rPr>
          <w:lang w:val="es-ES"/>
        </w:rPr>
        <w:t>la cantidad de</w:t>
      </w:r>
      <w:r w:rsidR="0023310A" w:rsidRPr="00B237E2">
        <w:rPr>
          <w:lang w:val="es-ES"/>
        </w:rPr>
        <w:t xml:space="preserve"> </w:t>
      </w:r>
      <w:r w:rsidRPr="00B237E2">
        <w:rPr>
          <w:lang w:val="es-ES"/>
        </w:rPr>
        <w:t>víctimas mortales</w:t>
      </w:r>
      <w:r w:rsidR="0023310A" w:rsidRPr="00B237E2">
        <w:rPr>
          <w:lang w:val="es-ES"/>
        </w:rPr>
        <w:t xml:space="preserve"> </w:t>
      </w:r>
      <w:r w:rsidRPr="00B237E2">
        <w:rPr>
          <w:lang w:val="es-ES"/>
        </w:rPr>
        <w:t>por medio de</w:t>
      </w:r>
      <w:r w:rsidR="0023310A" w:rsidRPr="00B237E2">
        <w:rPr>
          <w:lang w:val="es-ES"/>
        </w:rPr>
        <w:t xml:space="preserve"> la gestión de la seguridad vial</w:t>
      </w:r>
      <w:r w:rsidR="000E2DDA" w:rsidRPr="00B237E2">
        <w:rPr>
          <w:lang w:val="es-ES"/>
        </w:rPr>
        <w:t>,</w:t>
      </w:r>
      <w:r w:rsidR="0023310A" w:rsidRPr="00B237E2">
        <w:rPr>
          <w:lang w:val="es-ES"/>
        </w:rPr>
        <w:t xml:space="preserve"> </w:t>
      </w:r>
      <w:r w:rsidR="000E2DDA" w:rsidRPr="00B237E2">
        <w:rPr>
          <w:lang w:val="es-ES"/>
        </w:rPr>
        <w:t xml:space="preserve">el aumento de la seguridad de las </w:t>
      </w:r>
      <w:r w:rsidR="0023310A" w:rsidRPr="00B237E2">
        <w:rPr>
          <w:lang w:val="es-ES"/>
        </w:rPr>
        <w:t>carreteras</w:t>
      </w:r>
      <w:r w:rsidR="00550757" w:rsidRPr="00B237E2">
        <w:rPr>
          <w:lang w:val="es-ES"/>
        </w:rPr>
        <w:t>,</w:t>
      </w:r>
      <w:r w:rsidR="0023310A" w:rsidRPr="00B237E2">
        <w:rPr>
          <w:lang w:val="es-ES"/>
        </w:rPr>
        <w:t xml:space="preserve"> </w:t>
      </w:r>
      <w:r w:rsidR="000E2DDA" w:rsidRPr="00B237E2">
        <w:rPr>
          <w:lang w:val="es-ES"/>
        </w:rPr>
        <w:t xml:space="preserve">la </w:t>
      </w:r>
      <w:r w:rsidR="0023310A" w:rsidRPr="00B237E2">
        <w:rPr>
          <w:lang w:val="es-ES"/>
        </w:rPr>
        <w:t xml:space="preserve">movilidad </w:t>
      </w:r>
      <w:r w:rsidR="00550757" w:rsidRPr="00B237E2">
        <w:rPr>
          <w:lang w:val="es-ES"/>
        </w:rPr>
        <w:t xml:space="preserve">y </w:t>
      </w:r>
      <w:r w:rsidR="000E2DDA" w:rsidRPr="00B237E2">
        <w:rPr>
          <w:lang w:val="es-ES"/>
        </w:rPr>
        <w:t xml:space="preserve">los </w:t>
      </w:r>
      <w:r w:rsidR="0023310A" w:rsidRPr="00B237E2">
        <w:rPr>
          <w:lang w:val="es-ES"/>
        </w:rPr>
        <w:t>vehículos</w:t>
      </w:r>
      <w:r w:rsidR="000E2DDA" w:rsidRPr="00B237E2">
        <w:rPr>
          <w:lang w:val="es-ES"/>
        </w:rPr>
        <w:t xml:space="preserve">, el </w:t>
      </w:r>
      <w:r w:rsidR="00550757" w:rsidRPr="00B237E2">
        <w:rPr>
          <w:lang w:val="es-ES"/>
        </w:rPr>
        <w:t>fomento de la seguridad de los usuarios de la red vial</w:t>
      </w:r>
      <w:r w:rsidR="000E2DDA" w:rsidRPr="00B237E2">
        <w:rPr>
          <w:lang w:val="es-ES"/>
        </w:rPr>
        <w:t xml:space="preserve">, la </w:t>
      </w:r>
      <w:r w:rsidR="00951173" w:rsidRPr="00B237E2">
        <w:rPr>
          <w:lang w:val="es-ES"/>
        </w:rPr>
        <w:t>adopción de medidas de</w:t>
      </w:r>
      <w:r w:rsidR="0023310A" w:rsidRPr="00B237E2">
        <w:rPr>
          <w:lang w:val="es-ES"/>
        </w:rPr>
        <w:t xml:space="preserve"> respuesta </w:t>
      </w:r>
      <w:r w:rsidR="000E2DDA" w:rsidRPr="00B237E2">
        <w:rPr>
          <w:lang w:val="es-ES"/>
        </w:rPr>
        <w:t>a raíz de</w:t>
      </w:r>
      <w:r w:rsidR="0023310A" w:rsidRPr="00B237E2">
        <w:rPr>
          <w:lang w:val="es-ES"/>
        </w:rPr>
        <w:t xml:space="preserve"> </w:t>
      </w:r>
      <w:r w:rsidR="00951173" w:rsidRPr="00B237E2">
        <w:rPr>
          <w:lang w:val="es-ES"/>
        </w:rPr>
        <w:t>un accidente</w:t>
      </w:r>
      <w:r w:rsidR="0023310A" w:rsidRPr="00B237E2">
        <w:rPr>
          <w:lang w:val="es-ES"/>
        </w:rPr>
        <w:t xml:space="preserve"> y </w:t>
      </w:r>
      <w:r w:rsidR="000E2DDA" w:rsidRPr="00B237E2">
        <w:rPr>
          <w:lang w:val="es-ES"/>
        </w:rPr>
        <w:t xml:space="preserve">el </w:t>
      </w:r>
      <w:r w:rsidR="0023310A" w:rsidRPr="00B237E2">
        <w:rPr>
          <w:lang w:val="es-ES"/>
        </w:rPr>
        <w:t>control de velocidad.</w:t>
      </w:r>
    </w:p>
    <w:p w14:paraId="40D0E0B9" w14:textId="6764B513" w:rsidR="00D12CE2" w:rsidRPr="00B237E2" w:rsidRDefault="004D53F7" w:rsidP="004D53F7">
      <w:pPr>
        <w:pStyle w:val="enumlev1"/>
        <w:rPr>
          <w:lang w:val="es-ES"/>
        </w:rPr>
      </w:pPr>
      <w:r w:rsidRPr="00B237E2">
        <w:rPr>
          <w:lang w:val="es-ES"/>
        </w:rPr>
        <w:t>•</w:t>
      </w:r>
      <w:r w:rsidRPr="00B237E2">
        <w:rPr>
          <w:lang w:val="es-ES"/>
        </w:rPr>
        <w:tab/>
      </w:r>
      <w:r w:rsidR="0023310A" w:rsidRPr="00B237E2">
        <w:rPr>
          <w:lang w:val="es-ES"/>
        </w:rPr>
        <w:t xml:space="preserve">Comité de Alto Nivel sobre Programas (HLCP): Grupo de </w:t>
      </w:r>
      <w:r w:rsidR="00E63E85" w:rsidRPr="00B237E2">
        <w:rPr>
          <w:lang w:val="es-ES"/>
        </w:rPr>
        <w:t xml:space="preserve">Trabajo </w:t>
      </w:r>
      <w:r w:rsidR="00DF5B59" w:rsidRPr="00B237E2">
        <w:rPr>
          <w:lang w:val="es-ES"/>
        </w:rPr>
        <w:t xml:space="preserve">Interorganismos </w:t>
      </w:r>
      <w:r w:rsidR="0023310A" w:rsidRPr="00B237E2">
        <w:rPr>
          <w:lang w:val="es-ES"/>
        </w:rPr>
        <w:t>sobre IA (IAWG-AI)</w:t>
      </w:r>
      <w:r w:rsidR="00DF5B59" w:rsidRPr="00B237E2">
        <w:rPr>
          <w:lang w:val="es-ES"/>
        </w:rPr>
        <w:t>.</w:t>
      </w:r>
      <w:r w:rsidR="0023310A" w:rsidRPr="00B237E2">
        <w:rPr>
          <w:lang w:val="es-ES"/>
        </w:rPr>
        <w:t xml:space="preserve"> Durante la 40ª </w:t>
      </w:r>
      <w:r w:rsidR="006866EF" w:rsidRPr="00B237E2">
        <w:rPr>
          <w:lang w:val="es-ES"/>
        </w:rPr>
        <w:t>reunión</w:t>
      </w:r>
      <w:r w:rsidR="0023310A" w:rsidRPr="00B237E2">
        <w:rPr>
          <w:lang w:val="es-ES"/>
        </w:rPr>
        <w:t xml:space="preserve"> del HLCP, celebrada en octubre de 2020, se creó un grupo de trabajo </w:t>
      </w:r>
      <w:r w:rsidR="006866EF" w:rsidRPr="00B237E2">
        <w:rPr>
          <w:lang w:val="es-ES"/>
        </w:rPr>
        <w:t xml:space="preserve">Interorganismos </w:t>
      </w:r>
      <w:r w:rsidR="0023310A" w:rsidRPr="00B237E2">
        <w:rPr>
          <w:lang w:val="es-ES"/>
        </w:rPr>
        <w:t>del HLCP sobre IA (</w:t>
      </w:r>
      <w:hyperlink r:id="rId73" w:history="1">
        <w:r w:rsidR="0023310A" w:rsidRPr="00031368">
          <w:rPr>
            <w:rStyle w:val="Hyperlink"/>
            <w:lang w:val="es-ES"/>
          </w:rPr>
          <w:t>IAWG-AI</w:t>
        </w:r>
      </w:hyperlink>
      <w:r w:rsidR="0023310A" w:rsidRPr="00B237E2">
        <w:rPr>
          <w:lang w:val="es-ES"/>
        </w:rPr>
        <w:t>)</w:t>
      </w:r>
      <w:r w:rsidR="006866EF" w:rsidRPr="00B237E2">
        <w:rPr>
          <w:lang w:val="es-ES"/>
        </w:rPr>
        <w:t>, con objeto de abordar</w:t>
      </w:r>
      <w:r w:rsidR="0023310A" w:rsidRPr="00B237E2">
        <w:rPr>
          <w:lang w:val="es-ES"/>
        </w:rPr>
        <w:t xml:space="preserve"> la coherencia política y programática de las actividades de IA </w:t>
      </w:r>
      <w:r w:rsidR="006866EF" w:rsidRPr="00B237E2">
        <w:rPr>
          <w:lang w:val="es-ES"/>
        </w:rPr>
        <w:t>en el marco de las Naciones Unidas</w:t>
      </w:r>
      <w:r w:rsidR="0023310A" w:rsidRPr="00B237E2">
        <w:rPr>
          <w:lang w:val="es-ES"/>
        </w:rPr>
        <w:t xml:space="preserve">. El IAWG-AI, codirigido por la UNESCO y la UIT, </w:t>
      </w:r>
      <w:r w:rsidR="00A82511" w:rsidRPr="00B237E2">
        <w:rPr>
          <w:lang w:val="es-ES"/>
        </w:rPr>
        <w:t>apoya su labor en las actividades</w:t>
      </w:r>
      <w:r w:rsidR="0023310A" w:rsidRPr="00B237E2">
        <w:rPr>
          <w:lang w:val="es-ES"/>
        </w:rPr>
        <w:t xml:space="preserve"> </w:t>
      </w:r>
      <w:r w:rsidR="00A82511" w:rsidRPr="00B237E2">
        <w:rPr>
          <w:lang w:val="es-ES"/>
        </w:rPr>
        <w:t>analíticas</w:t>
      </w:r>
      <w:r w:rsidR="0023310A" w:rsidRPr="00B237E2">
        <w:rPr>
          <w:lang w:val="es-ES"/>
        </w:rPr>
        <w:t xml:space="preserve"> de la UIT sobre </w:t>
      </w:r>
      <w:r w:rsidR="00A82511" w:rsidRPr="00B237E2">
        <w:rPr>
          <w:lang w:val="es-ES"/>
        </w:rPr>
        <w:t xml:space="preserve">la </w:t>
      </w:r>
      <w:r w:rsidR="0023310A" w:rsidRPr="00B237E2">
        <w:rPr>
          <w:lang w:val="es-ES"/>
        </w:rPr>
        <w:t xml:space="preserve">capacidad </w:t>
      </w:r>
      <w:r w:rsidR="00A82511" w:rsidRPr="00B237E2">
        <w:rPr>
          <w:lang w:val="es-ES"/>
        </w:rPr>
        <w:t>interna</w:t>
      </w:r>
      <w:r w:rsidR="0001485A" w:rsidRPr="00B237E2">
        <w:rPr>
          <w:lang w:val="es-ES"/>
        </w:rPr>
        <w:t xml:space="preserve"> al respecto</w:t>
      </w:r>
      <w:r w:rsidR="00A82511" w:rsidRPr="00B237E2">
        <w:rPr>
          <w:lang w:val="es-ES"/>
        </w:rPr>
        <w:t xml:space="preserve"> de las Naciones Unidas </w:t>
      </w:r>
      <w:r w:rsidR="0023310A" w:rsidRPr="00B237E2">
        <w:rPr>
          <w:lang w:val="es-ES"/>
        </w:rPr>
        <w:t xml:space="preserve">y otras partes interesadas. El IAWG-AI, </w:t>
      </w:r>
      <w:r w:rsidR="0001485A" w:rsidRPr="00B237E2">
        <w:rPr>
          <w:lang w:val="es-ES"/>
        </w:rPr>
        <w:t>en el que participan</w:t>
      </w:r>
      <w:r w:rsidR="0023310A" w:rsidRPr="00B237E2">
        <w:rPr>
          <w:lang w:val="es-ES"/>
        </w:rPr>
        <w:t xml:space="preserve"> 38 </w:t>
      </w:r>
      <w:r w:rsidR="0001485A" w:rsidRPr="00B237E2">
        <w:rPr>
          <w:lang w:val="es-ES"/>
        </w:rPr>
        <w:t>organismos</w:t>
      </w:r>
      <w:r w:rsidR="0023310A" w:rsidRPr="00B237E2">
        <w:rPr>
          <w:lang w:val="es-ES"/>
        </w:rPr>
        <w:t xml:space="preserve"> y </w:t>
      </w:r>
      <w:r w:rsidR="0001485A" w:rsidRPr="00B237E2">
        <w:rPr>
          <w:lang w:val="es-ES"/>
        </w:rPr>
        <w:t>órganos</w:t>
      </w:r>
      <w:r w:rsidR="0023310A" w:rsidRPr="00B237E2">
        <w:rPr>
          <w:lang w:val="es-ES"/>
        </w:rPr>
        <w:t xml:space="preserve"> de </w:t>
      </w:r>
      <w:r w:rsidR="0001485A" w:rsidRPr="00B237E2">
        <w:rPr>
          <w:lang w:val="es-ES"/>
        </w:rPr>
        <w:t xml:space="preserve">las Naciones Unidas en calidad de </w:t>
      </w:r>
      <w:r w:rsidR="0023310A" w:rsidRPr="00B237E2">
        <w:rPr>
          <w:lang w:val="es-ES"/>
        </w:rPr>
        <w:t>miembros, celebró su reunión inaugural en marzo de 2021.</w:t>
      </w:r>
    </w:p>
    <w:p w14:paraId="7C10A5E5" w14:textId="25AC6595" w:rsidR="00823AB3" w:rsidRPr="00B237E2" w:rsidRDefault="00823AB3" w:rsidP="00E124B0">
      <w:pPr>
        <w:pStyle w:val="Headingb"/>
        <w:rPr>
          <w:lang w:val="es-ES"/>
        </w:rPr>
      </w:pPr>
      <w:r w:rsidRPr="00EC5FC0">
        <w:rPr>
          <w:lang w:val="es-ES"/>
        </w:rPr>
        <w:lastRenderedPageBreak/>
        <w:t>Internet de las cosas</w:t>
      </w:r>
    </w:p>
    <w:p w14:paraId="6CBA99D3" w14:textId="385B7412" w:rsidR="00E31FA3" w:rsidRPr="00B237E2" w:rsidRDefault="007C45AF" w:rsidP="00031368">
      <w:pPr>
        <w:keepNext/>
        <w:keepLines/>
        <w:rPr>
          <w:lang w:val="es-ES"/>
        </w:rPr>
      </w:pPr>
      <w:r w:rsidRPr="00B237E2">
        <w:rPr>
          <w:lang w:val="es-ES"/>
        </w:rPr>
        <w:t xml:space="preserve">La </w:t>
      </w:r>
      <w:r w:rsidR="00925706" w:rsidRPr="00B237E2">
        <w:rPr>
          <w:lang w:val="es-ES"/>
        </w:rPr>
        <w:t>Internet de l</w:t>
      </w:r>
      <w:r w:rsidRPr="00B237E2">
        <w:rPr>
          <w:lang w:val="es-ES"/>
        </w:rPr>
        <w:t xml:space="preserve">as </w:t>
      </w:r>
      <w:r w:rsidR="00E63E85">
        <w:rPr>
          <w:lang w:val="es-ES"/>
        </w:rPr>
        <w:t>c</w:t>
      </w:r>
      <w:r w:rsidRPr="00B237E2">
        <w:rPr>
          <w:lang w:val="es-ES"/>
        </w:rPr>
        <w:t>osas</w:t>
      </w:r>
      <w:r w:rsidR="00925706" w:rsidRPr="00B237E2">
        <w:rPr>
          <w:lang w:val="es-ES"/>
        </w:rPr>
        <w:t xml:space="preserve"> (IoT) </w:t>
      </w:r>
      <w:r w:rsidRPr="00B237E2">
        <w:rPr>
          <w:lang w:val="es-ES"/>
        </w:rPr>
        <w:t xml:space="preserve">propicia </w:t>
      </w:r>
      <w:r w:rsidR="00925706" w:rsidRPr="00B237E2">
        <w:rPr>
          <w:lang w:val="es-ES"/>
        </w:rPr>
        <w:t>ecosistemas para conectar e integrar dispositivos, interfaces y otr</w:t>
      </w:r>
      <w:r w:rsidR="00FF35A8" w:rsidRPr="00B237E2">
        <w:rPr>
          <w:lang w:val="es-ES"/>
        </w:rPr>
        <w:t>os productos innovadores</w:t>
      </w:r>
      <w:r w:rsidR="00925706" w:rsidRPr="00B237E2">
        <w:rPr>
          <w:lang w:val="es-ES"/>
        </w:rPr>
        <w:t xml:space="preserve"> de las TIC entre </w:t>
      </w:r>
      <w:r w:rsidRPr="00B237E2">
        <w:rPr>
          <w:lang w:val="es-ES"/>
        </w:rPr>
        <w:t xml:space="preserve">varios </w:t>
      </w:r>
      <w:r w:rsidR="00925706" w:rsidRPr="00B237E2">
        <w:rPr>
          <w:lang w:val="es-ES"/>
        </w:rPr>
        <w:t>sectores</w:t>
      </w:r>
      <w:r w:rsidRPr="00B237E2">
        <w:rPr>
          <w:lang w:val="es-ES"/>
        </w:rPr>
        <w:t>, incluidos el sanitario,</w:t>
      </w:r>
      <w:r w:rsidR="00925706" w:rsidRPr="00B237E2">
        <w:rPr>
          <w:lang w:val="es-ES"/>
        </w:rPr>
        <w:t xml:space="preserve"> el</w:t>
      </w:r>
      <w:r w:rsidRPr="00B237E2">
        <w:rPr>
          <w:lang w:val="es-ES"/>
        </w:rPr>
        <w:t xml:space="preserve"> del</w:t>
      </w:r>
      <w:r w:rsidR="00925706" w:rsidRPr="00B237E2">
        <w:rPr>
          <w:lang w:val="es-ES"/>
        </w:rPr>
        <w:t xml:space="preserve"> transporte, </w:t>
      </w:r>
      <w:r w:rsidRPr="00B237E2">
        <w:rPr>
          <w:lang w:val="es-ES"/>
        </w:rPr>
        <w:t>el industrial y el de servicios de</w:t>
      </w:r>
      <w:r w:rsidR="00925706" w:rsidRPr="00B237E2">
        <w:rPr>
          <w:lang w:val="es-ES"/>
        </w:rPr>
        <w:t xml:space="preserve"> reciclaje</w:t>
      </w:r>
      <w:r w:rsidRPr="00B237E2">
        <w:rPr>
          <w:lang w:val="es-ES"/>
        </w:rPr>
        <w:t>.</w:t>
      </w:r>
      <w:r w:rsidR="00E31FA3" w:rsidRPr="00B237E2">
        <w:rPr>
          <w:lang w:val="es-ES"/>
        </w:rPr>
        <w:t xml:space="preserve"> </w:t>
      </w:r>
      <w:r w:rsidR="00823AB3" w:rsidRPr="00B237E2">
        <w:rPr>
          <w:lang w:val="es-ES"/>
        </w:rPr>
        <w:t xml:space="preserve">La UIT </w:t>
      </w:r>
      <w:r w:rsidRPr="00B237E2">
        <w:rPr>
          <w:lang w:val="es-ES"/>
        </w:rPr>
        <w:t>facilita</w:t>
      </w:r>
      <w:r w:rsidR="00823AB3" w:rsidRPr="00B237E2">
        <w:rPr>
          <w:lang w:val="es-ES"/>
        </w:rPr>
        <w:t xml:space="preserve"> el desarrollo coordinado de tecnologías de IoT compatibles</w:t>
      </w:r>
      <w:r w:rsidR="00046E45" w:rsidRPr="00B237E2">
        <w:rPr>
          <w:lang w:val="es-ES"/>
        </w:rPr>
        <w:t xml:space="preserve"> que abarcan</w:t>
      </w:r>
      <w:r w:rsidR="00823AB3" w:rsidRPr="00B237E2">
        <w:rPr>
          <w:lang w:val="es-ES"/>
        </w:rPr>
        <w:t xml:space="preserve"> millones de dispositivos y objetos conectados.</w:t>
      </w:r>
    </w:p>
    <w:p w14:paraId="5A2B8D81" w14:textId="22F28A9C" w:rsidR="00E31FA3" w:rsidRPr="00EB7F22" w:rsidRDefault="00FF35A8" w:rsidP="000E10CB">
      <w:pPr>
        <w:rPr>
          <w:rFonts w:eastAsia="Calibri"/>
          <w:lang w:val="es-ES"/>
        </w:rPr>
      </w:pPr>
      <w:r w:rsidRPr="00B237E2">
        <w:rPr>
          <w:lang w:val="es-ES"/>
        </w:rPr>
        <w:t>La labor de la UIT en la esfera de IoT incluye</w:t>
      </w:r>
      <w:r w:rsidR="00E31FA3" w:rsidRPr="00EB7F22">
        <w:rPr>
          <w:lang w:val="es-ES"/>
        </w:rPr>
        <w:t>:</w:t>
      </w:r>
    </w:p>
    <w:p w14:paraId="53E0647B" w14:textId="5DEF0BB8" w:rsidR="00E31FA3" w:rsidRPr="00EB7F22" w:rsidRDefault="00E31FA3" w:rsidP="00E124B0">
      <w:pPr>
        <w:pStyle w:val="enumlev1"/>
        <w:rPr>
          <w:lang w:val="es-ES"/>
        </w:rPr>
      </w:pPr>
      <w:r w:rsidRPr="00B237E2">
        <w:rPr>
          <w:lang w:val="es-ES"/>
        </w:rPr>
        <w:t>•</w:t>
      </w:r>
      <w:r w:rsidRPr="00B237E2">
        <w:rPr>
          <w:lang w:val="es-ES"/>
        </w:rPr>
        <w:tab/>
      </w:r>
      <w:r w:rsidR="00FF35A8" w:rsidRPr="00054053">
        <w:rPr>
          <w:lang w:val="es-ES"/>
        </w:rPr>
        <w:t>L</w:t>
      </w:r>
      <w:r w:rsidR="000E10CB">
        <w:rPr>
          <w:lang w:val="es-ES"/>
        </w:rPr>
        <w:t>a</w:t>
      </w:r>
      <w:r w:rsidR="00FF35A8" w:rsidRPr="00054053">
        <w:rPr>
          <w:lang w:val="es-ES"/>
        </w:rPr>
        <w:t xml:space="preserve"> IoT con respecto a la normalización</w:t>
      </w:r>
      <w:r w:rsidRPr="00EB7F22">
        <w:rPr>
          <w:lang w:val="es-ES"/>
        </w:rPr>
        <w:t xml:space="preserve"> (</w:t>
      </w:r>
      <w:r w:rsidR="00FF35A8" w:rsidRPr="00054053">
        <w:rPr>
          <w:lang w:val="es-ES"/>
        </w:rPr>
        <w:t xml:space="preserve">véase la </w:t>
      </w:r>
      <w:hyperlink w:anchor="Section_1_3" w:history="1">
        <w:r w:rsidR="000E10CB" w:rsidRPr="00B237E2">
          <w:rPr>
            <w:rStyle w:val="Hyperlink"/>
            <w:lang w:val="es-ES"/>
          </w:rPr>
          <w:t>sección</w:t>
        </w:r>
        <w:r w:rsidR="000E10CB">
          <w:rPr>
            <w:rStyle w:val="Hyperlink"/>
            <w:lang w:val="es-ES"/>
          </w:rPr>
          <w:t> </w:t>
        </w:r>
        <w:r w:rsidR="000E10CB" w:rsidRPr="00B237E2">
          <w:rPr>
            <w:rStyle w:val="Hyperlink"/>
            <w:lang w:val="es-ES"/>
          </w:rPr>
          <w:t>1.3</w:t>
        </w:r>
      </w:hyperlink>
      <w:r w:rsidRPr="00EB7F22">
        <w:rPr>
          <w:lang w:val="es-ES"/>
        </w:rPr>
        <w:t>).</w:t>
      </w:r>
    </w:p>
    <w:p w14:paraId="50F55A43" w14:textId="799AF97B" w:rsidR="00823AB3" w:rsidRPr="00B237E2" w:rsidRDefault="00E31FA3" w:rsidP="00E124B0">
      <w:pPr>
        <w:pStyle w:val="enumlev1"/>
        <w:rPr>
          <w:lang w:val="es-ES"/>
        </w:rPr>
      </w:pPr>
      <w:r w:rsidRPr="00B237E2">
        <w:rPr>
          <w:lang w:val="es-ES"/>
        </w:rPr>
        <w:t>•</w:t>
      </w:r>
      <w:r w:rsidRPr="00B237E2">
        <w:rPr>
          <w:lang w:val="es-ES"/>
        </w:rPr>
        <w:tab/>
      </w:r>
      <w:r w:rsidR="00823AB3" w:rsidRPr="00B237E2">
        <w:rPr>
          <w:lang w:val="es-ES"/>
        </w:rPr>
        <w:t>La labor de normalización de la UIT sobre "IoT y las ciudades inteligentes"</w:t>
      </w:r>
      <w:r w:rsidR="008A7833" w:rsidRPr="00B237E2">
        <w:rPr>
          <w:lang w:val="es-ES"/>
        </w:rPr>
        <w:t>,</w:t>
      </w:r>
      <w:r w:rsidR="00823AB3" w:rsidRPr="00B237E2">
        <w:rPr>
          <w:lang w:val="es-ES"/>
        </w:rPr>
        <w:t xml:space="preserve"> dirigida por la </w:t>
      </w:r>
      <w:hyperlink r:id="rId74" w:history="1">
        <w:r w:rsidR="00823AB3" w:rsidRPr="00031368">
          <w:rPr>
            <w:rStyle w:val="Hyperlink"/>
            <w:lang w:val="es-ES"/>
          </w:rPr>
          <w:t>CE 20 del UIT-T</w:t>
        </w:r>
      </w:hyperlink>
      <w:r w:rsidR="00823AB3" w:rsidRPr="00B237E2">
        <w:rPr>
          <w:lang w:val="es-ES"/>
        </w:rPr>
        <w:t xml:space="preserve">, </w:t>
      </w:r>
      <w:r w:rsidR="008A7833" w:rsidRPr="00B237E2">
        <w:rPr>
          <w:lang w:val="es-ES"/>
        </w:rPr>
        <w:t xml:space="preserve">que cuenta </w:t>
      </w:r>
      <w:r w:rsidR="00823AB3" w:rsidRPr="00B237E2">
        <w:rPr>
          <w:lang w:val="es-ES"/>
        </w:rPr>
        <w:t>con una creciente colaboración con oneM2M</w:t>
      </w:r>
      <w:r w:rsidR="008A7833" w:rsidRPr="00B237E2">
        <w:rPr>
          <w:lang w:val="es-ES"/>
        </w:rPr>
        <w:t xml:space="preserve"> y LoRa Alliance</w:t>
      </w:r>
      <w:r w:rsidR="00823AB3" w:rsidRPr="00B237E2">
        <w:rPr>
          <w:lang w:val="es-ES"/>
        </w:rPr>
        <w:t>.</w:t>
      </w:r>
    </w:p>
    <w:p w14:paraId="20FDA991" w14:textId="5C2BF380" w:rsidR="00E31FA3" w:rsidRPr="00B237E2" w:rsidRDefault="00E31FA3" w:rsidP="00E124B0">
      <w:pPr>
        <w:pStyle w:val="enumlev1"/>
        <w:rPr>
          <w:lang w:val="es-ES"/>
        </w:rPr>
      </w:pPr>
      <w:r w:rsidRPr="00B237E2">
        <w:rPr>
          <w:lang w:val="es-ES"/>
        </w:rPr>
        <w:t>•</w:t>
      </w:r>
      <w:r w:rsidRPr="00B237E2">
        <w:rPr>
          <w:lang w:val="es-ES"/>
        </w:rPr>
        <w:tab/>
      </w:r>
      <w:r w:rsidR="008A7833" w:rsidRPr="00B237E2">
        <w:rPr>
          <w:lang w:val="es-ES"/>
        </w:rPr>
        <w:t xml:space="preserve">El </w:t>
      </w:r>
      <w:hyperlink r:id="rId75" w:history="1">
        <w:r w:rsidR="008A7833" w:rsidRPr="00031368">
          <w:rPr>
            <w:rStyle w:val="Hyperlink"/>
            <w:lang w:val="es-ES"/>
          </w:rPr>
          <w:t xml:space="preserve">Grupo Temático sobre inteligencia artificial (IA) e Internet de las </w:t>
        </w:r>
        <w:r w:rsidR="000E10CB" w:rsidRPr="00031368">
          <w:rPr>
            <w:rStyle w:val="Hyperlink"/>
            <w:lang w:val="es-ES"/>
          </w:rPr>
          <w:t>c</w:t>
        </w:r>
        <w:r w:rsidR="008A7833" w:rsidRPr="00031368">
          <w:rPr>
            <w:rStyle w:val="Hyperlink"/>
            <w:lang w:val="es-ES"/>
          </w:rPr>
          <w:t>osas (IoT) para la agricultura digital (</w:t>
        </w:r>
        <w:r w:rsidR="00392A9C" w:rsidRPr="00031368">
          <w:rPr>
            <w:rStyle w:val="Hyperlink"/>
            <w:lang w:val="es-ES"/>
          </w:rPr>
          <w:t>FG</w:t>
        </w:r>
        <w:r w:rsidR="008A7833" w:rsidRPr="00031368">
          <w:rPr>
            <w:rStyle w:val="Hyperlink"/>
            <w:lang w:val="es-ES"/>
          </w:rPr>
          <w:t>-AI4A)</w:t>
        </w:r>
      </w:hyperlink>
      <w:r w:rsidR="00A34F61" w:rsidRPr="00B237E2">
        <w:rPr>
          <w:lang w:val="es-ES"/>
        </w:rPr>
        <w:t xml:space="preserve"> analiza</w:t>
      </w:r>
      <w:r w:rsidR="008A7833" w:rsidRPr="00B237E2">
        <w:rPr>
          <w:lang w:val="es-ES"/>
        </w:rPr>
        <w:t xml:space="preserve"> tecnologías </w:t>
      </w:r>
      <w:r w:rsidR="00A34F61" w:rsidRPr="00B237E2">
        <w:rPr>
          <w:lang w:val="es-ES"/>
        </w:rPr>
        <w:t>incipientes</w:t>
      </w:r>
      <w:r w:rsidR="008A7833" w:rsidRPr="00B237E2">
        <w:rPr>
          <w:lang w:val="es-ES"/>
        </w:rPr>
        <w:t xml:space="preserve">, </w:t>
      </w:r>
      <w:r w:rsidR="00A34F61" w:rsidRPr="00B237E2">
        <w:rPr>
          <w:lang w:val="es-ES"/>
        </w:rPr>
        <w:t>en particular</w:t>
      </w:r>
      <w:r w:rsidR="008A7833" w:rsidRPr="00B237E2">
        <w:rPr>
          <w:lang w:val="es-ES"/>
        </w:rPr>
        <w:t xml:space="preserve"> la IA y </w:t>
      </w:r>
      <w:r w:rsidR="000E10CB">
        <w:rPr>
          <w:lang w:val="es-ES"/>
        </w:rPr>
        <w:t>la</w:t>
      </w:r>
      <w:r w:rsidR="008A7833" w:rsidRPr="00B237E2">
        <w:rPr>
          <w:lang w:val="es-ES"/>
        </w:rPr>
        <w:t xml:space="preserve"> IoT</w:t>
      </w:r>
      <w:r w:rsidR="00A34F61" w:rsidRPr="00B237E2">
        <w:rPr>
          <w:lang w:val="es-ES"/>
        </w:rPr>
        <w:t>, en relación con la</w:t>
      </w:r>
      <w:r w:rsidR="008A7833" w:rsidRPr="00B237E2">
        <w:rPr>
          <w:lang w:val="es-ES"/>
        </w:rPr>
        <w:t xml:space="preserve"> adquisición y </w:t>
      </w:r>
      <w:r w:rsidR="00A34F61" w:rsidRPr="00B237E2">
        <w:rPr>
          <w:lang w:val="es-ES"/>
        </w:rPr>
        <w:t>el procesamiento</w:t>
      </w:r>
      <w:r w:rsidR="008A7833" w:rsidRPr="00B237E2">
        <w:rPr>
          <w:lang w:val="es-ES"/>
        </w:rPr>
        <w:t xml:space="preserve"> de datos, </w:t>
      </w:r>
      <w:r w:rsidR="00A34F61" w:rsidRPr="00B237E2">
        <w:rPr>
          <w:lang w:val="es-ES"/>
        </w:rPr>
        <w:t>el establecimiento de modelos</w:t>
      </w:r>
      <w:r w:rsidR="008A7833" w:rsidRPr="00B237E2">
        <w:rPr>
          <w:lang w:val="es-ES"/>
        </w:rPr>
        <w:t xml:space="preserve"> </w:t>
      </w:r>
      <w:r w:rsidR="0077090C" w:rsidRPr="00B237E2">
        <w:rPr>
          <w:lang w:val="es-ES"/>
        </w:rPr>
        <w:t>a raíz</w:t>
      </w:r>
      <w:r w:rsidR="00A34F61" w:rsidRPr="00B237E2">
        <w:rPr>
          <w:lang w:val="es-ES"/>
        </w:rPr>
        <w:t xml:space="preserve"> de una cantidad cada vez mayor de</w:t>
      </w:r>
      <w:r w:rsidR="008A7833" w:rsidRPr="00B237E2">
        <w:rPr>
          <w:lang w:val="es-ES"/>
        </w:rPr>
        <w:t xml:space="preserve"> datos agrícolas y geoespaciales, y la</w:t>
      </w:r>
      <w:r w:rsidR="00A34F61" w:rsidRPr="00B237E2">
        <w:rPr>
          <w:lang w:val="es-ES"/>
        </w:rPr>
        <w:t xml:space="preserve"> prestación de servicios de</w:t>
      </w:r>
      <w:r w:rsidR="008A7833" w:rsidRPr="00B237E2">
        <w:rPr>
          <w:lang w:val="es-ES"/>
        </w:rPr>
        <w:t xml:space="preserve"> comunicación para la </w:t>
      </w:r>
      <w:r w:rsidR="00C55D89" w:rsidRPr="00B237E2">
        <w:rPr>
          <w:lang w:val="es-ES"/>
        </w:rPr>
        <w:t>mejora</w:t>
      </w:r>
      <w:r w:rsidR="008A7833" w:rsidRPr="00B237E2">
        <w:rPr>
          <w:lang w:val="es-ES"/>
        </w:rPr>
        <w:t xml:space="preserve"> de la producción agríco</w:t>
      </w:r>
      <w:r w:rsidR="00C55D89" w:rsidRPr="00B237E2">
        <w:rPr>
          <w:lang w:val="es-ES"/>
        </w:rPr>
        <w:t>la</w:t>
      </w:r>
      <w:r w:rsidRPr="00EB7F22">
        <w:rPr>
          <w:lang w:val="es-ES"/>
        </w:rPr>
        <w:t>.</w:t>
      </w:r>
    </w:p>
    <w:p w14:paraId="6F94A5FC" w14:textId="69C761BE" w:rsidR="00823AB3" w:rsidRPr="00B237E2" w:rsidRDefault="00823AB3" w:rsidP="00E124B0">
      <w:pPr>
        <w:rPr>
          <w:lang w:val="es-ES"/>
        </w:rPr>
      </w:pPr>
      <w:r w:rsidRPr="00B237E2">
        <w:rPr>
          <w:lang w:val="es-ES"/>
        </w:rPr>
        <w:t xml:space="preserve">Para obtener más información al respecto, véase el </w:t>
      </w:r>
      <w:hyperlink w:anchor="Resolution_197" w:history="1">
        <w:r w:rsidRPr="00B237E2">
          <w:rPr>
            <w:rStyle w:val="Hyperlink"/>
            <w:bCs/>
            <w:lang w:val="es-ES"/>
          </w:rPr>
          <w:t>Anexo 1 a la Resolución 197</w:t>
        </w:r>
      </w:hyperlink>
      <w:r w:rsidRPr="00B237E2">
        <w:rPr>
          <w:lang w:val="es-ES"/>
        </w:rPr>
        <w:t>.</w:t>
      </w:r>
    </w:p>
    <w:p w14:paraId="34B0B919" w14:textId="77777777" w:rsidR="00823AB3" w:rsidRPr="00B237E2" w:rsidRDefault="00823AB3" w:rsidP="00E124B0">
      <w:pPr>
        <w:pStyle w:val="Headingb"/>
        <w:rPr>
          <w:lang w:val="es-ES"/>
        </w:rPr>
      </w:pPr>
      <w:r w:rsidRPr="00EC5FC0">
        <w:rPr>
          <w:lang w:val="es-ES"/>
        </w:rPr>
        <w:t>Tecnología de la información cuántica</w:t>
      </w:r>
    </w:p>
    <w:p w14:paraId="7AB9B3FE" w14:textId="2643F681" w:rsidR="00823AB3" w:rsidRPr="00B237E2" w:rsidRDefault="00823AB3" w:rsidP="00E124B0">
      <w:pPr>
        <w:rPr>
          <w:lang w:val="es-ES"/>
        </w:rPr>
      </w:pPr>
      <w:r w:rsidRPr="00B237E2">
        <w:rPr>
          <w:lang w:val="es-ES"/>
        </w:rPr>
        <w:t xml:space="preserve">La tecnología de la información cuántica (QIT) mejora la capacidad de procesamiento de la información mediante la aplicación de principios de mecánica cuántica. </w:t>
      </w:r>
      <w:r w:rsidR="00197605" w:rsidRPr="00B237E2">
        <w:rPr>
          <w:lang w:val="es-ES"/>
        </w:rPr>
        <w:t>Dicha</w:t>
      </w:r>
      <w:r w:rsidRPr="00B237E2">
        <w:rPr>
          <w:lang w:val="es-ES"/>
        </w:rPr>
        <w:t xml:space="preserve"> tecnología ha promovido la segunda revolución cuántica </w:t>
      </w:r>
      <w:r w:rsidR="00197605" w:rsidRPr="00B237E2">
        <w:rPr>
          <w:lang w:val="es-ES"/>
        </w:rPr>
        <w:t>y repercutirá en gran medida</w:t>
      </w:r>
      <w:r w:rsidRPr="00B237E2">
        <w:rPr>
          <w:lang w:val="es-ES"/>
        </w:rPr>
        <w:t xml:space="preserve"> en las redes de TIC.</w:t>
      </w:r>
    </w:p>
    <w:p w14:paraId="418A1CCB" w14:textId="6B031151" w:rsidR="00806D14" w:rsidRPr="00EB7F22" w:rsidRDefault="00197605" w:rsidP="00054053">
      <w:pPr>
        <w:rPr>
          <w:lang w:val="es-ES"/>
        </w:rPr>
      </w:pPr>
      <w:r w:rsidRPr="00054053">
        <w:rPr>
          <w:lang w:val="es-ES"/>
        </w:rPr>
        <w:t>La labor de la UIT en la esfera de la QIT abarca, en particular</w:t>
      </w:r>
      <w:r w:rsidR="00806D14" w:rsidRPr="00EB7F22">
        <w:rPr>
          <w:lang w:val="es-ES"/>
        </w:rPr>
        <w:t>:</w:t>
      </w:r>
    </w:p>
    <w:p w14:paraId="6A7F7D1F" w14:textId="10B4EB56" w:rsidR="00806D14" w:rsidRPr="00EB7F22" w:rsidRDefault="00806D14" w:rsidP="00E124B0">
      <w:pPr>
        <w:pStyle w:val="enumlev1"/>
        <w:rPr>
          <w:lang w:val="es-ES"/>
        </w:rPr>
      </w:pPr>
      <w:r w:rsidRPr="00054053">
        <w:rPr>
          <w:lang w:val="es-ES"/>
        </w:rPr>
        <w:t>•</w:t>
      </w:r>
      <w:r w:rsidRPr="00054053">
        <w:rPr>
          <w:lang w:val="es-ES"/>
        </w:rPr>
        <w:tab/>
      </w:r>
      <w:r w:rsidR="00870B0D" w:rsidRPr="00054053">
        <w:rPr>
          <w:lang w:val="es-ES"/>
        </w:rPr>
        <w:t xml:space="preserve">La </w:t>
      </w:r>
      <w:r w:rsidRPr="00EB7F22">
        <w:rPr>
          <w:lang w:val="es-ES"/>
        </w:rPr>
        <w:t xml:space="preserve">QIT </w:t>
      </w:r>
      <w:r w:rsidR="00870B0D" w:rsidRPr="00054053">
        <w:rPr>
          <w:lang w:val="es-ES"/>
        </w:rPr>
        <w:t>con respecto a la normalización</w:t>
      </w:r>
      <w:r w:rsidRPr="00EB7F22">
        <w:rPr>
          <w:lang w:val="es-ES"/>
        </w:rPr>
        <w:t xml:space="preserve"> (</w:t>
      </w:r>
      <w:r w:rsidR="00870B0D" w:rsidRPr="00054053">
        <w:rPr>
          <w:lang w:val="es-ES"/>
        </w:rPr>
        <w:t xml:space="preserve">véase la </w:t>
      </w:r>
      <w:hyperlink w:anchor="Section_1_3" w:history="1">
        <w:r w:rsidR="00EC5FC0" w:rsidRPr="00B237E2">
          <w:rPr>
            <w:rStyle w:val="Hyperlink"/>
            <w:lang w:val="es-ES"/>
          </w:rPr>
          <w:t>sección</w:t>
        </w:r>
        <w:r w:rsidR="00EC5FC0">
          <w:rPr>
            <w:rStyle w:val="Hyperlink"/>
            <w:lang w:val="es-ES"/>
          </w:rPr>
          <w:t> </w:t>
        </w:r>
        <w:r w:rsidR="00EC5FC0" w:rsidRPr="00B237E2">
          <w:rPr>
            <w:rStyle w:val="Hyperlink"/>
            <w:lang w:val="es-ES"/>
          </w:rPr>
          <w:t>1.3</w:t>
        </w:r>
      </w:hyperlink>
      <w:r w:rsidRPr="00EB7F22">
        <w:rPr>
          <w:lang w:val="es-ES"/>
        </w:rPr>
        <w:t>).</w:t>
      </w:r>
    </w:p>
    <w:p w14:paraId="7D1558C0" w14:textId="00012B00" w:rsidR="00806D14" w:rsidRPr="00EB7F22" w:rsidRDefault="00806D14" w:rsidP="00EC5FC0">
      <w:pPr>
        <w:pStyle w:val="enumlev1"/>
        <w:rPr>
          <w:lang w:val="es-ES"/>
        </w:rPr>
      </w:pPr>
      <w:r w:rsidRPr="00054053">
        <w:rPr>
          <w:lang w:val="es-ES"/>
        </w:rPr>
        <w:t>•</w:t>
      </w:r>
      <w:r w:rsidRPr="00054053">
        <w:rPr>
          <w:lang w:val="es-ES"/>
        </w:rPr>
        <w:tab/>
      </w:r>
      <w:r w:rsidR="00870B0D" w:rsidRPr="00054053">
        <w:rPr>
          <w:lang w:val="es-ES"/>
        </w:rPr>
        <w:t>Varias Comisiones de Estudio del UIT-T, incluidas las CE</w:t>
      </w:r>
      <w:r w:rsidR="00EC5FC0">
        <w:rPr>
          <w:lang w:val="es-ES"/>
        </w:rPr>
        <w:t> </w:t>
      </w:r>
      <w:r w:rsidR="00870B0D" w:rsidRPr="00054053">
        <w:rPr>
          <w:lang w:val="es-ES"/>
        </w:rPr>
        <w:t xml:space="preserve">11, 13 y 17, elaboran varias Recomendaciones UIT-T en dicha esfera. Los trabajos han dado lugar a Recomendaciones y Suplementos UIT-T de la serie </w:t>
      </w:r>
      <w:hyperlink r:id="rId76" w:history="1">
        <w:r w:rsidR="00870B0D" w:rsidRPr="00C2640F">
          <w:rPr>
            <w:rStyle w:val="Hyperlink"/>
            <w:lang w:val="es-ES"/>
          </w:rPr>
          <w:t>X</w:t>
        </w:r>
      </w:hyperlink>
      <w:r w:rsidR="00202F44" w:rsidRPr="00054053">
        <w:rPr>
          <w:lang w:val="es-ES"/>
        </w:rPr>
        <w:t xml:space="preserve">, y a </w:t>
      </w:r>
      <w:r w:rsidR="00870B0D" w:rsidRPr="00054053">
        <w:rPr>
          <w:lang w:val="es-ES"/>
        </w:rPr>
        <w:t>Recomendaciones UIT-T</w:t>
      </w:r>
      <w:r w:rsidR="00202F44" w:rsidRPr="00054053">
        <w:rPr>
          <w:lang w:val="es-ES"/>
        </w:rPr>
        <w:t xml:space="preserve"> de la serie </w:t>
      </w:r>
      <w:hyperlink r:id="rId77" w:history="1">
        <w:r w:rsidR="00202F44" w:rsidRPr="00C2640F">
          <w:rPr>
            <w:rStyle w:val="Hyperlink"/>
            <w:lang w:val="es-ES"/>
          </w:rPr>
          <w:t>Y</w:t>
        </w:r>
      </w:hyperlink>
      <w:r w:rsidRPr="00EB7F22">
        <w:rPr>
          <w:lang w:val="es-ES"/>
        </w:rPr>
        <w:t>.</w:t>
      </w:r>
    </w:p>
    <w:p w14:paraId="413B1527" w14:textId="3D947D20" w:rsidR="00823AB3" w:rsidRPr="00B237E2" w:rsidRDefault="00806D14" w:rsidP="009E243E">
      <w:pPr>
        <w:pStyle w:val="enumlev1"/>
        <w:rPr>
          <w:lang w:val="es-ES"/>
        </w:rPr>
      </w:pPr>
      <w:r w:rsidRPr="00B237E2">
        <w:rPr>
          <w:rFonts w:eastAsia="Calibri"/>
          <w:lang w:val="es-ES"/>
        </w:rPr>
        <w:t>•</w:t>
      </w:r>
      <w:r w:rsidRPr="00B237E2">
        <w:rPr>
          <w:rFonts w:eastAsia="Calibri"/>
          <w:lang w:val="es-ES"/>
        </w:rPr>
        <w:tab/>
      </w:r>
      <w:r w:rsidR="00D331B1" w:rsidRPr="00B237E2">
        <w:rPr>
          <w:lang w:val="es-ES"/>
        </w:rPr>
        <w:t>E</w:t>
      </w:r>
      <w:r w:rsidR="00823AB3" w:rsidRPr="00B237E2">
        <w:rPr>
          <w:lang w:val="es-ES"/>
        </w:rPr>
        <w:t xml:space="preserve">l </w:t>
      </w:r>
      <w:hyperlink r:id="rId78" w:history="1">
        <w:r w:rsidR="00823AB3" w:rsidRPr="00B237E2">
          <w:rPr>
            <w:rStyle w:val="Hyperlink"/>
            <w:lang w:val="es-ES"/>
          </w:rPr>
          <w:t>Grupo Temático del UIT-T sobre tecnología de la información cuántica para redes</w:t>
        </w:r>
      </w:hyperlink>
      <w:r w:rsidR="00823AB3" w:rsidRPr="00B237E2">
        <w:rPr>
          <w:lang w:val="es-ES"/>
        </w:rPr>
        <w:t xml:space="preserve"> (</w:t>
      </w:r>
      <w:r w:rsidR="00823AB3" w:rsidRPr="00392A9C">
        <w:rPr>
          <w:lang w:val="es-ES"/>
        </w:rPr>
        <w:t>FG</w:t>
      </w:r>
      <w:r w:rsidR="00EC5FC0">
        <w:rPr>
          <w:lang w:val="es-ES"/>
        </w:rPr>
        <w:noBreakHyphen/>
      </w:r>
      <w:r w:rsidR="00823AB3" w:rsidRPr="00B237E2">
        <w:rPr>
          <w:lang w:val="es-ES"/>
        </w:rPr>
        <w:t>QIT4N)</w:t>
      </w:r>
      <w:r w:rsidR="00D331B1" w:rsidRPr="00B237E2">
        <w:rPr>
          <w:lang w:val="es-ES"/>
        </w:rPr>
        <w:t xml:space="preserve"> </w:t>
      </w:r>
      <w:r w:rsidR="009E243E" w:rsidRPr="009E243E">
        <w:rPr>
          <w:lang w:val="es-ES"/>
        </w:rPr>
        <w:t>proporcionó</w:t>
      </w:r>
      <w:r w:rsidR="00823AB3" w:rsidRPr="00B237E2">
        <w:rPr>
          <w:lang w:val="es-ES"/>
        </w:rPr>
        <w:t xml:space="preserve"> una plataforma de colaboración </w:t>
      </w:r>
      <w:r w:rsidR="00D331B1" w:rsidRPr="00B237E2">
        <w:rPr>
          <w:lang w:val="es-ES"/>
        </w:rPr>
        <w:t>sobre</w:t>
      </w:r>
      <w:r w:rsidR="00823AB3" w:rsidRPr="00B237E2">
        <w:rPr>
          <w:lang w:val="es-ES"/>
        </w:rPr>
        <w:t xml:space="preserve"> aspectos previos a la normalización de la QIT para redes.</w:t>
      </w:r>
      <w:r w:rsidR="009E243E" w:rsidRPr="009E243E">
        <w:t xml:space="preserve"> Adoptó nueve informes técnicos.</w:t>
      </w:r>
    </w:p>
    <w:p w14:paraId="67ED2215" w14:textId="700FD89E" w:rsidR="00170587" w:rsidRPr="00B237E2" w:rsidRDefault="00170587" w:rsidP="00170587">
      <w:pPr>
        <w:pStyle w:val="enumlev1"/>
        <w:rPr>
          <w:lang w:val="es-ES"/>
        </w:rPr>
      </w:pPr>
      <w:r w:rsidRPr="00054053">
        <w:rPr>
          <w:lang w:val="es-ES"/>
        </w:rPr>
        <w:t>•</w:t>
      </w:r>
      <w:r w:rsidRPr="00054053">
        <w:rPr>
          <w:lang w:val="es-ES"/>
        </w:rPr>
        <w:tab/>
        <w:t>Organización de un conjunto de</w:t>
      </w:r>
      <w:r w:rsidRPr="00B237E2">
        <w:rPr>
          <w:lang w:val="es-ES"/>
        </w:rPr>
        <w:t xml:space="preserve"> </w:t>
      </w:r>
      <w:hyperlink r:id="rId79" w:history="1">
        <w:r w:rsidRPr="00C2640F">
          <w:rPr>
            <w:rStyle w:val="Hyperlink"/>
            <w:lang w:val="es-ES"/>
          </w:rPr>
          <w:t>seminarios web</w:t>
        </w:r>
      </w:hyperlink>
      <w:r w:rsidRPr="00B237E2">
        <w:rPr>
          <w:lang w:val="es-ES"/>
        </w:rPr>
        <w:t xml:space="preserve"> en 2021 para analizar aplicaciones innovadoras de la QIT, </w:t>
      </w:r>
      <w:r w:rsidR="00FB49E9" w:rsidRPr="00B237E2">
        <w:rPr>
          <w:lang w:val="es-ES"/>
        </w:rPr>
        <w:t xml:space="preserve">incluida </w:t>
      </w:r>
      <w:r w:rsidRPr="00B237E2">
        <w:rPr>
          <w:lang w:val="es-ES"/>
        </w:rPr>
        <w:t>su</w:t>
      </w:r>
      <w:r w:rsidR="00FB49E9" w:rsidRPr="00B237E2">
        <w:rPr>
          <w:lang w:val="es-ES"/>
        </w:rPr>
        <w:t xml:space="preserve"> repercusión</w:t>
      </w:r>
      <w:r w:rsidRPr="00B237E2">
        <w:rPr>
          <w:lang w:val="es-ES"/>
        </w:rPr>
        <w:t xml:space="preserve"> en la seguridad, la computación clásica y las redes TIC, y </w:t>
      </w:r>
      <w:r w:rsidR="00FB49E9" w:rsidRPr="00B237E2">
        <w:rPr>
          <w:lang w:val="es-ES"/>
        </w:rPr>
        <w:t>debatir</w:t>
      </w:r>
      <w:r w:rsidRPr="00B237E2">
        <w:rPr>
          <w:lang w:val="es-ES"/>
        </w:rPr>
        <w:t xml:space="preserve"> las correspondientes hojas de ruta para las redes cuánticas.</w:t>
      </w:r>
    </w:p>
    <w:p w14:paraId="79319D9E" w14:textId="18777A6C" w:rsidR="00806D14" w:rsidRPr="00B237E2" w:rsidRDefault="00806D14" w:rsidP="00EB7F22">
      <w:pPr>
        <w:pStyle w:val="enumlev1"/>
        <w:rPr>
          <w:lang w:val="es-ES"/>
        </w:rPr>
      </w:pPr>
      <w:r w:rsidRPr="00054053">
        <w:rPr>
          <w:lang w:val="es-ES"/>
        </w:rPr>
        <w:t>•</w:t>
      </w:r>
      <w:r w:rsidRPr="00054053">
        <w:rPr>
          <w:lang w:val="es-ES"/>
        </w:rPr>
        <w:tab/>
      </w:r>
      <w:hyperlink r:id="rId80" w:history="1">
        <w:r w:rsidR="00FB49E9" w:rsidRPr="00C2640F">
          <w:rPr>
            <w:rStyle w:val="Hyperlink"/>
            <w:lang w:val="es-ES"/>
          </w:rPr>
          <w:t>Taller de la UIT sobre tecnología de la información cuántica (QIT) para redes</w:t>
        </w:r>
      </w:hyperlink>
      <w:r w:rsidR="00FB49E9" w:rsidRPr="00B237E2">
        <w:rPr>
          <w:lang w:val="es-ES"/>
        </w:rPr>
        <w:t>, celebrado en junio de 2019</w:t>
      </w:r>
      <w:r w:rsidRPr="00B237E2">
        <w:rPr>
          <w:lang w:val="es-ES"/>
        </w:rPr>
        <w:t>.</w:t>
      </w:r>
    </w:p>
    <w:p w14:paraId="390E3B0E" w14:textId="77777777" w:rsidR="00823AB3" w:rsidRPr="00B237E2" w:rsidRDefault="00823AB3" w:rsidP="00E124B0">
      <w:pPr>
        <w:pStyle w:val="Heading2"/>
        <w:rPr>
          <w:lang w:val="es-ES"/>
        </w:rPr>
      </w:pPr>
      <w:bookmarkStart w:id="73" w:name="_1.5_Medio_ambiente"/>
      <w:bookmarkStart w:id="74" w:name="_Toc41289276"/>
      <w:bookmarkStart w:id="75" w:name="_Toc41289419"/>
      <w:bookmarkStart w:id="76" w:name="_Toc97821264"/>
      <w:bookmarkStart w:id="77" w:name="Section_1_5"/>
      <w:bookmarkEnd w:id="73"/>
      <w:r w:rsidRPr="00F10717">
        <w:rPr>
          <w:lang w:val="es-ES"/>
        </w:rPr>
        <w:t>1.5</w:t>
      </w:r>
      <w:r w:rsidRPr="00F10717">
        <w:rPr>
          <w:lang w:val="es-ES"/>
        </w:rPr>
        <w:tab/>
        <w:t>Medio ambiente y ciudades y comunidades inteligentes y sostenibles</w:t>
      </w:r>
      <w:bookmarkEnd w:id="74"/>
      <w:bookmarkEnd w:id="75"/>
      <w:bookmarkEnd w:id="76"/>
    </w:p>
    <w:bookmarkEnd w:id="77"/>
    <w:p w14:paraId="643CBCD1" w14:textId="013CE12F" w:rsidR="00C06B85" w:rsidRPr="00B237E2" w:rsidRDefault="00C06B85" w:rsidP="00C06B85">
      <w:pPr>
        <w:rPr>
          <w:lang w:val="es-ES"/>
        </w:rPr>
      </w:pPr>
      <w:r w:rsidRPr="00B237E2">
        <w:rPr>
          <w:lang w:val="es-ES"/>
        </w:rPr>
        <w:t xml:space="preserve">Las TIC brindan oportunidades no sólo para el desarrollo sostenible, sino también para afrontar los efectos del cambio climático. Propician el desarrollo de aplicaciones inteligentes y la transformación de la prestación de servicios, y pueden reducir la huella de carbono en </w:t>
      </w:r>
      <w:r w:rsidR="00FE311B" w:rsidRPr="00B237E2">
        <w:rPr>
          <w:lang w:val="es-ES"/>
        </w:rPr>
        <w:t>los servicios energético, de tratamiento de</w:t>
      </w:r>
      <w:r w:rsidRPr="00B237E2">
        <w:rPr>
          <w:lang w:val="es-ES"/>
        </w:rPr>
        <w:t xml:space="preserve"> residuos y gestión </w:t>
      </w:r>
      <w:r w:rsidR="00FE311B" w:rsidRPr="00B237E2">
        <w:rPr>
          <w:lang w:val="es-ES"/>
        </w:rPr>
        <w:t>hídrica</w:t>
      </w:r>
      <w:r w:rsidRPr="00B237E2">
        <w:rPr>
          <w:lang w:val="es-ES"/>
        </w:rPr>
        <w:t>.</w:t>
      </w:r>
    </w:p>
    <w:p w14:paraId="092496DD" w14:textId="179770D7" w:rsidR="00C06B85" w:rsidRPr="00B237E2" w:rsidRDefault="007B7298" w:rsidP="00C06B85">
      <w:pPr>
        <w:rPr>
          <w:lang w:val="es-ES"/>
        </w:rPr>
      </w:pPr>
      <w:r w:rsidRPr="00B237E2">
        <w:rPr>
          <w:lang w:val="es-ES"/>
        </w:rPr>
        <w:t>No obstante</w:t>
      </w:r>
      <w:r w:rsidR="00C06B85" w:rsidRPr="00B237E2">
        <w:rPr>
          <w:lang w:val="es-ES"/>
        </w:rPr>
        <w:t xml:space="preserve">, </w:t>
      </w:r>
      <w:r w:rsidR="00D60B38" w:rsidRPr="00B237E2">
        <w:rPr>
          <w:lang w:val="es-ES"/>
        </w:rPr>
        <w:t>el desarrollo de la</w:t>
      </w:r>
      <w:r w:rsidR="00C06B85" w:rsidRPr="00B237E2">
        <w:rPr>
          <w:lang w:val="es-ES"/>
        </w:rPr>
        <w:t xml:space="preserve"> sociedad de la información </w:t>
      </w:r>
      <w:r w:rsidR="00D60B38" w:rsidRPr="00B237E2">
        <w:rPr>
          <w:lang w:val="es-ES"/>
        </w:rPr>
        <w:t>conlleva un aumento d</w:t>
      </w:r>
      <w:r w:rsidR="00C06B85" w:rsidRPr="00B237E2">
        <w:rPr>
          <w:lang w:val="es-ES"/>
        </w:rPr>
        <w:t xml:space="preserve">el consumo de energía y </w:t>
      </w:r>
      <w:r w:rsidR="00D60B38" w:rsidRPr="00B237E2">
        <w:rPr>
          <w:lang w:val="es-ES"/>
        </w:rPr>
        <w:t xml:space="preserve">de </w:t>
      </w:r>
      <w:r w:rsidR="00C06B85" w:rsidRPr="00B237E2">
        <w:rPr>
          <w:lang w:val="es-ES"/>
        </w:rPr>
        <w:t xml:space="preserve">la emisión de gases de efecto invernadero (GEI). </w:t>
      </w:r>
      <w:r w:rsidR="00D60B38" w:rsidRPr="00B237E2">
        <w:rPr>
          <w:lang w:val="es-ES"/>
        </w:rPr>
        <w:t>La cantidad de</w:t>
      </w:r>
      <w:r w:rsidR="00C06B85" w:rsidRPr="00B237E2">
        <w:rPr>
          <w:lang w:val="es-ES"/>
        </w:rPr>
        <w:t xml:space="preserve"> residuos electrónicos </w:t>
      </w:r>
      <w:r w:rsidR="00D60B38" w:rsidRPr="00B237E2">
        <w:rPr>
          <w:lang w:val="es-ES"/>
        </w:rPr>
        <w:t>también aumenta, así como su peligro</w:t>
      </w:r>
      <w:r w:rsidR="00C06B85" w:rsidRPr="00B237E2">
        <w:rPr>
          <w:lang w:val="es-ES"/>
        </w:rPr>
        <w:t xml:space="preserve"> para la salud y el medio ambiente.</w:t>
      </w:r>
    </w:p>
    <w:p w14:paraId="6343F263" w14:textId="70090A90" w:rsidR="00C06B85" w:rsidRPr="00B237E2" w:rsidRDefault="00C06B85" w:rsidP="00C06B85">
      <w:pPr>
        <w:rPr>
          <w:lang w:val="es-ES"/>
        </w:rPr>
      </w:pPr>
      <w:r w:rsidRPr="00B237E2">
        <w:rPr>
          <w:lang w:val="es-ES"/>
        </w:rPr>
        <w:lastRenderedPageBreak/>
        <w:t xml:space="preserve">El objetivo estratégico de la UIT en materia de sostenibilidad </w:t>
      </w:r>
      <w:r w:rsidR="00822F94" w:rsidRPr="00B237E2">
        <w:rPr>
          <w:lang w:val="es-ES"/>
        </w:rPr>
        <w:t>requiere</w:t>
      </w:r>
      <w:r w:rsidRPr="00B237E2">
        <w:rPr>
          <w:lang w:val="es-ES"/>
        </w:rPr>
        <w:t xml:space="preserve"> que la Organización gestione los nuevos riesgos, </w:t>
      </w:r>
      <w:r w:rsidR="00822F94" w:rsidRPr="00B237E2">
        <w:rPr>
          <w:lang w:val="es-ES"/>
        </w:rPr>
        <w:t>retos</w:t>
      </w:r>
      <w:r w:rsidRPr="00B237E2">
        <w:rPr>
          <w:lang w:val="es-ES"/>
        </w:rPr>
        <w:t xml:space="preserve"> y oportunidades </w:t>
      </w:r>
      <w:r w:rsidR="00FD3206">
        <w:rPr>
          <w:lang w:val="es-ES"/>
        </w:rPr>
        <w:t>relacionados con e</w:t>
      </w:r>
      <w:r w:rsidR="00822F94" w:rsidRPr="00B237E2">
        <w:rPr>
          <w:lang w:val="es-ES"/>
        </w:rPr>
        <w:t>l</w:t>
      </w:r>
      <w:r w:rsidRPr="00B237E2">
        <w:rPr>
          <w:lang w:val="es-ES"/>
        </w:rPr>
        <w:t xml:space="preserve"> rápido </w:t>
      </w:r>
      <w:r w:rsidR="00822F94" w:rsidRPr="00B237E2">
        <w:rPr>
          <w:lang w:val="es-ES"/>
        </w:rPr>
        <w:t>desarrollo</w:t>
      </w:r>
      <w:r w:rsidRPr="00B237E2">
        <w:rPr>
          <w:lang w:val="es-ES"/>
        </w:rPr>
        <w:t xml:space="preserve"> de las telecomunicaciones</w:t>
      </w:r>
      <w:r w:rsidR="00822F94" w:rsidRPr="00B237E2">
        <w:rPr>
          <w:lang w:val="es-ES"/>
        </w:rPr>
        <w:t xml:space="preserve"> y las </w:t>
      </w:r>
      <w:r w:rsidRPr="00B237E2">
        <w:rPr>
          <w:lang w:val="es-ES"/>
        </w:rPr>
        <w:t xml:space="preserve">TIC. </w:t>
      </w:r>
      <w:r w:rsidR="00822F94" w:rsidRPr="00B237E2">
        <w:rPr>
          <w:lang w:val="es-ES"/>
        </w:rPr>
        <w:t xml:space="preserve">En el marco de </w:t>
      </w:r>
      <w:r w:rsidR="00361EDF">
        <w:rPr>
          <w:lang w:val="es-ES"/>
        </w:rPr>
        <w:t>esas actividades</w:t>
      </w:r>
      <w:r w:rsidRPr="00B237E2">
        <w:rPr>
          <w:lang w:val="es-ES"/>
        </w:rPr>
        <w:t xml:space="preserve">, la UIT, </w:t>
      </w:r>
      <w:r w:rsidR="00822F94" w:rsidRPr="00B237E2">
        <w:rPr>
          <w:lang w:val="es-ES"/>
        </w:rPr>
        <w:t>y</w:t>
      </w:r>
      <w:r w:rsidRPr="00B237E2">
        <w:rPr>
          <w:lang w:val="es-ES"/>
        </w:rPr>
        <w:t xml:space="preserve"> otros organismos de las Naciones Unidas, </w:t>
      </w:r>
      <w:r w:rsidR="00822F94" w:rsidRPr="00B237E2">
        <w:rPr>
          <w:lang w:val="es-ES"/>
        </w:rPr>
        <w:t>elabora</w:t>
      </w:r>
      <w:r w:rsidR="00F10717">
        <w:rPr>
          <w:lang w:val="es-ES"/>
        </w:rPr>
        <w:t>n</w:t>
      </w:r>
      <w:r w:rsidRPr="00B237E2">
        <w:rPr>
          <w:lang w:val="es-ES"/>
        </w:rPr>
        <w:t xml:space="preserve"> un conjunto de herramientas sobre la transformación digital sostenible.</w:t>
      </w:r>
    </w:p>
    <w:p w14:paraId="13A0686C" w14:textId="29172263" w:rsidR="00C06B85" w:rsidRPr="00B237E2" w:rsidRDefault="00C06B85" w:rsidP="00E124B0">
      <w:pPr>
        <w:rPr>
          <w:lang w:val="es-ES"/>
        </w:rPr>
      </w:pPr>
      <w:r w:rsidRPr="00B237E2">
        <w:rPr>
          <w:lang w:val="es-ES"/>
        </w:rPr>
        <w:t>A continuación se ofrece una visión general de las actividades realizadas por la UIT en relación con el medio ambiente, las ciudades y comunidades inteligentes sostenibles y las telecomunicaciones de emergencia</w:t>
      </w:r>
      <w:r w:rsidR="00822F94" w:rsidRPr="00B237E2">
        <w:rPr>
          <w:lang w:val="es-ES"/>
        </w:rPr>
        <w:t>.</w:t>
      </w:r>
    </w:p>
    <w:p w14:paraId="50D82ED9" w14:textId="2EFD6523" w:rsidR="00823AB3" w:rsidRPr="00B237E2" w:rsidRDefault="00823AB3" w:rsidP="00E124B0">
      <w:pPr>
        <w:pStyle w:val="Headingb"/>
        <w:rPr>
          <w:lang w:val="es-ES"/>
        </w:rPr>
      </w:pPr>
      <w:r w:rsidRPr="007F2FDE">
        <w:rPr>
          <w:lang w:val="es-ES"/>
        </w:rPr>
        <w:t>Cambio climático</w:t>
      </w:r>
      <w:r w:rsidR="00806D14" w:rsidRPr="007F2FDE">
        <w:rPr>
          <w:rFonts w:cs="Calibri"/>
          <w:sz w:val="22"/>
          <w:szCs w:val="22"/>
          <w:lang w:val="es-ES"/>
        </w:rPr>
        <w:t xml:space="preserve"> </w:t>
      </w:r>
      <w:r w:rsidR="00822F94" w:rsidRPr="007F2FDE">
        <w:rPr>
          <w:lang w:val="es-ES"/>
        </w:rPr>
        <w:t>y las TIC</w:t>
      </w:r>
      <w:r w:rsidR="00806D14" w:rsidRPr="007F2FDE">
        <w:rPr>
          <w:lang w:val="es-ES"/>
        </w:rPr>
        <w:t xml:space="preserve">: </w:t>
      </w:r>
      <w:r w:rsidR="00822F94" w:rsidRPr="007F2FDE">
        <w:rPr>
          <w:lang w:val="es-ES"/>
        </w:rPr>
        <w:t>contribución al debate a escala mundial y facilitación del mismo</w:t>
      </w:r>
    </w:p>
    <w:p w14:paraId="2024AFAC" w14:textId="6BE85A5C" w:rsidR="00823AB3" w:rsidRPr="00B237E2" w:rsidRDefault="00CA6F1F" w:rsidP="00054053">
      <w:pPr>
        <w:pStyle w:val="enumlev1"/>
        <w:rPr>
          <w:lang w:val="es-ES"/>
        </w:rPr>
      </w:pPr>
      <w:r w:rsidRPr="00B237E2">
        <w:rPr>
          <w:lang w:val="es-ES"/>
        </w:rPr>
        <w:t>•</w:t>
      </w:r>
      <w:r w:rsidRPr="00B237E2">
        <w:rPr>
          <w:lang w:val="es-ES"/>
        </w:rPr>
        <w:tab/>
      </w:r>
      <w:r w:rsidR="00823AB3" w:rsidRPr="00B237E2">
        <w:rPr>
          <w:lang w:val="es-ES"/>
        </w:rPr>
        <w:t xml:space="preserve">La CE 7 del UIT-R </w:t>
      </w:r>
      <w:r w:rsidR="00724F59" w:rsidRPr="00B237E2">
        <w:rPr>
          <w:lang w:val="es-ES"/>
        </w:rPr>
        <w:t>elabora</w:t>
      </w:r>
      <w:r w:rsidR="00823AB3" w:rsidRPr="00B237E2">
        <w:rPr>
          <w:lang w:val="es-ES"/>
        </w:rPr>
        <w:t xml:space="preserve"> recomendaciones sobre </w:t>
      </w:r>
      <w:hyperlink r:id="rId81" w:history="1">
        <w:r w:rsidR="00823AB3" w:rsidRPr="00B237E2">
          <w:rPr>
            <w:rStyle w:val="Hyperlink"/>
            <w:lang w:val="es-ES"/>
          </w:rPr>
          <w:t>sistemas de teledetección</w:t>
        </w:r>
      </w:hyperlink>
      <w:r w:rsidR="00823AB3" w:rsidRPr="00B237E2">
        <w:rPr>
          <w:lang w:val="es-ES"/>
        </w:rPr>
        <w:t xml:space="preserve"> y </w:t>
      </w:r>
      <w:hyperlink r:id="rId82" w:history="1">
        <w:r w:rsidR="00823AB3" w:rsidRPr="00B237E2">
          <w:rPr>
            <w:rStyle w:val="Hyperlink"/>
            <w:lang w:val="es-ES"/>
          </w:rPr>
          <w:t>aplicaciones espaciales</w:t>
        </w:r>
      </w:hyperlink>
      <w:r w:rsidR="00823AB3" w:rsidRPr="00B237E2">
        <w:rPr>
          <w:lang w:val="es-ES"/>
        </w:rPr>
        <w:t xml:space="preserve">. </w:t>
      </w:r>
      <w:r w:rsidR="00724F59" w:rsidRPr="00B237E2">
        <w:rPr>
          <w:lang w:val="es-ES"/>
        </w:rPr>
        <w:t>La CE</w:t>
      </w:r>
      <w:r w:rsidR="00115DF9">
        <w:rPr>
          <w:lang w:val="es-ES"/>
        </w:rPr>
        <w:t> </w:t>
      </w:r>
      <w:r w:rsidR="00724F59" w:rsidRPr="00B237E2">
        <w:rPr>
          <w:lang w:val="es-ES"/>
        </w:rPr>
        <w:t>5 del UIT-T elabora recomendaciones para abordar los residuos electrónicos, la economía circular y el cambio climático.</w:t>
      </w:r>
      <w:r w:rsidR="005B3321" w:rsidRPr="00B237E2">
        <w:rPr>
          <w:lang w:val="es-ES"/>
        </w:rPr>
        <w:t xml:space="preserve"> La </w:t>
      </w:r>
      <w:hyperlink r:id="rId83" w:history="1">
        <w:r w:rsidR="005B3321" w:rsidRPr="00F10717">
          <w:rPr>
            <w:rStyle w:val="Hyperlink"/>
            <w:lang w:val="es-ES"/>
          </w:rPr>
          <w:t>Cuestión 6/2 de la Comisión de Estudio 2</w:t>
        </w:r>
      </w:hyperlink>
      <w:r w:rsidR="005B3321" w:rsidRPr="00B237E2">
        <w:rPr>
          <w:lang w:val="es-ES"/>
        </w:rPr>
        <w:t xml:space="preserve"> del UIT-D</w:t>
      </w:r>
      <w:r w:rsidR="00823AB3" w:rsidRPr="00B237E2">
        <w:rPr>
          <w:lang w:val="es-ES"/>
        </w:rPr>
        <w:t xml:space="preserve"> </w:t>
      </w:r>
      <w:r w:rsidR="00617CF2" w:rsidRPr="00B237E2">
        <w:rPr>
          <w:lang w:val="es-ES"/>
        </w:rPr>
        <w:t xml:space="preserve">analiza </w:t>
      </w:r>
      <w:r w:rsidR="00823AB3" w:rsidRPr="00B237E2">
        <w:rPr>
          <w:lang w:val="es-ES"/>
        </w:rPr>
        <w:t xml:space="preserve">la forma en que </w:t>
      </w:r>
      <w:r w:rsidR="00617CF2" w:rsidRPr="00B237E2">
        <w:rPr>
          <w:lang w:val="es-ES"/>
        </w:rPr>
        <w:t>las TIC</w:t>
      </w:r>
      <w:r w:rsidR="00823AB3" w:rsidRPr="00B237E2">
        <w:rPr>
          <w:lang w:val="es-ES"/>
        </w:rPr>
        <w:t xml:space="preserve"> pueden facilitar la adaptación a los efectos </w:t>
      </w:r>
      <w:r w:rsidR="00617CF2" w:rsidRPr="00B237E2">
        <w:rPr>
          <w:lang w:val="es-ES"/>
        </w:rPr>
        <w:t>del cambio climático</w:t>
      </w:r>
      <w:r w:rsidR="00823AB3" w:rsidRPr="00B237E2">
        <w:rPr>
          <w:lang w:val="es-ES"/>
        </w:rPr>
        <w:t>.</w:t>
      </w:r>
    </w:p>
    <w:p w14:paraId="37617225" w14:textId="04AD5E4F" w:rsidR="00CA6F1F" w:rsidRPr="004A09D1" w:rsidRDefault="00806D14" w:rsidP="00CA6F1F">
      <w:pPr>
        <w:pStyle w:val="enumlev1"/>
        <w:rPr>
          <w:lang w:val="es-ES"/>
        </w:rPr>
      </w:pPr>
      <w:r w:rsidRPr="00B237E2">
        <w:rPr>
          <w:lang w:val="es-ES"/>
        </w:rPr>
        <w:t>•</w:t>
      </w:r>
      <w:r w:rsidRPr="00B237E2">
        <w:rPr>
          <w:lang w:val="es-ES"/>
        </w:rPr>
        <w:tab/>
      </w:r>
      <w:r w:rsidR="00CA6F1F" w:rsidRPr="004A09D1">
        <w:rPr>
          <w:lang w:val="es-ES"/>
        </w:rPr>
        <w:t>La UIT elaboró la norma</w:t>
      </w:r>
      <w:r w:rsidR="00012625" w:rsidRPr="004A09D1">
        <w:rPr>
          <w:lang w:val="es-ES"/>
        </w:rPr>
        <w:t xml:space="preserve"> sobre las TIC</w:t>
      </w:r>
      <w:r w:rsidR="00CA6F1F" w:rsidRPr="004A09D1">
        <w:rPr>
          <w:lang w:val="es-ES"/>
        </w:rPr>
        <w:t xml:space="preserve"> </w:t>
      </w:r>
      <w:r w:rsidR="00FA3C80">
        <w:rPr>
          <w:lang w:val="es-ES"/>
        </w:rPr>
        <w:t>"</w:t>
      </w:r>
      <w:hyperlink r:id="rId84" w:history="1">
        <w:r w:rsidR="00CA6F1F" w:rsidRPr="00F10717">
          <w:rPr>
            <w:rStyle w:val="Hyperlink"/>
            <w:lang w:val="es-ES"/>
          </w:rPr>
          <w:t>Trayectorias de emisiones de gases de efecto invernadero</w:t>
        </w:r>
        <w:r w:rsidR="00012625" w:rsidRPr="00F10717">
          <w:rPr>
            <w:rStyle w:val="Hyperlink"/>
            <w:lang w:val="es-ES"/>
          </w:rPr>
          <w:t xml:space="preserve"> (GEI)</w:t>
        </w:r>
      </w:hyperlink>
      <w:r w:rsidR="00FA3C80">
        <w:rPr>
          <w:lang w:val="es-ES"/>
        </w:rPr>
        <w:t>"</w:t>
      </w:r>
      <w:r w:rsidR="00012625" w:rsidRPr="004A09D1">
        <w:rPr>
          <w:lang w:val="es-ES"/>
        </w:rPr>
        <w:t xml:space="preserve">, </w:t>
      </w:r>
      <w:r w:rsidR="00CA6F1F" w:rsidRPr="004A09D1">
        <w:rPr>
          <w:lang w:val="es-ES"/>
        </w:rPr>
        <w:t xml:space="preserve">compatible con el Acuerdo de París de la CMNUCC, </w:t>
      </w:r>
      <w:r w:rsidR="00012625" w:rsidRPr="004A09D1">
        <w:rPr>
          <w:lang w:val="es-ES"/>
        </w:rPr>
        <w:t>en virtud del cual se</w:t>
      </w:r>
      <w:r w:rsidR="00CA6F1F" w:rsidRPr="004A09D1">
        <w:rPr>
          <w:lang w:val="es-ES"/>
        </w:rPr>
        <w:t xml:space="preserve"> establece</w:t>
      </w:r>
      <w:r w:rsidR="00012625" w:rsidRPr="004A09D1">
        <w:rPr>
          <w:lang w:val="es-ES"/>
        </w:rPr>
        <w:t>n</w:t>
      </w:r>
      <w:r w:rsidR="00CA6F1F" w:rsidRPr="004A09D1">
        <w:rPr>
          <w:lang w:val="es-ES"/>
        </w:rPr>
        <w:t xml:space="preserve"> directrices sobre las TIC para reducir las emisiones de GEI en un 45% </w:t>
      </w:r>
      <w:r w:rsidR="00012625" w:rsidRPr="004A09D1">
        <w:rPr>
          <w:lang w:val="es-ES"/>
        </w:rPr>
        <w:t>de</w:t>
      </w:r>
      <w:r w:rsidR="00CA6F1F" w:rsidRPr="004A09D1">
        <w:rPr>
          <w:lang w:val="es-ES"/>
        </w:rPr>
        <w:t xml:space="preserve"> 2020 </w:t>
      </w:r>
      <w:r w:rsidR="00012625" w:rsidRPr="004A09D1">
        <w:rPr>
          <w:lang w:val="es-ES"/>
        </w:rPr>
        <w:t>a</w:t>
      </w:r>
      <w:r w:rsidR="00F10717">
        <w:rPr>
          <w:lang w:val="es-ES"/>
        </w:rPr>
        <w:t> </w:t>
      </w:r>
      <w:r w:rsidR="00CA6F1F" w:rsidRPr="004A09D1">
        <w:rPr>
          <w:lang w:val="es-ES"/>
        </w:rPr>
        <w:t>2030.</w:t>
      </w:r>
    </w:p>
    <w:p w14:paraId="3064B73B" w14:textId="0A07AF81" w:rsidR="00CA6F1F" w:rsidRPr="004A09D1" w:rsidRDefault="00CA6F1F" w:rsidP="00CA6F1F">
      <w:pPr>
        <w:pStyle w:val="enumlev1"/>
        <w:rPr>
          <w:lang w:val="es-ES"/>
        </w:rPr>
      </w:pPr>
      <w:r w:rsidRPr="004A09D1">
        <w:rPr>
          <w:lang w:val="es-ES"/>
        </w:rPr>
        <w:t>•</w:t>
      </w:r>
      <w:r w:rsidRPr="004A09D1">
        <w:rPr>
          <w:lang w:val="es-ES"/>
        </w:rPr>
        <w:tab/>
        <w:t xml:space="preserve">La UIT participó en la 26ª Conferencia de las Naciones Unidas sobre el Cambio Climático (COP26) en Glasgow, </w:t>
      </w:r>
      <w:r w:rsidR="00A44F33" w:rsidRPr="004A09D1">
        <w:rPr>
          <w:lang w:val="es-ES"/>
        </w:rPr>
        <w:t>y coorganizó varios</w:t>
      </w:r>
      <w:r w:rsidRPr="004A09D1">
        <w:rPr>
          <w:lang w:val="es-ES"/>
        </w:rPr>
        <w:t xml:space="preserve"> eventos </w:t>
      </w:r>
      <w:r w:rsidR="00A44F33" w:rsidRPr="004A09D1">
        <w:rPr>
          <w:lang w:val="es-ES"/>
        </w:rPr>
        <w:t>celebrados simultáneamente</w:t>
      </w:r>
      <w:r w:rsidRPr="004A09D1">
        <w:rPr>
          <w:lang w:val="es-ES"/>
        </w:rPr>
        <w:t xml:space="preserve"> sobre </w:t>
      </w:r>
      <w:r w:rsidR="00A44F33" w:rsidRPr="004A09D1">
        <w:rPr>
          <w:lang w:val="es-ES"/>
        </w:rPr>
        <w:t>el fomento</w:t>
      </w:r>
      <w:r w:rsidRPr="004A09D1">
        <w:rPr>
          <w:lang w:val="es-ES"/>
        </w:rPr>
        <w:t xml:space="preserve"> de la acción climática, la innovación, la colaboración, la eficiencia energética y </w:t>
      </w:r>
      <w:r w:rsidR="00A44F33" w:rsidRPr="004A09D1">
        <w:rPr>
          <w:lang w:val="es-ES"/>
        </w:rPr>
        <w:t>la consecución del nivel de cero neto</w:t>
      </w:r>
      <w:r w:rsidRPr="004A09D1">
        <w:rPr>
          <w:lang w:val="es-ES"/>
        </w:rPr>
        <w:t xml:space="preserve"> en </w:t>
      </w:r>
      <w:r w:rsidR="00A44F33" w:rsidRPr="004A09D1">
        <w:rPr>
          <w:lang w:val="es-ES"/>
        </w:rPr>
        <w:t xml:space="preserve">las </w:t>
      </w:r>
      <w:r w:rsidRPr="004A09D1">
        <w:rPr>
          <w:lang w:val="es-ES"/>
        </w:rPr>
        <w:t>ciudades.</w:t>
      </w:r>
    </w:p>
    <w:p w14:paraId="22D61858" w14:textId="2329AD96" w:rsidR="00CA6F1F" w:rsidRPr="00FA3C80" w:rsidRDefault="00CA6F1F" w:rsidP="00CA6F1F">
      <w:pPr>
        <w:pStyle w:val="enumlev1"/>
        <w:rPr>
          <w:lang w:val="es-ES"/>
        </w:rPr>
      </w:pPr>
      <w:r w:rsidRPr="00FA3C80">
        <w:rPr>
          <w:lang w:val="es-ES"/>
        </w:rPr>
        <w:t>•</w:t>
      </w:r>
      <w:r w:rsidRPr="00FA3C80">
        <w:rPr>
          <w:lang w:val="es-ES"/>
        </w:rPr>
        <w:tab/>
      </w:r>
      <w:r w:rsidR="00481FAF" w:rsidRPr="00FA3C80">
        <w:rPr>
          <w:lang w:val="es-ES"/>
        </w:rPr>
        <w:t>Entre las</w:t>
      </w:r>
      <w:r w:rsidRPr="00FA3C80">
        <w:rPr>
          <w:lang w:val="es-ES"/>
        </w:rPr>
        <w:t xml:space="preserve"> publicaciones de la UIT </w:t>
      </w:r>
      <w:r w:rsidR="00481FAF" w:rsidRPr="00FA3C80">
        <w:rPr>
          <w:lang w:val="es-ES"/>
        </w:rPr>
        <w:t xml:space="preserve">cabe destacar </w:t>
      </w:r>
      <w:r w:rsidR="00F10717">
        <w:rPr>
          <w:lang w:val="es-ES"/>
        </w:rPr>
        <w:t>"</w:t>
      </w:r>
      <w:proofErr w:type="spellStart"/>
      <w:r w:rsidR="00AF6115">
        <w:fldChar w:fldCharType="begin"/>
      </w:r>
      <w:r w:rsidR="00AF6115">
        <w:instrText xml:space="preserve"> HYPERLINK "https://www.itu.int/en/publications/Docu</w:instrText>
      </w:r>
      <w:r w:rsidR="00AF6115">
        <w:instrText xml:space="preserve">ments/tsb/2019-Turning-digital-technology-innovation-into-climate-action/mobile/index.html" </w:instrText>
      </w:r>
      <w:r w:rsidR="00AF6115">
        <w:fldChar w:fldCharType="separate"/>
      </w:r>
      <w:r w:rsidRPr="00AF6115">
        <w:rPr>
          <w:rStyle w:val="Hyperlink"/>
          <w:lang w:val="es-ES"/>
        </w:rPr>
        <w:t>Turning</w:t>
      </w:r>
      <w:proofErr w:type="spellEnd"/>
      <w:r w:rsidRPr="00AF6115">
        <w:rPr>
          <w:rStyle w:val="Hyperlink"/>
          <w:lang w:val="es-ES"/>
        </w:rPr>
        <w:t xml:space="preserve"> digital </w:t>
      </w:r>
      <w:proofErr w:type="spellStart"/>
      <w:r w:rsidRPr="00AF6115">
        <w:rPr>
          <w:rStyle w:val="Hyperlink"/>
          <w:lang w:val="es-ES"/>
        </w:rPr>
        <w:t>technology</w:t>
      </w:r>
      <w:proofErr w:type="spellEnd"/>
      <w:r w:rsidRPr="00AF6115">
        <w:rPr>
          <w:rStyle w:val="Hyperlink"/>
          <w:lang w:val="es-ES"/>
        </w:rPr>
        <w:t xml:space="preserve"> </w:t>
      </w:r>
      <w:proofErr w:type="spellStart"/>
      <w:r w:rsidRPr="00AF6115">
        <w:rPr>
          <w:rStyle w:val="Hyperlink"/>
          <w:lang w:val="es-ES"/>
        </w:rPr>
        <w:t>innovation</w:t>
      </w:r>
      <w:proofErr w:type="spellEnd"/>
      <w:r w:rsidRPr="00AF6115">
        <w:rPr>
          <w:rStyle w:val="Hyperlink"/>
          <w:lang w:val="es-ES"/>
        </w:rPr>
        <w:t xml:space="preserve"> </w:t>
      </w:r>
      <w:proofErr w:type="spellStart"/>
      <w:r w:rsidRPr="00AF6115">
        <w:rPr>
          <w:rStyle w:val="Hyperlink"/>
          <w:lang w:val="es-ES"/>
        </w:rPr>
        <w:t>into</w:t>
      </w:r>
      <w:proofErr w:type="spellEnd"/>
      <w:r w:rsidRPr="00AF6115">
        <w:rPr>
          <w:rStyle w:val="Hyperlink"/>
          <w:lang w:val="es-ES"/>
        </w:rPr>
        <w:t xml:space="preserve"> </w:t>
      </w:r>
      <w:proofErr w:type="spellStart"/>
      <w:r w:rsidRPr="00AF6115">
        <w:rPr>
          <w:rStyle w:val="Hyperlink"/>
          <w:lang w:val="es-ES"/>
        </w:rPr>
        <w:t>climate</w:t>
      </w:r>
      <w:proofErr w:type="spellEnd"/>
      <w:r w:rsidRPr="00AF6115">
        <w:rPr>
          <w:rStyle w:val="Hyperlink"/>
          <w:lang w:val="es-ES"/>
        </w:rPr>
        <w:t xml:space="preserve"> </w:t>
      </w:r>
      <w:proofErr w:type="spellStart"/>
      <w:r w:rsidRPr="00AF6115">
        <w:rPr>
          <w:rStyle w:val="Hyperlink"/>
          <w:lang w:val="es-ES"/>
        </w:rPr>
        <w:t>action</w:t>
      </w:r>
      <w:proofErr w:type="spellEnd"/>
      <w:r w:rsidR="00AF6115">
        <w:rPr>
          <w:rStyle w:val="Hyperlink"/>
          <w:lang w:val="en-US"/>
        </w:rPr>
        <w:fldChar w:fldCharType="end"/>
      </w:r>
      <w:r w:rsidR="00F10717">
        <w:rPr>
          <w:lang w:val="es-ES"/>
        </w:rPr>
        <w:t>"</w:t>
      </w:r>
      <w:r w:rsidRPr="00FA3C80">
        <w:rPr>
          <w:lang w:val="es-ES"/>
        </w:rPr>
        <w:t xml:space="preserve"> (2019) y </w:t>
      </w:r>
      <w:r w:rsidR="00FA3C80">
        <w:rPr>
          <w:lang w:val="es-ES"/>
        </w:rPr>
        <w:t>"</w:t>
      </w:r>
      <w:proofErr w:type="spellStart"/>
      <w:r w:rsidR="00AF6115">
        <w:fldChar w:fldCharType="begin"/>
      </w:r>
      <w:r w:rsidR="00AF6115">
        <w:instrText xml:space="preserve"> HYPERLINK "https://www.itu.int/en/publications/Documents/tsb/2020-Frontier-Technologies-to-</w:instrText>
      </w:r>
      <w:r w:rsidR="00AF6115">
        <w:instrText xml:space="preserve">Protect-the-Environment-and-Tackle-Climate-Change/index.html" </w:instrText>
      </w:r>
      <w:r w:rsidR="00AF6115">
        <w:fldChar w:fldCharType="separate"/>
      </w:r>
      <w:r w:rsidRPr="00AF6115">
        <w:rPr>
          <w:rStyle w:val="Hyperlink"/>
          <w:lang w:val="es-ES"/>
        </w:rPr>
        <w:t>Frontier</w:t>
      </w:r>
      <w:proofErr w:type="spellEnd"/>
      <w:r w:rsidRPr="00AF6115">
        <w:rPr>
          <w:rStyle w:val="Hyperlink"/>
          <w:lang w:val="es-ES"/>
        </w:rPr>
        <w:t xml:space="preserve"> </w:t>
      </w:r>
      <w:proofErr w:type="spellStart"/>
      <w:r w:rsidRPr="00AF6115">
        <w:rPr>
          <w:rStyle w:val="Hyperlink"/>
          <w:lang w:val="es-ES"/>
        </w:rPr>
        <w:t>technologies</w:t>
      </w:r>
      <w:proofErr w:type="spellEnd"/>
      <w:r w:rsidRPr="00AF6115">
        <w:rPr>
          <w:rStyle w:val="Hyperlink"/>
          <w:lang w:val="es-ES"/>
        </w:rPr>
        <w:t xml:space="preserve"> to </w:t>
      </w:r>
      <w:proofErr w:type="spellStart"/>
      <w:r w:rsidRPr="00AF6115">
        <w:rPr>
          <w:rStyle w:val="Hyperlink"/>
          <w:lang w:val="es-ES"/>
        </w:rPr>
        <w:t>protect</w:t>
      </w:r>
      <w:proofErr w:type="spellEnd"/>
      <w:r w:rsidRPr="00AF6115">
        <w:rPr>
          <w:rStyle w:val="Hyperlink"/>
          <w:lang w:val="es-ES"/>
        </w:rPr>
        <w:t xml:space="preserve"> the </w:t>
      </w:r>
      <w:proofErr w:type="spellStart"/>
      <w:r w:rsidRPr="00AF6115">
        <w:rPr>
          <w:rStyle w:val="Hyperlink"/>
          <w:lang w:val="es-ES"/>
        </w:rPr>
        <w:t>environment</w:t>
      </w:r>
      <w:proofErr w:type="spellEnd"/>
      <w:r w:rsidRPr="00AF6115">
        <w:rPr>
          <w:rStyle w:val="Hyperlink"/>
          <w:lang w:val="es-ES"/>
        </w:rPr>
        <w:t xml:space="preserve"> and </w:t>
      </w:r>
      <w:proofErr w:type="spellStart"/>
      <w:r w:rsidRPr="00AF6115">
        <w:rPr>
          <w:rStyle w:val="Hyperlink"/>
          <w:lang w:val="es-ES"/>
        </w:rPr>
        <w:t>tackle</w:t>
      </w:r>
      <w:proofErr w:type="spellEnd"/>
      <w:r w:rsidRPr="00AF6115">
        <w:rPr>
          <w:rStyle w:val="Hyperlink"/>
          <w:lang w:val="es-ES"/>
        </w:rPr>
        <w:t xml:space="preserve"> </w:t>
      </w:r>
      <w:proofErr w:type="spellStart"/>
      <w:r w:rsidRPr="00AF6115">
        <w:rPr>
          <w:rStyle w:val="Hyperlink"/>
          <w:lang w:val="es-ES"/>
        </w:rPr>
        <w:t>climate</w:t>
      </w:r>
      <w:proofErr w:type="spellEnd"/>
      <w:r w:rsidRPr="00AF6115">
        <w:rPr>
          <w:rStyle w:val="Hyperlink"/>
          <w:lang w:val="es-ES"/>
        </w:rPr>
        <w:t xml:space="preserve"> </w:t>
      </w:r>
      <w:proofErr w:type="spellStart"/>
      <w:r w:rsidRPr="00AF6115">
        <w:rPr>
          <w:rStyle w:val="Hyperlink"/>
          <w:lang w:val="es-ES"/>
        </w:rPr>
        <w:t>change</w:t>
      </w:r>
      <w:proofErr w:type="spellEnd"/>
      <w:r w:rsidR="00AF6115">
        <w:rPr>
          <w:rStyle w:val="Hyperlink"/>
          <w:lang w:val="en-US"/>
        </w:rPr>
        <w:fldChar w:fldCharType="end"/>
      </w:r>
      <w:r w:rsidR="00F10717">
        <w:rPr>
          <w:lang w:val="es-ES"/>
        </w:rPr>
        <w:t>"</w:t>
      </w:r>
      <w:r w:rsidRPr="00FA3C80">
        <w:rPr>
          <w:lang w:val="es-ES"/>
        </w:rPr>
        <w:t xml:space="preserve"> (2020).</w:t>
      </w:r>
    </w:p>
    <w:p w14:paraId="1F0A7019" w14:textId="74A7E6B3" w:rsidR="00806D14" w:rsidRPr="004A09D1" w:rsidRDefault="00CA6F1F" w:rsidP="00C12B29">
      <w:pPr>
        <w:pStyle w:val="enumlev1"/>
        <w:rPr>
          <w:lang w:val="es-ES"/>
        </w:rPr>
      </w:pPr>
      <w:r w:rsidRPr="004A09D1">
        <w:rPr>
          <w:lang w:val="es-ES"/>
        </w:rPr>
        <w:t>•</w:t>
      </w:r>
      <w:r w:rsidRPr="004A09D1">
        <w:rPr>
          <w:lang w:val="es-ES"/>
        </w:rPr>
        <w:tab/>
        <w:t xml:space="preserve">La UIT participa en la </w:t>
      </w:r>
      <w:r w:rsidR="00481FAF" w:rsidRPr="004A09D1">
        <w:rPr>
          <w:lang w:val="es-ES"/>
        </w:rPr>
        <w:t xml:space="preserve">Coalición para la </w:t>
      </w:r>
      <w:r w:rsidR="00115DF9">
        <w:rPr>
          <w:lang w:val="es-ES"/>
        </w:rPr>
        <w:t>s</w:t>
      </w:r>
      <w:r w:rsidR="00481FAF" w:rsidRPr="004A09D1">
        <w:rPr>
          <w:lang w:val="es-ES"/>
        </w:rPr>
        <w:t xml:space="preserve">ostenibilidad </w:t>
      </w:r>
      <w:r w:rsidR="00115DF9">
        <w:rPr>
          <w:lang w:val="es-ES"/>
        </w:rPr>
        <w:t>m</w:t>
      </w:r>
      <w:r w:rsidR="00481FAF" w:rsidRPr="004A09D1">
        <w:rPr>
          <w:lang w:val="es-ES"/>
        </w:rPr>
        <w:t xml:space="preserve">edioambiental </w:t>
      </w:r>
      <w:r w:rsidR="00115DF9">
        <w:rPr>
          <w:lang w:val="es-ES"/>
        </w:rPr>
        <w:t>d</w:t>
      </w:r>
      <w:r w:rsidR="00481FAF" w:rsidRPr="004A09D1">
        <w:rPr>
          <w:lang w:val="es-ES"/>
        </w:rPr>
        <w:t>igital</w:t>
      </w:r>
      <w:r w:rsidR="00806D14" w:rsidRPr="004A09D1">
        <w:rPr>
          <w:lang w:val="es-ES" w:eastAsia="en-GB"/>
        </w:rPr>
        <w:t>.</w:t>
      </w:r>
    </w:p>
    <w:p w14:paraId="1155C8B7" w14:textId="07045585" w:rsidR="00823AB3" w:rsidRPr="00B237E2" w:rsidRDefault="004A09D1" w:rsidP="00E124B0">
      <w:pPr>
        <w:pStyle w:val="Headingb"/>
        <w:rPr>
          <w:lang w:val="es-ES"/>
        </w:rPr>
      </w:pPr>
      <w:r w:rsidRPr="00F55751">
        <w:rPr>
          <w:lang w:val="es-ES"/>
        </w:rPr>
        <w:t>Promoción de</w:t>
      </w:r>
      <w:r w:rsidR="00481FAF" w:rsidRPr="00F55751">
        <w:rPr>
          <w:lang w:val="es-ES"/>
        </w:rPr>
        <w:t xml:space="preserve"> </w:t>
      </w:r>
      <w:r w:rsidR="00823AB3" w:rsidRPr="00F55751">
        <w:rPr>
          <w:lang w:val="es-ES"/>
        </w:rPr>
        <w:t>ciudades y comunidades inteligentes y sostenibles</w:t>
      </w:r>
    </w:p>
    <w:p w14:paraId="2301CA0E" w14:textId="63D9F4FC" w:rsidR="00823AB3" w:rsidRPr="00B237E2" w:rsidRDefault="00823AB3" w:rsidP="00E124B0">
      <w:pPr>
        <w:rPr>
          <w:lang w:val="es-ES"/>
        </w:rPr>
      </w:pPr>
      <w:r w:rsidRPr="00B237E2">
        <w:rPr>
          <w:lang w:val="es-ES"/>
        </w:rPr>
        <w:t xml:space="preserve">La UIT </w:t>
      </w:r>
      <w:r w:rsidR="00F613BC" w:rsidRPr="00B237E2">
        <w:rPr>
          <w:lang w:val="es-ES"/>
        </w:rPr>
        <w:t>mejora</w:t>
      </w:r>
      <w:r w:rsidRPr="00B237E2">
        <w:rPr>
          <w:lang w:val="es-ES"/>
        </w:rPr>
        <w:t xml:space="preserve"> la fiabilidad, seguridad </w:t>
      </w:r>
      <w:r w:rsidR="00B25D99" w:rsidRPr="00B237E2">
        <w:rPr>
          <w:lang w:val="es-ES"/>
        </w:rPr>
        <w:t>e</w:t>
      </w:r>
      <w:r w:rsidRPr="00B237E2">
        <w:rPr>
          <w:lang w:val="es-ES"/>
        </w:rPr>
        <w:t xml:space="preserve"> interoperabilidad de la infraestructura de</w:t>
      </w:r>
      <w:r w:rsidR="00F613BC" w:rsidRPr="00B237E2">
        <w:rPr>
          <w:lang w:val="es-ES"/>
        </w:rPr>
        <w:t xml:space="preserve"> las</w:t>
      </w:r>
      <w:r w:rsidRPr="00B237E2">
        <w:rPr>
          <w:lang w:val="es-ES"/>
        </w:rPr>
        <w:t xml:space="preserve"> TIC </w:t>
      </w:r>
      <w:r w:rsidR="00F613BC" w:rsidRPr="00B237E2">
        <w:rPr>
          <w:lang w:val="es-ES"/>
        </w:rPr>
        <w:t>a fin de</w:t>
      </w:r>
      <w:r w:rsidRPr="00B237E2">
        <w:rPr>
          <w:lang w:val="es-ES"/>
        </w:rPr>
        <w:t xml:space="preserve"> </w:t>
      </w:r>
      <w:r w:rsidR="00F613BC" w:rsidRPr="00B237E2">
        <w:rPr>
          <w:lang w:val="es-ES"/>
        </w:rPr>
        <w:t>fomentar</w:t>
      </w:r>
      <w:r w:rsidRPr="00B237E2">
        <w:rPr>
          <w:lang w:val="es-ES"/>
        </w:rPr>
        <w:t xml:space="preserve"> ciudades y comunidades inteligentes y sostenibles, </w:t>
      </w:r>
      <w:r w:rsidR="00402D7A" w:rsidRPr="00B237E2">
        <w:rPr>
          <w:lang w:val="es-ES"/>
        </w:rPr>
        <w:t xml:space="preserve">y </w:t>
      </w:r>
      <w:r w:rsidRPr="00B237E2">
        <w:rPr>
          <w:lang w:val="es-ES"/>
        </w:rPr>
        <w:t xml:space="preserve">aboga por utilizar </w:t>
      </w:r>
      <w:r w:rsidR="00F613BC" w:rsidRPr="00B237E2">
        <w:rPr>
          <w:lang w:val="es-ES"/>
        </w:rPr>
        <w:t>las TIC</w:t>
      </w:r>
      <w:r w:rsidRPr="00B237E2">
        <w:rPr>
          <w:lang w:val="es-ES"/>
        </w:rPr>
        <w:t xml:space="preserve"> </w:t>
      </w:r>
      <w:r w:rsidR="00F613BC" w:rsidRPr="00B237E2">
        <w:rPr>
          <w:lang w:val="es-ES"/>
        </w:rPr>
        <w:t>para</w:t>
      </w:r>
      <w:r w:rsidRPr="00B237E2">
        <w:rPr>
          <w:lang w:val="es-ES"/>
        </w:rPr>
        <w:t xml:space="preserve"> reducir el consumo energético y </w:t>
      </w:r>
      <w:r w:rsidR="00B25D99" w:rsidRPr="00B237E2">
        <w:rPr>
          <w:lang w:val="es-ES"/>
        </w:rPr>
        <w:t>mejorar</w:t>
      </w:r>
      <w:r w:rsidRPr="00B237E2">
        <w:rPr>
          <w:lang w:val="es-ES"/>
        </w:rPr>
        <w:t xml:space="preserve"> los servicios y la calidad de vida de los habitantes de las ciudades.</w:t>
      </w:r>
    </w:p>
    <w:p w14:paraId="58D6290A" w14:textId="6F7EC30B" w:rsidR="009C6BB3" w:rsidRPr="00B237E2" w:rsidRDefault="009C6BB3" w:rsidP="00EB7F22">
      <w:pPr>
        <w:pStyle w:val="enumlev1"/>
        <w:rPr>
          <w:lang w:val="es-ES"/>
        </w:rPr>
      </w:pPr>
      <w:r w:rsidRPr="00B237E2">
        <w:rPr>
          <w:lang w:val="es-ES"/>
        </w:rPr>
        <w:t>•</w:t>
      </w:r>
      <w:r w:rsidRPr="00B237E2">
        <w:rPr>
          <w:lang w:val="es-ES"/>
        </w:rPr>
        <w:tab/>
      </w:r>
      <w:r w:rsidR="00402D7A" w:rsidRPr="00B237E2">
        <w:rPr>
          <w:lang w:val="es-ES"/>
        </w:rPr>
        <w:t>La UIT, entre otros organismos de las Naciones Unidas, elabora un conjunto de herramientas sobre transformación digital para ciudades y comunidades inteligentes centradas en las personas</w:t>
      </w:r>
      <w:r w:rsidRPr="00B237E2">
        <w:rPr>
          <w:lang w:val="es-ES"/>
        </w:rPr>
        <w:t>.</w:t>
      </w:r>
    </w:p>
    <w:p w14:paraId="73668F0A" w14:textId="21D13501" w:rsidR="00A362FB" w:rsidRPr="00B237E2" w:rsidRDefault="009C6BB3" w:rsidP="00A362FB">
      <w:pPr>
        <w:pStyle w:val="enumlev1"/>
        <w:rPr>
          <w:lang w:val="es-ES"/>
        </w:rPr>
      </w:pPr>
      <w:r w:rsidRPr="00B237E2">
        <w:rPr>
          <w:lang w:val="es-ES"/>
        </w:rPr>
        <w:t>•</w:t>
      </w:r>
      <w:r w:rsidRPr="00B237E2">
        <w:rPr>
          <w:lang w:val="es-ES"/>
        </w:rPr>
        <w:tab/>
      </w:r>
      <w:r w:rsidR="00823AB3" w:rsidRPr="00B237E2">
        <w:rPr>
          <w:lang w:val="es-ES"/>
        </w:rPr>
        <w:t>La</w:t>
      </w:r>
      <w:r w:rsidR="00402D7A" w:rsidRPr="00B237E2">
        <w:rPr>
          <w:lang w:val="es-ES"/>
        </w:rPr>
        <w:t>s CE</w:t>
      </w:r>
      <w:r w:rsidR="00F55751">
        <w:rPr>
          <w:lang w:val="es-ES"/>
        </w:rPr>
        <w:t> </w:t>
      </w:r>
      <w:r w:rsidR="00402D7A" w:rsidRPr="00B237E2">
        <w:rPr>
          <w:lang w:val="es-ES"/>
        </w:rPr>
        <w:t xml:space="preserve">5 y </w:t>
      </w:r>
      <w:r w:rsidR="00823AB3" w:rsidRPr="00B237E2">
        <w:rPr>
          <w:lang w:val="es-ES"/>
        </w:rPr>
        <w:t xml:space="preserve">20 del UIT-T </w:t>
      </w:r>
      <w:r w:rsidR="00A362FB" w:rsidRPr="00B237E2">
        <w:rPr>
          <w:lang w:val="es-ES"/>
        </w:rPr>
        <w:t>han</w:t>
      </w:r>
      <w:r w:rsidR="00823AB3" w:rsidRPr="00B237E2">
        <w:rPr>
          <w:lang w:val="es-ES"/>
        </w:rPr>
        <w:t xml:space="preserve"> </w:t>
      </w:r>
      <w:r w:rsidR="00A362FB" w:rsidRPr="00B237E2">
        <w:rPr>
          <w:lang w:val="es-ES"/>
        </w:rPr>
        <w:t>elaborado normas centradas en</w:t>
      </w:r>
      <w:r w:rsidR="00C20DAE" w:rsidRPr="00B237E2">
        <w:rPr>
          <w:lang w:val="es-ES"/>
        </w:rPr>
        <w:t xml:space="preserve"> las</w:t>
      </w:r>
      <w:r w:rsidR="00A362FB" w:rsidRPr="00B237E2">
        <w:rPr>
          <w:lang w:val="es-ES"/>
        </w:rPr>
        <w:t xml:space="preserve"> tecnologías </w:t>
      </w:r>
      <w:r w:rsidR="00462F31" w:rsidRPr="00B237E2">
        <w:rPr>
          <w:lang w:val="es-ES"/>
        </w:rPr>
        <w:t xml:space="preserve">y aplicaciones </w:t>
      </w:r>
      <w:r w:rsidR="00A362FB" w:rsidRPr="00B237E2">
        <w:rPr>
          <w:lang w:val="es-ES"/>
        </w:rPr>
        <w:t>de</w:t>
      </w:r>
      <w:r w:rsidR="00F55751">
        <w:rPr>
          <w:lang w:val="es-ES"/>
        </w:rPr>
        <w:t> </w:t>
      </w:r>
      <w:r w:rsidR="00462F31" w:rsidRPr="00B237E2">
        <w:rPr>
          <w:lang w:val="es-ES"/>
        </w:rPr>
        <w:t xml:space="preserve">IoT </w:t>
      </w:r>
      <w:r w:rsidR="00C20DAE" w:rsidRPr="00B237E2">
        <w:rPr>
          <w:lang w:val="es-ES"/>
        </w:rPr>
        <w:t>para</w:t>
      </w:r>
      <w:r w:rsidR="00A362FB" w:rsidRPr="00B237E2">
        <w:rPr>
          <w:lang w:val="es-ES"/>
        </w:rPr>
        <w:t xml:space="preserve"> las ciudades y comunidades inteligentes.</w:t>
      </w:r>
    </w:p>
    <w:p w14:paraId="408A6858" w14:textId="3E6D239E" w:rsidR="00A362FB" w:rsidRPr="00B237E2" w:rsidRDefault="00A362FB" w:rsidP="00A362FB">
      <w:pPr>
        <w:pStyle w:val="enumlev1"/>
        <w:rPr>
          <w:lang w:val="es-ES"/>
        </w:rPr>
      </w:pPr>
      <w:r w:rsidRPr="00B237E2">
        <w:rPr>
          <w:lang w:val="es-ES"/>
        </w:rPr>
        <w:t>•</w:t>
      </w:r>
      <w:r w:rsidRPr="00B237E2">
        <w:rPr>
          <w:lang w:val="es-ES"/>
        </w:rPr>
        <w:tab/>
        <w:t xml:space="preserve">La UIT </w:t>
      </w:r>
      <w:r w:rsidR="00C20DAE" w:rsidRPr="00B237E2">
        <w:rPr>
          <w:lang w:val="es-ES"/>
        </w:rPr>
        <w:t>organiza</w:t>
      </w:r>
      <w:r w:rsidRPr="00B237E2">
        <w:rPr>
          <w:lang w:val="es-ES"/>
        </w:rPr>
        <w:t xml:space="preserve"> </w:t>
      </w:r>
      <w:r w:rsidR="00C20DAE" w:rsidRPr="00B237E2">
        <w:rPr>
          <w:lang w:val="es-ES"/>
        </w:rPr>
        <w:t xml:space="preserve">seminarios web con otras organizaciones </w:t>
      </w:r>
      <w:r w:rsidRPr="00B237E2">
        <w:rPr>
          <w:lang w:val="es-ES"/>
        </w:rPr>
        <w:t xml:space="preserve">sobre la </w:t>
      </w:r>
      <w:hyperlink r:id="rId85" w:history="1">
        <w:r w:rsidRPr="00F55751">
          <w:rPr>
            <w:rStyle w:val="Hyperlink"/>
            <w:lang w:val="es-ES"/>
          </w:rPr>
          <w:t>transformación digital de las ciudades y las comunidades</w:t>
        </w:r>
      </w:hyperlink>
      <w:r w:rsidR="00C20DAE" w:rsidRPr="00B237E2">
        <w:rPr>
          <w:lang w:val="es-ES"/>
        </w:rPr>
        <w:t>,</w:t>
      </w:r>
      <w:r w:rsidRPr="00B237E2">
        <w:rPr>
          <w:lang w:val="es-ES"/>
        </w:rPr>
        <w:t xml:space="preserve"> en los que se destacan los resultados de la</w:t>
      </w:r>
      <w:r w:rsidR="00C20DAE" w:rsidRPr="00B237E2">
        <w:rPr>
          <w:lang w:val="es-ES"/>
        </w:rPr>
        <w:t xml:space="preserve"> labor de la</w:t>
      </w:r>
      <w:r w:rsidRPr="00B237E2">
        <w:rPr>
          <w:lang w:val="es-ES"/>
        </w:rPr>
        <w:t xml:space="preserve"> CE</w:t>
      </w:r>
      <w:r w:rsidR="00FA3C80">
        <w:rPr>
          <w:lang w:val="es-ES"/>
        </w:rPr>
        <w:t> </w:t>
      </w:r>
      <w:r w:rsidRPr="00B237E2">
        <w:rPr>
          <w:lang w:val="es-ES"/>
        </w:rPr>
        <w:t>20 del UIT-T y la transformación digital de ciudades y comunidades.</w:t>
      </w:r>
    </w:p>
    <w:p w14:paraId="18D1DF99" w14:textId="7BFC4581" w:rsidR="00A362FB" w:rsidRPr="00B237E2" w:rsidRDefault="00A362FB" w:rsidP="00A362FB">
      <w:pPr>
        <w:pStyle w:val="enumlev1"/>
        <w:rPr>
          <w:lang w:val="es-ES"/>
        </w:rPr>
      </w:pPr>
      <w:r w:rsidRPr="00B237E2">
        <w:rPr>
          <w:lang w:val="es-ES"/>
        </w:rPr>
        <w:t>•</w:t>
      </w:r>
      <w:r w:rsidRPr="00B237E2">
        <w:rPr>
          <w:lang w:val="es-ES"/>
        </w:rPr>
        <w:tab/>
        <w:t xml:space="preserve">La iniciativa </w:t>
      </w:r>
      <w:r w:rsidR="00FA3C80">
        <w:rPr>
          <w:lang w:val="es-ES"/>
        </w:rPr>
        <w:t>"</w:t>
      </w:r>
      <w:r w:rsidR="002C2006" w:rsidRPr="00B237E2">
        <w:rPr>
          <w:lang w:val="es-ES"/>
        </w:rPr>
        <w:t>Unidos por las ciudades inteligentes y sostenibles (U4SSC)</w:t>
      </w:r>
      <w:r w:rsidR="00FA3C80">
        <w:rPr>
          <w:lang w:val="es-ES"/>
        </w:rPr>
        <w:t>"</w:t>
      </w:r>
      <w:r w:rsidRPr="00B237E2">
        <w:rPr>
          <w:lang w:val="es-ES"/>
        </w:rPr>
        <w:t xml:space="preserve"> aboga por la tecnología digital </w:t>
      </w:r>
      <w:r w:rsidR="002C2006" w:rsidRPr="00B237E2">
        <w:rPr>
          <w:lang w:val="es-ES"/>
        </w:rPr>
        <w:t>para propiciar</w:t>
      </w:r>
      <w:r w:rsidRPr="00B237E2">
        <w:rPr>
          <w:lang w:val="es-ES"/>
        </w:rPr>
        <w:t xml:space="preserve"> la transición </w:t>
      </w:r>
      <w:r w:rsidR="002C2006" w:rsidRPr="00B237E2">
        <w:rPr>
          <w:lang w:val="es-ES"/>
        </w:rPr>
        <w:t>a</w:t>
      </w:r>
      <w:r w:rsidRPr="00B237E2">
        <w:rPr>
          <w:lang w:val="es-ES"/>
        </w:rPr>
        <w:t xml:space="preserve"> ciudades y comunidades inteligentes y sostenibles, </w:t>
      </w:r>
      <w:r w:rsidR="002C2006" w:rsidRPr="00B237E2">
        <w:rPr>
          <w:lang w:val="es-ES"/>
        </w:rPr>
        <w:t>y propone</w:t>
      </w:r>
      <w:r w:rsidRPr="00B237E2">
        <w:rPr>
          <w:lang w:val="es-ES"/>
        </w:rPr>
        <w:t xml:space="preserve"> </w:t>
      </w:r>
      <w:r w:rsidR="002C2006" w:rsidRPr="00B237E2">
        <w:rPr>
          <w:lang w:val="es-ES"/>
        </w:rPr>
        <w:t>indicadores fundamentales de rendimiento a escala internacional (KPI)</w:t>
      </w:r>
      <w:r w:rsidRPr="00B237E2">
        <w:rPr>
          <w:lang w:val="es-ES"/>
        </w:rPr>
        <w:t xml:space="preserve">. Más de 150 ciudades han </w:t>
      </w:r>
      <w:r w:rsidR="002C2006" w:rsidRPr="00B237E2">
        <w:rPr>
          <w:lang w:val="es-ES"/>
        </w:rPr>
        <w:t>aplicado</w:t>
      </w:r>
      <w:r w:rsidRPr="00B237E2">
        <w:rPr>
          <w:lang w:val="es-ES"/>
        </w:rPr>
        <w:t xml:space="preserve"> </w:t>
      </w:r>
      <w:r w:rsidR="002C2006" w:rsidRPr="00B237E2">
        <w:rPr>
          <w:lang w:val="es-ES"/>
        </w:rPr>
        <w:t>dichos</w:t>
      </w:r>
      <w:r w:rsidRPr="00B237E2">
        <w:rPr>
          <w:lang w:val="es-ES"/>
        </w:rPr>
        <w:t xml:space="preserve"> KPI.</w:t>
      </w:r>
    </w:p>
    <w:p w14:paraId="467BAC13" w14:textId="216F0736" w:rsidR="00A362FB" w:rsidRPr="00B237E2" w:rsidRDefault="00A362FB" w:rsidP="00A362FB">
      <w:pPr>
        <w:pStyle w:val="enumlev1"/>
        <w:rPr>
          <w:lang w:val="es-ES"/>
        </w:rPr>
      </w:pPr>
      <w:r w:rsidRPr="00B237E2">
        <w:rPr>
          <w:lang w:val="es-ES"/>
        </w:rPr>
        <w:lastRenderedPageBreak/>
        <w:t>•</w:t>
      </w:r>
      <w:r w:rsidRPr="00B237E2">
        <w:rPr>
          <w:lang w:val="es-ES"/>
        </w:rPr>
        <w:tab/>
      </w:r>
      <w:r w:rsidR="00E45FB4" w:rsidRPr="00B237E2">
        <w:rPr>
          <w:lang w:val="es-ES"/>
        </w:rPr>
        <w:t>En colaboración con otras organizaciones, la</w:t>
      </w:r>
      <w:r w:rsidRPr="00B237E2">
        <w:rPr>
          <w:lang w:val="es-ES"/>
        </w:rPr>
        <w:t xml:space="preserve"> UIT organizó la </w:t>
      </w:r>
      <w:hyperlink r:id="rId86" w:history="1">
        <w:r w:rsidR="00F55751" w:rsidRPr="00F55751">
          <w:rPr>
            <w:rStyle w:val="Hyperlink"/>
            <w:lang w:val="es-ES"/>
          </w:rPr>
          <w:t>n</w:t>
        </w:r>
        <w:r w:rsidRPr="00F55751">
          <w:rPr>
            <w:rStyle w:val="Hyperlink"/>
            <w:lang w:val="es-ES"/>
          </w:rPr>
          <w:t xml:space="preserve">ovena </w:t>
        </w:r>
        <w:r w:rsidR="00E45FB4" w:rsidRPr="00F55751">
          <w:rPr>
            <w:rStyle w:val="Hyperlink"/>
            <w:lang w:val="es-ES"/>
          </w:rPr>
          <w:t>S</w:t>
        </w:r>
        <w:r w:rsidRPr="00F55751">
          <w:rPr>
            <w:rStyle w:val="Hyperlink"/>
            <w:lang w:val="es-ES"/>
          </w:rPr>
          <w:t xml:space="preserve">emana de </w:t>
        </w:r>
        <w:r w:rsidR="00E45FB4" w:rsidRPr="00F55751">
          <w:rPr>
            <w:rStyle w:val="Hyperlink"/>
            <w:lang w:val="es-ES"/>
          </w:rPr>
          <w:t>las Normas Verdes</w:t>
        </w:r>
      </w:hyperlink>
      <w:r w:rsidRPr="00B237E2">
        <w:rPr>
          <w:lang w:val="es-ES"/>
        </w:rPr>
        <w:t xml:space="preserve"> y la </w:t>
      </w:r>
      <w:hyperlink r:id="rId87" w:history="1">
        <w:r w:rsidR="00F55751" w:rsidRPr="00F55751">
          <w:rPr>
            <w:rStyle w:val="Hyperlink"/>
            <w:lang w:val="es-ES"/>
          </w:rPr>
          <w:t>p</w:t>
        </w:r>
        <w:r w:rsidRPr="00F55751">
          <w:rPr>
            <w:rStyle w:val="Hyperlink"/>
            <w:lang w:val="es-ES"/>
          </w:rPr>
          <w:t xml:space="preserve">rimera </w:t>
        </w:r>
        <w:r w:rsidR="00E45FB4" w:rsidRPr="00F55751">
          <w:rPr>
            <w:rStyle w:val="Hyperlink"/>
            <w:lang w:val="es-ES"/>
          </w:rPr>
          <w:t>S</w:t>
        </w:r>
        <w:r w:rsidRPr="00F55751">
          <w:rPr>
            <w:rStyle w:val="Hyperlink"/>
            <w:lang w:val="es-ES"/>
          </w:rPr>
          <w:t xml:space="preserve">emana </w:t>
        </w:r>
        <w:r w:rsidR="00E45FB4" w:rsidRPr="00F55751">
          <w:rPr>
            <w:rStyle w:val="Hyperlink"/>
            <w:lang w:val="es-ES"/>
          </w:rPr>
          <w:t>D</w:t>
        </w:r>
        <w:r w:rsidRPr="00F55751">
          <w:rPr>
            <w:rStyle w:val="Hyperlink"/>
            <w:lang w:val="es-ES"/>
          </w:rPr>
          <w:t xml:space="preserve">igital </w:t>
        </w:r>
        <w:r w:rsidR="00E45FB4" w:rsidRPr="00F55751">
          <w:rPr>
            <w:rStyle w:val="Hyperlink"/>
            <w:lang w:val="es-ES"/>
          </w:rPr>
          <w:t>sobre África</w:t>
        </w:r>
      </w:hyperlink>
      <w:r w:rsidR="00E45FB4" w:rsidRPr="00B237E2">
        <w:rPr>
          <w:lang w:val="es-ES"/>
        </w:rPr>
        <w:t>,</w:t>
      </w:r>
      <w:r w:rsidRPr="00B237E2">
        <w:rPr>
          <w:lang w:val="es-ES"/>
        </w:rPr>
        <w:t xml:space="preserve"> que tuvo lugar en 2019.</w:t>
      </w:r>
    </w:p>
    <w:p w14:paraId="11853749" w14:textId="00C3A25B" w:rsidR="00A362FB" w:rsidRPr="00B237E2" w:rsidRDefault="00A362FB" w:rsidP="00A362FB">
      <w:pPr>
        <w:pStyle w:val="enumlev1"/>
        <w:rPr>
          <w:lang w:val="es-ES"/>
        </w:rPr>
      </w:pPr>
      <w:r w:rsidRPr="00B237E2">
        <w:rPr>
          <w:lang w:val="es-ES"/>
        </w:rPr>
        <w:t>•</w:t>
      </w:r>
      <w:r w:rsidRPr="00B237E2">
        <w:rPr>
          <w:lang w:val="es-ES"/>
        </w:rPr>
        <w:tab/>
        <w:t xml:space="preserve">Una iniciativa </w:t>
      </w:r>
      <w:r w:rsidR="00E45FB4" w:rsidRPr="00B237E2">
        <w:rPr>
          <w:lang w:val="es-ES"/>
        </w:rPr>
        <w:t>de los Estados Árabes</w:t>
      </w:r>
      <w:r w:rsidRPr="00B237E2">
        <w:rPr>
          <w:lang w:val="es-ES"/>
        </w:rPr>
        <w:t xml:space="preserve"> sobre </w:t>
      </w:r>
      <w:r w:rsidR="00E45FB4" w:rsidRPr="00B237E2">
        <w:rPr>
          <w:lang w:val="es-ES"/>
        </w:rPr>
        <w:t xml:space="preserve">IoT </w:t>
      </w:r>
      <w:r w:rsidRPr="00B237E2">
        <w:rPr>
          <w:lang w:val="es-ES"/>
        </w:rPr>
        <w:t xml:space="preserve">y las ciudades inteligentes </w:t>
      </w:r>
      <w:r w:rsidR="000D02D6" w:rsidRPr="00B237E2">
        <w:rPr>
          <w:lang w:val="es-ES"/>
        </w:rPr>
        <w:t>contribuyó a aumentar la concienciación</w:t>
      </w:r>
      <w:r w:rsidRPr="00B237E2">
        <w:rPr>
          <w:lang w:val="es-ES"/>
        </w:rPr>
        <w:t xml:space="preserve"> sobre el despliegue de la </w:t>
      </w:r>
      <w:r w:rsidR="000D02D6" w:rsidRPr="00B237E2">
        <w:rPr>
          <w:lang w:val="es-ES"/>
        </w:rPr>
        <w:t>IoT</w:t>
      </w:r>
      <w:r w:rsidRPr="00B237E2">
        <w:rPr>
          <w:lang w:val="es-ES"/>
        </w:rPr>
        <w:t xml:space="preserve"> en ciudades inteligentes de la región de </w:t>
      </w:r>
      <w:r w:rsidR="000D02D6" w:rsidRPr="00B237E2">
        <w:rPr>
          <w:lang w:val="es-ES"/>
        </w:rPr>
        <w:t>dichos</w:t>
      </w:r>
      <w:r w:rsidRPr="00B237E2">
        <w:rPr>
          <w:lang w:val="es-ES"/>
        </w:rPr>
        <w:t xml:space="preserve"> Estados.</w:t>
      </w:r>
    </w:p>
    <w:p w14:paraId="3A5AFD41" w14:textId="59A0062D" w:rsidR="009C6BB3" w:rsidRPr="00B237E2" w:rsidRDefault="00FA3C80" w:rsidP="00FA3C80">
      <w:pPr>
        <w:pStyle w:val="enumlev1"/>
        <w:rPr>
          <w:lang w:val="es-ES"/>
        </w:rPr>
      </w:pPr>
      <w:r w:rsidRPr="00FA3C80">
        <w:rPr>
          <w:lang w:val="es-ES"/>
        </w:rPr>
        <w:t>•</w:t>
      </w:r>
      <w:r w:rsidRPr="00FA3C80">
        <w:rPr>
          <w:lang w:val="es-ES"/>
        </w:rPr>
        <w:tab/>
      </w:r>
      <w:r w:rsidR="00A362FB" w:rsidRPr="00B237E2">
        <w:rPr>
          <w:lang w:val="es-ES"/>
        </w:rPr>
        <w:t xml:space="preserve">El </w:t>
      </w:r>
      <w:r w:rsidR="000D02D6" w:rsidRPr="00FA3C80">
        <w:t>Grupo</w:t>
      </w:r>
      <w:r w:rsidR="000D02D6" w:rsidRPr="00B237E2">
        <w:rPr>
          <w:lang w:val="es-ES"/>
        </w:rPr>
        <w:t xml:space="preserve"> Especial Conjunto sobre Ciudades Inteligentes CEI-ISO-UIT </w:t>
      </w:r>
      <w:r w:rsidR="00A362FB" w:rsidRPr="00B237E2">
        <w:rPr>
          <w:lang w:val="es-ES"/>
        </w:rPr>
        <w:t xml:space="preserve">(J-SCTF) </w:t>
      </w:r>
      <w:r w:rsidR="000D02D6" w:rsidRPr="00B237E2">
        <w:rPr>
          <w:lang w:val="es-ES"/>
        </w:rPr>
        <w:t>elaboró</w:t>
      </w:r>
      <w:r w:rsidR="00A362FB" w:rsidRPr="00B237E2">
        <w:rPr>
          <w:lang w:val="es-ES"/>
        </w:rPr>
        <w:t xml:space="preserve"> una visión holística sobre ciudades y comuni</w:t>
      </w:r>
      <w:r w:rsidR="000D02D6" w:rsidRPr="00B237E2">
        <w:rPr>
          <w:lang w:val="es-ES"/>
        </w:rPr>
        <w:t>dades inteligentes</w:t>
      </w:r>
      <w:r w:rsidR="009C6BB3" w:rsidRPr="00B237E2">
        <w:rPr>
          <w:b/>
          <w:lang w:val="es-ES"/>
        </w:rPr>
        <w:t>.</w:t>
      </w:r>
    </w:p>
    <w:p w14:paraId="2B59022D" w14:textId="63734DFE" w:rsidR="00823AB3" w:rsidRPr="00B237E2" w:rsidRDefault="005E5CA2" w:rsidP="00E124B0">
      <w:pPr>
        <w:pStyle w:val="Headingb"/>
        <w:rPr>
          <w:lang w:val="es-ES"/>
        </w:rPr>
      </w:pPr>
      <w:r w:rsidRPr="00AD3C69">
        <w:rPr>
          <w:lang w:val="es-ES"/>
        </w:rPr>
        <w:t>Creación de economías circulares sobre residuos electrónicos a escala internacional</w:t>
      </w:r>
    </w:p>
    <w:p w14:paraId="10B55111" w14:textId="34E8AE89" w:rsidR="00823AB3" w:rsidRPr="00B237E2" w:rsidRDefault="005E5CA2" w:rsidP="00E124B0">
      <w:pPr>
        <w:rPr>
          <w:lang w:val="es-ES"/>
        </w:rPr>
      </w:pPr>
      <w:r w:rsidRPr="00B237E2">
        <w:rPr>
          <w:lang w:val="es-ES"/>
        </w:rPr>
        <w:t xml:space="preserve">La UIT </w:t>
      </w:r>
      <w:r w:rsidR="00395599" w:rsidRPr="00B237E2">
        <w:rPr>
          <w:lang w:val="es-ES"/>
        </w:rPr>
        <w:t>fomenta</w:t>
      </w:r>
      <w:r w:rsidRPr="00B237E2">
        <w:rPr>
          <w:lang w:val="es-ES"/>
        </w:rPr>
        <w:t xml:space="preserve"> la economía circular </w:t>
      </w:r>
      <w:r w:rsidR="00395599" w:rsidRPr="00B237E2">
        <w:rPr>
          <w:lang w:val="es-ES"/>
        </w:rPr>
        <w:t>en los sectores de</w:t>
      </w:r>
      <w:r w:rsidRPr="00B237E2">
        <w:rPr>
          <w:lang w:val="es-ES"/>
        </w:rPr>
        <w:t xml:space="preserve"> la electrónica y</w:t>
      </w:r>
      <w:r w:rsidR="00395599" w:rsidRPr="00B237E2">
        <w:rPr>
          <w:lang w:val="es-ES"/>
        </w:rPr>
        <w:t xml:space="preserve"> el tratamiento de</w:t>
      </w:r>
      <w:r w:rsidRPr="00B237E2">
        <w:rPr>
          <w:lang w:val="es-ES"/>
        </w:rPr>
        <w:t xml:space="preserve"> residuos electrónicos</w:t>
      </w:r>
      <w:r w:rsidR="00395599" w:rsidRPr="00B237E2">
        <w:rPr>
          <w:lang w:val="es-ES"/>
        </w:rPr>
        <w:t>, en particular, mediante la</w:t>
      </w:r>
      <w:r w:rsidRPr="00B237E2">
        <w:rPr>
          <w:lang w:val="es-ES"/>
        </w:rPr>
        <w:t xml:space="preserve"> recopilación de datos, </w:t>
      </w:r>
      <w:r w:rsidR="00395599" w:rsidRPr="00B237E2">
        <w:rPr>
          <w:lang w:val="es-ES"/>
        </w:rPr>
        <w:t xml:space="preserve">la </w:t>
      </w:r>
      <w:r w:rsidRPr="00B237E2">
        <w:rPr>
          <w:lang w:val="es-ES"/>
        </w:rPr>
        <w:t xml:space="preserve">mejora de las políticas, </w:t>
      </w:r>
      <w:r w:rsidR="00395599" w:rsidRPr="00B237E2">
        <w:rPr>
          <w:lang w:val="es-ES"/>
        </w:rPr>
        <w:t xml:space="preserve">la </w:t>
      </w:r>
      <w:r w:rsidRPr="00B237E2">
        <w:rPr>
          <w:lang w:val="es-ES"/>
        </w:rPr>
        <w:t>elaboración de reglamentos</w:t>
      </w:r>
      <w:r w:rsidR="00395599" w:rsidRPr="00B237E2">
        <w:rPr>
          <w:lang w:val="es-ES"/>
        </w:rPr>
        <w:t xml:space="preserve"> y de</w:t>
      </w:r>
      <w:r w:rsidRPr="00B237E2">
        <w:rPr>
          <w:lang w:val="es-ES"/>
        </w:rPr>
        <w:t xml:space="preserve"> normas</w:t>
      </w:r>
      <w:r w:rsidR="00395599" w:rsidRPr="00B237E2">
        <w:rPr>
          <w:lang w:val="es-ES"/>
        </w:rPr>
        <w:t>, y la</w:t>
      </w:r>
      <w:r w:rsidRPr="00B237E2">
        <w:rPr>
          <w:lang w:val="es-ES"/>
        </w:rPr>
        <w:t xml:space="preserve"> creación de asociaciones. </w:t>
      </w:r>
      <w:r w:rsidR="00E276AA" w:rsidRPr="00B237E2">
        <w:rPr>
          <w:lang w:val="es-ES"/>
        </w:rPr>
        <w:t>D</w:t>
      </w:r>
      <w:r w:rsidRPr="00B237E2">
        <w:rPr>
          <w:lang w:val="es-ES"/>
        </w:rPr>
        <w:t xml:space="preserve">esempeña un papel fundamental en la Coalición de las Naciones Unidas sobre los Residuos Electrónicos, es </w:t>
      </w:r>
      <w:r w:rsidR="00E276AA" w:rsidRPr="00B237E2">
        <w:rPr>
          <w:lang w:val="es-ES"/>
        </w:rPr>
        <w:t>asociada</w:t>
      </w:r>
      <w:r w:rsidRPr="00B237E2">
        <w:rPr>
          <w:lang w:val="es-ES"/>
        </w:rPr>
        <w:t xml:space="preserve"> fundador</w:t>
      </w:r>
      <w:r w:rsidR="00E276AA" w:rsidRPr="00B237E2">
        <w:rPr>
          <w:lang w:val="es-ES"/>
        </w:rPr>
        <w:t>a</w:t>
      </w:r>
      <w:r w:rsidRPr="00B237E2">
        <w:rPr>
          <w:lang w:val="es-ES"/>
        </w:rPr>
        <w:t xml:space="preserve"> de la </w:t>
      </w:r>
      <w:hyperlink r:id="rId88" w:history="1">
        <w:r w:rsidR="00E276AA" w:rsidRPr="00AA56E8">
          <w:rPr>
            <w:rStyle w:val="Hyperlink"/>
            <w:lang w:val="es-ES"/>
          </w:rPr>
          <w:t>Alianza Mundial para el Control Estadístico de los Residuos Electrónicos</w:t>
        </w:r>
      </w:hyperlink>
      <w:r w:rsidR="00E276AA" w:rsidRPr="00B237E2">
        <w:rPr>
          <w:lang w:val="es-ES"/>
        </w:rPr>
        <w:t xml:space="preserve"> (AMCERE)</w:t>
      </w:r>
      <w:r w:rsidRPr="00B237E2">
        <w:rPr>
          <w:lang w:val="es-ES"/>
        </w:rPr>
        <w:t xml:space="preserve"> y colabora con la </w:t>
      </w:r>
      <w:hyperlink r:id="rId89" w:history="1">
        <w:r w:rsidRPr="00AA56E8">
          <w:rPr>
            <w:rStyle w:val="Hyperlink"/>
            <w:lang w:val="es-ES"/>
          </w:rPr>
          <w:t>Asociación de Electrónica Circular</w:t>
        </w:r>
      </w:hyperlink>
      <w:r w:rsidRPr="00B237E2">
        <w:rPr>
          <w:lang w:val="es-ES"/>
        </w:rPr>
        <w:t>.</w:t>
      </w:r>
    </w:p>
    <w:p w14:paraId="5F56B61C" w14:textId="0F7E575B" w:rsidR="00395599" w:rsidRPr="00B237E2" w:rsidRDefault="009C6BB3" w:rsidP="00395599">
      <w:pPr>
        <w:pStyle w:val="enumlev1"/>
        <w:rPr>
          <w:lang w:val="es-ES"/>
        </w:rPr>
      </w:pPr>
      <w:bookmarkStart w:id="78" w:name="_Hlk73454618"/>
      <w:r w:rsidRPr="00B237E2">
        <w:rPr>
          <w:lang w:val="es-ES"/>
        </w:rPr>
        <w:t>•</w:t>
      </w:r>
      <w:r w:rsidRPr="00B237E2">
        <w:rPr>
          <w:lang w:val="es-ES"/>
        </w:rPr>
        <w:tab/>
      </w:r>
      <w:bookmarkEnd w:id="78"/>
      <w:r w:rsidR="00395599" w:rsidRPr="00B237E2">
        <w:rPr>
          <w:lang w:val="es-ES"/>
        </w:rPr>
        <w:t xml:space="preserve">La UIT ha </w:t>
      </w:r>
      <w:r w:rsidR="005F73C1" w:rsidRPr="00B237E2">
        <w:rPr>
          <w:lang w:val="es-ES"/>
        </w:rPr>
        <w:t>facilitado el cumplimiento de</w:t>
      </w:r>
      <w:r w:rsidR="00395599" w:rsidRPr="00B237E2">
        <w:rPr>
          <w:lang w:val="es-ES"/>
        </w:rPr>
        <w:t xml:space="preserve"> los objetivos en materia de residuos electrónicos establecidos </w:t>
      </w:r>
      <w:r w:rsidR="005F73C1" w:rsidRPr="00B237E2">
        <w:rPr>
          <w:lang w:val="es-ES"/>
        </w:rPr>
        <w:t>en el marco de</w:t>
      </w:r>
      <w:r w:rsidR="00395599" w:rsidRPr="00B237E2">
        <w:rPr>
          <w:lang w:val="es-ES"/>
        </w:rPr>
        <w:t xml:space="preserve"> la </w:t>
      </w:r>
      <w:hyperlink r:id="rId90" w:history="1">
        <w:r w:rsidR="00395599" w:rsidRPr="00AA56E8">
          <w:rPr>
            <w:rStyle w:val="Hyperlink"/>
            <w:lang w:val="es-ES"/>
          </w:rPr>
          <w:t>Agenda Conectar 2030</w:t>
        </w:r>
      </w:hyperlink>
      <w:r w:rsidR="00395599" w:rsidRPr="00B237E2">
        <w:rPr>
          <w:lang w:val="es-ES"/>
        </w:rPr>
        <w:t>.</w:t>
      </w:r>
    </w:p>
    <w:p w14:paraId="1C954A9B" w14:textId="7CE9E53E" w:rsidR="00395599" w:rsidRPr="00B237E2" w:rsidRDefault="00395599" w:rsidP="00395599">
      <w:pPr>
        <w:pStyle w:val="enumlev1"/>
        <w:rPr>
          <w:lang w:val="es-ES"/>
        </w:rPr>
      </w:pPr>
      <w:r w:rsidRPr="00B237E2">
        <w:rPr>
          <w:lang w:val="es-ES"/>
        </w:rPr>
        <w:t>•</w:t>
      </w:r>
      <w:r w:rsidRPr="00B237E2">
        <w:rPr>
          <w:lang w:val="es-ES"/>
        </w:rPr>
        <w:tab/>
        <w:t>La UIT colaboró en un proyecto en América Latina financiado por el Fondo para el Medio Ambiente Mundial (FMAM)</w:t>
      </w:r>
      <w:r w:rsidR="005F73C1" w:rsidRPr="00B237E2">
        <w:rPr>
          <w:lang w:val="es-ES"/>
        </w:rPr>
        <w:t xml:space="preserve">, y trabajó </w:t>
      </w:r>
      <w:r w:rsidR="004A09D1">
        <w:rPr>
          <w:lang w:val="es-ES"/>
        </w:rPr>
        <w:t xml:space="preserve">de consuno </w:t>
      </w:r>
      <w:r w:rsidR="005F73C1" w:rsidRPr="00B237E2">
        <w:rPr>
          <w:lang w:val="es-ES"/>
        </w:rPr>
        <w:t>con</w:t>
      </w:r>
      <w:r w:rsidRPr="00B237E2">
        <w:rPr>
          <w:lang w:val="es-ES"/>
        </w:rPr>
        <w:t xml:space="preserve"> Costa Rica y Argentina para aplicar las normas de la UIT sobre objetivos </w:t>
      </w:r>
      <w:r w:rsidR="00EA6930" w:rsidRPr="00B237E2">
        <w:rPr>
          <w:lang w:val="es-ES"/>
        </w:rPr>
        <w:t>en materia de</w:t>
      </w:r>
      <w:r w:rsidRPr="00B237E2">
        <w:rPr>
          <w:lang w:val="es-ES"/>
        </w:rPr>
        <w:t xml:space="preserve"> residuos electrónicos y sistemas de certificación para </w:t>
      </w:r>
      <w:r w:rsidR="00EA6930" w:rsidRPr="00B237E2">
        <w:rPr>
          <w:lang w:val="es-ES"/>
        </w:rPr>
        <w:t>proveedores de servicios de reciclaje</w:t>
      </w:r>
      <w:r w:rsidRPr="00B237E2">
        <w:rPr>
          <w:lang w:val="es-ES"/>
        </w:rPr>
        <w:t xml:space="preserve"> de residuos electrónicos.</w:t>
      </w:r>
    </w:p>
    <w:p w14:paraId="265BEE82" w14:textId="61178586" w:rsidR="00395599" w:rsidRPr="00B237E2" w:rsidRDefault="00395599" w:rsidP="00395599">
      <w:pPr>
        <w:pStyle w:val="enumlev1"/>
        <w:rPr>
          <w:lang w:val="es-ES"/>
        </w:rPr>
      </w:pPr>
      <w:r w:rsidRPr="00B237E2">
        <w:rPr>
          <w:lang w:val="es-ES"/>
        </w:rPr>
        <w:t>•</w:t>
      </w:r>
      <w:r w:rsidRPr="00B237E2">
        <w:rPr>
          <w:lang w:val="es-ES"/>
        </w:rPr>
        <w:tab/>
        <w:t xml:space="preserve">Se celebró un </w:t>
      </w:r>
      <w:hyperlink r:id="rId91" w:history="1">
        <w:r w:rsidRPr="00AD3C69">
          <w:rPr>
            <w:rStyle w:val="Hyperlink"/>
            <w:lang w:val="es-ES"/>
          </w:rPr>
          <w:t>evento regional con la UNU y el PNUMA</w:t>
        </w:r>
      </w:hyperlink>
      <w:r w:rsidRPr="00B237E2">
        <w:rPr>
          <w:lang w:val="es-ES"/>
        </w:rPr>
        <w:t xml:space="preserve"> en 2020 sobre residuos electrónicos y la armonización regional de las políticas, la reglamentación y las normas en materia de residuos electrónicos</w:t>
      </w:r>
      <w:r w:rsidR="00EA6930" w:rsidRPr="00B237E2">
        <w:rPr>
          <w:lang w:val="es-ES"/>
        </w:rPr>
        <w:t xml:space="preserve"> a escala nacional</w:t>
      </w:r>
      <w:r w:rsidRPr="00B237E2">
        <w:rPr>
          <w:lang w:val="es-ES"/>
        </w:rPr>
        <w:t xml:space="preserve">. </w:t>
      </w:r>
      <w:r w:rsidR="00F37244" w:rsidRPr="00B237E2">
        <w:rPr>
          <w:lang w:val="es-ES"/>
        </w:rPr>
        <w:t xml:space="preserve">En el marco de la iniciativa </w:t>
      </w:r>
      <w:r w:rsidR="00AD3C69">
        <w:rPr>
          <w:lang w:val="es-ES"/>
        </w:rPr>
        <w:t>"</w:t>
      </w:r>
      <w:hyperlink r:id="rId92" w:history="1">
        <w:r w:rsidR="00F37244" w:rsidRPr="00AD3C69">
          <w:rPr>
            <w:rStyle w:val="Hyperlink"/>
            <w:lang w:val="es-ES"/>
          </w:rPr>
          <w:t xml:space="preserve">Vigilancia regional de los residuos electrónicos </w:t>
        </w:r>
        <w:r w:rsidRPr="00AD3C69">
          <w:rPr>
            <w:rStyle w:val="Hyperlink"/>
            <w:lang w:val="es-ES"/>
          </w:rPr>
          <w:t>para los Estados Árabes</w:t>
        </w:r>
      </w:hyperlink>
      <w:r w:rsidR="00AD3C69">
        <w:rPr>
          <w:lang w:val="es-ES"/>
        </w:rPr>
        <w:t>"</w:t>
      </w:r>
      <w:r w:rsidR="00F37244" w:rsidRPr="00B237E2">
        <w:rPr>
          <w:lang w:val="es-ES"/>
        </w:rPr>
        <w:t xml:space="preserve"> se proporcionó información y se facilitó el desarrollo de competencias </w:t>
      </w:r>
      <w:r w:rsidRPr="00B237E2">
        <w:rPr>
          <w:lang w:val="es-ES"/>
        </w:rPr>
        <w:t>sobre recogida de residuos electrónicos,</w:t>
      </w:r>
      <w:r w:rsidR="007E0D29" w:rsidRPr="00B237E2">
        <w:rPr>
          <w:lang w:val="es-ES"/>
        </w:rPr>
        <w:t xml:space="preserve"> incluido el</w:t>
      </w:r>
      <w:r w:rsidRPr="00B237E2">
        <w:rPr>
          <w:lang w:val="es-ES"/>
        </w:rPr>
        <w:t xml:space="preserve"> </w:t>
      </w:r>
      <w:r w:rsidR="007E0D29" w:rsidRPr="00B237E2">
        <w:rPr>
          <w:lang w:val="es-ES"/>
        </w:rPr>
        <w:t xml:space="preserve">desarrollo de </w:t>
      </w:r>
      <w:r w:rsidRPr="00B237E2">
        <w:rPr>
          <w:lang w:val="es-ES"/>
        </w:rPr>
        <w:t xml:space="preserve">métodos e instrumentos estadísticos </w:t>
      </w:r>
      <w:r w:rsidR="007E0D29" w:rsidRPr="00B237E2">
        <w:rPr>
          <w:lang w:val="es-ES"/>
        </w:rPr>
        <w:t xml:space="preserve">conexos, </w:t>
      </w:r>
      <w:r w:rsidRPr="00B237E2">
        <w:rPr>
          <w:lang w:val="es-ES"/>
        </w:rPr>
        <w:t>para 22 Estados Árabes.</w:t>
      </w:r>
    </w:p>
    <w:p w14:paraId="2FD9AEAB" w14:textId="4FF035DF" w:rsidR="00395599" w:rsidRPr="00B237E2" w:rsidRDefault="00395599" w:rsidP="00395599">
      <w:pPr>
        <w:pStyle w:val="enumlev1"/>
        <w:rPr>
          <w:lang w:val="es-ES"/>
        </w:rPr>
      </w:pPr>
      <w:r w:rsidRPr="006547DF">
        <w:rPr>
          <w:lang w:val="es-ES"/>
        </w:rPr>
        <w:t>•</w:t>
      </w:r>
      <w:r w:rsidRPr="00B237E2">
        <w:rPr>
          <w:lang w:val="es-ES"/>
        </w:rPr>
        <w:tab/>
        <w:t xml:space="preserve">La UIT también </w:t>
      </w:r>
      <w:r w:rsidR="007E0D29" w:rsidRPr="00B237E2">
        <w:rPr>
          <w:lang w:val="es-ES"/>
        </w:rPr>
        <w:t>respaldó</w:t>
      </w:r>
      <w:r w:rsidRPr="00B237E2">
        <w:rPr>
          <w:lang w:val="es-ES"/>
        </w:rPr>
        <w:t xml:space="preserve"> la preparación de </w:t>
      </w:r>
      <w:r w:rsidR="007E0D29" w:rsidRPr="00B237E2">
        <w:rPr>
          <w:lang w:val="es-ES"/>
        </w:rPr>
        <w:t xml:space="preserve">las iniciativas </w:t>
      </w:r>
      <w:r w:rsidR="006547DF">
        <w:rPr>
          <w:lang w:val="es-ES"/>
        </w:rPr>
        <w:t>"</w:t>
      </w:r>
      <w:r w:rsidR="007E0D29" w:rsidRPr="00B237E2">
        <w:rPr>
          <w:lang w:val="es-ES"/>
        </w:rPr>
        <w:t xml:space="preserve">Vigilancia regional de los residuos electrónicos para </w:t>
      </w:r>
      <w:r w:rsidRPr="00B237E2">
        <w:rPr>
          <w:lang w:val="es-ES"/>
        </w:rPr>
        <w:t>América Latina</w:t>
      </w:r>
      <w:r w:rsidR="006547DF">
        <w:rPr>
          <w:lang w:val="es-ES"/>
        </w:rPr>
        <w:t>"</w:t>
      </w:r>
      <w:r w:rsidRPr="00B237E2">
        <w:rPr>
          <w:lang w:val="es-ES"/>
        </w:rPr>
        <w:t xml:space="preserve"> y </w:t>
      </w:r>
      <w:r w:rsidR="006547DF">
        <w:rPr>
          <w:lang w:val="es-ES"/>
        </w:rPr>
        <w:t>"</w:t>
      </w:r>
      <w:r w:rsidR="007E0D29" w:rsidRPr="00B237E2">
        <w:rPr>
          <w:lang w:val="es-ES"/>
        </w:rPr>
        <w:t xml:space="preserve">Vigilancia regional de los residuos electrónicos para </w:t>
      </w:r>
      <w:r w:rsidRPr="00B237E2">
        <w:rPr>
          <w:lang w:val="es-ES"/>
        </w:rPr>
        <w:t>la Comunidad de Estados Independientes</w:t>
      </w:r>
      <w:r w:rsidR="008F205F" w:rsidRPr="00B237E2">
        <w:rPr>
          <w:lang w:val="es-ES"/>
        </w:rPr>
        <w:t>, además de</w:t>
      </w:r>
      <w:r w:rsidRPr="00B237E2">
        <w:rPr>
          <w:lang w:val="es-ES"/>
        </w:rPr>
        <w:t xml:space="preserve"> Georgia, Turkmenistán y Ucrania</w:t>
      </w:r>
      <w:r w:rsidR="006547DF">
        <w:rPr>
          <w:lang w:val="es-ES"/>
        </w:rPr>
        <w:t>"</w:t>
      </w:r>
      <w:r w:rsidRPr="00B237E2">
        <w:rPr>
          <w:lang w:val="es-ES"/>
        </w:rPr>
        <w:t xml:space="preserve">. </w:t>
      </w:r>
      <w:r w:rsidR="004A09D1">
        <w:rPr>
          <w:lang w:val="es-ES"/>
        </w:rPr>
        <w:t>U</w:t>
      </w:r>
      <w:r w:rsidR="004A09D1" w:rsidRPr="00B237E2">
        <w:rPr>
          <w:lang w:val="es-ES"/>
        </w:rPr>
        <w:t xml:space="preserve">na iniciativa análoga para los Balcanes occidentales </w:t>
      </w:r>
      <w:r w:rsidR="004A09D1">
        <w:rPr>
          <w:lang w:val="es-ES"/>
        </w:rPr>
        <w:t>está en fase de preparación</w:t>
      </w:r>
      <w:r w:rsidRPr="00B237E2">
        <w:rPr>
          <w:lang w:val="es-ES"/>
        </w:rPr>
        <w:t>.</w:t>
      </w:r>
    </w:p>
    <w:p w14:paraId="4D0EADDD" w14:textId="55EAC171" w:rsidR="00395599" w:rsidRPr="00B237E2" w:rsidRDefault="00395599" w:rsidP="00395599">
      <w:pPr>
        <w:pStyle w:val="enumlev1"/>
        <w:rPr>
          <w:lang w:val="es-ES"/>
        </w:rPr>
      </w:pPr>
      <w:r w:rsidRPr="006547DF">
        <w:rPr>
          <w:lang w:val="es-ES"/>
        </w:rPr>
        <w:t>•</w:t>
      </w:r>
      <w:r w:rsidRPr="00B237E2">
        <w:rPr>
          <w:lang w:val="es-ES"/>
        </w:rPr>
        <w:tab/>
      </w:r>
      <w:r w:rsidR="00507527" w:rsidRPr="00B237E2">
        <w:rPr>
          <w:lang w:val="es-ES"/>
        </w:rPr>
        <w:t xml:space="preserve">En 2019 se puso en marcha el </w:t>
      </w:r>
      <w:hyperlink r:id="rId93" w:history="1">
        <w:r w:rsidR="00507527" w:rsidRPr="006547DF">
          <w:rPr>
            <w:rStyle w:val="Hyperlink"/>
            <w:lang w:val="es-ES"/>
          </w:rPr>
          <w:t>curso en línea masivo y abierto (MOOC) sobre gestión de residuos electrónicos</w:t>
        </w:r>
      </w:hyperlink>
      <w:r w:rsidR="00507527" w:rsidRPr="00B237E2">
        <w:rPr>
          <w:lang w:val="es-ES"/>
        </w:rPr>
        <w:t>, en colaboración con la Secretaría del Convenio de Basilea y la OMS</w:t>
      </w:r>
      <w:r w:rsidRPr="00B237E2">
        <w:rPr>
          <w:lang w:val="es-ES"/>
        </w:rPr>
        <w:t>. En</w:t>
      </w:r>
      <w:r w:rsidR="006547DF">
        <w:rPr>
          <w:lang w:val="es-ES"/>
        </w:rPr>
        <w:t> </w:t>
      </w:r>
      <w:r w:rsidRPr="00B237E2">
        <w:rPr>
          <w:lang w:val="es-ES"/>
        </w:rPr>
        <w:t>2020 se celebraron dos seminarios web.</w:t>
      </w:r>
    </w:p>
    <w:p w14:paraId="39D886FF" w14:textId="128CAC73" w:rsidR="009C6BB3" w:rsidRPr="00B237E2" w:rsidRDefault="00395599" w:rsidP="00EB7F22">
      <w:pPr>
        <w:pStyle w:val="enumlev1"/>
        <w:rPr>
          <w:lang w:val="es-ES"/>
        </w:rPr>
      </w:pPr>
      <w:r w:rsidRPr="00B237E2">
        <w:rPr>
          <w:lang w:val="es-ES"/>
        </w:rPr>
        <w:t>•</w:t>
      </w:r>
      <w:r w:rsidRPr="00B237E2">
        <w:rPr>
          <w:lang w:val="es-ES"/>
        </w:rPr>
        <w:tab/>
        <w:t xml:space="preserve">La UIT lidera un subgrupo sobre la cadena de suministro y la circularidad de la Red de </w:t>
      </w:r>
      <w:r w:rsidR="00300727" w:rsidRPr="00B237E2">
        <w:rPr>
          <w:lang w:val="es-ES"/>
        </w:rPr>
        <w:t>p</w:t>
      </w:r>
      <w:r w:rsidRPr="00B237E2">
        <w:rPr>
          <w:lang w:val="es-ES"/>
        </w:rPr>
        <w:t xml:space="preserve">olíticas sobre el </w:t>
      </w:r>
      <w:r w:rsidR="00300727" w:rsidRPr="00B237E2">
        <w:rPr>
          <w:lang w:val="es-ES"/>
        </w:rPr>
        <w:t>m</w:t>
      </w:r>
      <w:r w:rsidRPr="00B237E2">
        <w:rPr>
          <w:lang w:val="es-ES"/>
        </w:rPr>
        <w:t xml:space="preserve">edio </w:t>
      </w:r>
      <w:r w:rsidR="00300727" w:rsidRPr="00B237E2">
        <w:rPr>
          <w:lang w:val="es-ES"/>
        </w:rPr>
        <w:t>a</w:t>
      </w:r>
      <w:r w:rsidRPr="00B237E2">
        <w:rPr>
          <w:lang w:val="es-ES"/>
        </w:rPr>
        <w:t xml:space="preserve">mbiente (PNE) </w:t>
      </w:r>
      <w:r w:rsidR="00DC7727" w:rsidRPr="00B237E2">
        <w:rPr>
          <w:lang w:val="es-ES"/>
        </w:rPr>
        <w:t>en el marco del</w:t>
      </w:r>
      <w:r w:rsidRPr="00B237E2">
        <w:rPr>
          <w:lang w:val="es-ES"/>
        </w:rPr>
        <w:t xml:space="preserve"> FGI de </w:t>
      </w:r>
      <w:r w:rsidR="00DC7727" w:rsidRPr="00B237E2">
        <w:rPr>
          <w:lang w:val="es-ES"/>
        </w:rPr>
        <w:t>las Naciones Unidas</w:t>
      </w:r>
      <w:r w:rsidRPr="00B237E2">
        <w:rPr>
          <w:lang w:val="es-ES"/>
        </w:rPr>
        <w:t>.</w:t>
      </w:r>
    </w:p>
    <w:p w14:paraId="1E04A380" w14:textId="067E927B" w:rsidR="00823AB3" w:rsidRPr="00B237E2" w:rsidRDefault="00395599" w:rsidP="00EB7F22">
      <w:pPr>
        <w:pStyle w:val="enumlev1"/>
        <w:rPr>
          <w:lang w:val="es-ES"/>
        </w:rPr>
      </w:pPr>
      <w:r w:rsidRPr="00B237E2">
        <w:rPr>
          <w:lang w:val="es-ES"/>
        </w:rPr>
        <w:t>•</w:t>
      </w:r>
      <w:r w:rsidR="009C6BB3" w:rsidRPr="00B237E2">
        <w:rPr>
          <w:lang w:val="es-ES"/>
        </w:rPr>
        <w:tab/>
      </w:r>
      <w:r w:rsidR="00823AB3" w:rsidRPr="00B237E2">
        <w:rPr>
          <w:lang w:val="es-ES"/>
        </w:rPr>
        <w:t xml:space="preserve">El </w:t>
      </w:r>
      <w:hyperlink r:id="rId94" w:history="1">
        <w:r w:rsidR="00823AB3" w:rsidRPr="00B237E2">
          <w:rPr>
            <w:rStyle w:val="Hyperlink"/>
            <w:lang w:val="es-ES"/>
          </w:rPr>
          <w:t>taller de sensibilización política en materia de residuos electrónicos</w:t>
        </w:r>
      </w:hyperlink>
      <w:r w:rsidR="00823AB3" w:rsidRPr="00B237E2">
        <w:rPr>
          <w:lang w:val="es-ES"/>
        </w:rPr>
        <w:t xml:space="preserve">, que se celebró en Hyderabad (India) </w:t>
      </w:r>
      <w:r w:rsidR="00DC7727" w:rsidRPr="00B237E2">
        <w:rPr>
          <w:lang w:val="es-ES"/>
        </w:rPr>
        <w:t>en</w:t>
      </w:r>
      <w:r w:rsidR="00823AB3" w:rsidRPr="00B237E2">
        <w:rPr>
          <w:lang w:val="es-ES"/>
        </w:rPr>
        <w:t xml:space="preserve"> 2019, contribuyó a la creación de vínculos interministeriales e interdepartamentales para la colaboración en relación con los residuos electrónicos.</w:t>
      </w:r>
    </w:p>
    <w:p w14:paraId="7949DDDE" w14:textId="279B9530" w:rsidR="00491689" w:rsidRPr="00B237E2" w:rsidRDefault="00395599">
      <w:pPr>
        <w:pStyle w:val="enumlev1"/>
        <w:rPr>
          <w:lang w:val="es-ES"/>
        </w:rPr>
      </w:pPr>
      <w:r w:rsidRPr="00B237E2">
        <w:rPr>
          <w:lang w:val="es-ES"/>
        </w:rPr>
        <w:t>•</w:t>
      </w:r>
      <w:r w:rsidR="009C6BB3" w:rsidRPr="00B237E2">
        <w:rPr>
          <w:lang w:val="es-ES"/>
        </w:rPr>
        <w:tab/>
      </w:r>
      <w:r w:rsidR="00823AB3" w:rsidRPr="00B237E2">
        <w:rPr>
          <w:lang w:val="es-ES"/>
        </w:rPr>
        <w:t xml:space="preserve">En 2020, la UIT publicó </w:t>
      </w:r>
      <w:hyperlink r:id="rId95" w:history="1">
        <w:r w:rsidR="00823AB3" w:rsidRPr="00AF6115">
          <w:rPr>
            <w:rStyle w:val="Hyperlink"/>
            <w:i/>
            <w:iCs/>
            <w:lang w:val="fr-FR"/>
          </w:rPr>
          <w:t>The Global E-</w:t>
        </w:r>
        <w:proofErr w:type="spellStart"/>
        <w:r w:rsidR="00823AB3" w:rsidRPr="00AF6115">
          <w:rPr>
            <w:rStyle w:val="Hyperlink"/>
            <w:i/>
            <w:iCs/>
            <w:lang w:val="fr-FR"/>
          </w:rPr>
          <w:t>waste</w:t>
        </w:r>
        <w:proofErr w:type="spellEnd"/>
        <w:r w:rsidR="00823AB3" w:rsidRPr="00AF6115">
          <w:rPr>
            <w:rStyle w:val="Hyperlink"/>
            <w:i/>
            <w:iCs/>
            <w:lang w:val="fr-FR"/>
          </w:rPr>
          <w:t xml:space="preserve"> Monitor 2020</w:t>
        </w:r>
      </w:hyperlink>
      <w:r w:rsidR="00823AB3" w:rsidRPr="00B237E2">
        <w:rPr>
          <w:lang w:val="es-ES"/>
        </w:rPr>
        <w:t xml:space="preserve">, que </w:t>
      </w:r>
      <w:r w:rsidR="00491689" w:rsidRPr="00B237E2">
        <w:rPr>
          <w:lang w:val="es-ES"/>
        </w:rPr>
        <w:t>fue objeto de atención de</w:t>
      </w:r>
      <w:r w:rsidR="00823AB3" w:rsidRPr="00B237E2">
        <w:rPr>
          <w:lang w:val="es-ES"/>
        </w:rPr>
        <w:t xml:space="preserve"> </w:t>
      </w:r>
      <w:r w:rsidR="004A09D1">
        <w:rPr>
          <w:lang w:val="es-ES"/>
        </w:rPr>
        <w:t>destacados</w:t>
      </w:r>
      <w:r w:rsidR="00823AB3" w:rsidRPr="00B237E2">
        <w:rPr>
          <w:lang w:val="es-ES"/>
        </w:rPr>
        <w:t xml:space="preserve"> medios de comunicación.</w:t>
      </w:r>
    </w:p>
    <w:p w14:paraId="7C5A9778" w14:textId="16B72456" w:rsidR="00491689" w:rsidRPr="00B237E2" w:rsidRDefault="00FA3C80" w:rsidP="00FA3C80">
      <w:pPr>
        <w:pStyle w:val="enumlev1"/>
        <w:rPr>
          <w:lang w:val="es-ES"/>
        </w:rPr>
      </w:pPr>
      <w:r w:rsidRPr="00B237E2">
        <w:rPr>
          <w:lang w:val="es-ES"/>
        </w:rPr>
        <w:t>•</w:t>
      </w:r>
      <w:r w:rsidRPr="00B237E2">
        <w:rPr>
          <w:lang w:val="es-ES"/>
        </w:rPr>
        <w:tab/>
      </w:r>
      <w:r w:rsidR="00491689" w:rsidRPr="00B237E2">
        <w:rPr>
          <w:lang w:val="es-ES"/>
        </w:rPr>
        <w:t>S</w:t>
      </w:r>
      <w:r w:rsidR="00823AB3" w:rsidRPr="00B237E2">
        <w:rPr>
          <w:lang w:val="es-ES"/>
        </w:rPr>
        <w:t xml:space="preserve">e publicó un </w:t>
      </w:r>
      <w:r w:rsidR="00823AB3" w:rsidRPr="00FA3C80">
        <w:t>documento</w:t>
      </w:r>
      <w:r w:rsidR="00823AB3" w:rsidRPr="00B237E2">
        <w:rPr>
          <w:lang w:val="es-ES"/>
        </w:rPr>
        <w:t xml:space="preserve"> de reflexión sobre </w:t>
      </w:r>
      <w:hyperlink r:id="rId96" w:history="1">
        <w:r w:rsidR="00823AB3" w:rsidRPr="00B237E2">
          <w:rPr>
            <w:rStyle w:val="Hyperlink"/>
            <w:lang w:val="es-ES"/>
          </w:rPr>
          <w:t xml:space="preserve">residuos </w:t>
        </w:r>
        <w:r w:rsidR="004A09D1">
          <w:rPr>
            <w:rStyle w:val="Hyperlink"/>
            <w:lang w:val="es-ES"/>
          </w:rPr>
          <w:t>relativos a</w:t>
        </w:r>
        <w:r w:rsidR="00823AB3" w:rsidRPr="00B237E2">
          <w:rPr>
            <w:rStyle w:val="Hyperlink"/>
            <w:lang w:val="es-ES"/>
          </w:rPr>
          <w:t xml:space="preserve"> Internet</w:t>
        </w:r>
      </w:hyperlink>
      <w:r w:rsidR="00823AB3" w:rsidRPr="00B237E2">
        <w:rPr>
          <w:lang w:val="es-ES"/>
        </w:rPr>
        <w:t xml:space="preserve"> con motivo del </w:t>
      </w:r>
      <w:hyperlink r:id="rId97" w:history="1">
        <w:r w:rsidR="00823AB3" w:rsidRPr="00B237E2">
          <w:rPr>
            <w:rStyle w:val="Hyperlink"/>
            <w:lang w:val="es-ES"/>
          </w:rPr>
          <w:t>Día Internacional de los Residuos Electrónicos 2020</w:t>
        </w:r>
      </w:hyperlink>
      <w:r w:rsidR="00823AB3" w:rsidRPr="00B237E2">
        <w:rPr>
          <w:lang w:val="es-ES"/>
        </w:rPr>
        <w:t>.</w:t>
      </w:r>
    </w:p>
    <w:p w14:paraId="3301195A" w14:textId="31178D6D" w:rsidR="00823AB3" w:rsidRPr="00B237E2" w:rsidRDefault="00FA3C80" w:rsidP="00FA3C80">
      <w:pPr>
        <w:pStyle w:val="enumlev1"/>
        <w:rPr>
          <w:lang w:val="es-ES"/>
        </w:rPr>
      </w:pPr>
      <w:r w:rsidRPr="00B237E2">
        <w:rPr>
          <w:lang w:val="es-ES"/>
        </w:rPr>
        <w:lastRenderedPageBreak/>
        <w:t>•</w:t>
      </w:r>
      <w:r w:rsidRPr="00B237E2">
        <w:rPr>
          <w:lang w:val="es-ES"/>
        </w:rPr>
        <w:tab/>
      </w:r>
      <w:r w:rsidR="005B6692" w:rsidRPr="00B237E2">
        <w:rPr>
          <w:lang w:val="es-ES"/>
        </w:rPr>
        <w:t xml:space="preserve">En el </w:t>
      </w:r>
      <w:r w:rsidR="005B6692" w:rsidRPr="00FA3C80">
        <w:t>marco</w:t>
      </w:r>
      <w:r w:rsidR="005B6692" w:rsidRPr="00B237E2">
        <w:rPr>
          <w:lang w:val="es-ES"/>
        </w:rPr>
        <w:t xml:space="preserve"> de la </w:t>
      </w:r>
      <w:hyperlink r:id="rId98" w:history="1">
        <w:r w:rsidR="005B6692" w:rsidRPr="006547DF">
          <w:rPr>
            <w:rStyle w:val="Hyperlink"/>
            <w:lang w:val="es-ES"/>
          </w:rPr>
          <w:t>Alianza Mundial para el Control Estadístico de los Residuos Electrónicos</w:t>
        </w:r>
      </w:hyperlink>
      <w:r w:rsidR="005B6692" w:rsidRPr="00B237E2">
        <w:rPr>
          <w:lang w:val="es-ES"/>
        </w:rPr>
        <w:t xml:space="preserve"> (AMCERE),</w:t>
      </w:r>
      <w:r w:rsidR="00823AB3" w:rsidRPr="00B237E2">
        <w:rPr>
          <w:lang w:val="es-ES"/>
        </w:rPr>
        <w:t xml:space="preserve"> la UIT y sus </w:t>
      </w:r>
      <w:r w:rsidR="005B6692" w:rsidRPr="00B237E2">
        <w:rPr>
          <w:lang w:val="es-ES"/>
        </w:rPr>
        <w:t>asociados</w:t>
      </w:r>
      <w:r w:rsidR="00823AB3" w:rsidRPr="00B237E2">
        <w:rPr>
          <w:lang w:val="es-ES"/>
        </w:rPr>
        <w:t xml:space="preserve"> </w:t>
      </w:r>
      <w:r w:rsidR="005B6692" w:rsidRPr="00B237E2">
        <w:rPr>
          <w:lang w:val="es-ES"/>
        </w:rPr>
        <w:t>realizaron actividades</w:t>
      </w:r>
      <w:r w:rsidR="00823AB3" w:rsidRPr="00B237E2">
        <w:rPr>
          <w:lang w:val="es-ES"/>
        </w:rPr>
        <w:t xml:space="preserve"> de capacitación para mejorar las estadísticas sobre residuos electrónicos en la Región de la CEI, los Estados Árabes, África </w:t>
      </w:r>
      <w:r w:rsidR="009254C0">
        <w:rPr>
          <w:lang w:val="es-ES"/>
        </w:rPr>
        <w:t>o</w:t>
      </w:r>
      <w:r w:rsidR="00823AB3" w:rsidRPr="00B237E2">
        <w:rPr>
          <w:lang w:val="es-ES"/>
        </w:rPr>
        <w:t>riental</w:t>
      </w:r>
      <w:r w:rsidR="005B6692" w:rsidRPr="00B237E2">
        <w:rPr>
          <w:lang w:val="es-ES"/>
        </w:rPr>
        <w:t>, África meridional</w:t>
      </w:r>
      <w:r w:rsidR="00823AB3" w:rsidRPr="00B237E2">
        <w:rPr>
          <w:lang w:val="es-ES"/>
        </w:rPr>
        <w:t xml:space="preserve"> y América Latina. </w:t>
      </w:r>
      <w:r w:rsidR="004A09D1">
        <w:rPr>
          <w:lang w:val="es-ES"/>
        </w:rPr>
        <w:t>Varios</w:t>
      </w:r>
      <w:r w:rsidR="00823AB3" w:rsidRPr="00B237E2">
        <w:rPr>
          <w:lang w:val="es-ES"/>
        </w:rPr>
        <w:t xml:space="preserve"> sistemas nacionales de vigilancia de los residuos electrónicos en Malawi, Namibia y Botswana</w:t>
      </w:r>
      <w:r w:rsidR="004A09D1">
        <w:rPr>
          <w:lang w:val="es-ES"/>
        </w:rPr>
        <w:t xml:space="preserve"> están en fase de preparación</w:t>
      </w:r>
      <w:r w:rsidR="00823AB3" w:rsidRPr="00B237E2">
        <w:rPr>
          <w:lang w:val="es-ES"/>
        </w:rPr>
        <w:t>.</w:t>
      </w:r>
      <w:r w:rsidR="009C6BB3" w:rsidRPr="00EB7F22">
        <w:rPr>
          <w:rFonts w:eastAsia="Calibri" w:cs="Calibri"/>
          <w:sz w:val="22"/>
          <w:szCs w:val="22"/>
          <w:lang w:val="es-ES"/>
        </w:rPr>
        <w:t xml:space="preserve"> </w:t>
      </w:r>
      <w:r w:rsidR="00C4282B" w:rsidRPr="00B237E2">
        <w:rPr>
          <w:lang w:val="es-ES"/>
        </w:rPr>
        <w:t xml:space="preserve">En África oriental, la UIT colabora con la Organización para las Comunicaciones de África </w:t>
      </w:r>
      <w:r w:rsidR="009254C0">
        <w:rPr>
          <w:lang w:val="es-ES"/>
        </w:rPr>
        <w:t>o</w:t>
      </w:r>
      <w:r w:rsidR="00C4282B" w:rsidRPr="00B237E2">
        <w:rPr>
          <w:lang w:val="es-ES"/>
        </w:rPr>
        <w:t xml:space="preserve">riental con objeto de realizar </w:t>
      </w:r>
      <w:hyperlink r:id="rId99" w:history="1">
        <w:r w:rsidR="00C4282B" w:rsidRPr="009254C0">
          <w:rPr>
            <w:rStyle w:val="Hyperlink"/>
            <w:lang w:val="es-ES"/>
          </w:rPr>
          <w:t>encuestas armonizadas en hogares y empresas sobre los residuos electrónicos</w:t>
        </w:r>
      </w:hyperlink>
      <w:r w:rsidR="009C6BB3" w:rsidRPr="00B237E2">
        <w:rPr>
          <w:lang w:val="es-ES"/>
        </w:rPr>
        <w:t>.</w:t>
      </w:r>
    </w:p>
    <w:p w14:paraId="77B22F55" w14:textId="6F994D9C" w:rsidR="009C6BB3" w:rsidRPr="00B237E2" w:rsidRDefault="00395599" w:rsidP="00EB7F22">
      <w:pPr>
        <w:pStyle w:val="enumlev1"/>
        <w:rPr>
          <w:lang w:val="es-ES"/>
        </w:rPr>
      </w:pPr>
      <w:r w:rsidRPr="00B237E2">
        <w:rPr>
          <w:lang w:val="es-ES"/>
        </w:rPr>
        <w:t>•</w:t>
      </w:r>
      <w:r w:rsidR="009C6BB3" w:rsidRPr="00B237E2">
        <w:rPr>
          <w:lang w:val="es-ES"/>
        </w:rPr>
        <w:tab/>
      </w:r>
      <w:r w:rsidR="00823AB3" w:rsidRPr="00FA3C80">
        <w:t>En</w:t>
      </w:r>
      <w:r w:rsidR="00823AB3" w:rsidRPr="00B237E2">
        <w:rPr>
          <w:lang w:val="es-ES"/>
        </w:rPr>
        <w:t xml:space="preserve"> 202</w:t>
      </w:r>
      <w:r w:rsidR="00694B5B" w:rsidRPr="00B237E2">
        <w:rPr>
          <w:lang w:val="es-ES"/>
        </w:rPr>
        <w:t>1, la UIT y</w:t>
      </w:r>
      <w:r w:rsidR="00823AB3" w:rsidRPr="00B237E2">
        <w:rPr>
          <w:lang w:val="es-ES"/>
        </w:rPr>
        <w:t xml:space="preserve"> el Foro Económico Mundial</w:t>
      </w:r>
      <w:r w:rsidR="00694B5B" w:rsidRPr="00B237E2">
        <w:rPr>
          <w:lang w:val="es-ES"/>
        </w:rPr>
        <w:t xml:space="preserve"> publicaron un </w:t>
      </w:r>
      <w:r w:rsidR="00823AB3" w:rsidRPr="00B237E2">
        <w:rPr>
          <w:lang w:val="es-ES"/>
        </w:rPr>
        <w:t xml:space="preserve">conjunto de herramientas </w:t>
      </w:r>
      <w:r w:rsidR="00694B5B" w:rsidRPr="00B237E2">
        <w:rPr>
          <w:lang w:val="es-ES"/>
        </w:rPr>
        <w:t>sobre</w:t>
      </w:r>
      <w:r w:rsidR="00823AB3" w:rsidRPr="00B237E2">
        <w:rPr>
          <w:lang w:val="es-ES"/>
        </w:rPr>
        <w:t xml:space="preserve"> responsabilidad ampliada del productor para la gestión de los residuos electrónicos, </w:t>
      </w:r>
      <w:r w:rsidR="00694B5B" w:rsidRPr="00B237E2">
        <w:rPr>
          <w:lang w:val="es-ES"/>
        </w:rPr>
        <w:t>en particular en países de</w:t>
      </w:r>
      <w:r w:rsidR="00823AB3" w:rsidRPr="00B237E2">
        <w:rPr>
          <w:lang w:val="es-ES"/>
        </w:rPr>
        <w:t xml:space="preserve"> África.</w:t>
      </w:r>
    </w:p>
    <w:p w14:paraId="39D786DD" w14:textId="26218B50" w:rsidR="009C6BB3" w:rsidRPr="00B237E2" w:rsidRDefault="009C6BB3" w:rsidP="00EB7F22">
      <w:pPr>
        <w:pStyle w:val="enumlev1"/>
        <w:rPr>
          <w:lang w:val="es-ES"/>
        </w:rPr>
      </w:pPr>
      <w:r w:rsidRPr="00B237E2">
        <w:rPr>
          <w:lang w:val="es-ES"/>
        </w:rPr>
        <w:t>•</w:t>
      </w:r>
      <w:r w:rsidRPr="00B237E2">
        <w:rPr>
          <w:lang w:val="es-ES"/>
        </w:rPr>
        <w:tab/>
      </w:r>
      <w:r w:rsidR="00694B5B" w:rsidRPr="00B237E2">
        <w:rPr>
          <w:lang w:val="es-ES"/>
        </w:rPr>
        <w:t xml:space="preserve">En 2021, la UIT organizó </w:t>
      </w:r>
      <w:r w:rsidR="00074989" w:rsidRPr="00B237E2">
        <w:rPr>
          <w:lang w:val="es-ES"/>
        </w:rPr>
        <w:t>el</w:t>
      </w:r>
      <w:r w:rsidR="00694B5B" w:rsidRPr="00B237E2">
        <w:rPr>
          <w:lang w:val="es-ES"/>
        </w:rPr>
        <w:t xml:space="preserve"> seminario web sobre </w:t>
      </w:r>
      <w:hyperlink r:id="rId100" w:history="1">
        <w:r w:rsidR="00694B5B" w:rsidRPr="009254C0">
          <w:rPr>
            <w:rStyle w:val="Hyperlink"/>
            <w:lang w:val="es-ES"/>
          </w:rPr>
          <w:t>residuos electrónicos en Asia</w:t>
        </w:r>
        <w:r w:rsidR="00300727">
          <w:rPr>
            <w:rStyle w:val="Hyperlink"/>
            <w:lang w:val="es-ES"/>
          </w:rPr>
          <w:t>-</w:t>
        </w:r>
        <w:r w:rsidR="00694B5B" w:rsidRPr="009254C0">
          <w:rPr>
            <w:rStyle w:val="Hyperlink"/>
            <w:lang w:val="es-ES"/>
          </w:rPr>
          <w:t>Pacífico</w:t>
        </w:r>
        <w:r w:rsidR="009254C0" w:rsidRPr="009254C0">
          <w:rPr>
            <w:rStyle w:val="Hyperlink"/>
            <w:lang w:val="es-ES"/>
          </w:rPr>
          <w:t>:</w:t>
        </w:r>
        <w:r w:rsidR="00074989" w:rsidRPr="009254C0">
          <w:rPr>
            <w:rStyle w:val="Hyperlink"/>
            <w:lang w:val="es-ES"/>
          </w:rPr>
          <w:t xml:space="preserve"> </w:t>
        </w:r>
        <w:r w:rsidR="009254C0" w:rsidRPr="009254C0">
          <w:rPr>
            <w:rStyle w:val="Hyperlink"/>
            <w:lang w:val="es-ES"/>
          </w:rPr>
          <w:t>"</w:t>
        </w:r>
        <w:r w:rsidR="00074989" w:rsidRPr="009254C0">
          <w:rPr>
            <w:rStyle w:val="Hyperlink"/>
            <w:lang w:val="es-ES"/>
          </w:rPr>
          <w:t>Avance para fomentar la</w:t>
        </w:r>
        <w:r w:rsidR="00694B5B" w:rsidRPr="009254C0">
          <w:rPr>
            <w:rStyle w:val="Hyperlink"/>
            <w:lang w:val="es-ES"/>
          </w:rPr>
          <w:t xml:space="preserve"> economía circular</w:t>
        </w:r>
        <w:r w:rsidR="009254C0" w:rsidRPr="009254C0">
          <w:rPr>
            <w:rStyle w:val="Hyperlink"/>
            <w:lang w:val="es-ES"/>
          </w:rPr>
          <w:t>"</w:t>
        </w:r>
      </w:hyperlink>
      <w:r w:rsidRPr="00B237E2">
        <w:rPr>
          <w:lang w:val="es-ES"/>
        </w:rPr>
        <w:t>.</w:t>
      </w:r>
    </w:p>
    <w:p w14:paraId="4E372C23" w14:textId="0D078DC8" w:rsidR="00FD0ADC" w:rsidRPr="00B237E2" w:rsidRDefault="009C6BB3" w:rsidP="00FD0ADC">
      <w:pPr>
        <w:pStyle w:val="enumlev1"/>
        <w:rPr>
          <w:lang w:val="es-ES"/>
        </w:rPr>
      </w:pPr>
      <w:r w:rsidRPr="00B237E2">
        <w:rPr>
          <w:lang w:val="es-ES"/>
        </w:rPr>
        <w:t>•</w:t>
      </w:r>
      <w:r w:rsidRPr="00B237E2">
        <w:rPr>
          <w:lang w:val="es-ES"/>
        </w:rPr>
        <w:tab/>
      </w:r>
      <w:r w:rsidR="00FD0ADC" w:rsidRPr="00B237E2">
        <w:rPr>
          <w:lang w:val="es-ES"/>
        </w:rPr>
        <w:t xml:space="preserve">La UIT ha desarrollado el programa de aprendizaje electrónico </w:t>
      </w:r>
      <w:r w:rsidR="009254C0">
        <w:rPr>
          <w:lang w:val="es-ES"/>
        </w:rPr>
        <w:t>"</w:t>
      </w:r>
      <w:hyperlink r:id="rId101" w:history="1">
        <w:r w:rsidR="00FD0ADC" w:rsidRPr="009254C0">
          <w:rPr>
            <w:rStyle w:val="Hyperlink"/>
            <w:lang w:val="es-ES"/>
          </w:rPr>
          <w:t>Introducción a la política de residuos electrónicos</w:t>
        </w:r>
      </w:hyperlink>
      <w:r w:rsidR="009254C0">
        <w:rPr>
          <w:lang w:val="es-ES"/>
        </w:rPr>
        <w:t>"</w:t>
      </w:r>
      <w:r w:rsidR="00FD0ADC" w:rsidRPr="00B237E2">
        <w:rPr>
          <w:lang w:val="es-ES"/>
        </w:rPr>
        <w:t xml:space="preserve"> y proporciona asistencia técnica a Burundi, Namibia, Malawi y República Dominicana, incluida la preparación de políticas y normas nacionales sobre residuos electrónicos.</w:t>
      </w:r>
    </w:p>
    <w:p w14:paraId="35A50FC2" w14:textId="6633F418" w:rsidR="00FD0ADC" w:rsidRPr="00B237E2" w:rsidRDefault="00FD0ADC" w:rsidP="00FD0ADC">
      <w:pPr>
        <w:pStyle w:val="enumlev1"/>
        <w:rPr>
          <w:lang w:val="es-ES"/>
        </w:rPr>
      </w:pPr>
      <w:r w:rsidRPr="00B237E2">
        <w:rPr>
          <w:lang w:val="es-ES"/>
        </w:rPr>
        <w:t>•</w:t>
      </w:r>
      <w:r w:rsidRPr="00B237E2">
        <w:rPr>
          <w:lang w:val="es-ES"/>
        </w:rPr>
        <w:tab/>
        <w:t xml:space="preserve">La UIT y el Programa de las Naciones Unidas para el Medio Ambiente </w:t>
      </w:r>
      <w:r w:rsidR="00F36CB4" w:rsidRPr="00B237E2">
        <w:rPr>
          <w:lang w:val="es-ES"/>
        </w:rPr>
        <w:t>aplican</w:t>
      </w:r>
      <w:r w:rsidRPr="00B237E2">
        <w:rPr>
          <w:lang w:val="es-ES"/>
        </w:rPr>
        <w:t xml:space="preserve"> el concepto </w:t>
      </w:r>
      <w:r w:rsidR="00F36CB4" w:rsidRPr="00B237E2">
        <w:rPr>
          <w:lang w:val="es-ES"/>
        </w:rPr>
        <w:t xml:space="preserve">EPR </w:t>
      </w:r>
      <w:r w:rsidRPr="00B237E2">
        <w:rPr>
          <w:lang w:val="es-ES"/>
        </w:rPr>
        <w:t xml:space="preserve">en las políticas y </w:t>
      </w:r>
      <w:r w:rsidR="00F36CB4" w:rsidRPr="00B237E2">
        <w:rPr>
          <w:lang w:val="es-ES"/>
        </w:rPr>
        <w:t xml:space="preserve">los </w:t>
      </w:r>
      <w:r w:rsidRPr="00B237E2">
        <w:rPr>
          <w:lang w:val="es-ES"/>
        </w:rPr>
        <w:t xml:space="preserve">reglamentos </w:t>
      </w:r>
      <w:r w:rsidR="00F36CB4" w:rsidRPr="00B237E2">
        <w:rPr>
          <w:lang w:val="es-ES"/>
        </w:rPr>
        <w:t>sobre</w:t>
      </w:r>
      <w:r w:rsidRPr="00B237E2">
        <w:rPr>
          <w:lang w:val="es-ES"/>
        </w:rPr>
        <w:t xml:space="preserve"> gestión racional de los </w:t>
      </w:r>
      <w:r w:rsidR="00F36CB4" w:rsidRPr="00B237E2">
        <w:rPr>
          <w:lang w:val="es-ES"/>
        </w:rPr>
        <w:t>residuos</w:t>
      </w:r>
      <w:r w:rsidRPr="00B237E2">
        <w:rPr>
          <w:lang w:val="es-ES"/>
        </w:rPr>
        <w:t xml:space="preserve"> electrónicos y apoyan la política y la</w:t>
      </w:r>
      <w:r w:rsidR="00F36CB4" w:rsidRPr="00B237E2">
        <w:rPr>
          <w:lang w:val="es-ES"/>
        </w:rPr>
        <w:t xml:space="preserve">s medidas de concienciación </w:t>
      </w:r>
      <w:r w:rsidRPr="00B237E2">
        <w:rPr>
          <w:lang w:val="es-ES"/>
        </w:rPr>
        <w:t xml:space="preserve">sobre </w:t>
      </w:r>
      <w:r w:rsidR="00F36CB4" w:rsidRPr="00B237E2">
        <w:rPr>
          <w:lang w:val="es-ES"/>
        </w:rPr>
        <w:t>dichos</w:t>
      </w:r>
      <w:r w:rsidRPr="00B237E2">
        <w:rPr>
          <w:lang w:val="es-ES"/>
        </w:rPr>
        <w:t xml:space="preserve"> </w:t>
      </w:r>
      <w:r w:rsidR="00F36CB4" w:rsidRPr="00B237E2">
        <w:rPr>
          <w:lang w:val="es-ES"/>
        </w:rPr>
        <w:t>residuos</w:t>
      </w:r>
      <w:r w:rsidRPr="00B237E2">
        <w:rPr>
          <w:lang w:val="es-ES"/>
        </w:rPr>
        <w:t xml:space="preserve"> en </w:t>
      </w:r>
      <w:r w:rsidR="007E2623">
        <w:rPr>
          <w:lang w:val="es-ES"/>
        </w:rPr>
        <w:t>Botswana,</w:t>
      </w:r>
      <w:r w:rsidRPr="00B237E2">
        <w:rPr>
          <w:lang w:val="es-ES"/>
        </w:rPr>
        <w:t xml:space="preserve"> Namibia, R</w:t>
      </w:r>
      <w:r w:rsidR="007E2623">
        <w:rPr>
          <w:lang w:val="es-ES"/>
        </w:rPr>
        <w:t>w</w:t>
      </w:r>
      <w:r w:rsidRPr="00B237E2">
        <w:rPr>
          <w:lang w:val="es-ES"/>
        </w:rPr>
        <w:t>anda, Gambia, República Dominicana y Uzbekistán.</w:t>
      </w:r>
    </w:p>
    <w:p w14:paraId="185A658A" w14:textId="3578020B" w:rsidR="00FD0ADC" w:rsidRPr="00B237E2" w:rsidRDefault="00FD0ADC" w:rsidP="00FD0ADC">
      <w:pPr>
        <w:pStyle w:val="enumlev1"/>
        <w:rPr>
          <w:lang w:val="es-ES"/>
        </w:rPr>
      </w:pPr>
      <w:r w:rsidRPr="00B237E2">
        <w:rPr>
          <w:lang w:val="es-ES"/>
        </w:rPr>
        <w:t>•</w:t>
      </w:r>
      <w:r w:rsidRPr="00B237E2">
        <w:rPr>
          <w:lang w:val="es-ES"/>
        </w:rPr>
        <w:tab/>
        <w:t xml:space="preserve">En 2021, la UIT, </w:t>
      </w:r>
      <w:r w:rsidR="00B66222" w:rsidRPr="00B237E2">
        <w:rPr>
          <w:lang w:val="es-ES"/>
        </w:rPr>
        <w:t>en colaboración</w:t>
      </w:r>
      <w:r w:rsidRPr="00B237E2">
        <w:rPr>
          <w:lang w:val="es-ES"/>
        </w:rPr>
        <w:t xml:space="preserve"> con el </w:t>
      </w:r>
      <w:r w:rsidR="00B66222" w:rsidRPr="00B237E2">
        <w:rPr>
          <w:lang w:val="es-ES"/>
        </w:rPr>
        <w:t>Foro RAEE</w:t>
      </w:r>
      <w:r w:rsidRPr="00B237E2">
        <w:rPr>
          <w:lang w:val="es-ES"/>
        </w:rPr>
        <w:t>, GSMA y el Grupo Sofies, publicó un documento de reflexión (</w:t>
      </w:r>
      <w:r w:rsidR="00B66222" w:rsidRPr="00B237E2">
        <w:rPr>
          <w:lang w:val="es-ES"/>
        </w:rPr>
        <w:t>incluido</w:t>
      </w:r>
      <w:r w:rsidRPr="00B237E2">
        <w:rPr>
          <w:lang w:val="es-ES"/>
        </w:rPr>
        <w:t xml:space="preserve"> un seminario web) sobre </w:t>
      </w:r>
      <w:hyperlink r:id="rId102" w:history="1">
        <w:r w:rsidRPr="007E2623">
          <w:rPr>
            <w:rStyle w:val="Hyperlink"/>
            <w:lang w:val="es-ES"/>
          </w:rPr>
          <w:t xml:space="preserve">soluciones digitales para </w:t>
        </w:r>
        <w:r w:rsidR="00826ABB" w:rsidRPr="007E2623">
          <w:rPr>
            <w:rStyle w:val="Hyperlink"/>
            <w:lang w:val="es-ES"/>
          </w:rPr>
          <w:t xml:space="preserve">promover </w:t>
        </w:r>
        <w:r w:rsidRPr="007E2623">
          <w:rPr>
            <w:rStyle w:val="Hyperlink"/>
            <w:lang w:val="es-ES"/>
          </w:rPr>
          <w:t>una cadena de valor circular</w:t>
        </w:r>
        <w:r w:rsidR="00B66222" w:rsidRPr="007E2623">
          <w:rPr>
            <w:rStyle w:val="Hyperlink"/>
            <w:lang w:val="es-ES"/>
          </w:rPr>
          <w:t xml:space="preserve"> </w:t>
        </w:r>
        <w:r w:rsidR="00826ABB" w:rsidRPr="007E2623">
          <w:rPr>
            <w:rStyle w:val="Hyperlink"/>
            <w:lang w:val="es-ES"/>
          </w:rPr>
          <w:t>en relación con los</w:t>
        </w:r>
        <w:r w:rsidR="00B66222" w:rsidRPr="007E2623">
          <w:rPr>
            <w:rStyle w:val="Hyperlink"/>
            <w:lang w:val="es-ES"/>
          </w:rPr>
          <w:t xml:space="preserve"> productos electrónicos</w:t>
        </w:r>
      </w:hyperlink>
      <w:r w:rsidRPr="00B237E2">
        <w:rPr>
          <w:lang w:val="es-ES"/>
        </w:rPr>
        <w:t>.</w:t>
      </w:r>
    </w:p>
    <w:p w14:paraId="6C2DA53A" w14:textId="0874E544" w:rsidR="009C6BB3" w:rsidRPr="00B237E2" w:rsidRDefault="00FD0ADC" w:rsidP="00FD0ADC">
      <w:pPr>
        <w:pStyle w:val="enumlev1"/>
        <w:rPr>
          <w:lang w:val="es-ES"/>
        </w:rPr>
      </w:pPr>
      <w:r w:rsidRPr="00B237E2">
        <w:rPr>
          <w:lang w:val="es-ES"/>
        </w:rPr>
        <w:t>•</w:t>
      </w:r>
      <w:r w:rsidRPr="00B237E2">
        <w:rPr>
          <w:lang w:val="es-ES"/>
        </w:rPr>
        <w:tab/>
        <w:t xml:space="preserve">La UIT inauguró el </w:t>
      </w:r>
      <w:r w:rsidR="007E2623">
        <w:rPr>
          <w:lang w:val="es-ES"/>
        </w:rPr>
        <w:t>"</w:t>
      </w:r>
      <w:hyperlink r:id="rId103" w:history="1">
        <w:proofErr w:type="spellStart"/>
        <w:r w:rsidR="00826ABB" w:rsidRPr="00AF6115">
          <w:rPr>
            <w:rStyle w:val="Hyperlink"/>
            <w:lang w:val="fr-FR"/>
          </w:rPr>
          <w:t>Generation</w:t>
        </w:r>
        <w:proofErr w:type="spellEnd"/>
        <w:r w:rsidR="00826ABB" w:rsidRPr="00AF6115">
          <w:rPr>
            <w:rStyle w:val="Hyperlink"/>
            <w:lang w:val="fr-FR"/>
          </w:rPr>
          <w:t xml:space="preserve"> </w:t>
        </w:r>
        <w:proofErr w:type="spellStart"/>
        <w:r w:rsidR="00826ABB" w:rsidRPr="00AF6115">
          <w:rPr>
            <w:rStyle w:val="Hyperlink"/>
            <w:lang w:val="fr-FR"/>
          </w:rPr>
          <w:t>Connect</w:t>
        </w:r>
        <w:proofErr w:type="spellEnd"/>
        <w:r w:rsidR="00826ABB" w:rsidRPr="00AF6115">
          <w:rPr>
            <w:rStyle w:val="Hyperlink"/>
            <w:lang w:val="fr-FR"/>
          </w:rPr>
          <w:t xml:space="preserve"> Global E-</w:t>
        </w:r>
        <w:proofErr w:type="spellStart"/>
        <w:r w:rsidR="00826ABB" w:rsidRPr="00AF6115">
          <w:rPr>
            <w:rStyle w:val="Hyperlink"/>
            <w:lang w:val="fr-FR"/>
          </w:rPr>
          <w:t>waste</w:t>
        </w:r>
        <w:proofErr w:type="spellEnd"/>
        <w:r w:rsidR="00826ABB" w:rsidRPr="00AF6115">
          <w:rPr>
            <w:rStyle w:val="Hyperlink"/>
            <w:lang w:val="fr-FR"/>
          </w:rPr>
          <w:t xml:space="preserve"> </w:t>
        </w:r>
        <w:proofErr w:type="spellStart"/>
        <w:r w:rsidR="00826ABB" w:rsidRPr="00AF6115">
          <w:rPr>
            <w:rStyle w:val="Hyperlink"/>
            <w:lang w:val="fr-FR"/>
          </w:rPr>
          <w:t>Iconathon</w:t>
        </w:r>
        <w:proofErr w:type="spellEnd"/>
      </w:hyperlink>
      <w:r w:rsidR="007E2623">
        <w:rPr>
          <w:lang w:val="es-ES"/>
        </w:rPr>
        <w:t>"</w:t>
      </w:r>
      <w:r w:rsidR="00E304EE" w:rsidRPr="00B237E2">
        <w:rPr>
          <w:lang w:val="es-ES"/>
        </w:rPr>
        <w:t xml:space="preserve"> sobre residuos electrónicos</w:t>
      </w:r>
      <w:r w:rsidRPr="00B237E2">
        <w:rPr>
          <w:lang w:val="es-ES"/>
        </w:rPr>
        <w:t xml:space="preserve">, </w:t>
      </w:r>
      <w:r w:rsidR="00826ABB" w:rsidRPr="00B237E2">
        <w:rPr>
          <w:lang w:val="es-ES"/>
        </w:rPr>
        <w:t>con objeto de</w:t>
      </w:r>
      <w:r w:rsidRPr="00B237E2">
        <w:rPr>
          <w:lang w:val="es-ES"/>
        </w:rPr>
        <w:t xml:space="preserve"> </w:t>
      </w:r>
      <w:r w:rsidR="00826ABB" w:rsidRPr="00B237E2">
        <w:rPr>
          <w:lang w:val="es-ES"/>
        </w:rPr>
        <w:t>fomentar la concienciación</w:t>
      </w:r>
      <w:r w:rsidRPr="00B237E2">
        <w:rPr>
          <w:lang w:val="es-ES"/>
        </w:rPr>
        <w:t xml:space="preserve"> </w:t>
      </w:r>
      <w:r w:rsidR="00E304EE" w:rsidRPr="00B237E2">
        <w:rPr>
          <w:lang w:val="es-ES"/>
        </w:rPr>
        <w:t xml:space="preserve">al respecto </w:t>
      </w:r>
      <w:r w:rsidRPr="00B237E2">
        <w:rPr>
          <w:lang w:val="es-ES"/>
        </w:rPr>
        <w:t xml:space="preserve">y la participación de jóvenes </w:t>
      </w:r>
      <w:r w:rsidR="00E304EE" w:rsidRPr="00B237E2">
        <w:rPr>
          <w:lang w:val="es-ES"/>
        </w:rPr>
        <w:t>de</w:t>
      </w:r>
      <w:r w:rsidRPr="00B237E2">
        <w:rPr>
          <w:lang w:val="es-ES"/>
        </w:rPr>
        <w:t xml:space="preserve"> todo el mundo</w:t>
      </w:r>
      <w:r w:rsidR="009C6BB3" w:rsidRPr="00B237E2">
        <w:rPr>
          <w:lang w:val="es-ES"/>
        </w:rPr>
        <w:t>.</w:t>
      </w:r>
    </w:p>
    <w:p w14:paraId="7A425766" w14:textId="739CAAEE" w:rsidR="005E2585" w:rsidRPr="00EB7F22" w:rsidRDefault="00E304EE" w:rsidP="00EB7F22">
      <w:pPr>
        <w:pStyle w:val="Headingb"/>
        <w:rPr>
          <w:b w:val="0"/>
          <w:lang w:val="es-ES"/>
        </w:rPr>
      </w:pPr>
      <w:r w:rsidRPr="00B21853">
        <w:rPr>
          <w:lang w:val="es-ES"/>
        </w:rPr>
        <w:t>TIC: reducción del riesgo, mejora de las medidas de respuesta frente a situaciones de crisis, alertas tempranas y telecomunicaciones de emergencia</w:t>
      </w:r>
    </w:p>
    <w:p w14:paraId="6572805A" w14:textId="2AA88942" w:rsidR="005E2585" w:rsidRPr="00B237E2" w:rsidRDefault="005E2585" w:rsidP="00FA3C80">
      <w:pPr>
        <w:pStyle w:val="enumlev1"/>
        <w:rPr>
          <w:lang w:val="es-ES"/>
        </w:rPr>
      </w:pPr>
      <w:r w:rsidRPr="00AC6A06">
        <w:rPr>
          <w:lang w:val="es-ES"/>
        </w:rPr>
        <w:t>•</w:t>
      </w:r>
      <w:r w:rsidRPr="00AC6A06">
        <w:rPr>
          <w:lang w:val="es-ES"/>
        </w:rPr>
        <w:tab/>
      </w:r>
      <w:r w:rsidR="007419BD">
        <w:rPr>
          <w:lang w:val="es-ES"/>
        </w:rPr>
        <w:t xml:space="preserve">El </w:t>
      </w:r>
      <w:hyperlink r:id="rId104" w:history="1">
        <w:r w:rsidR="007419BD">
          <w:rPr>
            <w:rStyle w:val="Hyperlink"/>
            <w:lang w:val="es-ES"/>
          </w:rPr>
          <w:t>tercer Foro Mundial sobre telecomunicaciones de emergencia (GET-19)</w:t>
        </w:r>
      </w:hyperlink>
      <w:r w:rsidR="007D7042" w:rsidRPr="00B237E2">
        <w:rPr>
          <w:lang w:val="es-ES"/>
        </w:rPr>
        <w:t>, celebrado en Mauricio en 2019, se centró en la reducción del riesgo de catástrofe, las telecomunicaciones nacionales de emergencia, las infraestructuras y la coordinación a escala nacional</w:t>
      </w:r>
      <w:r w:rsidRPr="00C12B29">
        <w:rPr>
          <w:lang w:val="es-ES"/>
        </w:rPr>
        <w:t>.</w:t>
      </w:r>
    </w:p>
    <w:p w14:paraId="0F419980" w14:textId="082AF6C5" w:rsidR="00823AB3" w:rsidRPr="00B237E2" w:rsidRDefault="00FA3C80" w:rsidP="00FA3C80">
      <w:pPr>
        <w:pStyle w:val="enumlev1"/>
        <w:rPr>
          <w:lang w:val="es-ES"/>
        </w:rPr>
      </w:pPr>
      <w:r w:rsidRPr="00B237E2">
        <w:rPr>
          <w:lang w:val="es-ES"/>
        </w:rPr>
        <w:t>•</w:t>
      </w:r>
      <w:r w:rsidRPr="00B237E2">
        <w:rPr>
          <w:lang w:val="es-ES"/>
        </w:rPr>
        <w:tab/>
      </w:r>
      <w:r w:rsidR="007D7042" w:rsidRPr="00B237E2">
        <w:rPr>
          <w:lang w:val="es-ES"/>
        </w:rPr>
        <w:t xml:space="preserve">En el evento </w:t>
      </w:r>
      <w:r w:rsidR="007E2623">
        <w:rPr>
          <w:lang w:val="es-ES"/>
        </w:rPr>
        <w:t>"</w:t>
      </w:r>
      <w:hyperlink r:id="rId105" w:history="1">
        <w:r w:rsidR="00823AB3" w:rsidRPr="00AC6A06">
          <w:rPr>
            <w:rStyle w:val="Hyperlink"/>
            <w:lang w:val="es-ES"/>
          </w:rPr>
          <w:t xml:space="preserve">Tecnologías </w:t>
        </w:r>
        <w:r w:rsidR="007D7042" w:rsidRPr="00AC6A06">
          <w:rPr>
            <w:rStyle w:val="Hyperlink"/>
            <w:lang w:val="es-ES"/>
          </w:rPr>
          <w:t>innovadoras</w:t>
        </w:r>
        <w:r w:rsidR="00823AB3" w:rsidRPr="00AC6A06">
          <w:rPr>
            <w:rStyle w:val="Hyperlink"/>
            <w:lang w:val="es-ES"/>
          </w:rPr>
          <w:t xml:space="preserve"> y su utilización en la reducción y gestión del riesgo de catástrofe</w:t>
        </w:r>
      </w:hyperlink>
      <w:r w:rsidR="00823AB3" w:rsidRPr="00B237E2">
        <w:rPr>
          <w:lang w:val="es-ES"/>
        </w:rPr>
        <w:t>"</w:t>
      </w:r>
      <w:r w:rsidR="007D7042" w:rsidRPr="00B237E2">
        <w:rPr>
          <w:lang w:val="es-ES"/>
        </w:rPr>
        <w:t xml:space="preserve">, </w:t>
      </w:r>
      <w:r w:rsidR="00264A84" w:rsidRPr="00B237E2">
        <w:rPr>
          <w:lang w:val="es-ES"/>
        </w:rPr>
        <w:t xml:space="preserve">celebrado en 2019, se abordó la forma </w:t>
      </w:r>
      <w:r w:rsidR="00D91420" w:rsidRPr="00B237E2">
        <w:rPr>
          <w:lang w:val="es-ES"/>
        </w:rPr>
        <w:t xml:space="preserve">en que la IA, </w:t>
      </w:r>
      <w:r w:rsidR="00AC6A06">
        <w:rPr>
          <w:lang w:val="es-ES"/>
        </w:rPr>
        <w:t xml:space="preserve">la </w:t>
      </w:r>
      <w:r w:rsidR="00D91420" w:rsidRPr="00B237E2">
        <w:rPr>
          <w:lang w:val="es-ES"/>
        </w:rPr>
        <w:t>IoT y los macrodatos, la robótica y la tecnología de los drones permiten contribuir a la reducción del riesgo de catástrofe.</w:t>
      </w:r>
    </w:p>
    <w:p w14:paraId="1D27DBFF" w14:textId="22B6D886" w:rsidR="0005744B" w:rsidRPr="00B237E2" w:rsidRDefault="00A04BF4" w:rsidP="00FA3C80">
      <w:pPr>
        <w:pStyle w:val="enumlev1"/>
        <w:rPr>
          <w:lang w:val="es-ES"/>
        </w:rPr>
      </w:pPr>
      <w:bookmarkStart w:id="79" w:name="_Hlk73454909"/>
      <w:r w:rsidRPr="00AC6A06">
        <w:rPr>
          <w:lang w:val="es-ES"/>
        </w:rPr>
        <w:t>•</w:t>
      </w:r>
      <w:r w:rsidRPr="00AC6A06">
        <w:rPr>
          <w:lang w:val="es-ES"/>
        </w:rPr>
        <w:tab/>
      </w:r>
      <w:r w:rsidR="00D91420" w:rsidRPr="00B237E2">
        <w:rPr>
          <w:lang w:val="es-ES"/>
        </w:rPr>
        <w:t xml:space="preserve">En 2020, la UIT presentó nuevas directrices para el desarrollo y la aplicación de </w:t>
      </w:r>
      <w:hyperlink r:id="rId106" w:history="1">
        <w:r w:rsidR="00D91420" w:rsidRPr="00AC6A06">
          <w:rPr>
            <w:rStyle w:val="Hyperlink"/>
            <w:lang w:val="es-ES"/>
          </w:rPr>
          <w:t>planes nacionales de telecomunicaciones de emergencia (</w:t>
        </w:r>
        <w:r w:rsidR="00316816" w:rsidRPr="00AC6A06">
          <w:rPr>
            <w:rStyle w:val="Hyperlink"/>
            <w:lang w:val="es-ES"/>
          </w:rPr>
          <w:t>PNTE</w:t>
        </w:r>
        <w:r w:rsidR="00D91420" w:rsidRPr="00AC6A06">
          <w:rPr>
            <w:rStyle w:val="Hyperlink"/>
            <w:lang w:val="es-ES"/>
          </w:rPr>
          <w:t>)</w:t>
        </w:r>
      </w:hyperlink>
      <w:r w:rsidR="00D91420" w:rsidRPr="00B237E2">
        <w:rPr>
          <w:lang w:val="es-ES"/>
        </w:rPr>
        <w:t>, y para</w:t>
      </w:r>
      <w:r w:rsidR="00316816" w:rsidRPr="00B237E2">
        <w:rPr>
          <w:lang w:val="es-ES"/>
        </w:rPr>
        <w:t xml:space="preserve"> la realización de </w:t>
      </w:r>
      <w:hyperlink r:id="rId107" w:history="1">
        <w:r w:rsidR="00316816" w:rsidRPr="00AC6A06">
          <w:rPr>
            <w:rStyle w:val="Hyperlink"/>
            <w:lang w:val="es-ES"/>
          </w:rPr>
          <w:t>ejercicios teóricos de simulación</w:t>
        </w:r>
      </w:hyperlink>
      <w:r w:rsidR="00D91420" w:rsidRPr="00B237E2">
        <w:rPr>
          <w:lang w:val="es-ES"/>
        </w:rPr>
        <w:t xml:space="preserve">. </w:t>
      </w:r>
      <w:r w:rsidR="00316816" w:rsidRPr="00B237E2">
        <w:rPr>
          <w:lang w:val="es-ES"/>
        </w:rPr>
        <w:t xml:space="preserve">Ello se complementó mediante </w:t>
      </w:r>
      <w:hyperlink r:id="rId108" w:history="1">
        <w:r w:rsidR="00D91420" w:rsidRPr="00AC6A06">
          <w:rPr>
            <w:rStyle w:val="Hyperlink"/>
            <w:lang w:val="es-ES"/>
          </w:rPr>
          <w:t>nuevos cursos de formación en línea</w:t>
        </w:r>
      </w:hyperlink>
      <w:r w:rsidR="00D91420" w:rsidRPr="00B237E2">
        <w:rPr>
          <w:lang w:val="es-ES"/>
        </w:rPr>
        <w:t>.</w:t>
      </w:r>
    </w:p>
    <w:p w14:paraId="3518A754" w14:textId="5B9D5462" w:rsidR="0005744B" w:rsidRPr="00B237E2" w:rsidRDefault="0005744B" w:rsidP="00EB7F22">
      <w:pPr>
        <w:pStyle w:val="enumlev1"/>
        <w:rPr>
          <w:lang w:val="es-ES"/>
        </w:rPr>
      </w:pPr>
      <w:r w:rsidRPr="00EB7F22">
        <w:rPr>
          <w:lang w:val="es-ES"/>
        </w:rPr>
        <w:t>•</w:t>
      </w:r>
      <w:r w:rsidRPr="00EB7F22">
        <w:rPr>
          <w:lang w:val="es-ES"/>
        </w:rPr>
        <w:tab/>
      </w:r>
      <w:r w:rsidRPr="00B237E2">
        <w:rPr>
          <w:lang w:val="es-ES"/>
        </w:rPr>
        <w:t xml:space="preserve">Desde 2018, sobre la base de las </w:t>
      </w:r>
      <w:hyperlink r:id="rId109" w:history="1">
        <w:r w:rsidRPr="00B237E2">
          <w:rPr>
            <w:rStyle w:val="Hyperlink"/>
            <w:lang w:val="es-ES"/>
          </w:rPr>
          <w:t>directrices generales para la elaboración de planes nacionales de telecomunicaciones de emergencia</w:t>
        </w:r>
      </w:hyperlink>
      <w:r w:rsidRPr="00B237E2">
        <w:rPr>
          <w:lang w:val="es-ES"/>
        </w:rPr>
        <w:t xml:space="preserve">, se han elaborado los PNTE de la República Dominicana, Guatemala, Bolivia, Vanuatu, Samoa, Papua Nueva Guinea, Santa Lucía, Ecuador y Perú. La UIT sigue prestando asistencia en la definición de PNTE a los siguientes países: Somalia, Sudán, Islas Salomón, Dominica, Granada y Fiji. </w:t>
      </w:r>
      <w:r w:rsidR="00054F12" w:rsidRPr="00B237E2">
        <w:rPr>
          <w:lang w:val="es-ES"/>
        </w:rPr>
        <w:t xml:space="preserve">La organización de </w:t>
      </w:r>
      <w:r w:rsidR="00054F12" w:rsidRPr="00B237E2">
        <w:rPr>
          <w:lang w:val="es-ES"/>
        </w:rPr>
        <w:lastRenderedPageBreak/>
        <w:t>reuniones en línea a escala nacional permitió que dichos planes se ajustaran a las directrices de la UIT</w:t>
      </w:r>
      <w:r w:rsidRPr="00B237E2">
        <w:rPr>
          <w:lang w:val="es-ES"/>
        </w:rPr>
        <w:t>.</w:t>
      </w:r>
    </w:p>
    <w:p w14:paraId="5F30273B" w14:textId="733B9690" w:rsidR="0005744B" w:rsidRPr="00B237E2" w:rsidRDefault="0005744B" w:rsidP="00E124B0">
      <w:pPr>
        <w:pStyle w:val="enumlev1"/>
        <w:rPr>
          <w:lang w:val="es-ES"/>
        </w:rPr>
      </w:pPr>
      <w:r w:rsidRPr="00B237E2">
        <w:rPr>
          <w:lang w:val="es-ES"/>
        </w:rPr>
        <w:t>•</w:t>
      </w:r>
      <w:r w:rsidRPr="00B237E2">
        <w:rPr>
          <w:lang w:val="es-ES"/>
        </w:rPr>
        <w:tab/>
      </w:r>
      <w:r w:rsidR="003D5239" w:rsidRPr="00B237E2">
        <w:rPr>
          <w:lang w:val="es-ES"/>
        </w:rPr>
        <w:t xml:space="preserve">La Guía para desarrollar un plan de contingencia sobre telecomunicaciones/TIC </w:t>
      </w:r>
      <w:r w:rsidR="008F22EA" w:rsidRPr="00B237E2">
        <w:rPr>
          <w:lang w:val="es-ES"/>
        </w:rPr>
        <w:t>a fin de</w:t>
      </w:r>
      <w:r w:rsidR="003D5239" w:rsidRPr="00B237E2">
        <w:rPr>
          <w:lang w:val="es-ES"/>
        </w:rPr>
        <w:t xml:space="preserve"> hacer frente a una situación de pandemia, elaborada en 2020, hizo hincapié en la prestación de servicios de telecomunicaciones/TIC y la continuidad de las actividades en situaciones de pandemia</w:t>
      </w:r>
      <w:r w:rsidRPr="00B237E2">
        <w:rPr>
          <w:lang w:val="es-ES"/>
        </w:rPr>
        <w:t>.</w:t>
      </w:r>
    </w:p>
    <w:p w14:paraId="51D8B355" w14:textId="5CE84280" w:rsidR="0005744B" w:rsidRPr="00EB7F22" w:rsidRDefault="0005744B" w:rsidP="00AC6A06">
      <w:pPr>
        <w:pStyle w:val="enumlev1"/>
        <w:keepNext/>
        <w:keepLines/>
        <w:rPr>
          <w:color w:val="444444"/>
          <w:lang w:val="es-ES"/>
        </w:rPr>
      </w:pPr>
      <w:r w:rsidRPr="00EB7F22">
        <w:rPr>
          <w:lang w:val="es-ES"/>
        </w:rPr>
        <w:t>•</w:t>
      </w:r>
      <w:r w:rsidRPr="00EB7F22">
        <w:rPr>
          <w:lang w:val="es-ES"/>
        </w:rPr>
        <w:tab/>
      </w:r>
      <w:r w:rsidR="007867AE" w:rsidRPr="00B237E2">
        <w:rPr>
          <w:lang w:val="es-ES"/>
        </w:rPr>
        <w:t>La</w:t>
      </w:r>
      <w:r w:rsidR="008F22EA" w:rsidRPr="00B237E2">
        <w:rPr>
          <w:lang w:val="es-ES"/>
        </w:rPr>
        <w:t xml:space="preserve"> UIT</w:t>
      </w:r>
      <w:r w:rsidR="007867AE" w:rsidRPr="00B237E2">
        <w:rPr>
          <w:lang w:val="es-ES"/>
        </w:rPr>
        <w:t xml:space="preserve"> publicó el informe</w:t>
      </w:r>
      <w:r w:rsidR="008F22EA" w:rsidRPr="00B237E2">
        <w:rPr>
          <w:lang w:val="es-ES"/>
        </w:rPr>
        <w:t xml:space="preserve"> </w:t>
      </w:r>
      <w:r w:rsidR="00AC6A06">
        <w:rPr>
          <w:lang w:val="es-ES"/>
        </w:rPr>
        <w:t>"</w:t>
      </w:r>
      <w:hyperlink r:id="rId110" w:history="1">
        <w:r w:rsidRPr="00742714">
          <w:rPr>
            <w:rStyle w:val="Hyperlink"/>
            <w:lang w:val="es-ES"/>
          </w:rPr>
          <w:t xml:space="preserve">Las mujeres, las TIC y las telecomunicaciones de emergencia: </w:t>
        </w:r>
        <w:r w:rsidR="00742714" w:rsidRPr="00742714">
          <w:rPr>
            <w:rStyle w:val="Hyperlink"/>
            <w:lang w:val="es-ES"/>
          </w:rPr>
          <w:t>o</w:t>
        </w:r>
        <w:r w:rsidRPr="00742714">
          <w:rPr>
            <w:rStyle w:val="Hyperlink"/>
            <w:lang w:val="es-ES"/>
          </w:rPr>
          <w:t>portunidades y limitaciones</w:t>
        </w:r>
      </w:hyperlink>
      <w:r w:rsidR="00742714" w:rsidRPr="00EB7F22">
        <w:rPr>
          <w:lang w:val="es-ES"/>
        </w:rPr>
        <w:t>"</w:t>
      </w:r>
      <w:r w:rsidR="007867AE" w:rsidRPr="00742714">
        <w:rPr>
          <w:lang w:val="es-ES"/>
        </w:rPr>
        <w:t xml:space="preserve"> (2020)</w:t>
      </w:r>
      <w:r w:rsidR="007867AE" w:rsidRPr="00B237E2">
        <w:rPr>
          <w:lang w:val="es-ES"/>
        </w:rPr>
        <w:t>. En él</w:t>
      </w:r>
      <w:r w:rsidRPr="00EB7F22">
        <w:rPr>
          <w:lang w:val="es-ES"/>
        </w:rPr>
        <w:t xml:space="preserve"> </w:t>
      </w:r>
      <w:r w:rsidR="008F22EA" w:rsidRPr="00B237E2">
        <w:rPr>
          <w:lang w:val="es-ES"/>
        </w:rPr>
        <w:t xml:space="preserve">se </w:t>
      </w:r>
      <w:r w:rsidRPr="00EB7F22">
        <w:rPr>
          <w:lang w:val="es-ES"/>
        </w:rPr>
        <w:t>destaca que la brecha digital de género impide a las mujeres participar en la sociedad en igualdad de condiciones, lo que pone en grave peligro a las comunidades en situaciones de emergencia.</w:t>
      </w:r>
    </w:p>
    <w:p w14:paraId="01649C86" w14:textId="3D1DBCCE" w:rsidR="0005744B" w:rsidRPr="005621ED" w:rsidRDefault="0005744B" w:rsidP="00EB7F22">
      <w:pPr>
        <w:pStyle w:val="enumlev1"/>
        <w:rPr>
          <w:rFonts w:eastAsia="Calibri"/>
          <w:u w:val="single"/>
          <w:lang w:val="es-ES"/>
        </w:rPr>
      </w:pPr>
      <w:r w:rsidRPr="00EB7F22">
        <w:rPr>
          <w:lang w:val="es-ES"/>
        </w:rPr>
        <w:t>•</w:t>
      </w:r>
      <w:r w:rsidRPr="00EB7F22">
        <w:rPr>
          <w:lang w:val="es-ES"/>
        </w:rPr>
        <w:tab/>
      </w:r>
      <w:r w:rsidRPr="00B237E2">
        <w:rPr>
          <w:lang w:val="es-ES"/>
        </w:rPr>
        <w:t xml:space="preserve">Desde 2018, la UIT ha prestado apoyo a </w:t>
      </w:r>
      <w:hyperlink r:id="rId111" w:history="1">
        <w:r w:rsidRPr="00B237E2">
          <w:rPr>
            <w:rStyle w:val="Hyperlink"/>
            <w:lang w:val="es-ES"/>
          </w:rPr>
          <w:t>diversos países</w:t>
        </w:r>
      </w:hyperlink>
      <w:r w:rsidRPr="00B237E2">
        <w:rPr>
          <w:lang w:val="es-ES"/>
        </w:rPr>
        <w:t xml:space="preserve"> afectados por catástrofes naturales, entre ellos</w:t>
      </w:r>
      <w:r w:rsidR="007867AE" w:rsidRPr="00B237E2">
        <w:rPr>
          <w:lang w:val="es-ES"/>
        </w:rPr>
        <w:t>,</w:t>
      </w:r>
      <w:r w:rsidRPr="00B237E2">
        <w:rPr>
          <w:lang w:val="es-ES"/>
        </w:rPr>
        <w:t xml:space="preserve"> las Bahamas, Mozambique, Papua Nueva Guinea, las Islas Salomón, Tonga, Vanuatu, Zimbabwe, Fiji y Haití. El apoyo de la UIT incluye el despliegue de equipos de telecomunicaciones por satélite y de personal.</w:t>
      </w:r>
    </w:p>
    <w:p w14:paraId="0B4A7991" w14:textId="4CFFA175" w:rsidR="002B2FAC" w:rsidRPr="00742714" w:rsidRDefault="0005744B" w:rsidP="002B2FAC">
      <w:pPr>
        <w:pStyle w:val="enumlev1"/>
        <w:rPr>
          <w:lang w:val="es-ES"/>
        </w:rPr>
      </w:pPr>
      <w:r w:rsidRPr="00B237E2">
        <w:rPr>
          <w:lang w:val="es-ES"/>
        </w:rPr>
        <w:t>•</w:t>
      </w:r>
      <w:r w:rsidRPr="00B237E2">
        <w:rPr>
          <w:lang w:val="es-ES"/>
        </w:rPr>
        <w:tab/>
      </w:r>
      <w:r w:rsidR="002B2FAC" w:rsidRPr="00742714">
        <w:rPr>
          <w:lang w:val="es-ES"/>
        </w:rPr>
        <w:t xml:space="preserve">Además del </w:t>
      </w:r>
      <w:r w:rsidR="004815BF" w:rsidRPr="004815BF">
        <w:rPr>
          <w:lang w:val="es-ES"/>
        </w:rPr>
        <w:t>Consorcio de telecomunicaciones de emergencia</w:t>
      </w:r>
      <w:r w:rsidR="002B2FAC" w:rsidRPr="00742714">
        <w:rPr>
          <w:lang w:val="es-ES"/>
        </w:rPr>
        <w:t xml:space="preserve">, la UIT elaboró el </w:t>
      </w:r>
      <w:hyperlink r:id="rId112" w:history="1">
        <w:r w:rsidR="002B2FAC" w:rsidRPr="00742714">
          <w:rPr>
            <w:rStyle w:val="Hyperlink"/>
            <w:lang w:val="es-ES"/>
          </w:rPr>
          <w:t>Mapa de conectividad en caso de catástrofe (DCM)</w:t>
        </w:r>
      </w:hyperlink>
      <w:r w:rsidR="002B2FAC" w:rsidRPr="00742714">
        <w:rPr>
          <w:lang w:val="es-ES"/>
        </w:rPr>
        <w:t xml:space="preserve">, a fin de proporcionar información fundamental </w:t>
      </w:r>
      <w:r w:rsidR="00373F61" w:rsidRPr="00742714">
        <w:rPr>
          <w:lang w:val="es-ES"/>
        </w:rPr>
        <w:t>en el marco de</w:t>
      </w:r>
      <w:r w:rsidR="002B2FAC" w:rsidRPr="00742714">
        <w:rPr>
          <w:lang w:val="es-ES"/>
        </w:rPr>
        <w:t xml:space="preserve"> </w:t>
      </w:r>
      <w:r w:rsidR="00373F61" w:rsidRPr="00742714">
        <w:rPr>
          <w:lang w:val="es-ES"/>
        </w:rPr>
        <w:t>las primeras medidas de respuesta frente a</w:t>
      </w:r>
      <w:r w:rsidR="002B2FAC" w:rsidRPr="00742714">
        <w:rPr>
          <w:lang w:val="es-ES"/>
        </w:rPr>
        <w:t xml:space="preserve"> </w:t>
      </w:r>
      <w:r w:rsidR="00373F61" w:rsidRPr="00742714">
        <w:rPr>
          <w:lang w:val="es-ES"/>
        </w:rPr>
        <w:t>interrupciones del servicio</w:t>
      </w:r>
      <w:r w:rsidR="002B2FAC" w:rsidRPr="00742714">
        <w:rPr>
          <w:lang w:val="es-ES"/>
        </w:rPr>
        <w:t xml:space="preserve"> de red y deficiencias de conectividad </w:t>
      </w:r>
      <w:r w:rsidR="00373F61" w:rsidRPr="00742714">
        <w:rPr>
          <w:lang w:val="es-ES"/>
        </w:rPr>
        <w:t>a raíz de una situación de</w:t>
      </w:r>
      <w:r w:rsidR="002B2FAC" w:rsidRPr="00742714">
        <w:rPr>
          <w:lang w:val="es-ES"/>
        </w:rPr>
        <w:t xml:space="preserve"> catástrofe.</w:t>
      </w:r>
    </w:p>
    <w:p w14:paraId="43265BA9" w14:textId="46D8A237" w:rsidR="002B2FAC" w:rsidRPr="00742714" w:rsidRDefault="00373F61" w:rsidP="002B2FAC">
      <w:pPr>
        <w:pStyle w:val="enumlev1"/>
        <w:rPr>
          <w:lang w:val="es-ES"/>
        </w:rPr>
      </w:pPr>
      <w:r w:rsidRPr="00B237E2">
        <w:rPr>
          <w:lang w:val="es-ES"/>
        </w:rPr>
        <w:t>•</w:t>
      </w:r>
      <w:r w:rsidRPr="00742714">
        <w:rPr>
          <w:lang w:val="es-ES"/>
        </w:rPr>
        <w:tab/>
      </w:r>
      <w:r w:rsidR="002B2FAC" w:rsidRPr="00742714">
        <w:rPr>
          <w:lang w:val="es-ES"/>
        </w:rPr>
        <w:t xml:space="preserve">La UIT se adhirió a la </w:t>
      </w:r>
      <w:hyperlink r:id="rId113" w:history="1">
        <w:r w:rsidR="002B2FAC" w:rsidRPr="00742714">
          <w:rPr>
            <w:rStyle w:val="Hyperlink"/>
            <w:lang w:val="es-ES"/>
          </w:rPr>
          <w:t>Carta de Conectividad en caso de Crisis (CCC)</w:t>
        </w:r>
      </w:hyperlink>
      <w:r w:rsidR="002B2FAC" w:rsidRPr="00742714">
        <w:rPr>
          <w:lang w:val="es-ES"/>
        </w:rPr>
        <w:t xml:space="preserve"> (2019), </w:t>
      </w:r>
      <w:r w:rsidRPr="00742714">
        <w:rPr>
          <w:lang w:val="es-ES"/>
        </w:rPr>
        <w:t>en colaboración con</w:t>
      </w:r>
      <w:r w:rsidR="002B2FAC" w:rsidRPr="00742714">
        <w:rPr>
          <w:lang w:val="es-ES"/>
        </w:rPr>
        <w:t xml:space="preserve"> la industria de los satélites y la comunidad humanitaria</w:t>
      </w:r>
      <w:r w:rsidR="00A3378F" w:rsidRPr="00742714">
        <w:rPr>
          <w:lang w:val="es-ES"/>
        </w:rPr>
        <w:t>, a fin de</w:t>
      </w:r>
      <w:r w:rsidR="002B2FAC" w:rsidRPr="00742714">
        <w:rPr>
          <w:lang w:val="es-ES"/>
        </w:rPr>
        <w:t xml:space="preserve"> </w:t>
      </w:r>
      <w:r w:rsidR="00A3378F" w:rsidRPr="00742714">
        <w:rPr>
          <w:lang w:val="es-ES"/>
        </w:rPr>
        <w:t>facilitar la utilización de las</w:t>
      </w:r>
      <w:r w:rsidR="002B2FAC" w:rsidRPr="00742714">
        <w:rPr>
          <w:lang w:val="es-ES"/>
        </w:rPr>
        <w:t xml:space="preserve"> comunicaciones por satélite.</w:t>
      </w:r>
    </w:p>
    <w:p w14:paraId="485F4B4A" w14:textId="00FDADFD" w:rsidR="0005744B" w:rsidRPr="00EB7F22" w:rsidRDefault="00FA3C80" w:rsidP="00EB7F22">
      <w:pPr>
        <w:pStyle w:val="enumlev1"/>
        <w:rPr>
          <w:lang w:val="es-ES"/>
        </w:rPr>
      </w:pPr>
      <w:r w:rsidRPr="00B237E2">
        <w:rPr>
          <w:lang w:val="es-ES"/>
        </w:rPr>
        <w:t>•</w:t>
      </w:r>
      <w:r w:rsidRPr="00B237E2">
        <w:rPr>
          <w:rFonts w:eastAsia="Calibri"/>
          <w:lang w:val="es-ES"/>
        </w:rPr>
        <w:tab/>
      </w:r>
      <w:r w:rsidR="002B2FAC" w:rsidRPr="00FA3C80">
        <w:rPr>
          <w:lang w:val="es-ES"/>
        </w:rPr>
        <w:t>La UIT</w:t>
      </w:r>
      <w:r w:rsidR="00F73C1F" w:rsidRPr="00FA3C80">
        <w:rPr>
          <w:lang w:val="es-ES"/>
        </w:rPr>
        <w:t xml:space="preserve"> elaboró una</w:t>
      </w:r>
      <w:r w:rsidR="002B2FAC" w:rsidRPr="00FA3C80">
        <w:rPr>
          <w:lang w:val="es-ES"/>
        </w:rPr>
        <w:t xml:space="preserve"> </w:t>
      </w:r>
      <w:r w:rsidR="00F73C1F" w:rsidRPr="009E243E">
        <w:rPr>
          <w:lang w:val="es-ES"/>
        </w:rPr>
        <w:t>lista interna para telecomunicaciones de emergencia</w:t>
      </w:r>
      <w:r w:rsidR="002B2FAC" w:rsidRPr="00FA3C80">
        <w:rPr>
          <w:lang w:val="es-ES"/>
        </w:rPr>
        <w:t xml:space="preserve">. </w:t>
      </w:r>
      <w:r w:rsidR="00F73C1F" w:rsidRPr="00FA3C80">
        <w:rPr>
          <w:lang w:val="es-ES"/>
        </w:rPr>
        <w:t>Los miembros del personal</w:t>
      </w:r>
      <w:r w:rsidR="002B2FAC" w:rsidRPr="00FA3C80">
        <w:rPr>
          <w:lang w:val="es-ES"/>
        </w:rPr>
        <w:t xml:space="preserve"> de la UIT recibe</w:t>
      </w:r>
      <w:r w:rsidR="00F73C1F" w:rsidRPr="00FA3C80">
        <w:rPr>
          <w:lang w:val="es-ES"/>
        </w:rPr>
        <w:t>n</w:t>
      </w:r>
      <w:r w:rsidR="002B2FAC" w:rsidRPr="00FA3C80">
        <w:rPr>
          <w:lang w:val="es-ES"/>
        </w:rPr>
        <w:t xml:space="preserve"> formación sobre el despliegue de equipos de telecomunicaciones de la UIT y sobre apoyo al </w:t>
      </w:r>
      <w:bookmarkStart w:id="80" w:name="_Hlk95736037"/>
      <w:r w:rsidR="004927BB" w:rsidRPr="004815BF">
        <w:rPr>
          <w:lang w:val="es-ES"/>
        </w:rPr>
        <w:t xml:space="preserve">Consorcio de </w:t>
      </w:r>
      <w:r w:rsidR="00300727" w:rsidRPr="004815BF">
        <w:rPr>
          <w:lang w:val="es-ES"/>
        </w:rPr>
        <w:t>t</w:t>
      </w:r>
      <w:r w:rsidR="004927BB" w:rsidRPr="004815BF">
        <w:rPr>
          <w:lang w:val="es-ES"/>
        </w:rPr>
        <w:t xml:space="preserve">elecomunicaciones de </w:t>
      </w:r>
      <w:r w:rsidR="00300727" w:rsidRPr="004815BF">
        <w:rPr>
          <w:lang w:val="es-ES"/>
        </w:rPr>
        <w:t>e</w:t>
      </w:r>
      <w:r w:rsidR="004927BB" w:rsidRPr="004815BF">
        <w:rPr>
          <w:lang w:val="es-ES"/>
        </w:rPr>
        <w:t>mergencia</w:t>
      </w:r>
      <w:r w:rsidR="004927BB" w:rsidRPr="00FA3C80">
        <w:rPr>
          <w:lang w:val="es-ES"/>
        </w:rPr>
        <w:t xml:space="preserve"> </w:t>
      </w:r>
      <w:r w:rsidR="002B2FAC" w:rsidRPr="00FA3C80">
        <w:rPr>
          <w:lang w:val="es-ES"/>
        </w:rPr>
        <w:t xml:space="preserve">sobre </w:t>
      </w:r>
      <w:bookmarkEnd w:id="80"/>
      <w:r w:rsidR="002B2FAC" w:rsidRPr="00FA3C80">
        <w:rPr>
          <w:lang w:val="es-ES"/>
        </w:rPr>
        <w:t>el terreno</w:t>
      </w:r>
      <w:r w:rsidR="0005744B" w:rsidRPr="00FA3C80">
        <w:rPr>
          <w:lang w:val="es-ES"/>
        </w:rPr>
        <w:t>.</w:t>
      </w:r>
    </w:p>
    <w:p w14:paraId="727C23CC" w14:textId="33FD1420" w:rsidR="004927BB" w:rsidRPr="00B237E2" w:rsidRDefault="0005744B" w:rsidP="004927BB">
      <w:pPr>
        <w:pStyle w:val="enumlev1"/>
        <w:rPr>
          <w:lang w:val="es-ES"/>
        </w:rPr>
      </w:pPr>
      <w:r w:rsidRPr="00B237E2">
        <w:rPr>
          <w:lang w:val="es-ES"/>
        </w:rPr>
        <w:t>•</w:t>
      </w:r>
      <w:r w:rsidRPr="00B237E2">
        <w:rPr>
          <w:lang w:val="es-ES"/>
        </w:rPr>
        <w:tab/>
      </w:r>
      <w:r w:rsidR="004927BB" w:rsidRPr="00B237E2">
        <w:rPr>
          <w:lang w:val="es-ES"/>
        </w:rPr>
        <w:t xml:space="preserve">La UIT implementó sistemas de alerta temprana en caso de inundaciones en </w:t>
      </w:r>
      <w:hyperlink r:id="rId114" w:history="1">
        <w:r w:rsidR="004927BB" w:rsidRPr="00742714">
          <w:rPr>
            <w:rStyle w:val="Hyperlink"/>
            <w:lang w:val="es-ES"/>
          </w:rPr>
          <w:t>Zambia</w:t>
        </w:r>
      </w:hyperlink>
      <w:r w:rsidR="004927BB" w:rsidRPr="00B237E2">
        <w:rPr>
          <w:lang w:val="es-ES"/>
        </w:rPr>
        <w:t xml:space="preserve"> (2018) </w:t>
      </w:r>
      <w:r w:rsidR="00D72125" w:rsidRPr="00B237E2">
        <w:rPr>
          <w:lang w:val="es-ES"/>
        </w:rPr>
        <w:t>en colaboración</w:t>
      </w:r>
      <w:r w:rsidR="004927BB" w:rsidRPr="00B237E2">
        <w:rPr>
          <w:lang w:val="es-ES"/>
        </w:rPr>
        <w:t xml:space="preserve"> con la Autoridad de TIC de Zambia.</w:t>
      </w:r>
    </w:p>
    <w:p w14:paraId="616D2A35" w14:textId="4FBCBA9D" w:rsidR="0005744B" w:rsidRPr="00B237E2" w:rsidRDefault="00742714" w:rsidP="004927BB">
      <w:pPr>
        <w:pStyle w:val="enumlev1"/>
        <w:rPr>
          <w:color w:val="000000"/>
          <w:lang w:val="es-ES"/>
        </w:rPr>
      </w:pPr>
      <w:r w:rsidRPr="00B237E2">
        <w:rPr>
          <w:lang w:val="es-ES"/>
        </w:rPr>
        <w:t>•</w:t>
      </w:r>
      <w:r w:rsidR="00D72125" w:rsidRPr="00B237E2">
        <w:rPr>
          <w:lang w:val="es-ES"/>
        </w:rPr>
        <w:tab/>
      </w:r>
      <w:r w:rsidR="004927BB" w:rsidRPr="00B237E2">
        <w:rPr>
          <w:lang w:val="es-ES"/>
        </w:rPr>
        <w:t xml:space="preserve">La UIT sigue promoviendo el Protocolo de Alerta Común (PAC), </w:t>
      </w:r>
      <w:r w:rsidR="00D72125" w:rsidRPr="00B237E2">
        <w:rPr>
          <w:lang w:val="es-ES"/>
        </w:rPr>
        <w:t>y organizando</w:t>
      </w:r>
      <w:r w:rsidR="004927BB" w:rsidRPr="00B237E2">
        <w:rPr>
          <w:lang w:val="es-ES"/>
        </w:rPr>
        <w:t xml:space="preserve"> </w:t>
      </w:r>
      <w:hyperlink r:id="rId115" w:history="1">
        <w:r w:rsidR="004927BB" w:rsidRPr="00742714">
          <w:rPr>
            <w:rStyle w:val="Hyperlink"/>
            <w:lang w:val="es-ES"/>
          </w:rPr>
          <w:t>talleres</w:t>
        </w:r>
        <w:r w:rsidR="00D72125" w:rsidRPr="00742714">
          <w:rPr>
            <w:rStyle w:val="Hyperlink"/>
            <w:lang w:val="es-ES"/>
          </w:rPr>
          <w:t xml:space="preserve"> conexos a escalas regional y nacional</w:t>
        </w:r>
      </w:hyperlink>
      <w:r w:rsidR="00D72125" w:rsidRPr="00B237E2">
        <w:rPr>
          <w:lang w:val="es-ES"/>
        </w:rPr>
        <w:t>;</w:t>
      </w:r>
      <w:r w:rsidR="004927BB" w:rsidRPr="00B237E2">
        <w:rPr>
          <w:lang w:val="es-ES"/>
        </w:rPr>
        <w:t xml:space="preserve"> véase la </w:t>
      </w:r>
      <w:hyperlink r:id="rId116" w:history="1">
        <w:r w:rsidR="004927BB" w:rsidRPr="00B21853">
          <w:rPr>
            <w:rStyle w:val="Hyperlink"/>
            <w:lang w:val="es-ES"/>
          </w:rPr>
          <w:t>Recomendación UIT-T X.1303</w:t>
        </w:r>
      </w:hyperlink>
      <w:r w:rsidR="004927BB" w:rsidRPr="00B237E2">
        <w:rPr>
          <w:lang w:val="es-ES"/>
        </w:rPr>
        <w:t xml:space="preserve">. El </w:t>
      </w:r>
      <w:r w:rsidR="00D72125" w:rsidRPr="00B237E2">
        <w:rPr>
          <w:lang w:val="es-ES"/>
        </w:rPr>
        <w:t>PAC</w:t>
      </w:r>
      <w:r w:rsidR="004927BB" w:rsidRPr="00B237E2">
        <w:rPr>
          <w:lang w:val="es-ES"/>
        </w:rPr>
        <w:t xml:space="preserve"> permite a las autoridades </w:t>
      </w:r>
      <w:r w:rsidR="00D72125" w:rsidRPr="00B237E2">
        <w:rPr>
          <w:lang w:val="es-ES"/>
        </w:rPr>
        <w:t>transmitir</w:t>
      </w:r>
      <w:r w:rsidR="004927BB" w:rsidRPr="00B237E2">
        <w:rPr>
          <w:lang w:val="es-ES"/>
        </w:rPr>
        <w:t xml:space="preserve"> avisos y alertas tempranas a las comunidades en riesgo, </w:t>
      </w:r>
      <w:r w:rsidR="00D72125" w:rsidRPr="00B237E2">
        <w:rPr>
          <w:lang w:val="es-ES"/>
        </w:rPr>
        <w:t>a escala mundial</w:t>
      </w:r>
      <w:r w:rsidR="0005744B" w:rsidRPr="00B237E2">
        <w:rPr>
          <w:color w:val="000000"/>
          <w:lang w:val="es-ES"/>
        </w:rPr>
        <w:t>.</w:t>
      </w:r>
    </w:p>
    <w:p w14:paraId="19CD5BC2" w14:textId="5A1A328C" w:rsidR="0005744B" w:rsidRPr="00B237E2" w:rsidRDefault="0005744B">
      <w:pPr>
        <w:pStyle w:val="enumlev1"/>
        <w:rPr>
          <w:lang w:val="es-ES"/>
        </w:rPr>
      </w:pPr>
      <w:r w:rsidRPr="00EB7F22">
        <w:rPr>
          <w:lang w:val="es-ES"/>
        </w:rPr>
        <w:t>•</w:t>
      </w:r>
      <w:r w:rsidRPr="00EB7F22">
        <w:rPr>
          <w:lang w:val="es-ES"/>
        </w:rPr>
        <w:tab/>
      </w:r>
      <w:r w:rsidRPr="00B237E2">
        <w:rPr>
          <w:lang w:val="es-ES"/>
        </w:rPr>
        <w:t xml:space="preserve">En 2021, en asociación con la Federación Internacional de la Cruz Roja y la Media Luna Roja y la </w:t>
      </w:r>
      <w:r w:rsidR="00B21853" w:rsidRPr="00B21853">
        <w:rPr>
          <w:lang w:val="es-ES"/>
        </w:rPr>
        <w:t>Organización Meteorológica Mundial</w:t>
      </w:r>
      <w:r w:rsidRPr="00B237E2">
        <w:rPr>
          <w:lang w:val="es-ES"/>
        </w:rPr>
        <w:t xml:space="preserve">, la UIT </w:t>
      </w:r>
      <w:r w:rsidR="002F43DA" w:rsidRPr="00B237E2">
        <w:rPr>
          <w:lang w:val="es-ES"/>
        </w:rPr>
        <w:t>realizó</w:t>
      </w:r>
      <w:r w:rsidRPr="00B237E2">
        <w:rPr>
          <w:lang w:val="es-ES"/>
        </w:rPr>
        <w:t xml:space="preserve"> </w:t>
      </w:r>
      <w:r w:rsidR="002F43DA" w:rsidRPr="00B237E2">
        <w:rPr>
          <w:lang w:val="es-ES"/>
        </w:rPr>
        <w:t>un</w:t>
      </w:r>
      <w:r w:rsidRPr="00B237E2">
        <w:rPr>
          <w:lang w:val="es-ES"/>
        </w:rPr>
        <w:t xml:space="preserve"> </w:t>
      </w:r>
      <w:hyperlink r:id="rId117" w:history="1">
        <w:r w:rsidRPr="00B237E2">
          <w:rPr>
            <w:rStyle w:val="Hyperlink"/>
            <w:lang w:val="es-ES"/>
          </w:rPr>
          <w:t>llamamiento a la acción sobre alertas de emergencia</w:t>
        </w:r>
      </w:hyperlink>
      <w:r w:rsidR="002F43DA" w:rsidRPr="00B237E2">
        <w:rPr>
          <w:lang w:val="es-ES"/>
        </w:rPr>
        <w:t xml:space="preserve">, e invitó </w:t>
      </w:r>
      <w:r w:rsidRPr="00B237E2">
        <w:rPr>
          <w:lang w:val="es-ES"/>
        </w:rPr>
        <w:t xml:space="preserve">a todos los </w:t>
      </w:r>
      <w:r w:rsidR="002F43DA" w:rsidRPr="00B237E2">
        <w:rPr>
          <w:lang w:val="es-ES"/>
        </w:rPr>
        <w:t>asociados</w:t>
      </w:r>
      <w:r w:rsidRPr="00B237E2">
        <w:rPr>
          <w:lang w:val="es-ES"/>
        </w:rPr>
        <w:t xml:space="preserve"> a ayudar a los países a implementar el </w:t>
      </w:r>
      <w:bookmarkStart w:id="81" w:name="_Hlk72501764"/>
      <w:r w:rsidR="00B21853" w:rsidRPr="00B237E2">
        <w:rPr>
          <w:lang w:val="es-ES"/>
        </w:rPr>
        <w:t xml:space="preserve">Protocolo </w:t>
      </w:r>
      <w:r w:rsidRPr="00B237E2">
        <w:rPr>
          <w:lang w:val="es-ES"/>
        </w:rPr>
        <w:t xml:space="preserve">de </w:t>
      </w:r>
      <w:r w:rsidR="00B21853" w:rsidRPr="00B237E2">
        <w:rPr>
          <w:lang w:val="es-ES"/>
        </w:rPr>
        <w:t xml:space="preserve">Alerta Común </w:t>
      </w:r>
      <w:bookmarkEnd w:id="81"/>
      <w:r w:rsidRPr="00B237E2">
        <w:rPr>
          <w:lang w:val="es-ES"/>
        </w:rPr>
        <w:t>(PAC).</w:t>
      </w:r>
      <w:r w:rsidRPr="00EB7F22">
        <w:rPr>
          <w:lang w:val="es-ES"/>
        </w:rPr>
        <w:t xml:space="preserve"> </w:t>
      </w:r>
      <w:r w:rsidR="002F43DA" w:rsidRPr="00B237E2">
        <w:rPr>
          <w:lang w:val="es-ES"/>
        </w:rPr>
        <w:t xml:space="preserve">Las organizaciones prestan asistencia a la </w:t>
      </w:r>
      <w:r w:rsidR="002F43DA" w:rsidRPr="00B21853">
        <w:rPr>
          <w:lang w:val="es-ES"/>
        </w:rPr>
        <w:t>Organización Meteorológica Mundial</w:t>
      </w:r>
      <w:r w:rsidR="002F43DA" w:rsidRPr="00B237E2">
        <w:rPr>
          <w:lang w:val="es-ES"/>
        </w:rPr>
        <w:t xml:space="preserve"> para la creación de un</w:t>
      </w:r>
      <w:r w:rsidR="00396A08" w:rsidRPr="00B237E2">
        <w:rPr>
          <w:lang w:val="es-ES"/>
        </w:rPr>
        <w:t xml:space="preserve"> centro de llamadas sobre </w:t>
      </w:r>
      <w:r w:rsidR="00A04BF4">
        <w:rPr>
          <w:lang w:val="es-ES"/>
        </w:rPr>
        <w:t>el PAC</w:t>
      </w:r>
      <w:r w:rsidRPr="00B237E2">
        <w:rPr>
          <w:lang w:val="es-ES"/>
        </w:rPr>
        <w:t>.</w:t>
      </w:r>
    </w:p>
    <w:p w14:paraId="4890F346" w14:textId="16352502" w:rsidR="0005744B" w:rsidRPr="00B237E2" w:rsidRDefault="0005744B" w:rsidP="00EB7F22">
      <w:pPr>
        <w:pStyle w:val="enumlev1"/>
        <w:rPr>
          <w:lang w:val="es-ES"/>
        </w:rPr>
      </w:pPr>
      <w:r w:rsidRPr="00EB7F22">
        <w:rPr>
          <w:lang w:val="es-ES"/>
        </w:rPr>
        <w:t>•</w:t>
      </w:r>
      <w:r w:rsidRPr="00EB7F22">
        <w:rPr>
          <w:lang w:val="es-ES"/>
        </w:rPr>
        <w:tab/>
      </w:r>
      <w:r w:rsidR="00747260" w:rsidRPr="00B237E2">
        <w:rPr>
          <w:lang w:val="es-ES"/>
        </w:rPr>
        <w:t>Con objeto de</w:t>
      </w:r>
      <w:r w:rsidR="00A168D3" w:rsidRPr="00B237E2">
        <w:rPr>
          <w:lang w:val="es-ES"/>
        </w:rPr>
        <w:t xml:space="preserve"> reforzar los sistemas de alerta temprana contra amenazas múltiples, en 2020 la UIT </w:t>
      </w:r>
      <w:r w:rsidR="00942201" w:rsidRPr="00B237E2">
        <w:rPr>
          <w:lang w:val="es-ES"/>
        </w:rPr>
        <w:t>colaboró</w:t>
      </w:r>
      <w:r w:rsidR="00A168D3" w:rsidRPr="00B237E2">
        <w:rPr>
          <w:lang w:val="es-ES"/>
        </w:rPr>
        <w:t xml:space="preserve"> con la UNDRR, la OMM, la COI-UNESCO y la Unión Mundial de Radiodifusión para </w:t>
      </w:r>
      <w:r w:rsidR="00396A08" w:rsidRPr="00B237E2">
        <w:rPr>
          <w:lang w:val="es-ES"/>
        </w:rPr>
        <w:t>desarrollar</w:t>
      </w:r>
      <w:r w:rsidR="00A168D3" w:rsidRPr="00B237E2">
        <w:rPr>
          <w:lang w:val="es-ES"/>
        </w:rPr>
        <w:t xml:space="preserve"> </w:t>
      </w:r>
      <w:r w:rsidR="00396A08" w:rsidRPr="00B237E2">
        <w:rPr>
          <w:lang w:val="es-ES"/>
        </w:rPr>
        <w:t>el</w:t>
      </w:r>
      <w:r w:rsidR="00A168D3" w:rsidRPr="00B237E2">
        <w:rPr>
          <w:lang w:val="es-ES"/>
        </w:rPr>
        <w:t xml:space="preserve"> proyecto "</w:t>
      </w:r>
      <w:hyperlink r:id="rId118" w:history="1">
        <w:r w:rsidR="00A168D3" w:rsidRPr="00AF6115">
          <w:rPr>
            <w:rStyle w:val="Hyperlink"/>
            <w:lang w:val="fr-FR"/>
          </w:rPr>
          <w:t xml:space="preserve">Media </w:t>
        </w:r>
        <w:proofErr w:type="spellStart"/>
        <w:r w:rsidR="00A168D3" w:rsidRPr="00AF6115">
          <w:rPr>
            <w:rStyle w:val="Hyperlink"/>
            <w:lang w:val="fr-FR"/>
          </w:rPr>
          <w:t>Saves</w:t>
        </w:r>
        <w:proofErr w:type="spellEnd"/>
        <w:r w:rsidR="00A168D3" w:rsidRPr="00AF6115">
          <w:rPr>
            <w:rStyle w:val="Hyperlink"/>
            <w:lang w:val="fr-FR"/>
          </w:rPr>
          <w:t xml:space="preserve"> Lives</w:t>
        </w:r>
      </w:hyperlink>
      <w:r w:rsidR="00A168D3" w:rsidRPr="00B237E2">
        <w:rPr>
          <w:lang w:val="es-ES"/>
        </w:rPr>
        <w:t xml:space="preserve">", cuyo objetivo es </w:t>
      </w:r>
      <w:r w:rsidR="00396A08" w:rsidRPr="00B237E2">
        <w:rPr>
          <w:lang w:val="es-ES"/>
        </w:rPr>
        <w:t>fortalecer la función</w:t>
      </w:r>
      <w:r w:rsidR="00A168D3" w:rsidRPr="00B237E2">
        <w:rPr>
          <w:lang w:val="es-ES"/>
        </w:rPr>
        <w:t xml:space="preserve"> de </w:t>
      </w:r>
      <w:r w:rsidR="00396A08" w:rsidRPr="00B237E2">
        <w:rPr>
          <w:lang w:val="es-ES"/>
        </w:rPr>
        <w:t>los organismos de</w:t>
      </w:r>
      <w:r w:rsidR="00A168D3" w:rsidRPr="00B237E2">
        <w:rPr>
          <w:lang w:val="es-ES"/>
        </w:rPr>
        <w:t xml:space="preserve"> radiodifusión en la cadena de alerta temprana</w:t>
      </w:r>
      <w:r w:rsidR="00A04BF4">
        <w:rPr>
          <w:lang w:val="es-ES"/>
        </w:rPr>
        <w:t>.</w:t>
      </w:r>
    </w:p>
    <w:p w14:paraId="5D88E6A3" w14:textId="77777777" w:rsidR="00823AB3" w:rsidRPr="00B237E2" w:rsidRDefault="00823AB3" w:rsidP="00E124B0">
      <w:pPr>
        <w:pStyle w:val="Heading2"/>
        <w:rPr>
          <w:lang w:val="es-ES"/>
        </w:rPr>
      </w:pPr>
      <w:bookmarkStart w:id="82" w:name="_Toc37943340"/>
      <w:bookmarkStart w:id="83" w:name="_Toc37943341"/>
      <w:bookmarkStart w:id="84" w:name="_Toc37943342"/>
      <w:bookmarkStart w:id="85" w:name="_Toc37943343"/>
      <w:bookmarkStart w:id="86" w:name="_1.6_Ciberseguridad:_creación"/>
      <w:bookmarkStart w:id="87" w:name="_Toc41289277"/>
      <w:bookmarkStart w:id="88" w:name="_Toc41289420"/>
      <w:bookmarkStart w:id="89" w:name="_Toc97821265"/>
      <w:bookmarkStart w:id="90" w:name="Section_1_6"/>
      <w:bookmarkEnd w:id="79"/>
      <w:bookmarkEnd w:id="82"/>
      <w:bookmarkEnd w:id="83"/>
      <w:bookmarkEnd w:id="84"/>
      <w:bookmarkEnd w:id="85"/>
      <w:bookmarkEnd w:id="86"/>
      <w:r w:rsidRPr="00CD2A86">
        <w:rPr>
          <w:lang w:val="es-ES"/>
        </w:rPr>
        <w:lastRenderedPageBreak/>
        <w:t>1.6</w:t>
      </w:r>
      <w:r w:rsidRPr="00CD2A86">
        <w:rPr>
          <w:lang w:val="es-ES"/>
        </w:rPr>
        <w:tab/>
        <w:t>Ciberseguridad: creación de confianza y seguridad en las TIC</w:t>
      </w:r>
      <w:bookmarkEnd w:id="87"/>
      <w:bookmarkEnd w:id="88"/>
      <w:bookmarkEnd w:id="89"/>
    </w:p>
    <w:bookmarkEnd w:id="90"/>
    <w:p w14:paraId="6804F51F" w14:textId="36EDAA96" w:rsidR="00823AB3" w:rsidRPr="00B237E2" w:rsidRDefault="00942201" w:rsidP="00C2640F">
      <w:pPr>
        <w:keepNext/>
        <w:keepLines/>
        <w:rPr>
          <w:lang w:val="es-ES"/>
        </w:rPr>
      </w:pPr>
      <w:r w:rsidRPr="00B237E2">
        <w:rPr>
          <w:lang w:val="es-ES"/>
        </w:rPr>
        <w:t>Los</w:t>
      </w:r>
      <w:r w:rsidR="00823AB3" w:rsidRPr="00B237E2">
        <w:rPr>
          <w:lang w:val="es-ES"/>
        </w:rPr>
        <w:t xml:space="preserve"> objetivo</w:t>
      </w:r>
      <w:r w:rsidRPr="00B237E2">
        <w:rPr>
          <w:lang w:val="es-ES"/>
        </w:rPr>
        <w:t>s</w:t>
      </w:r>
      <w:r w:rsidR="00823AB3" w:rsidRPr="00B237E2">
        <w:rPr>
          <w:lang w:val="es-ES"/>
        </w:rPr>
        <w:t xml:space="preserve"> de las actividades de la UIT en el ámbito de la ciberseguridad </w:t>
      </w:r>
      <w:r w:rsidRPr="00B237E2">
        <w:rPr>
          <w:lang w:val="es-ES"/>
        </w:rPr>
        <w:t>son</w:t>
      </w:r>
      <w:r w:rsidR="00823AB3" w:rsidRPr="00B237E2">
        <w:rPr>
          <w:lang w:val="es-ES"/>
        </w:rPr>
        <w:t xml:space="preserve"> </w:t>
      </w:r>
      <w:r w:rsidRPr="00B237E2">
        <w:rPr>
          <w:lang w:val="es-ES"/>
        </w:rPr>
        <w:t>fomentar la</w:t>
      </w:r>
      <w:r w:rsidR="00823AB3" w:rsidRPr="00B237E2">
        <w:rPr>
          <w:lang w:val="es-ES"/>
        </w:rPr>
        <w:t xml:space="preserve"> confianza y </w:t>
      </w:r>
      <w:r w:rsidRPr="00B237E2">
        <w:rPr>
          <w:lang w:val="es-ES"/>
        </w:rPr>
        <w:t xml:space="preserve">la </w:t>
      </w:r>
      <w:r w:rsidR="00823AB3" w:rsidRPr="00B237E2">
        <w:rPr>
          <w:lang w:val="es-ES"/>
        </w:rPr>
        <w:t xml:space="preserve">seguridad </w:t>
      </w:r>
      <w:r w:rsidRPr="00B237E2">
        <w:rPr>
          <w:lang w:val="es-ES"/>
        </w:rPr>
        <w:t>sobre</w:t>
      </w:r>
      <w:r w:rsidR="00823AB3" w:rsidRPr="00B237E2">
        <w:rPr>
          <w:lang w:val="es-ES"/>
        </w:rPr>
        <w:t xml:space="preserve"> las telecomunicaciones/TIC, </w:t>
      </w:r>
      <w:r w:rsidRPr="00B237E2">
        <w:rPr>
          <w:lang w:val="es-ES"/>
        </w:rPr>
        <w:t>y facilitar la aplicación de</w:t>
      </w:r>
      <w:r w:rsidR="00823AB3" w:rsidRPr="00B237E2">
        <w:rPr>
          <w:lang w:val="es-ES"/>
        </w:rPr>
        <w:t xml:space="preserve"> iniciativas </w:t>
      </w:r>
      <w:r w:rsidRPr="00B237E2">
        <w:rPr>
          <w:lang w:val="es-ES"/>
        </w:rPr>
        <w:t>a escalas nacional e internacional</w:t>
      </w:r>
      <w:r w:rsidR="00823AB3" w:rsidRPr="00B237E2">
        <w:rPr>
          <w:lang w:val="es-ES"/>
        </w:rPr>
        <w:t xml:space="preserve">. Esas actividades se basan en la </w:t>
      </w:r>
      <w:hyperlink r:id="rId119" w:history="1">
        <w:r w:rsidR="00823AB3" w:rsidRPr="00B237E2">
          <w:rPr>
            <w:rStyle w:val="Hyperlink"/>
            <w:lang w:val="es-ES"/>
          </w:rPr>
          <w:t>Resolución</w:t>
        </w:r>
        <w:r w:rsidR="00300727">
          <w:rPr>
            <w:rStyle w:val="Hyperlink"/>
            <w:lang w:val="es-ES"/>
          </w:rPr>
          <w:t> </w:t>
        </w:r>
        <w:r w:rsidR="00823AB3" w:rsidRPr="00B237E2">
          <w:rPr>
            <w:rStyle w:val="Hyperlink"/>
            <w:lang w:val="es-ES"/>
          </w:rPr>
          <w:t>130</w:t>
        </w:r>
      </w:hyperlink>
      <w:r w:rsidR="00823AB3" w:rsidRPr="00B237E2">
        <w:rPr>
          <w:lang w:val="es-ES"/>
        </w:rPr>
        <w:t xml:space="preserve"> (Rev. Dubái, 2018)</w:t>
      </w:r>
      <w:r w:rsidR="00BF6132" w:rsidRPr="00B237E2">
        <w:rPr>
          <w:lang w:val="es-ES"/>
        </w:rPr>
        <w:t>;</w:t>
      </w:r>
      <w:r w:rsidR="00823AB3" w:rsidRPr="00B237E2">
        <w:rPr>
          <w:lang w:val="es-ES"/>
        </w:rPr>
        <w:t xml:space="preserve"> la </w:t>
      </w:r>
      <w:hyperlink r:id="rId120" w:history="1">
        <w:r w:rsidR="00823AB3" w:rsidRPr="00B237E2">
          <w:rPr>
            <w:rStyle w:val="Hyperlink"/>
            <w:lang w:val="es-ES"/>
          </w:rPr>
          <w:t>Resolución</w:t>
        </w:r>
        <w:r w:rsidR="00300727">
          <w:rPr>
            <w:rStyle w:val="Hyperlink"/>
            <w:lang w:val="es-ES"/>
          </w:rPr>
          <w:t> </w:t>
        </w:r>
        <w:r w:rsidR="00823AB3" w:rsidRPr="00B237E2">
          <w:rPr>
            <w:rStyle w:val="Hyperlink"/>
            <w:lang w:val="es-ES"/>
          </w:rPr>
          <w:t>174</w:t>
        </w:r>
      </w:hyperlink>
      <w:r w:rsidR="00823AB3" w:rsidRPr="00B237E2">
        <w:rPr>
          <w:lang w:val="es-ES"/>
        </w:rPr>
        <w:t xml:space="preserve"> (Rev. Busán, 2014)</w:t>
      </w:r>
      <w:r w:rsidR="00BF6132" w:rsidRPr="00B237E2">
        <w:rPr>
          <w:lang w:val="es-ES"/>
        </w:rPr>
        <w:t>;</w:t>
      </w:r>
      <w:r w:rsidR="00823AB3" w:rsidRPr="00B237E2">
        <w:rPr>
          <w:lang w:val="es-ES"/>
        </w:rPr>
        <w:t xml:space="preserve"> la </w:t>
      </w:r>
      <w:hyperlink r:id="rId121" w:history="1">
        <w:r w:rsidR="00823AB3" w:rsidRPr="00B237E2">
          <w:rPr>
            <w:rStyle w:val="Hyperlink"/>
            <w:lang w:val="es-ES"/>
          </w:rPr>
          <w:t>Resolución</w:t>
        </w:r>
        <w:r w:rsidR="00300727">
          <w:rPr>
            <w:rStyle w:val="Hyperlink"/>
            <w:lang w:val="es-ES"/>
          </w:rPr>
          <w:t> </w:t>
        </w:r>
        <w:r w:rsidR="00823AB3" w:rsidRPr="00B237E2">
          <w:rPr>
            <w:rStyle w:val="Hyperlink"/>
            <w:lang w:val="es-ES"/>
          </w:rPr>
          <w:t>179</w:t>
        </w:r>
      </w:hyperlink>
      <w:r w:rsidR="00823AB3" w:rsidRPr="00B237E2">
        <w:rPr>
          <w:lang w:val="es-ES"/>
        </w:rPr>
        <w:t xml:space="preserve"> (Rev. Dubái, 2018)</w:t>
      </w:r>
      <w:r w:rsidR="00BF6132" w:rsidRPr="00B237E2">
        <w:rPr>
          <w:lang w:val="es-ES"/>
        </w:rPr>
        <w:t>;</w:t>
      </w:r>
      <w:r w:rsidR="00823AB3" w:rsidRPr="00B237E2">
        <w:rPr>
          <w:lang w:val="es-ES"/>
        </w:rPr>
        <w:t xml:space="preserve"> las Resoluciones conexas de la CMDT y la AMNT</w:t>
      </w:r>
      <w:r w:rsidR="00BF6132" w:rsidRPr="00B237E2">
        <w:rPr>
          <w:lang w:val="es-ES"/>
        </w:rPr>
        <w:t>;</w:t>
      </w:r>
      <w:r w:rsidR="00823AB3" w:rsidRPr="00B237E2">
        <w:rPr>
          <w:lang w:val="es-ES"/>
        </w:rPr>
        <w:t xml:space="preserve"> </w:t>
      </w:r>
      <w:r w:rsidR="00BF6132" w:rsidRPr="00B237E2">
        <w:rPr>
          <w:lang w:val="es-ES"/>
        </w:rPr>
        <w:t xml:space="preserve">y </w:t>
      </w:r>
      <w:r w:rsidR="00823AB3" w:rsidRPr="00B237E2">
        <w:rPr>
          <w:lang w:val="es-ES"/>
        </w:rPr>
        <w:t xml:space="preserve">la función de la UIT como facilitador de la </w:t>
      </w:r>
      <w:r w:rsidR="00A31305" w:rsidRPr="00B237E2">
        <w:rPr>
          <w:lang w:val="es-ES"/>
        </w:rPr>
        <w:t>l</w:t>
      </w:r>
      <w:r w:rsidR="00823AB3" w:rsidRPr="00B237E2">
        <w:rPr>
          <w:lang w:val="es-ES"/>
        </w:rPr>
        <w:t xml:space="preserve">ínea de </w:t>
      </w:r>
      <w:r w:rsidR="00A31305" w:rsidRPr="00B237E2">
        <w:rPr>
          <w:lang w:val="es-ES"/>
        </w:rPr>
        <w:t>a</w:t>
      </w:r>
      <w:r w:rsidR="00823AB3" w:rsidRPr="00B237E2">
        <w:rPr>
          <w:lang w:val="es-ES"/>
        </w:rPr>
        <w:t xml:space="preserve">cción C5 de la CMSI. El </w:t>
      </w:r>
      <w:hyperlink r:id="rId122" w:history="1">
        <w:r w:rsidR="00823AB3" w:rsidRPr="00B237E2">
          <w:rPr>
            <w:rStyle w:val="Hyperlink"/>
            <w:lang w:val="es-ES"/>
          </w:rPr>
          <w:t xml:space="preserve">Programa de </w:t>
        </w:r>
        <w:r w:rsidR="00300727" w:rsidRPr="00B237E2">
          <w:rPr>
            <w:rStyle w:val="Hyperlink"/>
            <w:lang w:val="es-ES"/>
          </w:rPr>
          <w:t>c</w:t>
        </w:r>
        <w:r w:rsidR="00823AB3" w:rsidRPr="00B237E2">
          <w:rPr>
            <w:rStyle w:val="Hyperlink"/>
            <w:lang w:val="es-ES"/>
          </w:rPr>
          <w:t>iberseguridad de la UIT</w:t>
        </w:r>
      </w:hyperlink>
      <w:r w:rsidR="00BF6132" w:rsidRPr="00B237E2">
        <w:rPr>
          <w:lang w:val="es-ES"/>
        </w:rPr>
        <w:t>, basado en el marco de la Agenda sobre Ciberseguridad Global</w:t>
      </w:r>
      <w:r w:rsidR="00114045" w:rsidRPr="00B237E2">
        <w:rPr>
          <w:lang w:val="es-ES"/>
        </w:rPr>
        <w:t>,</w:t>
      </w:r>
      <w:r w:rsidR="00BF6132" w:rsidRPr="00B237E2">
        <w:rPr>
          <w:lang w:val="es-ES"/>
        </w:rPr>
        <w:t xml:space="preserve"> </w:t>
      </w:r>
      <w:r w:rsidR="00823AB3" w:rsidRPr="00B237E2">
        <w:rPr>
          <w:lang w:val="es-ES"/>
        </w:rPr>
        <w:t>muestra el carácter complementario y facilitan la ejecución de las actividades del UIT-R, el UIT-T y el UIT-D en este ámbito.</w:t>
      </w:r>
    </w:p>
    <w:p w14:paraId="213C9469" w14:textId="77777777" w:rsidR="00823AB3" w:rsidRPr="00B237E2" w:rsidRDefault="00823AB3" w:rsidP="00C6666B">
      <w:pPr>
        <w:keepNext/>
        <w:keepLines/>
        <w:rPr>
          <w:u w:val="single"/>
          <w:lang w:val="es-ES"/>
        </w:rPr>
      </w:pPr>
      <w:r w:rsidRPr="00CD2A86">
        <w:rPr>
          <w:u w:val="single"/>
          <w:lang w:val="es-ES"/>
        </w:rPr>
        <w:t>Medidas jurídicas</w:t>
      </w:r>
    </w:p>
    <w:p w14:paraId="2C163412" w14:textId="5129A23B" w:rsidR="00823AB3" w:rsidRPr="00B237E2" w:rsidRDefault="00114045" w:rsidP="00E124B0">
      <w:pPr>
        <w:rPr>
          <w:lang w:val="es-ES"/>
        </w:rPr>
      </w:pPr>
      <w:r w:rsidRPr="00B237E2">
        <w:rPr>
          <w:lang w:val="es-ES"/>
        </w:rPr>
        <w:t xml:space="preserve">La UIT ayuda a los Estados Miembros a comprender los aspectos legales de la ciberseguridad a través de sus </w:t>
      </w:r>
      <w:hyperlink r:id="rId123" w:history="1">
        <w:r w:rsidR="00CD2A86" w:rsidRPr="00063989">
          <w:rPr>
            <w:rStyle w:val="Hyperlink"/>
            <w:lang w:val="es-ES"/>
          </w:rPr>
          <w:t>r</w:t>
        </w:r>
        <w:r w:rsidR="004F03D8" w:rsidRPr="00063989">
          <w:rPr>
            <w:rStyle w:val="Hyperlink"/>
            <w:lang w:val="es-ES"/>
          </w:rPr>
          <w:t xml:space="preserve">ecursos sobre legislación relativa al </w:t>
        </w:r>
        <w:r w:rsidR="00890DBB" w:rsidRPr="00063989">
          <w:rPr>
            <w:rStyle w:val="Hyperlink"/>
            <w:lang w:val="es-ES"/>
          </w:rPr>
          <w:t>ciberdelito</w:t>
        </w:r>
      </w:hyperlink>
      <w:r w:rsidR="00890DBB" w:rsidRPr="00B237E2">
        <w:rPr>
          <w:lang w:val="es-ES"/>
        </w:rPr>
        <w:t xml:space="preserve">, </w:t>
      </w:r>
      <w:r w:rsidRPr="00B237E2">
        <w:rPr>
          <w:lang w:val="es-ES"/>
        </w:rPr>
        <w:t xml:space="preserve">con el fin de armonizar sus marcos </w:t>
      </w:r>
      <w:r w:rsidR="00890DBB" w:rsidRPr="00B237E2">
        <w:rPr>
          <w:lang w:val="es-ES"/>
        </w:rPr>
        <w:t>jurídicos</w:t>
      </w:r>
      <w:r w:rsidRPr="00B237E2">
        <w:rPr>
          <w:lang w:val="es-ES"/>
        </w:rPr>
        <w:t xml:space="preserve">. La UIT colabora con </w:t>
      </w:r>
      <w:r w:rsidR="00890DBB" w:rsidRPr="00B237E2">
        <w:rPr>
          <w:lang w:val="es-ES"/>
        </w:rPr>
        <w:t xml:space="preserve">diversos asociados, en particular </w:t>
      </w:r>
      <w:r w:rsidRPr="00B237E2">
        <w:rPr>
          <w:lang w:val="es-ES"/>
        </w:rPr>
        <w:t>la UNODC</w:t>
      </w:r>
      <w:r w:rsidR="00A168D3" w:rsidRPr="00EB7F22">
        <w:rPr>
          <w:lang w:val="es-ES"/>
        </w:rPr>
        <w:t xml:space="preserve">. </w:t>
      </w:r>
      <w:r w:rsidR="00823AB3" w:rsidRPr="00B237E2">
        <w:rPr>
          <w:lang w:val="es-ES"/>
        </w:rPr>
        <w:t>Se requieren medidas jurídicas para garantizar tanto la existencia de una legislación adecuada en materia de ciberseguridad, como la armonización del marco jurídico y normativo.</w:t>
      </w:r>
    </w:p>
    <w:p w14:paraId="6AD86BA8" w14:textId="77777777" w:rsidR="00823AB3" w:rsidRPr="00B237E2" w:rsidRDefault="00823AB3" w:rsidP="00C6666B">
      <w:pPr>
        <w:keepNext/>
        <w:keepLines/>
        <w:rPr>
          <w:u w:val="single"/>
          <w:lang w:val="es-ES"/>
        </w:rPr>
      </w:pPr>
      <w:r w:rsidRPr="00CD2A86">
        <w:rPr>
          <w:u w:val="single"/>
          <w:lang w:val="es-ES"/>
        </w:rPr>
        <w:t>Medidas técnicas y de procedimiento</w:t>
      </w:r>
    </w:p>
    <w:p w14:paraId="1EC75700" w14:textId="02BE0FA8" w:rsidR="00823AB3" w:rsidRPr="00B237E2" w:rsidRDefault="00300D37" w:rsidP="00E124B0">
      <w:pPr>
        <w:rPr>
          <w:lang w:val="es-ES"/>
        </w:rPr>
      </w:pPr>
      <w:bookmarkStart w:id="91" w:name="_Hlk73455100"/>
      <w:r w:rsidRPr="00B237E2">
        <w:rPr>
          <w:lang w:val="es-ES"/>
        </w:rPr>
        <w:t>La</w:t>
      </w:r>
      <w:r w:rsidR="00823AB3" w:rsidRPr="00B237E2">
        <w:rPr>
          <w:lang w:val="es-ES"/>
        </w:rPr>
        <w:t xml:space="preserve"> CE 17 del UIT-T (</w:t>
      </w:r>
      <w:hyperlink r:id="rId124" w:history="1">
        <w:r w:rsidR="00823AB3" w:rsidRPr="00B237E2">
          <w:rPr>
            <w:rStyle w:val="Hyperlink"/>
            <w:lang w:val="es-ES"/>
          </w:rPr>
          <w:t>Seguridad</w:t>
        </w:r>
      </w:hyperlink>
      <w:r w:rsidR="00823AB3" w:rsidRPr="00B237E2">
        <w:rPr>
          <w:lang w:val="es-ES"/>
        </w:rPr>
        <w:t>) es la Comisión de Estudio rectora sobre creación de confianza y seguridad en la utilización de las TIC</w:t>
      </w:r>
      <w:r w:rsidRPr="00B237E2">
        <w:rPr>
          <w:lang w:val="es-ES"/>
        </w:rPr>
        <w:t>, promueve</w:t>
      </w:r>
      <w:r w:rsidR="00823AB3" w:rsidRPr="00B237E2">
        <w:rPr>
          <w:lang w:val="es-ES"/>
        </w:rPr>
        <w:t xml:space="preserve"> infraestructuras, servicios y aplicaciones de red más seguros y coordina los trabajos relacionados con la seguridad en todas las Comisiones de Estudio del UIT-T. </w:t>
      </w:r>
      <w:bookmarkEnd w:id="91"/>
      <w:r w:rsidR="00823AB3" w:rsidRPr="00B237E2">
        <w:rPr>
          <w:lang w:val="es-ES"/>
        </w:rPr>
        <w:t xml:space="preserve">Otras Comisiones de Estudio del UIT-T, </w:t>
      </w:r>
      <w:r w:rsidRPr="00B237E2">
        <w:rPr>
          <w:lang w:val="es-ES"/>
        </w:rPr>
        <w:t>en particular</w:t>
      </w:r>
      <w:r w:rsidR="00823AB3" w:rsidRPr="00B237E2">
        <w:rPr>
          <w:lang w:val="es-ES"/>
        </w:rPr>
        <w:t xml:space="preserve"> la CE 9 (</w:t>
      </w:r>
      <w:hyperlink r:id="rId125" w:history="1">
        <w:r w:rsidR="00823AB3" w:rsidRPr="00B237E2">
          <w:rPr>
            <w:rStyle w:val="Hyperlink"/>
            <w:lang w:val="es-ES"/>
          </w:rPr>
          <w:t>Cable y TV de banda ancha</w:t>
        </w:r>
      </w:hyperlink>
      <w:r w:rsidR="00823AB3" w:rsidRPr="00B237E2">
        <w:rPr>
          <w:lang w:val="es-ES"/>
        </w:rPr>
        <w:t>) y la CE 13 (</w:t>
      </w:r>
      <w:hyperlink r:id="rId126" w:history="1">
        <w:r w:rsidR="00823AB3" w:rsidRPr="00B237E2">
          <w:rPr>
            <w:rStyle w:val="Hyperlink"/>
            <w:lang w:val="es-ES"/>
          </w:rPr>
          <w:t>Redes futuras, especialmente las IMT-2020, la computación en la nube y las infraestructuras de red de confianza</w:t>
        </w:r>
      </w:hyperlink>
      <w:r w:rsidR="00823AB3" w:rsidRPr="00B237E2">
        <w:rPr>
          <w:lang w:val="es-ES"/>
        </w:rPr>
        <w:t>), contribuyeron al cumplimiento del mandato de la UIT en materia de ciberseguridad.</w:t>
      </w:r>
      <w:r w:rsidR="00A168D3" w:rsidRPr="00B237E2">
        <w:rPr>
          <w:rFonts w:eastAsia="Calibri" w:cs="Calibri"/>
          <w:sz w:val="22"/>
          <w:szCs w:val="22"/>
          <w:lang w:val="es-ES"/>
        </w:rPr>
        <w:t xml:space="preserve"> </w:t>
      </w:r>
      <w:r w:rsidR="001B6D08" w:rsidRPr="00B237E2">
        <w:rPr>
          <w:lang w:val="es-ES"/>
        </w:rPr>
        <w:t>El UIT-R estableció unos principios de seguridad claros para las redes IMT (3G, 4G y 5G).</w:t>
      </w:r>
    </w:p>
    <w:p w14:paraId="11907E89" w14:textId="77777777" w:rsidR="00823AB3" w:rsidRPr="00B237E2" w:rsidRDefault="00823AB3" w:rsidP="00C6666B">
      <w:pPr>
        <w:keepNext/>
        <w:keepLines/>
        <w:rPr>
          <w:u w:val="single"/>
          <w:lang w:val="es-ES"/>
        </w:rPr>
      </w:pPr>
      <w:r w:rsidRPr="00CD2A86">
        <w:rPr>
          <w:u w:val="single"/>
          <w:lang w:val="es-ES"/>
        </w:rPr>
        <w:t>Estructuras organizativas</w:t>
      </w:r>
    </w:p>
    <w:p w14:paraId="21BFD388" w14:textId="3468921F" w:rsidR="00A168D3" w:rsidRPr="00EB7F22" w:rsidRDefault="001B6D08" w:rsidP="00EB7F22">
      <w:pPr>
        <w:rPr>
          <w:lang w:val="es-ES"/>
        </w:rPr>
      </w:pPr>
      <w:r w:rsidRPr="00FA3C80">
        <w:rPr>
          <w:lang w:val="es-ES"/>
        </w:rPr>
        <w:t xml:space="preserve">La Oficina de Desarrollo de la UIT evalúa la preparación para el despliegue </w:t>
      </w:r>
      <w:r w:rsidR="0021109C" w:rsidRPr="00FA3C80">
        <w:rPr>
          <w:lang w:val="es-ES"/>
        </w:rPr>
        <w:t>en</w:t>
      </w:r>
      <w:r w:rsidRPr="00FA3C80">
        <w:rPr>
          <w:lang w:val="es-ES"/>
        </w:rPr>
        <w:t xml:space="preserve"> los Estados Miembros de la UIT de </w:t>
      </w:r>
      <w:hyperlink r:id="rId127" w:history="1">
        <w:r w:rsidR="0021109C" w:rsidRPr="001B1357">
          <w:rPr>
            <w:rStyle w:val="Hyperlink"/>
            <w:lang w:val="es-ES"/>
          </w:rPr>
          <w:t xml:space="preserve">Equipos nacionales de </w:t>
        </w:r>
        <w:r w:rsidR="00392A9C" w:rsidRPr="001B1357">
          <w:rPr>
            <w:rStyle w:val="Hyperlink"/>
            <w:lang w:val="es-ES"/>
          </w:rPr>
          <w:t>intervención</w:t>
        </w:r>
        <w:r w:rsidR="0021109C" w:rsidRPr="001B1357">
          <w:rPr>
            <w:rStyle w:val="Hyperlink"/>
            <w:lang w:val="es-ES"/>
          </w:rPr>
          <w:t xml:space="preserve"> en caso de </w:t>
        </w:r>
        <w:r w:rsidR="00392A9C" w:rsidRPr="001B1357">
          <w:rPr>
            <w:rStyle w:val="Hyperlink"/>
            <w:lang w:val="es-ES"/>
          </w:rPr>
          <w:t>i</w:t>
        </w:r>
        <w:r w:rsidR="0021109C" w:rsidRPr="001B1357">
          <w:rPr>
            <w:rStyle w:val="Hyperlink"/>
            <w:lang w:val="es-ES"/>
          </w:rPr>
          <w:t xml:space="preserve">ncidente </w:t>
        </w:r>
        <w:r w:rsidR="00392A9C" w:rsidRPr="001B1357">
          <w:rPr>
            <w:rStyle w:val="Hyperlink"/>
            <w:lang w:val="es-ES"/>
          </w:rPr>
          <w:t>i</w:t>
        </w:r>
        <w:r w:rsidR="0021109C" w:rsidRPr="001B1357">
          <w:rPr>
            <w:rStyle w:val="Hyperlink"/>
            <w:lang w:val="es-ES"/>
          </w:rPr>
          <w:t>nformático (E</w:t>
        </w:r>
        <w:r w:rsidR="00392A9C" w:rsidRPr="001B1357">
          <w:rPr>
            <w:rStyle w:val="Hyperlink"/>
            <w:lang w:val="es-ES"/>
          </w:rPr>
          <w:t>I</w:t>
        </w:r>
        <w:r w:rsidR="0021109C" w:rsidRPr="001B1357">
          <w:rPr>
            <w:rStyle w:val="Hyperlink"/>
            <w:lang w:val="es-ES"/>
          </w:rPr>
          <w:t>II)</w:t>
        </w:r>
      </w:hyperlink>
      <w:r w:rsidR="0021109C" w:rsidRPr="00FA3C80">
        <w:rPr>
          <w:lang w:val="es-ES"/>
        </w:rPr>
        <w:t xml:space="preserve"> operacionales</w:t>
      </w:r>
      <w:r w:rsidRPr="00FA3C80">
        <w:rPr>
          <w:lang w:val="es-ES"/>
        </w:rPr>
        <w:t xml:space="preserve">, establecidos en Barbados, </w:t>
      </w:r>
      <w:r w:rsidR="00CD2A86">
        <w:rPr>
          <w:lang w:val="es-ES"/>
        </w:rPr>
        <w:t>Botswana</w:t>
      </w:r>
      <w:r w:rsidRPr="00FA3C80">
        <w:rPr>
          <w:lang w:val="es-ES"/>
        </w:rPr>
        <w:t>, Burkina Faso, Chipre, Gambia, Ghana, Jamaica, Ken</w:t>
      </w:r>
      <w:r w:rsidR="00CD2A86">
        <w:rPr>
          <w:lang w:val="es-ES"/>
        </w:rPr>
        <w:t>y</w:t>
      </w:r>
      <w:r w:rsidRPr="00FA3C80">
        <w:rPr>
          <w:lang w:val="es-ES"/>
        </w:rPr>
        <w:t>a, Montenegro, Palestina, Tanzan</w:t>
      </w:r>
      <w:r w:rsidR="00446CE6">
        <w:rPr>
          <w:lang w:val="es-ES"/>
        </w:rPr>
        <w:t>í</w:t>
      </w:r>
      <w:r w:rsidRPr="00FA3C80">
        <w:rPr>
          <w:lang w:val="es-ES"/>
        </w:rPr>
        <w:t>a, Trinidad y T</w:t>
      </w:r>
      <w:r w:rsidR="00CD2A86">
        <w:rPr>
          <w:lang w:val="es-ES"/>
        </w:rPr>
        <w:t>a</w:t>
      </w:r>
      <w:r w:rsidRPr="00FA3C80">
        <w:rPr>
          <w:lang w:val="es-ES"/>
        </w:rPr>
        <w:t>bago, Uganda y Zambia</w:t>
      </w:r>
      <w:r w:rsidR="00FD3F1B" w:rsidRPr="00FA3C80">
        <w:rPr>
          <w:lang w:val="es-ES"/>
        </w:rPr>
        <w:t>, además de los que se encuentran en fase de implantación en otros cuatro países, a saber,</w:t>
      </w:r>
      <w:r w:rsidRPr="00FA3C80">
        <w:rPr>
          <w:lang w:val="es-ES"/>
        </w:rPr>
        <w:t xml:space="preserve"> Burundi, Bahamas, Malawi y Kirguistán. </w:t>
      </w:r>
      <w:r w:rsidR="00FD3F1B" w:rsidRPr="00FA3C80">
        <w:rPr>
          <w:lang w:val="es-ES"/>
        </w:rPr>
        <w:t>Por otro lado, s</w:t>
      </w:r>
      <w:r w:rsidRPr="00FA3C80">
        <w:rPr>
          <w:lang w:val="es-ES"/>
        </w:rPr>
        <w:t xml:space="preserve">e </w:t>
      </w:r>
      <w:r w:rsidR="00FD3F1B" w:rsidRPr="00FA3C80">
        <w:rPr>
          <w:lang w:val="es-ES"/>
        </w:rPr>
        <w:t>realizan</w:t>
      </w:r>
      <w:r w:rsidRPr="00FA3C80">
        <w:rPr>
          <w:lang w:val="es-ES"/>
        </w:rPr>
        <w:t xml:space="preserve"> mejoras </w:t>
      </w:r>
      <w:r w:rsidR="00FD3F1B" w:rsidRPr="00FA3C80">
        <w:rPr>
          <w:lang w:val="es-ES"/>
        </w:rPr>
        <w:t xml:space="preserve">al respecto </w:t>
      </w:r>
      <w:r w:rsidRPr="00FA3C80">
        <w:rPr>
          <w:lang w:val="es-ES"/>
        </w:rPr>
        <w:t>en Ken</w:t>
      </w:r>
      <w:r w:rsidR="00CD2A86">
        <w:rPr>
          <w:lang w:val="es-ES"/>
        </w:rPr>
        <w:t>y</w:t>
      </w:r>
      <w:r w:rsidRPr="00FA3C80">
        <w:rPr>
          <w:lang w:val="es-ES"/>
        </w:rPr>
        <w:t>a y Barbados.</w:t>
      </w:r>
    </w:p>
    <w:p w14:paraId="6FDB61BB" w14:textId="51974BBC" w:rsidR="00A168D3" w:rsidRPr="00FA3C80" w:rsidRDefault="00FB70FD" w:rsidP="00FA3C80">
      <w:pPr>
        <w:pStyle w:val="Headingb"/>
        <w:rPr>
          <w:lang w:val="es-ES"/>
        </w:rPr>
      </w:pPr>
      <w:r w:rsidRPr="00446CE6">
        <w:rPr>
          <w:lang w:val="es-ES"/>
        </w:rPr>
        <w:t xml:space="preserve">Realización de </w:t>
      </w:r>
      <w:r w:rsidR="00A168D3" w:rsidRPr="00446CE6">
        <w:rPr>
          <w:lang w:val="es-ES"/>
        </w:rPr>
        <w:t>30 </w:t>
      </w:r>
      <w:r w:rsidR="00865726" w:rsidRPr="00446CE6">
        <w:rPr>
          <w:lang w:val="es-ES"/>
        </w:rPr>
        <w:t>c</w:t>
      </w:r>
      <w:r w:rsidRPr="00446CE6">
        <w:rPr>
          <w:lang w:val="es-ES"/>
        </w:rPr>
        <w:t>ibersimulacros en</w:t>
      </w:r>
      <w:r w:rsidR="00A168D3" w:rsidRPr="00446CE6">
        <w:rPr>
          <w:lang w:val="es-ES"/>
        </w:rPr>
        <w:t xml:space="preserve"> 110 </w:t>
      </w:r>
      <w:r w:rsidRPr="00446CE6">
        <w:rPr>
          <w:lang w:val="es-ES"/>
        </w:rPr>
        <w:t>países</w:t>
      </w:r>
    </w:p>
    <w:p w14:paraId="4E4127B6" w14:textId="663EB983" w:rsidR="00A168D3" w:rsidRPr="00FA3C80" w:rsidRDefault="00FD3F1B" w:rsidP="00E81485">
      <w:pPr>
        <w:rPr>
          <w:lang w:val="es-ES"/>
        </w:rPr>
      </w:pPr>
      <w:r w:rsidRPr="00FA3C80">
        <w:rPr>
          <w:lang w:val="es-ES"/>
        </w:rPr>
        <w:t>E</w:t>
      </w:r>
      <w:r w:rsidR="00FB70FD" w:rsidRPr="00FA3C80">
        <w:rPr>
          <w:lang w:val="es-ES"/>
        </w:rPr>
        <w:t>n el marco de</w:t>
      </w:r>
      <w:r w:rsidRPr="00FA3C80">
        <w:rPr>
          <w:lang w:val="es-ES"/>
        </w:rPr>
        <w:t xml:space="preserve">l </w:t>
      </w:r>
      <w:r w:rsidR="00FB70FD" w:rsidRPr="00FA3C80">
        <w:rPr>
          <w:lang w:val="es-ES"/>
        </w:rPr>
        <w:t>P</w:t>
      </w:r>
      <w:r w:rsidRPr="00FA3C80">
        <w:rPr>
          <w:lang w:val="es-ES"/>
        </w:rPr>
        <w:t xml:space="preserve">rograma </w:t>
      </w:r>
      <w:r w:rsidR="00FB70FD" w:rsidRPr="00FA3C80">
        <w:rPr>
          <w:lang w:val="es-ES"/>
        </w:rPr>
        <w:t xml:space="preserve">Mundial de </w:t>
      </w:r>
      <w:hyperlink r:id="rId128" w:history="1">
        <w:r w:rsidR="00300727" w:rsidRPr="00446CE6">
          <w:rPr>
            <w:rStyle w:val="Hyperlink"/>
            <w:lang w:val="es-ES"/>
          </w:rPr>
          <w:t>c</w:t>
        </w:r>
        <w:r w:rsidR="00FB70FD" w:rsidRPr="00446CE6">
          <w:rPr>
            <w:rStyle w:val="Hyperlink"/>
            <w:lang w:val="es-ES"/>
          </w:rPr>
          <w:t>ibersimulacros</w:t>
        </w:r>
      </w:hyperlink>
      <w:r w:rsidR="00FB70FD" w:rsidRPr="00FA3C80">
        <w:rPr>
          <w:lang w:val="es-ES"/>
        </w:rPr>
        <w:t xml:space="preserve"> </w:t>
      </w:r>
      <w:r w:rsidRPr="00FA3C80">
        <w:rPr>
          <w:lang w:val="es-ES"/>
        </w:rPr>
        <w:t xml:space="preserve">2021 </w:t>
      </w:r>
      <w:r w:rsidR="00FB70FD" w:rsidRPr="00FA3C80">
        <w:rPr>
          <w:lang w:val="es-ES"/>
        </w:rPr>
        <w:t>se realizan</w:t>
      </w:r>
      <w:r w:rsidRPr="00FA3C80">
        <w:rPr>
          <w:lang w:val="es-ES"/>
        </w:rPr>
        <w:t xml:space="preserve"> eventos en línea, diálogos regionales, seminarios web </w:t>
      </w:r>
      <w:r w:rsidR="00FB70FD" w:rsidRPr="00FA3C80">
        <w:rPr>
          <w:lang w:val="es-ES"/>
        </w:rPr>
        <w:t xml:space="preserve">en los planos </w:t>
      </w:r>
      <w:r w:rsidRPr="00FA3C80">
        <w:rPr>
          <w:lang w:val="es-ES"/>
        </w:rPr>
        <w:t xml:space="preserve">técnico y político, </w:t>
      </w:r>
      <w:r w:rsidR="00FB70FD" w:rsidRPr="00FA3C80">
        <w:rPr>
          <w:lang w:val="es-ES"/>
        </w:rPr>
        <w:t>cursos de formación</w:t>
      </w:r>
      <w:r w:rsidRPr="00FA3C80">
        <w:rPr>
          <w:lang w:val="es-ES"/>
        </w:rPr>
        <w:t xml:space="preserve"> </w:t>
      </w:r>
      <w:r w:rsidR="00FB70FD" w:rsidRPr="00FA3C80">
        <w:rPr>
          <w:lang w:val="es-ES"/>
        </w:rPr>
        <w:t>sobre</w:t>
      </w:r>
      <w:r w:rsidRPr="00FA3C80">
        <w:rPr>
          <w:lang w:val="es-ES"/>
        </w:rPr>
        <w:t xml:space="preserve"> el uso de herramientas y desarrollo de </w:t>
      </w:r>
      <w:r w:rsidR="00865726" w:rsidRPr="00FA3C80">
        <w:rPr>
          <w:lang w:val="es-ES"/>
        </w:rPr>
        <w:t>competencias</w:t>
      </w:r>
      <w:r w:rsidRPr="00FA3C80">
        <w:rPr>
          <w:lang w:val="es-ES"/>
        </w:rPr>
        <w:t xml:space="preserve">, y reuniones interregionales. El marco </w:t>
      </w:r>
      <w:r w:rsidR="00865726" w:rsidRPr="00FA3C80">
        <w:rPr>
          <w:lang w:val="es-ES"/>
        </w:rPr>
        <w:t>operacional</w:t>
      </w:r>
      <w:r w:rsidRPr="00FA3C80">
        <w:rPr>
          <w:lang w:val="es-ES"/>
        </w:rPr>
        <w:t xml:space="preserve"> y las directrices para la planificación y ejecución de </w:t>
      </w:r>
      <w:r w:rsidR="00865726" w:rsidRPr="00FA3C80">
        <w:rPr>
          <w:lang w:val="es-ES"/>
        </w:rPr>
        <w:t>dichos cibersimulacros</w:t>
      </w:r>
      <w:r w:rsidRPr="00FA3C80">
        <w:rPr>
          <w:lang w:val="es-ES"/>
        </w:rPr>
        <w:t xml:space="preserve"> regionales de la UIT </w:t>
      </w:r>
      <w:r w:rsidR="00865726" w:rsidRPr="00FA3C80">
        <w:rPr>
          <w:lang w:val="es-ES"/>
        </w:rPr>
        <w:t>se han finalizado. La</w:t>
      </w:r>
      <w:r w:rsidRPr="00FA3C80">
        <w:rPr>
          <w:lang w:val="es-ES"/>
        </w:rPr>
        <w:t xml:space="preserve"> UIT ha organizado </w:t>
      </w:r>
      <w:r w:rsidR="00865726" w:rsidRPr="00FA3C80">
        <w:rPr>
          <w:lang w:val="es-ES"/>
        </w:rPr>
        <w:t xml:space="preserve">hasta ahora </w:t>
      </w:r>
      <w:r w:rsidRPr="00FA3C80">
        <w:rPr>
          <w:lang w:val="es-ES"/>
        </w:rPr>
        <w:t xml:space="preserve">30 </w:t>
      </w:r>
      <w:r w:rsidR="00865726" w:rsidRPr="00FA3C80">
        <w:rPr>
          <w:lang w:val="es-ES"/>
        </w:rPr>
        <w:t xml:space="preserve">cibersimulacros </w:t>
      </w:r>
      <w:r w:rsidRPr="00FA3C80">
        <w:rPr>
          <w:lang w:val="es-ES"/>
        </w:rPr>
        <w:t>en los que han participado 110</w:t>
      </w:r>
      <w:r w:rsidR="00446CE6">
        <w:rPr>
          <w:lang w:val="es-ES"/>
        </w:rPr>
        <w:t> </w:t>
      </w:r>
      <w:r w:rsidRPr="00FA3C80">
        <w:rPr>
          <w:lang w:val="es-ES"/>
        </w:rPr>
        <w:t>países.</w:t>
      </w:r>
    </w:p>
    <w:p w14:paraId="1317963F" w14:textId="6E174C4C" w:rsidR="00A168D3" w:rsidRPr="00FA3C80" w:rsidRDefault="00865726" w:rsidP="00FA3C80">
      <w:pPr>
        <w:pStyle w:val="Headingb"/>
        <w:rPr>
          <w:lang w:val="es-ES"/>
        </w:rPr>
      </w:pPr>
      <w:r w:rsidRPr="00336390">
        <w:rPr>
          <w:lang w:val="es-ES"/>
        </w:rPr>
        <w:t>Creación de capacidad: intercambio de conocimientos y herramientas, formación</w:t>
      </w:r>
      <w:r w:rsidR="00300AE3" w:rsidRPr="00336390">
        <w:rPr>
          <w:lang w:val="es-ES"/>
        </w:rPr>
        <w:t xml:space="preserve"> y empoderamiento</w:t>
      </w:r>
    </w:p>
    <w:p w14:paraId="046B59E0" w14:textId="3E1B3EF9" w:rsidR="00F94917" w:rsidRPr="00FA3C80" w:rsidRDefault="00F94917" w:rsidP="00E124B0">
      <w:pPr>
        <w:pStyle w:val="enumlev1"/>
        <w:rPr>
          <w:lang w:val="es-ES"/>
        </w:rPr>
      </w:pPr>
      <w:r w:rsidRPr="00FA3C80">
        <w:rPr>
          <w:lang w:val="es-ES"/>
        </w:rPr>
        <w:t>•</w:t>
      </w:r>
      <w:r w:rsidRPr="00FA3C80">
        <w:rPr>
          <w:lang w:val="es-ES"/>
        </w:rPr>
        <w:tab/>
      </w:r>
      <w:r w:rsidR="00365213" w:rsidRPr="00FA3C80">
        <w:rPr>
          <w:lang w:val="es-ES"/>
        </w:rPr>
        <w:t xml:space="preserve">La Oficina de Desarrollo </w:t>
      </w:r>
      <w:r w:rsidR="00EF272E" w:rsidRPr="00FA3C80">
        <w:rPr>
          <w:lang w:val="es-ES"/>
        </w:rPr>
        <w:t xml:space="preserve">de las Telecomunicaciones (BDT) </w:t>
      </w:r>
      <w:r w:rsidR="00365213" w:rsidRPr="00FA3C80">
        <w:rPr>
          <w:lang w:val="es-ES"/>
        </w:rPr>
        <w:t xml:space="preserve">de la UIT organiza </w:t>
      </w:r>
      <w:hyperlink r:id="rId129" w:history="1">
        <w:r w:rsidR="00365213" w:rsidRPr="00063989">
          <w:rPr>
            <w:rStyle w:val="Hyperlink"/>
            <w:lang w:val="es-ES"/>
          </w:rPr>
          <w:t xml:space="preserve">foros regionales </w:t>
        </w:r>
        <w:r w:rsidR="00EF272E" w:rsidRPr="00063989">
          <w:rPr>
            <w:rStyle w:val="Hyperlink"/>
            <w:lang w:val="es-ES"/>
          </w:rPr>
          <w:t>sobre</w:t>
        </w:r>
        <w:r w:rsidR="00365213" w:rsidRPr="00063989">
          <w:rPr>
            <w:rStyle w:val="Hyperlink"/>
            <w:lang w:val="es-ES"/>
          </w:rPr>
          <w:t xml:space="preserve"> ciberseguridad</w:t>
        </w:r>
      </w:hyperlink>
      <w:r w:rsidR="00365213" w:rsidRPr="00FA3C80">
        <w:rPr>
          <w:lang w:val="es-ES"/>
        </w:rPr>
        <w:t xml:space="preserve"> en todas las regiones de la UIT, </w:t>
      </w:r>
      <w:r w:rsidR="00EF272E" w:rsidRPr="00FA3C80">
        <w:rPr>
          <w:lang w:val="es-ES"/>
        </w:rPr>
        <w:t>a fin de fomentar la capacitación sobre</w:t>
      </w:r>
      <w:r w:rsidR="00365213" w:rsidRPr="00FA3C80">
        <w:rPr>
          <w:lang w:val="es-ES"/>
        </w:rPr>
        <w:t xml:space="preserve"> programas de la BDT y </w:t>
      </w:r>
      <w:r w:rsidR="00EF272E" w:rsidRPr="00FA3C80">
        <w:rPr>
          <w:lang w:val="es-ES"/>
        </w:rPr>
        <w:t>promover</w:t>
      </w:r>
      <w:r w:rsidR="00365213" w:rsidRPr="00FA3C80">
        <w:rPr>
          <w:lang w:val="es-ES"/>
        </w:rPr>
        <w:t xml:space="preserve"> la cooperación a </w:t>
      </w:r>
      <w:r w:rsidR="00EF272E" w:rsidRPr="00FA3C80">
        <w:rPr>
          <w:lang w:val="es-ES"/>
        </w:rPr>
        <w:t>escalas</w:t>
      </w:r>
      <w:r w:rsidR="00365213" w:rsidRPr="00FA3C80">
        <w:rPr>
          <w:lang w:val="es-ES"/>
        </w:rPr>
        <w:t xml:space="preserve"> regional e internacional.</w:t>
      </w:r>
    </w:p>
    <w:p w14:paraId="51131AC0" w14:textId="0D3BC205" w:rsidR="00F94917" w:rsidRPr="00EB7F22" w:rsidRDefault="00F94917">
      <w:pPr>
        <w:pStyle w:val="enumlev1"/>
        <w:rPr>
          <w:rFonts w:eastAsia="Calibri"/>
          <w:lang w:val="es-ES" w:eastAsia="zh-TW"/>
        </w:rPr>
      </w:pPr>
      <w:r w:rsidRPr="00B237E2">
        <w:rPr>
          <w:rFonts w:eastAsia="Calibri"/>
          <w:lang w:val="es-ES" w:eastAsia="zh-TW"/>
        </w:rPr>
        <w:lastRenderedPageBreak/>
        <w:t>•</w:t>
      </w:r>
      <w:r w:rsidRPr="00B237E2">
        <w:rPr>
          <w:rFonts w:eastAsia="Calibri"/>
          <w:lang w:val="es-ES" w:eastAsia="zh-TW"/>
        </w:rPr>
        <w:tab/>
      </w:r>
      <w:r w:rsidR="007C2382" w:rsidRPr="00B237E2">
        <w:rPr>
          <w:rFonts w:eastAsia="Calibri"/>
          <w:lang w:val="es-ES" w:eastAsia="zh-TW"/>
        </w:rPr>
        <w:t xml:space="preserve">Más de 20 organizaciones, entre ellas organizaciones intergubernamentales e internacionales, el sector privado, instituciones académicas y la sociedad civil, actualizan la </w:t>
      </w:r>
      <w:hyperlink r:id="rId130" w:history="1">
        <w:r w:rsidR="007C2382" w:rsidRPr="00063989">
          <w:rPr>
            <w:rStyle w:val="Hyperlink"/>
            <w:rFonts w:eastAsia="Calibri"/>
            <w:lang w:val="es-ES" w:eastAsia="zh-TW"/>
          </w:rPr>
          <w:t>Guía para la elaboración de una estrategia nacional de ciberseguridad</w:t>
        </w:r>
      </w:hyperlink>
      <w:r w:rsidRPr="00B237E2">
        <w:rPr>
          <w:rFonts w:eastAsia="Calibri"/>
          <w:lang w:val="es-ES" w:eastAsia="zh-TW"/>
        </w:rPr>
        <w:t xml:space="preserve">. </w:t>
      </w:r>
      <w:r w:rsidR="007C2382" w:rsidRPr="00B237E2">
        <w:rPr>
          <w:rFonts w:eastAsia="Calibri"/>
          <w:lang w:val="es-ES" w:eastAsia="zh-TW"/>
        </w:rPr>
        <w:t xml:space="preserve">Su nueva </w:t>
      </w:r>
      <w:r w:rsidR="00BA1CE9" w:rsidRPr="00B237E2">
        <w:rPr>
          <w:rFonts w:eastAsia="Calibri"/>
          <w:lang w:val="es-ES" w:eastAsia="zh-TW"/>
        </w:rPr>
        <w:t>edición estará disponible a través de un</w:t>
      </w:r>
      <w:r w:rsidR="007C2382" w:rsidRPr="00B237E2">
        <w:rPr>
          <w:rFonts w:eastAsia="Calibri"/>
          <w:lang w:val="es-ES" w:eastAsia="zh-TW"/>
        </w:rPr>
        <w:t xml:space="preserve"> sitio web </w:t>
      </w:r>
      <w:r w:rsidR="00BA1CE9" w:rsidRPr="00B237E2">
        <w:rPr>
          <w:rFonts w:eastAsia="Calibri"/>
          <w:lang w:val="es-ES" w:eastAsia="zh-TW"/>
        </w:rPr>
        <w:t>específico</w:t>
      </w:r>
      <w:r w:rsidRPr="00B237E2">
        <w:rPr>
          <w:rFonts w:eastAsia="Calibri"/>
          <w:lang w:val="es-ES" w:eastAsia="zh-TW"/>
        </w:rPr>
        <w:t xml:space="preserve">. </w:t>
      </w:r>
      <w:r w:rsidR="00090C05" w:rsidRPr="00B237E2">
        <w:rPr>
          <w:rFonts w:eastAsia="Calibri"/>
          <w:lang w:val="es-ES" w:eastAsia="zh-TW"/>
        </w:rPr>
        <w:t xml:space="preserve">Actualmente se presta asistencia técnica a </w:t>
      </w:r>
      <w:r w:rsidRPr="00B237E2">
        <w:rPr>
          <w:rFonts w:eastAsia="Calibri"/>
          <w:lang w:val="es-ES" w:eastAsia="zh-TW"/>
        </w:rPr>
        <w:t xml:space="preserve">Fiji, Liberia </w:t>
      </w:r>
      <w:r w:rsidR="00090C05" w:rsidRPr="00B237E2">
        <w:rPr>
          <w:rFonts w:eastAsia="Calibri"/>
          <w:lang w:val="es-ES" w:eastAsia="zh-TW"/>
        </w:rPr>
        <w:t>y</w:t>
      </w:r>
      <w:r w:rsidRPr="00B237E2">
        <w:rPr>
          <w:rFonts w:eastAsia="Calibri"/>
          <w:lang w:val="es-ES" w:eastAsia="zh-TW"/>
        </w:rPr>
        <w:t xml:space="preserve"> Chad. </w:t>
      </w:r>
      <w:r w:rsidR="00090C05" w:rsidRPr="00B237E2">
        <w:rPr>
          <w:rFonts w:eastAsia="Calibri"/>
          <w:lang w:val="es-ES" w:eastAsia="zh-TW"/>
        </w:rPr>
        <w:t xml:space="preserve">A través de la Academia de la UIT se proporciona formación en línea </w:t>
      </w:r>
      <w:r w:rsidR="00CB211A" w:rsidRPr="00B237E2">
        <w:rPr>
          <w:rFonts w:eastAsia="Calibri"/>
          <w:lang w:val="es-ES" w:eastAsia="zh-TW"/>
        </w:rPr>
        <w:t>en materia de</w:t>
      </w:r>
      <w:r w:rsidR="00446CE6">
        <w:rPr>
          <w:rFonts w:eastAsia="Calibri"/>
          <w:lang w:val="es-ES" w:eastAsia="zh-TW"/>
        </w:rPr>
        <w:t xml:space="preserve"> </w:t>
      </w:r>
      <w:hyperlink r:id="rId131" w:history="1">
        <w:r w:rsidR="00446CE6">
          <w:rPr>
            <w:rStyle w:val="Hyperlink"/>
            <w:lang w:val="es-ES"/>
          </w:rPr>
          <w:t>ciclo de vida, principios y prácticas idóneas atinentes a la elaboración e implementación de una estrategia nacional de ciberseguridad</w:t>
        </w:r>
      </w:hyperlink>
      <w:r w:rsidRPr="00B237E2">
        <w:rPr>
          <w:lang w:val="es-ES"/>
        </w:rPr>
        <w:t>.</w:t>
      </w:r>
    </w:p>
    <w:p w14:paraId="429E167D" w14:textId="4D736AE4" w:rsidR="00BC0557" w:rsidRPr="00FA3C80" w:rsidRDefault="00F94917" w:rsidP="00BC0557">
      <w:pPr>
        <w:pStyle w:val="enumlev1"/>
        <w:rPr>
          <w:lang w:val="es-ES"/>
        </w:rPr>
      </w:pPr>
      <w:r w:rsidRPr="00FA3C80">
        <w:rPr>
          <w:lang w:val="es-ES"/>
        </w:rPr>
        <w:t>•</w:t>
      </w:r>
      <w:r w:rsidRPr="00FA3C80">
        <w:rPr>
          <w:lang w:val="es-ES"/>
        </w:rPr>
        <w:tab/>
      </w:r>
      <w:r w:rsidR="00BC0557" w:rsidRPr="00FA3C80">
        <w:rPr>
          <w:lang w:val="es-ES"/>
        </w:rPr>
        <w:t xml:space="preserve">A través de la </w:t>
      </w:r>
      <w:hyperlink r:id="rId132" w:history="1">
        <w:r w:rsidR="00BC0557" w:rsidRPr="00446CE6">
          <w:rPr>
            <w:rStyle w:val="Hyperlink"/>
            <w:lang w:val="es-ES"/>
          </w:rPr>
          <w:t>Academia de la UIT</w:t>
        </w:r>
      </w:hyperlink>
      <w:r w:rsidR="00BC0557" w:rsidRPr="00FA3C80">
        <w:rPr>
          <w:lang w:val="es-ES"/>
        </w:rPr>
        <w:t>, los Centros de Excelencia (CoE) de la UIT imparten formación y organizan talleres sobre ciberseguridad.</w:t>
      </w:r>
    </w:p>
    <w:p w14:paraId="45D19DBD" w14:textId="0589B601" w:rsidR="00BC0557" w:rsidRPr="00FA3C80" w:rsidRDefault="00BC0557" w:rsidP="00BC0557">
      <w:pPr>
        <w:pStyle w:val="enumlev1"/>
        <w:rPr>
          <w:lang w:val="es-ES"/>
        </w:rPr>
      </w:pPr>
      <w:r w:rsidRPr="00FA3C80">
        <w:rPr>
          <w:lang w:val="es-ES"/>
        </w:rPr>
        <w:t>•</w:t>
      </w:r>
      <w:r w:rsidRPr="00FA3C80">
        <w:rPr>
          <w:lang w:val="es-ES"/>
        </w:rPr>
        <w:tab/>
        <w:t xml:space="preserve">BitSight proporcionó acceso a los Estados Miembros de la UIT a su plataforma de evaluación de ciberseguridad; ello ayudó a hacer frente a problemas de ciberseguridad durante la pandemia </w:t>
      </w:r>
      <w:r w:rsidR="00446CE6">
        <w:rPr>
          <w:lang w:val="es-ES"/>
        </w:rPr>
        <w:t xml:space="preserve">de </w:t>
      </w:r>
      <w:r w:rsidRPr="00FA3C80">
        <w:rPr>
          <w:lang w:val="es-ES"/>
        </w:rPr>
        <w:t xml:space="preserve">COVID-19 y </w:t>
      </w:r>
      <w:hyperlink r:id="rId133" w:history="1">
        <w:r w:rsidR="00BA09F6" w:rsidRPr="00446CE6">
          <w:rPr>
            <w:rStyle w:val="Hyperlink"/>
            <w:lang w:val="es-ES"/>
          </w:rPr>
          <w:t>permitió fortalecer</w:t>
        </w:r>
        <w:r w:rsidRPr="00446CE6">
          <w:rPr>
            <w:rStyle w:val="Hyperlink"/>
            <w:lang w:val="es-ES"/>
          </w:rPr>
          <w:t xml:space="preserve"> la infraestructura sanitaria de los Estados Miembros con información oportuna sobre ciberamenazas</w:t>
        </w:r>
      </w:hyperlink>
      <w:r w:rsidRPr="00FA3C80">
        <w:rPr>
          <w:lang w:val="es-ES"/>
        </w:rPr>
        <w:t>.</w:t>
      </w:r>
    </w:p>
    <w:p w14:paraId="159D3DD2" w14:textId="6671300F" w:rsidR="00BC0557" w:rsidRPr="00FA3C80" w:rsidRDefault="009821DA" w:rsidP="00BC0557">
      <w:pPr>
        <w:pStyle w:val="enumlev1"/>
        <w:rPr>
          <w:lang w:val="es-ES"/>
        </w:rPr>
      </w:pPr>
      <w:r w:rsidRPr="00FA3C80">
        <w:rPr>
          <w:lang w:val="es-ES"/>
        </w:rPr>
        <w:t>•</w:t>
      </w:r>
      <w:r w:rsidRPr="00FA3C80">
        <w:rPr>
          <w:lang w:val="es-ES"/>
        </w:rPr>
        <w:tab/>
      </w:r>
      <w:r w:rsidR="00BC0557" w:rsidRPr="00FA3C80">
        <w:rPr>
          <w:lang w:val="es-ES"/>
        </w:rPr>
        <w:t xml:space="preserve">El 29 de junio de 2020 se publicó el Informe </w:t>
      </w:r>
      <w:r w:rsidR="004A297D" w:rsidRPr="00FA3C80">
        <w:rPr>
          <w:lang w:val="es-ES"/>
        </w:rPr>
        <w:t xml:space="preserve">de la UIT </w:t>
      </w:r>
      <w:r w:rsidR="00446CE6">
        <w:rPr>
          <w:lang w:val="es-ES"/>
        </w:rPr>
        <w:t>"</w:t>
      </w:r>
      <w:hyperlink r:id="rId134" w:history="1">
        <w:r w:rsidR="00B57264" w:rsidRPr="00446CE6">
          <w:rPr>
            <w:rStyle w:val="Hyperlink"/>
            <w:lang w:val="es-ES"/>
          </w:rPr>
          <w:t>Índice mundial de ciberseguridad (</w:t>
        </w:r>
        <w:r w:rsidR="004A297D" w:rsidRPr="00446CE6">
          <w:rPr>
            <w:rStyle w:val="Hyperlink"/>
            <w:lang w:val="es-ES"/>
          </w:rPr>
          <w:t>GCI</w:t>
        </w:r>
        <w:r w:rsidR="00B57264" w:rsidRPr="00446CE6">
          <w:rPr>
            <w:rStyle w:val="Hyperlink"/>
            <w:lang w:val="es-ES"/>
          </w:rPr>
          <w:t>)</w:t>
        </w:r>
      </w:hyperlink>
      <w:r w:rsidR="00446CE6">
        <w:rPr>
          <w:lang w:val="es-ES"/>
        </w:rPr>
        <w:t>"</w:t>
      </w:r>
      <w:r w:rsidR="00BC0557" w:rsidRPr="00FA3C80">
        <w:rPr>
          <w:lang w:val="es-ES"/>
        </w:rPr>
        <w:t>, que abarca 193 Estados Miembros y el Estado de Palestina.</w:t>
      </w:r>
    </w:p>
    <w:p w14:paraId="4C5952D1" w14:textId="05433055" w:rsidR="00BC0557" w:rsidRPr="00FA3C80" w:rsidRDefault="004A297D" w:rsidP="00BC0557">
      <w:pPr>
        <w:pStyle w:val="enumlev1"/>
        <w:rPr>
          <w:lang w:val="es-ES"/>
        </w:rPr>
      </w:pPr>
      <w:r w:rsidRPr="00FA3C80">
        <w:rPr>
          <w:lang w:val="es-ES"/>
        </w:rPr>
        <w:t>•</w:t>
      </w:r>
      <w:r w:rsidRPr="00FA3C80">
        <w:rPr>
          <w:lang w:val="es-ES"/>
        </w:rPr>
        <w:tab/>
      </w:r>
      <w:r w:rsidR="00BC0557" w:rsidRPr="00FA3C80">
        <w:rPr>
          <w:lang w:val="es-ES"/>
        </w:rPr>
        <w:t xml:space="preserve">La UIT </w:t>
      </w:r>
      <w:r w:rsidRPr="00FA3C80">
        <w:rPr>
          <w:lang w:val="es-ES"/>
        </w:rPr>
        <w:t>puso en marcha</w:t>
      </w:r>
      <w:r w:rsidR="00BC0557" w:rsidRPr="00FA3C80">
        <w:rPr>
          <w:lang w:val="es-ES"/>
        </w:rPr>
        <w:t xml:space="preserve"> la iniciativa </w:t>
      </w:r>
      <w:r w:rsidR="00BC0557" w:rsidRPr="00446CE6">
        <w:t>Youth4Cyber</w:t>
      </w:r>
      <w:r w:rsidR="003E72C7" w:rsidRPr="00446CE6">
        <w:t>,</w:t>
      </w:r>
      <w:r w:rsidR="003E72C7" w:rsidRPr="00FA3C80">
        <w:rPr>
          <w:lang w:val="es-ES"/>
        </w:rPr>
        <w:t xml:space="preserve"> que tiene por objeto impulsar</w:t>
      </w:r>
      <w:r w:rsidR="00BC0557" w:rsidRPr="00FA3C80">
        <w:rPr>
          <w:lang w:val="es-ES"/>
        </w:rPr>
        <w:t xml:space="preserve"> una red mundial de asociaciones dirigidas por estudiantes en universidades que organizan actividades relacionadas con la ciberseguridad</w:t>
      </w:r>
      <w:r w:rsidRPr="00FA3C80">
        <w:rPr>
          <w:lang w:val="es-ES"/>
        </w:rPr>
        <w:t>,</w:t>
      </w:r>
      <w:r w:rsidR="00BC0557" w:rsidRPr="00FA3C80">
        <w:rPr>
          <w:lang w:val="es-ES"/>
        </w:rPr>
        <w:t xml:space="preserve"> con </w:t>
      </w:r>
      <w:r w:rsidRPr="00FA3C80">
        <w:rPr>
          <w:lang w:val="es-ES"/>
        </w:rPr>
        <w:t>apoyo</w:t>
      </w:r>
      <w:r w:rsidR="00BC0557" w:rsidRPr="00FA3C80">
        <w:rPr>
          <w:lang w:val="es-ES"/>
        </w:rPr>
        <w:t xml:space="preserve"> de la UIT y sus </w:t>
      </w:r>
      <w:r w:rsidRPr="00FA3C80">
        <w:rPr>
          <w:lang w:val="es-ES"/>
        </w:rPr>
        <w:t>asociados</w:t>
      </w:r>
      <w:r w:rsidR="00BC0557" w:rsidRPr="00FA3C80">
        <w:rPr>
          <w:lang w:val="es-ES"/>
        </w:rPr>
        <w:t xml:space="preserve">. La UIT organizó el taller </w:t>
      </w:r>
      <w:r w:rsidR="00446CE6">
        <w:rPr>
          <w:lang w:val="es-ES"/>
        </w:rPr>
        <w:t>"</w:t>
      </w:r>
      <w:hyperlink r:id="rId135" w:history="1">
        <w:r w:rsidR="00BC0557" w:rsidRPr="00446CE6">
          <w:rPr>
            <w:rStyle w:val="Hyperlink"/>
            <w:lang w:val="es-ES"/>
          </w:rPr>
          <w:t>Por qué necesitamos una ciberseguridad más inclusiva</w:t>
        </w:r>
      </w:hyperlink>
      <w:r w:rsidR="00446CE6">
        <w:rPr>
          <w:lang w:val="es-ES"/>
        </w:rPr>
        <w:t>"</w:t>
      </w:r>
      <w:r w:rsidR="00BC0557" w:rsidRPr="00FA3C80">
        <w:rPr>
          <w:lang w:val="es-ES"/>
        </w:rPr>
        <w:t xml:space="preserve"> en el marco de la</w:t>
      </w:r>
      <w:r w:rsidR="00446CE6">
        <w:rPr>
          <w:lang w:val="es-ES"/>
        </w:rPr>
        <w:t> </w:t>
      </w:r>
      <w:r w:rsidR="00BC0557" w:rsidRPr="00FA3C80">
        <w:rPr>
          <w:lang w:val="es-ES"/>
        </w:rPr>
        <w:t>CMSI</w:t>
      </w:r>
      <w:r w:rsidR="00446CE6">
        <w:rPr>
          <w:lang w:val="es-ES"/>
        </w:rPr>
        <w:t> </w:t>
      </w:r>
      <w:r w:rsidR="00BC0557" w:rsidRPr="00FA3C80">
        <w:rPr>
          <w:lang w:val="es-ES"/>
        </w:rPr>
        <w:t>2021.</w:t>
      </w:r>
    </w:p>
    <w:p w14:paraId="129A5B95" w14:textId="07322AEC" w:rsidR="00A168D3" w:rsidRPr="00EB7F22" w:rsidRDefault="00A445F6" w:rsidP="00EB7F22">
      <w:pPr>
        <w:pStyle w:val="enumlev1"/>
      </w:pPr>
      <w:r w:rsidRPr="00FA3C80">
        <w:rPr>
          <w:lang w:val="es-ES"/>
        </w:rPr>
        <w:t>•</w:t>
      </w:r>
      <w:r w:rsidRPr="00FA3C80">
        <w:rPr>
          <w:lang w:val="es-ES"/>
        </w:rPr>
        <w:tab/>
      </w:r>
      <w:r w:rsidR="00BC0557" w:rsidRPr="00FA3C80">
        <w:rPr>
          <w:lang w:val="es-ES"/>
        </w:rPr>
        <w:t xml:space="preserve">El </w:t>
      </w:r>
      <w:hyperlink r:id="rId136" w:history="1">
        <w:r w:rsidR="003E72C7" w:rsidRPr="00336390">
          <w:rPr>
            <w:rStyle w:val="Hyperlink"/>
            <w:lang w:val="es-ES"/>
          </w:rPr>
          <w:t>Programa de tutorías sobre ciberseguridad para mujeres</w:t>
        </w:r>
      </w:hyperlink>
      <w:r w:rsidR="003E72C7" w:rsidRPr="00FA3C80">
        <w:rPr>
          <w:lang w:val="es-ES"/>
        </w:rPr>
        <w:t xml:space="preserve"> tiene por objeto </w:t>
      </w:r>
      <w:r w:rsidR="00B92288" w:rsidRPr="00FA3C80">
        <w:rPr>
          <w:lang w:val="es-ES"/>
        </w:rPr>
        <w:t>desarrollar</w:t>
      </w:r>
      <w:r w:rsidR="003E72C7" w:rsidRPr="00FA3C80">
        <w:rPr>
          <w:lang w:val="es-ES"/>
        </w:rPr>
        <w:t xml:space="preserve"> las competencias</w:t>
      </w:r>
      <w:r w:rsidR="00BC0557" w:rsidRPr="00FA3C80">
        <w:rPr>
          <w:lang w:val="es-ES"/>
        </w:rPr>
        <w:t xml:space="preserve"> de </w:t>
      </w:r>
      <w:r w:rsidR="003E72C7" w:rsidRPr="00FA3C80">
        <w:rPr>
          <w:lang w:val="es-ES"/>
        </w:rPr>
        <w:t>jóvenes mujeres</w:t>
      </w:r>
      <w:r w:rsidR="00BC0557" w:rsidRPr="00FA3C80">
        <w:rPr>
          <w:lang w:val="es-ES"/>
        </w:rPr>
        <w:t xml:space="preserve"> profesionales que </w:t>
      </w:r>
      <w:r w:rsidR="00B92288" w:rsidRPr="00FA3C80">
        <w:rPr>
          <w:lang w:val="es-ES"/>
        </w:rPr>
        <w:t>comienzan su trayectoria laboral en la esfera</w:t>
      </w:r>
      <w:r w:rsidR="00BC0557" w:rsidRPr="00FA3C80">
        <w:rPr>
          <w:lang w:val="es-ES"/>
        </w:rPr>
        <w:t xml:space="preserve"> de la ciberseguridad. La primera edición se puso en marcha</w:t>
      </w:r>
      <w:r w:rsidR="00B92288" w:rsidRPr="00FA3C80">
        <w:rPr>
          <w:lang w:val="es-ES"/>
        </w:rPr>
        <w:t xml:space="preserve"> en</w:t>
      </w:r>
      <w:r w:rsidR="00BC0557" w:rsidRPr="00FA3C80">
        <w:rPr>
          <w:lang w:val="es-ES"/>
        </w:rPr>
        <w:t xml:space="preserve"> el Día Internacional de la Mujer y se dirigió a </w:t>
      </w:r>
      <w:r w:rsidR="00B92288" w:rsidRPr="00FA3C80">
        <w:rPr>
          <w:lang w:val="es-ES"/>
        </w:rPr>
        <w:t xml:space="preserve">jóvenes </w:t>
      </w:r>
      <w:r w:rsidR="00BC0557" w:rsidRPr="00FA3C80">
        <w:rPr>
          <w:lang w:val="es-ES"/>
        </w:rPr>
        <w:t xml:space="preserve">mujeres profesionales de las </w:t>
      </w:r>
      <w:r w:rsidR="00B92288" w:rsidRPr="00FA3C80">
        <w:rPr>
          <w:lang w:val="es-ES"/>
        </w:rPr>
        <w:t>R</w:t>
      </w:r>
      <w:r w:rsidR="00BC0557" w:rsidRPr="00FA3C80">
        <w:rPr>
          <w:lang w:val="es-ES"/>
        </w:rPr>
        <w:t xml:space="preserve">egiones </w:t>
      </w:r>
      <w:r w:rsidR="00B92288" w:rsidRPr="00FA3C80">
        <w:rPr>
          <w:lang w:val="es-ES"/>
        </w:rPr>
        <w:t>de los Estados Árabes y de África</w:t>
      </w:r>
      <w:r w:rsidR="00BC0557" w:rsidRPr="00FA3C80">
        <w:rPr>
          <w:lang w:val="es-ES"/>
        </w:rPr>
        <w:t xml:space="preserve">. El programa ha contribuido a </w:t>
      </w:r>
      <w:r w:rsidR="00B92288" w:rsidRPr="00FA3C80">
        <w:rPr>
          <w:lang w:val="es-ES"/>
        </w:rPr>
        <w:t>forjar</w:t>
      </w:r>
      <w:r w:rsidR="00BC0557" w:rsidRPr="00FA3C80">
        <w:rPr>
          <w:lang w:val="es-ES"/>
        </w:rPr>
        <w:t xml:space="preserve"> una red internacional de mujeres que ocupan puestos de responsabilidad en el ámbito de la ciberseguridad</w:t>
      </w:r>
      <w:r w:rsidR="00F94917" w:rsidRPr="00FA3C80">
        <w:rPr>
          <w:lang w:val="es-ES"/>
        </w:rPr>
        <w:t>.</w:t>
      </w:r>
    </w:p>
    <w:p w14:paraId="604479DF" w14:textId="184D40FE" w:rsidR="00823AB3" w:rsidRPr="00B237E2" w:rsidRDefault="00823AB3" w:rsidP="00E124B0">
      <w:pPr>
        <w:rPr>
          <w:u w:val="single"/>
          <w:lang w:val="es-ES"/>
        </w:rPr>
      </w:pPr>
      <w:r w:rsidRPr="00C01AEB">
        <w:rPr>
          <w:b/>
          <w:bCs/>
          <w:lang w:val="es-ES"/>
        </w:rPr>
        <w:t>Cooperación internacional</w:t>
      </w:r>
      <w:r w:rsidR="00F2335E" w:rsidRPr="00336390">
        <w:t>:</w:t>
      </w:r>
      <w:r w:rsidRPr="00B237E2">
        <w:rPr>
          <w:lang w:val="es-ES"/>
        </w:rPr>
        <w:t xml:space="preserve"> la UIT </w:t>
      </w:r>
      <w:r w:rsidR="00F2335E" w:rsidRPr="00B237E2">
        <w:rPr>
          <w:lang w:val="es-ES"/>
        </w:rPr>
        <w:t xml:space="preserve">colabora con varias organizaciones, en particular, </w:t>
      </w:r>
      <w:r w:rsidR="00720FE2" w:rsidRPr="00B237E2">
        <w:rPr>
          <w:lang w:val="es-ES"/>
        </w:rPr>
        <w:t>la Iniciativa contra la ciberdelincuencia de la Commonwealth</w:t>
      </w:r>
      <w:r w:rsidR="00F2335E" w:rsidRPr="00B237E2">
        <w:rPr>
          <w:lang w:val="es-ES"/>
        </w:rPr>
        <w:t xml:space="preserve">, ENISA, INTERPOL, </w:t>
      </w:r>
      <w:r w:rsidR="00720FE2" w:rsidRPr="00B237E2">
        <w:rPr>
          <w:lang w:val="es-ES"/>
        </w:rPr>
        <w:t>CEDEAO</w:t>
      </w:r>
      <w:r w:rsidR="00F2335E" w:rsidRPr="00B237E2">
        <w:rPr>
          <w:lang w:val="es-ES"/>
        </w:rPr>
        <w:t xml:space="preserve">, el Banco Mundial, FIRST y asociaciones regionales de </w:t>
      </w:r>
      <w:r w:rsidR="00720FE2" w:rsidRPr="00B237E2">
        <w:rPr>
          <w:lang w:val="es-ES"/>
        </w:rPr>
        <w:t>EIISI/EIEI</w:t>
      </w:r>
      <w:r w:rsidRPr="00B237E2">
        <w:rPr>
          <w:lang w:val="es-ES"/>
        </w:rPr>
        <w:t>.</w:t>
      </w:r>
    </w:p>
    <w:p w14:paraId="08650F20" w14:textId="3541702B" w:rsidR="00E02B65" w:rsidRPr="00B237E2" w:rsidRDefault="00834D4F" w:rsidP="00C01AEB">
      <w:pPr>
        <w:pStyle w:val="enumlev1"/>
        <w:rPr>
          <w:lang w:val="es-ES"/>
        </w:rPr>
      </w:pPr>
      <w:bookmarkStart w:id="92" w:name="_Hlk73455122"/>
      <w:r w:rsidRPr="00B237E2">
        <w:rPr>
          <w:lang w:val="es-ES"/>
        </w:rPr>
        <w:t>•</w:t>
      </w:r>
      <w:r w:rsidR="00E02B65" w:rsidRPr="00B237E2">
        <w:rPr>
          <w:lang w:val="es-ES"/>
        </w:rPr>
        <w:tab/>
        <w:t xml:space="preserve">El Secretario General presentará al Consejo un informe </w:t>
      </w:r>
      <w:r w:rsidR="0005778F">
        <w:rPr>
          <w:lang w:val="es-ES"/>
        </w:rPr>
        <w:t>sobre la manera en la que</w:t>
      </w:r>
      <w:r w:rsidR="00E02B65" w:rsidRPr="00B237E2">
        <w:rPr>
          <w:lang w:val="es-ES"/>
        </w:rPr>
        <w:t xml:space="preserve"> la UIT </w:t>
      </w:r>
      <w:r w:rsidR="0005778F">
        <w:rPr>
          <w:lang w:val="es-ES"/>
        </w:rPr>
        <w:t xml:space="preserve">aplica </w:t>
      </w:r>
      <w:r w:rsidR="00E02B65" w:rsidRPr="00B237E2">
        <w:rPr>
          <w:lang w:val="es-ES"/>
        </w:rPr>
        <w:t xml:space="preserve">el marco de la </w:t>
      </w:r>
      <w:hyperlink r:id="rId137" w:history="1">
        <w:r w:rsidR="00E02B65" w:rsidRPr="00C01AEB">
          <w:rPr>
            <w:rStyle w:val="Hyperlink"/>
            <w:lang w:val="es-ES"/>
          </w:rPr>
          <w:t xml:space="preserve">Ciberalianza </w:t>
        </w:r>
        <w:r w:rsidR="003C65AE" w:rsidRPr="00C01AEB">
          <w:rPr>
            <w:rStyle w:val="Hyperlink"/>
            <w:lang w:val="es-ES"/>
          </w:rPr>
          <w:t>Mundial</w:t>
        </w:r>
      </w:hyperlink>
      <w:r w:rsidR="00E02B65" w:rsidRPr="00B237E2">
        <w:rPr>
          <w:lang w:val="es-ES"/>
        </w:rPr>
        <w:t xml:space="preserve"> y </w:t>
      </w:r>
      <w:r w:rsidR="0005778F">
        <w:rPr>
          <w:lang w:val="es-ES"/>
        </w:rPr>
        <w:t>el establecimiento de</w:t>
      </w:r>
      <w:r w:rsidR="00E02B65" w:rsidRPr="00B237E2">
        <w:rPr>
          <w:lang w:val="es-ES"/>
        </w:rPr>
        <w:t xml:space="preserve"> las directrices adecuadas para su uso. El proyecto de directrices se presentó a la </w:t>
      </w:r>
      <w:hyperlink r:id="rId138" w:history="1">
        <w:r w:rsidR="00E02B65" w:rsidRPr="00C01AEB">
          <w:rPr>
            <w:rStyle w:val="Hyperlink"/>
            <w:lang w:val="es-ES"/>
          </w:rPr>
          <w:t>Consulta Virtual de Consejeros de la</w:t>
        </w:r>
        <w:r w:rsidR="00C01AEB" w:rsidRPr="00C01AEB">
          <w:rPr>
            <w:rStyle w:val="Hyperlink"/>
            <w:lang w:val="es-ES"/>
          </w:rPr>
          <w:t> </w:t>
        </w:r>
        <w:r w:rsidR="00E02B65" w:rsidRPr="00C01AEB">
          <w:rPr>
            <w:rStyle w:val="Hyperlink"/>
            <w:lang w:val="es-ES"/>
          </w:rPr>
          <w:t>UIT</w:t>
        </w:r>
      </w:hyperlink>
      <w:r w:rsidR="00E02B65" w:rsidRPr="00B237E2">
        <w:rPr>
          <w:lang w:val="es-ES"/>
        </w:rPr>
        <w:t xml:space="preserve"> en junio de 2021, que encargó a la Secretaría que realizara nuevas consultas con los Estados </w:t>
      </w:r>
      <w:r w:rsidR="00C01AEB" w:rsidRPr="00B237E2">
        <w:rPr>
          <w:lang w:val="es-ES"/>
        </w:rPr>
        <w:t xml:space="preserve">Miembros </w:t>
      </w:r>
      <w:r w:rsidR="00E02B65" w:rsidRPr="00B237E2">
        <w:rPr>
          <w:lang w:val="es-ES"/>
        </w:rPr>
        <w:t>del Consejo.</w:t>
      </w:r>
    </w:p>
    <w:p w14:paraId="162EF498" w14:textId="13EB9885" w:rsidR="003829B4" w:rsidRPr="00B237E2" w:rsidRDefault="00834D4F" w:rsidP="00C01AEB">
      <w:pPr>
        <w:pStyle w:val="enumlev1"/>
        <w:rPr>
          <w:lang w:val="es-ES"/>
        </w:rPr>
      </w:pPr>
      <w:r w:rsidRPr="00B237E2">
        <w:rPr>
          <w:lang w:val="es-ES"/>
        </w:rPr>
        <w:t>•</w:t>
      </w:r>
      <w:r w:rsidR="00E02B65" w:rsidRPr="00B237E2">
        <w:rPr>
          <w:lang w:val="es-ES"/>
        </w:rPr>
        <w:tab/>
      </w:r>
      <w:r w:rsidR="00755841" w:rsidRPr="00B237E2">
        <w:rPr>
          <w:lang w:val="es-ES"/>
        </w:rPr>
        <w:t>En calidad de</w:t>
      </w:r>
      <w:r w:rsidR="00E02B65" w:rsidRPr="00B237E2">
        <w:rPr>
          <w:lang w:val="es-ES"/>
        </w:rPr>
        <w:t xml:space="preserve"> </w:t>
      </w:r>
      <w:r w:rsidR="00755841" w:rsidRPr="00B237E2">
        <w:rPr>
          <w:lang w:val="es-ES"/>
        </w:rPr>
        <w:t xml:space="preserve">principal </w:t>
      </w:r>
      <w:r w:rsidR="00E02B65" w:rsidRPr="00B237E2">
        <w:rPr>
          <w:lang w:val="es-ES"/>
        </w:rPr>
        <w:t xml:space="preserve">facilitador de la </w:t>
      </w:r>
      <w:r w:rsidR="00A31305" w:rsidRPr="00B237E2">
        <w:rPr>
          <w:lang w:val="es-ES"/>
        </w:rPr>
        <w:t>l</w:t>
      </w:r>
      <w:r w:rsidR="00E02B65" w:rsidRPr="00B237E2">
        <w:rPr>
          <w:lang w:val="es-ES"/>
        </w:rPr>
        <w:t xml:space="preserve">ínea de </w:t>
      </w:r>
      <w:r w:rsidR="00A31305" w:rsidRPr="00B237E2">
        <w:rPr>
          <w:lang w:val="es-ES"/>
        </w:rPr>
        <w:t>a</w:t>
      </w:r>
      <w:r w:rsidR="00E02B65" w:rsidRPr="00B237E2">
        <w:rPr>
          <w:lang w:val="es-ES"/>
        </w:rPr>
        <w:t>cción C5 de la CMSI, la UIT organizó un</w:t>
      </w:r>
      <w:r w:rsidR="00755841" w:rsidRPr="00B237E2">
        <w:rPr>
          <w:lang w:val="es-ES"/>
        </w:rPr>
        <w:t>a sesión sobre</w:t>
      </w:r>
      <w:r w:rsidR="00E02B65" w:rsidRPr="00B237E2">
        <w:rPr>
          <w:lang w:val="es-ES"/>
        </w:rPr>
        <w:t xml:space="preserve"> ciberseguridad en el </w:t>
      </w:r>
      <w:r w:rsidR="00755841" w:rsidRPr="00B237E2">
        <w:rPr>
          <w:lang w:val="es-ES"/>
        </w:rPr>
        <w:t xml:space="preserve">marco del </w:t>
      </w:r>
      <w:hyperlink r:id="rId139" w:history="1">
        <w:r w:rsidR="00E02B65" w:rsidRPr="00C01AEB">
          <w:rPr>
            <w:rStyle w:val="Hyperlink"/>
            <w:lang w:val="es-ES"/>
          </w:rPr>
          <w:t>Foro de la CMSI 2021</w:t>
        </w:r>
      </w:hyperlink>
      <w:r w:rsidR="00E02B65" w:rsidRPr="00B237E2">
        <w:rPr>
          <w:lang w:val="es-ES"/>
        </w:rPr>
        <w:t xml:space="preserve">, que incluyó una consulta sobre el proyecto de directrices </w:t>
      </w:r>
      <w:r w:rsidR="003C65AE" w:rsidRPr="00B237E2">
        <w:rPr>
          <w:lang w:val="es-ES"/>
        </w:rPr>
        <w:t>para su utilización por</w:t>
      </w:r>
      <w:r w:rsidR="00E02B65" w:rsidRPr="00B237E2">
        <w:rPr>
          <w:lang w:val="es-ES"/>
        </w:rPr>
        <w:t xml:space="preserve"> la Ciber</w:t>
      </w:r>
      <w:r w:rsidR="003C65AE" w:rsidRPr="00B237E2">
        <w:rPr>
          <w:lang w:val="es-ES"/>
        </w:rPr>
        <w:t>a</w:t>
      </w:r>
      <w:r w:rsidR="00E02B65" w:rsidRPr="00B237E2">
        <w:rPr>
          <w:lang w:val="es-ES"/>
        </w:rPr>
        <w:t xml:space="preserve">lianza Mundial, </w:t>
      </w:r>
      <w:r w:rsidR="003829B4" w:rsidRPr="00B237E2">
        <w:rPr>
          <w:lang w:val="es-ES"/>
        </w:rPr>
        <w:t>así como</w:t>
      </w:r>
      <w:r w:rsidR="00E02B65" w:rsidRPr="00B237E2">
        <w:rPr>
          <w:lang w:val="es-ES"/>
        </w:rPr>
        <w:t xml:space="preserve"> un diálogo sobre "</w:t>
      </w:r>
      <w:r w:rsidR="003829B4" w:rsidRPr="00B237E2">
        <w:rPr>
          <w:lang w:val="es-ES"/>
        </w:rPr>
        <w:t>Análisis de la preparación para la inteligencia artificial</w:t>
      </w:r>
      <w:r w:rsidR="00E02B65" w:rsidRPr="00B237E2">
        <w:rPr>
          <w:lang w:val="es-ES"/>
        </w:rPr>
        <w:t xml:space="preserve">: </w:t>
      </w:r>
      <w:r w:rsidR="003829B4" w:rsidRPr="00B237E2">
        <w:rPr>
          <w:lang w:val="es-ES"/>
        </w:rPr>
        <w:t>efectos</w:t>
      </w:r>
      <w:r w:rsidR="00E02B65" w:rsidRPr="00B237E2">
        <w:rPr>
          <w:lang w:val="es-ES"/>
        </w:rPr>
        <w:t xml:space="preserve"> político</w:t>
      </w:r>
      <w:r w:rsidR="003829B4" w:rsidRPr="00B237E2">
        <w:rPr>
          <w:lang w:val="es-ES"/>
        </w:rPr>
        <w:t>s</w:t>
      </w:r>
      <w:r w:rsidR="00E02B65" w:rsidRPr="00B237E2">
        <w:rPr>
          <w:lang w:val="es-ES"/>
        </w:rPr>
        <w:t xml:space="preserve">, oportunidades y </w:t>
      </w:r>
      <w:r w:rsidR="003829B4" w:rsidRPr="00B237E2">
        <w:rPr>
          <w:lang w:val="es-ES"/>
        </w:rPr>
        <w:t>retos</w:t>
      </w:r>
      <w:r w:rsidR="00E02B65" w:rsidRPr="00B237E2">
        <w:rPr>
          <w:lang w:val="es-ES"/>
        </w:rPr>
        <w:t>".</w:t>
      </w:r>
    </w:p>
    <w:bookmarkEnd w:id="92"/>
    <w:p w14:paraId="04703F6B" w14:textId="040DFF0A" w:rsidR="00FE7AFD" w:rsidRPr="00CC4824" w:rsidRDefault="00FE7AFD" w:rsidP="00CC4824">
      <w:pPr>
        <w:pStyle w:val="Headingb"/>
        <w:rPr>
          <w:lang w:val="es-ES"/>
        </w:rPr>
      </w:pPr>
      <w:r w:rsidRPr="003729C7">
        <w:rPr>
          <w:lang w:val="es-ES"/>
        </w:rPr>
        <w:lastRenderedPageBreak/>
        <w:t xml:space="preserve">Difusión de información y </w:t>
      </w:r>
      <w:r w:rsidR="00D02E8A" w:rsidRPr="003729C7">
        <w:rPr>
          <w:lang w:val="es-ES"/>
        </w:rPr>
        <w:t>D</w:t>
      </w:r>
      <w:r w:rsidRPr="003729C7">
        <w:rPr>
          <w:lang w:val="es-ES"/>
        </w:rPr>
        <w:t xml:space="preserve">irectrices sobre la </w:t>
      </w:r>
      <w:r w:rsidR="00D02E8A" w:rsidRPr="003729C7">
        <w:rPr>
          <w:lang w:val="es-ES"/>
        </w:rPr>
        <w:t xml:space="preserve">Protección </w:t>
      </w:r>
      <w:r w:rsidRPr="003729C7">
        <w:rPr>
          <w:lang w:val="es-ES"/>
        </w:rPr>
        <w:t xml:space="preserve">de la </w:t>
      </w:r>
      <w:r w:rsidR="00D02E8A" w:rsidRPr="003729C7">
        <w:rPr>
          <w:lang w:val="es-ES"/>
        </w:rPr>
        <w:t xml:space="preserve">Infancia </w:t>
      </w:r>
      <w:r w:rsidRPr="003729C7">
        <w:rPr>
          <w:lang w:val="es-ES"/>
        </w:rPr>
        <w:t xml:space="preserve">en </w:t>
      </w:r>
      <w:r w:rsidR="00D02E8A" w:rsidRPr="003729C7">
        <w:rPr>
          <w:lang w:val="es-ES"/>
        </w:rPr>
        <w:t xml:space="preserve">Línea </w:t>
      </w:r>
      <w:r w:rsidRPr="003729C7">
        <w:rPr>
          <w:lang w:val="es-ES"/>
        </w:rPr>
        <w:t>a escala mundial</w:t>
      </w:r>
    </w:p>
    <w:p w14:paraId="613D9A40" w14:textId="1E26AD7E" w:rsidR="00FE7AFD" w:rsidRPr="000071E5" w:rsidRDefault="000071E5" w:rsidP="00630340">
      <w:pPr>
        <w:pStyle w:val="enumlev1"/>
        <w:keepNext/>
        <w:keepLines/>
        <w:rPr>
          <w:lang w:val="es-ES"/>
        </w:rPr>
      </w:pPr>
      <w:r w:rsidRPr="000071E5">
        <w:rPr>
          <w:lang w:val="es-ES"/>
        </w:rPr>
        <w:t>•</w:t>
      </w:r>
      <w:r>
        <w:rPr>
          <w:lang w:val="es-ES"/>
        </w:rPr>
        <w:tab/>
      </w:r>
      <w:r w:rsidR="00FE7AFD" w:rsidRPr="000071E5">
        <w:rPr>
          <w:lang w:val="es-ES"/>
        </w:rPr>
        <w:t xml:space="preserve">Desde 2021, las </w:t>
      </w:r>
      <w:hyperlink r:id="rId140" w:history="1">
        <w:r w:rsidR="00FE7AFD" w:rsidRPr="00063989">
          <w:rPr>
            <w:rStyle w:val="Hyperlink"/>
            <w:lang w:val="es-ES"/>
          </w:rPr>
          <w:t xml:space="preserve">Directrices </w:t>
        </w:r>
        <w:r w:rsidR="00763BAE" w:rsidRPr="00063989">
          <w:rPr>
            <w:rStyle w:val="Hyperlink"/>
            <w:lang w:val="es-ES"/>
          </w:rPr>
          <w:t>sobre</w:t>
        </w:r>
        <w:r w:rsidR="00A464B9" w:rsidRPr="00063989">
          <w:rPr>
            <w:rStyle w:val="Hyperlink"/>
            <w:lang w:val="es-ES"/>
          </w:rPr>
          <w:t xml:space="preserve"> la</w:t>
        </w:r>
        <w:r w:rsidR="00FE7AFD" w:rsidRPr="00063989">
          <w:rPr>
            <w:rStyle w:val="Hyperlink"/>
            <w:lang w:val="es-ES"/>
          </w:rPr>
          <w:t xml:space="preserve"> Protección de la Infancia en Línea (</w:t>
        </w:r>
        <w:r w:rsidR="00386CE7" w:rsidRPr="00063989">
          <w:rPr>
            <w:rStyle w:val="Hyperlink"/>
            <w:lang w:val="es-ES"/>
          </w:rPr>
          <w:t>PIeL</w:t>
        </w:r>
        <w:r w:rsidR="00FE7AFD" w:rsidRPr="00063989">
          <w:rPr>
            <w:rStyle w:val="Hyperlink"/>
            <w:lang w:val="es-ES"/>
          </w:rPr>
          <w:t>)</w:t>
        </w:r>
      </w:hyperlink>
      <w:r w:rsidR="00FE7AFD" w:rsidRPr="000071E5">
        <w:rPr>
          <w:lang w:val="es-ES"/>
        </w:rPr>
        <w:t xml:space="preserve"> se aplican a </w:t>
      </w:r>
      <w:r w:rsidR="00763BAE" w:rsidRPr="000071E5">
        <w:rPr>
          <w:lang w:val="es-ES"/>
        </w:rPr>
        <w:t>escala</w:t>
      </w:r>
      <w:r w:rsidR="00FE7AFD" w:rsidRPr="000071E5">
        <w:rPr>
          <w:lang w:val="es-ES"/>
        </w:rPr>
        <w:t xml:space="preserve"> nacional</w:t>
      </w:r>
      <w:r w:rsidR="00763BAE" w:rsidRPr="000071E5">
        <w:rPr>
          <w:lang w:val="es-ES"/>
        </w:rPr>
        <w:t>, sobre la base de</w:t>
      </w:r>
      <w:r w:rsidR="00FE7AFD" w:rsidRPr="000071E5">
        <w:rPr>
          <w:lang w:val="es-ES"/>
        </w:rPr>
        <w:t xml:space="preserve"> las directrices publicadas por la UIT </w:t>
      </w:r>
      <w:r w:rsidR="00763BAE" w:rsidRPr="000071E5">
        <w:rPr>
          <w:lang w:val="es-ES"/>
        </w:rPr>
        <w:t>destinadas a</w:t>
      </w:r>
      <w:r w:rsidR="00FE7AFD" w:rsidRPr="000071E5">
        <w:rPr>
          <w:lang w:val="es-ES"/>
        </w:rPr>
        <w:t xml:space="preserve"> los </w:t>
      </w:r>
      <w:r w:rsidR="00763BAE" w:rsidRPr="000071E5">
        <w:rPr>
          <w:lang w:val="es-ES"/>
        </w:rPr>
        <w:t>encargados de la formulación de</w:t>
      </w:r>
      <w:r w:rsidR="00FE7AFD" w:rsidRPr="000071E5">
        <w:rPr>
          <w:lang w:val="es-ES"/>
        </w:rPr>
        <w:t xml:space="preserve"> polític</w:t>
      </w:r>
      <w:r w:rsidR="00763BAE" w:rsidRPr="000071E5">
        <w:rPr>
          <w:lang w:val="es-ES"/>
        </w:rPr>
        <w:t>a</w:t>
      </w:r>
      <w:r w:rsidR="00FE7AFD" w:rsidRPr="000071E5">
        <w:rPr>
          <w:lang w:val="es-ES"/>
        </w:rPr>
        <w:t xml:space="preserve">s, la industria, los padres y educadores y los niños. </w:t>
      </w:r>
      <w:r w:rsidR="00763BAE" w:rsidRPr="000071E5">
        <w:rPr>
          <w:lang w:val="es-ES"/>
        </w:rPr>
        <w:t>A tal efecto, contribuyeron m</w:t>
      </w:r>
      <w:r w:rsidR="00FE7AFD" w:rsidRPr="000071E5">
        <w:rPr>
          <w:lang w:val="es-ES"/>
        </w:rPr>
        <w:t xml:space="preserve">ás de 50 organizaciones especializadas en </w:t>
      </w:r>
      <w:r w:rsidR="00B435AD" w:rsidRPr="000071E5">
        <w:rPr>
          <w:lang w:val="es-ES"/>
        </w:rPr>
        <w:t xml:space="preserve">las </w:t>
      </w:r>
      <w:r w:rsidR="00FE7AFD" w:rsidRPr="000071E5">
        <w:rPr>
          <w:lang w:val="es-ES"/>
        </w:rPr>
        <w:t xml:space="preserve">TIC y los derechos </w:t>
      </w:r>
      <w:r w:rsidR="00763BAE" w:rsidRPr="000071E5">
        <w:rPr>
          <w:lang w:val="es-ES"/>
        </w:rPr>
        <w:t>infantiles</w:t>
      </w:r>
      <w:r w:rsidR="00FE7AFD" w:rsidRPr="000071E5">
        <w:rPr>
          <w:lang w:val="es-ES"/>
        </w:rPr>
        <w:t xml:space="preserve">, entre ellas la Asociación </w:t>
      </w:r>
      <w:r w:rsidR="00B435AD" w:rsidRPr="000071E5">
        <w:rPr>
          <w:lang w:val="es-ES"/>
        </w:rPr>
        <w:t>m</w:t>
      </w:r>
      <w:r w:rsidR="00FE7AFD" w:rsidRPr="000071E5">
        <w:rPr>
          <w:lang w:val="es-ES"/>
        </w:rPr>
        <w:t xml:space="preserve">undial para </w:t>
      </w:r>
      <w:r w:rsidR="00B435AD" w:rsidRPr="000071E5">
        <w:rPr>
          <w:lang w:val="es-ES"/>
        </w:rPr>
        <w:t>erradicar</w:t>
      </w:r>
      <w:r w:rsidR="00FE7AFD" w:rsidRPr="000071E5">
        <w:rPr>
          <w:lang w:val="es-ES"/>
        </w:rPr>
        <w:t xml:space="preserve"> la </w:t>
      </w:r>
      <w:r w:rsidR="00B435AD" w:rsidRPr="000071E5">
        <w:rPr>
          <w:lang w:val="es-ES"/>
        </w:rPr>
        <w:t>v</w:t>
      </w:r>
      <w:r w:rsidR="00FE7AFD" w:rsidRPr="000071E5">
        <w:rPr>
          <w:lang w:val="es-ES"/>
        </w:rPr>
        <w:t xml:space="preserve">iolencia </w:t>
      </w:r>
      <w:r w:rsidR="00B435AD" w:rsidRPr="000071E5">
        <w:rPr>
          <w:lang w:val="es-ES"/>
        </w:rPr>
        <w:t>c</w:t>
      </w:r>
      <w:r w:rsidR="00FE7AFD" w:rsidRPr="000071E5">
        <w:rPr>
          <w:lang w:val="es-ES"/>
        </w:rPr>
        <w:t xml:space="preserve">ontra los </w:t>
      </w:r>
      <w:r w:rsidR="00B435AD" w:rsidRPr="000071E5">
        <w:rPr>
          <w:lang w:val="es-ES"/>
        </w:rPr>
        <w:t>n</w:t>
      </w:r>
      <w:r w:rsidR="00FE7AFD" w:rsidRPr="000071E5">
        <w:rPr>
          <w:lang w:val="es-ES"/>
        </w:rPr>
        <w:t xml:space="preserve">iños, la UNESCO, UNICEF, la </w:t>
      </w:r>
      <w:r w:rsidR="00B435AD" w:rsidRPr="000071E5">
        <w:rPr>
          <w:lang w:val="es-ES"/>
        </w:rPr>
        <w:t>UNODC</w:t>
      </w:r>
      <w:r w:rsidR="00FE7AFD" w:rsidRPr="000071E5">
        <w:rPr>
          <w:lang w:val="es-ES"/>
        </w:rPr>
        <w:t xml:space="preserve">, la Alianza Mundial </w:t>
      </w:r>
      <w:r w:rsidR="00FE7AFD" w:rsidRPr="00D02E8A">
        <w:t>WePROTECT</w:t>
      </w:r>
      <w:r w:rsidR="00FE7AFD" w:rsidRPr="000071E5">
        <w:rPr>
          <w:lang w:val="es-ES"/>
        </w:rPr>
        <w:t xml:space="preserve">, la OMS y la Fundación Mundial para la Infancia de Estados Unidos. </w:t>
      </w:r>
      <w:r w:rsidR="00B435AD" w:rsidRPr="000071E5">
        <w:rPr>
          <w:lang w:val="es-ES"/>
        </w:rPr>
        <w:t>El asesoramiento</w:t>
      </w:r>
      <w:r w:rsidR="00FE7AFD" w:rsidRPr="000071E5">
        <w:rPr>
          <w:lang w:val="es-ES"/>
        </w:rPr>
        <w:t xml:space="preserve"> no sólo </w:t>
      </w:r>
      <w:r w:rsidR="00B435AD" w:rsidRPr="000071E5">
        <w:rPr>
          <w:lang w:val="es-ES"/>
        </w:rPr>
        <w:t>trata sobre</w:t>
      </w:r>
      <w:r w:rsidR="00FE7AFD" w:rsidRPr="000071E5">
        <w:rPr>
          <w:lang w:val="es-ES"/>
        </w:rPr>
        <w:t xml:space="preserve"> la seguridad en línea, sino también la forma de empoderar a niños y jóvenes y de </w:t>
      </w:r>
      <w:r w:rsidR="004310EC" w:rsidRPr="000071E5">
        <w:rPr>
          <w:lang w:val="es-ES"/>
        </w:rPr>
        <w:t>fomentar la colaboración de los mismos</w:t>
      </w:r>
      <w:r w:rsidR="00FE7AFD" w:rsidRPr="000071E5">
        <w:rPr>
          <w:lang w:val="es-ES"/>
        </w:rPr>
        <w:t>.</w:t>
      </w:r>
    </w:p>
    <w:p w14:paraId="53B6D571" w14:textId="4BCB3225" w:rsidR="00DC5B06" w:rsidRPr="00B237E2" w:rsidRDefault="00DC5B06" w:rsidP="00E124B0">
      <w:pPr>
        <w:pStyle w:val="enumlev1"/>
        <w:rPr>
          <w:lang w:val="es-ES"/>
        </w:rPr>
      </w:pPr>
      <w:r w:rsidRPr="00B237E2">
        <w:rPr>
          <w:lang w:val="es-ES"/>
        </w:rPr>
        <w:t>•</w:t>
      </w:r>
      <w:r w:rsidRPr="00B237E2">
        <w:rPr>
          <w:lang w:val="es-ES"/>
        </w:rPr>
        <w:tab/>
        <w:t xml:space="preserve">La UIT </w:t>
      </w:r>
      <w:r w:rsidR="004310EC" w:rsidRPr="00B237E2">
        <w:rPr>
          <w:lang w:val="es-ES"/>
        </w:rPr>
        <w:t>suscribió</w:t>
      </w:r>
      <w:r w:rsidRPr="00B237E2">
        <w:rPr>
          <w:lang w:val="es-ES"/>
        </w:rPr>
        <w:t xml:space="preserve"> un acuerdo con la </w:t>
      </w:r>
      <w:hyperlink r:id="rId141" w:history="1">
        <w:r w:rsidRPr="00B237E2">
          <w:rPr>
            <w:rStyle w:val="Hyperlink"/>
            <w:lang w:val="es-ES"/>
          </w:rPr>
          <w:t>Fundación SCORT sobre PIeL</w:t>
        </w:r>
      </w:hyperlink>
      <w:r w:rsidRPr="00B237E2">
        <w:rPr>
          <w:lang w:val="es-ES"/>
        </w:rPr>
        <w:t xml:space="preserve"> en el deporte y por medio de la actividad deportiva</w:t>
      </w:r>
      <w:r w:rsidR="004310EC" w:rsidRPr="00B237E2">
        <w:rPr>
          <w:lang w:val="es-ES"/>
        </w:rPr>
        <w:t>, y ha</w:t>
      </w:r>
      <w:r w:rsidRPr="00B237E2">
        <w:rPr>
          <w:lang w:val="es-ES"/>
        </w:rPr>
        <w:t xml:space="preserve"> </w:t>
      </w:r>
      <w:r w:rsidR="004310EC" w:rsidRPr="00B237E2">
        <w:rPr>
          <w:lang w:val="es-ES"/>
        </w:rPr>
        <w:t>participado en</w:t>
      </w:r>
      <w:r w:rsidRPr="00B237E2">
        <w:rPr>
          <w:lang w:val="es-ES"/>
        </w:rPr>
        <w:t xml:space="preserve"> muchos debates, como el </w:t>
      </w:r>
      <w:hyperlink r:id="rId142" w:history="1">
        <w:r w:rsidRPr="00D02E8A">
          <w:rPr>
            <w:rStyle w:val="Hyperlink"/>
            <w:lang w:val="es-ES"/>
          </w:rPr>
          <w:t>Día de la Seguridad en Internet 2021</w:t>
        </w:r>
      </w:hyperlink>
      <w:r w:rsidRPr="00B237E2">
        <w:rPr>
          <w:lang w:val="es-ES"/>
        </w:rPr>
        <w:t xml:space="preserve"> y la </w:t>
      </w:r>
      <w:hyperlink r:id="rId143" w:history="1">
        <w:r w:rsidRPr="00B237E2">
          <w:rPr>
            <w:rStyle w:val="Hyperlink"/>
            <w:lang w:val="es-ES"/>
          </w:rPr>
          <w:t>15ª Conferencia Europea de Fútbol para el Desarrollo</w:t>
        </w:r>
      </w:hyperlink>
      <w:r w:rsidRPr="00B237E2">
        <w:rPr>
          <w:lang w:val="es-ES"/>
        </w:rPr>
        <w:t>.</w:t>
      </w:r>
    </w:p>
    <w:p w14:paraId="11E3A4A3" w14:textId="43F8A17A" w:rsidR="00FD2615" w:rsidRPr="00B237E2" w:rsidRDefault="00DC5B06" w:rsidP="00FD2615">
      <w:pPr>
        <w:pStyle w:val="enumlev1"/>
        <w:rPr>
          <w:lang w:val="es-ES"/>
        </w:rPr>
      </w:pPr>
      <w:r w:rsidRPr="00EB7F22">
        <w:rPr>
          <w:lang w:val="es-ES"/>
        </w:rPr>
        <w:t>•</w:t>
      </w:r>
      <w:r w:rsidRPr="00EB7F22">
        <w:rPr>
          <w:lang w:val="es-ES"/>
        </w:rPr>
        <w:tab/>
      </w:r>
      <w:bookmarkStart w:id="93" w:name="_Toc41289278"/>
      <w:bookmarkStart w:id="94" w:name="_Toc41289421"/>
      <w:bookmarkStart w:id="95" w:name="Section_1_7"/>
      <w:r w:rsidR="00FD2615" w:rsidRPr="00B237E2">
        <w:rPr>
          <w:lang w:val="es-ES"/>
        </w:rPr>
        <w:t>El programa "</w:t>
      </w:r>
      <w:hyperlink r:id="rId144" w:history="1">
        <w:r w:rsidR="00FD2615" w:rsidRPr="00D02E8A">
          <w:rPr>
            <w:rStyle w:val="Hyperlink"/>
            <w:lang w:val="es-ES"/>
          </w:rPr>
          <w:t>Creación de un ciberentorno seguro y empoderador para la infancia</w:t>
        </w:r>
      </w:hyperlink>
      <w:r w:rsidR="00FD2615" w:rsidRPr="00B237E2">
        <w:rPr>
          <w:lang w:val="es-ES"/>
        </w:rPr>
        <w:t>" (acuerdo suscrito en 2020 entre la UIT y el Reino de Arabia Saud</w:t>
      </w:r>
      <w:r w:rsidR="00D02E8A">
        <w:rPr>
          <w:lang w:val="es-ES"/>
        </w:rPr>
        <w:t>ita</w:t>
      </w:r>
      <w:r w:rsidR="00FD2615" w:rsidRPr="00B237E2">
        <w:rPr>
          <w:lang w:val="es-ES"/>
        </w:rPr>
        <w:t>) se puso en marcha en agosto de</w:t>
      </w:r>
      <w:r w:rsidR="00D02E8A">
        <w:rPr>
          <w:lang w:val="es-ES"/>
        </w:rPr>
        <w:t> </w:t>
      </w:r>
      <w:r w:rsidR="00FD2615" w:rsidRPr="00B237E2">
        <w:rPr>
          <w:lang w:val="es-ES"/>
        </w:rPr>
        <w:t xml:space="preserve">2021, con el fin de seguir redoblando esfuerzos a escala mundial para aplicar las </w:t>
      </w:r>
      <w:bookmarkStart w:id="96" w:name="_Hlk95122006"/>
      <w:r w:rsidR="00D02E8A">
        <w:rPr>
          <w:lang w:val="es-ES"/>
        </w:rPr>
        <w:t>D</w:t>
      </w:r>
      <w:r w:rsidR="00FD2615" w:rsidRPr="00B237E2">
        <w:rPr>
          <w:lang w:val="es-ES"/>
        </w:rPr>
        <w:t xml:space="preserve">irectrices de la UIT sobre </w:t>
      </w:r>
      <w:r w:rsidR="00A464B9">
        <w:rPr>
          <w:lang w:val="es-ES"/>
        </w:rPr>
        <w:t xml:space="preserve">la </w:t>
      </w:r>
      <w:r w:rsidR="00D02E8A" w:rsidRPr="00B237E2">
        <w:rPr>
          <w:lang w:val="es-ES"/>
        </w:rPr>
        <w:t xml:space="preserve">Protección </w:t>
      </w:r>
      <w:r w:rsidR="00FD2615" w:rsidRPr="00B237E2">
        <w:rPr>
          <w:lang w:val="es-ES"/>
        </w:rPr>
        <w:t xml:space="preserve">de la </w:t>
      </w:r>
      <w:r w:rsidR="00D02E8A" w:rsidRPr="00B237E2">
        <w:rPr>
          <w:lang w:val="es-ES"/>
        </w:rPr>
        <w:t xml:space="preserve">Infancia </w:t>
      </w:r>
      <w:r w:rsidR="00FD2615" w:rsidRPr="00B237E2">
        <w:rPr>
          <w:lang w:val="es-ES"/>
        </w:rPr>
        <w:t xml:space="preserve">en </w:t>
      </w:r>
      <w:r w:rsidR="00D02E8A" w:rsidRPr="00B237E2">
        <w:rPr>
          <w:lang w:val="es-ES"/>
        </w:rPr>
        <w:t>Línea</w:t>
      </w:r>
      <w:bookmarkEnd w:id="96"/>
      <w:r w:rsidR="00FD2615" w:rsidRPr="00B237E2">
        <w:rPr>
          <w:lang w:val="es-ES"/>
        </w:rPr>
        <w:t xml:space="preserve">. Dicho programa </w:t>
      </w:r>
      <w:r w:rsidR="00912E7B" w:rsidRPr="00B237E2">
        <w:rPr>
          <w:lang w:val="es-ES"/>
        </w:rPr>
        <w:t>implanta</w:t>
      </w:r>
      <w:r w:rsidR="00FD2615" w:rsidRPr="00B237E2">
        <w:rPr>
          <w:lang w:val="es-ES"/>
        </w:rPr>
        <w:t xml:space="preserve"> políticas de seguridad infantil en línea </w:t>
      </w:r>
      <w:r w:rsidR="00912E7B" w:rsidRPr="00B237E2">
        <w:rPr>
          <w:lang w:val="es-ES"/>
        </w:rPr>
        <w:t>destinadas a</w:t>
      </w:r>
      <w:r w:rsidR="00FD2615" w:rsidRPr="00B237E2">
        <w:rPr>
          <w:lang w:val="es-ES"/>
        </w:rPr>
        <w:t xml:space="preserve"> gobiernos, la industria y la sociedad civil</w:t>
      </w:r>
      <w:r w:rsidR="00912E7B" w:rsidRPr="00B237E2">
        <w:rPr>
          <w:lang w:val="es-ES"/>
        </w:rPr>
        <w:t xml:space="preserve">, </w:t>
      </w:r>
      <w:r w:rsidR="00FD2615" w:rsidRPr="00B237E2">
        <w:rPr>
          <w:lang w:val="es-ES"/>
        </w:rPr>
        <w:t>y se centra en el fomento de una cultura de seguridad infantil en línea.</w:t>
      </w:r>
    </w:p>
    <w:p w14:paraId="652FB118" w14:textId="3F277167" w:rsidR="00FD2615" w:rsidRPr="00B237E2" w:rsidRDefault="00912E7B" w:rsidP="00FD2615">
      <w:pPr>
        <w:pStyle w:val="enumlev1"/>
        <w:rPr>
          <w:lang w:val="es-ES"/>
        </w:rPr>
      </w:pPr>
      <w:r w:rsidRPr="00EB7F22">
        <w:rPr>
          <w:lang w:val="es-ES"/>
        </w:rPr>
        <w:t>•</w:t>
      </w:r>
      <w:r w:rsidRPr="00B237E2">
        <w:rPr>
          <w:lang w:val="es-ES"/>
        </w:rPr>
        <w:tab/>
      </w:r>
      <w:r w:rsidR="003732C6" w:rsidRPr="00B237E2">
        <w:rPr>
          <w:lang w:val="es-ES"/>
        </w:rPr>
        <w:t xml:space="preserve">La UIT también ha contribuido a la adopción de la </w:t>
      </w:r>
      <w:hyperlink r:id="rId145" w:anchor=":~:text=General%20Comment%2025%20not%20only%20raises%20awareness%20of,and%20other%20forms%20of%20violence%20on%20the%20internet." w:history="1">
        <w:r w:rsidR="003732C6" w:rsidRPr="003729C7">
          <w:rPr>
            <w:rStyle w:val="Hyperlink"/>
            <w:lang w:val="es-ES"/>
          </w:rPr>
          <w:t>Observación general núm</w:t>
        </w:r>
        <w:r w:rsidR="003729C7" w:rsidRPr="003729C7">
          <w:rPr>
            <w:rStyle w:val="Hyperlink"/>
            <w:lang w:val="es-ES"/>
          </w:rPr>
          <w:t>ero</w:t>
        </w:r>
        <w:r w:rsidR="003732C6" w:rsidRPr="003729C7">
          <w:rPr>
            <w:rStyle w:val="Hyperlink"/>
            <w:lang w:val="es-ES"/>
          </w:rPr>
          <w:t xml:space="preserve"> 25, relativa a los derechos de los niños en relación con el entorno digital</w:t>
        </w:r>
      </w:hyperlink>
      <w:r w:rsidR="003732C6" w:rsidRPr="00B237E2">
        <w:rPr>
          <w:lang w:val="es-ES"/>
        </w:rPr>
        <w:t>, por el Comité de los Derechos de la Infancia de las Naciones Unidas</w:t>
      </w:r>
      <w:r w:rsidR="00FD2615" w:rsidRPr="00B237E2">
        <w:rPr>
          <w:lang w:val="es-ES"/>
        </w:rPr>
        <w:t>.</w:t>
      </w:r>
    </w:p>
    <w:p w14:paraId="6C1EA54B" w14:textId="264418DF" w:rsidR="003732C6" w:rsidRPr="00B237E2" w:rsidRDefault="00912E7B" w:rsidP="00FD2615">
      <w:pPr>
        <w:pStyle w:val="enumlev1"/>
        <w:rPr>
          <w:lang w:val="es-ES"/>
        </w:rPr>
      </w:pPr>
      <w:r w:rsidRPr="00EB7F22">
        <w:rPr>
          <w:lang w:val="es-ES"/>
        </w:rPr>
        <w:t>•</w:t>
      </w:r>
      <w:r w:rsidRPr="00B237E2">
        <w:rPr>
          <w:lang w:val="es-ES"/>
        </w:rPr>
        <w:tab/>
      </w:r>
      <w:r w:rsidR="00FD2615" w:rsidRPr="00B237E2">
        <w:rPr>
          <w:lang w:val="es-ES"/>
        </w:rPr>
        <w:t xml:space="preserve">La UIT </w:t>
      </w:r>
      <w:r w:rsidR="003732C6" w:rsidRPr="00B237E2">
        <w:rPr>
          <w:lang w:val="es-ES"/>
        </w:rPr>
        <w:t xml:space="preserve">colabora </w:t>
      </w:r>
      <w:r w:rsidR="00FD2615" w:rsidRPr="00B237E2">
        <w:rPr>
          <w:lang w:val="es-ES"/>
        </w:rPr>
        <w:t xml:space="preserve">en la difusión de los "mensajes de Sango" (la </w:t>
      </w:r>
      <w:hyperlink r:id="rId146" w:history="1">
        <w:r w:rsidR="00FD2615" w:rsidRPr="003729C7">
          <w:rPr>
            <w:rStyle w:val="Hyperlink"/>
            <w:lang w:val="es-ES"/>
          </w:rPr>
          <w:t xml:space="preserve">mascota de la </w:t>
        </w:r>
        <w:r w:rsidR="003729C7" w:rsidRPr="003729C7">
          <w:rPr>
            <w:rStyle w:val="Hyperlink"/>
            <w:lang w:val="es-ES"/>
          </w:rPr>
          <w:t xml:space="preserve">Protección </w:t>
        </w:r>
        <w:r w:rsidR="00FD2615" w:rsidRPr="003729C7">
          <w:rPr>
            <w:rStyle w:val="Hyperlink"/>
            <w:lang w:val="es-ES"/>
          </w:rPr>
          <w:t xml:space="preserve">de la </w:t>
        </w:r>
        <w:r w:rsidR="003729C7" w:rsidRPr="003729C7">
          <w:rPr>
            <w:rStyle w:val="Hyperlink"/>
            <w:lang w:val="es-ES"/>
          </w:rPr>
          <w:t xml:space="preserve">Infancia </w:t>
        </w:r>
        <w:r w:rsidR="00FD2615" w:rsidRPr="003729C7">
          <w:rPr>
            <w:rStyle w:val="Hyperlink"/>
            <w:lang w:val="es-ES"/>
          </w:rPr>
          <w:t xml:space="preserve">en </w:t>
        </w:r>
        <w:r w:rsidR="003729C7" w:rsidRPr="003729C7">
          <w:rPr>
            <w:rStyle w:val="Hyperlink"/>
            <w:lang w:val="es-ES"/>
          </w:rPr>
          <w:t>Línea</w:t>
        </w:r>
      </w:hyperlink>
      <w:r w:rsidR="003732C6" w:rsidRPr="00B237E2">
        <w:rPr>
          <w:lang w:val="es-ES"/>
        </w:rPr>
        <w:t>,</w:t>
      </w:r>
      <w:r w:rsidR="00FD2615" w:rsidRPr="00B237E2">
        <w:rPr>
          <w:lang w:val="es-ES"/>
        </w:rPr>
        <w:t xml:space="preserve"> </w:t>
      </w:r>
      <w:r w:rsidR="003732C6" w:rsidRPr="00B237E2">
        <w:rPr>
          <w:lang w:val="es-ES"/>
        </w:rPr>
        <w:t>presentada</w:t>
      </w:r>
      <w:r w:rsidR="00FD2615" w:rsidRPr="00B237E2">
        <w:rPr>
          <w:lang w:val="es-ES"/>
        </w:rPr>
        <w:t xml:space="preserve"> en 2020) </w:t>
      </w:r>
      <w:r w:rsidR="003732C6" w:rsidRPr="00B237E2">
        <w:rPr>
          <w:lang w:val="es-ES"/>
        </w:rPr>
        <w:t>a fin de</w:t>
      </w:r>
      <w:r w:rsidR="00FD2615" w:rsidRPr="00B237E2">
        <w:rPr>
          <w:lang w:val="es-ES"/>
        </w:rPr>
        <w:t xml:space="preserve"> desarrollar contenidos </w:t>
      </w:r>
      <w:r w:rsidR="003732C6" w:rsidRPr="00B237E2">
        <w:rPr>
          <w:lang w:val="es-ES"/>
        </w:rPr>
        <w:t>pertinentes</w:t>
      </w:r>
      <w:r w:rsidR="00FD2615" w:rsidRPr="00B237E2">
        <w:rPr>
          <w:lang w:val="es-ES"/>
        </w:rPr>
        <w:t xml:space="preserve"> y </w:t>
      </w:r>
      <w:r w:rsidR="003732C6" w:rsidRPr="00B237E2">
        <w:rPr>
          <w:lang w:val="es-ES"/>
        </w:rPr>
        <w:t>aumentar la concienciación</w:t>
      </w:r>
      <w:r w:rsidR="00FD2615" w:rsidRPr="00B237E2">
        <w:rPr>
          <w:lang w:val="es-ES"/>
        </w:rPr>
        <w:t xml:space="preserve"> sobre la </w:t>
      </w:r>
      <w:r w:rsidR="003729C7" w:rsidRPr="00B237E2">
        <w:rPr>
          <w:lang w:val="es-ES"/>
        </w:rPr>
        <w:t xml:space="preserve">Protección </w:t>
      </w:r>
      <w:r w:rsidR="00FD2615" w:rsidRPr="00B237E2">
        <w:rPr>
          <w:lang w:val="es-ES"/>
        </w:rPr>
        <w:t xml:space="preserve">de la </w:t>
      </w:r>
      <w:r w:rsidR="003729C7" w:rsidRPr="00B237E2">
        <w:rPr>
          <w:lang w:val="es-ES"/>
        </w:rPr>
        <w:t xml:space="preserve">Infancia </w:t>
      </w:r>
      <w:r w:rsidR="00FD2615" w:rsidRPr="00B237E2">
        <w:rPr>
          <w:lang w:val="es-ES"/>
        </w:rPr>
        <w:t xml:space="preserve">en </w:t>
      </w:r>
      <w:r w:rsidR="003729C7" w:rsidRPr="00B237E2">
        <w:rPr>
          <w:lang w:val="es-ES"/>
        </w:rPr>
        <w:t>Línea</w:t>
      </w:r>
      <w:r w:rsidR="00FD2615" w:rsidRPr="00B237E2">
        <w:rPr>
          <w:lang w:val="es-ES"/>
        </w:rPr>
        <w:t>.</w:t>
      </w:r>
    </w:p>
    <w:p w14:paraId="19E7AFD6" w14:textId="2EB466B2" w:rsidR="00823AB3" w:rsidRPr="0059580C" w:rsidRDefault="00823AB3" w:rsidP="000071E5">
      <w:pPr>
        <w:pStyle w:val="Heading2"/>
        <w:rPr>
          <w:lang w:val="es-ES"/>
        </w:rPr>
      </w:pPr>
      <w:bookmarkStart w:id="97" w:name="_1.7_Inclusión_digital:"/>
      <w:bookmarkStart w:id="98" w:name="_Toc97821266"/>
      <w:bookmarkEnd w:id="97"/>
      <w:r w:rsidRPr="00FA2A14">
        <w:rPr>
          <w:lang w:val="es-ES"/>
        </w:rPr>
        <w:t>1.7</w:t>
      </w:r>
      <w:r w:rsidRPr="00FA2A14">
        <w:rPr>
          <w:lang w:val="es-ES"/>
        </w:rPr>
        <w:tab/>
        <w:t>Inclusión digital</w:t>
      </w:r>
      <w:bookmarkEnd w:id="93"/>
      <w:bookmarkEnd w:id="94"/>
      <w:r w:rsidR="00017DD0" w:rsidRPr="00FA2A14">
        <w:rPr>
          <w:lang w:val="es-ES"/>
        </w:rPr>
        <w:t>:</w:t>
      </w:r>
      <w:r w:rsidR="00DC5B06" w:rsidRPr="00FA2A14">
        <w:rPr>
          <w:lang w:val="es-ES"/>
        </w:rPr>
        <w:t xml:space="preserve"> </w:t>
      </w:r>
      <w:r w:rsidR="00017DD0" w:rsidRPr="00FA2A14">
        <w:rPr>
          <w:lang w:val="es-ES"/>
        </w:rPr>
        <w:t>a</w:t>
      </w:r>
      <w:r w:rsidR="00011941" w:rsidRPr="00FA2A14">
        <w:rPr>
          <w:lang w:val="es-ES"/>
        </w:rPr>
        <w:t xml:space="preserve">cceso a las TIC y </w:t>
      </w:r>
      <w:r w:rsidR="0059580C" w:rsidRPr="00FA2A14">
        <w:rPr>
          <w:lang w:val="es-ES"/>
        </w:rPr>
        <w:t xml:space="preserve">su </w:t>
      </w:r>
      <w:r w:rsidR="00011941" w:rsidRPr="00FA2A14">
        <w:rPr>
          <w:lang w:val="es-ES"/>
        </w:rPr>
        <w:t>utilización de forma inclusiva y en pie de igualdad</w:t>
      </w:r>
      <w:r w:rsidR="006F39B0" w:rsidRPr="00FA2A14">
        <w:rPr>
          <w:lang w:val="es-ES"/>
        </w:rPr>
        <w:t xml:space="preserve"> </w:t>
      </w:r>
      <w:r w:rsidR="00E81485" w:rsidRPr="00FA2A14">
        <w:rPr>
          <w:lang w:val="es-ES"/>
        </w:rPr>
        <w:t>por</w:t>
      </w:r>
      <w:r w:rsidR="006F39B0" w:rsidRPr="00FA2A14">
        <w:rPr>
          <w:lang w:val="es-ES"/>
        </w:rPr>
        <w:t xml:space="preserve"> todo el mundo</w:t>
      </w:r>
      <w:bookmarkEnd w:id="98"/>
    </w:p>
    <w:bookmarkEnd w:id="95"/>
    <w:p w14:paraId="68515C90" w14:textId="3812AA56" w:rsidR="00823AB3" w:rsidRPr="00B237E2" w:rsidRDefault="006F39B0" w:rsidP="00E124B0">
      <w:pPr>
        <w:rPr>
          <w:lang w:val="es-ES"/>
        </w:rPr>
      </w:pPr>
      <w:r w:rsidRPr="00B237E2">
        <w:rPr>
          <w:lang w:val="es-ES"/>
        </w:rPr>
        <w:t>Las TIC deben ser accesibles para todo el mundo, independientemente de su sexo, edad, capacidad y ubicación; contribuyen a mejorar nuestra vida, facilitan el acceso a la información, simplifican la prestación de servicios y fomentan la participación en los planos social y económico. La inclusión digital, una de las metas y objetivos estratégicos de la UIT, garantiza a todas las personas la posibilidad de formar parte de la sociedad digital.</w:t>
      </w:r>
    </w:p>
    <w:p w14:paraId="31902681" w14:textId="0529266E" w:rsidR="00823AB3" w:rsidRPr="00B237E2" w:rsidRDefault="00690772" w:rsidP="00E124B0">
      <w:pPr>
        <w:pStyle w:val="Headingb"/>
        <w:rPr>
          <w:lang w:val="es-ES"/>
        </w:rPr>
      </w:pPr>
      <w:r w:rsidRPr="00B237E2">
        <w:rPr>
          <w:lang w:val="es-ES"/>
        </w:rPr>
        <w:t>Colaboración a escala mundial para reducir la brecha digital en materia de género</w:t>
      </w:r>
    </w:p>
    <w:p w14:paraId="0221E075" w14:textId="5695A21A" w:rsidR="00823AB3" w:rsidRPr="00B237E2" w:rsidRDefault="002975FD" w:rsidP="00E124B0">
      <w:pPr>
        <w:rPr>
          <w:lang w:val="es-ES"/>
        </w:rPr>
      </w:pPr>
      <w:r>
        <w:rPr>
          <w:lang w:val="es-ES"/>
        </w:rPr>
        <w:t>L</w:t>
      </w:r>
      <w:r w:rsidR="00823AB3" w:rsidRPr="00B237E2">
        <w:rPr>
          <w:lang w:val="es-ES"/>
        </w:rPr>
        <w:t xml:space="preserve">a UIT </w:t>
      </w:r>
      <w:r>
        <w:rPr>
          <w:lang w:val="es-ES"/>
        </w:rPr>
        <w:t xml:space="preserve">es la encargada de </w:t>
      </w:r>
      <w:r w:rsidR="00823AB3" w:rsidRPr="00B237E2">
        <w:rPr>
          <w:lang w:val="es-ES"/>
        </w:rPr>
        <w:t xml:space="preserve">tres indicadores de los ODS </w:t>
      </w:r>
      <w:r w:rsidR="000C6677">
        <w:rPr>
          <w:lang w:val="es-ES"/>
        </w:rPr>
        <w:t xml:space="preserve">relativos a cuestiones de </w:t>
      </w:r>
      <w:r w:rsidR="00823AB3" w:rsidRPr="00B237E2">
        <w:rPr>
          <w:lang w:val="es-ES"/>
        </w:rPr>
        <w:t>género, que hacen referencia a la proporción de personas que 1) poseen un teléfono móvil, 2) utilizan Internet y 3) </w:t>
      </w:r>
      <w:r w:rsidR="00380C2B" w:rsidRPr="00B237E2">
        <w:rPr>
          <w:lang w:val="es-ES"/>
        </w:rPr>
        <w:t>cuentan con</w:t>
      </w:r>
      <w:r w:rsidR="00823AB3" w:rsidRPr="00B237E2">
        <w:rPr>
          <w:lang w:val="es-ES"/>
        </w:rPr>
        <w:t xml:space="preserve"> competencias en materia de TIC. </w:t>
      </w:r>
      <w:r w:rsidR="00690772" w:rsidRPr="00B237E2">
        <w:rPr>
          <w:lang w:val="es-ES"/>
        </w:rPr>
        <w:t>En</w:t>
      </w:r>
      <w:r w:rsidR="00823AB3" w:rsidRPr="00B237E2">
        <w:rPr>
          <w:lang w:val="es-ES"/>
        </w:rPr>
        <w:t xml:space="preserve"> el informe de la UIT </w:t>
      </w:r>
      <w:r w:rsidR="00017DD0">
        <w:rPr>
          <w:lang w:val="es-ES"/>
        </w:rPr>
        <w:t>"</w:t>
      </w:r>
      <w:hyperlink r:id="rId147" w:history="1">
        <w:r w:rsidR="00FA2A14" w:rsidRPr="00FA2A14">
          <w:rPr>
            <w:rStyle w:val="Hyperlink"/>
            <w:lang w:val="es-ES"/>
          </w:rPr>
          <w:t>Medición del desarrollo digital: hechos y cifras 2021</w:t>
        </w:r>
      </w:hyperlink>
      <w:r w:rsidR="00017DD0">
        <w:rPr>
          <w:lang w:val="es-ES"/>
        </w:rPr>
        <w:t>"</w:t>
      </w:r>
      <w:r w:rsidR="00823AB3" w:rsidRPr="00B237E2">
        <w:rPr>
          <w:lang w:val="es-ES"/>
        </w:rPr>
        <w:t xml:space="preserve"> </w:t>
      </w:r>
      <w:r w:rsidR="00690772" w:rsidRPr="00B237E2">
        <w:rPr>
          <w:lang w:val="es-ES"/>
        </w:rPr>
        <w:t>se pone de manifiesto</w:t>
      </w:r>
      <w:r w:rsidR="00823AB3" w:rsidRPr="00B237E2">
        <w:rPr>
          <w:lang w:val="es-ES"/>
        </w:rPr>
        <w:t xml:space="preserve"> que</w:t>
      </w:r>
      <w:r w:rsidR="0015588D" w:rsidRPr="00B237E2">
        <w:rPr>
          <w:lang w:val="es-ES"/>
        </w:rPr>
        <w:t xml:space="preserve">, en todas las regiones, </w:t>
      </w:r>
      <w:r w:rsidR="00823AB3" w:rsidRPr="00B237E2">
        <w:rPr>
          <w:lang w:val="es-ES"/>
        </w:rPr>
        <w:t xml:space="preserve">la brecha </w:t>
      </w:r>
      <w:r w:rsidR="0015588D" w:rsidRPr="00B237E2">
        <w:rPr>
          <w:lang w:val="es-ES"/>
        </w:rPr>
        <w:t>de Internet</w:t>
      </w:r>
      <w:r w:rsidR="00823AB3" w:rsidRPr="00B237E2">
        <w:rPr>
          <w:lang w:val="es-ES"/>
        </w:rPr>
        <w:t xml:space="preserve"> </w:t>
      </w:r>
      <w:r w:rsidR="009E554D" w:rsidRPr="00B237E2">
        <w:rPr>
          <w:lang w:val="es-ES"/>
        </w:rPr>
        <w:t>con respecto al</w:t>
      </w:r>
      <w:r w:rsidR="00823AB3" w:rsidRPr="00B237E2">
        <w:rPr>
          <w:lang w:val="es-ES"/>
        </w:rPr>
        <w:t xml:space="preserve"> género </w:t>
      </w:r>
      <w:r w:rsidR="0015588D" w:rsidRPr="00B237E2">
        <w:rPr>
          <w:lang w:val="es-ES"/>
        </w:rPr>
        <w:t>se ha reducido en los últimos años,</w:t>
      </w:r>
      <w:r w:rsidR="00823AB3" w:rsidRPr="00B237E2">
        <w:rPr>
          <w:lang w:val="es-ES"/>
        </w:rPr>
        <w:t xml:space="preserve"> y se aboga por la adopción de</w:t>
      </w:r>
      <w:r w:rsidR="0015588D" w:rsidRPr="00B237E2">
        <w:rPr>
          <w:lang w:val="es-ES"/>
        </w:rPr>
        <w:t xml:space="preserve"> </w:t>
      </w:r>
      <w:r w:rsidR="009E554D" w:rsidRPr="00B237E2">
        <w:rPr>
          <w:lang w:val="es-ES"/>
        </w:rPr>
        <w:t>nuevas</w:t>
      </w:r>
      <w:r w:rsidR="00823AB3" w:rsidRPr="00B237E2">
        <w:rPr>
          <w:lang w:val="es-ES"/>
        </w:rPr>
        <w:t xml:space="preserve"> medidas para hacer frente a obstáculos culturales, financieros y en materia de competencias que impiden la adopción de Interne</w:t>
      </w:r>
      <w:r w:rsidR="00406980" w:rsidRPr="00B237E2">
        <w:rPr>
          <w:lang w:val="es-ES"/>
        </w:rPr>
        <w:t>t a</w:t>
      </w:r>
      <w:r w:rsidR="00823AB3" w:rsidRPr="00B237E2">
        <w:rPr>
          <w:lang w:val="es-ES"/>
        </w:rPr>
        <w:t xml:space="preserve"> las mujeres.</w:t>
      </w:r>
      <w:r w:rsidR="00406980" w:rsidRPr="00B237E2">
        <w:rPr>
          <w:lang w:val="es-ES"/>
        </w:rPr>
        <w:t xml:space="preserve"> La UIT ha desplegado esfuerzos específicos para reducir la brecha digital y fomentar la Agenda Conectar 2030.</w:t>
      </w:r>
    </w:p>
    <w:p w14:paraId="3D14413F" w14:textId="24069709" w:rsidR="00DC5B06" w:rsidRPr="00FA2A14" w:rsidRDefault="00406980" w:rsidP="00FA2A14">
      <w:pPr>
        <w:keepNext/>
        <w:keepLines/>
        <w:rPr>
          <w:u w:val="single"/>
          <w:lang w:val="es-ES"/>
        </w:rPr>
      </w:pPr>
      <w:r w:rsidRPr="00FA2A14">
        <w:rPr>
          <w:u w:val="single"/>
          <w:lang w:val="es-ES"/>
        </w:rPr>
        <w:lastRenderedPageBreak/>
        <w:t>Día Internacional de las Niñas en las TIC</w:t>
      </w:r>
    </w:p>
    <w:p w14:paraId="094B7292" w14:textId="7FFBD2E0" w:rsidR="000071E5" w:rsidRPr="000071E5" w:rsidRDefault="000071E5" w:rsidP="000071E5">
      <w:pPr>
        <w:rPr>
          <w:lang w:val="es-ES"/>
        </w:rPr>
      </w:pPr>
      <w:r w:rsidRPr="000071E5">
        <w:rPr>
          <w:lang w:val="es-ES"/>
        </w:rPr>
        <w:t xml:space="preserve">El </w:t>
      </w:r>
      <w:hyperlink r:id="rId148" w:history="1">
        <w:r w:rsidRPr="000071E5">
          <w:rPr>
            <w:rStyle w:val="Hyperlink"/>
            <w:lang w:val="es-ES"/>
          </w:rPr>
          <w:t>Día Internacional de las Niñas en las TIC</w:t>
        </w:r>
      </w:hyperlink>
      <w:r w:rsidRPr="000071E5">
        <w:rPr>
          <w:lang w:val="es-ES"/>
        </w:rPr>
        <w:t xml:space="preserve">, celebrado actualmente en el sistema de las Naciones Unidas con carácter anual, tiene por objeto alentar a niñas y mujeres jóvenes a emprender trayectorias académicas y profesionales en el ámbito de las TIC. El objetivo de la 10ª </w:t>
      </w:r>
      <w:r w:rsidR="00FA2A14">
        <w:rPr>
          <w:lang w:val="es-ES"/>
        </w:rPr>
        <w:t>e</w:t>
      </w:r>
      <w:r w:rsidRPr="000071E5">
        <w:rPr>
          <w:lang w:val="es-ES"/>
        </w:rPr>
        <w:t>dición, cuyo lema fue "</w:t>
      </w:r>
      <w:hyperlink r:id="rId149" w:history="1">
        <w:r w:rsidRPr="00FA2A14">
          <w:rPr>
            <w:rStyle w:val="Hyperlink"/>
            <w:lang w:val="es-ES"/>
          </w:rPr>
          <w:t>Conectar a las niñas y forjar futuros más brillantes</w:t>
        </w:r>
      </w:hyperlink>
      <w:r w:rsidRPr="000071E5">
        <w:rPr>
          <w:lang w:val="es-ES"/>
        </w:rPr>
        <w:t>", fue promover la colaboración para suscitar el interés de las niñas en los ámbitos de la ciencia, la tecnología, la ingeniería y las matemáticas (CTIM), y dar a conocer la importancia que ello reviste, así como proporcionar una plataforma que permita alentar a las niñas a cursar estudios de CTIM.</w:t>
      </w:r>
    </w:p>
    <w:p w14:paraId="0CBFC107" w14:textId="444A23A2" w:rsidR="00DC5B06" w:rsidRPr="00FA2A14" w:rsidRDefault="00FA1C30" w:rsidP="00FA2A14">
      <w:pPr>
        <w:keepNext/>
        <w:keepLines/>
        <w:rPr>
          <w:u w:val="single"/>
          <w:lang w:val="es-ES"/>
        </w:rPr>
      </w:pPr>
      <w:r w:rsidRPr="00E7707F">
        <w:rPr>
          <w:u w:val="single"/>
          <w:lang w:val="es-ES"/>
        </w:rPr>
        <w:t xml:space="preserve">Iniciativas </w:t>
      </w:r>
      <w:r w:rsidR="000071E5" w:rsidRPr="00E7707F">
        <w:rPr>
          <w:u w:val="single"/>
          <w:lang w:val="es-ES"/>
        </w:rPr>
        <w:t>"</w:t>
      </w:r>
      <w:r w:rsidR="00DC5B06" w:rsidRPr="00AF6115">
        <w:rPr>
          <w:u w:val="single"/>
          <w:lang w:val="fr-FR"/>
        </w:rPr>
        <w:t>Girls Can Code</w:t>
      </w:r>
      <w:r w:rsidR="000071E5" w:rsidRPr="00E7707F">
        <w:rPr>
          <w:u w:val="single"/>
          <w:lang w:val="es-ES"/>
        </w:rPr>
        <w:t>"</w:t>
      </w:r>
    </w:p>
    <w:p w14:paraId="15D93725" w14:textId="3CEA24B4" w:rsidR="000071E5" w:rsidRPr="000071E5" w:rsidRDefault="000071E5" w:rsidP="000071E5">
      <w:pPr>
        <w:rPr>
          <w:lang w:val="es-ES"/>
        </w:rPr>
      </w:pPr>
      <w:r w:rsidRPr="000071E5">
        <w:rPr>
          <w:lang w:val="es-ES"/>
        </w:rPr>
        <w:t xml:space="preserve">En 2018 y 2019, más de 500 niñas participaron en los talleres de codificación organizados en el marco de la iniciativa </w:t>
      </w:r>
      <w:r>
        <w:rPr>
          <w:lang w:val="es-ES"/>
        </w:rPr>
        <w:t>"</w:t>
      </w:r>
      <w:hyperlink r:id="rId150" w:history="1">
        <w:proofErr w:type="spellStart"/>
        <w:r w:rsidRPr="00AF6115">
          <w:rPr>
            <w:rStyle w:val="Hyperlink"/>
            <w:lang w:val="fr-FR"/>
          </w:rPr>
          <w:t>African</w:t>
        </w:r>
        <w:proofErr w:type="spellEnd"/>
        <w:r w:rsidRPr="00AF6115">
          <w:rPr>
            <w:rStyle w:val="Hyperlink"/>
            <w:lang w:val="fr-FR"/>
          </w:rPr>
          <w:t xml:space="preserve"> Girls Can Code</w:t>
        </w:r>
      </w:hyperlink>
      <w:r>
        <w:rPr>
          <w:lang w:val="es-ES"/>
        </w:rPr>
        <w:t>"</w:t>
      </w:r>
      <w:r w:rsidRPr="000071E5">
        <w:rPr>
          <w:lang w:val="es-ES"/>
        </w:rPr>
        <w:t>, un proyecto de cuatro años de duración puesto en marcha por la UIT, la Unión Africana y ONU-Mujeres, y que cuenta con respaldo financiero de la Embajada de Dinamarca en Etiopía. En 2020, la UIT organizó en colaboración con UNECA un evento en Addis Abeba, en el que participaron presencialmente 125 niñas y 2</w:t>
      </w:r>
      <w:r w:rsidR="00E7707F">
        <w:rPr>
          <w:lang w:val="es-ES"/>
        </w:rPr>
        <w:t> </w:t>
      </w:r>
      <w:r w:rsidRPr="000071E5">
        <w:rPr>
          <w:lang w:val="es-ES"/>
        </w:rPr>
        <w:t xml:space="preserve">000 niñas de todo el continente a distancia. La iniciativa </w:t>
      </w:r>
      <w:r>
        <w:rPr>
          <w:lang w:val="es-ES"/>
        </w:rPr>
        <w:t>"</w:t>
      </w:r>
      <w:hyperlink r:id="rId151" w:history="1">
        <w:proofErr w:type="spellStart"/>
        <w:r w:rsidRPr="00AF6115">
          <w:rPr>
            <w:rStyle w:val="Hyperlink"/>
            <w:lang w:val="fr-FR"/>
          </w:rPr>
          <w:t>Americas</w:t>
        </w:r>
        <w:proofErr w:type="spellEnd"/>
        <w:r w:rsidRPr="00AF6115">
          <w:rPr>
            <w:rStyle w:val="Hyperlink"/>
            <w:lang w:val="fr-FR"/>
          </w:rPr>
          <w:t xml:space="preserve"> Girls Can Code</w:t>
        </w:r>
      </w:hyperlink>
      <w:r>
        <w:rPr>
          <w:lang w:val="es-ES"/>
        </w:rPr>
        <w:t>"</w:t>
      </w:r>
      <w:r w:rsidRPr="000071E5">
        <w:rPr>
          <w:lang w:val="es-ES"/>
        </w:rPr>
        <w:t>, puesta en marcha en 2019, ha enseñado a codificar a más de 7</w:t>
      </w:r>
      <w:r w:rsidR="00E7707F">
        <w:rPr>
          <w:lang w:val="es-ES"/>
        </w:rPr>
        <w:t> </w:t>
      </w:r>
      <w:r w:rsidRPr="000071E5">
        <w:rPr>
          <w:lang w:val="es-ES"/>
        </w:rPr>
        <w:t>000 niñas.</w:t>
      </w:r>
    </w:p>
    <w:p w14:paraId="215FB584" w14:textId="29EE86AC" w:rsidR="003745E6" w:rsidRPr="00B237E2" w:rsidRDefault="003745E6" w:rsidP="00490D39">
      <w:pPr>
        <w:rPr>
          <w:u w:val="single"/>
          <w:lang w:val="es-ES"/>
        </w:rPr>
      </w:pPr>
      <w:bookmarkStart w:id="99" w:name="_Hlk35444268"/>
      <w:r w:rsidRPr="00E7707F">
        <w:rPr>
          <w:u w:val="single"/>
          <w:lang w:val="es-ES"/>
        </w:rPr>
        <w:t>EQUALS</w:t>
      </w:r>
    </w:p>
    <w:p w14:paraId="4B3DC5AD" w14:textId="05702144" w:rsidR="00823AB3" w:rsidRPr="00B237E2" w:rsidRDefault="00AF6115" w:rsidP="00E124B0">
      <w:pPr>
        <w:rPr>
          <w:lang w:val="es-ES"/>
        </w:rPr>
      </w:pPr>
      <w:hyperlink r:id="rId152" w:history="1">
        <w:r w:rsidR="00823AB3" w:rsidRPr="00E7707F">
          <w:rPr>
            <w:rStyle w:val="Hyperlink"/>
            <w:lang w:val="es-ES"/>
          </w:rPr>
          <w:t>EQUALS, la asociación mundial para reducir la brecha digital entre hombres y mujeres</w:t>
        </w:r>
      </w:hyperlink>
      <w:r w:rsidR="00823AB3" w:rsidRPr="00B237E2">
        <w:rPr>
          <w:lang w:val="es-ES"/>
        </w:rPr>
        <w:t xml:space="preserve">, </w:t>
      </w:r>
      <w:r w:rsidR="000C4F92" w:rsidRPr="00B237E2">
        <w:rPr>
          <w:lang w:val="es-ES"/>
        </w:rPr>
        <w:t>aboga por la reducción</w:t>
      </w:r>
      <w:r w:rsidR="00823AB3" w:rsidRPr="00B237E2">
        <w:rPr>
          <w:lang w:val="es-ES"/>
        </w:rPr>
        <w:t xml:space="preserve"> de la brecha digital de género, centrándose en el acceso, las competencias, el liderazgo y la investigación. </w:t>
      </w:r>
      <w:r w:rsidR="000C4F92" w:rsidRPr="00B237E2">
        <w:rPr>
          <w:lang w:val="es-ES"/>
        </w:rPr>
        <w:t>EQUALS (que cuenta con más de 100 asociados en 115 países) ha impartido formación y tutorías en competencias digitales</w:t>
      </w:r>
      <w:r w:rsidR="00D4071C" w:rsidRPr="00B237E2">
        <w:rPr>
          <w:lang w:val="es-ES"/>
        </w:rPr>
        <w:t xml:space="preserve"> a más de 52</w:t>
      </w:r>
      <w:r w:rsidR="00E7707F">
        <w:rPr>
          <w:lang w:val="es-ES"/>
        </w:rPr>
        <w:t> </w:t>
      </w:r>
      <w:r w:rsidR="00D4071C" w:rsidRPr="00B237E2">
        <w:rPr>
          <w:lang w:val="es-ES"/>
        </w:rPr>
        <w:t>000 mujeres y niñas</w:t>
      </w:r>
      <w:r w:rsidR="000C4F92" w:rsidRPr="00B237E2">
        <w:rPr>
          <w:lang w:val="es-ES"/>
        </w:rPr>
        <w:t xml:space="preserve">. En el marco de más de 145 proyectos de investigación </w:t>
      </w:r>
      <w:r w:rsidR="00D4071C" w:rsidRPr="00B237E2">
        <w:rPr>
          <w:lang w:val="es-ES"/>
        </w:rPr>
        <w:t xml:space="preserve">se </w:t>
      </w:r>
      <w:r w:rsidR="000C4F92" w:rsidRPr="00B237E2">
        <w:rPr>
          <w:lang w:val="es-ES"/>
        </w:rPr>
        <w:t>ha</w:t>
      </w:r>
      <w:r w:rsidR="00D4071C" w:rsidRPr="00B237E2">
        <w:rPr>
          <w:lang w:val="es-ES"/>
        </w:rPr>
        <w:t xml:space="preserve"> abordado la brecha digital</w:t>
      </w:r>
      <w:r w:rsidR="000C4F92" w:rsidRPr="00B237E2">
        <w:rPr>
          <w:lang w:val="es-ES"/>
        </w:rPr>
        <w:t xml:space="preserve"> </w:t>
      </w:r>
      <w:r w:rsidR="00D4071C" w:rsidRPr="00B237E2">
        <w:rPr>
          <w:lang w:val="es-ES"/>
        </w:rPr>
        <w:t>en materia de</w:t>
      </w:r>
      <w:r w:rsidR="000C4F92" w:rsidRPr="00B237E2">
        <w:rPr>
          <w:lang w:val="es-ES"/>
        </w:rPr>
        <w:t xml:space="preserve"> género</w:t>
      </w:r>
      <w:r w:rsidR="00D4071C" w:rsidRPr="00B237E2">
        <w:rPr>
          <w:lang w:val="es-ES"/>
        </w:rPr>
        <w:t>,</w:t>
      </w:r>
      <w:r w:rsidR="000C4F92" w:rsidRPr="00B237E2">
        <w:rPr>
          <w:lang w:val="es-ES"/>
        </w:rPr>
        <w:t xml:space="preserve"> </w:t>
      </w:r>
      <w:r w:rsidR="00D4071C" w:rsidRPr="00B237E2">
        <w:rPr>
          <w:lang w:val="es-ES"/>
        </w:rPr>
        <w:t>a fin de identificar</w:t>
      </w:r>
      <w:r w:rsidR="000C4F92" w:rsidRPr="00B237E2">
        <w:rPr>
          <w:lang w:val="es-ES"/>
        </w:rPr>
        <w:t xml:space="preserve"> soluciones</w:t>
      </w:r>
      <w:r w:rsidR="00D4071C" w:rsidRPr="00B237E2">
        <w:rPr>
          <w:lang w:val="es-ES"/>
        </w:rPr>
        <w:t xml:space="preserve"> para reducirla</w:t>
      </w:r>
      <w:r w:rsidR="00823AB3" w:rsidRPr="00B237E2">
        <w:rPr>
          <w:lang w:val="es-ES"/>
        </w:rPr>
        <w:t>.</w:t>
      </w:r>
      <w:bookmarkEnd w:id="99"/>
    </w:p>
    <w:p w14:paraId="43159047" w14:textId="11D88C8D" w:rsidR="00DC5B06" w:rsidRPr="00E7707F" w:rsidRDefault="00B1122A" w:rsidP="00E7707F">
      <w:pPr>
        <w:keepNext/>
        <w:keepLines/>
        <w:rPr>
          <w:u w:val="single"/>
          <w:lang w:val="es-ES"/>
        </w:rPr>
      </w:pPr>
      <w:r w:rsidRPr="00B3353A">
        <w:rPr>
          <w:u w:val="single"/>
          <w:lang w:val="es-ES"/>
        </w:rPr>
        <w:t>Red de Mujeres (RdM)</w:t>
      </w:r>
      <w:r w:rsidR="00DC5B06" w:rsidRPr="00B3353A">
        <w:rPr>
          <w:u w:val="single"/>
          <w:lang w:val="es-ES"/>
        </w:rPr>
        <w:t xml:space="preserve">: </w:t>
      </w:r>
      <w:r w:rsidRPr="00B3353A">
        <w:rPr>
          <w:u w:val="single"/>
          <w:lang w:val="es-ES"/>
        </w:rPr>
        <w:t>promoción del equilibrio de género</w:t>
      </w:r>
    </w:p>
    <w:p w14:paraId="4CF521CD" w14:textId="554490B9" w:rsidR="00D818BB" w:rsidRPr="00B237E2" w:rsidRDefault="00823AB3" w:rsidP="00D818BB">
      <w:pPr>
        <w:rPr>
          <w:lang w:val="es-ES"/>
        </w:rPr>
      </w:pPr>
      <w:r w:rsidRPr="00B237E2">
        <w:rPr>
          <w:lang w:val="es-ES"/>
        </w:rPr>
        <w:t xml:space="preserve">El fomento y el seguimiento de una representación equilibrada en cuanto al género y el nombramiento de mujeres para desempeñar funciones clave refuerzan la participación de las mujeres en las reuniones de la UIT. </w:t>
      </w:r>
      <w:r w:rsidR="00F00A95">
        <w:rPr>
          <w:lang w:val="es-ES"/>
        </w:rPr>
        <w:t>La finalidad es</w:t>
      </w:r>
      <w:r w:rsidR="00D818BB" w:rsidRPr="00B237E2">
        <w:rPr>
          <w:lang w:val="es-ES"/>
        </w:rPr>
        <w:t xml:space="preserve"> </w:t>
      </w:r>
      <w:r w:rsidR="00C63D04" w:rsidRPr="00B237E2">
        <w:rPr>
          <w:lang w:val="es-ES"/>
        </w:rPr>
        <w:t>forjar</w:t>
      </w:r>
      <w:r w:rsidR="00D818BB" w:rsidRPr="00B237E2">
        <w:rPr>
          <w:lang w:val="es-ES"/>
        </w:rPr>
        <w:t xml:space="preserve"> una comunidad en la que las delegadas puedan establecer </w:t>
      </w:r>
      <w:r w:rsidR="00D17E49" w:rsidRPr="00B237E2">
        <w:rPr>
          <w:lang w:val="es-ES"/>
        </w:rPr>
        <w:t>contactos</w:t>
      </w:r>
      <w:r w:rsidR="00D818BB" w:rsidRPr="00B237E2">
        <w:rPr>
          <w:lang w:val="es-ES"/>
        </w:rPr>
        <w:t>, compartir experiencia</w:t>
      </w:r>
      <w:r w:rsidR="00D17E49" w:rsidRPr="00B237E2">
        <w:rPr>
          <w:lang w:val="es-ES"/>
        </w:rPr>
        <w:t>s</w:t>
      </w:r>
      <w:r w:rsidR="00D818BB" w:rsidRPr="00B237E2">
        <w:rPr>
          <w:lang w:val="es-ES"/>
        </w:rPr>
        <w:t xml:space="preserve"> y promover la participación de mujeres, </w:t>
      </w:r>
      <w:r w:rsidR="00D17E49" w:rsidRPr="00B237E2">
        <w:rPr>
          <w:lang w:val="es-ES"/>
        </w:rPr>
        <w:t>al tiempo que se fomenta</w:t>
      </w:r>
      <w:r w:rsidR="00D818BB" w:rsidRPr="00B237E2">
        <w:rPr>
          <w:lang w:val="es-ES"/>
        </w:rPr>
        <w:t xml:space="preserve"> su visibilidad</w:t>
      </w:r>
      <w:r w:rsidR="00D17E49" w:rsidRPr="00B237E2">
        <w:rPr>
          <w:lang w:val="es-ES"/>
        </w:rPr>
        <w:t xml:space="preserve"> y empoderamiento y se alienta a delegadas</w:t>
      </w:r>
      <w:r w:rsidR="00D818BB" w:rsidRPr="00B237E2">
        <w:rPr>
          <w:lang w:val="es-ES"/>
        </w:rPr>
        <w:t xml:space="preserve"> con experiencia a </w:t>
      </w:r>
      <w:r w:rsidR="007B7519">
        <w:rPr>
          <w:lang w:val="es-ES"/>
        </w:rPr>
        <w:t xml:space="preserve">convertirse en </w:t>
      </w:r>
      <w:r w:rsidR="00D818BB" w:rsidRPr="00B237E2">
        <w:rPr>
          <w:lang w:val="es-ES"/>
        </w:rPr>
        <w:t xml:space="preserve">mentoras de profesionales de las TIC en el </w:t>
      </w:r>
      <w:r w:rsidR="00D17E49" w:rsidRPr="00B237E2">
        <w:rPr>
          <w:lang w:val="es-ES"/>
        </w:rPr>
        <w:t>ámbito</w:t>
      </w:r>
      <w:r w:rsidR="00D818BB" w:rsidRPr="00B237E2">
        <w:rPr>
          <w:lang w:val="es-ES"/>
        </w:rPr>
        <w:t xml:space="preserve"> digital.</w:t>
      </w:r>
    </w:p>
    <w:p w14:paraId="731E94EE" w14:textId="3A27E686" w:rsidR="00D818BB" w:rsidRPr="00B237E2" w:rsidRDefault="00D818BB" w:rsidP="00D818BB">
      <w:pPr>
        <w:rPr>
          <w:lang w:val="es-ES"/>
        </w:rPr>
      </w:pPr>
      <w:r w:rsidRPr="00B237E2">
        <w:rPr>
          <w:lang w:val="es-ES"/>
        </w:rPr>
        <w:t xml:space="preserve">En 2021, la BDT </w:t>
      </w:r>
      <w:r w:rsidR="00C63D04" w:rsidRPr="00B237E2">
        <w:rPr>
          <w:lang w:val="es-ES"/>
        </w:rPr>
        <w:t xml:space="preserve">puso en marcha la </w:t>
      </w:r>
      <w:r w:rsidR="00E7707F">
        <w:rPr>
          <w:lang w:val="es-ES"/>
        </w:rPr>
        <w:t>"</w:t>
      </w:r>
      <w:hyperlink r:id="rId153" w:history="1">
        <w:r w:rsidRPr="00E7707F">
          <w:rPr>
            <w:rStyle w:val="Hyperlink"/>
            <w:lang w:val="es-ES"/>
          </w:rPr>
          <w:t xml:space="preserve">Red de Mujeres </w:t>
        </w:r>
        <w:r w:rsidR="00C63D04" w:rsidRPr="00E7707F">
          <w:rPr>
            <w:rStyle w:val="Hyperlink"/>
            <w:lang w:val="es-ES"/>
          </w:rPr>
          <w:t>en la CMDT</w:t>
        </w:r>
      </w:hyperlink>
      <w:r w:rsidR="00E7707F">
        <w:rPr>
          <w:lang w:val="es-ES"/>
        </w:rPr>
        <w:t>"</w:t>
      </w:r>
      <w:r w:rsidRPr="00B237E2">
        <w:rPr>
          <w:lang w:val="es-ES"/>
        </w:rPr>
        <w:t xml:space="preserve"> con el objetivo de </w:t>
      </w:r>
      <w:r w:rsidR="00C63D04" w:rsidRPr="00B237E2">
        <w:rPr>
          <w:lang w:val="es-ES"/>
        </w:rPr>
        <w:t>fomentar la participación de las</w:t>
      </w:r>
      <w:r w:rsidRPr="00B237E2">
        <w:rPr>
          <w:lang w:val="es-ES"/>
        </w:rPr>
        <w:t xml:space="preserve"> mujeres en las reuniones del UIT-D</w:t>
      </w:r>
      <w:r w:rsidR="00C63D04" w:rsidRPr="00B237E2">
        <w:rPr>
          <w:lang w:val="es-ES"/>
        </w:rPr>
        <w:t>, incluida la asunción de</w:t>
      </w:r>
      <w:r w:rsidRPr="00B237E2">
        <w:rPr>
          <w:lang w:val="es-ES"/>
        </w:rPr>
        <w:t xml:space="preserve"> funciones de liderazgo </w:t>
      </w:r>
      <w:r w:rsidR="00113666" w:rsidRPr="00B237E2">
        <w:rPr>
          <w:lang w:val="es-ES"/>
        </w:rPr>
        <w:t>para</w:t>
      </w:r>
      <w:r w:rsidRPr="00B237E2">
        <w:rPr>
          <w:lang w:val="es-ES"/>
        </w:rPr>
        <w:t xml:space="preserve"> la preparación de la propia CMDT. </w:t>
      </w:r>
      <w:r w:rsidR="00113666" w:rsidRPr="00B237E2">
        <w:rPr>
          <w:lang w:val="es-ES"/>
        </w:rPr>
        <w:t>A tal efecto</w:t>
      </w:r>
      <w:r w:rsidRPr="00B237E2">
        <w:rPr>
          <w:lang w:val="es-ES"/>
        </w:rPr>
        <w:t xml:space="preserve">, la UIT puso en marcha el </w:t>
      </w:r>
      <w:hyperlink r:id="rId154" w:history="1">
        <w:r w:rsidR="00E7707F" w:rsidRPr="00E7707F">
          <w:rPr>
            <w:rStyle w:val="Hyperlink"/>
            <w:lang w:val="es-ES"/>
          </w:rPr>
          <w:t>p</w:t>
        </w:r>
        <w:r w:rsidRPr="00E7707F">
          <w:rPr>
            <w:rStyle w:val="Hyperlink"/>
            <w:lang w:val="es-ES"/>
          </w:rPr>
          <w:t>rograma mundial de tutoría</w:t>
        </w:r>
        <w:r w:rsidR="00113666" w:rsidRPr="00E7707F">
          <w:rPr>
            <w:rStyle w:val="Hyperlink"/>
            <w:lang w:val="es-ES"/>
          </w:rPr>
          <w:t>s</w:t>
        </w:r>
      </w:hyperlink>
      <w:r w:rsidR="00113666" w:rsidRPr="00B237E2">
        <w:rPr>
          <w:lang w:val="es-ES"/>
        </w:rPr>
        <w:t xml:space="preserve">, con </w:t>
      </w:r>
      <w:r w:rsidRPr="00B237E2">
        <w:rPr>
          <w:lang w:val="es-ES"/>
        </w:rPr>
        <w:t xml:space="preserve">debates </w:t>
      </w:r>
      <w:r w:rsidR="00113666" w:rsidRPr="00B237E2">
        <w:rPr>
          <w:lang w:val="es-ES"/>
        </w:rPr>
        <w:t>conexos oficiosos</w:t>
      </w:r>
      <w:r w:rsidRPr="00B237E2">
        <w:rPr>
          <w:lang w:val="es-ES"/>
        </w:rPr>
        <w:t>.</w:t>
      </w:r>
    </w:p>
    <w:p w14:paraId="1BD557D7" w14:textId="131226B3" w:rsidR="00823AB3" w:rsidRPr="00B237E2" w:rsidRDefault="00D818BB" w:rsidP="00D818BB">
      <w:pPr>
        <w:rPr>
          <w:lang w:val="es-ES"/>
        </w:rPr>
      </w:pPr>
      <w:r w:rsidRPr="00B237E2">
        <w:rPr>
          <w:lang w:val="es-ES"/>
        </w:rPr>
        <w:t xml:space="preserve">En el </w:t>
      </w:r>
      <w:r w:rsidR="00113666" w:rsidRPr="00B237E2">
        <w:rPr>
          <w:lang w:val="es-ES"/>
        </w:rPr>
        <w:t xml:space="preserve">marco del </w:t>
      </w:r>
      <w:r w:rsidRPr="00B237E2">
        <w:rPr>
          <w:lang w:val="es-ES"/>
        </w:rPr>
        <w:t xml:space="preserve">Seminario Mundial </w:t>
      </w:r>
      <w:r w:rsidR="00F8253D" w:rsidRPr="00B237E2">
        <w:rPr>
          <w:lang w:val="es-ES"/>
        </w:rPr>
        <w:t>en línea sobre</w:t>
      </w:r>
      <w:r w:rsidRPr="00B237E2">
        <w:rPr>
          <w:lang w:val="es-ES"/>
        </w:rPr>
        <w:t xml:space="preserve"> Radiocomunicaciones </w:t>
      </w:r>
      <w:r w:rsidR="00113666" w:rsidRPr="00B237E2">
        <w:rPr>
          <w:lang w:val="es-ES"/>
        </w:rPr>
        <w:t>celebrado en</w:t>
      </w:r>
      <w:r w:rsidRPr="00B237E2">
        <w:rPr>
          <w:lang w:val="es-ES"/>
        </w:rPr>
        <w:t xml:space="preserve"> 2020, el</w:t>
      </w:r>
      <w:r w:rsidR="00E7707F">
        <w:rPr>
          <w:lang w:val="es-ES"/>
        </w:rPr>
        <w:t> </w:t>
      </w:r>
      <w:r w:rsidRPr="00B237E2">
        <w:rPr>
          <w:lang w:val="es-ES"/>
        </w:rPr>
        <w:t>UIT</w:t>
      </w:r>
      <w:r w:rsidR="00E7707F">
        <w:rPr>
          <w:lang w:val="es-ES"/>
        </w:rPr>
        <w:noBreakHyphen/>
      </w:r>
      <w:r w:rsidRPr="00B237E2">
        <w:rPr>
          <w:lang w:val="es-ES"/>
        </w:rPr>
        <w:t xml:space="preserve">R </w:t>
      </w:r>
      <w:r w:rsidR="00F8253D" w:rsidRPr="00B237E2">
        <w:rPr>
          <w:lang w:val="es-ES"/>
        </w:rPr>
        <w:t>puso en marcha</w:t>
      </w:r>
      <w:r w:rsidRPr="00B237E2">
        <w:rPr>
          <w:lang w:val="es-ES"/>
        </w:rPr>
        <w:t xml:space="preserve"> la </w:t>
      </w:r>
      <w:hyperlink r:id="rId155" w:history="1">
        <w:r w:rsidRPr="00E7707F">
          <w:rPr>
            <w:rStyle w:val="Hyperlink"/>
            <w:lang w:val="es-ES"/>
          </w:rPr>
          <w:t>Red de Mujeres para la CMR-23</w:t>
        </w:r>
      </w:hyperlink>
      <w:r w:rsidRPr="00B237E2">
        <w:rPr>
          <w:lang w:val="es-ES"/>
        </w:rPr>
        <w:t xml:space="preserve"> con el fin de promover la igualdad, la equidad y la paridad de género en el Sector de Radiocomunicaciones de la UIT.</w:t>
      </w:r>
      <w:r w:rsidRPr="00B237E2">
        <w:rPr>
          <w:rFonts w:eastAsia="Calibri"/>
          <w:lang w:val="es-ES"/>
        </w:rPr>
        <w:t xml:space="preserve"> </w:t>
      </w:r>
      <w:r w:rsidR="00823AB3" w:rsidRPr="00B237E2">
        <w:rPr>
          <w:lang w:val="es-ES"/>
        </w:rPr>
        <w:t xml:space="preserve">Los esfuerzos </w:t>
      </w:r>
      <w:r w:rsidR="00F8253D" w:rsidRPr="00B237E2">
        <w:rPr>
          <w:lang w:val="es-ES"/>
        </w:rPr>
        <w:t>desplegados en</w:t>
      </w:r>
      <w:r w:rsidR="00823AB3" w:rsidRPr="00B237E2">
        <w:rPr>
          <w:lang w:val="es-ES"/>
        </w:rPr>
        <w:t xml:space="preserve"> la </w:t>
      </w:r>
      <w:hyperlink r:id="rId156" w:history="1">
        <w:r w:rsidR="00823AB3" w:rsidRPr="00B237E2">
          <w:rPr>
            <w:rStyle w:val="Hyperlink"/>
            <w:lang w:val="es-ES"/>
          </w:rPr>
          <w:t>Red de Mujeres para la CMR-19</w:t>
        </w:r>
      </w:hyperlink>
      <w:r w:rsidR="00823AB3" w:rsidRPr="00B237E2">
        <w:rPr>
          <w:lang w:val="es-ES"/>
        </w:rPr>
        <w:t xml:space="preserve"> (#NOW4WRC19) culminaron en una </w:t>
      </w:r>
      <w:hyperlink r:id="rId157" w:history="1">
        <w:r w:rsidR="00823AB3" w:rsidRPr="00B237E2">
          <w:rPr>
            <w:rStyle w:val="Hyperlink"/>
            <w:lang w:val="es-ES"/>
          </w:rPr>
          <w:t xml:space="preserve">Declaración para la promoción de la igualdad, equidad y paridad </w:t>
        </w:r>
        <w:r w:rsidR="00F8253D" w:rsidRPr="00B237E2">
          <w:rPr>
            <w:rStyle w:val="Hyperlink"/>
            <w:lang w:val="es-ES"/>
          </w:rPr>
          <w:t xml:space="preserve">de género </w:t>
        </w:r>
        <w:r w:rsidR="00823AB3" w:rsidRPr="00B237E2">
          <w:rPr>
            <w:rStyle w:val="Hyperlink"/>
            <w:lang w:val="es-ES"/>
          </w:rPr>
          <w:t>en el Sector de Radiocomunicaciones de la UIT</w:t>
        </w:r>
      </w:hyperlink>
      <w:r w:rsidR="00823AB3" w:rsidRPr="00B237E2">
        <w:rPr>
          <w:lang w:val="es-ES"/>
        </w:rPr>
        <w:t xml:space="preserve">, que la CMR-19 aprobó en Sharm </w:t>
      </w:r>
      <w:r w:rsidR="008C5213">
        <w:rPr>
          <w:lang w:val="es-ES"/>
        </w:rPr>
        <w:t>e</w:t>
      </w:r>
      <w:r w:rsidR="00823AB3" w:rsidRPr="00B237E2">
        <w:rPr>
          <w:lang w:val="es-ES"/>
        </w:rPr>
        <w:t>l-Sheikh.</w:t>
      </w:r>
    </w:p>
    <w:p w14:paraId="7E68A408" w14:textId="4F6D1A70" w:rsidR="00F8253D" w:rsidRPr="00B3353A" w:rsidRDefault="00F8253D" w:rsidP="00B3353A">
      <w:pPr>
        <w:keepNext/>
        <w:keepLines/>
        <w:rPr>
          <w:u w:val="single"/>
          <w:lang w:val="es-ES"/>
        </w:rPr>
      </w:pPr>
      <w:r w:rsidRPr="00EA3640">
        <w:rPr>
          <w:u w:val="single"/>
          <w:lang w:val="es-ES"/>
        </w:rPr>
        <w:lastRenderedPageBreak/>
        <w:t xml:space="preserve">Informes de </w:t>
      </w:r>
      <w:r w:rsidR="00493C78" w:rsidRPr="00EA3640">
        <w:rPr>
          <w:u w:val="single"/>
          <w:lang w:val="es-ES"/>
        </w:rPr>
        <w:t>ONU</w:t>
      </w:r>
      <w:r w:rsidRPr="00EA3640">
        <w:rPr>
          <w:u w:val="single"/>
          <w:lang w:val="es-ES"/>
        </w:rPr>
        <w:t>-SWAP</w:t>
      </w:r>
    </w:p>
    <w:p w14:paraId="6AF029D7" w14:textId="315EEB2B" w:rsidR="00823AB3" w:rsidRPr="00B237E2" w:rsidRDefault="00823AB3" w:rsidP="00630340">
      <w:pPr>
        <w:keepNext/>
        <w:keepLines/>
        <w:rPr>
          <w:lang w:val="es-ES"/>
        </w:rPr>
      </w:pPr>
      <w:r w:rsidRPr="00B237E2">
        <w:rPr>
          <w:lang w:val="es-ES"/>
        </w:rPr>
        <w:t xml:space="preserve">Las iniciativas de la UIT en materia de igualdad entre hombres y mujeres e incorporación de una perspectiva de género se comunican anualmente a las personas responsables del </w:t>
      </w:r>
      <w:r w:rsidRPr="001B1357">
        <w:rPr>
          <w:lang w:val="es-ES"/>
        </w:rPr>
        <w:t xml:space="preserve">Plan de Acción para </w:t>
      </w:r>
      <w:r w:rsidR="00EA3640" w:rsidRPr="001B1357">
        <w:rPr>
          <w:lang w:val="es-ES"/>
        </w:rPr>
        <w:t>t</w:t>
      </w:r>
      <w:r w:rsidRPr="001B1357">
        <w:rPr>
          <w:lang w:val="es-ES"/>
        </w:rPr>
        <w:t xml:space="preserve">odo el </w:t>
      </w:r>
      <w:r w:rsidR="00EA3640" w:rsidRPr="001B1357">
        <w:rPr>
          <w:lang w:val="es-ES"/>
        </w:rPr>
        <w:t>s</w:t>
      </w:r>
      <w:r w:rsidRPr="001B1357">
        <w:rPr>
          <w:lang w:val="es-ES"/>
        </w:rPr>
        <w:t xml:space="preserve">istema de las Naciones Unidas sobre </w:t>
      </w:r>
      <w:r w:rsidR="00EA3640" w:rsidRPr="001B1357">
        <w:rPr>
          <w:lang w:val="es-ES"/>
        </w:rPr>
        <w:t>i</w:t>
      </w:r>
      <w:r w:rsidRPr="001B1357">
        <w:rPr>
          <w:lang w:val="es-ES"/>
        </w:rPr>
        <w:t xml:space="preserve">gualdad de </w:t>
      </w:r>
      <w:r w:rsidR="00EA3640" w:rsidRPr="001B1357">
        <w:rPr>
          <w:lang w:val="es-ES"/>
        </w:rPr>
        <w:t>g</w:t>
      </w:r>
      <w:r w:rsidRPr="001B1357">
        <w:rPr>
          <w:lang w:val="es-ES"/>
        </w:rPr>
        <w:t xml:space="preserve">énero y </w:t>
      </w:r>
      <w:r w:rsidR="00EA3640" w:rsidRPr="001B1357">
        <w:rPr>
          <w:lang w:val="es-ES"/>
        </w:rPr>
        <w:t>e</w:t>
      </w:r>
      <w:r w:rsidRPr="001B1357">
        <w:rPr>
          <w:lang w:val="es-ES"/>
        </w:rPr>
        <w:t xml:space="preserve">mpoderamiento de las </w:t>
      </w:r>
      <w:r w:rsidR="00EA3640" w:rsidRPr="001B1357">
        <w:rPr>
          <w:lang w:val="es-ES"/>
        </w:rPr>
        <w:t>m</w:t>
      </w:r>
      <w:r w:rsidRPr="001B1357">
        <w:rPr>
          <w:lang w:val="es-ES"/>
        </w:rPr>
        <w:t>ujeres</w:t>
      </w:r>
      <w:r w:rsidRPr="00B237E2">
        <w:rPr>
          <w:lang w:val="es-ES"/>
        </w:rPr>
        <w:t xml:space="preserve"> (ONU-SWAP), </w:t>
      </w:r>
      <w:r w:rsidR="00493C78" w:rsidRPr="00B237E2">
        <w:rPr>
          <w:lang w:val="es-ES"/>
        </w:rPr>
        <w:t>sobre la base</w:t>
      </w:r>
      <w:r w:rsidRPr="00B237E2">
        <w:rPr>
          <w:lang w:val="es-ES"/>
        </w:rPr>
        <w:t xml:space="preserve"> de 17 indicadores de resultados. En 2018, la UIT "cumplió" o "superó" lo</w:t>
      </w:r>
      <w:r w:rsidR="006078D7" w:rsidRPr="00B237E2">
        <w:rPr>
          <w:lang w:val="es-ES"/>
        </w:rPr>
        <w:t>s</w:t>
      </w:r>
      <w:r w:rsidRPr="00B237E2">
        <w:rPr>
          <w:lang w:val="es-ES"/>
        </w:rPr>
        <w:t xml:space="preserve"> </w:t>
      </w:r>
      <w:r w:rsidR="006078D7" w:rsidRPr="00B237E2">
        <w:rPr>
          <w:lang w:val="es-ES"/>
        </w:rPr>
        <w:t>requisitos</w:t>
      </w:r>
      <w:r w:rsidRPr="00B237E2">
        <w:rPr>
          <w:lang w:val="es-ES"/>
        </w:rPr>
        <w:t xml:space="preserve"> </w:t>
      </w:r>
      <w:r w:rsidR="006078D7" w:rsidRPr="00B237E2">
        <w:rPr>
          <w:lang w:val="es-ES"/>
        </w:rPr>
        <w:t>relativos a cinco</w:t>
      </w:r>
      <w:r w:rsidRPr="00B237E2">
        <w:rPr>
          <w:lang w:val="es-ES"/>
        </w:rPr>
        <w:t xml:space="preserve"> de los 17 indicadores de ONU-SWAP2.0 y, en 2019, logró mejoras en ámbitos tales como la gestión del rendimiento con perspectiva de género. </w:t>
      </w:r>
      <w:r w:rsidR="006078D7" w:rsidRPr="00B237E2">
        <w:rPr>
          <w:lang w:val="es-ES"/>
        </w:rPr>
        <w:t>En 2020, la</w:t>
      </w:r>
      <w:r w:rsidR="00EA3640">
        <w:rPr>
          <w:lang w:val="es-ES"/>
        </w:rPr>
        <w:t> </w:t>
      </w:r>
      <w:r w:rsidR="006078D7" w:rsidRPr="00B237E2">
        <w:rPr>
          <w:lang w:val="es-ES"/>
        </w:rPr>
        <w:t>UIT "cumplió" o "superó" los requisitos relativos a ocho de los citados 17 indicadores. La UIT mejoró su rendimiento con respecto a cuatro indicadores, a saber, resultados programáticos relacionados con el género y los ODS; gestión del rendimiento con perspectiva de género; cultura organizativa; y conocimientos y comunicación.</w:t>
      </w:r>
    </w:p>
    <w:p w14:paraId="2F148C12" w14:textId="1D2D1104" w:rsidR="00DC5B06" w:rsidRPr="00B3353A" w:rsidRDefault="00493C78" w:rsidP="00B3353A">
      <w:pPr>
        <w:keepNext/>
        <w:keepLines/>
        <w:rPr>
          <w:u w:val="single"/>
          <w:lang w:val="es-ES"/>
        </w:rPr>
      </w:pPr>
      <w:r w:rsidRPr="00EA3640">
        <w:rPr>
          <w:u w:val="single"/>
          <w:lang w:val="es-ES"/>
        </w:rPr>
        <w:t>Actividades suplementarias</w:t>
      </w:r>
    </w:p>
    <w:p w14:paraId="424E4995" w14:textId="729C32EA" w:rsidR="00DC5B06" w:rsidRPr="00334C5E" w:rsidRDefault="00482D07" w:rsidP="00334C5E">
      <w:pPr>
        <w:rPr>
          <w:lang w:val="es-ES"/>
        </w:rPr>
      </w:pPr>
      <w:r w:rsidRPr="00334C5E">
        <w:rPr>
          <w:lang w:val="es-ES"/>
        </w:rPr>
        <w:t>Otras actividades relacionadas con aspectos de género acometidas en 2018 son las siguientes</w:t>
      </w:r>
      <w:r w:rsidR="00DC5B06" w:rsidRPr="00EB7F22">
        <w:rPr>
          <w:lang w:val="es-ES"/>
        </w:rPr>
        <w:t>:</w:t>
      </w:r>
    </w:p>
    <w:p w14:paraId="1B36D701" w14:textId="0CD3247E" w:rsidR="00482D07" w:rsidRPr="00334C5E" w:rsidRDefault="00E5437C" w:rsidP="00482D07">
      <w:pPr>
        <w:pStyle w:val="enumlev1"/>
        <w:rPr>
          <w:lang w:val="es-ES"/>
        </w:rPr>
      </w:pPr>
      <w:r w:rsidRPr="00334C5E">
        <w:rPr>
          <w:lang w:val="es-ES"/>
        </w:rPr>
        <w:t>•</w:t>
      </w:r>
      <w:r w:rsidRPr="00334C5E">
        <w:rPr>
          <w:lang w:val="es-ES"/>
        </w:rPr>
        <w:tab/>
      </w:r>
      <w:r w:rsidR="00482D07" w:rsidRPr="00334C5E">
        <w:rPr>
          <w:lang w:val="es-ES"/>
        </w:rPr>
        <w:t>En 2018, el Grupo de Trabajo de la Comisión de Banda Ancha sobre reducción de la brecha digital puso en marcha la iniciativa "</w:t>
      </w:r>
      <w:hyperlink r:id="rId158" w:history="1">
        <w:r w:rsidR="006640BF" w:rsidRPr="00EA3640">
          <w:rPr>
            <w:rStyle w:val="Hyperlink"/>
            <w:lang w:val="es-ES"/>
          </w:rPr>
          <w:t>Reducción de la brecha de género en Internet y acceso y utilización de la banda ancha</w:t>
        </w:r>
      </w:hyperlink>
      <w:r w:rsidR="00482D07" w:rsidRPr="00334C5E">
        <w:rPr>
          <w:lang w:val="es-ES"/>
        </w:rPr>
        <w:t xml:space="preserve">", </w:t>
      </w:r>
      <w:r w:rsidR="006640BF" w:rsidRPr="00334C5E">
        <w:rPr>
          <w:lang w:val="es-ES"/>
        </w:rPr>
        <w:t>en la que se</w:t>
      </w:r>
      <w:r w:rsidR="00482D07" w:rsidRPr="00334C5E">
        <w:rPr>
          <w:lang w:val="es-ES"/>
        </w:rPr>
        <w:t xml:space="preserve"> examina el acceso </w:t>
      </w:r>
      <w:r w:rsidR="006640BF" w:rsidRPr="00334C5E">
        <w:rPr>
          <w:lang w:val="es-ES"/>
        </w:rPr>
        <w:t>a</w:t>
      </w:r>
      <w:r w:rsidR="00482D07" w:rsidRPr="00334C5E">
        <w:rPr>
          <w:lang w:val="es-ES"/>
        </w:rPr>
        <w:t xml:space="preserve"> Internet</w:t>
      </w:r>
      <w:r w:rsidR="006640BF" w:rsidRPr="00334C5E">
        <w:rPr>
          <w:lang w:val="es-ES"/>
        </w:rPr>
        <w:t xml:space="preserve">, incluida su utilización, </w:t>
      </w:r>
      <w:r w:rsidR="00482D07" w:rsidRPr="00334C5E">
        <w:rPr>
          <w:lang w:val="es-ES"/>
        </w:rPr>
        <w:t xml:space="preserve">a través de datos desglosados por sexo para comprender </w:t>
      </w:r>
      <w:r w:rsidR="006640BF" w:rsidRPr="00334C5E">
        <w:rPr>
          <w:lang w:val="es-ES"/>
        </w:rPr>
        <w:t>las necesidades al respecto</w:t>
      </w:r>
      <w:r w:rsidR="00482D07" w:rsidRPr="00334C5E">
        <w:rPr>
          <w:lang w:val="es-ES"/>
        </w:rPr>
        <w:t xml:space="preserve">; la integración de una perspectiva de género en las estrategias, las políticas, los planes y los presupuestos; </w:t>
      </w:r>
      <w:r w:rsidR="00C66FA9" w:rsidRPr="00334C5E">
        <w:rPr>
          <w:lang w:val="es-ES"/>
        </w:rPr>
        <w:t>el análisis de las dificultades</w:t>
      </w:r>
      <w:r w:rsidR="00482D07" w:rsidRPr="00334C5E">
        <w:rPr>
          <w:lang w:val="es-ES"/>
        </w:rPr>
        <w:t xml:space="preserve">; y </w:t>
      </w:r>
      <w:r w:rsidR="00C66FA9" w:rsidRPr="00334C5E">
        <w:rPr>
          <w:lang w:val="es-ES"/>
        </w:rPr>
        <w:t>la colaboración</w:t>
      </w:r>
      <w:r w:rsidR="00482D07" w:rsidRPr="00334C5E">
        <w:rPr>
          <w:lang w:val="es-ES"/>
        </w:rPr>
        <w:t xml:space="preserve"> y el intercambio de prácticas</w:t>
      </w:r>
      <w:r w:rsidR="00C66FA9" w:rsidRPr="00334C5E">
        <w:rPr>
          <w:lang w:val="es-ES"/>
        </w:rPr>
        <w:t xml:space="preserve"> idóneas</w:t>
      </w:r>
      <w:r w:rsidR="00482D07" w:rsidRPr="00334C5E">
        <w:rPr>
          <w:lang w:val="es-ES"/>
        </w:rPr>
        <w:t xml:space="preserve"> y </w:t>
      </w:r>
      <w:r w:rsidR="00C66FA9" w:rsidRPr="00334C5E">
        <w:rPr>
          <w:lang w:val="es-ES"/>
        </w:rPr>
        <w:t>conclusiones extraídas</w:t>
      </w:r>
      <w:r w:rsidR="00482D07" w:rsidRPr="00334C5E">
        <w:rPr>
          <w:lang w:val="es-ES"/>
        </w:rPr>
        <w:t>.</w:t>
      </w:r>
    </w:p>
    <w:p w14:paraId="67EF5F40" w14:textId="682AFA2C" w:rsidR="00E5437C" w:rsidRPr="00334C5E" w:rsidRDefault="00482D07" w:rsidP="00334C5E">
      <w:pPr>
        <w:pStyle w:val="enumlev1"/>
        <w:rPr>
          <w:lang w:val="es-ES"/>
        </w:rPr>
      </w:pPr>
      <w:r w:rsidRPr="00334C5E">
        <w:rPr>
          <w:lang w:val="es-ES"/>
        </w:rPr>
        <w:t>•</w:t>
      </w:r>
      <w:r w:rsidRPr="00334C5E">
        <w:rPr>
          <w:lang w:val="es-ES"/>
        </w:rPr>
        <w:tab/>
      </w:r>
      <w:hyperlink r:id="rId159" w:history="1">
        <w:r w:rsidR="007E29E2" w:rsidRPr="00EA3640">
          <w:rPr>
            <w:rStyle w:val="Hyperlink"/>
            <w:lang w:val="es-ES"/>
          </w:rPr>
          <w:t>Promotores</w:t>
        </w:r>
        <w:r w:rsidRPr="00EA3640">
          <w:rPr>
            <w:rStyle w:val="Hyperlink"/>
            <w:lang w:val="es-ES"/>
          </w:rPr>
          <w:t xml:space="preserve"> internacionales </w:t>
        </w:r>
        <w:r w:rsidR="007E29E2" w:rsidRPr="00EA3640">
          <w:rPr>
            <w:rStyle w:val="Hyperlink"/>
            <w:lang w:val="es-ES"/>
          </w:rPr>
          <w:t>de cuestiones de</w:t>
        </w:r>
        <w:r w:rsidRPr="00EA3640">
          <w:rPr>
            <w:rStyle w:val="Hyperlink"/>
            <w:lang w:val="es-ES"/>
          </w:rPr>
          <w:t xml:space="preserve"> género</w:t>
        </w:r>
      </w:hyperlink>
      <w:r w:rsidRPr="00334C5E">
        <w:rPr>
          <w:lang w:val="es-ES"/>
        </w:rPr>
        <w:t xml:space="preserve">: </w:t>
      </w:r>
      <w:r w:rsidR="007E29E2" w:rsidRPr="00334C5E">
        <w:rPr>
          <w:lang w:val="es-ES"/>
        </w:rPr>
        <w:t>l</w:t>
      </w:r>
      <w:r w:rsidRPr="00334C5E">
        <w:rPr>
          <w:lang w:val="es-ES"/>
        </w:rPr>
        <w:t>a UIT participa en una red de liderazgo que reúne a responsables de la toma de decisiones</w:t>
      </w:r>
      <w:r w:rsidR="007E29E2" w:rsidRPr="00334C5E">
        <w:rPr>
          <w:lang w:val="es-ES"/>
        </w:rPr>
        <w:t>, tanto mujeres como hombres,</w:t>
      </w:r>
      <w:r w:rsidRPr="00334C5E">
        <w:rPr>
          <w:lang w:val="es-ES"/>
        </w:rPr>
        <w:t xml:space="preserve"> </w:t>
      </w:r>
      <w:r w:rsidR="00096A79" w:rsidRPr="00334C5E">
        <w:rPr>
          <w:lang w:val="es-ES"/>
        </w:rPr>
        <w:t>a fin de</w:t>
      </w:r>
      <w:r w:rsidRPr="00334C5E">
        <w:rPr>
          <w:lang w:val="es-ES"/>
        </w:rPr>
        <w:t xml:space="preserve"> </w:t>
      </w:r>
      <w:r w:rsidR="00096A79" w:rsidRPr="00334C5E">
        <w:rPr>
          <w:lang w:val="es-ES"/>
        </w:rPr>
        <w:t>superar obstáculos de</w:t>
      </w:r>
      <w:r w:rsidRPr="00334C5E">
        <w:rPr>
          <w:lang w:val="es-ES"/>
        </w:rPr>
        <w:t xml:space="preserve"> género y </w:t>
      </w:r>
      <w:r w:rsidR="00096A79" w:rsidRPr="00334C5E">
        <w:rPr>
          <w:lang w:val="es-ES"/>
        </w:rPr>
        <w:t>fomentar</w:t>
      </w:r>
      <w:r w:rsidRPr="00334C5E">
        <w:rPr>
          <w:lang w:val="es-ES"/>
        </w:rPr>
        <w:t xml:space="preserve"> la igualdad </w:t>
      </w:r>
      <w:r w:rsidR="00096A79" w:rsidRPr="00334C5E">
        <w:rPr>
          <w:lang w:val="es-ES"/>
        </w:rPr>
        <w:t>entre hombres y mujeres</w:t>
      </w:r>
      <w:r w:rsidR="00E5437C" w:rsidRPr="00334C5E">
        <w:rPr>
          <w:lang w:val="es-ES"/>
        </w:rPr>
        <w:t>.</w:t>
      </w:r>
    </w:p>
    <w:p w14:paraId="2BAF4A29" w14:textId="6BA6FB04" w:rsidR="00DC5B06" w:rsidRPr="000E2FCF" w:rsidRDefault="00096A79" w:rsidP="00672382">
      <w:pPr>
        <w:pStyle w:val="Headingb"/>
        <w:rPr>
          <w:lang w:val="es-ES"/>
        </w:rPr>
      </w:pPr>
      <w:r w:rsidRPr="000E2FCF">
        <w:rPr>
          <w:lang w:val="es-ES"/>
        </w:rPr>
        <w:t>Colaboración para fomentar la participación de los jóvenes</w:t>
      </w:r>
    </w:p>
    <w:p w14:paraId="485DB08E" w14:textId="419FE43E" w:rsidR="00096A79" w:rsidRPr="00334C5E" w:rsidRDefault="00096A79" w:rsidP="00096A79">
      <w:pPr>
        <w:rPr>
          <w:lang w:val="es-ES"/>
        </w:rPr>
      </w:pPr>
      <w:r w:rsidRPr="00334C5E">
        <w:rPr>
          <w:lang w:val="es-ES"/>
        </w:rPr>
        <w:t xml:space="preserve">La </w:t>
      </w:r>
      <w:hyperlink r:id="rId160" w:history="1">
        <w:r w:rsidRPr="00672382">
          <w:rPr>
            <w:rStyle w:val="Hyperlink"/>
            <w:lang w:val="es-ES"/>
          </w:rPr>
          <w:t xml:space="preserve">Estrategia </w:t>
        </w:r>
        <w:r w:rsidR="001F200C" w:rsidRPr="00672382">
          <w:rPr>
            <w:rStyle w:val="Hyperlink"/>
            <w:lang w:val="es-ES"/>
          </w:rPr>
          <w:t>de la UIT para</w:t>
        </w:r>
        <w:r w:rsidRPr="00672382">
          <w:rPr>
            <w:rStyle w:val="Hyperlink"/>
            <w:lang w:val="es-ES"/>
          </w:rPr>
          <w:t xml:space="preserve"> la Juventud</w:t>
        </w:r>
      </w:hyperlink>
      <w:r w:rsidRPr="00334C5E">
        <w:rPr>
          <w:lang w:val="es-ES"/>
        </w:rPr>
        <w:t xml:space="preserve"> garantiza la participación de los jóvenes en la UIT </w:t>
      </w:r>
      <w:r w:rsidR="001F200C" w:rsidRPr="00334C5E">
        <w:rPr>
          <w:lang w:val="es-ES"/>
        </w:rPr>
        <w:t>a los efectos de</w:t>
      </w:r>
      <w:r w:rsidRPr="00334C5E">
        <w:rPr>
          <w:lang w:val="es-ES"/>
        </w:rPr>
        <w:t xml:space="preserve"> aplicación de la Agenda 2030 para el Desarrollo Sostenible. </w:t>
      </w:r>
      <w:r w:rsidR="001F200C" w:rsidRPr="00334C5E">
        <w:rPr>
          <w:lang w:val="es-ES"/>
        </w:rPr>
        <w:t>Dicha</w:t>
      </w:r>
      <w:r w:rsidRPr="00334C5E">
        <w:rPr>
          <w:lang w:val="es-ES"/>
        </w:rPr>
        <w:t xml:space="preserve"> estrategia se </w:t>
      </w:r>
      <w:r w:rsidR="001F200C" w:rsidRPr="00334C5E">
        <w:rPr>
          <w:lang w:val="es-ES"/>
        </w:rPr>
        <w:t>apoya</w:t>
      </w:r>
      <w:r w:rsidRPr="00334C5E">
        <w:rPr>
          <w:lang w:val="es-ES"/>
        </w:rPr>
        <w:t xml:space="preserve"> en tres </w:t>
      </w:r>
      <w:r w:rsidR="001F200C" w:rsidRPr="00334C5E">
        <w:rPr>
          <w:lang w:val="es-ES"/>
        </w:rPr>
        <w:t>elementos fundamentales</w:t>
      </w:r>
      <w:r w:rsidRPr="00334C5E">
        <w:rPr>
          <w:lang w:val="es-ES"/>
        </w:rPr>
        <w:t xml:space="preserve">: </w:t>
      </w:r>
      <w:r w:rsidR="001F200C" w:rsidRPr="00334C5E">
        <w:rPr>
          <w:lang w:val="es-ES"/>
        </w:rPr>
        <w:t>creación de</w:t>
      </w:r>
      <w:r w:rsidRPr="00334C5E">
        <w:rPr>
          <w:lang w:val="es-ES"/>
        </w:rPr>
        <w:t xml:space="preserve"> una comunidad de líderes jóvenes; </w:t>
      </w:r>
      <w:r w:rsidR="001F200C" w:rsidRPr="00334C5E">
        <w:rPr>
          <w:lang w:val="es-ES"/>
        </w:rPr>
        <w:t>participación de</w:t>
      </w:r>
      <w:r w:rsidRPr="00334C5E">
        <w:rPr>
          <w:lang w:val="es-ES"/>
        </w:rPr>
        <w:t xml:space="preserve"> los jóvenes para que </w:t>
      </w:r>
      <w:r w:rsidR="001F200C" w:rsidRPr="00334C5E">
        <w:rPr>
          <w:lang w:val="es-ES"/>
        </w:rPr>
        <w:t>colaboren</w:t>
      </w:r>
      <w:r w:rsidRPr="00334C5E">
        <w:rPr>
          <w:lang w:val="es-ES"/>
        </w:rPr>
        <w:t xml:space="preserve"> con la UIT y </w:t>
      </w:r>
      <w:r w:rsidR="001F200C" w:rsidRPr="00334C5E">
        <w:rPr>
          <w:lang w:val="es-ES"/>
        </w:rPr>
        <w:t>sus</w:t>
      </w:r>
      <w:r w:rsidRPr="00334C5E">
        <w:rPr>
          <w:lang w:val="es-ES"/>
        </w:rPr>
        <w:t xml:space="preserve"> Miembros; y </w:t>
      </w:r>
      <w:r w:rsidR="001F200C" w:rsidRPr="00334C5E">
        <w:rPr>
          <w:lang w:val="es-ES"/>
        </w:rPr>
        <w:t>fomento de</w:t>
      </w:r>
      <w:r w:rsidRPr="00334C5E">
        <w:rPr>
          <w:lang w:val="es-ES"/>
        </w:rPr>
        <w:t xml:space="preserve"> </w:t>
      </w:r>
      <w:r w:rsidR="001F200C" w:rsidRPr="00334C5E">
        <w:rPr>
          <w:lang w:val="es-ES"/>
        </w:rPr>
        <w:t>su</w:t>
      </w:r>
      <w:r w:rsidRPr="00334C5E">
        <w:rPr>
          <w:lang w:val="es-ES"/>
        </w:rPr>
        <w:t xml:space="preserve"> participación en las actividades de la UIT. Más de 40 miembros del </w:t>
      </w:r>
      <w:r w:rsidR="004E7FC0" w:rsidRPr="00334C5E">
        <w:rPr>
          <w:lang w:val="es-ES"/>
        </w:rPr>
        <w:t>Grupo de Tareas Especiales de la UIT para la juventud coordinan</w:t>
      </w:r>
      <w:r w:rsidRPr="00334C5E">
        <w:rPr>
          <w:lang w:val="es-ES"/>
        </w:rPr>
        <w:t xml:space="preserve"> los esfuerzos para aplicar </w:t>
      </w:r>
      <w:r w:rsidR="004E7FC0" w:rsidRPr="00334C5E">
        <w:rPr>
          <w:lang w:val="es-ES"/>
        </w:rPr>
        <w:t>la citada Estrategia de la UIT para la Juventud</w:t>
      </w:r>
      <w:r w:rsidRPr="00334C5E">
        <w:rPr>
          <w:lang w:val="es-ES"/>
        </w:rPr>
        <w:t>.</w:t>
      </w:r>
    </w:p>
    <w:p w14:paraId="7260C924" w14:textId="4D362B36" w:rsidR="00DC5B06" w:rsidRPr="00EB7F22" w:rsidRDefault="00096A79" w:rsidP="00096A79">
      <w:pPr>
        <w:rPr>
          <w:lang w:val="es-ES"/>
        </w:rPr>
      </w:pPr>
      <w:r w:rsidRPr="00334C5E">
        <w:rPr>
          <w:lang w:val="es-ES"/>
        </w:rPr>
        <w:t xml:space="preserve">Las iniciativas que se detallan a continuación se han </w:t>
      </w:r>
      <w:r w:rsidR="004E7FC0" w:rsidRPr="00334C5E">
        <w:rPr>
          <w:lang w:val="es-ES"/>
        </w:rPr>
        <w:t>aplicado en el marco de</w:t>
      </w:r>
      <w:r w:rsidRPr="00334C5E">
        <w:rPr>
          <w:lang w:val="es-ES"/>
        </w:rPr>
        <w:t xml:space="preserve"> la </w:t>
      </w:r>
      <w:r w:rsidR="004E7FC0" w:rsidRPr="00334C5E">
        <w:rPr>
          <w:lang w:val="es-ES"/>
        </w:rPr>
        <w:t>Estrategia de la UIT para la Juventud.</w:t>
      </w:r>
    </w:p>
    <w:p w14:paraId="61E58368" w14:textId="276A6FE9" w:rsidR="00DC5B06" w:rsidRPr="000E2FCF" w:rsidRDefault="004E7FC0" w:rsidP="000E2FCF">
      <w:pPr>
        <w:keepNext/>
        <w:keepLines/>
        <w:rPr>
          <w:u w:val="single"/>
          <w:lang w:val="es-ES"/>
        </w:rPr>
      </w:pPr>
      <w:r w:rsidRPr="000E2FCF">
        <w:rPr>
          <w:u w:val="single"/>
          <w:lang w:val="es-ES"/>
        </w:rPr>
        <w:t xml:space="preserve">Iniciativa </w:t>
      </w:r>
      <w:r w:rsidR="004E6BDC" w:rsidRPr="000E2FCF">
        <w:rPr>
          <w:u w:val="single"/>
          <w:lang w:val="es-ES"/>
        </w:rPr>
        <w:t>"</w:t>
      </w:r>
      <w:r w:rsidR="00DC5B06" w:rsidRPr="000E2FCF">
        <w:rPr>
          <w:u w:val="single"/>
          <w:lang w:val="es-ES"/>
        </w:rPr>
        <w:t>Generation Connect</w:t>
      </w:r>
      <w:r w:rsidR="004E6BDC" w:rsidRPr="000E2FCF">
        <w:rPr>
          <w:u w:val="single"/>
          <w:lang w:val="es-ES"/>
        </w:rPr>
        <w:t>"</w:t>
      </w:r>
    </w:p>
    <w:p w14:paraId="3CEF12FC" w14:textId="0E844203" w:rsidR="00DC5B06" w:rsidRPr="00EB7F22" w:rsidRDefault="0051506B" w:rsidP="00E124B0">
      <w:pPr>
        <w:rPr>
          <w:lang w:val="es-ES"/>
        </w:rPr>
      </w:pPr>
      <w:r w:rsidRPr="00334C5E">
        <w:rPr>
          <w:lang w:val="es-ES"/>
        </w:rPr>
        <w:t xml:space="preserve">La iniciativa </w:t>
      </w:r>
      <w:r w:rsidR="0092453D">
        <w:rPr>
          <w:lang w:val="es-ES"/>
        </w:rPr>
        <w:t>"</w:t>
      </w:r>
      <w:hyperlink r:id="rId161" w:history="1">
        <w:proofErr w:type="spellStart"/>
        <w:r w:rsidRPr="00AF6115">
          <w:rPr>
            <w:rStyle w:val="Hyperlink"/>
            <w:lang w:val="fr-FR"/>
          </w:rPr>
          <w:t>Generation</w:t>
        </w:r>
        <w:proofErr w:type="spellEnd"/>
        <w:r w:rsidRPr="00AF6115">
          <w:rPr>
            <w:rStyle w:val="Hyperlink"/>
            <w:lang w:val="fr-FR"/>
          </w:rPr>
          <w:t xml:space="preserve"> </w:t>
        </w:r>
        <w:proofErr w:type="spellStart"/>
        <w:r w:rsidRPr="00AF6115">
          <w:rPr>
            <w:rStyle w:val="Hyperlink"/>
            <w:lang w:val="fr-FR"/>
          </w:rPr>
          <w:t>Connect</w:t>
        </w:r>
        <w:proofErr w:type="spellEnd"/>
      </w:hyperlink>
      <w:r w:rsidR="0092453D">
        <w:rPr>
          <w:lang w:val="es-ES"/>
        </w:rPr>
        <w:t>"</w:t>
      </w:r>
      <w:r w:rsidRPr="00334C5E">
        <w:rPr>
          <w:lang w:val="es-ES"/>
        </w:rPr>
        <w:t xml:space="preserve">, puesta en marcha en 2020, </w:t>
      </w:r>
      <w:r w:rsidR="00B45047" w:rsidRPr="00334C5E">
        <w:rPr>
          <w:lang w:val="es-ES"/>
        </w:rPr>
        <w:t>sirve de preparación para</w:t>
      </w:r>
      <w:r w:rsidRPr="00334C5E">
        <w:rPr>
          <w:lang w:val="es-ES"/>
        </w:rPr>
        <w:t xml:space="preserve"> la Conferencia Mundial de Desarrollo de las Telecomunicaciones de 2022 y la </w:t>
      </w:r>
      <w:hyperlink r:id="rId162" w:history="1">
        <w:r w:rsidRPr="00756731">
          <w:rPr>
            <w:rStyle w:val="Hyperlink"/>
            <w:lang w:val="es-ES"/>
          </w:rPr>
          <w:t>Cumbre Mundial de la Juventud</w:t>
        </w:r>
      </w:hyperlink>
      <w:r w:rsidRPr="00334C5E">
        <w:rPr>
          <w:lang w:val="es-ES"/>
        </w:rPr>
        <w:t xml:space="preserve"> </w:t>
      </w:r>
      <w:r w:rsidR="0092453D">
        <w:rPr>
          <w:lang w:val="es-ES"/>
        </w:rPr>
        <w:t>"</w:t>
      </w:r>
      <w:proofErr w:type="spellStart"/>
      <w:r w:rsidRPr="00AF6115">
        <w:rPr>
          <w:lang w:val="fr-FR"/>
        </w:rPr>
        <w:t>Generation</w:t>
      </w:r>
      <w:proofErr w:type="spellEnd"/>
      <w:r w:rsidRPr="00AF6115">
        <w:rPr>
          <w:lang w:val="fr-FR"/>
        </w:rPr>
        <w:t xml:space="preserve"> </w:t>
      </w:r>
      <w:proofErr w:type="spellStart"/>
      <w:r w:rsidRPr="00AF6115">
        <w:rPr>
          <w:lang w:val="fr-FR"/>
        </w:rPr>
        <w:t>Connect</w:t>
      </w:r>
      <w:proofErr w:type="spellEnd"/>
      <w:r w:rsidR="0092453D">
        <w:rPr>
          <w:lang w:val="es-ES"/>
        </w:rPr>
        <w:t>"</w:t>
      </w:r>
      <w:r w:rsidRPr="00334C5E">
        <w:rPr>
          <w:lang w:val="es-ES"/>
        </w:rPr>
        <w:t xml:space="preserve"> de 2022, </w:t>
      </w:r>
      <w:r w:rsidR="00B45047" w:rsidRPr="00334C5E">
        <w:rPr>
          <w:lang w:val="es-ES"/>
        </w:rPr>
        <w:t xml:space="preserve">que se encuentra </w:t>
      </w:r>
      <w:r w:rsidRPr="00334C5E">
        <w:rPr>
          <w:lang w:val="es-ES"/>
        </w:rPr>
        <w:t xml:space="preserve">en fase de preparación. El tema de dicha Cumbre de la Juventud está </w:t>
      </w:r>
      <w:r w:rsidR="00D80E8A" w:rsidRPr="00334C5E">
        <w:rPr>
          <w:lang w:val="es-ES"/>
        </w:rPr>
        <w:t>en consonancia</w:t>
      </w:r>
      <w:r w:rsidRPr="00334C5E">
        <w:rPr>
          <w:lang w:val="es-ES"/>
        </w:rPr>
        <w:t xml:space="preserve"> con la </w:t>
      </w:r>
      <w:r w:rsidR="00D80E8A" w:rsidRPr="00334C5E">
        <w:rPr>
          <w:lang w:val="es-ES"/>
        </w:rPr>
        <w:t>CMDT</w:t>
      </w:r>
      <w:r w:rsidRPr="00334C5E">
        <w:rPr>
          <w:lang w:val="es-ES"/>
        </w:rPr>
        <w:t xml:space="preserve"> y los 17</w:t>
      </w:r>
      <w:r w:rsidR="0092453D">
        <w:rPr>
          <w:lang w:val="es-ES"/>
        </w:rPr>
        <w:t> </w:t>
      </w:r>
      <w:r w:rsidRPr="00334C5E">
        <w:rPr>
          <w:lang w:val="es-ES"/>
        </w:rPr>
        <w:t xml:space="preserve">ODS. Seis grupos regionales de jóvenes de </w:t>
      </w:r>
      <w:r w:rsidR="0092453D">
        <w:rPr>
          <w:lang w:val="es-ES"/>
        </w:rPr>
        <w:t>"</w:t>
      </w:r>
      <w:proofErr w:type="spellStart"/>
      <w:r w:rsidRPr="00AF6115">
        <w:rPr>
          <w:lang w:val="fr-FR"/>
        </w:rPr>
        <w:t>Generation</w:t>
      </w:r>
      <w:proofErr w:type="spellEnd"/>
      <w:r w:rsidRPr="00AF6115">
        <w:rPr>
          <w:lang w:val="fr-FR"/>
        </w:rPr>
        <w:t xml:space="preserve"> </w:t>
      </w:r>
      <w:proofErr w:type="spellStart"/>
      <w:r w:rsidRPr="00AF6115">
        <w:rPr>
          <w:lang w:val="fr-FR"/>
        </w:rPr>
        <w:t>Connect</w:t>
      </w:r>
      <w:proofErr w:type="spellEnd"/>
      <w:r w:rsidR="0092453D">
        <w:rPr>
          <w:lang w:val="es-ES"/>
        </w:rPr>
        <w:t>"</w:t>
      </w:r>
      <w:r w:rsidRPr="00334C5E">
        <w:rPr>
          <w:lang w:val="es-ES"/>
        </w:rPr>
        <w:t xml:space="preserve"> han elaborado un documento en el que expone</w:t>
      </w:r>
      <w:r w:rsidR="00D80E8A" w:rsidRPr="00334C5E">
        <w:rPr>
          <w:lang w:val="es-ES"/>
        </w:rPr>
        <w:t xml:space="preserve"> su opinión</w:t>
      </w:r>
      <w:r w:rsidRPr="00334C5E">
        <w:rPr>
          <w:lang w:val="es-ES"/>
        </w:rPr>
        <w:t xml:space="preserve"> sobre las prioridades de su región. Desde </w:t>
      </w:r>
      <w:r w:rsidR="00D80E8A" w:rsidRPr="00334C5E">
        <w:rPr>
          <w:lang w:val="es-ES"/>
        </w:rPr>
        <w:t>la</w:t>
      </w:r>
      <w:r w:rsidRPr="00334C5E">
        <w:rPr>
          <w:lang w:val="es-ES"/>
        </w:rPr>
        <w:t xml:space="preserve"> </w:t>
      </w:r>
      <w:r w:rsidR="00D80E8A" w:rsidRPr="00334C5E">
        <w:rPr>
          <w:lang w:val="es-ES"/>
        </w:rPr>
        <w:t xml:space="preserve">puesta en marcha de la iniciativa </w:t>
      </w:r>
      <w:r w:rsidR="0092453D">
        <w:rPr>
          <w:lang w:val="es-ES"/>
        </w:rPr>
        <w:t>"</w:t>
      </w:r>
      <w:proofErr w:type="spellStart"/>
      <w:r w:rsidR="00D80E8A" w:rsidRPr="00AF6115">
        <w:rPr>
          <w:lang w:val="fr-FR"/>
        </w:rPr>
        <w:t>Generation</w:t>
      </w:r>
      <w:proofErr w:type="spellEnd"/>
      <w:r w:rsidR="00D80E8A" w:rsidRPr="00AF6115">
        <w:rPr>
          <w:lang w:val="fr-FR"/>
        </w:rPr>
        <w:t xml:space="preserve"> </w:t>
      </w:r>
      <w:proofErr w:type="spellStart"/>
      <w:r w:rsidR="00D80E8A" w:rsidRPr="00AF6115">
        <w:rPr>
          <w:lang w:val="fr-FR"/>
        </w:rPr>
        <w:t>Connect</w:t>
      </w:r>
      <w:proofErr w:type="spellEnd"/>
      <w:r w:rsidR="0092453D">
        <w:rPr>
          <w:lang w:val="es-ES"/>
        </w:rPr>
        <w:t>"</w:t>
      </w:r>
      <w:r w:rsidRPr="00334C5E">
        <w:rPr>
          <w:lang w:val="es-ES"/>
        </w:rPr>
        <w:t xml:space="preserve">, se han celebrado más de 90 eventos </w:t>
      </w:r>
      <w:r w:rsidR="00D80E8A" w:rsidRPr="00334C5E">
        <w:rPr>
          <w:lang w:val="es-ES"/>
        </w:rPr>
        <w:t>para jóvenes</w:t>
      </w:r>
      <w:r w:rsidRPr="00334C5E">
        <w:rPr>
          <w:lang w:val="es-ES"/>
        </w:rPr>
        <w:t xml:space="preserve"> y más de 50</w:t>
      </w:r>
      <w:r w:rsidR="00D81BD1">
        <w:rPr>
          <w:lang w:val="es-ES"/>
        </w:rPr>
        <w:t> </w:t>
      </w:r>
      <w:r w:rsidRPr="00334C5E">
        <w:rPr>
          <w:lang w:val="es-ES"/>
        </w:rPr>
        <w:t>jóvenes han intervenido en eventos de la UIT.</w:t>
      </w:r>
    </w:p>
    <w:p w14:paraId="446762AC" w14:textId="3147202C" w:rsidR="00DC5B06" w:rsidRPr="000E2FCF" w:rsidRDefault="00B45047" w:rsidP="000E2FCF">
      <w:pPr>
        <w:keepNext/>
        <w:keepLines/>
        <w:rPr>
          <w:u w:val="single"/>
          <w:lang w:val="es-ES"/>
        </w:rPr>
      </w:pPr>
      <w:r w:rsidRPr="000E2FCF">
        <w:rPr>
          <w:u w:val="single"/>
          <w:lang w:val="es-ES"/>
        </w:rPr>
        <w:lastRenderedPageBreak/>
        <w:t xml:space="preserve">Junta de Visionarios de </w:t>
      </w:r>
      <w:r w:rsidR="0092453D" w:rsidRPr="000E2FCF">
        <w:rPr>
          <w:u w:val="single"/>
          <w:lang w:val="es-ES"/>
        </w:rPr>
        <w:t>"</w:t>
      </w:r>
      <w:r w:rsidRPr="000E2FCF">
        <w:rPr>
          <w:u w:val="single"/>
          <w:lang w:val="es-ES"/>
        </w:rPr>
        <w:t>Generation Connect</w:t>
      </w:r>
      <w:r w:rsidR="0092453D" w:rsidRPr="000E2FCF">
        <w:rPr>
          <w:u w:val="single"/>
          <w:lang w:val="es-ES"/>
        </w:rPr>
        <w:t>"</w:t>
      </w:r>
    </w:p>
    <w:p w14:paraId="4D414629" w14:textId="2BF85F26" w:rsidR="00DC5B06" w:rsidRPr="00EB7F22" w:rsidRDefault="00B45047" w:rsidP="00E124B0">
      <w:pPr>
        <w:rPr>
          <w:lang w:val="es-ES"/>
        </w:rPr>
      </w:pPr>
      <w:r w:rsidRPr="00334C5E">
        <w:rPr>
          <w:lang w:val="es-ES"/>
        </w:rPr>
        <w:t>La Junta de Visionarios</w:t>
      </w:r>
      <w:r w:rsidR="00633DBD" w:rsidRPr="00334C5E">
        <w:rPr>
          <w:lang w:val="es-ES"/>
        </w:rPr>
        <w:t xml:space="preserve"> de</w:t>
      </w:r>
      <w:r w:rsidRPr="00334C5E">
        <w:rPr>
          <w:lang w:val="es-ES"/>
        </w:rPr>
        <w:t xml:space="preserve"> </w:t>
      </w:r>
      <w:r w:rsidR="0092453D">
        <w:rPr>
          <w:lang w:val="es-ES"/>
        </w:rPr>
        <w:t>"</w:t>
      </w:r>
      <w:proofErr w:type="spellStart"/>
      <w:r w:rsidRPr="00AF6115">
        <w:rPr>
          <w:lang w:val="fr-FR"/>
        </w:rPr>
        <w:t>Generation</w:t>
      </w:r>
      <w:proofErr w:type="spellEnd"/>
      <w:r w:rsidRPr="00AF6115">
        <w:rPr>
          <w:lang w:val="fr-FR"/>
        </w:rPr>
        <w:t xml:space="preserve"> </w:t>
      </w:r>
      <w:proofErr w:type="spellStart"/>
      <w:r w:rsidRPr="00AF6115">
        <w:rPr>
          <w:lang w:val="fr-FR"/>
        </w:rPr>
        <w:t>Connect</w:t>
      </w:r>
      <w:proofErr w:type="spellEnd"/>
      <w:r w:rsidR="0092453D">
        <w:rPr>
          <w:lang w:val="es-ES"/>
        </w:rPr>
        <w:t>"</w:t>
      </w:r>
      <w:r w:rsidRPr="00334C5E">
        <w:rPr>
          <w:lang w:val="es-ES"/>
        </w:rPr>
        <w:t xml:space="preserve"> ofrece orientación a la UIT sobre su </w:t>
      </w:r>
      <w:r w:rsidR="00633DBD" w:rsidRPr="00334C5E">
        <w:rPr>
          <w:lang w:val="es-ES"/>
        </w:rPr>
        <w:t>labor</w:t>
      </w:r>
      <w:r w:rsidRPr="00334C5E">
        <w:rPr>
          <w:lang w:val="es-ES"/>
        </w:rPr>
        <w:t xml:space="preserve"> </w:t>
      </w:r>
      <w:r w:rsidR="00415264" w:rsidRPr="00334C5E">
        <w:rPr>
          <w:lang w:val="es-ES"/>
        </w:rPr>
        <w:t>relacionada con</w:t>
      </w:r>
      <w:r w:rsidR="00633DBD" w:rsidRPr="00334C5E">
        <w:rPr>
          <w:lang w:val="es-ES"/>
        </w:rPr>
        <w:t xml:space="preserve"> los jóvenes</w:t>
      </w:r>
      <w:r w:rsidRPr="00334C5E">
        <w:rPr>
          <w:lang w:val="es-ES"/>
        </w:rPr>
        <w:t xml:space="preserve">. La Junta, </w:t>
      </w:r>
      <w:r w:rsidR="00633DBD" w:rsidRPr="00334C5E">
        <w:rPr>
          <w:lang w:val="es-ES"/>
        </w:rPr>
        <w:t>integrada</w:t>
      </w:r>
      <w:r w:rsidRPr="00334C5E">
        <w:rPr>
          <w:lang w:val="es-ES"/>
        </w:rPr>
        <w:t xml:space="preserve"> por representantes de la UIT, ocho jóvenes </w:t>
      </w:r>
      <w:r w:rsidR="00633DBD" w:rsidRPr="00334C5E">
        <w:rPr>
          <w:lang w:val="es-ES"/>
        </w:rPr>
        <w:t>líderes</w:t>
      </w:r>
      <w:r w:rsidRPr="00334C5E">
        <w:rPr>
          <w:lang w:val="es-ES"/>
        </w:rPr>
        <w:t xml:space="preserve"> y ocho personas designadas de alto nivel, </w:t>
      </w:r>
      <w:r w:rsidR="00633DBD" w:rsidRPr="00334C5E">
        <w:rPr>
          <w:lang w:val="es-ES"/>
        </w:rPr>
        <w:t>brinda asesoramiento</w:t>
      </w:r>
      <w:r w:rsidRPr="00334C5E">
        <w:rPr>
          <w:lang w:val="es-ES"/>
        </w:rPr>
        <w:t xml:space="preserve"> sobre la Cumbre de la Juventud y la Estrategia </w:t>
      </w:r>
      <w:r w:rsidR="00415264" w:rsidRPr="00334C5E">
        <w:rPr>
          <w:lang w:val="es-ES"/>
        </w:rPr>
        <w:t>sobre</w:t>
      </w:r>
      <w:r w:rsidRPr="00334C5E">
        <w:rPr>
          <w:lang w:val="es-ES"/>
        </w:rPr>
        <w:t xml:space="preserve"> la Juventud.</w:t>
      </w:r>
    </w:p>
    <w:p w14:paraId="587CF9C4" w14:textId="7118809B" w:rsidR="00DC5B06" w:rsidRPr="000E2FCF" w:rsidRDefault="00415264" w:rsidP="000E2FCF">
      <w:pPr>
        <w:keepNext/>
        <w:keepLines/>
        <w:rPr>
          <w:u w:val="single"/>
          <w:lang w:val="es-ES"/>
        </w:rPr>
      </w:pPr>
      <w:r w:rsidRPr="000E2FCF">
        <w:rPr>
          <w:u w:val="single"/>
          <w:lang w:val="es-ES"/>
        </w:rPr>
        <w:t xml:space="preserve">Serie "Camino a Addis" </w:t>
      </w:r>
      <w:r w:rsidR="00EB7F22" w:rsidRPr="000E2FCF">
        <w:rPr>
          <w:u w:val="single"/>
          <w:lang w:val="es-ES"/>
        </w:rPr>
        <w:t>–</w:t>
      </w:r>
      <w:r w:rsidRPr="000E2FCF">
        <w:rPr>
          <w:u w:val="single"/>
          <w:lang w:val="es-ES"/>
        </w:rPr>
        <w:t xml:space="preserve"> Inclusión digital y eventos para los jóvenes</w:t>
      </w:r>
    </w:p>
    <w:p w14:paraId="687207BB" w14:textId="2F3717B3" w:rsidR="00334C5E" w:rsidRPr="00334C5E" w:rsidRDefault="00334C5E" w:rsidP="00334C5E">
      <w:pPr>
        <w:rPr>
          <w:lang w:val="es-ES"/>
        </w:rPr>
      </w:pPr>
      <w:r w:rsidRPr="00334C5E">
        <w:rPr>
          <w:lang w:val="es-ES"/>
        </w:rPr>
        <w:t xml:space="preserve">La serie de eventos de la UIT "Camino a Addis" está orientada en gran medida a los jóvenes. Un evento sobre el Día Internacional de la Juventud 2021 contó con la participación de jóvenes en calidad de asociados en pie de igualdad, junto a líderes de la transformación digital en curso, al tiempo que en la </w:t>
      </w:r>
      <w:hyperlink r:id="rId163" w:history="1">
        <w:r w:rsidR="00005B02" w:rsidRPr="00756731">
          <w:rPr>
            <w:rStyle w:val="Hyperlink"/>
            <w:lang w:val="es-ES"/>
          </w:rPr>
          <w:t>r</w:t>
        </w:r>
        <w:r w:rsidRPr="00756731">
          <w:rPr>
            <w:rStyle w:val="Hyperlink"/>
            <w:lang w:val="es-ES"/>
          </w:rPr>
          <w:t>eunión Partner2Connect 2021</w:t>
        </w:r>
      </w:hyperlink>
      <w:r w:rsidRPr="00334C5E">
        <w:rPr>
          <w:lang w:val="es-ES"/>
        </w:rPr>
        <w:t xml:space="preserve"> se constituyó la </w:t>
      </w:r>
      <w:hyperlink r:id="rId164" w:history="1">
        <w:r w:rsidR="00005B02" w:rsidRPr="00756731">
          <w:rPr>
            <w:rStyle w:val="Hyperlink"/>
            <w:lang w:val="es-ES"/>
          </w:rPr>
          <w:t>C</w:t>
        </w:r>
        <w:r w:rsidRPr="00756731">
          <w:rPr>
            <w:rStyle w:val="Hyperlink"/>
            <w:lang w:val="es-ES"/>
          </w:rPr>
          <w:t>oalición Partner2Connect</w:t>
        </w:r>
      </w:hyperlink>
      <w:r w:rsidRPr="00334C5E">
        <w:rPr>
          <w:lang w:val="es-ES"/>
        </w:rPr>
        <w:t>.</w:t>
      </w:r>
    </w:p>
    <w:p w14:paraId="049F2724" w14:textId="2DBF0C6C" w:rsidR="00E5437C" w:rsidRPr="000E2FCF" w:rsidRDefault="00415264" w:rsidP="000E2FCF">
      <w:pPr>
        <w:keepNext/>
        <w:keepLines/>
        <w:rPr>
          <w:u w:val="single"/>
          <w:lang w:val="es-ES"/>
        </w:rPr>
      </w:pPr>
      <w:r w:rsidRPr="00A64EFC">
        <w:rPr>
          <w:u w:val="single"/>
          <w:lang w:val="es-ES"/>
        </w:rPr>
        <w:t>Puesta en marcha</w:t>
      </w:r>
      <w:r w:rsidR="00C94272" w:rsidRPr="00A64EFC">
        <w:rPr>
          <w:u w:val="single"/>
          <w:lang w:val="es-ES"/>
        </w:rPr>
        <w:t xml:space="preserve"> del </w:t>
      </w:r>
      <w:r w:rsidR="00756731" w:rsidRPr="00A64EFC">
        <w:rPr>
          <w:u w:val="single"/>
          <w:lang w:val="es-ES"/>
        </w:rPr>
        <w:t>CIID</w:t>
      </w:r>
      <w:r w:rsidR="00C94272" w:rsidRPr="00A64EFC">
        <w:rPr>
          <w:u w:val="single"/>
          <w:lang w:val="es-ES"/>
        </w:rPr>
        <w:t xml:space="preserve"> para la Juventud</w:t>
      </w:r>
    </w:p>
    <w:p w14:paraId="5D752558" w14:textId="0650D663" w:rsidR="00E5437C" w:rsidRPr="00B237E2" w:rsidRDefault="00E5437C">
      <w:pPr>
        <w:rPr>
          <w:lang w:val="es-ES"/>
        </w:rPr>
      </w:pPr>
      <w:r w:rsidRPr="00B237E2">
        <w:rPr>
          <w:lang w:val="es-ES"/>
        </w:rPr>
        <w:t xml:space="preserve">En 2020, la UIT organizó el </w:t>
      </w:r>
      <w:hyperlink r:id="rId165" w:history="1">
        <w:r w:rsidR="00845938" w:rsidRPr="00A64EFC">
          <w:rPr>
            <w:rStyle w:val="Hyperlink"/>
            <w:lang w:val="es-ES"/>
          </w:rPr>
          <w:t>Concurso</w:t>
        </w:r>
        <w:r w:rsidRPr="00A64EFC">
          <w:rPr>
            <w:rStyle w:val="Hyperlink"/>
            <w:lang w:val="es-ES"/>
          </w:rPr>
          <w:t xml:space="preserve"> para </w:t>
        </w:r>
        <w:r w:rsidR="00756731" w:rsidRPr="00A64EFC">
          <w:rPr>
            <w:rStyle w:val="Hyperlink"/>
            <w:lang w:val="es-ES"/>
          </w:rPr>
          <w:t>Jóvenes del CIID</w:t>
        </w:r>
      </w:hyperlink>
      <w:r w:rsidR="00845938" w:rsidRPr="00B237E2">
        <w:rPr>
          <w:lang w:val="es-ES"/>
        </w:rPr>
        <w:t>, relativo al objetivo de facilitar conexión a las personas que aún carecen de la misma. Las</w:t>
      </w:r>
      <w:r w:rsidRPr="00334C5E">
        <w:rPr>
          <w:lang w:val="es-ES"/>
        </w:rPr>
        <w:t xml:space="preserve"> presentaciones ganadoras atañen a la tecnología y el desarrollo de redes, la ciberseguridad, la inclusión digital, el cambio climático y el medio ambiente, y la capacitación.</w:t>
      </w:r>
    </w:p>
    <w:p w14:paraId="59A77989" w14:textId="6EE43759" w:rsidR="00E5437C" w:rsidRPr="000E2FCF" w:rsidRDefault="006A5DFD" w:rsidP="000E2FCF">
      <w:pPr>
        <w:keepNext/>
        <w:keepLines/>
        <w:rPr>
          <w:u w:val="single"/>
          <w:lang w:val="es-ES"/>
        </w:rPr>
      </w:pPr>
      <w:r w:rsidRPr="000E2FCF">
        <w:rPr>
          <w:u w:val="single"/>
          <w:lang w:val="es-ES"/>
        </w:rPr>
        <w:t xml:space="preserve">Comunidades virtuales de </w:t>
      </w:r>
      <w:r w:rsidR="00EB7F22" w:rsidRPr="000E2FCF">
        <w:rPr>
          <w:u w:val="single"/>
          <w:lang w:val="es-ES"/>
        </w:rPr>
        <w:t>"</w:t>
      </w:r>
      <w:r w:rsidRPr="000E2FCF">
        <w:rPr>
          <w:u w:val="single"/>
          <w:lang w:val="es-ES"/>
        </w:rPr>
        <w:t>Generation Connect</w:t>
      </w:r>
      <w:r w:rsidR="00EB7F22" w:rsidRPr="000E2FCF">
        <w:rPr>
          <w:u w:val="single"/>
          <w:lang w:val="es-ES"/>
        </w:rPr>
        <w:t>"</w:t>
      </w:r>
    </w:p>
    <w:p w14:paraId="5AB8C983" w14:textId="73A18487" w:rsidR="00E5437C" w:rsidRPr="00EB7F22" w:rsidRDefault="00E5437C" w:rsidP="00E124B0">
      <w:pPr>
        <w:rPr>
          <w:lang w:val="es-ES"/>
        </w:rPr>
      </w:pPr>
      <w:bookmarkStart w:id="100" w:name="lt_pId137"/>
      <w:r w:rsidRPr="00B237E2">
        <w:rPr>
          <w:lang w:val="es-ES"/>
        </w:rPr>
        <w:t xml:space="preserve">En 2021, la UIT puso en marcha las nuevas comunidades virtuales de </w:t>
      </w:r>
      <w:r w:rsidR="0092453D">
        <w:rPr>
          <w:lang w:val="es-ES"/>
        </w:rPr>
        <w:t>"</w:t>
      </w:r>
      <w:proofErr w:type="spellStart"/>
      <w:r w:rsidRPr="00AF6115">
        <w:rPr>
          <w:lang w:val="fr-FR"/>
        </w:rPr>
        <w:t>Generation</w:t>
      </w:r>
      <w:proofErr w:type="spellEnd"/>
      <w:r w:rsidRPr="00AF6115">
        <w:rPr>
          <w:lang w:val="fr-FR"/>
        </w:rPr>
        <w:t xml:space="preserve"> </w:t>
      </w:r>
      <w:proofErr w:type="spellStart"/>
      <w:r w:rsidRPr="00AF6115">
        <w:rPr>
          <w:lang w:val="fr-FR"/>
        </w:rPr>
        <w:t>Connect</w:t>
      </w:r>
      <w:proofErr w:type="spellEnd"/>
      <w:r w:rsidR="0092453D" w:rsidRPr="00AF6115">
        <w:rPr>
          <w:lang w:val="fr-FR"/>
        </w:rPr>
        <w:t>"</w:t>
      </w:r>
      <w:r w:rsidRPr="00B237E2">
        <w:rPr>
          <w:lang w:val="es-ES"/>
        </w:rPr>
        <w:t xml:space="preserve"> en Facebook</w:t>
      </w:r>
      <w:r w:rsidR="00B0390D">
        <w:rPr>
          <w:lang w:val="es-ES"/>
        </w:rPr>
        <w:t>,</w:t>
      </w:r>
      <w:r w:rsidRPr="00B237E2">
        <w:rPr>
          <w:lang w:val="es-ES"/>
        </w:rPr>
        <w:t xml:space="preserve"> LinkedIn</w:t>
      </w:r>
      <w:r w:rsidR="00B0390D">
        <w:rPr>
          <w:lang w:val="es-ES"/>
        </w:rPr>
        <w:t xml:space="preserve"> e Instagram, en las que s</w:t>
      </w:r>
      <w:r w:rsidRPr="00B237E2">
        <w:rPr>
          <w:lang w:val="es-ES"/>
        </w:rPr>
        <w:t xml:space="preserve">e invita a </w:t>
      </w:r>
      <w:r w:rsidR="00B0390D">
        <w:rPr>
          <w:lang w:val="es-ES"/>
        </w:rPr>
        <w:t>participar a</w:t>
      </w:r>
      <w:r w:rsidRPr="00B237E2">
        <w:rPr>
          <w:lang w:val="es-ES"/>
        </w:rPr>
        <w:t xml:space="preserve"> jóvenes de </w:t>
      </w:r>
      <w:bookmarkStart w:id="101" w:name="lt_pId139"/>
      <w:bookmarkEnd w:id="100"/>
      <w:r w:rsidR="00B0390D">
        <w:rPr>
          <w:lang w:val="es-ES"/>
        </w:rPr>
        <w:t>varias regiones</w:t>
      </w:r>
      <w:r w:rsidRPr="00B237E2">
        <w:rPr>
          <w:lang w:val="es-ES"/>
        </w:rPr>
        <w:t>.</w:t>
      </w:r>
      <w:bookmarkEnd w:id="101"/>
    </w:p>
    <w:p w14:paraId="2CC4BAA5" w14:textId="7DFF17AF" w:rsidR="0083024B" w:rsidRPr="000E2FCF" w:rsidRDefault="00AE66B5" w:rsidP="000E2FCF">
      <w:pPr>
        <w:keepNext/>
        <w:keepLines/>
        <w:rPr>
          <w:u w:val="single"/>
          <w:lang w:val="es-ES"/>
        </w:rPr>
      </w:pPr>
      <w:r w:rsidRPr="000E2FCF">
        <w:rPr>
          <w:u w:val="single"/>
          <w:lang w:val="es-ES"/>
        </w:rPr>
        <w:t>L</w:t>
      </w:r>
      <w:r w:rsidR="00E5437C" w:rsidRPr="000E2FCF">
        <w:rPr>
          <w:u w:val="single"/>
          <w:lang w:val="es-ES"/>
        </w:rPr>
        <w:t>a UIT</w:t>
      </w:r>
      <w:r w:rsidR="0083024B" w:rsidRPr="000E2FCF">
        <w:rPr>
          <w:u w:val="single"/>
          <w:lang w:val="es-ES"/>
        </w:rPr>
        <w:t>,</w:t>
      </w:r>
      <w:r w:rsidR="00E5437C" w:rsidRPr="000E2FCF">
        <w:rPr>
          <w:u w:val="single"/>
          <w:lang w:val="es-ES"/>
        </w:rPr>
        <w:t xml:space="preserve"> copresidente </w:t>
      </w:r>
      <w:r w:rsidR="0083024B" w:rsidRPr="000E2FCF">
        <w:rPr>
          <w:u w:val="single"/>
          <w:lang w:val="es-ES"/>
        </w:rPr>
        <w:t xml:space="preserve">actual </w:t>
      </w:r>
      <w:r w:rsidR="00E5437C" w:rsidRPr="000E2FCF">
        <w:rPr>
          <w:u w:val="single"/>
          <w:lang w:val="es-ES"/>
        </w:rPr>
        <w:t>de la Red Interinstitucional de las Naciones Unidas para el Desarrollo de la Juventud</w:t>
      </w:r>
    </w:p>
    <w:p w14:paraId="37C4AE0E" w14:textId="1748572C" w:rsidR="00E5437C" w:rsidRDefault="00E81485">
      <w:pPr>
        <w:rPr>
          <w:lang w:val="es-ES"/>
        </w:rPr>
      </w:pPr>
      <w:bookmarkStart w:id="102" w:name="lt_pId068"/>
      <w:r>
        <w:rPr>
          <w:lang w:val="es-ES"/>
        </w:rPr>
        <w:t>L</w:t>
      </w:r>
      <w:r w:rsidR="00C32C43" w:rsidRPr="00C32C43">
        <w:rPr>
          <w:lang w:val="es-ES"/>
        </w:rPr>
        <w:t xml:space="preserve">a UIT copreside </w:t>
      </w:r>
      <w:r>
        <w:rPr>
          <w:lang w:val="es-ES"/>
        </w:rPr>
        <w:t>d</w:t>
      </w:r>
      <w:r w:rsidRPr="00C32C43">
        <w:rPr>
          <w:lang w:val="es-ES"/>
        </w:rPr>
        <w:t xml:space="preserve">esde marzo de 2021 </w:t>
      </w:r>
      <w:r w:rsidR="00C32C43" w:rsidRPr="00C32C43">
        <w:rPr>
          <w:lang w:val="es-ES"/>
        </w:rPr>
        <w:t>la Red Interinstitucional de las Naciones Unidas para el Desarrollo de la Juventud (IANYD)</w:t>
      </w:r>
      <w:r w:rsidR="00C32C43">
        <w:rPr>
          <w:lang w:val="es-ES"/>
        </w:rPr>
        <w:t>, por</w:t>
      </w:r>
      <w:r w:rsidR="00C32C43" w:rsidRPr="00C32C43">
        <w:rPr>
          <w:lang w:val="es-ES"/>
        </w:rPr>
        <w:t xml:space="preserve"> un mandato de un año. </w:t>
      </w:r>
      <w:r w:rsidR="00C32C43">
        <w:rPr>
          <w:lang w:val="es-ES"/>
        </w:rPr>
        <w:t>Dicha</w:t>
      </w:r>
      <w:r w:rsidR="00C32C43" w:rsidRPr="00C32C43">
        <w:rPr>
          <w:lang w:val="es-ES"/>
        </w:rPr>
        <w:t xml:space="preserve"> </w:t>
      </w:r>
      <w:r w:rsidR="00005B02">
        <w:rPr>
          <w:lang w:val="es-ES"/>
        </w:rPr>
        <w:t>r</w:t>
      </w:r>
      <w:r w:rsidR="00C32C43" w:rsidRPr="00C32C43">
        <w:rPr>
          <w:lang w:val="es-ES"/>
        </w:rPr>
        <w:t xml:space="preserve">ed </w:t>
      </w:r>
      <w:r w:rsidR="00C32C43">
        <w:rPr>
          <w:lang w:val="es-ES"/>
        </w:rPr>
        <w:t>tiene por objeto aumentar</w:t>
      </w:r>
      <w:r w:rsidR="00C32C43" w:rsidRPr="00C32C43">
        <w:rPr>
          <w:lang w:val="es-ES"/>
        </w:rPr>
        <w:t xml:space="preserve"> la eficacia de la labor de las Naciones Unidas en materia de desarrollo de la juventud mediante el fortalecimiento de la colaboración y el intercambio </w:t>
      </w:r>
      <w:r w:rsidR="00C32C43">
        <w:rPr>
          <w:lang w:val="es-ES"/>
        </w:rPr>
        <w:t xml:space="preserve">de información </w:t>
      </w:r>
      <w:r w:rsidR="00C32C43" w:rsidRPr="00C32C43">
        <w:rPr>
          <w:lang w:val="es-ES"/>
        </w:rPr>
        <w:t xml:space="preserve">entre </w:t>
      </w:r>
      <w:r w:rsidR="00C32C43">
        <w:rPr>
          <w:lang w:val="es-ES"/>
        </w:rPr>
        <w:t>organismos</w:t>
      </w:r>
      <w:r w:rsidR="00C32C43" w:rsidRPr="00C32C43">
        <w:rPr>
          <w:lang w:val="es-ES"/>
        </w:rPr>
        <w:t xml:space="preserve"> de las Naciones Unidas. La UIT ha copresidido tres reuniones de la IANYD, </w:t>
      </w:r>
      <w:r w:rsidR="00703FB2">
        <w:rPr>
          <w:lang w:val="es-ES"/>
        </w:rPr>
        <w:t>y ha establecido</w:t>
      </w:r>
      <w:r w:rsidR="00C32C43" w:rsidRPr="00C32C43">
        <w:rPr>
          <w:lang w:val="es-ES"/>
        </w:rPr>
        <w:t xml:space="preserve"> un grupo de trabajo sobre participación </w:t>
      </w:r>
      <w:r w:rsidR="00703FB2">
        <w:rPr>
          <w:lang w:val="es-ES"/>
        </w:rPr>
        <w:t>eficaz</w:t>
      </w:r>
      <w:r w:rsidR="00C32C43" w:rsidRPr="00C32C43">
        <w:rPr>
          <w:lang w:val="es-ES"/>
        </w:rPr>
        <w:t xml:space="preserve"> de los </w:t>
      </w:r>
      <w:bookmarkEnd w:id="102"/>
      <w:r w:rsidR="00C32C43">
        <w:rPr>
          <w:lang w:val="es-ES"/>
        </w:rPr>
        <w:t>jóvenes.</w:t>
      </w:r>
    </w:p>
    <w:p w14:paraId="68B477F7" w14:textId="79E2E898" w:rsidR="00C32C43" w:rsidRPr="000E2FCF" w:rsidRDefault="00703FB2" w:rsidP="000E2FCF">
      <w:pPr>
        <w:keepNext/>
        <w:keepLines/>
        <w:rPr>
          <w:u w:val="single"/>
          <w:lang w:val="es-ES"/>
        </w:rPr>
      </w:pPr>
      <w:r w:rsidRPr="000E2FCF">
        <w:rPr>
          <w:u w:val="single"/>
          <w:lang w:val="es-ES"/>
        </w:rPr>
        <w:t>Capacitación sobre la participación eficaz de los jóvenes</w:t>
      </w:r>
    </w:p>
    <w:p w14:paraId="581BBAB2" w14:textId="30CC0B39" w:rsidR="00C32C43" w:rsidRPr="00334C5E" w:rsidRDefault="00703FB2" w:rsidP="00334C5E">
      <w:pPr>
        <w:rPr>
          <w:lang w:val="es-ES"/>
        </w:rPr>
      </w:pPr>
      <w:r w:rsidRPr="00334C5E">
        <w:rPr>
          <w:lang w:val="es-ES"/>
        </w:rPr>
        <w:t xml:space="preserve">En 2020 se impartió a los miembros del personal de la UIT una formación sobre "participación eficaz de los jóvenes", a la que asistieron 174 miembros </w:t>
      </w:r>
      <w:r w:rsidR="0061579D" w:rsidRPr="00334C5E">
        <w:rPr>
          <w:lang w:val="es-ES"/>
        </w:rPr>
        <w:t>de dicho</w:t>
      </w:r>
      <w:r w:rsidRPr="00334C5E">
        <w:rPr>
          <w:lang w:val="es-ES"/>
        </w:rPr>
        <w:t xml:space="preserve"> personal de la UIT, incluidos altos directivos, miembros del </w:t>
      </w:r>
      <w:r w:rsidR="0061579D" w:rsidRPr="00334C5E">
        <w:rPr>
          <w:lang w:val="es-ES"/>
        </w:rPr>
        <w:t xml:space="preserve">Grupo de Tareas Especiales para la juventud </w:t>
      </w:r>
      <w:r w:rsidRPr="00334C5E">
        <w:rPr>
          <w:lang w:val="es-ES"/>
        </w:rPr>
        <w:t xml:space="preserve">y personal </w:t>
      </w:r>
      <w:r w:rsidR="0061579D" w:rsidRPr="00334C5E">
        <w:rPr>
          <w:lang w:val="es-ES"/>
        </w:rPr>
        <w:t xml:space="preserve">de categorías </w:t>
      </w:r>
      <w:r w:rsidRPr="00334C5E">
        <w:rPr>
          <w:lang w:val="es-ES"/>
        </w:rPr>
        <w:t>profesional y administrativ</w:t>
      </w:r>
      <w:r w:rsidR="0061579D" w:rsidRPr="00334C5E">
        <w:rPr>
          <w:lang w:val="es-ES"/>
        </w:rPr>
        <w:t>a</w:t>
      </w:r>
      <w:r w:rsidRPr="00334C5E">
        <w:rPr>
          <w:lang w:val="es-ES"/>
        </w:rPr>
        <w:t xml:space="preserve">. </w:t>
      </w:r>
      <w:r w:rsidR="0061579D" w:rsidRPr="00334C5E">
        <w:rPr>
          <w:lang w:val="es-ES"/>
        </w:rPr>
        <w:t>Tras la citada</w:t>
      </w:r>
      <w:r w:rsidRPr="00334C5E">
        <w:rPr>
          <w:lang w:val="es-ES"/>
        </w:rPr>
        <w:t xml:space="preserve"> formación</w:t>
      </w:r>
      <w:r w:rsidR="0061579D" w:rsidRPr="00334C5E">
        <w:rPr>
          <w:lang w:val="es-ES"/>
        </w:rPr>
        <w:t>, se organizaron en</w:t>
      </w:r>
      <w:r w:rsidRPr="00334C5E">
        <w:rPr>
          <w:lang w:val="es-ES"/>
        </w:rPr>
        <w:t xml:space="preserve"> 2020 dos talleres "</w:t>
      </w:r>
      <w:r w:rsidRPr="00AF6115">
        <w:rPr>
          <w:lang w:val="fr-FR"/>
        </w:rPr>
        <w:t xml:space="preserve">Pitch for </w:t>
      </w:r>
      <w:proofErr w:type="spellStart"/>
      <w:r w:rsidRPr="00AF6115">
        <w:rPr>
          <w:lang w:val="fr-FR"/>
        </w:rPr>
        <w:t>Youth</w:t>
      </w:r>
      <w:proofErr w:type="spellEnd"/>
      <w:r w:rsidRPr="00334C5E">
        <w:rPr>
          <w:lang w:val="es-ES"/>
        </w:rPr>
        <w:t xml:space="preserve">", en los que </w:t>
      </w:r>
      <w:r w:rsidR="0061579D" w:rsidRPr="00334C5E">
        <w:rPr>
          <w:lang w:val="es-ES"/>
        </w:rPr>
        <w:t>varios</w:t>
      </w:r>
      <w:r w:rsidRPr="00334C5E">
        <w:rPr>
          <w:lang w:val="es-ES"/>
        </w:rPr>
        <w:t xml:space="preserve"> equipos propusieron ideas a un jurado de la UIT sobre iniciativas </w:t>
      </w:r>
      <w:r w:rsidR="00DD51E3" w:rsidRPr="00334C5E">
        <w:rPr>
          <w:lang w:val="es-ES"/>
        </w:rPr>
        <w:t>relativas a la</w:t>
      </w:r>
      <w:r w:rsidRPr="00334C5E">
        <w:rPr>
          <w:lang w:val="es-ES"/>
        </w:rPr>
        <w:t xml:space="preserve"> participación de los jóvenes</w:t>
      </w:r>
      <w:r w:rsidR="00C32C43" w:rsidRPr="00334C5E">
        <w:rPr>
          <w:lang w:val="es-ES"/>
        </w:rPr>
        <w:t>.</w:t>
      </w:r>
    </w:p>
    <w:p w14:paraId="06F8955B" w14:textId="51DEF600" w:rsidR="00E5437C" w:rsidRPr="000E2FCF" w:rsidRDefault="007C036D" w:rsidP="000E2FCF">
      <w:pPr>
        <w:keepNext/>
        <w:keepLines/>
        <w:rPr>
          <w:u w:val="single"/>
          <w:lang w:val="es-ES"/>
        </w:rPr>
      </w:pPr>
      <w:r w:rsidRPr="000E2FCF">
        <w:rPr>
          <w:u w:val="single"/>
          <w:lang w:val="es-ES"/>
        </w:rPr>
        <w:t xml:space="preserve">Colaboración con la Oficina del Enviado del Secretario General para la </w:t>
      </w:r>
      <w:r w:rsidR="00B52DF1" w:rsidRPr="000E2FCF">
        <w:rPr>
          <w:u w:val="single"/>
          <w:lang w:val="es-ES"/>
        </w:rPr>
        <w:t>Juventud</w:t>
      </w:r>
    </w:p>
    <w:p w14:paraId="09866794" w14:textId="20F8DB14" w:rsidR="00E5437C" w:rsidRPr="00334C5E" w:rsidRDefault="007C036D" w:rsidP="00334C5E">
      <w:pPr>
        <w:rPr>
          <w:lang w:val="es-ES"/>
        </w:rPr>
      </w:pPr>
      <w:r w:rsidRPr="00334C5E">
        <w:rPr>
          <w:lang w:val="es-ES"/>
        </w:rPr>
        <w:t xml:space="preserve">La UIT </w:t>
      </w:r>
      <w:r w:rsidR="0030634F" w:rsidRPr="00334C5E">
        <w:rPr>
          <w:lang w:val="es-ES"/>
        </w:rPr>
        <w:t>colabora</w:t>
      </w:r>
      <w:r w:rsidRPr="00334C5E">
        <w:rPr>
          <w:lang w:val="es-ES"/>
        </w:rPr>
        <w:t xml:space="preserve"> con la Oficina del Enviado para la Juventud </w:t>
      </w:r>
      <w:r w:rsidR="0030634F" w:rsidRPr="00334C5E">
        <w:rPr>
          <w:lang w:val="es-ES"/>
        </w:rPr>
        <w:t>con objeto de armonizar</w:t>
      </w:r>
      <w:r w:rsidRPr="00334C5E">
        <w:rPr>
          <w:lang w:val="es-ES"/>
        </w:rPr>
        <w:t xml:space="preserve"> la Estrategia d</w:t>
      </w:r>
      <w:r w:rsidR="0030634F" w:rsidRPr="00334C5E">
        <w:rPr>
          <w:lang w:val="es-ES"/>
        </w:rPr>
        <w:t>e la UIT para</w:t>
      </w:r>
      <w:r w:rsidRPr="00334C5E">
        <w:rPr>
          <w:lang w:val="es-ES"/>
        </w:rPr>
        <w:t xml:space="preserve"> la Juventud con la Estrategia de las Naciones Unidas</w:t>
      </w:r>
      <w:r w:rsidR="0030634F" w:rsidRPr="00334C5E">
        <w:rPr>
          <w:lang w:val="es-ES"/>
        </w:rPr>
        <w:t xml:space="preserve"> de la Juventud</w:t>
      </w:r>
      <w:r w:rsidR="00411CB0" w:rsidRPr="00334C5E">
        <w:rPr>
          <w:lang w:val="es-ES"/>
        </w:rPr>
        <w:t xml:space="preserve">, </w:t>
      </w:r>
      <w:r w:rsidR="00D81BD1">
        <w:rPr>
          <w:lang w:val="es-ES"/>
        </w:rPr>
        <w:t>"</w:t>
      </w:r>
      <w:hyperlink r:id="rId166" w:history="1">
        <w:r w:rsidRPr="00756731">
          <w:rPr>
            <w:rStyle w:val="Hyperlink"/>
            <w:lang w:val="es-ES"/>
          </w:rPr>
          <w:t>Juventud</w:t>
        </w:r>
        <w:r w:rsidR="00D81BD1" w:rsidRPr="00756731">
          <w:rPr>
            <w:rStyle w:val="Hyperlink"/>
            <w:lang w:val="es-ES"/>
          </w:rPr>
          <w:t> </w:t>
        </w:r>
        <w:r w:rsidRPr="00756731">
          <w:rPr>
            <w:rStyle w:val="Hyperlink"/>
            <w:lang w:val="es-ES"/>
          </w:rPr>
          <w:t>2030</w:t>
        </w:r>
      </w:hyperlink>
      <w:r w:rsidR="00D81BD1">
        <w:rPr>
          <w:lang w:val="es-ES"/>
        </w:rPr>
        <w:t>"</w:t>
      </w:r>
      <w:r w:rsidRPr="00334C5E">
        <w:rPr>
          <w:lang w:val="es-ES"/>
        </w:rPr>
        <w:t xml:space="preserve">. La UIT ha colaborado con el Enviado de las Naciones Unidas para la Juventud de diversas maneras, incluida la creación </w:t>
      </w:r>
      <w:r w:rsidR="00411CB0" w:rsidRPr="00334C5E">
        <w:rPr>
          <w:lang w:val="es-ES"/>
        </w:rPr>
        <w:t xml:space="preserve">conjunta </w:t>
      </w:r>
      <w:r w:rsidRPr="00334C5E">
        <w:rPr>
          <w:lang w:val="es-ES"/>
        </w:rPr>
        <w:t xml:space="preserve">de la sesión sobre tecnología digital del Festival de la Innovación #YouthLead y la colaboración </w:t>
      </w:r>
      <w:r w:rsidR="000D3360" w:rsidRPr="00334C5E">
        <w:rPr>
          <w:lang w:val="es-ES"/>
        </w:rPr>
        <w:t>sobre la forma en que</w:t>
      </w:r>
      <w:r w:rsidRPr="00334C5E">
        <w:rPr>
          <w:lang w:val="es-ES"/>
        </w:rPr>
        <w:t xml:space="preserve"> </w:t>
      </w:r>
      <w:r w:rsidR="000D3360" w:rsidRPr="00334C5E">
        <w:rPr>
          <w:lang w:val="es-ES"/>
        </w:rPr>
        <w:t>las actividades</w:t>
      </w:r>
      <w:r w:rsidRPr="00334C5E">
        <w:rPr>
          <w:lang w:val="es-ES"/>
        </w:rPr>
        <w:t xml:space="preserve"> en línea </w:t>
      </w:r>
      <w:r w:rsidR="000D3360" w:rsidRPr="00334C5E">
        <w:rPr>
          <w:lang w:val="es-ES"/>
        </w:rPr>
        <w:t xml:space="preserve">contribuyen </w:t>
      </w:r>
      <w:r w:rsidRPr="00334C5E">
        <w:rPr>
          <w:lang w:val="es-ES"/>
        </w:rPr>
        <w:t xml:space="preserve">a </w:t>
      </w:r>
      <w:r w:rsidR="000D3360" w:rsidRPr="00334C5E">
        <w:rPr>
          <w:lang w:val="es-ES"/>
        </w:rPr>
        <w:t>la mejora de</w:t>
      </w:r>
      <w:r w:rsidRPr="00334C5E">
        <w:rPr>
          <w:lang w:val="es-ES"/>
        </w:rPr>
        <w:t xml:space="preserve"> la seguridad </w:t>
      </w:r>
      <w:r w:rsidR="00411CB0" w:rsidRPr="00334C5E">
        <w:rPr>
          <w:lang w:val="es-ES"/>
        </w:rPr>
        <w:t xml:space="preserve">de la infancia </w:t>
      </w:r>
      <w:r w:rsidRPr="00334C5E">
        <w:rPr>
          <w:lang w:val="es-ES"/>
        </w:rPr>
        <w:t>en línea</w:t>
      </w:r>
      <w:r w:rsidR="00E5437C" w:rsidRPr="00EB7F22">
        <w:rPr>
          <w:lang w:val="es-ES"/>
        </w:rPr>
        <w:t>.</w:t>
      </w:r>
    </w:p>
    <w:p w14:paraId="04B8DE74" w14:textId="5A92310B" w:rsidR="00E5437C" w:rsidRPr="000E2FCF" w:rsidRDefault="00633DBD" w:rsidP="000E2FCF">
      <w:pPr>
        <w:keepNext/>
        <w:keepLines/>
        <w:rPr>
          <w:u w:val="single"/>
          <w:lang w:val="es-ES"/>
        </w:rPr>
      </w:pPr>
      <w:r w:rsidRPr="000E2FCF">
        <w:rPr>
          <w:u w:val="single"/>
          <w:lang w:val="es-ES"/>
        </w:rPr>
        <w:lastRenderedPageBreak/>
        <w:t>Iniciativas suplementarias</w:t>
      </w:r>
    </w:p>
    <w:p w14:paraId="0BF1BAA4" w14:textId="32C43D82" w:rsidR="00823AB3" w:rsidRPr="00B237E2" w:rsidRDefault="00823AB3" w:rsidP="00B52DF1">
      <w:pPr>
        <w:rPr>
          <w:lang w:val="es-ES"/>
        </w:rPr>
      </w:pPr>
      <w:r w:rsidRPr="00B237E2">
        <w:rPr>
          <w:lang w:val="es-ES"/>
        </w:rPr>
        <w:t xml:space="preserve">Entre las iniciativas emprendidas por la UIT para empoderar a los jóvenes a través de las TIC figuran la campaña </w:t>
      </w:r>
      <w:r w:rsidR="00D81BD1">
        <w:rPr>
          <w:lang w:val="es-ES"/>
        </w:rPr>
        <w:t>"</w:t>
      </w:r>
      <w:hyperlink r:id="rId167" w:history="1">
        <w:r w:rsidR="00D81BD1">
          <w:rPr>
            <w:rStyle w:val="Hyperlink"/>
            <w:lang w:val="es-ES"/>
          </w:rPr>
          <w:t>Competencias digitales para el empleo</w:t>
        </w:r>
      </w:hyperlink>
      <w:r w:rsidR="00D81BD1">
        <w:rPr>
          <w:lang w:val="es-ES"/>
        </w:rPr>
        <w:t xml:space="preserve">" </w:t>
      </w:r>
      <w:r w:rsidRPr="00B237E2">
        <w:rPr>
          <w:lang w:val="es-ES"/>
        </w:rPr>
        <w:t xml:space="preserve">y el </w:t>
      </w:r>
      <w:hyperlink r:id="rId168" w:history="1">
        <w:r w:rsidR="00B52DF1" w:rsidRPr="00154BEE">
          <w:rPr>
            <w:rStyle w:val="Hyperlink"/>
            <w:lang w:val="es-ES"/>
          </w:rPr>
          <w:t>c</w:t>
        </w:r>
        <w:r w:rsidRPr="00154BEE">
          <w:rPr>
            <w:rStyle w:val="Hyperlink"/>
            <w:lang w:val="es-ES"/>
          </w:rPr>
          <w:t>onjunto de herramientas de la</w:t>
        </w:r>
        <w:r w:rsidR="00D81BD1" w:rsidRPr="00154BEE">
          <w:rPr>
            <w:rStyle w:val="Hyperlink"/>
            <w:lang w:val="es-ES"/>
          </w:rPr>
          <w:t> </w:t>
        </w:r>
        <w:r w:rsidRPr="00154BEE">
          <w:rPr>
            <w:rStyle w:val="Hyperlink"/>
            <w:lang w:val="es-ES"/>
          </w:rPr>
          <w:t>UIT sobre competencias digitales</w:t>
        </w:r>
      </w:hyperlink>
      <w:r w:rsidRPr="00B237E2">
        <w:rPr>
          <w:lang w:val="es-ES"/>
        </w:rPr>
        <w:t>.</w:t>
      </w:r>
    </w:p>
    <w:p w14:paraId="5D1F2A25" w14:textId="60F41729" w:rsidR="00B81450" w:rsidRPr="00334C5E" w:rsidRDefault="00B81450" w:rsidP="00334C5E">
      <w:pPr>
        <w:rPr>
          <w:lang w:val="es-ES"/>
        </w:rPr>
      </w:pPr>
      <w:r w:rsidRPr="00334C5E">
        <w:rPr>
          <w:lang w:val="es-ES"/>
        </w:rPr>
        <w:t xml:space="preserve">En 2020, la UIT </w:t>
      </w:r>
      <w:r w:rsidR="00CC5754" w:rsidRPr="00334C5E">
        <w:rPr>
          <w:lang w:val="es-ES"/>
        </w:rPr>
        <w:t>llevó a cabo</w:t>
      </w:r>
      <w:r w:rsidRPr="00334C5E">
        <w:rPr>
          <w:lang w:val="es-ES"/>
        </w:rPr>
        <w:t xml:space="preserve"> una </w:t>
      </w:r>
      <w:hyperlink r:id="rId169" w:history="1">
        <w:r w:rsidRPr="00154BEE">
          <w:rPr>
            <w:rStyle w:val="Hyperlink"/>
            <w:lang w:val="es-ES"/>
          </w:rPr>
          <w:t>encuesta sobre participación de los jóvenes</w:t>
        </w:r>
      </w:hyperlink>
      <w:r w:rsidRPr="00334C5E">
        <w:rPr>
          <w:lang w:val="es-ES"/>
        </w:rPr>
        <w:t xml:space="preserve"> para </w:t>
      </w:r>
      <w:r w:rsidR="00CC5754" w:rsidRPr="00334C5E">
        <w:rPr>
          <w:lang w:val="es-ES"/>
        </w:rPr>
        <w:t>determinar en qué medida puede mejorarse su colaboración con</w:t>
      </w:r>
      <w:r w:rsidRPr="00334C5E">
        <w:rPr>
          <w:lang w:val="es-ES"/>
        </w:rPr>
        <w:t xml:space="preserve"> la UIT; los resultados de </w:t>
      </w:r>
      <w:r w:rsidR="00CC5754" w:rsidRPr="00334C5E">
        <w:rPr>
          <w:lang w:val="es-ES"/>
        </w:rPr>
        <w:t>dicha</w:t>
      </w:r>
      <w:r w:rsidRPr="00334C5E">
        <w:rPr>
          <w:lang w:val="es-ES"/>
        </w:rPr>
        <w:t xml:space="preserve"> encuesta sirvieron de base para </w:t>
      </w:r>
      <w:r w:rsidR="00CC5754" w:rsidRPr="00334C5E">
        <w:rPr>
          <w:lang w:val="es-ES"/>
        </w:rPr>
        <w:t xml:space="preserve">formular </w:t>
      </w:r>
      <w:r w:rsidRPr="00334C5E">
        <w:rPr>
          <w:lang w:val="es-ES"/>
        </w:rPr>
        <w:t xml:space="preserve">la Estrategia </w:t>
      </w:r>
      <w:r w:rsidR="00CC5754" w:rsidRPr="00334C5E">
        <w:rPr>
          <w:lang w:val="es-ES"/>
        </w:rPr>
        <w:t>de la UIT para</w:t>
      </w:r>
      <w:r w:rsidRPr="00334C5E">
        <w:rPr>
          <w:lang w:val="es-ES"/>
        </w:rPr>
        <w:t xml:space="preserve"> la Juventud.</w:t>
      </w:r>
    </w:p>
    <w:p w14:paraId="188A0199" w14:textId="611F37A7" w:rsidR="00E5437C" w:rsidRPr="00334C5E" w:rsidRDefault="00CC5754">
      <w:pPr>
        <w:rPr>
          <w:lang w:val="es-ES"/>
        </w:rPr>
      </w:pPr>
      <w:r w:rsidRPr="00334C5E">
        <w:rPr>
          <w:lang w:val="es-ES"/>
        </w:rPr>
        <w:t xml:space="preserve">Caleidoscopio </w:t>
      </w:r>
      <w:r w:rsidR="00B81450" w:rsidRPr="00334C5E">
        <w:rPr>
          <w:lang w:val="es-ES"/>
        </w:rPr>
        <w:t xml:space="preserve">2018: </w:t>
      </w:r>
      <w:r w:rsidR="00585AA4" w:rsidRPr="00334C5E">
        <w:rPr>
          <w:lang w:val="es-ES"/>
        </w:rPr>
        <w:t xml:space="preserve">la Universidad Tecnológica Nacional de Santa </w:t>
      </w:r>
      <w:r w:rsidR="00334C5E" w:rsidRPr="00334C5E">
        <w:rPr>
          <w:lang w:val="es-ES"/>
        </w:rPr>
        <w:t>Fe</w:t>
      </w:r>
      <w:r w:rsidR="00585AA4" w:rsidRPr="00334C5E">
        <w:rPr>
          <w:lang w:val="es-ES"/>
        </w:rPr>
        <w:t xml:space="preserve"> (Argentina) organizó el evento </w:t>
      </w:r>
      <w:r w:rsidR="00B81450" w:rsidRPr="00334C5E">
        <w:rPr>
          <w:lang w:val="es-ES"/>
        </w:rPr>
        <w:t xml:space="preserve">"Aprendizaje automático </w:t>
      </w:r>
      <w:r w:rsidR="00585AA4" w:rsidRPr="00334C5E">
        <w:rPr>
          <w:lang w:val="es-ES"/>
        </w:rPr>
        <w:t>para</w:t>
      </w:r>
      <w:r w:rsidR="00B81450" w:rsidRPr="00334C5E">
        <w:rPr>
          <w:lang w:val="es-ES"/>
        </w:rPr>
        <w:t xml:space="preserve"> un futuro </w:t>
      </w:r>
      <w:r w:rsidR="00585AA4" w:rsidRPr="00334C5E">
        <w:rPr>
          <w:lang w:val="es-ES"/>
        </w:rPr>
        <w:t xml:space="preserve">con redes </w:t>
      </w:r>
      <w:r w:rsidR="00B81450" w:rsidRPr="00334C5E">
        <w:rPr>
          <w:lang w:val="es-ES"/>
        </w:rPr>
        <w:t>5G". Los autores</w:t>
      </w:r>
      <w:r w:rsidR="002B101E" w:rsidRPr="00334C5E">
        <w:rPr>
          <w:lang w:val="es-ES"/>
        </w:rPr>
        <w:t xml:space="preserve"> de edad inferior a 30</w:t>
      </w:r>
      <w:r w:rsidR="00722957">
        <w:rPr>
          <w:lang w:val="es-ES"/>
        </w:rPr>
        <w:t> </w:t>
      </w:r>
      <w:r w:rsidR="002B101E" w:rsidRPr="00334C5E">
        <w:rPr>
          <w:lang w:val="es-ES"/>
        </w:rPr>
        <w:t xml:space="preserve">años </w:t>
      </w:r>
      <w:r w:rsidR="00B81450" w:rsidRPr="00334C5E">
        <w:rPr>
          <w:lang w:val="es-ES"/>
        </w:rPr>
        <w:t>que presentaron trabajos</w:t>
      </w:r>
      <w:r w:rsidR="002B101E" w:rsidRPr="00334C5E">
        <w:rPr>
          <w:lang w:val="es-ES"/>
        </w:rPr>
        <w:t xml:space="preserve"> </w:t>
      </w:r>
      <w:r w:rsidR="00B81450" w:rsidRPr="00334C5E">
        <w:rPr>
          <w:lang w:val="es-ES"/>
        </w:rPr>
        <w:t xml:space="preserve">recibieron </w:t>
      </w:r>
      <w:r w:rsidR="002B101E" w:rsidRPr="00334C5E">
        <w:rPr>
          <w:lang w:val="es-ES"/>
        </w:rPr>
        <w:t>certificados de reconocimiento a jóvenes autores</w:t>
      </w:r>
      <w:r w:rsidR="00B81450" w:rsidRPr="00334C5E">
        <w:rPr>
          <w:lang w:val="es-ES"/>
        </w:rPr>
        <w:t>.</w:t>
      </w:r>
    </w:p>
    <w:p w14:paraId="5391DFDF" w14:textId="157447FA" w:rsidR="00823AB3" w:rsidRPr="0040471D" w:rsidRDefault="0040471D" w:rsidP="00E124B0">
      <w:pPr>
        <w:pStyle w:val="Headingb"/>
        <w:rPr>
          <w:lang w:val="es-ES"/>
        </w:rPr>
      </w:pPr>
      <w:r w:rsidRPr="00FF4DBE">
        <w:rPr>
          <w:lang w:val="es-ES"/>
        </w:rPr>
        <w:t xml:space="preserve">Promoción de la accesibilidad </w:t>
      </w:r>
      <w:r w:rsidR="007F0C7C" w:rsidRPr="00FF4DBE">
        <w:rPr>
          <w:lang w:val="es-ES"/>
        </w:rPr>
        <w:t>a</w:t>
      </w:r>
      <w:r w:rsidRPr="00FF4DBE">
        <w:rPr>
          <w:lang w:val="es-ES"/>
        </w:rPr>
        <w:t xml:space="preserve"> las TIC </w:t>
      </w:r>
      <w:r w:rsidR="007F0C7C" w:rsidRPr="00FF4DBE">
        <w:rPr>
          <w:lang w:val="es-ES"/>
        </w:rPr>
        <w:t>de</w:t>
      </w:r>
      <w:r w:rsidRPr="00FF4DBE">
        <w:rPr>
          <w:lang w:val="es-ES"/>
        </w:rPr>
        <w:t xml:space="preserve"> las personas con discapacidad</w:t>
      </w:r>
    </w:p>
    <w:p w14:paraId="1E4653FE" w14:textId="345D6E2F" w:rsidR="00823AB3" w:rsidRPr="00B237E2" w:rsidRDefault="00823AB3" w:rsidP="00E124B0">
      <w:pPr>
        <w:rPr>
          <w:lang w:val="es-ES"/>
        </w:rPr>
      </w:pPr>
      <w:r w:rsidRPr="00B237E2">
        <w:rPr>
          <w:lang w:val="es-ES"/>
        </w:rPr>
        <w:t xml:space="preserve">La UIT </w:t>
      </w:r>
      <w:r w:rsidR="007F0C7C">
        <w:rPr>
          <w:lang w:val="es-ES"/>
        </w:rPr>
        <w:t>promueve</w:t>
      </w:r>
      <w:r w:rsidRPr="00B237E2">
        <w:rPr>
          <w:lang w:val="es-ES"/>
        </w:rPr>
        <w:t xml:space="preserve"> </w:t>
      </w:r>
      <w:r w:rsidR="008224C1">
        <w:rPr>
          <w:lang w:val="es-ES"/>
        </w:rPr>
        <w:t xml:space="preserve">a escala internacional </w:t>
      </w:r>
      <w:r w:rsidRPr="00B237E2">
        <w:rPr>
          <w:lang w:val="es-ES"/>
        </w:rPr>
        <w:t xml:space="preserve">la accesibilidad </w:t>
      </w:r>
      <w:r w:rsidR="00252013">
        <w:rPr>
          <w:lang w:val="es-ES"/>
        </w:rPr>
        <w:t>a</w:t>
      </w:r>
      <w:r w:rsidRPr="00B237E2">
        <w:rPr>
          <w:lang w:val="es-ES"/>
        </w:rPr>
        <w:t xml:space="preserve"> las TIC </w:t>
      </w:r>
      <w:r w:rsidR="00252013">
        <w:rPr>
          <w:lang w:val="es-ES"/>
        </w:rPr>
        <w:t>de</w:t>
      </w:r>
      <w:r w:rsidRPr="00B237E2">
        <w:rPr>
          <w:lang w:val="es-ES"/>
        </w:rPr>
        <w:t xml:space="preserve"> las personas con discapacidad</w:t>
      </w:r>
      <w:r w:rsidR="00252013">
        <w:rPr>
          <w:lang w:val="es-ES"/>
        </w:rPr>
        <w:t>, así como la</w:t>
      </w:r>
      <w:r w:rsidRPr="00B237E2">
        <w:rPr>
          <w:lang w:val="es-ES"/>
        </w:rPr>
        <w:t xml:space="preserve"> transformación de la UIT en una organización más accesible para </w:t>
      </w:r>
      <w:r w:rsidR="00252013">
        <w:rPr>
          <w:lang w:val="es-ES"/>
        </w:rPr>
        <w:t>dichas</w:t>
      </w:r>
      <w:r w:rsidRPr="00B237E2">
        <w:rPr>
          <w:lang w:val="es-ES"/>
        </w:rPr>
        <w:t xml:space="preserve"> personas</w:t>
      </w:r>
      <w:r w:rsidR="0099702F">
        <w:rPr>
          <w:lang w:val="es-ES"/>
        </w:rPr>
        <w:t>, en virtud de la Resolución 175 (Rev. Dubái, 2018)</w:t>
      </w:r>
      <w:r w:rsidRPr="00B237E2">
        <w:rPr>
          <w:lang w:val="es-ES"/>
        </w:rPr>
        <w:t>.</w:t>
      </w:r>
    </w:p>
    <w:p w14:paraId="2443EB54" w14:textId="2CB403A9" w:rsidR="00823AB3" w:rsidRPr="00B237E2" w:rsidRDefault="00252013" w:rsidP="00A6431C">
      <w:pPr>
        <w:keepNext/>
        <w:keepLines/>
        <w:rPr>
          <w:lang w:val="es-ES"/>
        </w:rPr>
      </w:pPr>
      <w:r>
        <w:rPr>
          <w:lang w:val="es-ES"/>
        </w:rPr>
        <w:t>A nivel internacional</w:t>
      </w:r>
      <w:r w:rsidR="00823AB3" w:rsidRPr="00B237E2">
        <w:rPr>
          <w:lang w:val="es-ES"/>
        </w:rPr>
        <w:t xml:space="preserve">, la UIT ha proseguido su labor técnica en el </w:t>
      </w:r>
      <w:r>
        <w:rPr>
          <w:lang w:val="es-ES"/>
        </w:rPr>
        <w:t>marco</w:t>
      </w:r>
      <w:r w:rsidR="00823AB3" w:rsidRPr="00B237E2">
        <w:rPr>
          <w:lang w:val="es-ES"/>
        </w:rPr>
        <w:t xml:space="preserve"> de las Comisiones de Estudio del UIT-R, el UIT-T y el UIT-D, </w:t>
      </w:r>
      <w:r>
        <w:rPr>
          <w:lang w:val="es-ES"/>
        </w:rPr>
        <w:t xml:space="preserve">en las que se </w:t>
      </w:r>
      <w:r w:rsidR="00823AB3" w:rsidRPr="00B237E2">
        <w:rPr>
          <w:lang w:val="es-ES"/>
        </w:rPr>
        <w:t>promueve la utilización de las telecomunicaciones y las TIC en favor de las personas con discapacidad</w:t>
      </w:r>
      <w:r>
        <w:rPr>
          <w:lang w:val="es-ES"/>
        </w:rPr>
        <w:t xml:space="preserve"> y el desarrollo de recursos para apoyar a los Estados Miembros en e</w:t>
      </w:r>
      <w:r w:rsidR="0046789F">
        <w:rPr>
          <w:lang w:val="es-ES"/>
        </w:rPr>
        <w:t xml:space="preserve">l establecimiento de entornos </w:t>
      </w:r>
      <w:r w:rsidR="00823AB3" w:rsidRPr="00B237E2">
        <w:rPr>
          <w:lang w:val="es-ES"/>
        </w:rPr>
        <w:t xml:space="preserve">propicios que garanticen la accesibilidad </w:t>
      </w:r>
      <w:r w:rsidR="0046789F">
        <w:rPr>
          <w:lang w:val="es-ES"/>
        </w:rPr>
        <w:t>a</w:t>
      </w:r>
      <w:r w:rsidR="00823AB3" w:rsidRPr="00B237E2">
        <w:rPr>
          <w:lang w:val="es-ES"/>
        </w:rPr>
        <w:t xml:space="preserve"> las telecomunicaciones/TIC, de conformidad con </w:t>
      </w:r>
      <w:r w:rsidR="0046789F">
        <w:rPr>
          <w:lang w:val="es-ES"/>
        </w:rPr>
        <w:t>lo establecido en la</w:t>
      </w:r>
      <w:r w:rsidR="00823AB3" w:rsidRPr="00B237E2">
        <w:rPr>
          <w:lang w:val="es-ES"/>
        </w:rPr>
        <w:t xml:space="preserve"> Agenda Conectar 2030.</w:t>
      </w:r>
      <w:r w:rsidR="002F5CDE">
        <w:rPr>
          <w:lang w:val="es-ES"/>
        </w:rPr>
        <w:t xml:space="preserve"> </w:t>
      </w:r>
      <w:r w:rsidR="00823AB3" w:rsidRPr="00B237E2">
        <w:rPr>
          <w:lang w:val="es-ES"/>
        </w:rPr>
        <w:t xml:space="preserve">El UIT-D también ha promovido la ejecución de iniciativas regionales relacionadas con la accesibilidad </w:t>
      </w:r>
      <w:r w:rsidR="002F5CDE">
        <w:rPr>
          <w:lang w:val="es-ES"/>
        </w:rPr>
        <w:t>a</w:t>
      </w:r>
      <w:r w:rsidR="00823AB3" w:rsidRPr="00B237E2">
        <w:rPr>
          <w:lang w:val="es-ES"/>
        </w:rPr>
        <w:t xml:space="preserve"> las TIC, que incluyeron una serie de proyectos, cursos de formación y eventos, así como el apoyo a las administraciones de la UIT en casi todas las regiones, incluida la organización de la serie de eventos </w:t>
      </w:r>
      <w:r w:rsidR="00A6431C">
        <w:rPr>
          <w:lang w:val="es-ES"/>
        </w:rPr>
        <w:t xml:space="preserve">América </w:t>
      </w:r>
      <w:r w:rsidR="00FF4DBE">
        <w:rPr>
          <w:lang w:val="es-ES"/>
        </w:rPr>
        <w:t>Accesible</w:t>
      </w:r>
      <w:r w:rsidR="00A946CA">
        <w:rPr>
          <w:lang w:val="es-ES"/>
        </w:rPr>
        <w:t>, entre otros eventos sobre accesibilidad</w:t>
      </w:r>
      <w:r w:rsidR="00823AB3" w:rsidRPr="00B237E2">
        <w:rPr>
          <w:lang w:val="es-ES"/>
        </w:rPr>
        <w:t>.</w:t>
      </w:r>
      <w:r w:rsidR="00A946CA">
        <w:rPr>
          <w:lang w:val="es-ES"/>
        </w:rPr>
        <w:t xml:space="preserve"> En </w:t>
      </w:r>
      <w:hyperlink r:id="rId170" w:history="1">
        <w:r w:rsidR="00A946CA" w:rsidRPr="00A6431C">
          <w:rPr>
            <w:rStyle w:val="Hyperlink"/>
            <w:lang w:val="es-ES"/>
          </w:rPr>
          <w:t>esta página</w:t>
        </w:r>
      </w:hyperlink>
      <w:r w:rsidR="00A946CA">
        <w:rPr>
          <w:lang w:val="es-ES"/>
        </w:rPr>
        <w:t xml:space="preserve"> se proporciona información suplementaria.</w:t>
      </w:r>
    </w:p>
    <w:p w14:paraId="3666CE5A" w14:textId="22B46C29" w:rsidR="000A04CF" w:rsidRPr="00B237E2" w:rsidRDefault="00A946CA" w:rsidP="00E124B0">
      <w:pPr>
        <w:rPr>
          <w:lang w:val="es-ES"/>
        </w:rPr>
      </w:pPr>
      <w:r>
        <w:rPr>
          <w:lang w:val="es-ES"/>
        </w:rPr>
        <w:t>Con respecto a la segunda esfera</w:t>
      </w:r>
      <w:r w:rsidR="00823AB3" w:rsidRPr="00B237E2">
        <w:rPr>
          <w:lang w:val="es-ES"/>
        </w:rPr>
        <w:t xml:space="preserve">, la UIT ha </w:t>
      </w:r>
      <w:r>
        <w:rPr>
          <w:lang w:val="es-ES"/>
        </w:rPr>
        <w:t>avanzado</w:t>
      </w:r>
      <w:r w:rsidR="00823AB3" w:rsidRPr="00B237E2">
        <w:rPr>
          <w:lang w:val="es-ES"/>
        </w:rPr>
        <w:t xml:space="preserve"> en la aplicación de su Política de Accesibilidad, que el Consejo de la Unión aprobó en 2013.</w:t>
      </w:r>
    </w:p>
    <w:p w14:paraId="2281EA5F" w14:textId="7D8706B3" w:rsidR="000A04CF" w:rsidRPr="00B237E2" w:rsidRDefault="00E30A22" w:rsidP="00E124B0">
      <w:pPr>
        <w:rPr>
          <w:lang w:val="es-ES"/>
        </w:rPr>
      </w:pPr>
      <w:r>
        <w:rPr>
          <w:lang w:val="es-ES"/>
        </w:rPr>
        <w:t>La labor</w:t>
      </w:r>
      <w:r w:rsidRPr="00E30A22">
        <w:rPr>
          <w:lang w:val="es-ES"/>
        </w:rPr>
        <w:t xml:space="preserve"> de la UIT en materia de accesibilidad incluye eventos regionales, </w:t>
      </w:r>
      <w:r>
        <w:rPr>
          <w:lang w:val="es-ES"/>
        </w:rPr>
        <w:t xml:space="preserve">la </w:t>
      </w:r>
      <w:r w:rsidRPr="00E30A22">
        <w:rPr>
          <w:lang w:val="es-ES"/>
        </w:rPr>
        <w:t xml:space="preserve">evaluación de la accesibilidad </w:t>
      </w:r>
      <w:r>
        <w:rPr>
          <w:lang w:val="es-ES"/>
        </w:rPr>
        <w:t>a</w:t>
      </w:r>
      <w:r w:rsidRPr="00E30A22">
        <w:rPr>
          <w:lang w:val="es-ES"/>
        </w:rPr>
        <w:t xml:space="preserve"> las TIC y la publicación de nuevos recursos y manuales. La UIT ha elaborado material de capacitación para promover la adopción de soluciones accesibles, incluidos 15</w:t>
      </w:r>
      <w:r w:rsidR="00A6431C">
        <w:rPr>
          <w:lang w:val="es-ES"/>
        </w:rPr>
        <w:t> </w:t>
      </w:r>
      <w:r w:rsidRPr="00E30A22">
        <w:rPr>
          <w:lang w:val="es-ES"/>
        </w:rPr>
        <w:t xml:space="preserve">tutoriales en vídeo sobre el desarrollo y </w:t>
      </w:r>
      <w:r>
        <w:rPr>
          <w:lang w:val="es-ES"/>
        </w:rPr>
        <w:t>la adaptación</w:t>
      </w:r>
      <w:r w:rsidRPr="00E30A22">
        <w:rPr>
          <w:lang w:val="es-ES"/>
        </w:rPr>
        <w:t xml:space="preserve"> de contenido digital accesible</w:t>
      </w:r>
      <w:r w:rsidR="000A04CF" w:rsidRPr="00B237E2">
        <w:rPr>
          <w:lang w:val="es-ES"/>
        </w:rPr>
        <w:t>.</w:t>
      </w:r>
    </w:p>
    <w:p w14:paraId="57EE9ED7" w14:textId="1BB1F112" w:rsidR="000A04CF" w:rsidRPr="00334C5E" w:rsidRDefault="006C2C92">
      <w:pPr>
        <w:rPr>
          <w:lang w:val="es-ES"/>
        </w:rPr>
      </w:pPr>
      <w:r w:rsidRPr="00334C5E">
        <w:rPr>
          <w:lang w:val="es-ES"/>
        </w:rPr>
        <w:t>A continuación se enumeran varias actividades al respecto</w:t>
      </w:r>
      <w:r w:rsidR="000A04CF" w:rsidRPr="00EB7F22">
        <w:rPr>
          <w:lang w:val="es-ES"/>
        </w:rPr>
        <w:t>.</w:t>
      </w:r>
    </w:p>
    <w:p w14:paraId="147A07EC" w14:textId="2264E109" w:rsidR="0045605C" w:rsidRPr="000E2FCF" w:rsidRDefault="0045605C" w:rsidP="000E2FCF">
      <w:pPr>
        <w:keepNext/>
        <w:keepLines/>
        <w:rPr>
          <w:u w:val="single"/>
          <w:lang w:val="es-ES"/>
        </w:rPr>
      </w:pPr>
      <w:r w:rsidRPr="000E2FCF">
        <w:rPr>
          <w:u w:val="single"/>
          <w:lang w:val="es-ES"/>
        </w:rPr>
        <w:t>Plataformas y foros regionales de la UIT para el desarrollo de conocimientos</w:t>
      </w:r>
    </w:p>
    <w:p w14:paraId="01D613A6" w14:textId="6AF559A3" w:rsidR="0045605C" w:rsidRPr="0045605C" w:rsidRDefault="0045605C" w:rsidP="0045605C">
      <w:pPr>
        <w:rPr>
          <w:lang w:val="es-ES"/>
        </w:rPr>
      </w:pPr>
      <w:r>
        <w:rPr>
          <w:lang w:val="es-ES"/>
        </w:rPr>
        <w:t>L</w:t>
      </w:r>
      <w:r w:rsidRPr="0045605C">
        <w:rPr>
          <w:lang w:val="es-ES"/>
        </w:rPr>
        <w:t xml:space="preserve">a UIT ha organizado </w:t>
      </w:r>
      <w:r>
        <w:rPr>
          <w:lang w:val="es-ES"/>
        </w:rPr>
        <w:t xml:space="preserve">varios </w:t>
      </w:r>
      <w:r w:rsidRPr="0045605C">
        <w:rPr>
          <w:lang w:val="es-ES"/>
        </w:rPr>
        <w:t xml:space="preserve">eventos regionales que permiten a </w:t>
      </w:r>
      <w:r>
        <w:rPr>
          <w:lang w:val="es-ES"/>
        </w:rPr>
        <w:t>sus</w:t>
      </w:r>
      <w:r w:rsidRPr="0045605C">
        <w:rPr>
          <w:lang w:val="es-ES"/>
        </w:rPr>
        <w:t xml:space="preserve"> Miembros</w:t>
      </w:r>
      <w:r>
        <w:rPr>
          <w:lang w:val="es-ES"/>
        </w:rPr>
        <w:t>, entre otras partes</w:t>
      </w:r>
      <w:r w:rsidRPr="0045605C">
        <w:rPr>
          <w:lang w:val="es-ES"/>
        </w:rPr>
        <w:t xml:space="preserve"> interesadas</w:t>
      </w:r>
      <w:r>
        <w:rPr>
          <w:lang w:val="es-ES"/>
        </w:rPr>
        <w:t>,</w:t>
      </w:r>
      <w:r w:rsidRPr="0045605C">
        <w:rPr>
          <w:lang w:val="es-ES"/>
        </w:rPr>
        <w:t xml:space="preserve"> compartir </w:t>
      </w:r>
      <w:r>
        <w:rPr>
          <w:lang w:val="es-ES"/>
        </w:rPr>
        <w:t xml:space="preserve">información sobre </w:t>
      </w:r>
      <w:r w:rsidRPr="0045605C">
        <w:rPr>
          <w:lang w:val="es-ES"/>
        </w:rPr>
        <w:t>prácticas</w:t>
      </w:r>
      <w:r>
        <w:rPr>
          <w:lang w:val="es-ES"/>
        </w:rPr>
        <w:t xml:space="preserve"> idóneas y retos</w:t>
      </w:r>
      <w:r w:rsidRPr="0045605C">
        <w:rPr>
          <w:lang w:val="es-ES"/>
        </w:rPr>
        <w:t xml:space="preserve">, y </w:t>
      </w:r>
      <w:r w:rsidR="00CB24F1">
        <w:rPr>
          <w:lang w:val="es-ES"/>
        </w:rPr>
        <w:t>contribuir al desarrollo de</w:t>
      </w:r>
      <w:r w:rsidRPr="0045605C">
        <w:rPr>
          <w:lang w:val="es-ES"/>
        </w:rPr>
        <w:t xml:space="preserve"> sociedades inclusivas </w:t>
      </w:r>
      <w:r w:rsidR="00CB24F1">
        <w:rPr>
          <w:lang w:val="es-ES"/>
        </w:rPr>
        <w:t>en el plano digital en esas</w:t>
      </w:r>
      <w:r w:rsidRPr="0045605C">
        <w:rPr>
          <w:lang w:val="es-ES"/>
        </w:rPr>
        <w:t xml:space="preserve"> regiones.</w:t>
      </w:r>
    </w:p>
    <w:p w14:paraId="0CBC664A" w14:textId="06731C7F" w:rsidR="0045605C" w:rsidRPr="0045605C" w:rsidRDefault="0045605C" w:rsidP="0045605C">
      <w:pPr>
        <w:rPr>
          <w:lang w:val="es-ES"/>
        </w:rPr>
      </w:pPr>
      <w:r w:rsidRPr="0045605C">
        <w:rPr>
          <w:lang w:val="es-ES"/>
        </w:rPr>
        <w:t xml:space="preserve">A continuación se detallan otros eventos </w:t>
      </w:r>
      <w:r w:rsidR="00CB24F1">
        <w:rPr>
          <w:lang w:val="es-ES"/>
        </w:rPr>
        <w:t>a escala regional</w:t>
      </w:r>
      <w:r w:rsidRPr="0045605C">
        <w:rPr>
          <w:lang w:val="es-ES"/>
        </w:rPr>
        <w:t>.</w:t>
      </w:r>
    </w:p>
    <w:p w14:paraId="32ACEFB4" w14:textId="6DAD8F41" w:rsidR="0045605C" w:rsidRPr="0045605C" w:rsidRDefault="0045605C" w:rsidP="0045605C">
      <w:pPr>
        <w:rPr>
          <w:lang w:val="es-ES"/>
        </w:rPr>
      </w:pPr>
      <w:r w:rsidRPr="0045605C">
        <w:rPr>
          <w:lang w:val="es-ES"/>
        </w:rPr>
        <w:t xml:space="preserve">ASP accesible: </w:t>
      </w:r>
      <w:r w:rsidR="00CB24F1">
        <w:rPr>
          <w:lang w:val="es-ES"/>
        </w:rPr>
        <w:t>d</w:t>
      </w:r>
      <w:r w:rsidRPr="0045605C">
        <w:rPr>
          <w:lang w:val="es-ES"/>
        </w:rPr>
        <w:t xml:space="preserve">iálogo regional sobre la transformación digital: </w:t>
      </w:r>
      <w:r w:rsidR="00CB24F1">
        <w:rPr>
          <w:lang w:val="es-ES"/>
        </w:rPr>
        <w:t>fomento del desarrollo inclusivo y sostenible;</w:t>
      </w:r>
      <w:r w:rsidRPr="0045605C">
        <w:rPr>
          <w:lang w:val="es-ES"/>
        </w:rPr>
        <w:t xml:space="preserve"> evento virtual, 2021.</w:t>
      </w:r>
    </w:p>
    <w:p w14:paraId="27609729" w14:textId="5CCB3F04" w:rsidR="000A04CF" w:rsidRPr="00FF4DBE" w:rsidRDefault="00AF6115" w:rsidP="00630340">
      <w:pPr>
        <w:keepNext/>
        <w:keepLines/>
        <w:rPr>
          <w:lang w:val="es-ES"/>
        </w:rPr>
      </w:pPr>
      <w:hyperlink r:id="rId171" w:history="1">
        <w:r w:rsidR="0045605C" w:rsidRPr="00A6431C">
          <w:rPr>
            <w:rStyle w:val="Hyperlink"/>
            <w:lang w:val="es-ES"/>
          </w:rPr>
          <w:t xml:space="preserve">Región Árabe </w:t>
        </w:r>
        <w:r w:rsidR="00FF4DBE" w:rsidRPr="00A6431C">
          <w:rPr>
            <w:rStyle w:val="Hyperlink"/>
            <w:lang w:val="es-ES"/>
          </w:rPr>
          <w:t>A</w:t>
        </w:r>
        <w:r w:rsidR="0045605C" w:rsidRPr="00A6431C">
          <w:rPr>
            <w:rStyle w:val="Hyperlink"/>
            <w:lang w:val="es-ES"/>
          </w:rPr>
          <w:t xml:space="preserve">ccesible: TIC para </w:t>
        </w:r>
        <w:r w:rsidR="00A6431C" w:rsidRPr="00A6431C">
          <w:rPr>
            <w:rStyle w:val="Hyperlink"/>
            <w:lang w:val="es-ES"/>
          </w:rPr>
          <w:t>TODOS</w:t>
        </w:r>
      </w:hyperlink>
      <w:r w:rsidR="0045605C" w:rsidRPr="0045605C">
        <w:rPr>
          <w:lang w:val="es-ES"/>
        </w:rPr>
        <w:t xml:space="preserve">, Egipto, 2021, en colaboración con la CESPAO. Los participantes identificaron </w:t>
      </w:r>
      <w:r w:rsidR="007B424A">
        <w:rPr>
          <w:lang w:val="es-ES"/>
        </w:rPr>
        <w:t xml:space="preserve">diversas </w:t>
      </w:r>
      <w:r w:rsidR="0045605C" w:rsidRPr="0045605C">
        <w:rPr>
          <w:lang w:val="es-ES"/>
        </w:rPr>
        <w:t xml:space="preserve">formas de avanzar en la implementación e integración de la accesibilidad digital, </w:t>
      </w:r>
      <w:r w:rsidR="007B424A">
        <w:rPr>
          <w:lang w:val="es-ES"/>
        </w:rPr>
        <w:t xml:space="preserve">a fin de poner de manifiesto el modo en que </w:t>
      </w:r>
      <w:r w:rsidR="0045605C" w:rsidRPr="0045605C">
        <w:rPr>
          <w:lang w:val="es-ES"/>
        </w:rPr>
        <w:t>la tecnología puede garantizar la inclusión y el empoderamiento de todos</w:t>
      </w:r>
      <w:r w:rsidR="000A04CF" w:rsidRPr="00FF4DBE">
        <w:rPr>
          <w:lang w:val="es-ES"/>
        </w:rPr>
        <w:t>.</w:t>
      </w:r>
    </w:p>
    <w:p w14:paraId="047BAD2E" w14:textId="5763B595" w:rsidR="007B424A" w:rsidRPr="00334C5E" w:rsidRDefault="00AF6115" w:rsidP="007B424A">
      <w:pPr>
        <w:rPr>
          <w:lang w:val="es-ES"/>
        </w:rPr>
      </w:pPr>
      <w:hyperlink r:id="rId172" w:history="1">
        <w:r w:rsidR="007B424A" w:rsidRPr="00FF4DBE">
          <w:rPr>
            <w:rStyle w:val="Hyperlink"/>
            <w:lang w:val="es-ES"/>
          </w:rPr>
          <w:t xml:space="preserve">América </w:t>
        </w:r>
        <w:r w:rsidR="00FF4DBE" w:rsidRPr="00FF4DBE">
          <w:rPr>
            <w:rStyle w:val="Hyperlink"/>
            <w:lang w:val="es-ES"/>
          </w:rPr>
          <w:t>A</w:t>
        </w:r>
        <w:r w:rsidR="007B424A" w:rsidRPr="00FF4DBE">
          <w:rPr>
            <w:rStyle w:val="Hyperlink"/>
            <w:lang w:val="es-ES"/>
          </w:rPr>
          <w:t xml:space="preserve">ccesible: TIC para </w:t>
        </w:r>
        <w:r w:rsidR="00FF4DBE" w:rsidRPr="00FF4DBE">
          <w:rPr>
            <w:rStyle w:val="Hyperlink"/>
            <w:lang w:val="es-ES"/>
          </w:rPr>
          <w:t>TODOS</w:t>
        </w:r>
      </w:hyperlink>
      <w:r w:rsidR="007B424A" w:rsidRPr="00334C5E">
        <w:rPr>
          <w:lang w:val="es-ES"/>
        </w:rPr>
        <w:t>, Cuba</w:t>
      </w:r>
      <w:r w:rsidR="00FF4DBE">
        <w:rPr>
          <w:lang w:val="es-ES"/>
        </w:rPr>
        <w:t>,</w:t>
      </w:r>
      <w:r w:rsidR="007B424A" w:rsidRPr="00334C5E">
        <w:rPr>
          <w:lang w:val="es-ES"/>
        </w:rPr>
        <w:t xml:space="preserve"> 2021, </w:t>
      </w:r>
      <w:r w:rsidR="00305A82" w:rsidRPr="00334C5E">
        <w:rPr>
          <w:lang w:val="es-ES"/>
        </w:rPr>
        <w:t xml:space="preserve">que </w:t>
      </w:r>
      <w:r w:rsidR="007B424A" w:rsidRPr="00334C5E">
        <w:rPr>
          <w:lang w:val="es-ES"/>
        </w:rPr>
        <w:t xml:space="preserve">incluyó debates con los responsables políticos y las partes interesadas sobre las TIC y la accesibilidad digital en el contexto de </w:t>
      </w:r>
      <w:r w:rsidR="00305A82" w:rsidRPr="00334C5E">
        <w:rPr>
          <w:lang w:val="es-ES"/>
        </w:rPr>
        <w:t>la</w:t>
      </w:r>
      <w:r w:rsidR="00FF4DBE">
        <w:rPr>
          <w:lang w:val="es-ES"/>
        </w:rPr>
        <w:t> </w:t>
      </w:r>
      <w:r w:rsidR="007B424A" w:rsidRPr="00334C5E">
        <w:rPr>
          <w:lang w:val="es-ES"/>
        </w:rPr>
        <w:t>COVID</w:t>
      </w:r>
      <w:r w:rsidR="00FF4DBE">
        <w:rPr>
          <w:lang w:val="es-ES"/>
        </w:rPr>
        <w:noBreakHyphen/>
      </w:r>
      <w:r w:rsidR="007B424A" w:rsidRPr="00334C5E">
        <w:rPr>
          <w:lang w:val="es-ES"/>
        </w:rPr>
        <w:t>19.</w:t>
      </w:r>
    </w:p>
    <w:p w14:paraId="17AF75FC" w14:textId="7A6B8DB5" w:rsidR="007B424A" w:rsidRPr="00334C5E" w:rsidRDefault="00AF6115" w:rsidP="007B424A">
      <w:pPr>
        <w:rPr>
          <w:lang w:val="es-ES"/>
        </w:rPr>
      </w:pPr>
      <w:hyperlink r:id="rId173" w:history="1">
        <w:r w:rsidR="007B424A" w:rsidRPr="00FF4DBE">
          <w:rPr>
            <w:rStyle w:val="Hyperlink"/>
            <w:lang w:val="es-ES"/>
          </w:rPr>
          <w:t xml:space="preserve">África </w:t>
        </w:r>
        <w:r w:rsidR="00FF4DBE" w:rsidRPr="00FF4DBE">
          <w:rPr>
            <w:rStyle w:val="Hyperlink"/>
            <w:lang w:val="es-ES"/>
          </w:rPr>
          <w:t>A</w:t>
        </w:r>
        <w:r w:rsidR="007B424A" w:rsidRPr="00FF4DBE">
          <w:rPr>
            <w:rStyle w:val="Hyperlink"/>
            <w:lang w:val="es-ES"/>
          </w:rPr>
          <w:t>ccesible</w:t>
        </w:r>
      </w:hyperlink>
      <w:r w:rsidR="007B424A" w:rsidRPr="00334C5E">
        <w:rPr>
          <w:lang w:val="es-ES"/>
        </w:rPr>
        <w:t xml:space="preserve">, </w:t>
      </w:r>
      <w:r w:rsidR="00305A82" w:rsidRPr="00334C5E">
        <w:rPr>
          <w:lang w:val="es-ES"/>
        </w:rPr>
        <w:t xml:space="preserve">evento </w:t>
      </w:r>
      <w:r w:rsidR="007B424A" w:rsidRPr="00334C5E">
        <w:rPr>
          <w:lang w:val="es-ES"/>
        </w:rPr>
        <w:t xml:space="preserve">virtual, 2021. Cinco talleres interactivos en línea para </w:t>
      </w:r>
      <w:r w:rsidR="00305A82" w:rsidRPr="00334C5E">
        <w:rPr>
          <w:lang w:val="es-ES"/>
        </w:rPr>
        <w:t>fortalecer</w:t>
      </w:r>
      <w:r w:rsidR="007B424A" w:rsidRPr="00334C5E">
        <w:rPr>
          <w:lang w:val="es-ES"/>
        </w:rPr>
        <w:t xml:space="preserve"> la capacidad de 175 </w:t>
      </w:r>
      <w:r w:rsidR="00305A82" w:rsidRPr="00334C5E">
        <w:rPr>
          <w:lang w:val="es-ES"/>
        </w:rPr>
        <w:t>coordinadores</w:t>
      </w:r>
      <w:r w:rsidR="007B424A" w:rsidRPr="00334C5E">
        <w:rPr>
          <w:lang w:val="es-ES"/>
        </w:rPr>
        <w:t xml:space="preserve"> </w:t>
      </w:r>
      <w:r w:rsidR="00305A82" w:rsidRPr="00334C5E">
        <w:rPr>
          <w:lang w:val="es-ES"/>
        </w:rPr>
        <w:t>a escala regional</w:t>
      </w:r>
      <w:r w:rsidR="007B424A" w:rsidRPr="00334C5E">
        <w:rPr>
          <w:lang w:val="es-ES"/>
        </w:rPr>
        <w:t xml:space="preserve"> de 42 países </w:t>
      </w:r>
      <w:r w:rsidR="00305A82" w:rsidRPr="00334C5E">
        <w:rPr>
          <w:lang w:val="es-ES"/>
        </w:rPr>
        <w:t>de África</w:t>
      </w:r>
      <w:r w:rsidR="007B424A" w:rsidRPr="00334C5E">
        <w:rPr>
          <w:lang w:val="es-ES"/>
        </w:rPr>
        <w:t xml:space="preserve"> en materia de</w:t>
      </w:r>
      <w:r w:rsidR="00FF4DBE">
        <w:rPr>
          <w:lang w:val="es-ES"/>
        </w:rPr>
        <w:t> </w:t>
      </w:r>
      <w:r w:rsidR="007B424A" w:rsidRPr="00334C5E">
        <w:rPr>
          <w:lang w:val="es-ES"/>
        </w:rPr>
        <w:t>TIC/accesibilidad digital.</w:t>
      </w:r>
    </w:p>
    <w:p w14:paraId="414E07D5" w14:textId="273F9170" w:rsidR="007B424A" w:rsidRPr="00334C5E" w:rsidRDefault="00AF6115" w:rsidP="007B424A">
      <w:pPr>
        <w:rPr>
          <w:lang w:val="es-ES"/>
        </w:rPr>
      </w:pPr>
      <w:hyperlink r:id="rId174" w:history="1">
        <w:r w:rsidR="007B424A" w:rsidRPr="00FF4DBE">
          <w:rPr>
            <w:rStyle w:val="Hyperlink"/>
            <w:lang w:val="es-ES"/>
          </w:rPr>
          <w:t xml:space="preserve">Europa </w:t>
        </w:r>
        <w:r w:rsidR="00FF4DBE" w:rsidRPr="00FF4DBE">
          <w:rPr>
            <w:rStyle w:val="Hyperlink"/>
            <w:lang w:val="es-ES"/>
          </w:rPr>
          <w:t>A</w:t>
        </w:r>
        <w:r w:rsidR="007B424A" w:rsidRPr="00FF4DBE">
          <w:rPr>
            <w:rStyle w:val="Hyperlink"/>
            <w:lang w:val="es-ES"/>
          </w:rPr>
          <w:t xml:space="preserve">ccesible: TIC para </w:t>
        </w:r>
        <w:r w:rsidR="00FF4DBE" w:rsidRPr="00FF4DBE">
          <w:rPr>
            <w:rStyle w:val="Hyperlink"/>
            <w:lang w:val="es-ES"/>
          </w:rPr>
          <w:t xml:space="preserve">TODOS </w:t>
        </w:r>
        <w:r w:rsidR="007B424A" w:rsidRPr="00FF4DBE">
          <w:rPr>
            <w:rStyle w:val="Hyperlink"/>
            <w:lang w:val="es-ES"/>
          </w:rPr>
          <w:t>2021</w:t>
        </w:r>
      </w:hyperlink>
      <w:r w:rsidR="007B424A" w:rsidRPr="00334C5E">
        <w:rPr>
          <w:lang w:val="es-ES"/>
        </w:rPr>
        <w:t xml:space="preserve">, </w:t>
      </w:r>
      <w:r w:rsidR="00305A82" w:rsidRPr="00334C5E">
        <w:rPr>
          <w:lang w:val="es-ES"/>
        </w:rPr>
        <w:t xml:space="preserve">evento </w:t>
      </w:r>
      <w:r w:rsidR="007B424A" w:rsidRPr="00334C5E">
        <w:rPr>
          <w:lang w:val="es-ES"/>
        </w:rPr>
        <w:t>virtual, 2021. Más de 240 participantes de más de 40</w:t>
      </w:r>
      <w:r w:rsidR="00FF4DBE">
        <w:rPr>
          <w:lang w:val="es-ES"/>
        </w:rPr>
        <w:t> </w:t>
      </w:r>
      <w:r w:rsidR="007B424A" w:rsidRPr="00334C5E">
        <w:rPr>
          <w:lang w:val="es-ES"/>
        </w:rPr>
        <w:t xml:space="preserve">países debatieron cómo </w:t>
      </w:r>
      <w:r w:rsidR="000A50F5" w:rsidRPr="00334C5E">
        <w:rPr>
          <w:lang w:val="es-ES"/>
        </w:rPr>
        <w:t>superar las dificultades al respecto</w:t>
      </w:r>
      <w:r w:rsidR="007B424A" w:rsidRPr="00334C5E">
        <w:rPr>
          <w:lang w:val="es-ES"/>
        </w:rPr>
        <w:t xml:space="preserve">, </w:t>
      </w:r>
      <w:r w:rsidR="000A50F5" w:rsidRPr="00334C5E">
        <w:rPr>
          <w:lang w:val="es-ES"/>
        </w:rPr>
        <w:t>a fin de facilitar</w:t>
      </w:r>
      <w:r w:rsidR="007B424A" w:rsidRPr="00334C5E">
        <w:rPr>
          <w:lang w:val="es-ES"/>
        </w:rPr>
        <w:t xml:space="preserve"> la inclusión social de las personas con discapacidad, a través de la cooperación, programas y </w:t>
      </w:r>
      <w:r w:rsidR="000A50F5" w:rsidRPr="00334C5E">
        <w:rPr>
          <w:lang w:val="es-ES"/>
        </w:rPr>
        <w:t>actividades de</w:t>
      </w:r>
      <w:r w:rsidR="007B424A" w:rsidRPr="00334C5E">
        <w:rPr>
          <w:lang w:val="es-ES"/>
        </w:rPr>
        <w:t xml:space="preserve"> formación.</w:t>
      </w:r>
    </w:p>
    <w:p w14:paraId="698F5490" w14:textId="466B7C4C" w:rsidR="007B424A" w:rsidRPr="00334C5E" w:rsidRDefault="007B424A" w:rsidP="007B424A">
      <w:pPr>
        <w:rPr>
          <w:lang w:val="es-ES"/>
        </w:rPr>
      </w:pPr>
      <w:r w:rsidRPr="00334C5E">
        <w:rPr>
          <w:lang w:val="es-ES"/>
        </w:rPr>
        <w:t xml:space="preserve">CEI </w:t>
      </w:r>
      <w:r w:rsidR="00FF4DBE" w:rsidRPr="00334C5E">
        <w:rPr>
          <w:lang w:val="es-ES"/>
        </w:rPr>
        <w:t>A</w:t>
      </w:r>
      <w:r w:rsidRPr="00334C5E">
        <w:rPr>
          <w:lang w:val="es-ES"/>
        </w:rPr>
        <w:t>ccesible: en 2021, la región de la CEI ha mostrado un mayor interés en la implementación de</w:t>
      </w:r>
      <w:r w:rsidR="000A50F5" w:rsidRPr="00334C5E">
        <w:rPr>
          <w:lang w:val="es-ES"/>
        </w:rPr>
        <w:t xml:space="preserve"> actividades de</w:t>
      </w:r>
      <w:r w:rsidRPr="00334C5E">
        <w:rPr>
          <w:lang w:val="es-ES"/>
        </w:rPr>
        <w:t xml:space="preserve"> accesibilidad de las TIC para </w:t>
      </w:r>
      <w:r w:rsidR="000A50F5" w:rsidRPr="00334C5E">
        <w:rPr>
          <w:lang w:val="es-ES"/>
        </w:rPr>
        <w:t>fomentar un empoderamiento digital en pie de</w:t>
      </w:r>
      <w:r w:rsidRPr="00334C5E">
        <w:rPr>
          <w:lang w:val="es-ES"/>
        </w:rPr>
        <w:t xml:space="preserve"> igualdad a través de las TIC.</w:t>
      </w:r>
    </w:p>
    <w:p w14:paraId="3AABFE84" w14:textId="658DB375" w:rsidR="007B424A" w:rsidRPr="000E2FCF" w:rsidRDefault="007B424A" w:rsidP="000E2FCF">
      <w:pPr>
        <w:keepNext/>
        <w:keepLines/>
        <w:rPr>
          <w:u w:val="single"/>
          <w:lang w:val="es-ES"/>
        </w:rPr>
      </w:pPr>
      <w:r w:rsidRPr="000E2FCF">
        <w:rPr>
          <w:u w:val="single"/>
          <w:lang w:val="es-ES"/>
        </w:rPr>
        <w:t>Evaluación y seguimiento de la aplicación de l</w:t>
      </w:r>
      <w:r w:rsidR="000A50F5" w:rsidRPr="000E2FCF">
        <w:rPr>
          <w:u w:val="single"/>
          <w:lang w:val="es-ES"/>
        </w:rPr>
        <w:t>as actividades de</w:t>
      </w:r>
      <w:r w:rsidRPr="000E2FCF">
        <w:rPr>
          <w:u w:val="single"/>
          <w:lang w:val="es-ES"/>
        </w:rPr>
        <w:t xml:space="preserve"> accesibilidad de las TIC</w:t>
      </w:r>
    </w:p>
    <w:p w14:paraId="734FDE80" w14:textId="15692975" w:rsidR="007B424A" w:rsidRPr="00334C5E" w:rsidRDefault="00AF6115" w:rsidP="007B424A">
      <w:pPr>
        <w:rPr>
          <w:lang w:val="es-ES"/>
        </w:rPr>
      </w:pPr>
      <w:hyperlink r:id="rId175" w:history="1">
        <w:r w:rsidR="0036135F" w:rsidRPr="009C1E70">
          <w:rPr>
            <w:rStyle w:val="Hyperlink"/>
            <w:i/>
            <w:iCs/>
            <w:lang w:val="es-ES"/>
          </w:rPr>
          <w:t>Actividades de a</w:t>
        </w:r>
        <w:r w:rsidR="007B424A" w:rsidRPr="009C1E70">
          <w:rPr>
            <w:rStyle w:val="Hyperlink"/>
            <w:i/>
            <w:iCs/>
            <w:lang w:val="es-ES"/>
          </w:rPr>
          <w:t xml:space="preserve">utoevaluación </w:t>
        </w:r>
        <w:r w:rsidR="0036135F" w:rsidRPr="009C1E70">
          <w:rPr>
            <w:rStyle w:val="Hyperlink"/>
            <w:i/>
            <w:iCs/>
            <w:lang w:val="es-ES"/>
          </w:rPr>
          <w:t>en</w:t>
        </w:r>
        <w:r w:rsidR="007B424A" w:rsidRPr="009C1E70">
          <w:rPr>
            <w:rStyle w:val="Hyperlink"/>
            <w:i/>
            <w:iCs/>
            <w:lang w:val="es-ES"/>
          </w:rPr>
          <w:t xml:space="preserve"> la UIT y conjunto de herramientas para la implementación de la accesibilidad a las TIC:</w:t>
        </w:r>
        <w:r w:rsidR="0036135F" w:rsidRPr="009C1E70">
          <w:rPr>
            <w:rStyle w:val="Hyperlink"/>
            <w:i/>
            <w:iCs/>
            <w:lang w:val="es-ES"/>
          </w:rPr>
          <w:t xml:space="preserve"> establecimiento de</w:t>
        </w:r>
        <w:r w:rsidR="007B424A" w:rsidRPr="009C1E70">
          <w:rPr>
            <w:rStyle w:val="Hyperlink"/>
            <w:i/>
            <w:iCs/>
            <w:lang w:val="es-ES"/>
          </w:rPr>
          <w:t xml:space="preserve"> comunidades digitales inclusivas</w:t>
        </w:r>
      </w:hyperlink>
      <w:r w:rsidR="007B424A" w:rsidRPr="00334C5E">
        <w:rPr>
          <w:lang w:val="es-ES"/>
        </w:rPr>
        <w:t xml:space="preserve">. Este recurso </w:t>
      </w:r>
      <w:r w:rsidR="0036135F" w:rsidRPr="00334C5E">
        <w:rPr>
          <w:lang w:val="es-ES"/>
        </w:rPr>
        <w:t>permite asistir</w:t>
      </w:r>
      <w:r w:rsidR="007B424A" w:rsidRPr="00334C5E">
        <w:rPr>
          <w:lang w:val="es-ES"/>
        </w:rPr>
        <w:t xml:space="preserve"> a todos los miembros de la UIT, responsables políticos y partes interesadas en </w:t>
      </w:r>
      <w:r w:rsidR="0036135F" w:rsidRPr="00334C5E">
        <w:rPr>
          <w:lang w:val="es-ES"/>
        </w:rPr>
        <w:t>el establecimiento de</w:t>
      </w:r>
      <w:r w:rsidR="007B424A" w:rsidRPr="00334C5E">
        <w:rPr>
          <w:lang w:val="es-ES"/>
        </w:rPr>
        <w:t xml:space="preserve"> comunidades digitales inclusivas. También permite a los países y </w:t>
      </w:r>
      <w:r w:rsidR="0036135F" w:rsidRPr="00334C5E">
        <w:rPr>
          <w:lang w:val="es-ES"/>
        </w:rPr>
        <w:t xml:space="preserve">a las </w:t>
      </w:r>
      <w:r w:rsidR="007B424A" w:rsidRPr="00334C5E">
        <w:rPr>
          <w:lang w:val="es-ES"/>
        </w:rPr>
        <w:t xml:space="preserve">organizaciones autoevaluarse, </w:t>
      </w:r>
      <w:r w:rsidR="0036135F" w:rsidRPr="00334C5E">
        <w:rPr>
          <w:lang w:val="es-ES"/>
        </w:rPr>
        <w:t>a fin de obtener</w:t>
      </w:r>
      <w:r w:rsidR="007B424A" w:rsidRPr="00334C5E">
        <w:rPr>
          <w:lang w:val="es-ES"/>
        </w:rPr>
        <w:t xml:space="preserve"> una visión general inmediata del </w:t>
      </w:r>
      <w:r w:rsidR="00C57DC9" w:rsidRPr="00334C5E">
        <w:rPr>
          <w:lang w:val="es-ES"/>
        </w:rPr>
        <w:t>grado</w:t>
      </w:r>
      <w:r w:rsidR="007B424A" w:rsidRPr="00334C5E">
        <w:rPr>
          <w:lang w:val="es-ES"/>
        </w:rPr>
        <w:t xml:space="preserve"> de implementación de</w:t>
      </w:r>
      <w:r w:rsidR="00C57DC9" w:rsidRPr="00334C5E">
        <w:rPr>
          <w:lang w:val="es-ES"/>
        </w:rPr>
        <w:t xml:space="preserve"> actividades de</w:t>
      </w:r>
      <w:r w:rsidR="007B424A" w:rsidRPr="00334C5E">
        <w:rPr>
          <w:lang w:val="es-ES"/>
        </w:rPr>
        <w:t xml:space="preserve"> accesibilidad a las TIC.</w:t>
      </w:r>
    </w:p>
    <w:p w14:paraId="5A17B874" w14:textId="4AE29284" w:rsidR="007B424A" w:rsidRPr="00334C5E" w:rsidRDefault="00AF6115" w:rsidP="007B424A">
      <w:pPr>
        <w:rPr>
          <w:lang w:val="es-ES"/>
        </w:rPr>
      </w:pPr>
      <w:hyperlink r:id="rId176" w:history="1">
        <w:r w:rsidR="007B424A" w:rsidRPr="009C1E70">
          <w:rPr>
            <w:rStyle w:val="Hyperlink"/>
            <w:i/>
            <w:iCs/>
            <w:lang w:val="es-ES"/>
          </w:rPr>
          <w:t xml:space="preserve">Evaluación de la accesibilidad a las TIC en la </w:t>
        </w:r>
        <w:r w:rsidR="00FF4DBE" w:rsidRPr="009C1E70">
          <w:rPr>
            <w:rStyle w:val="Hyperlink"/>
            <w:i/>
            <w:iCs/>
            <w:lang w:val="es-ES"/>
          </w:rPr>
          <w:t xml:space="preserve">Región </w:t>
        </w:r>
        <w:r w:rsidR="007B424A" w:rsidRPr="009C1E70">
          <w:rPr>
            <w:rStyle w:val="Hyperlink"/>
            <w:i/>
            <w:iCs/>
            <w:lang w:val="es-ES"/>
          </w:rPr>
          <w:t>de Europa</w:t>
        </w:r>
      </w:hyperlink>
      <w:r w:rsidR="00C57DC9" w:rsidRPr="00334C5E">
        <w:rPr>
          <w:lang w:val="es-ES"/>
        </w:rPr>
        <w:t>:</w:t>
      </w:r>
      <w:r w:rsidR="007B424A" w:rsidRPr="00334C5E">
        <w:rPr>
          <w:lang w:val="es-ES"/>
        </w:rPr>
        <w:t xml:space="preserve"> </w:t>
      </w:r>
      <w:r w:rsidR="007B424A" w:rsidRPr="001B1357">
        <w:rPr>
          <w:lang w:val="es-ES"/>
        </w:rPr>
        <w:t>evaluación de la accesibilidad a las</w:t>
      </w:r>
      <w:r w:rsidR="00FF4DBE" w:rsidRPr="001B1357">
        <w:rPr>
          <w:lang w:val="es-ES"/>
        </w:rPr>
        <w:t> </w:t>
      </w:r>
      <w:r w:rsidR="007B424A" w:rsidRPr="001B1357">
        <w:rPr>
          <w:lang w:val="es-ES"/>
        </w:rPr>
        <w:t xml:space="preserve">TIC en la </w:t>
      </w:r>
      <w:r w:rsidR="009C1E70" w:rsidRPr="001B1357">
        <w:rPr>
          <w:lang w:val="es-ES"/>
        </w:rPr>
        <w:t xml:space="preserve">Región </w:t>
      </w:r>
      <w:r w:rsidR="007B424A" w:rsidRPr="001B1357">
        <w:rPr>
          <w:lang w:val="es-ES"/>
        </w:rPr>
        <w:t>de Europa</w:t>
      </w:r>
      <w:r w:rsidR="007B424A" w:rsidRPr="00334C5E">
        <w:rPr>
          <w:lang w:val="es-ES"/>
        </w:rPr>
        <w:t xml:space="preserve">. Véase también </w:t>
      </w:r>
      <w:r w:rsidR="007B424A" w:rsidRPr="009C1E70">
        <w:rPr>
          <w:i/>
          <w:iCs/>
          <w:lang w:val="es-ES"/>
        </w:rPr>
        <w:t>Evaluación de las políticas de accesibilidad digital de la</w:t>
      </w:r>
      <w:r w:rsidR="00FF4DBE" w:rsidRPr="009C1E70">
        <w:rPr>
          <w:i/>
          <w:iCs/>
          <w:lang w:val="es-ES"/>
        </w:rPr>
        <w:t> </w:t>
      </w:r>
      <w:r w:rsidR="007B424A" w:rsidRPr="009C1E70">
        <w:rPr>
          <w:i/>
          <w:iCs/>
          <w:lang w:val="es-ES"/>
        </w:rPr>
        <w:t>UIT en Serbia</w:t>
      </w:r>
      <w:r w:rsidR="007B424A" w:rsidRPr="00334C5E">
        <w:rPr>
          <w:lang w:val="es-ES"/>
        </w:rPr>
        <w:t>.</w:t>
      </w:r>
    </w:p>
    <w:p w14:paraId="5B0C1FF8" w14:textId="437C3B13" w:rsidR="007B424A" w:rsidRPr="000E2FCF" w:rsidRDefault="007B424A" w:rsidP="000E2FCF">
      <w:pPr>
        <w:keepNext/>
        <w:keepLines/>
        <w:rPr>
          <w:u w:val="single"/>
          <w:lang w:val="es-ES"/>
        </w:rPr>
      </w:pPr>
      <w:bookmarkStart w:id="103" w:name="_Hlk95736696"/>
      <w:r w:rsidRPr="001B1357">
        <w:rPr>
          <w:u w:val="single"/>
          <w:lang w:val="es-ES"/>
        </w:rPr>
        <w:t>Foro de la CMSI</w:t>
      </w:r>
      <w:bookmarkEnd w:id="103"/>
      <w:r w:rsidR="00DC0597" w:rsidRPr="001B1357">
        <w:rPr>
          <w:u w:val="single"/>
          <w:lang w:val="es-ES"/>
        </w:rPr>
        <w:t xml:space="preserve"> 2021</w:t>
      </w:r>
      <w:r w:rsidRPr="000E2FCF">
        <w:rPr>
          <w:u w:val="single"/>
          <w:lang w:val="es-ES"/>
        </w:rPr>
        <w:t xml:space="preserve">: </w:t>
      </w:r>
      <w:r w:rsidR="00C57DC9" w:rsidRPr="000E2FCF">
        <w:rPr>
          <w:u w:val="single"/>
          <w:lang w:val="es-ES"/>
        </w:rPr>
        <w:t>l</w:t>
      </w:r>
      <w:r w:rsidRPr="000E2FCF">
        <w:rPr>
          <w:u w:val="single"/>
          <w:lang w:val="es-ES"/>
        </w:rPr>
        <w:t xml:space="preserve">as TIC y la accesibilidad </w:t>
      </w:r>
      <w:r w:rsidR="00C57DC9" w:rsidRPr="000E2FCF">
        <w:rPr>
          <w:u w:val="single"/>
          <w:lang w:val="es-ES"/>
        </w:rPr>
        <w:t>de</w:t>
      </w:r>
      <w:r w:rsidRPr="000E2FCF">
        <w:rPr>
          <w:u w:val="single"/>
          <w:lang w:val="es-ES"/>
        </w:rPr>
        <w:t xml:space="preserve"> las personas con discapacidad y necesidades específicas</w:t>
      </w:r>
    </w:p>
    <w:p w14:paraId="7B334129" w14:textId="56A491DA" w:rsidR="007B424A" w:rsidRPr="00334C5E" w:rsidRDefault="007B424A" w:rsidP="007B424A">
      <w:pPr>
        <w:rPr>
          <w:lang w:val="es-ES"/>
        </w:rPr>
      </w:pPr>
      <w:r w:rsidRPr="00334C5E">
        <w:rPr>
          <w:lang w:val="es-ES"/>
        </w:rPr>
        <w:t xml:space="preserve">El </w:t>
      </w:r>
      <w:hyperlink r:id="rId177" w:history="1">
        <w:r w:rsidR="00DC0597">
          <w:rPr>
            <w:rStyle w:val="Hyperlink"/>
            <w:lang w:val="es-ES"/>
          </w:rPr>
          <w:t>Foro de la CMSI 2021</w:t>
        </w:r>
      </w:hyperlink>
      <w:r w:rsidRPr="00334C5E">
        <w:rPr>
          <w:lang w:val="es-ES"/>
        </w:rPr>
        <w:t xml:space="preserve"> </w:t>
      </w:r>
      <w:r w:rsidR="00B85305" w:rsidRPr="00334C5E">
        <w:rPr>
          <w:lang w:val="es-ES"/>
        </w:rPr>
        <w:t>trató sobre</w:t>
      </w:r>
      <w:r w:rsidRPr="00334C5E">
        <w:rPr>
          <w:lang w:val="es-ES"/>
        </w:rPr>
        <w:t xml:space="preserve"> </w:t>
      </w:r>
      <w:hyperlink r:id="rId178" w:history="1">
        <w:r w:rsidRPr="00D562C0">
          <w:rPr>
            <w:rStyle w:val="Hyperlink"/>
            <w:lang w:val="es-ES"/>
          </w:rPr>
          <w:t xml:space="preserve">las TIC y la accesibilidad </w:t>
        </w:r>
        <w:r w:rsidR="00C57DC9" w:rsidRPr="00D562C0">
          <w:rPr>
            <w:rStyle w:val="Hyperlink"/>
            <w:lang w:val="es-ES"/>
          </w:rPr>
          <w:t>de</w:t>
        </w:r>
        <w:r w:rsidRPr="00D562C0">
          <w:rPr>
            <w:rStyle w:val="Hyperlink"/>
            <w:lang w:val="es-ES"/>
          </w:rPr>
          <w:t xml:space="preserve"> las personas con discapacidad y necesidades específicas</w:t>
        </w:r>
      </w:hyperlink>
      <w:r w:rsidRPr="00334C5E">
        <w:rPr>
          <w:lang w:val="es-ES"/>
        </w:rPr>
        <w:t xml:space="preserve"> </w:t>
      </w:r>
      <w:r w:rsidR="00C57DC9" w:rsidRPr="00334C5E">
        <w:rPr>
          <w:lang w:val="es-ES"/>
        </w:rPr>
        <w:t>mediante la celebración de</w:t>
      </w:r>
      <w:r w:rsidRPr="00334C5E">
        <w:rPr>
          <w:lang w:val="es-ES"/>
        </w:rPr>
        <w:t xml:space="preserve"> talleres virtuales sobre tecnologías innovadoras, que reunieron a expertos y partes interesadas </w:t>
      </w:r>
      <w:r w:rsidR="00B85305" w:rsidRPr="00334C5E">
        <w:rPr>
          <w:lang w:val="es-ES"/>
        </w:rPr>
        <w:t>a fin de</w:t>
      </w:r>
      <w:r w:rsidRPr="00334C5E">
        <w:rPr>
          <w:lang w:val="es-ES"/>
        </w:rPr>
        <w:t xml:space="preserve"> debatir </w:t>
      </w:r>
      <w:r w:rsidR="00C57DC9" w:rsidRPr="00334C5E">
        <w:rPr>
          <w:lang w:val="es-ES"/>
        </w:rPr>
        <w:t>la manera de</w:t>
      </w:r>
      <w:r w:rsidRPr="00334C5E">
        <w:rPr>
          <w:lang w:val="es-ES"/>
        </w:rPr>
        <w:t xml:space="preserve"> aprovechar las TIC para ayudar a personas </w:t>
      </w:r>
      <w:r w:rsidR="00B85305" w:rsidRPr="00334C5E">
        <w:rPr>
          <w:lang w:val="es-ES"/>
        </w:rPr>
        <w:t>ciegas</w:t>
      </w:r>
      <w:r w:rsidRPr="00334C5E">
        <w:rPr>
          <w:lang w:val="es-ES"/>
        </w:rPr>
        <w:t xml:space="preserve"> </w:t>
      </w:r>
      <w:r w:rsidR="00B85305" w:rsidRPr="00334C5E">
        <w:rPr>
          <w:lang w:val="es-ES"/>
        </w:rPr>
        <w:t xml:space="preserve">o con </w:t>
      </w:r>
      <w:r w:rsidR="001F21B5" w:rsidRPr="00334C5E">
        <w:rPr>
          <w:lang w:val="es-ES"/>
        </w:rPr>
        <w:t>discapacidad visual</w:t>
      </w:r>
      <w:r w:rsidR="00B85305" w:rsidRPr="00334C5E">
        <w:rPr>
          <w:lang w:val="es-ES"/>
        </w:rPr>
        <w:t>, y de</w:t>
      </w:r>
      <w:r w:rsidRPr="00334C5E">
        <w:rPr>
          <w:lang w:val="es-ES"/>
        </w:rPr>
        <w:t xml:space="preserve"> proporcionar una educación inclusiva para todos, </w:t>
      </w:r>
      <w:r w:rsidR="001F21B5" w:rsidRPr="00334C5E">
        <w:rPr>
          <w:lang w:val="es-ES"/>
        </w:rPr>
        <w:t>y se mostraron</w:t>
      </w:r>
      <w:r w:rsidRPr="00334C5E">
        <w:rPr>
          <w:lang w:val="es-ES"/>
        </w:rPr>
        <w:t xml:space="preserve"> tecnologías </w:t>
      </w:r>
      <w:r w:rsidR="001F21B5" w:rsidRPr="00334C5E">
        <w:rPr>
          <w:lang w:val="es-ES"/>
        </w:rPr>
        <w:t>incipientes para asistir a tal efecto</w:t>
      </w:r>
      <w:r w:rsidRPr="00334C5E">
        <w:rPr>
          <w:lang w:val="es-ES"/>
        </w:rPr>
        <w:t>.</w:t>
      </w:r>
    </w:p>
    <w:p w14:paraId="7857BA73" w14:textId="4BC225EE" w:rsidR="007B424A" w:rsidRPr="000E2FCF" w:rsidRDefault="007B424A" w:rsidP="000E2FCF">
      <w:pPr>
        <w:keepNext/>
        <w:keepLines/>
        <w:rPr>
          <w:u w:val="single"/>
          <w:lang w:val="es-ES"/>
        </w:rPr>
      </w:pPr>
      <w:r w:rsidRPr="000E2FCF">
        <w:rPr>
          <w:u w:val="single"/>
          <w:lang w:val="es-ES"/>
        </w:rPr>
        <w:t xml:space="preserve">Cursos de formación </w:t>
      </w:r>
      <w:r w:rsidR="001F21B5" w:rsidRPr="000E2FCF">
        <w:rPr>
          <w:u w:val="single"/>
          <w:lang w:val="es-ES"/>
        </w:rPr>
        <w:t>en línea autogestionados</w:t>
      </w:r>
    </w:p>
    <w:p w14:paraId="5898D805" w14:textId="2662CBCB" w:rsidR="007B424A" w:rsidRPr="00334C5E" w:rsidRDefault="007B424A" w:rsidP="007B424A">
      <w:pPr>
        <w:rPr>
          <w:lang w:val="es-ES"/>
        </w:rPr>
      </w:pPr>
      <w:r w:rsidRPr="00334C5E">
        <w:rPr>
          <w:lang w:val="es-ES"/>
        </w:rPr>
        <w:t xml:space="preserve">En 2021 se </w:t>
      </w:r>
      <w:r w:rsidR="001F21B5" w:rsidRPr="00334C5E">
        <w:rPr>
          <w:lang w:val="es-ES"/>
        </w:rPr>
        <w:t>organizaron</w:t>
      </w:r>
      <w:r w:rsidRPr="00334C5E">
        <w:rPr>
          <w:lang w:val="es-ES"/>
        </w:rPr>
        <w:t xml:space="preserve"> dos cursos de formación en línea </w:t>
      </w:r>
      <w:r w:rsidR="001F21B5" w:rsidRPr="00334C5E">
        <w:rPr>
          <w:lang w:val="es-ES"/>
        </w:rPr>
        <w:t xml:space="preserve">autogestionados </w:t>
      </w:r>
      <w:r w:rsidRPr="00334C5E">
        <w:rPr>
          <w:lang w:val="es-ES"/>
        </w:rPr>
        <w:t xml:space="preserve">sobre accesibilidad </w:t>
      </w:r>
      <w:r w:rsidR="001F21B5" w:rsidRPr="00334C5E">
        <w:rPr>
          <w:lang w:val="es-ES"/>
        </w:rPr>
        <w:t>a</w:t>
      </w:r>
      <w:r w:rsidRPr="00334C5E">
        <w:rPr>
          <w:lang w:val="es-ES"/>
        </w:rPr>
        <w:t xml:space="preserve"> las</w:t>
      </w:r>
      <w:r w:rsidR="00D81BD1">
        <w:rPr>
          <w:lang w:val="es-ES"/>
        </w:rPr>
        <w:t> </w:t>
      </w:r>
      <w:r w:rsidRPr="00334C5E">
        <w:rPr>
          <w:lang w:val="es-ES"/>
        </w:rPr>
        <w:t xml:space="preserve">TIC, disponibles en árabe, inglés, francés, ruso y español. </w:t>
      </w:r>
      <w:r w:rsidR="00C41001" w:rsidRPr="00334C5E">
        <w:rPr>
          <w:lang w:val="es-ES"/>
        </w:rPr>
        <w:t xml:space="preserve">Los cursos </w:t>
      </w:r>
      <w:r w:rsidR="00D81BD1">
        <w:rPr>
          <w:lang w:val="es-ES"/>
        </w:rPr>
        <w:t>"</w:t>
      </w:r>
      <w:hyperlink r:id="rId179" w:history="1">
        <w:r w:rsidRPr="00CC7E89">
          <w:rPr>
            <w:rStyle w:val="Hyperlink"/>
            <w:lang w:val="es-ES"/>
          </w:rPr>
          <w:t xml:space="preserve">Accesibilidad a las TIC: clave </w:t>
        </w:r>
        <w:r w:rsidR="00C41001" w:rsidRPr="00CC7E89">
          <w:rPr>
            <w:rStyle w:val="Hyperlink"/>
            <w:lang w:val="es-ES"/>
          </w:rPr>
          <w:t>para facilitar una</w:t>
        </w:r>
        <w:r w:rsidRPr="00CC7E89">
          <w:rPr>
            <w:rStyle w:val="Hyperlink"/>
            <w:lang w:val="es-ES"/>
          </w:rPr>
          <w:t xml:space="preserve"> comunicación inclusiva</w:t>
        </w:r>
      </w:hyperlink>
      <w:r w:rsidR="00D81BD1">
        <w:rPr>
          <w:lang w:val="es-ES"/>
        </w:rPr>
        <w:t>"</w:t>
      </w:r>
      <w:r w:rsidR="00C41001" w:rsidRPr="00334C5E">
        <w:rPr>
          <w:lang w:val="es-ES"/>
        </w:rPr>
        <w:t xml:space="preserve"> y </w:t>
      </w:r>
      <w:r w:rsidR="00D81BD1">
        <w:rPr>
          <w:lang w:val="es-ES"/>
        </w:rPr>
        <w:t>"</w:t>
      </w:r>
      <w:hyperlink r:id="rId180" w:history="1">
        <w:r w:rsidRPr="00CC7E89">
          <w:rPr>
            <w:rStyle w:val="Hyperlink"/>
            <w:lang w:val="es-ES"/>
          </w:rPr>
          <w:t>Accesibilidad web</w:t>
        </w:r>
        <w:r w:rsidR="00C41001" w:rsidRPr="00CC7E89">
          <w:rPr>
            <w:rStyle w:val="Hyperlink"/>
            <w:lang w:val="es-ES"/>
          </w:rPr>
          <w:t>: elemento fundamental para facilitar una</w:t>
        </w:r>
        <w:r w:rsidRPr="00CC7E89">
          <w:rPr>
            <w:rStyle w:val="Hyperlink"/>
            <w:lang w:val="es-ES"/>
          </w:rPr>
          <w:t xml:space="preserve"> sociedad digital inclusiva</w:t>
        </w:r>
      </w:hyperlink>
      <w:r w:rsidR="00D81BD1">
        <w:rPr>
          <w:lang w:val="es-ES"/>
        </w:rPr>
        <w:t>"</w:t>
      </w:r>
      <w:r w:rsidR="00C41001" w:rsidRPr="00334C5E">
        <w:rPr>
          <w:lang w:val="es-ES"/>
        </w:rPr>
        <w:t xml:space="preserve"> se organizan en el marco de</w:t>
      </w:r>
      <w:r w:rsidRPr="00334C5E">
        <w:rPr>
          <w:lang w:val="es-ES"/>
        </w:rPr>
        <w:t xml:space="preserve"> la Academia de la UIT en tres módulos.</w:t>
      </w:r>
    </w:p>
    <w:p w14:paraId="7AA41699" w14:textId="046AD582" w:rsidR="007B424A" w:rsidRPr="000E2FCF" w:rsidRDefault="007B424A" w:rsidP="000E2FCF">
      <w:pPr>
        <w:keepNext/>
        <w:keepLines/>
        <w:rPr>
          <w:u w:val="single"/>
          <w:lang w:val="es-ES"/>
        </w:rPr>
      </w:pPr>
      <w:r w:rsidRPr="000E2FCF">
        <w:rPr>
          <w:u w:val="single"/>
          <w:lang w:val="es-ES"/>
        </w:rPr>
        <w:lastRenderedPageBreak/>
        <w:t xml:space="preserve">Otros recursos </w:t>
      </w:r>
      <w:r w:rsidR="00C41001" w:rsidRPr="000E2FCF">
        <w:rPr>
          <w:u w:val="single"/>
          <w:lang w:val="es-ES"/>
        </w:rPr>
        <w:t>sobre</w:t>
      </w:r>
      <w:r w:rsidRPr="000E2FCF">
        <w:rPr>
          <w:u w:val="single"/>
          <w:lang w:val="es-ES"/>
        </w:rPr>
        <w:t xml:space="preserve"> accesibilidad</w:t>
      </w:r>
    </w:p>
    <w:p w14:paraId="0403E32C" w14:textId="29700DBD" w:rsidR="007B424A" w:rsidRPr="00334C5E" w:rsidRDefault="00C41001" w:rsidP="00CC7E89">
      <w:pPr>
        <w:rPr>
          <w:lang w:val="es-ES"/>
        </w:rPr>
      </w:pPr>
      <w:r w:rsidRPr="00334C5E">
        <w:rPr>
          <w:lang w:val="es-ES"/>
        </w:rPr>
        <w:t xml:space="preserve">En </w:t>
      </w:r>
      <w:hyperlink r:id="rId181" w:history="1">
        <w:r w:rsidRPr="00CC7E89">
          <w:rPr>
            <w:rStyle w:val="Hyperlink"/>
            <w:lang w:val="es-ES"/>
          </w:rPr>
          <w:t>esta página</w:t>
        </w:r>
      </w:hyperlink>
      <w:r w:rsidR="007B424A" w:rsidRPr="00334C5E">
        <w:rPr>
          <w:lang w:val="es-ES"/>
        </w:rPr>
        <w:t xml:space="preserve"> se </w:t>
      </w:r>
      <w:r w:rsidRPr="00334C5E">
        <w:rPr>
          <w:lang w:val="es-ES"/>
        </w:rPr>
        <w:t xml:space="preserve">proporciona información sobre otros programas de formación y </w:t>
      </w:r>
      <w:r w:rsidR="007B424A" w:rsidRPr="00334C5E">
        <w:rPr>
          <w:lang w:val="es-ES"/>
        </w:rPr>
        <w:t xml:space="preserve">recursos </w:t>
      </w:r>
      <w:r w:rsidRPr="00334C5E">
        <w:rPr>
          <w:lang w:val="es-ES"/>
        </w:rPr>
        <w:t>en materia de</w:t>
      </w:r>
      <w:r w:rsidR="007B424A" w:rsidRPr="00334C5E">
        <w:rPr>
          <w:lang w:val="es-ES"/>
        </w:rPr>
        <w:t xml:space="preserve"> accesibilidad </w:t>
      </w:r>
      <w:r w:rsidRPr="00334C5E">
        <w:rPr>
          <w:lang w:val="es-ES"/>
        </w:rPr>
        <w:t>a</w:t>
      </w:r>
      <w:r w:rsidR="007B424A" w:rsidRPr="00334C5E">
        <w:rPr>
          <w:lang w:val="es-ES"/>
        </w:rPr>
        <w:t xml:space="preserve"> las TIC. La actualización del </w:t>
      </w:r>
      <w:hyperlink r:id="rId182" w:history="1">
        <w:r w:rsidR="00CC7E89" w:rsidRPr="00CC7E89">
          <w:rPr>
            <w:rStyle w:val="Hyperlink"/>
            <w:i/>
            <w:iCs/>
            <w:lang w:val="es-ES"/>
          </w:rPr>
          <w:t>Manual sobre la implantación de redes y sistemas de radiodifusión de televisión terrenal digital</w:t>
        </w:r>
      </w:hyperlink>
      <w:r w:rsidR="007B424A" w:rsidRPr="00334C5E">
        <w:rPr>
          <w:lang w:val="es-ES"/>
        </w:rPr>
        <w:t xml:space="preserve">, </w:t>
      </w:r>
      <w:r w:rsidR="000A5746" w:rsidRPr="00334C5E">
        <w:rPr>
          <w:lang w:val="es-ES"/>
        </w:rPr>
        <w:t>en el que se</w:t>
      </w:r>
      <w:r w:rsidR="007B424A" w:rsidRPr="00334C5E">
        <w:rPr>
          <w:lang w:val="es-ES"/>
        </w:rPr>
        <w:t xml:space="preserve"> describe </w:t>
      </w:r>
      <w:hyperlink r:id="rId183" w:history="1">
        <w:r w:rsidR="007B424A" w:rsidRPr="00CC7E89">
          <w:rPr>
            <w:rStyle w:val="Hyperlink"/>
            <w:lang w:val="es-ES"/>
          </w:rPr>
          <w:t xml:space="preserve">la accesibilidad a servicios de radiodifusión </w:t>
        </w:r>
        <w:r w:rsidR="000A5746" w:rsidRPr="00CC7E89">
          <w:rPr>
            <w:rStyle w:val="Hyperlink"/>
            <w:lang w:val="es-ES"/>
          </w:rPr>
          <w:t>de</w:t>
        </w:r>
        <w:r w:rsidR="007B424A" w:rsidRPr="00CC7E89">
          <w:rPr>
            <w:rStyle w:val="Hyperlink"/>
            <w:lang w:val="es-ES"/>
          </w:rPr>
          <w:t xml:space="preserve"> las personas con discapacidad</w:t>
        </w:r>
      </w:hyperlink>
      <w:r w:rsidR="007B424A" w:rsidRPr="00334C5E">
        <w:rPr>
          <w:lang w:val="es-ES"/>
        </w:rPr>
        <w:t xml:space="preserve">, también forma parte de la </w:t>
      </w:r>
      <w:r w:rsidR="000A5746" w:rsidRPr="00334C5E">
        <w:rPr>
          <w:lang w:val="es-ES"/>
        </w:rPr>
        <w:t>actividad</w:t>
      </w:r>
      <w:r w:rsidR="007B424A" w:rsidRPr="00334C5E">
        <w:rPr>
          <w:lang w:val="es-ES"/>
        </w:rPr>
        <w:t xml:space="preserve"> de la UIT en materia de accesibilidad.</w:t>
      </w:r>
    </w:p>
    <w:p w14:paraId="242EBE91" w14:textId="64F8D49F" w:rsidR="007B424A" w:rsidRPr="000E2FCF" w:rsidRDefault="007B424A" w:rsidP="000E2FCF">
      <w:pPr>
        <w:keepNext/>
        <w:keepLines/>
        <w:rPr>
          <w:u w:val="single"/>
          <w:lang w:val="es-ES"/>
        </w:rPr>
      </w:pPr>
      <w:r w:rsidRPr="000E2FCF">
        <w:rPr>
          <w:u w:val="single"/>
          <w:lang w:val="es-ES"/>
        </w:rPr>
        <w:t xml:space="preserve">Eventos y oportunidades para </w:t>
      </w:r>
      <w:r w:rsidR="000A5746" w:rsidRPr="000E2FCF">
        <w:rPr>
          <w:u w:val="single"/>
          <w:lang w:val="es-ES"/>
        </w:rPr>
        <w:t>fomentar</w:t>
      </w:r>
      <w:r w:rsidRPr="000E2FCF">
        <w:rPr>
          <w:u w:val="single"/>
          <w:lang w:val="es-ES"/>
        </w:rPr>
        <w:t xml:space="preserve"> la implementación de la accesibilidad a las TIC</w:t>
      </w:r>
      <w:r w:rsidR="000A5746" w:rsidRPr="000E2FCF">
        <w:rPr>
          <w:u w:val="single"/>
          <w:lang w:val="es-ES"/>
        </w:rPr>
        <w:t xml:space="preserve"> a escala mundial</w:t>
      </w:r>
    </w:p>
    <w:p w14:paraId="30518144" w14:textId="470DE814" w:rsidR="007B424A" w:rsidRPr="00334C5E" w:rsidRDefault="007B424A" w:rsidP="007B424A">
      <w:pPr>
        <w:rPr>
          <w:lang w:val="es-ES"/>
        </w:rPr>
      </w:pPr>
      <w:r w:rsidRPr="00334C5E">
        <w:rPr>
          <w:lang w:val="es-ES"/>
        </w:rPr>
        <w:t xml:space="preserve">La UIT contribuyó a la elaboración de la </w:t>
      </w:r>
      <w:hyperlink r:id="rId184" w:history="1">
        <w:r w:rsidRPr="009C119F">
          <w:rPr>
            <w:rStyle w:val="Hyperlink"/>
            <w:lang w:val="es-ES"/>
          </w:rPr>
          <w:t xml:space="preserve">Nota </w:t>
        </w:r>
        <w:r w:rsidR="00882F30" w:rsidRPr="009C119F">
          <w:rPr>
            <w:rStyle w:val="Hyperlink"/>
            <w:lang w:val="es-ES"/>
          </w:rPr>
          <w:t>p</w:t>
        </w:r>
        <w:r w:rsidRPr="009C119F">
          <w:rPr>
            <w:rStyle w:val="Hyperlink"/>
            <w:lang w:val="es-ES"/>
          </w:rPr>
          <w:t xml:space="preserve">ráctica sobre </w:t>
        </w:r>
        <w:r w:rsidR="00882F30" w:rsidRPr="009C119F">
          <w:rPr>
            <w:rStyle w:val="Hyperlink"/>
            <w:lang w:val="es-ES"/>
          </w:rPr>
          <w:t>i</w:t>
        </w:r>
        <w:r w:rsidRPr="009C119F">
          <w:rPr>
            <w:rStyle w:val="Hyperlink"/>
            <w:lang w:val="es-ES"/>
          </w:rPr>
          <w:t xml:space="preserve">nclusión de </w:t>
        </w:r>
        <w:r w:rsidR="00882F30" w:rsidRPr="009C119F">
          <w:rPr>
            <w:rStyle w:val="Hyperlink"/>
            <w:lang w:val="es-ES"/>
          </w:rPr>
          <w:t>personas con d</w:t>
        </w:r>
        <w:r w:rsidRPr="009C119F">
          <w:rPr>
            <w:rStyle w:val="Hyperlink"/>
            <w:lang w:val="es-ES"/>
          </w:rPr>
          <w:t xml:space="preserve">iscapacidad </w:t>
        </w:r>
        <w:r w:rsidR="00882F30" w:rsidRPr="009C119F">
          <w:rPr>
            <w:rStyle w:val="Hyperlink"/>
            <w:lang w:val="es-ES"/>
          </w:rPr>
          <w:t>en materia de accesibilidad a</w:t>
        </w:r>
        <w:r w:rsidRPr="009C119F">
          <w:rPr>
            <w:rStyle w:val="Hyperlink"/>
            <w:lang w:val="es-ES"/>
          </w:rPr>
          <w:t xml:space="preserve"> las TIC y </w:t>
        </w:r>
        <w:r w:rsidR="00882F30" w:rsidRPr="009C119F">
          <w:rPr>
            <w:rStyle w:val="Hyperlink"/>
            <w:lang w:val="es-ES"/>
          </w:rPr>
          <w:t>sistemas digitales</w:t>
        </w:r>
      </w:hyperlink>
      <w:r w:rsidR="00882F30" w:rsidRPr="00334C5E">
        <w:rPr>
          <w:lang w:val="es-ES"/>
        </w:rPr>
        <w:t>, incluidos su</w:t>
      </w:r>
      <w:r w:rsidRPr="00334C5E">
        <w:rPr>
          <w:lang w:val="es-ES"/>
        </w:rPr>
        <w:t xml:space="preserve">s </w:t>
      </w:r>
      <w:hyperlink r:id="rId185" w:history="1">
        <w:r w:rsidRPr="009C119F">
          <w:rPr>
            <w:rStyle w:val="Hyperlink"/>
            <w:lang w:val="es-ES"/>
          </w:rPr>
          <w:t xml:space="preserve">Recursos </w:t>
        </w:r>
        <w:r w:rsidR="00882F30" w:rsidRPr="009C119F">
          <w:rPr>
            <w:rStyle w:val="Hyperlink"/>
            <w:lang w:val="es-ES"/>
          </w:rPr>
          <w:t>suplementarios</w:t>
        </w:r>
      </w:hyperlink>
      <w:r w:rsidRPr="00334C5E">
        <w:rPr>
          <w:lang w:val="es-ES"/>
        </w:rPr>
        <w:t xml:space="preserve">. </w:t>
      </w:r>
      <w:r w:rsidR="00D37002" w:rsidRPr="00334C5E">
        <w:rPr>
          <w:lang w:val="es-ES"/>
        </w:rPr>
        <w:t>P</w:t>
      </w:r>
      <w:r w:rsidRPr="00334C5E">
        <w:rPr>
          <w:lang w:val="es-ES"/>
        </w:rPr>
        <w:t xml:space="preserve">articipó en la </w:t>
      </w:r>
      <w:r w:rsidR="00CC7E89">
        <w:rPr>
          <w:lang w:val="es-ES"/>
        </w:rPr>
        <w:t>"</w:t>
      </w:r>
      <w:hyperlink r:id="rId186" w:history="1">
        <w:r w:rsidRPr="00640ED3">
          <w:rPr>
            <w:rStyle w:val="Hyperlink"/>
            <w:lang w:val="es-ES"/>
          </w:rPr>
          <w:t xml:space="preserve">Cumbre </w:t>
        </w:r>
        <w:r w:rsidR="00D37002" w:rsidRPr="00640ED3">
          <w:rPr>
            <w:rStyle w:val="Hyperlink"/>
            <w:lang w:val="es-ES"/>
          </w:rPr>
          <w:t>sobre</w:t>
        </w:r>
        <w:r w:rsidRPr="00640ED3">
          <w:rPr>
            <w:rStyle w:val="Hyperlink"/>
            <w:lang w:val="es-ES"/>
          </w:rPr>
          <w:t xml:space="preserve"> </w:t>
        </w:r>
        <w:r w:rsidR="001228EA" w:rsidRPr="00640ED3">
          <w:rPr>
            <w:rStyle w:val="Hyperlink"/>
            <w:lang w:val="es-ES"/>
          </w:rPr>
          <w:t>i</w:t>
        </w:r>
        <w:r w:rsidRPr="00640ED3">
          <w:rPr>
            <w:rStyle w:val="Hyperlink"/>
            <w:lang w:val="es-ES"/>
          </w:rPr>
          <w:t xml:space="preserve">nclusión </w:t>
        </w:r>
        <w:r w:rsidR="001228EA" w:rsidRPr="00640ED3">
          <w:rPr>
            <w:rStyle w:val="Hyperlink"/>
            <w:lang w:val="es-ES"/>
          </w:rPr>
          <w:t>d</w:t>
        </w:r>
        <w:r w:rsidRPr="00640ED3">
          <w:rPr>
            <w:rStyle w:val="Hyperlink"/>
            <w:lang w:val="es-ES"/>
          </w:rPr>
          <w:t>igital</w:t>
        </w:r>
        <w:r w:rsidR="00D37002" w:rsidRPr="00640ED3">
          <w:rPr>
            <w:rStyle w:val="Hyperlink"/>
            <w:lang w:val="es-ES"/>
          </w:rPr>
          <w:t xml:space="preserve"> sin</w:t>
        </w:r>
        <w:r w:rsidRPr="00640ED3">
          <w:rPr>
            <w:rStyle w:val="Hyperlink"/>
            <w:lang w:val="es-ES"/>
          </w:rPr>
          <w:t xml:space="preserve"> dejar a nadie atrás</w:t>
        </w:r>
      </w:hyperlink>
      <w:r w:rsidR="00CC7E89">
        <w:rPr>
          <w:lang w:val="es-ES"/>
        </w:rPr>
        <w:t>"</w:t>
      </w:r>
      <w:r w:rsidRPr="00334C5E">
        <w:rPr>
          <w:lang w:val="es-ES"/>
        </w:rPr>
        <w:t xml:space="preserve">, organizada por el Centro Internacional de Formación en colaboración con la OIT (julio de 2021). En 2019 se adoptó la </w:t>
      </w:r>
      <w:hyperlink r:id="rId187" w:history="1">
        <w:r w:rsidR="00D37002" w:rsidRPr="001228EA">
          <w:rPr>
            <w:rStyle w:val="Hyperlink"/>
            <w:lang w:val="es-ES"/>
          </w:rPr>
          <w:t xml:space="preserve">Estrategia de las Naciones Unidas para la </w:t>
        </w:r>
        <w:r w:rsidR="001228EA" w:rsidRPr="001228EA">
          <w:rPr>
            <w:rStyle w:val="Hyperlink"/>
            <w:lang w:val="es-ES"/>
          </w:rPr>
          <w:t>i</w:t>
        </w:r>
        <w:r w:rsidR="00D37002" w:rsidRPr="001228EA">
          <w:rPr>
            <w:rStyle w:val="Hyperlink"/>
            <w:lang w:val="es-ES"/>
          </w:rPr>
          <w:t xml:space="preserve">nclusión de la </w:t>
        </w:r>
        <w:r w:rsidR="001228EA" w:rsidRPr="001228EA">
          <w:rPr>
            <w:rStyle w:val="Hyperlink"/>
            <w:lang w:val="es-ES"/>
          </w:rPr>
          <w:t>d</w:t>
        </w:r>
        <w:r w:rsidR="00D37002" w:rsidRPr="001228EA">
          <w:rPr>
            <w:rStyle w:val="Hyperlink"/>
            <w:lang w:val="es-ES"/>
          </w:rPr>
          <w:t>iscapacidad</w:t>
        </w:r>
      </w:hyperlink>
      <w:r w:rsidR="00D37002" w:rsidRPr="00334C5E">
        <w:rPr>
          <w:lang w:val="es-ES"/>
        </w:rPr>
        <w:t xml:space="preserve"> (UN</w:t>
      </w:r>
      <w:r w:rsidR="001228EA">
        <w:rPr>
          <w:lang w:val="es-ES"/>
        </w:rPr>
        <w:t> </w:t>
      </w:r>
      <w:r w:rsidR="00D37002" w:rsidRPr="00334C5E">
        <w:rPr>
          <w:lang w:val="es-ES"/>
        </w:rPr>
        <w:t>DIS</w:t>
      </w:r>
      <w:r w:rsidRPr="00334C5E">
        <w:rPr>
          <w:lang w:val="es-ES"/>
        </w:rPr>
        <w:t xml:space="preserve">), </w:t>
      </w:r>
      <w:r w:rsidR="00D37002" w:rsidRPr="00334C5E">
        <w:rPr>
          <w:lang w:val="es-ES"/>
        </w:rPr>
        <w:t>en particular en lo concerniente a destacadas</w:t>
      </w:r>
      <w:r w:rsidRPr="00334C5E">
        <w:rPr>
          <w:lang w:val="es-ES"/>
        </w:rPr>
        <w:t xml:space="preserve"> aportaciones de la UIT. En 2020, la UIT preparó su informe sobre aplicación de </w:t>
      </w:r>
      <w:r w:rsidR="009A7A13" w:rsidRPr="00334C5E">
        <w:rPr>
          <w:lang w:val="es-ES"/>
        </w:rPr>
        <w:t>dicha</w:t>
      </w:r>
      <w:r w:rsidRPr="00334C5E">
        <w:rPr>
          <w:lang w:val="es-ES"/>
        </w:rPr>
        <w:t xml:space="preserve"> estrategia y revisó su política de accesibilidad en consecuencia.</w:t>
      </w:r>
    </w:p>
    <w:p w14:paraId="41D8D735" w14:textId="31A3BE0F" w:rsidR="007B424A" w:rsidRPr="00334C5E" w:rsidRDefault="007B424A" w:rsidP="007B424A">
      <w:pPr>
        <w:rPr>
          <w:lang w:val="es-ES"/>
        </w:rPr>
      </w:pPr>
      <w:r w:rsidRPr="00334C5E">
        <w:rPr>
          <w:lang w:val="es-ES"/>
        </w:rPr>
        <w:t xml:space="preserve">La UIT contribuyó a la celebración </w:t>
      </w:r>
      <w:r w:rsidR="009A7A13" w:rsidRPr="00334C5E">
        <w:rPr>
          <w:lang w:val="es-ES"/>
        </w:rPr>
        <w:t xml:space="preserve">de la primera edición del </w:t>
      </w:r>
      <w:hyperlink r:id="rId188" w:history="1">
        <w:r w:rsidRPr="002A50EC">
          <w:rPr>
            <w:rStyle w:val="Hyperlink"/>
            <w:lang w:val="es-ES"/>
          </w:rPr>
          <w:t>Día del Diseño Universal</w:t>
        </w:r>
      </w:hyperlink>
      <w:r w:rsidRPr="00334C5E">
        <w:rPr>
          <w:lang w:val="es-ES"/>
        </w:rPr>
        <w:t xml:space="preserve"> en 2021.</w:t>
      </w:r>
    </w:p>
    <w:p w14:paraId="36C4ED5D" w14:textId="58321D3F" w:rsidR="007B424A" w:rsidRPr="00334C5E" w:rsidRDefault="007B424A" w:rsidP="007B424A">
      <w:pPr>
        <w:rPr>
          <w:lang w:val="es-ES"/>
        </w:rPr>
      </w:pPr>
      <w:r w:rsidRPr="00334C5E">
        <w:rPr>
          <w:lang w:val="es-ES"/>
        </w:rPr>
        <w:t xml:space="preserve">La UIT compartió sus conocimientos sobre accesibilidad </w:t>
      </w:r>
      <w:r w:rsidR="009A7A13" w:rsidRPr="00334C5E">
        <w:rPr>
          <w:lang w:val="es-ES"/>
        </w:rPr>
        <w:t>a</w:t>
      </w:r>
      <w:r w:rsidRPr="00334C5E">
        <w:rPr>
          <w:lang w:val="es-ES"/>
        </w:rPr>
        <w:t xml:space="preserve"> las TIC </w:t>
      </w:r>
      <w:r w:rsidR="009A7A13" w:rsidRPr="00334C5E">
        <w:rPr>
          <w:lang w:val="es-ES"/>
        </w:rPr>
        <w:t>e</w:t>
      </w:r>
      <w:r w:rsidRPr="00334C5E">
        <w:rPr>
          <w:lang w:val="es-ES"/>
        </w:rPr>
        <w:t xml:space="preserve"> inclusión de la discapacidad con 131</w:t>
      </w:r>
      <w:r w:rsidR="00D81BD1">
        <w:rPr>
          <w:lang w:val="es-ES"/>
        </w:rPr>
        <w:t> </w:t>
      </w:r>
      <w:r w:rsidRPr="00334C5E">
        <w:rPr>
          <w:lang w:val="es-ES"/>
        </w:rPr>
        <w:t xml:space="preserve">representantes de equipos de las Naciones Unidas </w:t>
      </w:r>
      <w:r w:rsidR="009A7A13" w:rsidRPr="00334C5E">
        <w:rPr>
          <w:lang w:val="es-ES"/>
        </w:rPr>
        <w:t xml:space="preserve">constituidos a escala nacional </w:t>
      </w:r>
      <w:r w:rsidRPr="00334C5E">
        <w:rPr>
          <w:lang w:val="es-ES"/>
        </w:rPr>
        <w:t>durante dos</w:t>
      </w:r>
      <w:r w:rsidR="002A50EC">
        <w:rPr>
          <w:lang w:val="es-ES"/>
        </w:rPr>
        <w:t> </w:t>
      </w:r>
      <w:r w:rsidRPr="00334C5E">
        <w:rPr>
          <w:lang w:val="es-ES"/>
        </w:rPr>
        <w:t xml:space="preserve">seminarios web sobre las TIC y la accesibilidad digital, celebrados </w:t>
      </w:r>
      <w:r w:rsidR="008416CD" w:rsidRPr="00334C5E">
        <w:rPr>
          <w:lang w:val="es-ES"/>
        </w:rPr>
        <w:t>de forma virtual</w:t>
      </w:r>
      <w:r w:rsidRPr="00334C5E">
        <w:rPr>
          <w:lang w:val="es-ES"/>
        </w:rPr>
        <w:t xml:space="preserve"> en 2021.</w:t>
      </w:r>
    </w:p>
    <w:p w14:paraId="3BD2CBD9" w14:textId="2B7D77D1" w:rsidR="007B424A" w:rsidRPr="000E2FCF" w:rsidRDefault="008416CD" w:rsidP="000E2FCF">
      <w:pPr>
        <w:keepNext/>
        <w:keepLines/>
        <w:rPr>
          <w:u w:val="single"/>
          <w:lang w:val="es-ES"/>
        </w:rPr>
      </w:pPr>
      <w:r w:rsidRPr="000E2FCF">
        <w:rPr>
          <w:u w:val="single"/>
          <w:lang w:val="es-ES"/>
        </w:rPr>
        <w:t>Transformación</w:t>
      </w:r>
      <w:r w:rsidR="007B424A" w:rsidRPr="000E2FCF">
        <w:rPr>
          <w:u w:val="single"/>
          <w:lang w:val="es-ES"/>
        </w:rPr>
        <w:t xml:space="preserve"> de la UIT </w:t>
      </w:r>
      <w:r w:rsidRPr="000E2FCF">
        <w:rPr>
          <w:u w:val="single"/>
          <w:lang w:val="es-ES"/>
        </w:rPr>
        <w:t xml:space="preserve">en </w:t>
      </w:r>
      <w:r w:rsidR="007B424A" w:rsidRPr="000E2FCF">
        <w:rPr>
          <w:u w:val="single"/>
          <w:lang w:val="es-ES"/>
        </w:rPr>
        <w:t>una organización más accesible para las personas con discapacidad</w:t>
      </w:r>
    </w:p>
    <w:p w14:paraId="20E30D1D" w14:textId="0740B8EC" w:rsidR="007B424A" w:rsidRPr="00334C5E" w:rsidRDefault="007B424A" w:rsidP="007B424A">
      <w:pPr>
        <w:rPr>
          <w:lang w:val="es-ES"/>
        </w:rPr>
      </w:pPr>
      <w:r w:rsidRPr="00334C5E">
        <w:rPr>
          <w:lang w:val="es-ES"/>
        </w:rPr>
        <w:t xml:space="preserve">La UIT sigue </w:t>
      </w:r>
      <w:r w:rsidR="008416CD" w:rsidRPr="00334C5E">
        <w:rPr>
          <w:lang w:val="es-ES"/>
        </w:rPr>
        <w:t>fomentando</w:t>
      </w:r>
      <w:r w:rsidRPr="00334C5E">
        <w:rPr>
          <w:lang w:val="es-ES"/>
        </w:rPr>
        <w:t xml:space="preserve"> la accesibilidad de las personas con discapacidad, </w:t>
      </w:r>
      <w:r w:rsidR="008416CD" w:rsidRPr="00334C5E">
        <w:rPr>
          <w:lang w:val="es-ES"/>
        </w:rPr>
        <w:t>en particular de los miembros d</w:t>
      </w:r>
      <w:r w:rsidRPr="00334C5E">
        <w:rPr>
          <w:lang w:val="es-ES"/>
        </w:rPr>
        <w:t>el personal, delegados y el público en general.</w:t>
      </w:r>
    </w:p>
    <w:p w14:paraId="417ADDBD" w14:textId="62A86379" w:rsidR="007B424A" w:rsidRPr="00334C5E" w:rsidRDefault="008416CD" w:rsidP="007B424A">
      <w:pPr>
        <w:rPr>
          <w:lang w:val="es-ES"/>
        </w:rPr>
      </w:pPr>
      <w:r w:rsidRPr="00334C5E">
        <w:rPr>
          <w:lang w:val="es-ES"/>
        </w:rPr>
        <w:t>A fin de</w:t>
      </w:r>
      <w:r w:rsidR="007B424A" w:rsidRPr="00334C5E">
        <w:rPr>
          <w:lang w:val="es-ES"/>
        </w:rPr>
        <w:t xml:space="preserve"> garantizar que la estructura y el contenido de los sitios web, los vídeos, las publicaciones, los documentos digitales y la información digital de la UIT sean accesibles </w:t>
      </w:r>
      <w:r w:rsidRPr="00334C5E">
        <w:rPr>
          <w:lang w:val="es-ES"/>
        </w:rPr>
        <w:t>de forma digital</w:t>
      </w:r>
      <w:r w:rsidR="007B424A" w:rsidRPr="00334C5E">
        <w:rPr>
          <w:lang w:val="es-ES"/>
        </w:rPr>
        <w:t>, se están preparando</w:t>
      </w:r>
      <w:r w:rsidRPr="00334C5E">
        <w:rPr>
          <w:lang w:val="es-ES"/>
        </w:rPr>
        <w:t xml:space="preserve"> varios</w:t>
      </w:r>
      <w:r w:rsidR="007B424A" w:rsidRPr="00334C5E">
        <w:rPr>
          <w:lang w:val="es-ES"/>
        </w:rPr>
        <w:t xml:space="preserve"> eventos de formación (</w:t>
      </w:r>
      <w:r w:rsidRPr="00334C5E">
        <w:rPr>
          <w:lang w:val="es-ES"/>
        </w:rPr>
        <w:t>previstos para</w:t>
      </w:r>
      <w:r w:rsidR="007B424A" w:rsidRPr="00334C5E">
        <w:rPr>
          <w:lang w:val="es-ES"/>
        </w:rPr>
        <w:t xml:space="preserve"> febrero de 2022).</w:t>
      </w:r>
    </w:p>
    <w:p w14:paraId="63352B8D" w14:textId="30A6DDDB" w:rsidR="000A04CF" w:rsidRPr="00EB7F22" w:rsidRDefault="007B424A" w:rsidP="00EB7F22">
      <w:pPr>
        <w:rPr>
          <w:lang w:val="es-ES"/>
        </w:rPr>
      </w:pPr>
      <w:r w:rsidRPr="00334C5E">
        <w:rPr>
          <w:lang w:val="es-ES"/>
        </w:rPr>
        <w:t xml:space="preserve">Para que los eventos de la UIT sean </w:t>
      </w:r>
      <w:r w:rsidR="008416CD" w:rsidRPr="00334C5E">
        <w:rPr>
          <w:lang w:val="es-ES"/>
        </w:rPr>
        <w:t>plenamente</w:t>
      </w:r>
      <w:r w:rsidRPr="00334C5E">
        <w:rPr>
          <w:lang w:val="es-ES"/>
        </w:rPr>
        <w:t xml:space="preserve"> accesibles, en noviembre de 2021 se </w:t>
      </w:r>
      <w:r w:rsidR="008416CD" w:rsidRPr="00334C5E">
        <w:rPr>
          <w:lang w:val="es-ES"/>
        </w:rPr>
        <w:t>llevó a cabo</w:t>
      </w:r>
      <w:r w:rsidRPr="00334C5E">
        <w:rPr>
          <w:lang w:val="es-ES"/>
        </w:rPr>
        <w:t xml:space="preserve"> una licitación para la provisión de subtítulos en tiempo real. Se han presentado</w:t>
      </w:r>
      <w:r w:rsidR="00BF3B2F" w:rsidRPr="00334C5E">
        <w:rPr>
          <w:lang w:val="es-ES"/>
        </w:rPr>
        <w:t xml:space="preserve"> varias</w:t>
      </w:r>
      <w:r w:rsidRPr="00334C5E">
        <w:rPr>
          <w:lang w:val="es-ES"/>
        </w:rPr>
        <w:t xml:space="preserve"> propuestas de subtitulado en francés, español y chino</w:t>
      </w:r>
      <w:r w:rsidR="000A04CF" w:rsidRPr="00EB7F22">
        <w:rPr>
          <w:lang w:val="es-ES"/>
        </w:rPr>
        <w:t>.</w:t>
      </w:r>
    </w:p>
    <w:p w14:paraId="5CA7B3B4" w14:textId="0C99EDBC" w:rsidR="00823AB3" w:rsidRPr="00B237E2" w:rsidRDefault="00823AB3" w:rsidP="00E124B0">
      <w:pPr>
        <w:rPr>
          <w:lang w:val="es-ES"/>
        </w:rPr>
      </w:pPr>
      <w:r w:rsidRPr="00B237E2">
        <w:rPr>
          <w:lang w:val="es-ES"/>
        </w:rPr>
        <w:t>En 2019, la UIT ha seguido proporcionando servicios de subtitulado en</w:t>
      </w:r>
      <w:r w:rsidR="00BF3B2F">
        <w:rPr>
          <w:lang w:val="es-ES"/>
        </w:rPr>
        <w:t xml:space="preserve"> </w:t>
      </w:r>
      <w:r w:rsidRPr="00B237E2">
        <w:rPr>
          <w:lang w:val="es-ES"/>
        </w:rPr>
        <w:t xml:space="preserve">eventos y conferencias </w:t>
      </w:r>
      <w:r w:rsidR="00BF3B2F">
        <w:rPr>
          <w:lang w:val="es-ES"/>
        </w:rPr>
        <w:t>destacadas</w:t>
      </w:r>
      <w:r w:rsidRPr="00B237E2">
        <w:rPr>
          <w:lang w:val="es-ES"/>
        </w:rPr>
        <w:t xml:space="preserve">, así como de interpretación en lenguaje de signos en determinadas reuniones del UIT-T sobre accesibilidad, y </w:t>
      </w:r>
      <w:r w:rsidR="00BF3B2F">
        <w:rPr>
          <w:lang w:val="es-ES"/>
        </w:rPr>
        <w:t>ha facilitado la accesibilidad de</w:t>
      </w:r>
      <w:r w:rsidRPr="00B237E2">
        <w:rPr>
          <w:lang w:val="es-ES"/>
        </w:rPr>
        <w:t xml:space="preserve"> sus sitios web. La UIT también ha modificado su sistema de producción interna para </w:t>
      </w:r>
      <w:r w:rsidR="00BF3B2F">
        <w:rPr>
          <w:lang w:val="es-ES"/>
        </w:rPr>
        <w:t>elaborar</w:t>
      </w:r>
      <w:r w:rsidRPr="00B237E2">
        <w:rPr>
          <w:lang w:val="es-ES"/>
        </w:rPr>
        <w:t xml:space="preserve"> publicaciones accesibles en los seis idiomas oficiales.</w:t>
      </w:r>
    </w:p>
    <w:p w14:paraId="1C0F65A1" w14:textId="1D9222F2" w:rsidR="000A04CF" w:rsidRPr="000E2FCF" w:rsidRDefault="000A04CF" w:rsidP="000E2FCF">
      <w:pPr>
        <w:keepNext/>
        <w:keepLines/>
        <w:rPr>
          <w:u w:val="single"/>
          <w:lang w:val="es-ES"/>
        </w:rPr>
      </w:pPr>
      <w:r w:rsidRPr="000E2FCF">
        <w:rPr>
          <w:u w:val="single"/>
          <w:lang w:val="es-ES"/>
        </w:rPr>
        <w:t xml:space="preserve">COVID-19: </w:t>
      </w:r>
      <w:r w:rsidR="00A7755F" w:rsidRPr="000E2FCF">
        <w:rPr>
          <w:u w:val="single"/>
          <w:lang w:val="es-ES"/>
        </w:rPr>
        <w:t>información digital accesible para todos</w:t>
      </w:r>
    </w:p>
    <w:p w14:paraId="2A74C58F" w14:textId="0037C9B9" w:rsidR="00823AB3" w:rsidRPr="00B237E2" w:rsidRDefault="00823AB3" w:rsidP="00562E37">
      <w:pPr>
        <w:rPr>
          <w:lang w:val="es-ES"/>
        </w:rPr>
      </w:pPr>
      <w:r w:rsidRPr="00B237E2">
        <w:rPr>
          <w:lang w:val="es-ES"/>
        </w:rPr>
        <w:t xml:space="preserve">En marzo de 2020, la UIT publicó </w:t>
      </w:r>
      <w:r w:rsidRPr="0064517A">
        <w:rPr>
          <w:lang w:val="es-ES"/>
        </w:rPr>
        <w:t xml:space="preserve">las </w:t>
      </w:r>
      <w:hyperlink r:id="rId189" w:history="1">
        <w:r w:rsidRPr="0064517A">
          <w:rPr>
            <w:rStyle w:val="Hyperlink"/>
            <w:lang w:val="es-ES"/>
          </w:rPr>
          <w:t>Directrices COVID sobre cómo desarrollar productos y servicios de información digital inclusivos</w:t>
        </w:r>
      </w:hyperlink>
      <w:r w:rsidRPr="00B237E2">
        <w:rPr>
          <w:lang w:val="es-ES"/>
        </w:rPr>
        <w:t xml:space="preserve"> a través de diferentes plataformas digitales, en los seis idiomas oficiales de Naciones Unidas. </w:t>
      </w:r>
      <w:r w:rsidR="00A7755F">
        <w:rPr>
          <w:lang w:val="es-ES"/>
        </w:rPr>
        <w:t>Dichas</w:t>
      </w:r>
      <w:r w:rsidRPr="00B237E2">
        <w:rPr>
          <w:lang w:val="es-ES"/>
        </w:rPr>
        <w:t xml:space="preserve"> directrices contienen mensajes fundamentales y acciones concretas para </w:t>
      </w:r>
      <w:r w:rsidR="00A7755F">
        <w:rPr>
          <w:lang w:val="es-ES"/>
        </w:rPr>
        <w:t>ayudar</w:t>
      </w:r>
      <w:r w:rsidRPr="00B237E2">
        <w:rPr>
          <w:lang w:val="es-ES"/>
        </w:rPr>
        <w:t xml:space="preserve"> a los responsables políticos y a los comunicadores </w:t>
      </w:r>
      <w:r w:rsidR="00A7755F">
        <w:rPr>
          <w:lang w:val="es-ES"/>
        </w:rPr>
        <w:t>a</w:t>
      </w:r>
      <w:r w:rsidRPr="00B237E2">
        <w:rPr>
          <w:lang w:val="es-ES"/>
        </w:rPr>
        <w:t xml:space="preserve"> garantizar que los mensajes y la importante información digital </w:t>
      </w:r>
      <w:r w:rsidR="00A7755F">
        <w:rPr>
          <w:lang w:val="es-ES"/>
        </w:rPr>
        <w:t xml:space="preserve">sobre la COVID </w:t>
      </w:r>
      <w:r w:rsidRPr="00B237E2">
        <w:rPr>
          <w:lang w:val="es-ES"/>
        </w:rPr>
        <w:t>sean accesibles para todas las personas, incluidas las personas con discapacidad.</w:t>
      </w:r>
      <w:r w:rsidR="009F24A7">
        <w:rPr>
          <w:lang w:val="es-ES"/>
        </w:rPr>
        <w:t xml:space="preserve"> Dichas</w:t>
      </w:r>
      <w:r w:rsidR="009F24A7" w:rsidRPr="009F24A7">
        <w:rPr>
          <w:lang w:val="es-ES"/>
        </w:rPr>
        <w:t xml:space="preserve"> Directrices de la UIT se</w:t>
      </w:r>
      <w:r w:rsidR="009F24A7">
        <w:rPr>
          <w:lang w:val="es-ES"/>
        </w:rPr>
        <w:t xml:space="preserve"> dieron a conocer a escala internacional</w:t>
      </w:r>
      <w:r w:rsidR="009F24A7" w:rsidRPr="009F24A7">
        <w:rPr>
          <w:lang w:val="es-ES"/>
        </w:rPr>
        <w:t xml:space="preserve"> y se tradujeron a otros 22 idiomas en</w:t>
      </w:r>
      <w:r w:rsidRPr="00B237E2">
        <w:rPr>
          <w:lang w:val="es-ES"/>
        </w:rPr>
        <w:t xml:space="preserve"> el marco </w:t>
      </w:r>
      <w:r w:rsidR="00CC35C2">
        <w:rPr>
          <w:lang w:val="es-ES"/>
        </w:rPr>
        <w:t xml:space="preserve">del </w:t>
      </w:r>
      <w:r w:rsidR="00CC35C2" w:rsidRPr="00CC35C2">
        <w:rPr>
          <w:lang w:val="es-ES"/>
        </w:rPr>
        <w:t xml:space="preserve">Grupo de Trabajo de </w:t>
      </w:r>
      <w:r w:rsidR="00CC35C2" w:rsidRPr="00CC35C2">
        <w:rPr>
          <w:lang w:val="es-ES"/>
        </w:rPr>
        <w:lastRenderedPageBreak/>
        <w:t xml:space="preserve">emergencia mixto de las Naciones Unidas para </w:t>
      </w:r>
      <w:r w:rsidR="00805780">
        <w:rPr>
          <w:lang w:val="es-ES"/>
        </w:rPr>
        <w:t xml:space="preserve">la </w:t>
      </w:r>
      <w:r w:rsidR="00CC35C2" w:rsidRPr="00CC35C2">
        <w:rPr>
          <w:lang w:val="es-ES"/>
        </w:rPr>
        <w:t xml:space="preserve">respuesta </w:t>
      </w:r>
      <w:r w:rsidR="00805780">
        <w:rPr>
          <w:lang w:val="es-ES"/>
        </w:rPr>
        <w:t xml:space="preserve">frente </w:t>
      </w:r>
      <w:r w:rsidR="00CC35C2" w:rsidRPr="00CC35C2">
        <w:rPr>
          <w:lang w:val="es-ES"/>
        </w:rPr>
        <w:t xml:space="preserve">a la COVID-19 y la recuperación </w:t>
      </w:r>
      <w:r w:rsidR="00805780">
        <w:rPr>
          <w:lang w:val="es-ES"/>
        </w:rPr>
        <w:t>en situaciones de emergencia, relativos al flujo</w:t>
      </w:r>
      <w:r w:rsidR="00CC35C2" w:rsidRPr="00CC35C2">
        <w:rPr>
          <w:lang w:val="es-ES"/>
        </w:rPr>
        <w:t xml:space="preserve"> de trabajo </w:t>
      </w:r>
      <w:r w:rsidR="00805780">
        <w:rPr>
          <w:lang w:val="es-ES"/>
        </w:rPr>
        <w:t>en el plano sanitario.</w:t>
      </w:r>
    </w:p>
    <w:p w14:paraId="5CCBC5D5" w14:textId="40624990" w:rsidR="00823AB3" w:rsidRPr="00B237E2" w:rsidRDefault="00805780" w:rsidP="00E124B0">
      <w:pPr>
        <w:rPr>
          <w:lang w:val="es-ES"/>
        </w:rPr>
      </w:pPr>
      <w:r>
        <w:rPr>
          <w:lang w:val="es-ES"/>
        </w:rPr>
        <w:t xml:space="preserve">Con objeto de </w:t>
      </w:r>
      <w:r w:rsidR="008A35AE">
        <w:rPr>
          <w:lang w:val="es-ES"/>
        </w:rPr>
        <w:t>evitar la exclusión de</w:t>
      </w:r>
      <w:r>
        <w:rPr>
          <w:lang w:val="es-ES"/>
        </w:rPr>
        <w:t xml:space="preserve"> personas </w:t>
      </w:r>
      <w:r w:rsidR="008A35AE" w:rsidRPr="008A35AE">
        <w:rPr>
          <w:lang w:val="es-ES"/>
        </w:rPr>
        <w:t>sordas o con dificultad auditiva</w:t>
      </w:r>
      <w:r w:rsidR="00823AB3" w:rsidRPr="00B237E2">
        <w:rPr>
          <w:lang w:val="es-ES"/>
        </w:rPr>
        <w:t xml:space="preserve">, la UIT </w:t>
      </w:r>
      <w:r w:rsidR="008A35AE">
        <w:rPr>
          <w:lang w:val="es-ES"/>
        </w:rPr>
        <w:t>elaboró</w:t>
      </w:r>
      <w:r w:rsidR="00823AB3" w:rsidRPr="00B237E2">
        <w:rPr>
          <w:lang w:val="es-ES"/>
        </w:rPr>
        <w:t xml:space="preserve"> </w:t>
      </w:r>
      <w:r w:rsidR="008A35AE">
        <w:rPr>
          <w:lang w:val="es-ES"/>
        </w:rPr>
        <w:t>el</w:t>
      </w:r>
      <w:r w:rsidR="00823AB3" w:rsidRPr="00B237E2">
        <w:rPr>
          <w:lang w:val="es-ES"/>
        </w:rPr>
        <w:t xml:space="preserve"> documento técnico "</w:t>
      </w:r>
      <w:hyperlink r:id="rId190" w:history="1">
        <w:r w:rsidR="00823AB3" w:rsidRPr="00B237E2">
          <w:rPr>
            <w:rStyle w:val="Hyperlink"/>
            <w:lang w:val="es-ES"/>
          </w:rPr>
          <w:t xml:space="preserve">Directrices sobre interpretación a distancia </w:t>
        </w:r>
        <w:r w:rsidR="00E81485">
          <w:rPr>
            <w:rStyle w:val="Hyperlink"/>
            <w:lang w:val="es-ES"/>
          </w:rPr>
          <w:t>mediante el</w:t>
        </w:r>
        <w:r w:rsidR="008A35AE">
          <w:rPr>
            <w:rStyle w:val="Hyperlink"/>
            <w:lang w:val="es-ES"/>
          </w:rPr>
          <w:t xml:space="preserve"> lenguaje</w:t>
        </w:r>
        <w:r w:rsidR="00823AB3" w:rsidRPr="00B237E2">
          <w:rPr>
            <w:rStyle w:val="Hyperlink"/>
            <w:lang w:val="es-ES"/>
          </w:rPr>
          <w:t xml:space="preserve"> de signos </w:t>
        </w:r>
        <w:r w:rsidR="008A35AE">
          <w:rPr>
            <w:rStyle w:val="Hyperlink"/>
            <w:lang w:val="es-ES"/>
          </w:rPr>
          <w:t>a través de Internet,</w:t>
        </w:r>
        <w:r w:rsidR="00823AB3" w:rsidRPr="00B237E2">
          <w:rPr>
            <w:rStyle w:val="Hyperlink"/>
            <w:lang w:val="es-ES"/>
          </w:rPr>
          <w:t xml:space="preserve"> o interpretación a distancia por vídeo</w:t>
        </w:r>
      </w:hyperlink>
      <w:r w:rsidR="00823AB3" w:rsidRPr="00B237E2">
        <w:rPr>
          <w:lang w:val="es-ES"/>
        </w:rPr>
        <w:t>".</w:t>
      </w:r>
    </w:p>
    <w:p w14:paraId="2CCBAA61" w14:textId="022DCA69" w:rsidR="008A64DF" w:rsidRDefault="008A64DF" w:rsidP="00334C5E">
      <w:pPr>
        <w:pStyle w:val="Headingb"/>
        <w:rPr>
          <w:lang w:val="es-ES"/>
        </w:rPr>
      </w:pPr>
      <w:r w:rsidRPr="00CE69F3">
        <w:rPr>
          <w:lang w:val="es-ES"/>
        </w:rPr>
        <w:t>Capacitación para empoderar a las comunidades indígenas mediante la tecnología</w:t>
      </w:r>
    </w:p>
    <w:p w14:paraId="2F221B85" w14:textId="120D4636" w:rsidR="007A6EB7" w:rsidRPr="007A6EB7" w:rsidRDefault="007A6EB7" w:rsidP="007A6EB7">
      <w:pPr>
        <w:rPr>
          <w:lang w:val="es-ES"/>
        </w:rPr>
      </w:pPr>
      <w:r w:rsidRPr="000E2FCF">
        <w:rPr>
          <w:lang w:val="es-ES"/>
        </w:rPr>
        <w:t xml:space="preserve">Los </w:t>
      </w:r>
      <w:hyperlink r:id="rId191" w:history="1">
        <w:r w:rsidRPr="000E2FCF">
          <w:rPr>
            <w:rStyle w:val="Hyperlink"/>
            <w:lang w:val="es-ES"/>
          </w:rPr>
          <w:t>cursos de capacitación para comunidades indígenas</w:t>
        </w:r>
      </w:hyperlink>
      <w:r w:rsidRPr="007A6EB7">
        <w:rPr>
          <w:lang w:val="es-ES"/>
        </w:rPr>
        <w:t xml:space="preserve"> han empoderado a los pueblos y comunidades indígenas a través de la tecnología. La formación se ha ajustado a las necesidades e intereses, teniendo en cuenta los aspectos tales como la autosostenibilidad y el legado cultural.</w:t>
      </w:r>
    </w:p>
    <w:p w14:paraId="6111399A" w14:textId="0821EDFA" w:rsidR="008A64DF" w:rsidRPr="007A6EB7" w:rsidRDefault="008A64DF" w:rsidP="007A6EB7">
      <w:pPr>
        <w:rPr>
          <w:lang w:val="es-ES"/>
        </w:rPr>
      </w:pPr>
      <w:r w:rsidRPr="007A6EB7">
        <w:rPr>
          <w:lang w:val="es-ES"/>
        </w:rPr>
        <w:t>Se han beneficiado del programa 70 participantes indígenas de todo el continente americano, 21</w:t>
      </w:r>
      <w:r w:rsidR="00CE69F3">
        <w:rPr>
          <w:lang w:val="es-ES"/>
        </w:rPr>
        <w:t> </w:t>
      </w:r>
      <w:r w:rsidRPr="007A6EB7">
        <w:rPr>
          <w:lang w:val="es-ES"/>
        </w:rPr>
        <w:t>de los cuales han finalizado el programa completo, procedentes de Argentina, Bolivia, Ecuador, Honduras, México y Perú. El 30% de los participantes eran mujeres indígenas.</w:t>
      </w:r>
    </w:p>
    <w:p w14:paraId="6CDBBB95" w14:textId="77777777" w:rsidR="008A64DF" w:rsidRPr="007A6EB7" w:rsidRDefault="008A64DF" w:rsidP="007A6EB7">
      <w:pPr>
        <w:rPr>
          <w:lang w:val="es-ES"/>
        </w:rPr>
      </w:pPr>
      <w:r w:rsidRPr="007A6EB7">
        <w:rPr>
          <w:lang w:val="es-ES"/>
        </w:rPr>
        <w:t>El curso "Promotores técnicos en telecomunicaciones y radiodifusión en comunidades indígenas" tiene una duración de un año y capacita a los profesionales indígenas en el mantenimiento de las redes indígenas, desde la infraestructura hasta el suministro de comunicaciones. El módulo fomenta el desarrollo profesional de los profesionales y su capacidad para contribuir al desarrollo socioeconómico y la autosostenibilidad de sus comunidades.</w:t>
      </w:r>
    </w:p>
    <w:p w14:paraId="44B83FE2" w14:textId="7F994CFF" w:rsidR="008A64DF" w:rsidRPr="007A6EB7" w:rsidRDefault="008A64DF" w:rsidP="007A6EB7">
      <w:pPr>
        <w:rPr>
          <w:lang w:val="es-ES"/>
        </w:rPr>
      </w:pPr>
      <w:r w:rsidRPr="007A6EB7">
        <w:rPr>
          <w:lang w:val="es-ES"/>
        </w:rPr>
        <w:t>En 2021 se impartió otro curso sobre "Herramientas de comunicación innovadoras para desarrollar, gestionar y explotar una red de radiocomunicaciones indígena", en el que participaron 141</w:t>
      </w:r>
      <w:r w:rsidR="00CE69F3">
        <w:rPr>
          <w:lang w:val="es-ES"/>
        </w:rPr>
        <w:t> </w:t>
      </w:r>
      <w:r w:rsidRPr="007A6EB7">
        <w:rPr>
          <w:lang w:val="es-ES"/>
        </w:rPr>
        <w:t>indígenas en sus dos ediciones. Los países representados fueron Argentina, Bolivia, Chile, Colombia, Costa Rica, Ecuador, Guatemala, México, Panamá, Paraguay, Perú y Venezuela. El 30% de los participantes terminó las cinco unidades del curso, de los cuales el 40,5% eran mujeres indígenas.</w:t>
      </w:r>
    </w:p>
    <w:p w14:paraId="6B77AB93" w14:textId="64ACDA7F" w:rsidR="008A64DF" w:rsidRPr="007A6EB7" w:rsidRDefault="008A64DF" w:rsidP="007A6EB7">
      <w:pPr>
        <w:rPr>
          <w:lang w:val="es-ES"/>
        </w:rPr>
      </w:pPr>
      <w:r w:rsidRPr="007A6EB7">
        <w:rPr>
          <w:lang w:val="es-ES"/>
        </w:rPr>
        <w:t>La UIT y la UNESCO están preparando actividades para el Foro de la CMSI 2022, que servirán de contribuciones al Decenio Internacional de las Lenguas Indígenas (2022-2032).</w:t>
      </w:r>
    </w:p>
    <w:p w14:paraId="68FE0483" w14:textId="3A55E557" w:rsidR="008A64DF" w:rsidRPr="007A6EB7" w:rsidRDefault="008A64DF" w:rsidP="007A6EB7">
      <w:pPr>
        <w:pStyle w:val="Headingb"/>
        <w:rPr>
          <w:lang w:val="es-ES"/>
        </w:rPr>
      </w:pPr>
      <w:r w:rsidRPr="00D42CB7">
        <w:rPr>
          <w:lang w:val="es-ES"/>
        </w:rPr>
        <w:t>Fomento de la inclusión digital para ancianos –</w:t>
      </w:r>
      <w:r w:rsidR="000E2FCF" w:rsidRPr="00D42CB7">
        <w:rPr>
          <w:lang w:val="es-ES"/>
        </w:rPr>
        <w:t xml:space="preserve"> </w:t>
      </w:r>
      <w:r w:rsidRPr="00D42CB7">
        <w:rPr>
          <w:lang w:val="es-ES"/>
        </w:rPr>
        <w:t>sensibilización y creación de recursos</w:t>
      </w:r>
    </w:p>
    <w:p w14:paraId="73FFF4D2" w14:textId="212F0B92" w:rsidR="008A64DF" w:rsidRPr="007A6EB7" w:rsidRDefault="008A64DF" w:rsidP="007A6EB7">
      <w:pPr>
        <w:rPr>
          <w:lang w:val="es-ES"/>
        </w:rPr>
      </w:pPr>
      <w:r w:rsidRPr="007A6EB7">
        <w:rPr>
          <w:lang w:val="es-ES"/>
        </w:rPr>
        <w:t xml:space="preserve">Por primera vez, la UIT ha abordado la inclusión digital de ancianos, para </w:t>
      </w:r>
      <w:r w:rsidRPr="00640ED3">
        <w:rPr>
          <w:lang w:val="es-ES"/>
        </w:rPr>
        <w:t>lo</w:t>
      </w:r>
      <w:r w:rsidRPr="007A6EB7">
        <w:rPr>
          <w:lang w:val="es-ES"/>
        </w:rPr>
        <w:t xml:space="preserve"> cual ha recurrido a la sensibilización sobre este tema, ha aprovechado la capacidad de los Miembros de la UIT y de las partes interesadas, ha formulado directrices sobre políticas y estrategia y ha preparado recursos para apoyar las iniciativas mundiales para superar este reto socioeconómico.</w:t>
      </w:r>
    </w:p>
    <w:p w14:paraId="3D601752" w14:textId="7DD1C775" w:rsidR="008A64DF" w:rsidRPr="007A6EB7" w:rsidRDefault="008A64DF" w:rsidP="000E2FCF">
      <w:pPr>
        <w:keepNext/>
        <w:keepLines/>
        <w:rPr>
          <w:u w:val="single"/>
          <w:lang w:val="es-ES"/>
        </w:rPr>
      </w:pPr>
      <w:r w:rsidRPr="00D42CB7">
        <w:rPr>
          <w:u w:val="single"/>
          <w:lang w:val="es-ES"/>
        </w:rPr>
        <w:t>Recursos para ancianos en el mundo digital</w:t>
      </w:r>
    </w:p>
    <w:p w14:paraId="73DDDB32" w14:textId="3EDD6A87" w:rsidR="007A6EB7" w:rsidRDefault="00AF6115" w:rsidP="007A6EB7">
      <w:pPr>
        <w:rPr>
          <w:lang w:val="es-ES"/>
        </w:rPr>
      </w:pPr>
      <w:hyperlink r:id="rId192" w:history="1">
        <w:r w:rsidR="007A6EB7" w:rsidRPr="007A6EB7">
          <w:rPr>
            <w:rStyle w:val="Hyperlink"/>
            <w:lang w:val="es-ES"/>
          </w:rPr>
          <w:t>V</w:t>
        </w:r>
        <w:r w:rsidR="000E2FCF">
          <w:rPr>
            <w:rStyle w:val="Hyperlink"/>
            <w:lang w:val="es-ES"/>
          </w:rPr>
          <w:t>í</w:t>
        </w:r>
        <w:r w:rsidR="007A6EB7" w:rsidRPr="007A6EB7">
          <w:rPr>
            <w:rStyle w:val="Hyperlink"/>
            <w:lang w:val="es-ES"/>
          </w:rPr>
          <w:t>deo didáctico</w:t>
        </w:r>
      </w:hyperlink>
      <w:r w:rsidR="007A6EB7" w:rsidRPr="007A6EB7">
        <w:rPr>
          <w:lang w:val="es-ES"/>
        </w:rPr>
        <w:t xml:space="preserve"> sobre envejecer en el mundo digital, con subtitulado en todos los idiomas de las Naciones Unidas.</w:t>
      </w:r>
    </w:p>
    <w:p w14:paraId="155365F7" w14:textId="77777777" w:rsidR="007A6EB7" w:rsidRPr="007A6EB7" w:rsidRDefault="007A6EB7" w:rsidP="007A6EB7">
      <w:pPr>
        <w:rPr>
          <w:u w:val="single"/>
          <w:lang w:val="es-ES"/>
        </w:rPr>
      </w:pPr>
      <w:r w:rsidRPr="007A6EB7">
        <w:rPr>
          <w:lang w:val="es-ES"/>
        </w:rPr>
        <w:t xml:space="preserve">La UIT ha publicado este informe: </w:t>
      </w:r>
      <w:hyperlink r:id="rId193" w:history="1">
        <w:r w:rsidRPr="007419BD">
          <w:rPr>
            <w:rStyle w:val="Hyperlink"/>
            <w:i/>
            <w:iCs/>
            <w:lang w:val="es-ES"/>
          </w:rPr>
          <w:t>Envejecer en el mundo digital: de vulnerables a valiosos</w:t>
        </w:r>
      </w:hyperlink>
      <w:r w:rsidRPr="007A6EB7">
        <w:rPr>
          <w:lang w:val="es-ES"/>
        </w:rPr>
        <w:t>.</w:t>
      </w:r>
    </w:p>
    <w:p w14:paraId="54AAEEA4" w14:textId="007E8C44" w:rsidR="007A6EB7" w:rsidRPr="007A6EB7" w:rsidRDefault="007A6EB7" w:rsidP="007A6EB7">
      <w:pPr>
        <w:rPr>
          <w:lang w:val="es-ES"/>
        </w:rPr>
      </w:pPr>
      <w:r w:rsidRPr="007A6EB7">
        <w:rPr>
          <w:bCs/>
          <w:lang w:val="es-ES"/>
        </w:rPr>
        <w:t>Curso de formación autogestionado en línea:</w:t>
      </w:r>
      <w:r w:rsidRPr="00D42CB7">
        <w:t xml:space="preserve"> </w:t>
      </w:r>
      <w:hyperlink r:id="rId194" w:history="1">
        <w:r w:rsidRPr="007A6EB7">
          <w:rPr>
            <w:rStyle w:val="Hyperlink"/>
            <w:lang w:val="es-ES"/>
          </w:rPr>
          <w:t>Las TIC para mejorar el proceso de envejecimiento y los medios de vida en el panorama digital</w:t>
        </w:r>
      </w:hyperlink>
      <w:r w:rsidRPr="007A6EB7">
        <w:rPr>
          <w:lang w:val="es-ES"/>
        </w:rPr>
        <w:t>. Esta formación de la Academia de la UIT sobre políticas, estrategias y buenas prácticas locales de inclusión digital está disponible en inglés, francés y español</w:t>
      </w:r>
      <w:r w:rsidR="000E2FCF">
        <w:rPr>
          <w:lang w:val="es-ES"/>
        </w:rPr>
        <w:t>.</w:t>
      </w:r>
    </w:p>
    <w:p w14:paraId="4340D796" w14:textId="3043B70F" w:rsidR="008A64DF" w:rsidRPr="007A6EB7" w:rsidRDefault="008A64DF" w:rsidP="000E2FCF">
      <w:pPr>
        <w:keepNext/>
        <w:keepLines/>
        <w:rPr>
          <w:u w:val="single"/>
          <w:lang w:val="es-ES"/>
        </w:rPr>
      </w:pPr>
      <w:r w:rsidRPr="00D42CB7">
        <w:rPr>
          <w:u w:val="single"/>
          <w:lang w:val="es-ES"/>
        </w:rPr>
        <w:lastRenderedPageBreak/>
        <w:t>Contribución de la UIT a la labor de las Naciones Unidas</w:t>
      </w:r>
    </w:p>
    <w:p w14:paraId="7C18151E" w14:textId="01A8FE57" w:rsidR="000E2FCF" w:rsidRDefault="000E2FCF" w:rsidP="00630340">
      <w:pPr>
        <w:pStyle w:val="enumlev1"/>
        <w:keepNext/>
        <w:keepLines/>
        <w:rPr>
          <w:lang w:val="es-ES"/>
        </w:rPr>
      </w:pPr>
      <w:bookmarkStart w:id="104" w:name="_Hlk37860300"/>
      <w:r w:rsidRPr="000E2FCF">
        <w:rPr>
          <w:lang w:val="es-ES"/>
        </w:rPr>
        <w:t>•</w:t>
      </w:r>
      <w:r>
        <w:rPr>
          <w:lang w:val="es-ES"/>
        </w:rPr>
        <w:tab/>
      </w:r>
      <w:hyperlink r:id="rId195" w:history="1">
        <w:r w:rsidRPr="000E2FCF">
          <w:rPr>
            <w:rStyle w:val="Hyperlink"/>
            <w:lang w:val="es-ES"/>
          </w:rPr>
          <w:t>A</w:t>
        </w:r>
        <w:r w:rsidR="00D42CB7" w:rsidRPr="00D42CB7">
          <w:rPr>
            <w:rStyle w:val="Hyperlink"/>
            <w:lang w:val="es-ES"/>
          </w:rPr>
          <w:t>i</w:t>
        </w:r>
        <w:r w:rsidRPr="000E2FCF">
          <w:rPr>
            <w:rStyle w:val="Hyperlink"/>
            <w:lang w:val="es-ES"/>
          </w:rPr>
          <w:t>slamiento social y soledad de los ancianos: nota informativa</w:t>
        </w:r>
      </w:hyperlink>
      <w:r w:rsidRPr="000E2FCF">
        <w:rPr>
          <w:lang w:val="es-ES"/>
        </w:rPr>
        <w:t>: destaca la creciente preocupación de la salud pública y de las políticas sobre estos asuntos, que se ha hecho más patente con la pandemia de COVID-19. La UIT contribuyó a la elaboración de este informe de la OMS y ONU</w:t>
      </w:r>
      <w:r w:rsidR="009F61E5">
        <w:rPr>
          <w:lang w:val="es-ES"/>
        </w:rPr>
        <w:t>-</w:t>
      </w:r>
      <w:r w:rsidRPr="000E2FCF">
        <w:rPr>
          <w:lang w:val="es-ES"/>
        </w:rPr>
        <w:t>Mujeres.</w:t>
      </w:r>
    </w:p>
    <w:p w14:paraId="49503577" w14:textId="39B8A82A" w:rsidR="008A64DF" w:rsidRPr="000E2FCF" w:rsidRDefault="000E2FCF" w:rsidP="000E2FCF">
      <w:pPr>
        <w:pStyle w:val="enumlev1"/>
        <w:rPr>
          <w:lang w:val="es-ES"/>
        </w:rPr>
      </w:pPr>
      <w:r w:rsidRPr="000E2FCF">
        <w:rPr>
          <w:lang w:val="es-ES"/>
        </w:rPr>
        <w:t>•</w:t>
      </w:r>
      <w:r>
        <w:rPr>
          <w:lang w:val="es-ES"/>
        </w:rPr>
        <w:tab/>
      </w:r>
      <w:r w:rsidR="008A64DF" w:rsidRPr="000E2FCF">
        <w:rPr>
          <w:lang w:val="es-ES"/>
        </w:rPr>
        <w:t>La UIT se sumó a la celebración del Día Internacional de las Personas de Edad, organizado por las Naciones Unidas en 2021 en el evento "Inclusión digital para todas las edades", organizado conjuntamente con el Departamento de Asuntos Económicos y Sociales de las Naciones Unidas, la Oficina del Enviado Especial del Secretario para la Tecnología y el Comité sobre el Envejecimiento.</w:t>
      </w:r>
    </w:p>
    <w:p w14:paraId="58579108" w14:textId="16077A4E" w:rsidR="008A64DF" w:rsidRPr="00B04A9A" w:rsidRDefault="008A64DF" w:rsidP="008A64DF">
      <w:pPr>
        <w:pStyle w:val="Heading2"/>
        <w:rPr>
          <w:lang w:val="es-ES" w:eastAsia="en-GB"/>
        </w:rPr>
      </w:pPr>
      <w:bookmarkStart w:id="105" w:name="_1.8_Actividades/respuestas_relacion"/>
      <w:bookmarkStart w:id="106" w:name="_Toc37860462"/>
      <w:bookmarkStart w:id="107" w:name="_Toc37861223"/>
      <w:bookmarkStart w:id="108" w:name="_Toc37943346"/>
      <w:bookmarkStart w:id="109" w:name="_Toc90552445"/>
      <w:bookmarkStart w:id="110" w:name="_Toc97821267"/>
      <w:bookmarkStart w:id="111" w:name="Section_1_8"/>
      <w:bookmarkEnd w:id="105"/>
      <w:r w:rsidRPr="00C23E0B">
        <w:rPr>
          <w:lang w:val="es-ES" w:eastAsia="en-GB"/>
        </w:rPr>
        <w:t>1.8</w:t>
      </w:r>
      <w:r w:rsidRPr="00C23E0B">
        <w:rPr>
          <w:lang w:val="es-ES" w:eastAsia="en-GB"/>
        </w:rPr>
        <w:tab/>
        <w:t>Actividades/respuestas relacionadas con la COVID-19</w:t>
      </w:r>
      <w:bookmarkEnd w:id="106"/>
      <w:bookmarkEnd w:id="107"/>
      <w:bookmarkEnd w:id="108"/>
      <w:bookmarkEnd w:id="109"/>
      <w:bookmarkEnd w:id="110"/>
    </w:p>
    <w:bookmarkEnd w:id="111"/>
    <w:p w14:paraId="3263D745" w14:textId="79643379" w:rsidR="008A64DF" w:rsidRPr="007A6EB7" w:rsidRDefault="008A64DF" w:rsidP="007A6EB7">
      <w:pPr>
        <w:rPr>
          <w:lang w:val="es-ES"/>
        </w:rPr>
      </w:pPr>
      <w:r w:rsidRPr="007A6EB7">
        <w:rPr>
          <w:lang w:val="es-ES"/>
        </w:rPr>
        <w:t>La COVID-19 ha sumido al mundo en una crisis sin precedentes, en la que miles de millones de personas dependen ahora de las TIC para acceder a la educación, la sanidad, el trabajo y los bienes y servicios esenciales. Las TIC y los medios sociales están en primera línea, impulsando la respuesta colectiva mundial a la enfermedad. La UIT ha ayudado a reunir a la comunidad mundial de las TIC para preparar una respuesta robusta, multilateral, colectiva y digital a través de actividades estratégicas, muchas de las cuales se resumen a continuación. En sus discursos públicos, el Secretario General de la UIT siempre destaca la importancia de las TIC en la lucha contra la COVID-19.</w:t>
      </w:r>
    </w:p>
    <w:p w14:paraId="3B46331B" w14:textId="41BED87E" w:rsidR="008A64DF" w:rsidRPr="007A6EB7" w:rsidRDefault="008A64DF" w:rsidP="007A6EB7">
      <w:pPr>
        <w:rPr>
          <w:lang w:val="es-ES"/>
        </w:rPr>
      </w:pPr>
      <w:r w:rsidRPr="007A6EB7">
        <w:rPr>
          <w:lang w:val="es-ES"/>
        </w:rPr>
        <w:t xml:space="preserve">Todas las actividades de la UIT relacionadas con </w:t>
      </w:r>
      <w:r w:rsidR="00EF6125">
        <w:rPr>
          <w:lang w:val="es-ES"/>
        </w:rPr>
        <w:t>la</w:t>
      </w:r>
      <w:r w:rsidRPr="007A6EB7">
        <w:rPr>
          <w:lang w:val="es-ES"/>
        </w:rPr>
        <w:t xml:space="preserve"> COVID-19, comprendidas las iniciativas, los eventos, los productos y las asociaciones, están disponibles en</w:t>
      </w:r>
      <w:r w:rsidR="00BA504E">
        <w:rPr>
          <w:lang w:val="es-ES"/>
        </w:rPr>
        <w:t xml:space="preserve"> este</w:t>
      </w:r>
      <w:r w:rsidRPr="007A6EB7">
        <w:rPr>
          <w:lang w:val="es-ES"/>
        </w:rPr>
        <w:t xml:space="preserve"> </w:t>
      </w:r>
      <w:hyperlink r:id="rId196" w:history="1">
        <w:r w:rsidR="00BA504E">
          <w:rPr>
            <w:rStyle w:val="Hyperlink"/>
            <w:lang w:val="es-ES"/>
          </w:rPr>
          <w:t>enlace</w:t>
        </w:r>
      </w:hyperlink>
      <w:r w:rsidRPr="007A6EB7">
        <w:rPr>
          <w:lang w:val="es-ES"/>
        </w:rPr>
        <w:t>.</w:t>
      </w:r>
    </w:p>
    <w:p w14:paraId="0F235FC3" w14:textId="775F3BF8" w:rsidR="008A64DF" w:rsidRDefault="008A64DF" w:rsidP="007A6EB7">
      <w:pPr>
        <w:pStyle w:val="Headingb"/>
        <w:rPr>
          <w:lang w:val="es-ES"/>
        </w:rPr>
      </w:pPr>
      <w:r w:rsidRPr="00C23E0B">
        <w:rPr>
          <w:lang w:val="es-ES"/>
        </w:rPr>
        <w:t>Garantizar la resiliencia, seguridad y disponibilidad de redes y servicios</w:t>
      </w:r>
    </w:p>
    <w:p w14:paraId="32A51CB3" w14:textId="104BCDDE" w:rsidR="007A6EB7" w:rsidRPr="007A6EB7" w:rsidRDefault="007A6EB7" w:rsidP="007A6EB7">
      <w:pPr>
        <w:rPr>
          <w:lang w:val="es-ES"/>
        </w:rPr>
      </w:pPr>
      <w:r w:rsidRPr="007A6EB7">
        <w:rPr>
          <w:lang w:val="es-ES"/>
        </w:rPr>
        <w:t>La</w:t>
      </w:r>
      <w:r w:rsidR="00EF6125">
        <w:rPr>
          <w:lang w:val="es-ES"/>
        </w:rPr>
        <w:t xml:space="preserve"> </w:t>
      </w:r>
      <w:hyperlink r:id="rId197" w:history="1">
        <w:r w:rsidR="00EF6125">
          <w:rPr>
            <w:rStyle w:val="Hyperlink"/>
            <w:lang w:val="es-ES"/>
          </w:rPr>
          <w:t>Plataforma mundial de resiliencia de las redes (#REG4COVID)</w:t>
        </w:r>
      </w:hyperlink>
      <w:r w:rsidRPr="007A6EB7">
        <w:rPr>
          <w:lang w:val="es-ES"/>
        </w:rPr>
        <w:t xml:space="preserve"> ayuda a los responsables políticos nacionales, los reguladores y las partes interesadas del sector a garantizar que las redes y los servicios sean resilientes, seguros y estén disponibles para todos. La plataforma difundió medidas reguladoras que gestionan la congestión y la continuidad de las redes en los ámbitos sanitario, educativo, financiero, administrativo y social, así como el impacto de estas medidas, e identificó las nuevas políticas puestas en marcha para la recuperación de la COVID-19.</w:t>
      </w:r>
    </w:p>
    <w:p w14:paraId="034ACC5B" w14:textId="42105521" w:rsidR="007A6EB7" w:rsidRPr="007A6EB7" w:rsidRDefault="007A6EB7" w:rsidP="007A6EB7">
      <w:pPr>
        <w:rPr>
          <w:u w:val="single"/>
          <w:lang w:val="es-ES"/>
        </w:rPr>
      </w:pPr>
      <w:r w:rsidRPr="007A6EB7">
        <w:rPr>
          <w:lang w:val="es-ES"/>
        </w:rPr>
        <w:t>En el siguiente enlace figura una descripción de las principales iniciativas:</w:t>
      </w:r>
      <w:r w:rsidR="00C23E0B">
        <w:rPr>
          <w:lang w:val="es-ES"/>
        </w:rPr>
        <w:t xml:space="preserve"> </w:t>
      </w:r>
      <w:hyperlink r:id="rId198" w:history="1">
        <w:r w:rsidR="00C23E0B" w:rsidRPr="002E5241">
          <w:rPr>
            <w:rStyle w:val="Hyperlink"/>
            <w:bCs/>
            <w:lang w:val="es-ES"/>
          </w:rPr>
          <w:t>https://www.itu.int/en/ITU-D/Regulatory-Market/Documents/REG4COVID/2020/Summary_Key_Covid19_Initiatives.pdf</w:t>
        </w:r>
      </w:hyperlink>
      <w:r w:rsidR="00C23E0B">
        <w:rPr>
          <w:bCs/>
          <w:lang w:val="es-ES"/>
        </w:rPr>
        <w:t>.</w:t>
      </w:r>
    </w:p>
    <w:p w14:paraId="6C37419F" w14:textId="77777777" w:rsidR="007A6EB7" w:rsidRPr="007A6EB7" w:rsidRDefault="007A6EB7" w:rsidP="007A6EB7">
      <w:pPr>
        <w:rPr>
          <w:lang w:val="es-ES"/>
        </w:rPr>
      </w:pPr>
      <w:r w:rsidRPr="007A6EB7">
        <w:rPr>
          <w:lang w:val="es-ES"/>
        </w:rPr>
        <w:t>Los análisis y enseñanzas extraídas están disponibles aquí:</w:t>
      </w:r>
    </w:p>
    <w:p w14:paraId="1FE5D3E7" w14:textId="0B4E6F9E" w:rsidR="007A6EB7" w:rsidRPr="007A6EB7" w:rsidRDefault="007A6EB7" w:rsidP="007A6EB7">
      <w:pPr>
        <w:pStyle w:val="enumlev1"/>
        <w:rPr>
          <w:bCs/>
          <w:u w:val="single"/>
          <w:lang w:val="es-ES"/>
        </w:rPr>
      </w:pPr>
      <w:r>
        <w:t>i)</w:t>
      </w:r>
      <w:r>
        <w:tab/>
      </w:r>
      <w:hyperlink r:id="rId199" w:history="1">
        <w:r w:rsidR="00C23E0B" w:rsidRPr="002E5241">
          <w:rPr>
            <w:rStyle w:val="Hyperlink"/>
          </w:rPr>
          <w:t>https://reg4covid.itu.int/wp-content/uploads/2020/06/ITU_COVID-19_and_Telecom-ICT.pdf</w:t>
        </w:r>
      </w:hyperlink>
    </w:p>
    <w:p w14:paraId="4EFF0834" w14:textId="012476AF" w:rsidR="007A6EB7" w:rsidRPr="007A6EB7" w:rsidRDefault="007A6EB7" w:rsidP="007A6EB7">
      <w:pPr>
        <w:pStyle w:val="enumlev1"/>
        <w:rPr>
          <w:lang w:val="es-ES"/>
        </w:rPr>
      </w:pPr>
      <w:r>
        <w:t>ii)</w:t>
      </w:r>
      <w:r>
        <w:tab/>
      </w:r>
      <w:hyperlink r:id="rId200" w:history="1">
        <w:r w:rsidR="00C23E0B" w:rsidRPr="002E5241">
          <w:rPr>
            <w:rStyle w:val="Hyperlink"/>
          </w:rPr>
          <w:t>https://reg4covid.itu.int/wp-content/uploads/2020/05/ICTsector-response.jpg</w:t>
        </w:r>
      </w:hyperlink>
    </w:p>
    <w:p w14:paraId="6F1D8C23" w14:textId="62C66831" w:rsidR="008A64DF" w:rsidRDefault="008A64DF" w:rsidP="00086E4F">
      <w:pPr>
        <w:pStyle w:val="Headingb"/>
        <w:rPr>
          <w:lang w:val="es-ES"/>
        </w:rPr>
      </w:pPr>
      <w:r w:rsidRPr="007525FE">
        <w:rPr>
          <w:lang w:val="es-ES"/>
        </w:rPr>
        <w:t>Reforzar las redes y la capacidad en los puntos de conectividad esenciales</w:t>
      </w:r>
    </w:p>
    <w:p w14:paraId="70981164" w14:textId="3BC9339A" w:rsidR="00086E4F" w:rsidRPr="00086E4F" w:rsidRDefault="00086E4F" w:rsidP="00086E4F">
      <w:pPr>
        <w:rPr>
          <w:lang w:val="es-ES"/>
        </w:rPr>
      </w:pPr>
      <w:r w:rsidRPr="00086E4F">
        <w:rPr>
          <w:lang w:val="es-ES"/>
        </w:rPr>
        <w:t xml:space="preserve">La </w:t>
      </w:r>
      <w:hyperlink r:id="rId201" w:history="1">
        <w:r w:rsidRPr="00086E4F">
          <w:rPr>
            <w:rStyle w:val="Hyperlink"/>
            <w:lang w:val="es-ES"/>
          </w:rPr>
          <w:t>Agenda para la Acción de la Comisión de la Banda Ancha</w:t>
        </w:r>
      </w:hyperlink>
      <w:r w:rsidRPr="00086E4F">
        <w:rPr>
          <w:lang w:val="es-ES"/>
        </w:rPr>
        <w:t xml:space="preserve"> describe medidas a corto y medio plazo destinadas a los gobiernos, la industria, la comunidad internacional y la sociedad civil, y diseñadas para afianzar las redes digitales, reforzar la capacidad en puntos de conectividad esenciales como los hospitales y los nodos de transporte, e impulsar el acceso digital y la inclusión.</w:t>
      </w:r>
    </w:p>
    <w:p w14:paraId="27854747" w14:textId="74CB5653" w:rsidR="008A64DF" w:rsidRDefault="008A64DF" w:rsidP="00086E4F">
      <w:pPr>
        <w:pStyle w:val="Headingb"/>
        <w:rPr>
          <w:lang w:val="es-ES"/>
        </w:rPr>
      </w:pPr>
      <w:r w:rsidRPr="007525FE">
        <w:rPr>
          <w:lang w:val="es-ES"/>
        </w:rPr>
        <w:lastRenderedPageBreak/>
        <w:t>Reunir a las comunidades para responder ante la COVID-19</w:t>
      </w:r>
    </w:p>
    <w:p w14:paraId="4288E836" w14:textId="15086659" w:rsidR="00086E4F" w:rsidRPr="00086E4F" w:rsidRDefault="00086E4F" w:rsidP="00086E4F">
      <w:pPr>
        <w:rPr>
          <w:lang w:val="es-ES"/>
        </w:rPr>
      </w:pPr>
      <w:r w:rsidRPr="00086E4F">
        <w:rPr>
          <w:lang w:val="es-ES"/>
        </w:rPr>
        <w:t xml:space="preserve">El Banco Mundial, la GSMA y el Foro Económico Mundial mantuvieron debates a fin de determinar cómo reunir a las comunidades para ayudar a los </w:t>
      </w:r>
      <w:r w:rsidR="007525FE">
        <w:rPr>
          <w:lang w:val="es-ES"/>
        </w:rPr>
        <w:t>m</w:t>
      </w:r>
      <w:r w:rsidRPr="00086E4F">
        <w:rPr>
          <w:lang w:val="es-ES"/>
        </w:rPr>
        <w:t xml:space="preserve">iembros de la UIT </w:t>
      </w:r>
      <w:r w:rsidR="00154BEE" w:rsidRPr="00154BEE">
        <w:rPr>
          <w:lang w:val="es-ES"/>
        </w:rPr>
        <w:t>a adoptar medidas de respuesta frente</w:t>
      </w:r>
      <w:r w:rsidRPr="00086E4F">
        <w:rPr>
          <w:lang w:val="es-ES"/>
        </w:rPr>
        <w:t xml:space="preserve"> la COVID</w:t>
      </w:r>
      <w:r w:rsidR="00834D4F">
        <w:rPr>
          <w:lang w:val="es-ES"/>
        </w:rPr>
        <w:noBreakHyphen/>
      </w:r>
      <w:r w:rsidRPr="00086E4F">
        <w:rPr>
          <w:lang w:val="es-ES"/>
        </w:rPr>
        <w:t>19. La "</w:t>
      </w:r>
      <w:r w:rsidR="007525FE">
        <w:rPr>
          <w:lang w:val="es-ES"/>
        </w:rPr>
        <w:t>i</w:t>
      </w:r>
      <w:r w:rsidRPr="00086E4F">
        <w:rPr>
          <w:lang w:val="es-ES"/>
        </w:rPr>
        <w:t xml:space="preserve">niciativa Speedboat" publicó </w:t>
      </w:r>
      <w:r w:rsidR="00154BEE" w:rsidRPr="00154BEE">
        <w:rPr>
          <w:lang w:val="es-ES"/>
        </w:rPr>
        <w:t>el documento</w:t>
      </w:r>
      <w:r w:rsidRPr="00086E4F">
        <w:rPr>
          <w:lang w:val="es-ES"/>
        </w:rPr>
        <w:t xml:space="preserve"> </w:t>
      </w:r>
      <w:r w:rsidR="007525FE" w:rsidRPr="007525FE">
        <w:t>"</w:t>
      </w:r>
      <w:hyperlink r:id="rId202" w:history="1">
        <w:r w:rsidRPr="007525FE">
          <w:rPr>
            <w:rStyle w:val="Hyperlink"/>
            <w:lang w:val="es-ES"/>
          </w:rPr>
          <w:t>Respuesta a la crisis de</w:t>
        </w:r>
        <w:r w:rsidR="00077841">
          <w:rPr>
            <w:rStyle w:val="Hyperlink"/>
            <w:lang w:val="es-ES"/>
          </w:rPr>
          <w:t xml:space="preserve"> la</w:t>
        </w:r>
        <w:r w:rsidRPr="007525FE">
          <w:rPr>
            <w:rStyle w:val="Hyperlink"/>
            <w:lang w:val="es-ES"/>
          </w:rPr>
          <w:t xml:space="preserve"> COVID-19: Plan de Acción </w:t>
        </w:r>
        <w:r w:rsidR="007525FE" w:rsidRPr="007525FE">
          <w:rPr>
            <w:rStyle w:val="Hyperlink"/>
            <w:lang w:val="es-ES"/>
          </w:rPr>
          <w:t>c</w:t>
        </w:r>
        <w:r w:rsidRPr="007525FE">
          <w:rPr>
            <w:rStyle w:val="Hyperlink"/>
            <w:lang w:val="es-ES"/>
          </w:rPr>
          <w:t xml:space="preserve">onjunto de </w:t>
        </w:r>
        <w:r w:rsidR="007525FE" w:rsidRPr="007525FE">
          <w:rPr>
            <w:rStyle w:val="Hyperlink"/>
            <w:lang w:val="es-ES"/>
          </w:rPr>
          <w:t>d</w:t>
        </w:r>
        <w:r w:rsidRPr="007525FE">
          <w:rPr>
            <w:rStyle w:val="Hyperlink"/>
            <w:lang w:val="es-ES"/>
          </w:rPr>
          <w:t xml:space="preserve">esarrollo </w:t>
        </w:r>
        <w:r w:rsidR="007525FE" w:rsidRPr="007525FE">
          <w:rPr>
            <w:rStyle w:val="Hyperlink"/>
            <w:lang w:val="es-ES"/>
          </w:rPr>
          <w:t>d</w:t>
        </w:r>
        <w:r w:rsidRPr="007525FE">
          <w:rPr>
            <w:rStyle w:val="Hyperlink"/>
            <w:lang w:val="es-ES"/>
          </w:rPr>
          <w:t xml:space="preserve">igital y </w:t>
        </w:r>
        <w:r w:rsidR="007525FE" w:rsidRPr="007525FE">
          <w:rPr>
            <w:rStyle w:val="Hyperlink"/>
            <w:lang w:val="es-ES"/>
          </w:rPr>
          <w:t>l</w:t>
        </w:r>
        <w:r w:rsidRPr="007525FE">
          <w:rPr>
            <w:rStyle w:val="Hyperlink"/>
            <w:lang w:val="es-ES"/>
          </w:rPr>
          <w:t xml:space="preserve">lamamiento a la </w:t>
        </w:r>
        <w:r w:rsidR="007525FE" w:rsidRPr="007525FE">
          <w:rPr>
            <w:rStyle w:val="Hyperlink"/>
            <w:lang w:val="es-ES"/>
          </w:rPr>
          <w:t>a</w:t>
        </w:r>
        <w:r w:rsidRPr="007525FE">
          <w:rPr>
            <w:rStyle w:val="Hyperlink"/>
            <w:lang w:val="es-ES"/>
          </w:rPr>
          <w:t>cción</w:t>
        </w:r>
      </w:hyperlink>
      <w:r w:rsidR="007525FE">
        <w:rPr>
          <w:lang w:val="es-ES"/>
        </w:rPr>
        <w:t>"</w:t>
      </w:r>
      <w:r w:rsidRPr="00086E4F">
        <w:rPr>
          <w:lang w:val="es-ES"/>
        </w:rPr>
        <w:t xml:space="preserve"> para aprovechar mejor las tecnologías e infraestructuras digitales en beneficio de los ciudadanos, los gobiernos y las empresas durante la pandemia.</w:t>
      </w:r>
    </w:p>
    <w:p w14:paraId="39D21112" w14:textId="71764354" w:rsidR="008A64DF" w:rsidRDefault="008A64DF" w:rsidP="00086E4F">
      <w:pPr>
        <w:pStyle w:val="Headingb"/>
        <w:rPr>
          <w:lang w:val="es-ES"/>
        </w:rPr>
      </w:pPr>
      <w:r w:rsidRPr="007525FE">
        <w:rPr>
          <w:lang w:val="es-ES"/>
        </w:rPr>
        <w:t>Acceso estable y asequible para los que carecen de conexión</w:t>
      </w:r>
    </w:p>
    <w:p w14:paraId="6101EADE" w14:textId="479D86FA" w:rsidR="00086E4F" w:rsidRDefault="00086E4F" w:rsidP="00086E4F">
      <w:pPr>
        <w:rPr>
          <w:lang w:val="es-ES"/>
        </w:rPr>
      </w:pPr>
      <w:r w:rsidRPr="00086E4F">
        <w:rPr>
          <w:lang w:val="es-ES"/>
        </w:rPr>
        <w:t xml:space="preserve">En la serie de seminarios web </w:t>
      </w:r>
      <w:r w:rsidR="007525FE">
        <w:rPr>
          <w:bCs/>
          <w:lang w:val="es-ES"/>
        </w:rPr>
        <w:t>"</w:t>
      </w:r>
      <w:hyperlink r:id="rId203" w:history="1">
        <w:r w:rsidRPr="00AF6115">
          <w:rPr>
            <w:rStyle w:val="Hyperlink"/>
            <w:bCs/>
            <w:lang w:val="fr-FR"/>
          </w:rPr>
          <w:t xml:space="preserve">Digital </w:t>
        </w:r>
        <w:proofErr w:type="spellStart"/>
        <w:r w:rsidRPr="00AF6115">
          <w:rPr>
            <w:rStyle w:val="Hyperlink"/>
            <w:bCs/>
            <w:lang w:val="fr-FR"/>
          </w:rPr>
          <w:t>Cooperation</w:t>
        </w:r>
        <w:proofErr w:type="spellEnd"/>
        <w:r w:rsidRPr="00AF6115">
          <w:rPr>
            <w:rStyle w:val="Hyperlink"/>
            <w:bCs/>
            <w:lang w:val="fr-FR"/>
          </w:rPr>
          <w:t xml:space="preserve"> </w:t>
        </w:r>
        <w:proofErr w:type="spellStart"/>
        <w:r w:rsidRPr="00AF6115">
          <w:rPr>
            <w:rStyle w:val="Hyperlink"/>
            <w:bCs/>
            <w:lang w:val="fr-FR"/>
          </w:rPr>
          <w:t>during</w:t>
        </w:r>
        <w:proofErr w:type="spellEnd"/>
        <w:r w:rsidRPr="00AF6115">
          <w:rPr>
            <w:rStyle w:val="Hyperlink"/>
            <w:bCs/>
            <w:lang w:val="fr-FR"/>
          </w:rPr>
          <w:t xml:space="preserve"> COVID-19 and </w:t>
        </w:r>
        <w:proofErr w:type="spellStart"/>
        <w:r w:rsidRPr="00AF6115">
          <w:rPr>
            <w:rStyle w:val="Hyperlink"/>
            <w:bCs/>
            <w:lang w:val="fr-FR"/>
          </w:rPr>
          <w:t>beyond</w:t>
        </w:r>
        <w:proofErr w:type="spellEnd"/>
      </w:hyperlink>
      <w:r w:rsidR="007525FE">
        <w:rPr>
          <w:lang w:val="es-ES"/>
        </w:rPr>
        <w:t>"</w:t>
      </w:r>
      <w:r w:rsidRPr="007525FE">
        <w:rPr>
          <w:lang w:val="es-ES"/>
        </w:rPr>
        <w:t xml:space="preserve"> se analizó la conectividad en diversas regiones y se identificaron medidas para aumentar el acceso estable y asequible para los que carecen de conexión</w:t>
      </w:r>
      <w:r w:rsidR="007525FE">
        <w:rPr>
          <w:lang w:val="es-ES"/>
        </w:rPr>
        <w:t>,</w:t>
      </w:r>
      <w:r w:rsidRPr="007525FE">
        <w:rPr>
          <w:lang w:val="es-ES"/>
        </w:rPr>
        <w:t xml:space="preserve"> la estabilidad y el acceso de series</w:t>
      </w:r>
      <w:r w:rsidRPr="00086E4F">
        <w:rPr>
          <w:lang w:val="es-ES"/>
        </w:rPr>
        <w:t>. Entre los temas tratados se cuentan las prácticas idóneas de conectividad sobre iniciativas COVID-19; la información falsa y la desinformación; la seguridad en línea; la salud pública, la respuesta digital y los derechos humanos.</w:t>
      </w:r>
    </w:p>
    <w:p w14:paraId="12E379A8" w14:textId="45D6836C" w:rsidR="00154BEE" w:rsidRPr="00154BEE" w:rsidRDefault="00154BEE" w:rsidP="00154BEE">
      <w:pPr>
        <w:pStyle w:val="Headingb"/>
        <w:rPr>
          <w:lang w:val="es-ES"/>
        </w:rPr>
      </w:pPr>
      <w:r w:rsidRPr="00154BEE">
        <w:rPr>
          <w:lang w:val="es-ES"/>
        </w:rPr>
        <w:t>Certificados digitales COVID-19</w:t>
      </w:r>
    </w:p>
    <w:p w14:paraId="014FF61F" w14:textId="05A7ECE5" w:rsidR="00154BEE" w:rsidRPr="00D5601F" w:rsidRDefault="00154BEE" w:rsidP="00154BEE">
      <w:r w:rsidRPr="00154BEE">
        <w:t xml:space="preserve">Los trabajos de normalización en la esfera de los certificados digitales COVID-19 respecto de las Comisiones de Estudio del UIT-T pertinentes, y organizaciones y foros externos, se coordinan en el marco de la </w:t>
      </w:r>
      <w:hyperlink r:id="rId204" w:history="1">
        <w:r w:rsidRPr="00154BEE">
          <w:rPr>
            <w:rStyle w:val="Hyperlink"/>
          </w:rPr>
          <w:t xml:space="preserve">Actividad Conjunta de Coordinación sobre </w:t>
        </w:r>
        <w:r w:rsidR="006B5D38" w:rsidRPr="00154BEE">
          <w:rPr>
            <w:rStyle w:val="Hyperlink"/>
          </w:rPr>
          <w:t>c</w:t>
        </w:r>
        <w:r w:rsidRPr="00154BEE">
          <w:rPr>
            <w:rStyle w:val="Hyperlink"/>
          </w:rPr>
          <w:t xml:space="preserve">ertificados </w:t>
        </w:r>
        <w:r w:rsidR="006B5D38" w:rsidRPr="00154BEE">
          <w:rPr>
            <w:rStyle w:val="Hyperlink"/>
          </w:rPr>
          <w:t>d</w:t>
        </w:r>
        <w:r w:rsidRPr="00154BEE">
          <w:rPr>
            <w:rStyle w:val="Hyperlink"/>
          </w:rPr>
          <w:t>igitales COVID-19 (JCA-DCC)</w:t>
        </w:r>
      </w:hyperlink>
      <w:r w:rsidRPr="00154BEE">
        <w:t>, con objeto de fomentar la utilización de arquitecturas de datos compatibles para compartir datos y fomentar la interoperabilidad, versatilidad y seguridad con respecto a los usuarios y a todas las partes interesadas.</w:t>
      </w:r>
    </w:p>
    <w:p w14:paraId="33622911" w14:textId="5EE6C02B" w:rsidR="008A64DF" w:rsidRDefault="008A64DF" w:rsidP="00086E4F">
      <w:pPr>
        <w:pStyle w:val="Headingb"/>
        <w:rPr>
          <w:lang w:val="es-ES"/>
        </w:rPr>
      </w:pPr>
      <w:r w:rsidRPr="006D59C9">
        <w:rPr>
          <w:lang w:val="es-ES"/>
        </w:rPr>
        <w:t xml:space="preserve">Reforzar </w:t>
      </w:r>
      <w:r w:rsidR="006D59C9" w:rsidRPr="006D59C9">
        <w:rPr>
          <w:lang w:val="es-ES"/>
        </w:rPr>
        <w:t xml:space="preserve">la </w:t>
      </w:r>
      <w:r w:rsidRPr="006D59C9">
        <w:rPr>
          <w:lang w:val="es-ES"/>
        </w:rPr>
        <w:t>infraestructura digital nacional para evitar la propagación de la enfermedad</w:t>
      </w:r>
    </w:p>
    <w:p w14:paraId="20FA0B29" w14:textId="77777777" w:rsidR="00086E4F" w:rsidRPr="00086E4F" w:rsidRDefault="00086E4F" w:rsidP="00086E4F">
      <w:pPr>
        <w:rPr>
          <w:lang w:val="es-ES"/>
        </w:rPr>
      </w:pPr>
      <w:r w:rsidRPr="00086E4F">
        <w:rPr>
          <w:lang w:val="es-ES"/>
        </w:rPr>
        <w:t xml:space="preserve">La iniciativa </w:t>
      </w:r>
      <w:hyperlink r:id="rId205" w:history="1">
        <w:r w:rsidRPr="00086E4F">
          <w:rPr>
            <w:rStyle w:val="Hyperlink"/>
            <w:lang w:val="es-ES"/>
          </w:rPr>
          <w:t>Connect2Recover</w:t>
        </w:r>
      </w:hyperlink>
      <w:r w:rsidRPr="00086E4F">
        <w:rPr>
          <w:lang w:val="es-ES"/>
        </w:rPr>
        <w:t xml:space="preserve"> presta a los países asistencia específica para reforzar su infraestructura digital, mediante el teletrabajo, el comercio electrónico, la enseñanza a distancia y la telemedicina, a fin de evitar la propagación de la COVID-19 y ayudar en la recuperación y preparación para eventuales futuras pandemias. En el marco de esta iniciativa, la UIT ha colaborado con el Gobierno de Japón y el Reino de Arabia Saudita.</w:t>
      </w:r>
    </w:p>
    <w:p w14:paraId="204A8420" w14:textId="008F011E" w:rsidR="008A64DF" w:rsidRDefault="008A64DF" w:rsidP="00086E4F">
      <w:pPr>
        <w:pStyle w:val="Headingb"/>
        <w:rPr>
          <w:lang w:val="es-ES"/>
        </w:rPr>
      </w:pPr>
      <w:r w:rsidRPr="006D59C9">
        <w:rPr>
          <w:lang w:val="es-ES"/>
        </w:rPr>
        <w:t>Acelerar la conectividad digital a raíz de la COVID-19</w:t>
      </w:r>
    </w:p>
    <w:p w14:paraId="44955EE4" w14:textId="6E7730CB" w:rsidR="00086E4F" w:rsidRPr="00086E4F" w:rsidRDefault="00086E4F" w:rsidP="00086E4F">
      <w:pPr>
        <w:rPr>
          <w:lang w:val="es-ES"/>
        </w:rPr>
      </w:pPr>
      <w:r w:rsidRPr="00086E4F">
        <w:rPr>
          <w:lang w:val="es-ES"/>
        </w:rPr>
        <w:t xml:space="preserve">En el marco del Foro de Gobernanza Mundial ONU75, la UIT junto con la Asociación de Operadores de Satélites EMEA, Facebook, GSMA, Loon, Microsoft, SpaceX, UN Global Compact, UNICEF y el Foro Económico Mundial, aprobaron medidas concretas para </w:t>
      </w:r>
      <w:hyperlink r:id="rId206" w:history="1">
        <w:r w:rsidR="006D59C9" w:rsidRPr="00086E4F">
          <w:rPr>
            <w:rStyle w:val="Hyperlink"/>
            <w:lang w:val="es-ES"/>
          </w:rPr>
          <w:t>a</w:t>
        </w:r>
        <w:r w:rsidRPr="00086E4F">
          <w:rPr>
            <w:rStyle w:val="Hyperlink"/>
            <w:lang w:val="es-ES"/>
          </w:rPr>
          <w:t>celerar la conectividad digital a raíz de la COVID-19</w:t>
        </w:r>
      </w:hyperlink>
      <w:r w:rsidRPr="00086E4F">
        <w:rPr>
          <w:lang w:val="es-ES"/>
        </w:rPr>
        <w:t>.</w:t>
      </w:r>
    </w:p>
    <w:p w14:paraId="639779FA" w14:textId="601E279D" w:rsidR="008A64DF" w:rsidRDefault="008A64DF" w:rsidP="00086E4F">
      <w:pPr>
        <w:pStyle w:val="Headingb"/>
        <w:rPr>
          <w:lang w:val="es-ES"/>
        </w:rPr>
      </w:pPr>
      <w:r w:rsidRPr="00720633">
        <w:rPr>
          <w:lang w:val="es-ES"/>
        </w:rPr>
        <w:t>Enviar mensajes sanitarios cruciales a millones de personas del planeta</w:t>
      </w:r>
    </w:p>
    <w:p w14:paraId="422D3E99" w14:textId="4C136C40" w:rsidR="00086E4F" w:rsidRPr="00086E4F" w:rsidRDefault="00086E4F" w:rsidP="00086E4F">
      <w:pPr>
        <w:rPr>
          <w:lang w:val="es-ES"/>
        </w:rPr>
      </w:pPr>
      <w:r w:rsidRPr="00086E4F">
        <w:rPr>
          <w:lang w:val="es-ES"/>
        </w:rPr>
        <w:t xml:space="preserve">La UIT, en cooperación con la Organización Mundial de la Salud y con la ayuda de UNICEF han colaborado con empresas de telecomunicaciones –en el marco de la iniciativa </w:t>
      </w:r>
      <w:hyperlink r:id="rId207" w:history="1">
        <w:r w:rsidRPr="00AF6115">
          <w:rPr>
            <w:rStyle w:val="Hyperlink"/>
            <w:lang w:val="fr-FR"/>
          </w:rPr>
          <w:t xml:space="preserve">Be </w:t>
        </w:r>
        <w:proofErr w:type="spellStart"/>
        <w:r w:rsidRPr="00AF6115">
          <w:rPr>
            <w:rStyle w:val="Hyperlink"/>
            <w:lang w:val="fr-FR"/>
          </w:rPr>
          <w:t>Healthy</w:t>
        </w:r>
        <w:proofErr w:type="spellEnd"/>
        <w:r w:rsidRPr="00AF6115">
          <w:rPr>
            <w:rStyle w:val="Hyperlink"/>
            <w:lang w:val="fr-FR"/>
          </w:rPr>
          <w:t>, Be Mobile</w:t>
        </w:r>
      </w:hyperlink>
      <w:r w:rsidRPr="00086E4F">
        <w:rPr>
          <w:lang w:val="es-ES"/>
        </w:rPr>
        <w:t xml:space="preserve"> (BHBM)– a fin de enviar mensajes de texto a teléfonos móviles en los que se indica cómo protegerse contra la COVID-19, llegando a millones de personas sin conexión a Internet.</w:t>
      </w:r>
    </w:p>
    <w:p w14:paraId="5CC74986" w14:textId="1211C6EB" w:rsidR="00086E4F" w:rsidRPr="00086E4F" w:rsidRDefault="00086E4F" w:rsidP="00630340">
      <w:pPr>
        <w:keepNext/>
        <w:keepLines/>
        <w:rPr>
          <w:lang w:val="es-ES"/>
        </w:rPr>
      </w:pPr>
      <w:r w:rsidRPr="00086E4F">
        <w:rPr>
          <w:lang w:val="es-ES"/>
        </w:rPr>
        <w:lastRenderedPageBreak/>
        <w:t xml:space="preserve">En Túnez, se utilizaron las plataformas de cibersalud existentes para enviar mensajes sobre la COVID-19 a unos </w:t>
      </w:r>
      <w:r w:rsidR="00720633">
        <w:rPr>
          <w:lang w:val="es-ES"/>
        </w:rPr>
        <w:t>diez</w:t>
      </w:r>
      <w:r w:rsidRPr="00086E4F">
        <w:rPr>
          <w:lang w:val="es-ES"/>
        </w:rPr>
        <w:t xml:space="preserve"> millones de ciudadanos. En Senegal, 230</w:t>
      </w:r>
      <w:r w:rsidR="00EF6125">
        <w:rPr>
          <w:lang w:val="es-ES"/>
        </w:rPr>
        <w:t> </w:t>
      </w:r>
      <w:r w:rsidRPr="00086E4F">
        <w:rPr>
          <w:lang w:val="es-ES"/>
        </w:rPr>
        <w:t>000 personas se beneficiaron de la campaña mRamadan relativa a consejos sobre la diabetes e información básica sobre la COVID</w:t>
      </w:r>
      <w:r w:rsidR="00720633">
        <w:rPr>
          <w:lang w:val="es-ES"/>
        </w:rPr>
        <w:t>-19</w:t>
      </w:r>
      <w:r w:rsidRPr="00086E4F">
        <w:rPr>
          <w:lang w:val="es-ES"/>
        </w:rPr>
        <w:t>. En Sudán, la solución de la iniciativa BHBM ayudó a enviar mensajes relacionados con la COVID-19 a más de 71</w:t>
      </w:r>
      <w:r w:rsidR="00212EE6">
        <w:rPr>
          <w:lang w:val="es-ES"/>
        </w:rPr>
        <w:t> </w:t>
      </w:r>
      <w:r w:rsidRPr="00086E4F">
        <w:rPr>
          <w:lang w:val="es-ES"/>
        </w:rPr>
        <w:t>000 personas. En Níger, la UIT estableció una línea telefónica automática para ofrecer información básica sobre el virus y la prevención de riesgos.</w:t>
      </w:r>
    </w:p>
    <w:p w14:paraId="4E07A8BB" w14:textId="6E9F992E" w:rsidR="008A64DF" w:rsidRDefault="008A64DF" w:rsidP="00086E4F">
      <w:pPr>
        <w:pStyle w:val="Headingb"/>
        <w:rPr>
          <w:lang w:val="es-ES"/>
        </w:rPr>
      </w:pPr>
      <w:r w:rsidRPr="005C5A17">
        <w:rPr>
          <w:lang w:val="es-ES"/>
        </w:rPr>
        <w:t>Coordinar la divulgación de soluciones sanitarias y la formación gratuita a distancia</w:t>
      </w:r>
    </w:p>
    <w:p w14:paraId="735D7622" w14:textId="66032D1A" w:rsidR="00086E4F" w:rsidRPr="00086E4F" w:rsidRDefault="00086E4F" w:rsidP="00086E4F">
      <w:pPr>
        <w:rPr>
          <w:lang w:val="es-ES"/>
        </w:rPr>
      </w:pPr>
      <w:r w:rsidRPr="00086E4F">
        <w:rPr>
          <w:lang w:val="es-ES"/>
        </w:rPr>
        <w:t xml:space="preserve">La </w:t>
      </w:r>
      <w:hyperlink r:id="rId208" w:history="1">
        <w:r w:rsidR="00FF7433">
          <w:rPr>
            <w:rStyle w:val="Hyperlink"/>
            <w:lang w:val="es-ES"/>
          </w:rPr>
          <w:t>plataforma Aldeas inteligentes de la UIT</w:t>
        </w:r>
      </w:hyperlink>
      <w:r w:rsidRPr="00086E4F">
        <w:rPr>
          <w:lang w:val="es-ES"/>
        </w:rPr>
        <w:t xml:space="preserve"> ha puesto en marcha servicios de voz interactivos sobre la COVID-19 para todos los habitantes de Níger.</w:t>
      </w:r>
    </w:p>
    <w:p w14:paraId="6389EF0F" w14:textId="13FF11FE" w:rsidR="00086E4F" w:rsidRDefault="00086E4F" w:rsidP="00086E4F">
      <w:pPr>
        <w:rPr>
          <w:lang w:val="es-ES"/>
        </w:rPr>
      </w:pPr>
      <w:r w:rsidRPr="00086E4F">
        <w:rPr>
          <w:lang w:val="es-ES"/>
        </w:rPr>
        <w:t>El Grupo Temático del UIT-T sobre IA para la salud, en colaboración con la OMS, recurrió a la IA y otras tecnologías digitales para luchar contra la COVID-19 durante el ciclo de emergencia epidémica.</w:t>
      </w:r>
    </w:p>
    <w:p w14:paraId="5EF71976" w14:textId="59CDAA6A" w:rsidR="00086E4F" w:rsidRPr="00086E4F" w:rsidRDefault="00086E4F" w:rsidP="00086E4F">
      <w:pPr>
        <w:rPr>
          <w:lang w:val="es-ES"/>
        </w:rPr>
      </w:pPr>
      <w:r w:rsidRPr="00086E4F">
        <w:rPr>
          <w:lang w:val="es-ES"/>
        </w:rPr>
        <w:t xml:space="preserve">La UIT ha puesto en marcha una </w:t>
      </w:r>
      <w:hyperlink r:id="rId209" w:history="1">
        <w:r w:rsidRPr="00086E4F">
          <w:rPr>
            <w:rStyle w:val="Hyperlink"/>
            <w:lang w:val="es-ES"/>
          </w:rPr>
          <w:t>serie de seminarios web de</w:t>
        </w:r>
        <w:r w:rsidRPr="005C5A17">
          <w:rPr>
            <w:rStyle w:val="Hyperlink"/>
            <w:lang w:val="es-ES"/>
          </w:rPr>
          <w:t xml:space="preserve"> AI </w:t>
        </w:r>
        <w:r w:rsidRPr="00AF6115">
          <w:rPr>
            <w:rStyle w:val="Hyperlink"/>
            <w:lang w:val="fr-FR"/>
          </w:rPr>
          <w:t>for Good</w:t>
        </w:r>
      </w:hyperlink>
      <w:r w:rsidRPr="00086E4F">
        <w:rPr>
          <w:lang w:val="es-ES"/>
        </w:rPr>
        <w:t xml:space="preserve"> que consiste en ejemplos de utilización de la inteligencia artificial en la atención sanitaria y otros retos mundiales, incluida la respuesta a la pandemia.</w:t>
      </w:r>
    </w:p>
    <w:p w14:paraId="5A73FD18" w14:textId="7FACF83B" w:rsidR="00086E4F" w:rsidRPr="00086E4F" w:rsidRDefault="00086E4F" w:rsidP="00086E4F">
      <w:pPr>
        <w:rPr>
          <w:lang w:val="es-ES"/>
        </w:rPr>
      </w:pPr>
      <w:r w:rsidRPr="00086E4F">
        <w:rPr>
          <w:lang w:val="es-ES"/>
        </w:rPr>
        <w:t xml:space="preserve">La </w:t>
      </w:r>
      <w:hyperlink r:id="rId210" w:history="1">
        <w:r w:rsidRPr="00086E4F">
          <w:rPr>
            <w:rStyle w:val="Hyperlink"/>
            <w:lang w:val="es-ES"/>
          </w:rPr>
          <w:t xml:space="preserve">Coalición </w:t>
        </w:r>
        <w:r w:rsidR="00FC654A" w:rsidRPr="00FC654A">
          <w:rPr>
            <w:rStyle w:val="Hyperlink"/>
            <w:lang w:val="es-ES"/>
          </w:rPr>
          <w:t xml:space="preserve">Mundial </w:t>
        </w:r>
        <w:r w:rsidRPr="00086E4F">
          <w:rPr>
            <w:rStyle w:val="Hyperlink"/>
            <w:lang w:val="es-ES"/>
          </w:rPr>
          <w:t xml:space="preserve">para la </w:t>
        </w:r>
        <w:r w:rsidR="00FC654A" w:rsidRPr="00086E4F">
          <w:rPr>
            <w:rStyle w:val="Hyperlink"/>
            <w:lang w:val="es-ES"/>
          </w:rPr>
          <w:t>E</w:t>
        </w:r>
        <w:r w:rsidRPr="00086E4F">
          <w:rPr>
            <w:rStyle w:val="Hyperlink"/>
            <w:lang w:val="es-ES"/>
          </w:rPr>
          <w:t>ducación ante la COVID-19</w:t>
        </w:r>
      </w:hyperlink>
      <w:r w:rsidRPr="00086E4F">
        <w:rPr>
          <w:lang w:val="es-ES"/>
        </w:rPr>
        <w:t xml:space="preserve"> dirigida por la UNESCO garantiza la enseñanza continua de más de 1</w:t>
      </w:r>
      <w:r w:rsidR="005C5A17">
        <w:rPr>
          <w:lang w:val="es-ES"/>
        </w:rPr>
        <w:t> </w:t>
      </w:r>
      <w:r w:rsidRPr="00086E4F">
        <w:rPr>
          <w:lang w:val="es-ES"/>
        </w:rPr>
        <w:t xml:space="preserve">500 millones de estudiantes que se han visto afectados por el cierre de escuelas y universidades. La UIT ofrece un </w:t>
      </w:r>
      <w:hyperlink r:id="rId211" w:history="1">
        <w:r w:rsidRPr="00086E4F">
          <w:rPr>
            <w:rStyle w:val="Hyperlink"/>
            <w:lang w:val="es-ES"/>
          </w:rPr>
          <w:t>programa de estudios</w:t>
        </w:r>
      </w:hyperlink>
      <w:r w:rsidRPr="00086E4F">
        <w:rPr>
          <w:lang w:val="es-ES"/>
        </w:rPr>
        <w:t xml:space="preserve"> gratuito que ofrece a los instructores las herramientas y competencias para la enseñanza a distancia.</w:t>
      </w:r>
    </w:p>
    <w:p w14:paraId="760E53E2" w14:textId="663CD994" w:rsidR="008A64DF" w:rsidRDefault="008A64DF" w:rsidP="00086E4F">
      <w:pPr>
        <w:pStyle w:val="Headingb"/>
        <w:rPr>
          <w:lang w:val="es-ES"/>
        </w:rPr>
      </w:pPr>
      <w:r w:rsidRPr="002E768C">
        <w:rPr>
          <w:lang w:val="es-ES"/>
        </w:rPr>
        <w:t>Soluciones y prácticas idóneas para que las ciudades se enfrenten a la COVID-19</w:t>
      </w:r>
    </w:p>
    <w:p w14:paraId="1EE49254" w14:textId="36F05DF5" w:rsidR="008A64DF" w:rsidRPr="00086E4F" w:rsidRDefault="00086E4F" w:rsidP="00086E4F">
      <w:pPr>
        <w:rPr>
          <w:lang w:val="es-ES"/>
        </w:rPr>
      </w:pPr>
      <w:r w:rsidRPr="00086E4F">
        <w:rPr>
          <w:lang w:val="es-ES"/>
        </w:rPr>
        <w:t xml:space="preserve">La iniciativa </w:t>
      </w:r>
      <w:hyperlink r:id="rId212" w:history="1">
        <w:r w:rsidRPr="00086E4F">
          <w:rPr>
            <w:rStyle w:val="Hyperlink"/>
            <w:lang w:val="es-ES"/>
          </w:rPr>
          <w:t>Unidos por las ciudades inteligentes sostenibles (U4SSC)</w:t>
        </w:r>
      </w:hyperlink>
      <w:r w:rsidRPr="00086E4F">
        <w:rPr>
          <w:lang w:val="es-ES"/>
        </w:rPr>
        <w:t>, coordinada por la UIT, la</w:t>
      </w:r>
      <w:r w:rsidR="002E768C">
        <w:rPr>
          <w:lang w:val="es-ES"/>
        </w:rPr>
        <w:t> </w:t>
      </w:r>
      <w:r w:rsidRPr="00086E4F">
        <w:rPr>
          <w:lang w:val="es-ES"/>
        </w:rPr>
        <w:t xml:space="preserve">CEPE y </w:t>
      </w:r>
      <w:r w:rsidR="00E87D79">
        <w:rPr>
          <w:lang w:val="es-ES"/>
        </w:rPr>
        <w:t>O</w:t>
      </w:r>
      <w:r w:rsidRPr="00086E4F">
        <w:rPr>
          <w:lang w:val="es-ES"/>
        </w:rPr>
        <w:t>N</w:t>
      </w:r>
      <w:r w:rsidR="00E87D79">
        <w:rPr>
          <w:lang w:val="es-ES"/>
        </w:rPr>
        <w:t>U</w:t>
      </w:r>
      <w:r w:rsidRPr="00086E4F">
        <w:rPr>
          <w:lang w:val="es-ES"/>
        </w:rPr>
        <w:t>-H</w:t>
      </w:r>
      <w:r w:rsidR="00E87D79">
        <w:rPr>
          <w:lang w:val="es-ES"/>
        </w:rPr>
        <w:t>á</w:t>
      </w:r>
      <w:r w:rsidRPr="00086E4F">
        <w:rPr>
          <w:lang w:val="es-ES"/>
        </w:rPr>
        <w:t>bitat, y con la colaboración de otros 14 organismos de Naciones Unidas, investiga soluciones y prácticas idóneas adoptadas por las ciudades para hacer frente a la</w:t>
      </w:r>
      <w:r w:rsidR="00E87D79">
        <w:rPr>
          <w:lang w:val="es-ES"/>
        </w:rPr>
        <w:t> </w:t>
      </w:r>
      <w:r w:rsidRPr="00086E4F">
        <w:rPr>
          <w:lang w:val="es-ES"/>
        </w:rPr>
        <w:t>COVID</w:t>
      </w:r>
      <w:r w:rsidR="00E87D79">
        <w:rPr>
          <w:lang w:val="es-ES"/>
        </w:rPr>
        <w:noBreakHyphen/>
      </w:r>
      <w:r w:rsidRPr="00086E4F">
        <w:rPr>
          <w:lang w:val="es-ES"/>
        </w:rPr>
        <w:t>19. También identifica mecanismos para ayudar a la recuperación y resiliencia en ciudades en la era de la COVID-19.</w:t>
      </w:r>
    </w:p>
    <w:p w14:paraId="41CE5D35" w14:textId="01F90BA1" w:rsidR="008A64DF" w:rsidRDefault="008A64DF" w:rsidP="00086E4F">
      <w:pPr>
        <w:pStyle w:val="Headingb"/>
        <w:rPr>
          <w:lang w:val="es-ES"/>
        </w:rPr>
      </w:pPr>
      <w:r w:rsidRPr="00D719EB">
        <w:rPr>
          <w:lang w:val="es-ES"/>
        </w:rPr>
        <w:t>Respuesta de la CMSI ante la COVID-19: organización de más de 80 talleres</w:t>
      </w:r>
    </w:p>
    <w:p w14:paraId="518F8607" w14:textId="77777777" w:rsidR="00086E4F" w:rsidRPr="00086E4F" w:rsidRDefault="00086E4F" w:rsidP="00086E4F">
      <w:pPr>
        <w:rPr>
          <w:bCs/>
          <w:lang w:val="es-ES"/>
        </w:rPr>
      </w:pPr>
      <w:r w:rsidRPr="00086E4F">
        <w:rPr>
          <w:lang w:val="es-ES"/>
        </w:rPr>
        <w:t xml:space="preserve">Elaborado en el marco del inventario de la CMSI, </w:t>
      </w:r>
      <w:r w:rsidRPr="00086E4F">
        <w:rPr>
          <w:bCs/>
          <w:lang w:val="es-ES"/>
        </w:rPr>
        <w:t xml:space="preserve">el </w:t>
      </w:r>
      <w:hyperlink r:id="rId213" w:history="1">
        <w:r w:rsidRPr="00086E4F">
          <w:rPr>
            <w:rStyle w:val="Hyperlink"/>
            <w:lang w:val="es-ES"/>
          </w:rPr>
          <w:t>Repositorio de casos de TIC</w:t>
        </w:r>
      </w:hyperlink>
      <w:r w:rsidRPr="00086E4F">
        <w:rPr>
          <w:bCs/>
          <w:lang w:val="es-ES"/>
        </w:rPr>
        <w:t xml:space="preserve"> recopila proyectos y actividades dedicados a responder a la crisis de la COVID-19. Ya está disponible el primer proyecto de la versión especial </w:t>
      </w:r>
      <w:hyperlink r:id="rId214" w:history="1">
        <w:r w:rsidRPr="00086E4F">
          <w:rPr>
            <w:rStyle w:val="Hyperlink"/>
            <w:lang w:val="es-ES"/>
          </w:rPr>
          <w:t>Repositorio de casos de TIC: Respuesta al coronavirus</w:t>
        </w:r>
      </w:hyperlink>
      <w:r w:rsidRPr="00086E4F">
        <w:rPr>
          <w:bCs/>
          <w:lang w:val="es-ES"/>
        </w:rPr>
        <w:t>.</w:t>
      </w:r>
    </w:p>
    <w:p w14:paraId="0A15A399" w14:textId="20226474" w:rsidR="00086E4F" w:rsidRPr="00086E4F" w:rsidRDefault="00086E4F" w:rsidP="00086E4F">
      <w:pPr>
        <w:rPr>
          <w:lang w:val="es-ES"/>
        </w:rPr>
      </w:pPr>
      <w:r w:rsidRPr="00086E4F">
        <w:rPr>
          <w:lang w:val="es-ES"/>
        </w:rPr>
        <w:t xml:space="preserve">En el </w:t>
      </w:r>
      <w:bookmarkStart w:id="112" w:name="_Hlk95736720"/>
      <w:r w:rsidRPr="00187E3C">
        <w:rPr>
          <w:lang w:val="es-ES"/>
        </w:rPr>
        <w:t>Foro de la CMSI 2020</w:t>
      </w:r>
      <w:bookmarkEnd w:id="112"/>
      <w:r w:rsidRPr="00086E4F">
        <w:rPr>
          <w:lang w:val="es-ES"/>
        </w:rPr>
        <w:t>, las partes interesadas señalaron más de 80</w:t>
      </w:r>
      <w:r w:rsidR="00D719EB">
        <w:rPr>
          <w:lang w:val="es-ES"/>
        </w:rPr>
        <w:t> </w:t>
      </w:r>
      <w:r w:rsidRPr="00086E4F">
        <w:rPr>
          <w:lang w:val="es-ES"/>
        </w:rPr>
        <w:t>talleres directamente relacionados con la COVID-19.</w:t>
      </w:r>
    </w:p>
    <w:p w14:paraId="5B998D86" w14:textId="37BE5336" w:rsidR="008A64DF" w:rsidRDefault="008A64DF" w:rsidP="00086E4F">
      <w:pPr>
        <w:pStyle w:val="Headingb"/>
        <w:rPr>
          <w:lang w:val="es-ES"/>
        </w:rPr>
      </w:pPr>
      <w:r w:rsidRPr="003666B8">
        <w:rPr>
          <w:lang w:val="es-ES"/>
        </w:rPr>
        <w:t>Reunión de expertos para comprender a fondo las repercusiones económicas</w:t>
      </w:r>
    </w:p>
    <w:p w14:paraId="2CD74484" w14:textId="3AF6F7D2" w:rsidR="008A64DF" w:rsidRPr="00086E4F" w:rsidRDefault="008A64DF" w:rsidP="00086E4F">
      <w:pPr>
        <w:rPr>
          <w:lang w:val="es-ES"/>
        </w:rPr>
      </w:pPr>
      <w:bookmarkStart w:id="113" w:name="_Hlk95736749"/>
      <w:r w:rsidRPr="00086E4F">
        <w:rPr>
          <w:lang w:val="es-ES"/>
        </w:rPr>
        <w:t xml:space="preserve">La mesa redonda de expertos congregó a </w:t>
      </w:r>
      <w:r w:rsidR="004815BF" w:rsidRPr="004815BF">
        <w:rPr>
          <w:lang w:val="es-ES"/>
        </w:rPr>
        <w:t>importantes</w:t>
      </w:r>
      <w:r w:rsidRPr="004815BF">
        <w:rPr>
          <w:lang w:val="es-ES"/>
        </w:rPr>
        <w:t xml:space="preserve"> expertos económicos</w:t>
      </w:r>
      <w:r w:rsidRPr="00086E4F">
        <w:rPr>
          <w:lang w:val="es-ES"/>
        </w:rPr>
        <w:t xml:space="preserve"> de distintos sectores para intercambiar opiniones acerca de las últimas investigaciones y análisis de la incidencia económica de la COVID-19 en la infraestructura digital.</w:t>
      </w:r>
    </w:p>
    <w:bookmarkEnd w:id="113"/>
    <w:p w14:paraId="596C58F0" w14:textId="7985AF64" w:rsidR="008A64DF" w:rsidRDefault="008A64DF" w:rsidP="00086E4F">
      <w:pPr>
        <w:pStyle w:val="Headingb"/>
        <w:rPr>
          <w:lang w:val="es-ES"/>
        </w:rPr>
      </w:pPr>
      <w:r w:rsidRPr="003666B8">
        <w:rPr>
          <w:lang w:val="es-ES"/>
        </w:rPr>
        <w:t>Nuevas directrices de la UIT para los planes nacionales de telecomunicaciones de emergencia</w:t>
      </w:r>
    </w:p>
    <w:p w14:paraId="18A68472" w14:textId="3299C327" w:rsidR="00086E4F" w:rsidRPr="00086E4F" w:rsidRDefault="00086E4F" w:rsidP="00086E4F">
      <w:pPr>
        <w:rPr>
          <w:lang w:val="es-ES"/>
        </w:rPr>
      </w:pPr>
      <w:r w:rsidRPr="00086E4F">
        <w:rPr>
          <w:lang w:val="es-ES"/>
        </w:rPr>
        <w:t xml:space="preserve">La UIT ha lanzado </w:t>
      </w:r>
      <w:hyperlink r:id="rId215" w:history="1">
        <w:r w:rsidRPr="00086E4F">
          <w:rPr>
            <w:rStyle w:val="Hyperlink"/>
            <w:lang w:val="es-ES"/>
          </w:rPr>
          <w:t>nuevas directrices</w:t>
        </w:r>
      </w:hyperlink>
      <w:r w:rsidRPr="00086E4F">
        <w:rPr>
          <w:lang w:val="es-ES"/>
        </w:rPr>
        <w:t xml:space="preserve"> para ayudar a los países a elaborar planes nacionales de telecomunicaciones de emergencia para casos como la COVID-19.</w:t>
      </w:r>
    </w:p>
    <w:p w14:paraId="183D27AC" w14:textId="2EEADE39" w:rsidR="008A64DF" w:rsidRDefault="008A64DF" w:rsidP="00C01C3A">
      <w:pPr>
        <w:pStyle w:val="Headingb"/>
        <w:rPr>
          <w:lang w:val="es-ES"/>
        </w:rPr>
      </w:pPr>
      <w:r w:rsidRPr="00086E4F">
        <w:rPr>
          <w:lang w:val="es-ES"/>
        </w:rPr>
        <w:lastRenderedPageBreak/>
        <w:t>Ayudar a los países, empresas y ciudadanos a luchar contra los peligros relativos a la ciberseguridad</w:t>
      </w:r>
    </w:p>
    <w:p w14:paraId="03698F9A" w14:textId="5AAD734B" w:rsidR="00086E4F" w:rsidRPr="00086E4F" w:rsidRDefault="00086E4F" w:rsidP="00086E4F">
      <w:pPr>
        <w:rPr>
          <w:lang w:val="es-ES"/>
        </w:rPr>
      </w:pPr>
      <w:r w:rsidRPr="00086E4F">
        <w:rPr>
          <w:lang w:val="es-ES"/>
        </w:rPr>
        <w:t xml:space="preserve">La UIT ha creado CYB4COVID, un exhaustivo </w:t>
      </w:r>
      <w:hyperlink r:id="rId216" w:history="1">
        <w:r w:rsidRPr="00086E4F">
          <w:rPr>
            <w:rStyle w:val="Hyperlink"/>
            <w:lang w:val="es-ES"/>
          </w:rPr>
          <w:t>repositorio de conocimientos sobre ciberseguridad</w:t>
        </w:r>
      </w:hyperlink>
      <w:r w:rsidRPr="00086E4F">
        <w:rPr>
          <w:lang w:val="es-ES"/>
        </w:rPr>
        <w:t xml:space="preserve"> par</w:t>
      </w:r>
      <w:r>
        <w:rPr>
          <w:lang w:val="es-ES"/>
        </w:rPr>
        <w:t>a</w:t>
      </w:r>
      <w:r w:rsidRPr="00086E4F">
        <w:rPr>
          <w:lang w:val="es-ES"/>
        </w:rPr>
        <w:t xml:space="preserve"> ayudar a los países, empresas y ciudadanos a reaccionar ante los peligros de seguridad durante la pandemia </w:t>
      </w:r>
      <w:r w:rsidR="003666B8">
        <w:rPr>
          <w:lang w:val="es-ES"/>
        </w:rPr>
        <w:t xml:space="preserve">de </w:t>
      </w:r>
      <w:r w:rsidRPr="00086E4F">
        <w:rPr>
          <w:lang w:val="es-ES"/>
        </w:rPr>
        <w:t>COVID-19.</w:t>
      </w:r>
    </w:p>
    <w:p w14:paraId="758E5BEC" w14:textId="3B8698CC" w:rsidR="008A64DF" w:rsidRDefault="008A64DF" w:rsidP="00086E4F">
      <w:pPr>
        <w:pStyle w:val="Headingb"/>
        <w:rPr>
          <w:lang w:val="es-ES"/>
        </w:rPr>
      </w:pPr>
      <w:r w:rsidRPr="00086E4F">
        <w:rPr>
          <w:lang w:val="es-ES"/>
        </w:rPr>
        <w:t>Siete formas de proteger a los niños en línea</w:t>
      </w:r>
    </w:p>
    <w:p w14:paraId="35A0968A" w14:textId="421B5CF8" w:rsidR="00086E4F" w:rsidRPr="00086E4F" w:rsidRDefault="00086E4F" w:rsidP="00086E4F">
      <w:pPr>
        <w:rPr>
          <w:lang w:val="es-ES"/>
        </w:rPr>
      </w:pPr>
      <w:r w:rsidRPr="00086E4F">
        <w:rPr>
          <w:lang w:val="es-ES"/>
        </w:rPr>
        <w:t xml:space="preserve">La versión más reciente de las </w:t>
      </w:r>
      <w:hyperlink r:id="rId217" w:history="1">
        <w:r w:rsidRPr="00086E4F">
          <w:rPr>
            <w:rStyle w:val="Hyperlink"/>
            <w:lang w:val="es-ES"/>
          </w:rPr>
          <w:t xml:space="preserve">Directrices sobre la </w:t>
        </w:r>
        <w:r w:rsidR="00A464B9" w:rsidRPr="00086E4F">
          <w:rPr>
            <w:rStyle w:val="Hyperlink"/>
            <w:lang w:val="es-ES"/>
          </w:rPr>
          <w:t>P</w:t>
        </w:r>
        <w:r w:rsidRPr="00086E4F">
          <w:rPr>
            <w:rStyle w:val="Hyperlink"/>
            <w:lang w:val="es-ES"/>
          </w:rPr>
          <w:t xml:space="preserve">rotección de la </w:t>
        </w:r>
        <w:r w:rsidR="00A464B9" w:rsidRPr="00086E4F">
          <w:rPr>
            <w:rStyle w:val="Hyperlink"/>
            <w:lang w:val="es-ES"/>
          </w:rPr>
          <w:t>I</w:t>
        </w:r>
        <w:r w:rsidRPr="00086E4F">
          <w:rPr>
            <w:rStyle w:val="Hyperlink"/>
            <w:lang w:val="es-ES"/>
          </w:rPr>
          <w:t xml:space="preserve">nfancia en </w:t>
        </w:r>
        <w:r w:rsidR="00A464B9" w:rsidRPr="00086E4F">
          <w:rPr>
            <w:rStyle w:val="Hyperlink"/>
            <w:lang w:val="es-ES"/>
          </w:rPr>
          <w:t>L</w:t>
        </w:r>
        <w:r w:rsidRPr="00086E4F">
          <w:rPr>
            <w:rStyle w:val="Hyperlink"/>
            <w:lang w:val="es-ES"/>
          </w:rPr>
          <w:t>ínea para padres, cuidadores, tutores, y educadores</w:t>
        </w:r>
      </w:hyperlink>
      <w:r w:rsidRPr="00086E4F">
        <w:rPr>
          <w:lang w:val="es-ES"/>
        </w:rPr>
        <w:t xml:space="preserve"> de la UIT, contiene consejos para minimizar los riesgos que corren los niños en línea.</w:t>
      </w:r>
    </w:p>
    <w:p w14:paraId="6CF64EA3" w14:textId="77777777" w:rsidR="008A64DF" w:rsidRPr="00B04A9A" w:rsidRDefault="008A64DF" w:rsidP="008A64DF">
      <w:pPr>
        <w:pStyle w:val="Heading2"/>
        <w:rPr>
          <w:lang w:val="es-ES" w:eastAsia="en-GB"/>
        </w:rPr>
      </w:pPr>
      <w:bookmarkStart w:id="114" w:name="_1.9_Alianzas_estratégicas"/>
      <w:bookmarkStart w:id="115" w:name="_Toc37860463"/>
      <w:bookmarkStart w:id="116" w:name="_Toc37861224"/>
      <w:bookmarkStart w:id="117" w:name="_Toc37943347"/>
      <w:bookmarkStart w:id="118" w:name="_Toc90552446"/>
      <w:bookmarkStart w:id="119" w:name="_Toc97821268"/>
      <w:bookmarkStart w:id="120" w:name="Section_1_9"/>
      <w:bookmarkEnd w:id="104"/>
      <w:bookmarkEnd w:id="114"/>
      <w:r w:rsidRPr="001911F3">
        <w:rPr>
          <w:lang w:val="es-ES" w:eastAsia="en-GB"/>
        </w:rPr>
        <w:t>1.9</w:t>
      </w:r>
      <w:r w:rsidRPr="001911F3">
        <w:rPr>
          <w:lang w:val="es-ES" w:eastAsia="en-GB"/>
        </w:rPr>
        <w:tab/>
        <w:t>Alianzas estratégicas para los ODS</w:t>
      </w:r>
      <w:bookmarkEnd w:id="115"/>
      <w:bookmarkEnd w:id="116"/>
      <w:bookmarkEnd w:id="117"/>
      <w:bookmarkEnd w:id="118"/>
      <w:bookmarkEnd w:id="119"/>
    </w:p>
    <w:bookmarkEnd w:id="120"/>
    <w:p w14:paraId="4033BE19" w14:textId="443D603E" w:rsidR="008A64DF" w:rsidRPr="00074845" w:rsidRDefault="008A64DF" w:rsidP="00086E4F">
      <w:pPr>
        <w:rPr>
          <w:lang w:val="es-ES"/>
        </w:rPr>
      </w:pPr>
      <w:r w:rsidRPr="00074845">
        <w:rPr>
          <w:lang w:val="es-ES"/>
        </w:rPr>
        <w:t xml:space="preserve">La cooperación, la compartición de recursos y los acuerdos ventajosos para todos que benefician a los gobiernos, la industria y los usuarios, junto con la adopción de un planteamiento de "todo el gobierno", contribuirán a que la tecnología sea un servicio básico que beneficie a todos. Con este fin, la UIT pone empeño en forjar asociaciones estratégicas que ofrezcan mejores </w:t>
      </w:r>
      <w:r w:rsidR="00AF7CB6">
        <w:rPr>
          <w:lang w:val="es-ES"/>
        </w:rPr>
        <w:t>realizaciones</w:t>
      </w:r>
      <w:r w:rsidRPr="00074845">
        <w:rPr>
          <w:lang w:val="es-ES"/>
        </w:rPr>
        <w:t xml:space="preserve">, resultados tangibles y un impacto real para lograr </w:t>
      </w:r>
      <w:r>
        <w:rPr>
          <w:lang w:val="es-ES"/>
        </w:rPr>
        <w:t xml:space="preserve">el cumplimiento de </w:t>
      </w:r>
      <w:r w:rsidRPr="00074845">
        <w:rPr>
          <w:lang w:val="es-ES"/>
        </w:rPr>
        <w:t>los ODS a través de las TIC.</w:t>
      </w:r>
    </w:p>
    <w:p w14:paraId="1C109ABA" w14:textId="0660348D" w:rsidR="008A64DF" w:rsidRPr="00074845" w:rsidRDefault="008A64DF" w:rsidP="00086E4F">
      <w:pPr>
        <w:rPr>
          <w:lang w:val="es-ES"/>
        </w:rPr>
      </w:pPr>
      <w:r w:rsidRPr="00074845">
        <w:rPr>
          <w:lang w:val="es-ES"/>
        </w:rPr>
        <w:t xml:space="preserve">En esta sección se resumen las principales asociaciones durante el periodo </w:t>
      </w:r>
      <w:r>
        <w:rPr>
          <w:lang w:val="es-ES"/>
        </w:rPr>
        <w:t xml:space="preserve">que comprende </w:t>
      </w:r>
      <w:r w:rsidRPr="00074845">
        <w:rPr>
          <w:lang w:val="es-ES"/>
        </w:rPr>
        <w:t>este informe</w:t>
      </w:r>
      <w:r w:rsidR="00EF387E">
        <w:rPr>
          <w:lang w:val="es-ES"/>
        </w:rPr>
        <w:t>.</w:t>
      </w:r>
    </w:p>
    <w:p w14:paraId="440C9CA6" w14:textId="6E0AE0A9" w:rsidR="008A64DF" w:rsidRDefault="008A64DF" w:rsidP="00C01C3A">
      <w:pPr>
        <w:pStyle w:val="Headingb"/>
        <w:rPr>
          <w:lang w:val="es-ES"/>
        </w:rPr>
      </w:pPr>
      <w:r w:rsidRPr="002B41DB">
        <w:rPr>
          <w:lang w:val="es-ES"/>
        </w:rPr>
        <w:t xml:space="preserve">Comisión de la </w:t>
      </w:r>
      <w:r w:rsidR="00A47A23" w:rsidRPr="002B41DB">
        <w:rPr>
          <w:lang w:val="es-ES"/>
        </w:rPr>
        <w:t xml:space="preserve">Banda Ancha </w:t>
      </w:r>
      <w:r w:rsidRPr="002B41DB">
        <w:rPr>
          <w:lang w:val="es-ES"/>
        </w:rPr>
        <w:t xml:space="preserve">– </w:t>
      </w:r>
      <w:r w:rsidR="00834D4F" w:rsidRPr="002B41DB">
        <w:rPr>
          <w:lang w:val="es-ES"/>
        </w:rPr>
        <w:t xml:space="preserve">Integración </w:t>
      </w:r>
      <w:r w:rsidRPr="002B41DB">
        <w:rPr>
          <w:lang w:val="es-ES"/>
        </w:rPr>
        <w:t>de la banda ancha en la agenda política internacional</w:t>
      </w:r>
    </w:p>
    <w:p w14:paraId="3CAD4C82" w14:textId="69B271EF" w:rsidR="00C01C3A" w:rsidRPr="00C01C3A" w:rsidRDefault="00C01C3A" w:rsidP="00C01C3A">
      <w:pPr>
        <w:rPr>
          <w:lang w:val="es-ES"/>
        </w:rPr>
      </w:pPr>
      <w:r w:rsidRPr="00C01C3A">
        <w:rPr>
          <w:lang w:val="es-ES"/>
        </w:rPr>
        <w:t xml:space="preserve">La UIT y la UNESCO crearon en 2010 la </w:t>
      </w:r>
      <w:r w:rsidRPr="00C01C3A">
        <w:rPr>
          <w:i/>
          <w:iCs/>
          <w:lang w:val="es-ES"/>
        </w:rPr>
        <w:t xml:space="preserve">Comisión de la Banda Ancha para el Desarrollo Digital </w:t>
      </w:r>
      <w:r w:rsidRPr="00C01C3A">
        <w:rPr>
          <w:lang w:val="es-ES"/>
        </w:rPr>
        <w:t>con el fin de incluir la banda ancha en la agenda política internacional y ampliar el acceso como elemento clave para acelerar el progreso hacia los objetivos de desarrollo nacionales e internacionales. Rebautizada en 2015 como</w:t>
      </w:r>
      <w:r w:rsidR="00EF387E">
        <w:rPr>
          <w:lang w:val="es-ES"/>
        </w:rPr>
        <w:t xml:space="preserve"> </w:t>
      </w:r>
      <w:hyperlink r:id="rId218" w:history="1">
        <w:r w:rsidR="00EF387E">
          <w:rPr>
            <w:rStyle w:val="Hyperlink"/>
            <w:lang w:val="es-ES"/>
          </w:rPr>
          <w:t>Comisión de la Banda Ancha para el Desarrollo Sostenible</w:t>
        </w:r>
      </w:hyperlink>
      <w:r w:rsidRPr="00C01C3A">
        <w:rPr>
          <w:lang w:val="es-ES"/>
        </w:rPr>
        <w:t>, la Comisión sigue transmitiendo mensajes de promoción de alto nivel.</w:t>
      </w:r>
    </w:p>
    <w:p w14:paraId="5F5CEAEB" w14:textId="6E27809A" w:rsidR="00C01C3A" w:rsidRPr="00C01C3A" w:rsidRDefault="00C01C3A" w:rsidP="001911F3">
      <w:pPr>
        <w:rPr>
          <w:lang w:val="es-ES"/>
        </w:rPr>
      </w:pPr>
      <w:r w:rsidRPr="00C01C3A">
        <w:rPr>
          <w:lang w:val="es-ES"/>
        </w:rPr>
        <w:t xml:space="preserve">La Comisión publica anualmente el </w:t>
      </w:r>
      <w:hyperlink r:id="rId219" w:history="1">
        <w:r w:rsidR="001911F3" w:rsidRPr="00C01C3A">
          <w:rPr>
            <w:rStyle w:val="Hyperlink"/>
            <w:lang w:val="es-ES"/>
          </w:rPr>
          <w:t>I</w:t>
        </w:r>
        <w:r w:rsidRPr="00C01C3A">
          <w:rPr>
            <w:rStyle w:val="Hyperlink"/>
            <w:lang w:val="es-ES"/>
          </w:rPr>
          <w:t>nforme sobre la situación de la banda ancha</w:t>
        </w:r>
      </w:hyperlink>
      <w:r w:rsidRPr="00C01C3A">
        <w:rPr>
          <w:lang w:val="es-ES"/>
        </w:rPr>
        <w:t xml:space="preserve">, organizado por </w:t>
      </w:r>
      <w:hyperlink r:id="rId220" w:history="1">
        <w:r w:rsidRPr="00C01C3A">
          <w:rPr>
            <w:rStyle w:val="Hyperlink"/>
            <w:lang w:val="es-ES"/>
          </w:rPr>
          <w:t>Grupos de Trabajo</w:t>
        </w:r>
      </w:hyperlink>
      <w:r w:rsidRPr="00C01C3A">
        <w:rPr>
          <w:lang w:val="es-ES"/>
        </w:rPr>
        <w:t xml:space="preserve"> sobre temas que van desde la sanidad a la educación, y celebra </w:t>
      </w:r>
      <w:hyperlink r:id="rId221" w:history="1">
        <w:r w:rsidRPr="00C01C3A">
          <w:rPr>
            <w:rStyle w:val="Hyperlink"/>
            <w:lang w:val="es-ES"/>
          </w:rPr>
          <w:t>dos reuniones</w:t>
        </w:r>
      </w:hyperlink>
      <w:r w:rsidRPr="00C01C3A">
        <w:rPr>
          <w:lang w:val="es-ES"/>
        </w:rPr>
        <w:t xml:space="preserve"> al año.</w:t>
      </w:r>
    </w:p>
    <w:p w14:paraId="0AAD3575" w14:textId="3599760D" w:rsidR="00C01C3A" w:rsidRPr="00C01C3A" w:rsidRDefault="00C01C3A" w:rsidP="00C01C3A">
      <w:pPr>
        <w:rPr>
          <w:lang w:val="es-ES"/>
        </w:rPr>
      </w:pPr>
      <w:r w:rsidRPr="00C01C3A">
        <w:rPr>
          <w:lang w:val="es-ES"/>
        </w:rPr>
        <w:t xml:space="preserve">En 2019 se puso en marcha una nueva iniciativa, el </w:t>
      </w:r>
      <w:hyperlink r:id="rId222" w:history="1">
        <w:r w:rsidRPr="00C01C3A">
          <w:rPr>
            <w:rStyle w:val="Hyperlink"/>
            <w:lang w:val="es-ES"/>
          </w:rPr>
          <w:t xml:space="preserve">Megaproyecto de </w:t>
        </w:r>
        <w:r w:rsidR="001911F3" w:rsidRPr="00C01C3A">
          <w:rPr>
            <w:rStyle w:val="Hyperlink"/>
            <w:lang w:val="es-ES"/>
          </w:rPr>
          <w:t>i</w:t>
        </w:r>
        <w:r w:rsidRPr="00C01C3A">
          <w:rPr>
            <w:rStyle w:val="Hyperlink"/>
            <w:lang w:val="es-ES"/>
          </w:rPr>
          <w:t xml:space="preserve">nfraestructura </w:t>
        </w:r>
        <w:r w:rsidR="001911F3" w:rsidRPr="00C01C3A">
          <w:rPr>
            <w:rStyle w:val="Hyperlink"/>
            <w:lang w:val="es-ES"/>
          </w:rPr>
          <w:t>d</w:t>
        </w:r>
        <w:r w:rsidRPr="00C01C3A">
          <w:rPr>
            <w:rStyle w:val="Hyperlink"/>
            <w:lang w:val="es-ES"/>
          </w:rPr>
          <w:t>igital para África</w:t>
        </w:r>
      </w:hyperlink>
      <w:r w:rsidRPr="00C01C3A">
        <w:rPr>
          <w:lang w:val="es-ES"/>
        </w:rPr>
        <w:t xml:space="preserve">, un grupo de consultores multipartito que colabora con asociados de la industria de las TIC para mejorar la infraestructura digital en África. El Grupo propuso </w:t>
      </w:r>
      <w:hyperlink r:id="rId223" w:history="1">
        <w:r w:rsidRPr="00C01C3A">
          <w:rPr>
            <w:rStyle w:val="Hyperlink"/>
            <w:lang w:val="es-ES"/>
          </w:rPr>
          <w:t>una hoja de ruta y un plan de acción</w:t>
        </w:r>
      </w:hyperlink>
      <w:r w:rsidRPr="00C01C3A">
        <w:rPr>
          <w:lang w:val="es-ES"/>
        </w:rPr>
        <w:t xml:space="preserve"> y propuso la creación de una coalición mundial para lograr la transformación digital en África de aquí a 2030.</w:t>
      </w:r>
    </w:p>
    <w:p w14:paraId="31E87530" w14:textId="1CF53448" w:rsidR="00C01C3A" w:rsidRPr="00C01C3A" w:rsidRDefault="00C01C3A" w:rsidP="00640ED3">
      <w:pPr>
        <w:keepNext/>
        <w:keepLines/>
        <w:rPr>
          <w:lang w:val="es-ES"/>
        </w:rPr>
      </w:pPr>
      <w:r w:rsidRPr="00C01C3A">
        <w:rPr>
          <w:lang w:val="es-ES"/>
        </w:rPr>
        <w:t xml:space="preserve">Con la publicación del </w:t>
      </w:r>
      <w:hyperlink r:id="rId224" w:history="1">
        <w:r w:rsidRPr="00C01C3A">
          <w:rPr>
            <w:rStyle w:val="Hyperlink"/>
            <w:lang w:val="es-ES"/>
          </w:rPr>
          <w:t xml:space="preserve">Manifiesto sobre la </w:t>
        </w:r>
        <w:r w:rsidR="001911F3" w:rsidRPr="00C01C3A">
          <w:rPr>
            <w:rStyle w:val="Hyperlink"/>
            <w:lang w:val="es-ES"/>
          </w:rPr>
          <w:t>c</w:t>
        </w:r>
        <w:r w:rsidRPr="00C01C3A">
          <w:rPr>
            <w:rStyle w:val="Hyperlink"/>
            <w:lang w:val="es-ES"/>
          </w:rPr>
          <w:t xml:space="preserve">onectividad </w:t>
        </w:r>
        <w:r w:rsidR="001911F3" w:rsidRPr="00C01C3A">
          <w:rPr>
            <w:rStyle w:val="Hyperlink"/>
            <w:lang w:val="es-ES"/>
          </w:rPr>
          <w:t>u</w:t>
        </w:r>
        <w:r w:rsidRPr="00C01C3A">
          <w:rPr>
            <w:rStyle w:val="Hyperlink"/>
            <w:lang w:val="es-ES"/>
          </w:rPr>
          <w:t>niversal</w:t>
        </w:r>
      </w:hyperlink>
      <w:r w:rsidRPr="00C01C3A">
        <w:rPr>
          <w:lang w:val="es-ES"/>
        </w:rPr>
        <w:t xml:space="preserve"> en 2020, la Comisión conmemoró sus </w:t>
      </w:r>
      <w:hyperlink r:id="rId225" w:history="1">
        <w:r w:rsidRPr="00C01C3A">
          <w:rPr>
            <w:rStyle w:val="Hyperlink"/>
            <w:lang w:val="es-ES"/>
          </w:rPr>
          <w:t>diez años</w:t>
        </w:r>
      </w:hyperlink>
      <w:r w:rsidRPr="00C01C3A">
        <w:rPr>
          <w:lang w:val="es-ES"/>
        </w:rPr>
        <w:t xml:space="preserve"> de creación de asociaciones multipartitas mundiales y de promoción del acceso a la banda ancha. En septiembre de 2020, la Comisión publicó la edición especial del </w:t>
      </w:r>
      <w:hyperlink r:id="rId226" w:history="1">
        <w:r w:rsidRPr="00C01C3A">
          <w:rPr>
            <w:rStyle w:val="Hyperlink"/>
            <w:lang w:val="es-ES"/>
          </w:rPr>
          <w:t>Informe sobre la situación de la banda ancha</w:t>
        </w:r>
      </w:hyperlink>
      <w:r w:rsidRPr="00C01C3A">
        <w:rPr>
          <w:lang w:val="es-ES"/>
        </w:rPr>
        <w:t>, en el que se destacan las grandes disparidades de acceso durante la</w:t>
      </w:r>
      <w:r w:rsidR="00640ED3">
        <w:rPr>
          <w:lang w:val="es-ES"/>
        </w:rPr>
        <w:t> </w:t>
      </w:r>
      <w:r w:rsidRPr="00640ED3">
        <w:rPr>
          <w:lang w:val="es-ES"/>
        </w:rPr>
        <w:t>COVID</w:t>
      </w:r>
      <w:r w:rsidRPr="00C01C3A">
        <w:rPr>
          <w:lang w:val="es-ES"/>
        </w:rPr>
        <w:t>, en la que miles de millones de personas se han visto impedidas de acceso al trabajo, la enseñanza y la comunicación a distancia.</w:t>
      </w:r>
    </w:p>
    <w:p w14:paraId="3DE4884E" w14:textId="77777777" w:rsidR="00C01C3A" w:rsidRPr="00C01C3A" w:rsidRDefault="00C01C3A" w:rsidP="00C01C3A">
      <w:pPr>
        <w:rPr>
          <w:lang w:val="es-ES"/>
        </w:rPr>
      </w:pPr>
      <w:r w:rsidRPr="00C01C3A">
        <w:rPr>
          <w:lang w:val="es-ES"/>
        </w:rPr>
        <w:t xml:space="preserve">En septiembre de 2021, la Comisión publicó el informe </w:t>
      </w:r>
      <w:hyperlink r:id="rId227" w:history="1">
        <w:r w:rsidRPr="00C01C3A">
          <w:rPr>
            <w:rStyle w:val="Hyperlink"/>
            <w:lang w:val="es-ES"/>
          </w:rPr>
          <w:t>Situación de la banda ancha – Métodos centrados en la persona para la banda ancha universal</w:t>
        </w:r>
      </w:hyperlink>
      <w:r w:rsidRPr="00C01C3A">
        <w:rPr>
          <w:lang w:val="es-ES"/>
        </w:rPr>
        <w:t xml:space="preserve"> que contiene recomendaciones para mejorar la conectividad universal de aquí a 2030.</w:t>
      </w:r>
    </w:p>
    <w:p w14:paraId="034DF853" w14:textId="77777777" w:rsidR="00C01C3A" w:rsidRPr="00C01C3A" w:rsidRDefault="00C01C3A" w:rsidP="00C01C3A">
      <w:pPr>
        <w:rPr>
          <w:lang w:val="es-ES"/>
        </w:rPr>
      </w:pPr>
      <w:r w:rsidRPr="00C01C3A">
        <w:rPr>
          <w:lang w:val="es-ES"/>
        </w:rPr>
        <w:lastRenderedPageBreak/>
        <w:t xml:space="preserve">La Comisión ha publicado llamamientos a la acción y manifiestos de alto nivel, dirigidos a los principales responsables políticos del G20, las Naciones Unidas y los delegados de la Conferencia de Plenipotenciarios de la UIT de 2014. La Comisión también confía a sus </w:t>
      </w:r>
      <w:hyperlink r:id="rId228" w:history="1">
        <w:r w:rsidRPr="00C01C3A">
          <w:rPr>
            <w:rStyle w:val="Hyperlink"/>
            <w:lang w:val="es-ES"/>
          </w:rPr>
          <w:t>Comisarios</w:t>
        </w:r>
      </w:hyperlink>
      <w:r w:rsidRPr="00C01C3A">
        <w:rPr>
          <w:lang w:val="es-ES"/>
        </w:rPr>
        <w:t xml:space="preserve"> de alto perfil la labor de difundir el mensaje de la banda ancha para el desarrollo sostenible en importantes eventos, conferencias y espectáculos.</w:t>
      </w:r>
    </w:p>
    <w:p w14:paraId="79A75349" w14:textId="29CD0E0A" w:rsidR="008A64DF" w:rsidRDefault="008A64DF" w:rsidP="00C01C3A">
      <w:pPr>
        <w:pStyle w:val="Headingb"/>
        <w:rPr>
          <w:lang w:val="es-ES"/>
        </w:rPr>
      </w:pPr>
      <w:r w:rsidRPr="009F61E5">
        <w:rPr>
          <w:lang w:val="es-ES"/>
        </w:rPr>
        <w:t>EQUALS – Fomento de acceso, competencias y liderazgo en materia de TIC para mujeres y niñas</w:t>
      </w:r>
    </w:p>
    <w:p w14:paraId="310E04D5" w14:textId="2BFE3207" w:rsidR="00C01C3A" w:rsidRPr="00C01C3A" w:rsidRDefault="00AF6115" w:rsidP="00C01C3A">
      <w:pPr>
        <w:rPr>
          <w:lang w:val="es-ES"/>
        </w:rPr>
      </w:pPr>
      <w:hyperlink r:id="rId229">
        <w:r w:rsidR="00C01C3A" w:rsidRPr="00C01C3A">
          <w:rPr>
            <w:rStyle w:val="Hyperlink"/>
            <w:lang w:val="es-ES"/>
          </w:rPr>
          <w:t>EQUALS</w:t>
        </w:r>
      </w:hyperlink>
      <w:r w:rsidR="00C01C3A" w:rsidRPr="00C01C3A">
        <w:rPr>
          <w:lang w:val="es-ES"/>
        </w:rPr>
        <w:t>, la Alianza Mundial para la Igualdad de Género en la Era Digital, velar po</w:t>
      </w:r>
      <w:r w:rsidR="00834D4F">
        <w:rPr>
          <w:lang w:val="es-ES"/>
        </w:rPr>
        <w:t>r</w:t>
      </w:r>
      <w:r w:rsidR="00C01C3A" w:rsidRPr="00C01C3A">
        <w:rPr>
          <w:lang w:val="es-ES"/>
        </w:rPr>
        <w:t xml:space="preserve"> que las mujeres y las niñas tengan acceso, las competencias y la oportunidad para desarrollar capacidad de liderazgo en el mundo de las TIC. La Alianza fue fundada en 2017 por la </w:t>
      </w:r>
      <w:r w:rsidR="009F61E5" w:rsidRPr="00C01C3A">
        <w:rPr>
          <w:lang w:val="es-ES"/>
        </w:rPr>
        <w:t>U</w:t>
      </w:r>
      <w:r w:rsidR="00C01C3A" w:rsidRPr="00C01C3A">
        <w:rPr>
          <w:lang w:val="es-ES"/>
        </w:rPr>
        <w:t>IT, ONU-Mujeres, GSMA, ITC y UNU.</w:t>
      </w:r>
    </w:p>
    <w:p w14:paraId="01DC36F9" w14:textId="3043EBF8" w:rsidR="00C01C3A" w:rsidRPr="00C01C3A" w:rsidRDefault="00C01C3A" w:rsidP="00C01C3A">
      <w:pPr>
        <w:rPr>
          <w:lang w:val="es-ES"/>
        </w:rPr>
      </w:pPr>
      <w:r w:rsidRPr="009F61E5">
        <w:rPr>
          <w:lang w:val="es-ES"/>
        </w:rPr>
        <w:t>Más</w:t>
      </w:r>
      <w:r w:rsidRPr="00C01C3A">
        <w:rPr>
          <w:lang w:val="es-ES"/>
        </w:rPr>
        <w:t xml:space="preserve"> de 100 socios de 115 países han cooperado para garantizar la impartición de formación y tutorías sobre competencias digitales a más de 52</w:t>
      </w:r>
      <w:r w:rsidR="00834D4F">
        <w:rPr>
          <w:lang w:val="es-ES"/>
        </w:rPr>
        <w:t> </w:t>
      </w:r>
      <w:r w:rsidRPr="00C01C3A">
        <w:rPr>
          <w:lang w:val="es-ES"/>
        </w:rPr>
        <w:t>000 mujeres y niñas. Las iniciativas que la UIT lidera a través de EQUALS y las oficinas regionales son posibles gracias a la colaboración de los gobiernos asociados y el sector privado.</w:t>
      </w:r>
    </w:p>
    <w:p w14:paraId="7835AEE4" w14:textId="2EC73317" w:rsidR="00C01C3A" w:rsidRDefault="00C01C3A" w:rsidP="00C01C3A">
      <w:pPr>
        <w:rPr>
          <w:lang w:val="es-ES"/>
        </w:rPr>
      </w:pPr>
      <w:r w:rsidRPr="00C01C3A">
        <w:rPr>
          <w:lang w:val="es-ES"/>
        </w:rPr>
        <w:t xml:space="preserve">Los logros de la asociación </w:t>
      </w:r>
      <w:r w:rsidRPr="009F61E5">
        <w:rPr>
          <w:u w:val="single"/>
          <w:lang w:val="es-ES"/>
        </w:rPr>
        <w:t>EQUALS</w:t>
      </w:r>
      <w:r w:rsidRPr="00C01C3A">
        <w:rPr>
          <w:lang w:val="es-ES"/>
        </w:rPr>
        <w:t xml:space="preserve"> incluyen:</w:t>
      </w:r>
    </w:p>
    <w:p w14:paraId="35658B65" w14:textId="72205BB4" w:rsidR="00471941" w:rsidRPr="00471941" w:rsidRDefault="00471941" w:rsidP="00471941">
      <w:pPr>
        <w:pStyle w:val="enumlev1"/>
        <w:rPr>
          <w:lang w:val="es-ES"/>
        </w:rPr>
      </w:pPr>
      <w:r w:rsidRPr="00854A86">
        <w:rPr>
          <w:lang w:val="es-ES"/>
        </w:rPr>
        <w:t>•</w:t>
      </w:r>
      <w:r>
        <w:rPr>
          <w:lang w:val="es-ES"/>
        </w:rPr>
        <w:tab/>
      </w:r>
      <w:r w:rsidRPr="00471941">
        <w:rPr>
          <w:lang w:val="es-ES"/>
        </w:rPr>
        <w:t xml:space="preserve">La UIT y el Foro de los equipos de respuesta en caso de incidentes de seguridad (FIRST), con la ayuda de la Alianza, pusieron en marcha de consuno un </w:t>
      </w:r>
      <w:hyperlink r:id="rId230" w:history="1">
        <w:r w:rsidR="008C7C70">
          <w:rPr>
            <w:rStyle w:val="Hyperlink"/>
            <w:lang w:val="es-ES"/>
          </w:rPr>
          <w:t>programa de tutorías</w:t>
        </w:r>
      </w:hyperlink>
      <w:r w:rsidRPr="00471941">
        <w:rPr>
          <w:lang w:val="es-ES"/>
        </w:rPr>
        <w:t xml:space="preserve"> para empoderar a las mujeres en materia de ciberseguridad, inicialmente destinado a las </w:t>
      </w:r>
      <w:r w:rsidR="00854A86" w:rsidRPr="00471941">
        <w:rPr>
          <w:lang w:val="es-ES"/>
        </w:rPr>
        <w:t xml:space="preserve">Regiones </w:t>
      </w:r>
      <w:r w:rsidRPr="00471941">
        <w:rPr>
          <w:lang w:val="es-ES"/>
        </w:rPr>
        <w:t>Árabe y de África.</w:t>
      </w:r>
    </w:p>
    <w:p w14:paraId="13A176BD" w14:textId="37D79751" w:rsidR="00471941" w:rsidRPr="00471941" w:rsidRDefault="00471941" w:rsidP="00471941">
      <w:pPr>
        <w:pStyle w:val="enumlev1"/>
        <w:rPr>
          <w:lang w:val="es-ES"/>
        </w:rPr>
      </w:pPr>
      <w:r w:rsidRPr="00471941">
        <w:rPr>
          <w:lang w:val="es-ES"/>
        </w:rPr>
        <w:t>•</w:t>
      </w:r>
      <w:r>
        <w:rPr>
          <w:lang w:val="es-ES"/>
        </w:rPr>
        <w:tab/>
      </w:r>
      <w:r w:rsidRPr="00471941">
        <w:rPr>
          <w:lang w:val="es-ES"/>
        </w:rPr>
        <w:t xml:space="preserve">La </w:t>
      </w:r>
      <w:r w:rsidRPr="00471941">
        <w:rPr>
          <w:rFonts w:eastAsia="PMingLiU"/>
        </w:rPr>
        <w:t>UIT</w:t>
      </w:r>
      <w:r w:rsidRPr="00471941">
        <w:rPr>
          <w:lang w:val="es-ES"/>
        </w:rPr>
        <w:t xml:space="preserve"> y CISCO crearon el </w:t>
      </w:r>
      <w:hyperlink r:id="rId231" w:history="1">
        <w:r w:rsidRPr="00471941">
          <w:rPr>
            <w:rStyle w:val="Hyperlink"/>
            <w:lang w:val="es-ES"/>
          </w:rPr>
          <w:t xml:space="preserve">Espacio </w:t>
        </w:r>
        <w:r w:rsidR="00854A86" w:rsidRPr="00471941">
          <w:rPr>
            <w:rStyle w:val="Hyperlink"/>
            <w:lang w:val="es-ES"/>
          </w:rPr>
          <w:t>d</w:t>
        </w:r>
        <w:r w:rsidRPr="00471941">
          <w:rPr>
            <w:rStyle w:val="Hyperlink"/>
            <w:lang w:val="es-ES"/>
          </w:rPr>
          <w:t>idáctico CISCO EQUALS</w:t>
        </w:r>
      </w:hyperlink>
      <w:r w:rsidRPr="00471941">
        <w:rPr>
          <w:lang w:val="es-ES"/>
        </w:rPr>
        <w:t xml:space="preserve">, para la formación en línea para crear competencias técnicas. </w:t>
      </w:r>
      <w:bookmarkStart w:id="121" w:name="_Hlk95737005"/>
      <w:r w:rsidRPr="00471941">
        <w:rPr>
          <w:lang w:val="es-ES"/>
        </w:rPr>
        <w:t xml:space="preserve">Los cursos, destinados a niñas y </w:t>
      </w:r>
      <w:r w:rsidRPr="004815BF">
        <w:rPr>
          <w:lang w:val="es-ES"/>
        </w:rPr>
        <w:t>j</w:t>
      </w:r>
      <w:r w:rsidR="004815BF" w:rsidRPr="004815BF">
        <w:rPr>
          <w:lang w:val="es-ES"/>
        </w:rPr>
        <w:t>ó</w:t>
      </w:r>
      <w:r w:rsidRPr="004815BF">
        <w:rPr>
          <w:lang w:val="es-ES"/>
        </w:rPr>
        <w:t>ven</w:t>
      </w:r>
      <w:r w:rsidR="004815BF" w:rsidRPr="004815BF">
        <w:rPr>
          <w:lang w:val="es-ES"/>
        </w:rPr>
        <w:t>e</w:t>
      </w:r>
      <w:r w:rsidRPr="004815BF">
        <w:rPr>
          <w:lang w:val="es-ES"/>
        </w:rPr>
        <w:t>s</w:t>
      </w:r>
      <w:bookmarkEnd w:id="121"/>
      <w:r w:rsidRPr="00471941">
        <w:rPr>
          <w:lang w:val="es-ES"/>
        </w:rPr>
        <w:t xml:space="preserve">, son de tipo autogestionados y cuentan con seminarios en directo impartidos por expertos de </w:t>
      </w:r>
      <w:r w:rsidR="001B1357" w:rsidRPr="001B1357">
        <w:rPr>
          <w:lang w:val="es-ES"/>
        </w:rPr>
        <w:t>EQUALS</w:t>
      </w:r>
      <w:r w:rsidRPr="00471941">
        <w:rPr>
          <w:lang w:val="es-ES"/>
        </w:rPr>
        <w:t>.</w:t>
      </w:r>
    </w:p>
    <w:p w14:paraId="3454EA5B" w14:textId="22EA376A" w:rsidR="00471941" w:rsidRPr="00471941" w:rsidRDefault="00471941" w:rsidP="00471941">
      <w:pPr>
        <w:pStyle w:val="enumlev1"/>
        <w:rPr>
          <w:lang w:val="es-ES"/>
        </w:rPr>
      </w:pPr>
      <w:r w:rsidRPr="00471941">
        <w:rPr>
          <w:lang w:val="es-ES"/>
        </w:rPr>
        <w:t>•</w:t>
      </w:r>
      <w:r>
        <w:rPr>
          <w:lang w:val="es-ES"/>
        </w:rPr>
        <w:tab/>
      </w:r>
      <w:r w:rsidRPr="00471941">
        <w:rPr>
          <w:lang w:val="es-ES"/>
        </w:rPr>
        <w:t xml:space="preserve">La ceremonia de </w:t>
      </w:r>
      <w:hyperlink r:id="rId232" w:history="1">
        <w:r w:rsidRPr="00471941">
          <w:rPr>
            <w:rStyle w:val="Hyperlink"/>
            <w:bCs/>
            <w:lang w:val="es-ES"/>
          </w:rPr>
          <w:t>Premios de Tecnología EQUALS</w:t>
        </w:r>
      </w:hyperlink>
      <w:r w:rsidRPr="00471941">
        <w:rPr>
          <w:lang w:val="es-ES"/>
        </w:rPr>
        <w:t xml:space="preserve"> se celebró de manera virtual en el </w:t>
      </w:r>
      <w:hyperlink r:id="rId233" w:history="1">
        <w:r w:rsidRPr="00471941">
          <w:rPr>
            <w:rStyle w:val="Hyperlink"/>
            <w:bCs/>
            <w:lang w:val="es-ES"/>
          </w:rPr>
          <w:t>Foro de Gobernanza de Internet</w:t>
        </w:r>
      </w:hyperlink>
      <w:r w:rsidRPr="00471941">
        <w:rPr>
          <w:lang w:val="es-ES"/>
        </w:rPr>
        <w:t xml:space="preserve"> en </w:t>
      </w:r>
      <w:r w:rsidR="00854A86">
        <w:rPr>
          <w:lang w:val="es-ES"/>
        </w:rPr>
        <w:t>d</w:t>
      </w:r>
      <w:r w:rsidRPr="00471941">
        <w:rPr>
          <w:lang w:val="es-ES"/>
        </w:rPr>
        <w:t>iciembre de 2021 e incluye más de 120 nominaciones de 34</w:t>
      </w:r>
      <w:r w:rsidR="00854A86">
        <w:rPr>
          <w:lang w:val="es-ES"/>
        </w:rPr>
        <w:t> </w:t>
      </w:r>
      <w:r w:rsidRPr="00471941">
        <w:rPr>
          <w:lang w:val="es-ES"/>
        </w:rPr>
        <w:t>países.</w:t>
      </w:r>
    </w:p>
    <w:p w14:paraId="2AFFC868" w14:textId="6180BADE" w:rsidR="00C01C3A" w:rsidRDefault="00471941" w:rsidP="00471941">
      <w:pPr>
        <w:pStyle w:val="enumlev1"/>
        <w:rPr>
          <w:lang w:val="es-ES"/>
        </w:rPr>
      </w:pPr>
      <w:r w:rsidRPr="00471941">
        <w:rPr>
          <w:lang w:val="es-ES"/>
        </w:rPr>
        <w:t>•</w:t>
      </w:r>
      <w:r>
        <w:rPr>
          <w:lang w:val="es-ES"/>
        </w:rPr>
        <w:tab/>
      </w:r>
      <w:r w:rsidRPr="00471941">
        <w:rPr>
          <w:lang w:val="es-ES"/>
        </w:rPr>
        <w:t xml:space="preserve">En septiembre de 2020, la UIT lanzó, en asociación con el Marco </w:t>
      </w:r>
      <w:r w:rsidR="00854A86">
        <w:rPr>
          <w:lang w:val="es-ES"/>
        </w:rPr>
        <w:t>i</w:t>
      </w:r>
      <w:r w:rsidRPr="00471941">
        <w:rPr>
          <w:lang w:val="es-ES"/>
        </w:rPr>
        <w:t xml:space="preserve">ntegrado </w:t>
      </w:r>
      <w:r w:rsidR="00854A86">
        <w:rPr>
          <w:lang w:val="es-ES"/>
        </w:rPr>
        <w:t>m</w:t>
      </w:r>
      <w:r w:rsidRPr="00471941">
        <w:rPr>
          <w:lang w:val="es-ES"/>
        </w:rPr>
        <w:t xml:space="preserve">ejorado (EIF) y UNOPS, la iniciativa </w:t>
      </w:r>
      <w:hyperlink r:id="rId234" w:history="1">
        <w:r w:rsidRPr="00471941">
          <w:rPr>
            <w:rStyle w:val="Hyperlink"/>
            <w:lang w:val="es-ES"/>
          </w:rPr>
          <w:t>Tecnología para crear oportunidades económicas para las mujeres</w:t>
        </w:r>
      </w:hyperlink>
      <w:r w:rsidRPr="00471941">
        <w:rPr>
          <w:u w:val="single"/>
          <w:lang w:val="es-ES"/>
        </w:rPr>
        <w:t>.</w:t>
      </w:r>
      <w:r w:rsidRPr="00471941">
        <w:rPr>
          <w:lang w:val="es-ES"/>
        </w:rPr>
        <w:t xml:space="preserve"> Destinada a los PMA, esta iniciativa tiene por objeto mejorar el ecosistema digital y promover las competencias digitales. Se han beneficiado mujeres de Burundi, Etiopía y Haití y han dado lugar a la evaluación desde la perspectiva de género de </w:t>
      </w:r>
      <w:r w:rsidRPr="00854A86">
        <w:rPr>
          <w:lang w:val="es-ES"/>
        </w:rPr>
        <w:t>32</w:t>
      </w:r>
      <w:r w:rsidR="00854A86" w:rsidRPr="00854A86">
        <w:rPr>
          <w:lang w:val="es-ES"/>
        </w:rPr>
        <w:t> </w:t>
      </w:r>
      <w:r w:rsidRPr="00854A86">
        <w:rPr>
          <w:lang w:val="es-ES"/>
        </w:rPr>
        <w:t>políticas</w:t>
      </w:r>
      <w:r w:rsidRPr="00471941">
        <w:rPr>
          <w:lang w:val="es-ES"/>
        </w:rPr>
        <w:t>, estrategias y reglamentos relacionados con la economía digital.</w:t>
      </w:r>
    </w:p>
    <w:p w14:paraId="3BE542D6" w14:textId="77777777" w:rsidR="008A64DF" w:rsidRPr="00471941" w:rsidRDefault="008A64DF" w:rsidP="00471941">
      <w:pPr>
        <w:pStyle w:val="Headingb"/>
        <w:rPr>
          <w:lang w:val="es-ES"/>
        </w:rPr>
      </w:pPr>
      <w:r w:rsidRPr="006B1619">
        <w:rPr>
          <w:lang w:val="es-ES"/>
        </w:rPr>
        <w:t>Giga – Dedicada desde 2019 a conectar todas las escuelas a Internet</w:t>
      </w:r>
    </w:p>
    <w:p w14:paraId="6541D997" w14:textId="01D6430B" w:rsidR="008A64DF" w:rsidRPr="002C6949" w:rsidRDefault="008A64DF" w:rsidP="009F61E5">
      <w:pPr>
        <w:keepNext/>
        <w:keepLines/>
        <w:rPr>
          <w:lang w:val="es-ES"/>
        </w:rPr>
      </w:pPr>
      <w:r>
        <w:rPr>
          <w:lang w:val="es-ES"/>
        </w:rPr>
        <w:t xml:space="preserve">Creado en 2019 por </w:t>
      </w:r>
      <w:r w:rsidRPr="00396A7E">
        <w:rPr>
          <w:lang w:val="es-ES"/>
        </w:rPr>
        <w:t>UNICEF y la UIT</w:t>
      </w:r>
      <w:r>
        <w:rPr>
          <w:lang w:val="es-ES"/>
        </w:rPr>
        <w:t xml:space="preserve">, </w:t>
      </w:r>
      <w:hyperlink r:id="rId235" w:history="1">
        <w:r w:rsidRPr="006B1619">
          <w:rPr>
            <w:rStyle w:val="Hyperlink"/>
          </w:rPr>
          <w:t>Giga</w:t>
        </w:r>
      </w:hyperlink>
      <w:r w:rsidRPr="006B1619">
        <w:t xml:space="preserve"> </w:t>
      </w:r>
      <w:r w:rsidRPr="00396A7E">
        <w:rPr>
          <w:lang w:val="es-ES"/>
        </w:rPr>
        <w:t xml:space="preserve">es una iniciativa mundial conjunta </w:t>
      </w:r>
      <w:r>
        <w:rPr>
          <w:lang w:val="es-ES"/>
        </w:rPr>
        <w:t xml:space="preserve">destinada a </w:t>
      </w:r>
      <w:r w:rsidRPr="00396A7E">
        <w:rPr>
          <w:lang w:val="es-ES"/>
        </w:rPr>
        <w:t xml:space="preserve">facilitar conexión a Internet a todos los centros escolares para que los jóvenes puedan disponer de información que les brinde oportunidades </w:t>
      </w:r>
      <w:r>
        <w:rPr>
          <w:lang w:val="es-ES"/>
        </w:rPr>
        <w:t xml:space="preserve">y opciones </w:t>
      </w:r>
      <w:r w:rsidRPr="00396A7E">
        <w:rPr>
          <w:lang w:val="es-ES"/>
        </w:rPr>
        <w:t>en el futuro</w:t>
      </w:r>
      <w:r w:rsidRPr="006479BF">
        <w:rPr>
          <w:lang w:val="es-ES"/>
        </w:rPr>
        <w:t xml:space="preserve"> </w:t>
      </w:r>
      <w:r w:rsidRPr="007847A5">
        <w:rPr>
          <w:lang w:val="es-ES"/>
        </w:rPr>
        <w:t xml:space="preserve">y cuenta con el </w:t>
      </w:r>
      <w:r>
        <w:rPr>
          <w:lang w:val="es-ES"/>
        </w:rPr>
        <w:t>asesoramiento</w:t>
      </w:r>
      <w:r w:rsidRPr="007847A5">
        <w:rPr>
          <w:lang w:val="es-ES"/>
        </w:rPr>
        <w:t xml:space="preserve"> de </w:t>
      </w:r>
      <w:r>
        <w:rPr>
          <w:lang w:val="es-ES"/>
        </w:rPr>
        <w:t xml:space="preserve">grandes </w:t>
      </w:r>
      <w:r w:rsidRPr="007847A5">
        <w:rPr>
          <w:lang w:val="es-ES"/>
        </w:rPr>
        <w:t xml:space="preserve">expertos de la industria. Giga aprovecha los recursos financieros y humanos, los conocimientos técnicos y los activos para </w:t>
      </w:r>
      <w:r>
        <w:rPr>
          <w:lang w:val="es-ES"/>
        </w:rPr>
        <w:t>planificar</w:t>
      </w:r>
      <w:r w:rsidRPr="007847A5">
        <w:rPr>
          <w:lang w:val="es-ES"/>
        </w:rPr>
        <w:t xml:space="preserve">, ampliar y financiar la conectividad de las escuelas y la producción, recopilación y </w:t>
      </w:r>
      <w:r>
        <w:rPr>
          <w:lang w:val="es-ES"/>
        </w:rPr>
        <w:t xml:space="preserve">suministro </w:t>
      </w:r>
      <w:r w:rsidRPr="007847A5">
        <w:rPr>
          <w:lang w:val="es-ES"/>
        </w:rPr>
        <w:t>de contenidos educativos de alta calidad y bienes públicos digitales</w:t>
      </w:r>
      <w:r w:rsidRPr="006479BF">
        <w:rPr>
          <w:lang w:val="es-ES"/>
        </w:rPr>
        <w:t>.</w:t>
      </w:r>
    </w:p>
    <w:p w14:paraId="2A456B7F" w14:textId="16450D32" w:rsidR="008A64DF" w:rsidRPr="00B04A9A" w:rsidRDefault="008A64DF" w:rsidP="00471941">
      <w:pPr>
        <w:rPr>
          <w:lang w:val="es-ES"/>
        </w:rPr>
      </w:pPr>
      <w:r>
        <w:rPr>
          <w:lang w:val="es-ES"/>
        </w:rPr>
        <w:t xml:space="preserve">La iniciativa ha estado presente en </w:t>
      </w:r>
      <w:r w:rsidRPr="00B04A9A">
        <w:rPr>
          <w:lang w:val="es-ES"/>
        </w:rPr>
        <w:t xml:space="preserve">19 </w:t>
      </w:r>
      <w:r>
        <w:rPr>
          <w:lang w:val="es-ES"/>
        </w:rPr>
        <w:t xml:space="preserve">países considerados </w:t>
      </w:r>
      <w:r w:rsidRPr="00B04A9A">
        <w:rPr>
          <w:lang w:val="es-ES"/>
        </w:rPr>
        <w:t>priorit</w:t>
      </w:r>
      <w:r>
        <w:rPr>
          <w:lang w:val="es-ES"/>
        </w:rPr>
        <w:t xml:space="preserve">arios y se concentra especialmente en Asia </w:t>
      </w:r>
      <w:r w:rsidR="006B1619">
        <w:rPr>
          <w:lang w:val="es-ES"/>
        </w:rPr>
        <w:t>C</w:t>
      </w:r>
      <w:r w:rsidRPr="00B04A9A">
        <w:rPr>
          <w:lang w:val="es-ES"/>
        </w:rPr>
        <w:t xml:space="preserve">entral, </w:t>
      </w:r>
      <w:r>
        <w:rPr>
          <w:lang w:val="es-ES"/>
        </w:rPr>
        <w:t xml:space="preserve">el Caribe </w:t>
      </w:r>
      <w:r w:rsidR="006B1619">
        <w:rPr>
          <w:lang w:val="es-ES"/>
        </w:rPr>
        <w:t>o</w:t>
      </w:r>
      <w:r>
        <w:rPr>
          <w:lang w:val="es-ES"/>
        </w:rPr>
        <w:t>riental y África</w:t>
      </w:r>
      <w:r w:rsidRPr="00B04A9A">
        <w:rPr>
          <w:lang w:val="es-ES"/>
        </w:rPr>
        <w:t>. Giga:</w:t>
      </w:r>
    </w:p>
    <w:p w14:paraId="4439A15B" w14:textId="559D0778" w:rsidR="008A64DF" w:rsidRPr="00F00093" w:rsidRDefault="00471941" w:rsidP="00471941">
      <w:pPr>
        <w:pStyle w:val="enumlev1"/>
        <w:rPr>
          <w:lang w:val="es-ES"/>
        </w:rPr>
      </w:pPr>
      <w:r w:rsidRPr="00F00093">
        <w:rPr>
          <w:lang w:val="es-ES"/>
        </w:rPr>
        <w:t>•</w:t>
      </w:r>
      <w:r>
        <w:rPr>
          <w:lang w:val="es-ES"/>
        </w:rPr>
        <w:tab/>
      </w:r>
      <w:r w:rsidR="008A64DF">
        <w:rPr>
          <w:lang w:val="es-ES"/>
        </w:rPr>
        <w:t xml:space="preserve">Ha realizado un </w:t>
      </w:r>
      <w:hyperlink r:id="rId236" w:history="1">
        <w:r w:rsidR="008A64DF">
          <w:rPr>
            <w:color w:val="0000FF"/>
            <w:u w:val="single"/>
            <w:lang w:val="es-ES" w:eastAsia="zh-TW"/>
          </w:rPr>
          <w:t>inventario</w:t>
        </w:r>
      </w:hyperlink>
      <w:r w:rsidR="008A64DF" w:rsidRPr="00B04A9A">
        <w:rPr>
          <w:lang w:val="es-ES" w:eastAsia="zh-TW"/>
        </w:rPr>
        <w:t xml:space="preserve"> </w:t>
      </w:r>
      <w:r w:rsidR="00F00093">
        <w:rPr>
          <w:lang w:val="es-ES"/>
        </w:rPr>
        <w:t xml:space="preserve">de </w:t>
      </w:r>
      <w:r w:rsidR="008A64DF">
        <w:rPr>
          <w:lang w:val="es-ES"/>
        </w:rPr>
        <w:t xml:space="preserve">más de </w:t>
      </w:r>
      <w:r w:rsidR="00F00093">
        <w:rPr>
          <w:lang w:val="es-ES"/>
        </w:rPr>
        <w:t>un</w:t>
      </w:r>
      <w:r w:rsidR="008A64DF" w:rsidRPr="00B04A9A">
        <w:rPr>
          <w:lang w:val="es-ES"/>
        </w:rPr>
        <w:t xml:space="preserve"> </w:t>
      </w:r>
      <w:r w:rsidR="008A64DF">
        <w:rPr>
          <w:lang w:val="es-ES"/>
        </w:rPr>
        <w:t xml:space="preserve">millón de centros escolares en </w:t>
      </w:r>
      <w:r w:rsidR="008A64DF" w:rsidRPr="00B04A9A">
        <w:rPr>
          <w:lang w:val="es-ES"/>
        </w:rPr>
        <w:t>41</w:t>
      </w:r>
      <w:r w:rsidR="00F00093">
        <w:rPr>
          <w:lang w:val="es-ES"/>
        </w:rPr>
        <w:t> </w:t>
      </w:r>
      <w:r w:rsidR="008A64DF">
        <w:rPr>
          <w:lang w:val="es-ES"/>
        </w:rPr>
        <w:t>países</w:t>
      </w:r>
      <w:r w:rsidR="008A64DF" w:rsidRPr="00B04A9A">
        <w:rPr>
          <w:lang w:val="es-ES"/>
        </w:rPr>
        <w:t xml:space="preserve">, </w:t>
      </w:r>
      <w:r w:rsidR="008A64DF">
        <w:rPr>
          <w:lang w:val="es-ES"/>
        </w:rPr>
        <w:t xml:space="preserve">y sigue realizando el inventario de países adicionales de África y </w:t>
      </w:r>
      <w:r w:rsidR="008A64DF" w:rsidRPr="00B04A9A">
        <w:rPr>
          <w:lang w:val="es-ES"/>
        </w:rPr>
        <w:t>Asia</w:t>
      </w:r>
      <w:r w:rsidR="008A64DF">
        <w:rPr>
          <w:lang w:val="es-ES"/>
        </w:rPr>
        <w:t>-</w:t>
      </w:r>
      <w:r w:rsidR="008A64DF" w:rsidRPr="00B04A9A">
        <w:rPr>
          <w:lang w:val="es-ES"/>
        </w:rPr>
        <w:t>Pac</w:t>
      </w:r>
      <w:r w:rsidR="008A64DF">
        <w:rPr>
          <w:lang w:val="es-ES"/>
        </w:rPr>
        <w:t>í</w:t>
      </w:r>
      <w:r w:rsidR="008A64DF" w:rsidRPr="00B04A9A">
        <w:rPr>
          <w:lang w:val="es-ES"/>
        </w:rPr>
        <w:t>fic</w:t>
      </w:r>
      <w:r w:rsidR="008A64DF">
        <w:rPr>
          <w:lang w:val="es-ES"/>
        </w:rPr>
        <w:t>o</w:t>
      </w:r>
      <w:r w:rsidR="006B1619">
        <w:rPr>
          <w:lang w:val="es-ES"/>
        </w:rPr>
        <w:t>.</w:t>
      </w:r>
    </w:p>
    <w:p w14:paraId="71EFFF11" w14:textId="14CEF259" w:rsidR="008A64DF" w:rsidRPr="00F00093" w:rsidRDefault="00471941" w:rsidP="00F00093">
      <w:pPr>
        <w:pStyle w:val="enumlev1"/>
        <w:rPr>
          <w:lang w:val="es-ES"/>
        </w:rPr>
      </w:pPr>
      <w:r w:rsidRPr="00471941">
        <w:rPr>
          <w:lang w:val="es-ES"/>
        </w:rPr>
        <w:lastRenderedPageBreak/>
        <w:t>•</w:t>
      </w:r>
      <w:r>
        <w:rPr>
          <w:lang w:val="es-ES"/>
        </w:rPr>
        <w:tab/>
      </w:r>
      <w:r w:rsidR="008A64DF" w:rsidRPr="00F00093">
        <w:rPr>
          <w:lang w:val="es-ES"/>
        </w:rPr>
        <w:t>Ha conectado a más de 3</w:t>
      </w:r>
      <w:r w:rsidR="00834D4F" w:rsidRPr="00F00093">
        <w:rPr>
          <w:lang w:val="es-ES"/>
        </w:rPr>
        <w:t> </w:t>
      </w:r>
      <w:r w:rsidR="008A64DF" w:rsidRPr="00F00093">
        <w:rPr>
          <w:lang w:val="es-ES"/>
        </w:rPr>
        <w:t xml:space="preserve">000 escuelas en Kenya, Rwanda y </w:t>
      </w:r>
      <w:r w:rsidR="00834D4F" w:rsidRPr="00F00093">
        <w:rPr>
          <w:lang w:val="es-ES"/>
        </w:rPr>
        <w:t>Kazajstán</w:t>
      </w:r>
      <w:r w:rsidR="006B1619" w:rsidRPr="00F00093">
        <w:rPr>
          <w:lang w:val="es-ES"/>
        </w:rPr>
        <w:t>.</w:t>
      </w:r>
    </w:p>
    <w:p w14:paraId="1F19154E" w14:textId="62A2A477" w:rsidR="008A64DF" w:rsidRPr="00F00093" w:rsidRDefault="00471941" w:rsidP="00F00093">
      <w:pPr>
        <w:pStyle w:val="enumlev1"/>
        <w:rPr>
          <w:lang w:val="es-ES"/>
        </w:rPr>
      </w:pPr>
      <w:bookmarkStart w:id="122" w:name="_Hlk95737046"/>
      <w:r w:rsidRPr="00471941">
        <w:rPr>
          <w:lang w:val="es-ES"/>
        </w:rPr>
        <w:t>•</w:t>
      </w:r>
      <w:r>
        <w:rPr>
          <w:lang w:val="es-ES"/>
        </w:rPr>
        <w:tab/>
      </w:r>
      <w:r w:rsidR="008A64DF">
        <w:rPr>
          <w:lang w:val="es-ES"/>
        </w:rPr>
        <w:t xml:space="preserve">Ha obtenido más de </w:t>
      </w:r>
      <w:r w:rsidR="008A64DF" w:rsidRPr="00B04A9A">
        <w:rPr>
          <w:lang w:val="es-ES"/>
        </w:rPr>
        <w:t>22</w:t>
      </w:r>
      <w:r w:rsidR="00F00093">
        <w:rPr>
          <w:lang w:val="es-ES"/>
        </w:rPr>
        <w:t> </w:t>
      </w:r>
      <w:r w:rsidR="008A64DF">
        <w:rPr>
          <w:lang w:val="es-ES"/>
        </w:rPr>
        <w:t>millones</w:t>
      </w:r>
      <w:r w:rsidR="00F00093">
        <w:rPr>
          <w:lang w:val="es-ES"/>
        </w:rPr>
        <w:t> </w:t>
      </w:r>
      <w:r w:rsidR="008A64DF">
        <w:rPr>
          <w:lang w:val="es-ES"/>
        </w:rPr>
        <w:t xml:space="preserve">USD de </w:t>
      </w:r>
      <w:r w:rsidR="004815BF">
        <w:rPr>
          <w:lang w:val="es-ES"/>
        </w:rPr>
        <w:t>asociados internacionales</w:t>
      </w:r>
      <w:r w:rsidR="008A64DF">
        <w:rPr>
          <w:lang w:val="es-ES"/>
        </w:rPr>
        <w:t xml:space="preserve">, como </w:t>
      </w:r>
      <w:r w:rsidR="008A64DF" w:rsidRPr="00B04A9A">
        <w:rPr>
          <w:lang w:val="es-ES"/>
        </w:rPr>
        <w:t>Ericsson, Dubai</w:t>
      </w:r>
      <w:r w:rsidR="004815BF">
        <w:rPr>
          <w:lang w:val="es-ES"/>
        </w:rPr>
        <w:t> </w:t>
      </w:r>
      <w:r w:rsidR="008A64DF" w:rsidRPr="00B04A9A">
        <w:rPr>
          <w:lang w:val="es-ES"/>
        </w:rPr>
        <w:t xml:space="preserve">Cares </w:t>
      </w:r>
      <w:r w:rsidR="008A64DF">
        <w:rPr>
          <w:lang w:val="es-ES"/>
        </w:rPr>
        <w:t xml:space="preserve">y la Fundación </w:t>
      </w:r>
      <w:r w:rsidR="008A64DF" w:rsidRPr="00B04A9A">
        <w:rPr>
          <w:lang w:val="es-ES"/>
        </w:rPr>
        <w:t>Musk</w:t>
      </w:r>
      <w:r w:rsidR="006B1619">
        <w:rPr>
          <w:lang w:val="es-ES"/>
        </w:rPr>
        <w:t>.</w:t>
      </w:r>
    </w:p>
    <w:bookmarkEnd w:id="122"/>
    <w:p w14:paraId="20531AFE" w14:textId="0F3EEF64" w:rsidR="008A64DF" w:rsidRPr="00F00093" w:rsidRDefault="00471941" w:rsidP="00471941">
      <w:pPr>
        <w:pStyle w:val="enumlev1"/>
        <w:rPr>
          <w:lang w:val="es-ES"/>
        </w:rPr>
      </w:pPr>
      <w:r w:rsidRPr="00471941">
        <w:rPr>
          <w:lang w:val="es-ES"/>
        </w:rPr>
        <w:t>•</w:t>
      </w:r>
      <w:r>
        <w:rPr>
          <w:lang w:val="es-ES"/>
        </w:rPr>
        <w:tab/>
      </w:r>
      <w:r w:rsidR="008A64DF">
        <w:rPr>
          <w:lang w:val="es-ES"/>
        </w:rPr>
        <w:t>Ha asesorado a los países participantes acerca de soluciones té</w:t>
      </w:r>
      <w:r w:rsidR="00834D4F">
        <w:rPr>
          <w:lang w:val="es-ES"/>
        </w:rPr>
        <w:t>c</w:t>
      </w:r>
      <w:r w:rsidR="008A64DF">
        <w:rPr>
          <w:lang w:val="es-ES"/>
        </w:rPr>
        <w:t>nicas para conectar escuelas</w:t>
      </w:r>
      <w:r w:rsidR="008A64DF" w:rsidRPr="00B04A9A">
        <w:rPr>
          <w:lang w:val="es-ES"/>
        </w:rPr>
        <w:t xml:space="preserve">. </w:t>
      </w:r>
      <w:r w:rsidR="008A64DF">
        <w:rPr>
          <w:lang w:val="es-ES"/>
        </w:rPr>
        <w:t>El</w:t>
      </w:r>
      <w:r w:rsidR="008A64DF" w:rsidRPr="00B04A9A">
        <w:rPr>
          <w:lang w:val="es-ES"/>
        </w:rPr>
        <w:t xml:space="preserve"> </w:t>
      </w:r>
      <w:hyperlink r:id="rId237" w:history="1">
        <w:r w:rsidR="00F00093" w:rsidRPr="00F00093">
          <w:rPr>
            <w:rStyle w:val="Hyperlink"/>
            <w:lang w:val="es-ES"/>
          </w:rPr>
          <w:t>c</w:t>
        </w:r>
        <w:r w:rsidR="008A64DF" w:rsidRPr="00F00093">
          <w:rPr>
            <w:rStyle w:val="Hyperlink"/>
            <w:lang w:val="es-ES"/>
          </w:rPr>
          <w:t>onjunto de herramientas para la conectividad del último kilómetro</w:t>
        </w:r>
      </w:hyperlink>
      <w:r w:rsidR="008A64DF" w:rsidRPr="00B04A9A">
        <w:rPr>
          <w:lang w:val="es-ES"/>
        </w:rPr>
        <w:t xml:space="preserve"> </w:t>
      </w:r>
      <w:r w:rsidR="00F00093">
        <w:rPr>
          <w:lang w:val="es-ES"/>
        </w:rPr>
        <w:t xml:space="preserve">de la UIT </w:t>
      </w:r>
      <w:r w:rsidR="008A64DF">
        <w:rPr>
          <w:lang w:val="es-ES"/>
        </w:rPr>
        <w:t>ayuda</w:t>
      </w:r>
      <w:r w:rsidR="00F00093">
        <w:rPr>
          <w:lang w:val="es-ES"/>
        </w:rPr>
        <w:t xml:space="preserve"> a </w:t>
      </w:r>
      <w:r w:rsidR="008A64DF">
        <w:rPr>
          <w:lang w:val="es-ES"/>
        </w:rPr>
        <w:t xml:space="preserve">los países donde está presente </w:t>
      </w:r>
      <w:r w:rsidR="008A64DF" w:rsidRPr="00B04A9A">
        <w:rPr>
          <w:lang w:val="es-ES"/>
        </w:rPr>
        <w:t xml:space="preserve">Giga </w:t>
      </w:r>
      <w:r w:rsidR="008A64DF">
        <w:rPr>
          <w:lang w:val="es-ES"/>
        </w:rPr>
        <w:t>a lograr una conectividad asequible de escuelas</w:t>
      </w:r>
      <w:r w:rsidR="006B1619">
        <w:rPr>
          <w:lang w:val="es-ES"/>
        </w:rPr>
        <w:t>.</w:t>
      </w:r>
    </w:p>
    <w:p w14:paraId="2F3F4AF5" w14:textId="67177B46" w:rsidR="008A64DF" w:rsidRPr="00B04A9A" w:rsidRDefault="00471941" w:rsidP="00471941">
      <w:pPr>
        <w:pStyle w:val="enumlev1"/>
        <w:rPr>
          <w:rFonts w:eastAsia="PMingLiU"/>
          <w:lang w:val="es-ES" w:eastAsia="zh-TW"/>
        </w:rPr>
      </w:pPr>
      <w:r w:rsidRPr="00F00093">
        <w:rPr>
          <w:lang w:val="es-ES"/>
        </w:rPr>
        <w:t>•</w:t>
      </w:r>
      <w:r>
        <w:rPr>
          <w:lang w:val="es-ES"/>
        </w:rPr>
        <w:tab/>
      </w:r>
      <w:r w:rsidR="008A64DF">
        <w:rPr>
          <w:lang w:val="es-ES" w:eastAsia="zh-TW"/>
        </w:rPr>
        <w:t xml:space="preserve">Ha desarrollado modelos de financiación, en particular la </w:t>
      </w:r>
      <w:hyperlink r:id="rId238" w:history="1">
        <w:r w:rsidR="008A64DF">
          <w:rPr>
            <w:color w:val="0000FF"/>
            <w:u w:val="single"/>
            <w:lang w:val="es-ES" w:eastAsia="zh-TW"/>
          </w:rPr>
          <w:t>evaluación de modelos comerciales sostenibles</w:t>
        </w:r>
      </w:hyperlink>
      <w:r w:rsidR="008A64DF" w:rsidRPr="00B04A9A">
        <w:rPr>
          <w:lang w:val="es-ES" w:eastAsia="zh-TW"/>
        </w:rPr>
        <w:t xml:space="preserve"> </w:t>
      </w:r>
      <w:r w:rsidR="008A64DF">
        <w:rPr>
          <w:lang w:val="es-ES" w:eastAsia="zh-TW"/>
        </w:rPr>
        <w:t xml:space="preserve">realizado por </w:t>
      </w:r>
      <w:r w:rsidR="008A64DF" w:rsidRPr="00B04A9A">
        <w:rPr>
          <w:lang w:val="es-ES" w:eastAsia="zh-TW"/>
        </w:rPr>
        <w:t>Boston Consulting Group</w:t>
      </w:r>
      <w:r w:rsidR="008A64DF">
        <w:rPr>
          <w:lang w:val="es-ES" w:eastAsia="zh-TW"/>
        </w:rPr>
        <w:t xml:space="preserve">, asociado de </w:t>
      </w:r>
      <w:r w:rsidR="008A64DF" w:rsidRPr="00B04A9A">
        <w:rPr>
          <w:lang w:val="es-ES" w:eastAsia="zh-TW"/>
        </w:rPr>
        <w:t>Giga</w:t>
      </w:r>
      <w:r w:rsidR="006B1619">
        <w:rPr>
          <w:lang w:val="es-ES" w:eastAsia="zh-TW"/>
        </w:rPr>
        <w:t>.</w:t>
      </w:r>
    </w:p>
    <w:p w14:paraId="2A2B53D3" w14:textId="7A074534" w:rsidR="008A64DF" w:rsidRPr="00F00093" w:rsidRDefault="00471941" w:rsidP="00471941">
      <w:pPr>
        <w:pStyle w:val="enumlev1"/>
        <w:rPr>
          <w:lang w:val="es-ES"/>
        </w:rPr>
      </w:pPr>
      <w:r w:rsidRPr="00471941">
        <w:rPr>
          <w:lang w:val="es-ES"/>
        </w:rPr>
        <w:t>•</w:t>
      </w:r>
      <w:r>
        <w:rPr>
          <w:lang w:val="es-ES"/>
        </w:rPr>
        <w:tab/>
      </w:r>
      <w:r w:rsidR="008A64DF">
        <w:rPr>
          <w:lang w:val="es-ES" w:eastAsia="zh-TW"/>
        </w:rPr>
        <w:t>H</w:t>
      </w:r>
      <w:r w:rsidR="008A64DF" w:rsidRPr="00953A85">
        <w:rPr>
          <w:lang w:val="es-ES" w:eastAsia="zh-TW"/>
        </w:rPr>
        <w:t xml:space="preserve">a aprovechado las inversiones del </w:t>
      </w:r>
      <w:hyperlink r:id="rId239" w:history="1">
        <w:r w:rsidR="008A64DF">
          <w:rPr>
            <w:color w:val="0000FF"/>
            <w:u w:val="single"/>
            <w:lang w:val="es-ES" w:eastAsia="zh-TW"/>
          </w:rPr>
          <w:t>Fondo de capital de riesgo</w:t>
        </w:r>
      </w:hyperlink>
      <w:r w:rsidR="008A64DF" w:rsidRPr="00953A85">
        <w:rPr>
          <w:lang w:val="es-ES" w:eastAsia="zh-TW"/>
        </w:rPr>
        <w:t xml:space="preserve"> de UNICEF en soluciones de </w:t>
      </w:r>
      <w:r w:rsidR="008A64DF" w:rsidRPr="00953A85">
        <w:rPr>
          <w:lang w:val="es-ES"/>
        </w:rPr>
        <w:t>código abierto, con miras a determinar los bienes públicos digitales que los gobiernos y las empresas locales pueden distribuir y ampliar, para poner a disposición de niños, docentes y administradores los correspondientes contenidos, informaciones y competencias digitales</w:t>
      </w:r>
      <w:r w:rsidR="006B1619">
        <w:rPr>
          <w:lang w:val="es-ES"/>
        </w:rPr>
        <w:t>.</w:t>
      </w:r>
    </w:p>
    <w:p w14:paraId="5B3B8FAE" w14:textId="1F744B4C" w:rsidR="008A64DF" w:rsidRPr="00B04A9A" w:rsidRDefault="00471941" w:rsidP="00471941">
      <w:pPr>
        <w:pStyle w:val="enumlev1"/>
        <w:rPr>
          <w:rFonts w:eastAsia="PMingLiU"/>
          <w:lang w:val="es-ES" w:eastAsia="zh-TW"/>
        </w:rPr>
      </w:pPr>
      <w:r w:rsidRPr="00471941">
        <w:rPr>
          <w:lang w:val="es-ES"/>
        </w:rPr>
        <w:t>•</w:t>
      </w:r>
      <w:r>
        <w:rPr>
          <w:lang w:val="es-ES"/>
        </w:rPr>
        <w:tab/>
      </w:r>
      <w:r w:rsidR="008A64DF">
        <w:rPr>
          <w:lang w:val="es-ES" w:eastAsia="zh-TW"/>
        </w:rPr>
        <w:t xml:space="preserve">Ha comenzado a trabajar con países de Asia </w:t>
      </w:r>
      <w:r w:rsidR="008A64DF" w:rsidRPr="00B04A9A">
        <w:rPr>
          <w:lang w:val="es-ES" w:eastAsia="zh-TW"/>
        </w:rPr>
        <w:t xml:space="preserve">Central, </w:t>
      </w:r>
      <w:r w:rsidR="008A64DF">
        <w:rPr>
          <w:lang w:val="es-ES" w:eastAsia="zh-TW"/>
        </w:rPr>
        <w:t>el Caribe oriental y África</w:t>
      </w:r>
      <w:r w:rsidR="008A64DF" w:rsidRPr="00B04A9A">
        <w:rPr>
          <w:lang w:val="es-ES" w:eastAsia="zh-TW"/>
        </w:rPr>
        <w:t xml:space="preserve">, </w:t>
      </w:r>
      <w:r w:rsidR="008A64DF">
        <w:rPr>
          <w:lang w:val="es-ES" w:eastAsia="zh-TW"/>
        </w:rPr>
        <w:t xml:space="preserve">y nuevos países de </w:t>
      </w:r>
      <w:r w:rsidR="008A64DF" w:rsidRPr="00B04A9A">
        <w:rPr>
          <w:lang w:val="es-ES" w:eastAsia="zh-TW"/>
        </w:rPr>
        <w:t>Asia</w:t>
      </w:r>
      <w:r w:rsidR="008A64DF">
        <w:rPr>
          <w:lang w:val="es-ES" w:eastAsia="zh-TW"/>
        </w:rPr>
        <w:t>-</w:t>
      </w:r>
      <w:r w:rsidR="008A64DF" w:rsidRPr="00B04A9A">
        <w:rPr>
          <w:lang w:val="es-ES" w:eastAsia="zh-TW"/>
        </w:rPr>
        <w:t>Pac</w:t>
      </w:r>
      <w:r w:rsidR="008A64DF">
        <w:rPr>
          <w:lang w:val="es-ES" w:eastAsia="zh-TW"/>
        </w:rPr>
        <w:t>í</w:t>
      </w:r>
      <w:r w:rsidR="008A64DF" w:rsidRPr="00B04A9A">
        <w:rPr>
          <w:lang w:val="es-ES" w:eastAsia="zh-TW"/>
        </w:rPr>
        <w:t>fic</w:t>
      </w:r>
      <w:r w:rsidR="008A64DF">
        <w:rPr>
          <w:lang w:val="es-ES" w:eastAsia="zh-TW"/>
        </w:rPr>
        <w:t xml:space="preserve">o y América del </w:t>
      </w:r>
      <w:r w:rsidR="00F00093">
        <w:rPr>
          <w:lang w:val="es-ES" w:eastAsia="zh-TW"/>
        </w:rPr>
        <w:t xml:space="preserve">Sur </w:t>
      </w:r>
      <w:r w:rsidR="008A64DF">
        <w:rPr>
          <w:lang w:val="es-ES" w:eastAsia="zh-TW"/>
        </w:rPr>
        <w:t xml:space="preserve">y </w:t>
      </w:r>
      <w:r w:rsidR="008A64DF" w:rsidRPr="00B04A9A">
        <w:rPr>
          <w:lang w:val="es-ES" w:eastAsia="zh-TW"/>
        </w:rPr>
        <w:t>Central.</w:t>
      </w:r>
    </w:p>
    <w:p w14:paraId="0D5D85E1" w14:textId="3A83CC79" w:rsidR="008A64DF" w:rsidRDefault="008A64DF" w:rsidP="00471941">
      <w:pPr>
        <w:rPr>
          <w:lang w:val="es-ES"/>
        </w:rPr>
      </w:pPr>
      <w:r w:rsidRPr="00B9367E">
        <w:rPr>
          <w:lang w:val="es-ES"/>
        </w:rPr>
        <w:t>En febrero de 2021</w:t>
      </w:r>
      <w:r w:rsidRPr="00471941">
        <w:rPr>
          <w:lang w:val="es-ES"/>
        </w:rPr>
        <w:t>, la UIT firmó un acuerdo con la Oficina de Asuntos Exteriores, de la Commonwealth y de Desarrollo del Reino Unido (FCDO) para promover la reglamentación eficaz, la inversión y modelos innovadores para la conectividad de centros escolares en las comunidades desatendidas de Ken</w:t>
      </w:r>
      <w:r w:rsidR="00212EE6">
        <w:rPr>
          <w:lang w:val="es-ES"/>
        </w:rPr>
        <w:t>y</w:t>
      </w:r>
      <w:r w:rsidRPr="00471941">
        <w:rPr>
          <w:lang w:val="es-ES"/>
        </w:rPr>
        <w:t>a, Nigeria, Indonesia, Brasil y Sudáfrica.</w:t>
      </w:r>
    </w:p>
    <w:p w14:paraId="67CDA6BB" w14:textId="77777777" w:rsidR="00794F8D" w:rsidRPr="00794F8D" w:rsidRDefault="00794F8D" w:rsidP="00794F8D">
      <w:pPr>
        <w:rPr>
          <w:lang w:val="es-ES"/>
        </w:rPr>
      </w:pPr>
      <w:r w:rsidRPr="00794F8D">
        <w:rPr>
          <w:lang w:val="es-ES"/>
        </w:rPr>
        <w:t xml:space="preserve">En 2021, Giga organizó la primera </w:t>
      </w:r>
      <w:hyperlink r:id="rId240" w:history="1">
        <w:r w:rsidRPr="00794F8D">
          <w:rPr>
            <w:rStyle w:val="Hyperlink"/>
            <w:lang w:val="es-ES"/>
          </w:rPr>
          <w:t>mesa redonda ministerial de Giga para África</w:t>
        </w:r>
      </w:hyperlink>
      <w:r w:rsidRPr="00794F8D">
        <w:rPr>
          <w:lang w:val="es-ES"/>
        </w:rPr>
        <w:t xml:space="preserve"> en colaboración con el Gobierno de Rwanda con el fin de cooperar para reducir la brecha digital en África. En la segunda mesa redonda ministerial, dedicada al inventario de escuelas, se examinó sobre cómo aumentar la financiación y conectividad de escuelas.</w:t>
      </w:r>
    </w:p>
    <w:p w14:paraId="578243CD" w14:textId="3571486C" w:rsidR="00794F8D" w:rsidRPr="00794F8D" w:rsidRDefault="00794F8D" w:rsidP="00794F8D">
      <w:pPr>
        <w:rPr>
          <w:lang w:val="es-ES"/>
        </w:rPr>
      </w:pPr>
      <w:r w:rsidRPr="00794F8D">
        <w:rPr>
          <w:lang w:val="es-ES"/>
        </w:rPr>
        <w:t xml:space="preserve">El informe del Grupo de Trabajo sobre enseñanza digital, de la Comisión de la Banda Ancha, publicado en 2021, describe la labor de Giga: </w:t>
      </w:r>
      <w:hyperlink r:id="rId241" w:history="1">
        <w:r w:rsidRPr="00794F8D">
          <w:rPr>
            <w:rStyle w:val="Hyperlink"/>
            <w:lang w:val="es-ES"/>
          </w:rPr>
          <w:t>Conectar espacios docentes: posibilidad de la enseñanza híbrida</w:t>
        </w:r>
      </w:hyperlink>
      <w:r w:rsidRPr="00794F8D">
        <w:rPr>
          <w:lang w:val="es-ES"/>
        </w:rPr>
        <w:t xml:space="preserve">. La labor de Giga se menciona en el plan de acción de la hoja de ruta del Secretario General de Naciones Unidas para la cooperación digital y en el </w:t>
      </w:r>
      <w:r w:rsidRPr="00B9367E">
        <w:rPr>
          <w:lang w:val="es-ES"/>
        </w:rPr>
        <w:t xml:space="preserve">informe </w:t>
      </w:r>
      <w:hyperlink r:id="rId242" w:history="1">
        <w:r w:rsidRPr="00B9367E">
          <w:rPr>
            <w:rStyle w:val="Hyperlink"/>
            <w:i/>
            <w:iCs/>
            <w:lang w:val="es-ES"/>
          </w:rPr>
          <w:t xml:space="preserve">Nuestra </w:t>
        </w:r>
        <w:r w:rsidR="00B9367E" w:rsidRPr="00B9367E">
          <w:rPr>
            <w:rStyle w:val="Hyperlink"/>
            <w:i/>
            <w:iCs/>
            <w:lang w:val="es-ES"/>
          </w:rPr>
          <w:t>A</w:t>
        </w:r>
        <w:r w:rsidRPr="00B9367E">
          <w:rPr>
            <w:rStyle w:val="Hyperlink"/>
            <w:i/>
            <w:iCs/>
            <w:lang w:val="es-ES"/>
          </w:rPr>
          <w:t xml:space="preserve">genda </w:t>
        </w:r>
        <w:r w:rsidR="00B9367E" w:rsidRPr="00B9367E">
          <w:rPr>
            <w:rStyle w:val="Hyperlink"/>
            <w:i/>
            <w:iCs/>
            <w:lang w:val="es-ES"/>
          </w:rPr>
          <w:t>C</w:t>
        </w:r>
        <w:r w:rsidRPr="00B9367E">
          <w:rPr>
            <w:rStyle w:val="Hyperlink"/>
            <w:i/>
            <w:iCs/>
            <w:lang w:val="es-ES"/>
          </w:rPr>
          <w:t>omún</w:t>
        </w:r>
      </w:hyperlink>
      <w:r w:rsidRPr="00794F8D">
        <w:rPr>
          <w:lang w:val="es-ES"/>
        </w:rPr>
        <w:t>.</w:t>
      </w:r>
    </w:p>
    <w:p w14:paraId="58979AF5" w14:textId="6DF9ABCB" w:rsidR="008A64DF" w:rsidRDefault="008A64DF" w:rsidP="00794F8D">
      <w:pPr>
        <w:pStyle w:val="Headingb"/>
        <w:rPr>
          <w:lang w:val="es-ES"/>
        </w:rPr>
      </w:pPr>
      <w:r w:rsidRPr="00160CB3">
        <w:rPr>
          <w:lang w:val="es-ES"/>
        </w:rPr>
        <w:t>Participación de la UIT en las actividades del Secretario General de las Naciones Unidas sobre cooperación digital</w:t>
      </w:r>
    </w:p>
    <w:p w14:paraId="6BEDBA88" w14:textId="1B05C3BB" w:rsidR="00794F8D" w:rsidRPr="00794F8D" w:rsidRDefault="00794F8D" w:rsidP="00794F8D">
      <w:pPr>
        <w:rPr>
          <w:lang w:val="es-ES"/>
        </w:rPr>
      </w:pPr>
      <w:r w:rsidRPr="00794F8D">
        <w:rPr>
          <w:lang w:val="es-ES"/>
        </w:rPr>
        <w:t xml:space="preserve">El informe del </w:t>
      </w:r>
      <w:hyperlink r:id="rId243" w:history="1">
        <w:r w:rsidR="004A74A5" w:rsidRPr="001B1357">
          <w:rPr>
            <w:rStyle w:val="Hyperlink"/>
            <w:lang w:val="es-ES"/>
          </w:rPr>
          <w:t>Panel de Alto Nivel sobre la Cooperación Digital</w:t>
        </w:r>
      </w:hyperlink>
      <w:r w:rsidRPr="00794F8D">
        <w:rPr>
          <w:lang w:val="es-ES"/>
        </w:rPr>
        <w:t xml:space="preserve">, publicado en junio de 2019 y titulado </w:t>
      </w:r>
      <w:hyperlink r:id="rId244" w:history="1">
        <w:r w:rsidR="004A74A5" w:rsidRPr="00794F8D">
          <w:rPr>
            <w:rStyle w:val="Hyperlink"/>
            <w:lang w:val="es-ES"/>
          </w:rPr>
          <w:t>L</w:t>
        </w:r>
        <w:r w:rsidRPr="00794F8D">
          <w:rPr>
            <w:rStyle w:val="Hyperlink"/>
            <w:lang w:val="es-ES"/>
          </w:rPr>
          <w:t>a era de la interdependencia digital</w:t>
        </w:r>
      </w:hyperlink>
      <w:r w:rsidRPr="00794F8D">
        <w:rPr>
          <w:lang w:val="es-ES"/>
        </w:rPr>
        <w:t xml:space="preserve">, incluye recomendaciones sobre cómo mejorar la cooperación digital. La </w:t>
      </w:r>
      <w:bookmarkStart w:id="123" w:name="_Hlk95300300"/>
      <w:r w:rsidRPr="00794F8D">
        <w:rPr>
          <w:lang w:val="es-ES"/>
        </w:rPr>
        <w:t>Oficina Ejecutiv</w:t>
      </w:r>
      <w:r w:rsidR="004A74A5">
        <w:rPr>
          <w:lang w:val="es-ES"/>
        </w:rPr>
        <w:t>a</w:t>
      </w:r>
      <w:r w:rsidRPr="00794F8D">
        <w:rPr>
          <w:lang w:val="es-ES"/>
        </w:rPr>
        <w:t xml:space="preserve"> del Secretario General (</w:t>
      </w:r>
      <w:r w:rsidR="004A74A5">
        <w:rPr>
          <w:lang w:val="es-ES"/>
        </w:rPr>
        <w:t>OESG</w:t>
      </w:r>
      <w:r w:rsidRPr="00794F8D">
        <w:rPr>
          <w:lang w:val="es-ES"/>
        </w:rPr>
        <w:t>)</w:t>
      </w:r>
      <w:bookmarkEnd w:id="123"/>
      <w:r w:rsidRPr="00794F8D">
        <w:rPr>
          <w:lang w:val="es-ES"/>
        </w:rPr>
        <w:t xml:space="preserve"> celebró ocho mesas redondas virtuales para analizar cómo realizar progresos en cada recomendación. </w:t>
      </w:r>
      <w:bookmarkStart w:id="124" w:name="_Hlk95737306"/>
      <w:r w:rsidR="004815BF" w:rsidRPr="004815BF">
        <w:rPr>
          <w:lang w:val="es-ES"/>
        </w:rPr>
        <w:t xml:space="preserve">Se seleccionó a la UIT para promover la </w:t>
      </w:r>
      <w:r w:rsidRPr="00794F8D">
        <w:rPr>
          <w:lang w:val="es-ES"/>
        </w:rPr>
        <w:t xml:space="preserve">Recomendación 1A </w:t>
      </w:r>
      <w:bookmarkEnd w:id="124"/>
      <w:r w:rsidRPr="00794F8D">
        <w:rPr>
          <w:lang w:val="es-ES"/>
        </w:rPr>
        <w:t xml:space="preserve">(conectividad mundial) –junto con UNICEF y Uganda– y de la Recomendación 2 (servicios de asistencia digitales) – junto con el PNUD. La UIT también fue uno de los "principales integrantes" de otras cinco mesas redondas sobre las Recomendaciones: 1B (bienes públicos digitales); 1C/D (inclusión digital); 3C (inteligencia artificial); </w:t>
      </w:r>
      <w:r w:rsidRPr="001B1357">
        <w:rPr>
          <w:lang w:val="es-ES"/>
        </w:rPr>
        <w:t>4</w:t>
      </w:r>
      <w:r w:rsidRPr="00794F8D">
        <w:rPr>
          <w:lang w:val="es-ES"/>
        </w:rPr>
        <w:t xml:space="preserve"> (confianza y seguridad digitales); y 5A/B (arquitectura de la cooperación digital).</w:t>
      </w:r>
    </w:p>
    <w:p w14:paraId="1A19D185" w14:textId="0B27AB96" w:rsidR="00794F8D" w:rsidRPr="00794F8D" w:rsidRDefault="00794F8D" w:rsidP="00794F8D">
      <w:pPr>
        <w:rPr>
          <w:lang w:val="es-ES"/>
        </w:rPr>
      </w:pPr>
      <w:bookmarkStart w:id="125" w:name="_Hlk95737409"/>
      <w:r w:rsidRPr="00794F8D">
        <w:rPr>
          <w:lang w:val="es-ES"/>
        </w:rPr>
        <w:t xml:space="preserve">Las mesas redondas en las que participa la UIT </w:t>
      </w:r>
      <w:r w:rsidR="004815BF" w:rsidRPr="004815BF">
        <w:rPr>
          <w:lang w:val="es-ES"/>
        </w:rPr>
        <w:t xml:space="preserve">han facilitado información a la </w:t>
      </w:r>
      <w:r w:rsidR="004A74A5" w:rsidRPr="004A74A5">
        <w:rPr>
          <w:lang w:val="es-ES"/>
        </w:rPr>
        <w:t>OESG</w:t>
      </w:r>
      <w:r w:rsidRPr="00794F8D">
        <w:rPr>
          <w:lang w:val="es-ES"/>
        </w:rPr>
        <w:t xml:space="preserve"> y han ayudado a preparar la hoja de ruta del Secretario General de las Naciones Unidas para la </w:t>
      </w:r>
      <w:r w:rsidR="002930D2" w:rsidRPr="00794F8D">
        <w:rPr>
          <w:lang w:val="es-ES"/>
        </w:rPr>
        <w:t>c</w:t>
      </w:r>
      <w:r w:rsidRPr="00794F8D">
        <w:rPr>
          <w:lang w:val="es-ES"/>
        </w:rPr>
        <w:t xml:space="preserve">ooperación </w:t>
      </w:r>
      <w:r w:rsidR="002930D2" w:rsidRPr="00794F8D">
        <w:rPr>
          <w:lang w:val="es-ES"/>
        </w:rPr>
        <w:t>d</w:t>
      </w:r>
      <w:r w:rsidRPr="00794F8D">
        <w:rPr>
          <w:lang w:val="es-ES"/>
        </w:rPr>
        <w:t xml:space="preserve">igital </w:t>
      </w:r>
      <w:r w:rsidRPr="002930D2">
        <w:t>(</w:t>
      </w:r>
      <w:hyperlink r:id="rId245" w:history="1">
        <w:r w:rsidRPr="002930D2">
          <w:rPr>
            <w:rStyle w:val="Hyperlink"/>
            <w:lang w:val="es-ES"/>
          </w:rPr>
          <w:t>A/74/821</w:t>
        </w:r>
      </w:hyperlink>
      <w:r w:rsidRPr="002930D2">
        <w:t>)</w:t>
      </w:r>
      <w:bookmarkEnd w:id="125"/>
      <w:r w:rsidRPr="002930D2">
        <w:t>.</w:t>
      </w:r>
      <w:r w:rsidRPr="00794F8D">
        <w:rPr>
          <w:lang w:val="es-ES"/>
        </w:rPr>
        <w:t xml:space="preserve"> Desde entonces, la UIT ha colaborado con la Oficina del Enviado del Secretario General para la Tecnología, organismos afines de las Naciones Unidas y los integrantes de las mesas redondas (gobiernos, sector privado y sociedad civil) para facilitar la aplicación de la hoja de </w:t>
      </w:r>
      <w:r w:rsidRPr="00794F8D">
        <w:rPr>
          <w:lang w:val="es-ES"/>
        </w:rPr>
        <w:lastRenderedPageBreak/>
        <w:t>ruta. La UIT ha dirigido un grupo de trabajo multipartito para elaborar un marco de conectividad, cuyos resultados preliminares se esperan para el primer trimestre de 2022.</w:t>
      </w:r>
    </w:p>
    <w:p w14:paraId="6ED84A0E" w14:textId="4312BEDE" w:rsidR="00794F8D" w:rsidRPr="00794F8D" w:rsidRDefault="00794F8D" w:rsidP="00794F8D">
      <w:pPr>
        <w:rPr>
          <w:lang w:val="es-ES"/>
        </w:rPr>
      </w:pPr>
      <w:r w:rsidRPr="00794F8D">
        <w:rPr>
          <w:lang w:val="es-ES"/>
        </w:rPr>
        <w:t xml:space="preserve">La Red multipartita de capacitación digital se puso en marcha con ocasión del </w:t>
      </w:r>
      <w:hyperlink r:id="rId246" w:history="1">
        <w:r w:rsidRPr="00794F8D">
          <w:rPr>
            <w:rStyle w:val="Hyperlink"/>
            <w:lang w:val="es-ES"/>
          </w:rPr>
          <w:t>Foro de Gobernanza de Internet</w:t>
        </w:r>
      </w:hyperlink>
      <w:r w:rsidRPr="00794F8D">
        <w:rPr>
          <w:lang w:val="es-ES"/>
        </w:rPr>
        <w:t xml:space="preserve"> de 2021. La UIT y el PNUD presentaron el Mecanismo </w:t>
      </w:r>
      <w:r w:rsidR="002930D2" w:rsidRPr="00794F8D">
        <w:rPr>
          <w:lang w:val="es-ES"/>
        </w:rPr>
        <w:t>c</w:t>
      </w:r>
      <w:r w:rsidRPr="00794F8D">
        <w:rPr>
          <w:lang w:val="es-ES"/>
        </w:rPr>
        <w:t xml:space="preserve">onjunto para el </w:t>
      </w:r>
      <w:r w:rsidR="002930D2" w:rsidRPr="00794F8D">
        <w:rPr>
          <w:lang w:val="es-ES"/>
        </w:rPr>
        <w:t>d</w:t>
      </w:r>
      <w:r w:rsidRPr="00794F8D">
        <w:rPr>
          <w:lang w:val="es-ES"/>
        </w:rPr>
        <w:t xml:space="preserve">esarrollo de </w:t>
      </w:r>
      <w:r w:rsidR="002930D2" w:rsidRPr="00794F8D">
        <w:rPr>
          <w:lang w:val="es-ES"/>
        </w:rPr>
        <w:t>c</w:t>
      </w:r>
      <w:r w:rsidRPr="00794F8D">
        <w:rPr>
          <w:lang w:val="es-ES"/>
        </w:rPr>
        <w:t xml:space="preserve">apacidades </w:t>
      </w:r>
      <w:r w:rsidR="002930D2" w:rsidRPr="00794F8D">
        <w:rPr>
          <w:lang w:val="es-ES"/>
        </w:rPr>
        <w:t>d</w:t>
      </w:r>
      <w:r w:rsidRPr="00794F8D">
        <w:rPr>
          <w:lang w:val="es-ES"/>
        </w:rPr>
        <w:t xml:space="preserve">igitales, que incluye una </w:t>
      </w:r>
      <w:hyperlink r:id="rId247" w:history="1">
        <w:r w:rsidRPr="00794F8D">
          <w:rPr>
            <w:rStyle w:val="Hyperlink"/>
            <w:lang w:val="es-ES"/>
          </w:rPr>
          <w:t>plataforma en línea</w:t>
        </w:r>
      </w:hyperlink>
      <w:r w:rsidRPr="00794F8D">
        <w:rPr>
          <w:lang w:val="es-ES"/>
        </w:rPr>
        <w:t xml:space="preserve"> para dar servicio a MSN mediante la creación de una base de datos de formación en competencias digitales existentes y la adecuación de la demanda pendiente a las ofertas de formación, lo que da lugar a un enfoque más holístico del desarrollo de capacidades digitales.</w:t>
      </w:r>
    </w:p>
    <w:p w14:paraId="7A9DE255" w14:textId="2B9FDFAB" w:rsidR="00794F8D" w:rsidRPr="00794F8D" w:rsidRDefault="00794F8D" w:rsidP="00794F8D">
      <w:pPr>
        <w:rPr>
          <w:lang w:val="es-ES"/>
        </w:rPr>
      </w:pPr>
      <w:r w:rsidRPr="00794F8D">
        <w:rPr>
          <w:lang w:val="es-ES"/>
        </w:rPr>
        <w:t xml:space="preserve">El papel destacado de la UIT en la aplicación de la </w:t>
      </w:r>
      <w:hyperlink r:id="rId248" w:history="1">
        <w:r w:rsidRPr="00794F8D">
          <w:rPr>
            <w:rStyle w:val="Hyperlink"/>
            <w:lang w:val="es-ES"/>
          </w:rPr>
          <w:t>hoja de ruta</w:t>
        </w:r>
      </w:hyperlink>
      <w:r w:rsidRPr="00794F8D">
        <w:rPr>
          <w:lang w:val="es-ES"/>
        </w:rPr>
        <w:t xml:space="preserve"> se presentó durante el </w:t>
      </w:r>
      <w:hyperlink r:id="rId249" w:history="1">
        <w:r w:rsidRPr="00794F8D">
          <w:rPr>
            <w:rStyle w:val="Hyperlink"/>
            <w:lang w:val="es-ES"/>
          </w:rPr>
          <w:t>debate temático de alto nivel sobre cooperación y conectividad digital</w:t>
        </w:r>
      </w:hyperlink>
      <w:r w:rsidRPr="00794F8D">
        <w:rPr>
          <w:lang w:val="es-ES"/>
        </w:rPr>
        <w:t xml:space="preserve">, en abril de 2021. La UIT participó en la consulta interna organizada por la </w:t>
      </w:r>
      <w:r w:rsidR="004A74A5" w:rsidRPr="004A74A5">
        <w:rPr>
          <w:lang w:val="es-ES"/>
        </w:rPr>
        <w:t>OESG</w:t>
      </w:r>
      <w:r w:rsidRPr="00794F8D">
        <w:rPr>
          <w:lang w:val="es-ES"/>
        </w:rPr>
        <w:t xml:space="preserve"> para preparar </w:t>
      </w:r>
      <w:hyperlink r:id="rId250" w:history="1">
        <w:r w:rsidRPr="000E3171">
          <w:rPr>
            <w:rStyle w:val="Hyperlink"/>
            <w:i/>
            <w:iCs/>
            <w:lang w:val="es-ES"/>
          </w:rPr>
          <w:t>Nuestra Agenda Común</w:t>
        </w:r>
      </w:hyperlink>
      <w:r w:rsidRPr="00794F8D">
        <w:rPr>
          <w:lang w:val="es-ES"/>
        </w:rPr>
        <w:t>, publicad</w:t>
      </w:r>
      <w:r w:rsidR="000E3171">
        <w:rPr>
          <w:lang w:val="es-ES"/>
        </w:rPr>
        <w:t>o</w:t>
      </w:r>
      <w:r w:rsidRPr="00794F8D">
        <w:rPr>
          <w:lang w:val="es-ES"/>
        </w:rPr>
        <w:t xml:space="preserve"> en septiembre de 2021, que contiene recomendaciones sobre los retos presentes y futuros. La UIT está estudiando el seguimiento de </w:t>
      </w:r>
      <w:r w:rsidRPr="000E3171">
        <w:rPr>
          <w:i/>
          <w:iCs/>
          <w:lang w:val="es-ES"/>
        </w:rPr>
        <w:t>Nuestra Agenda Común</w:t>
      </w:r>
      <w:r w:rsidRPr="00794F8D">
        <w:rPr>
          <w:lang w:val="es-ES"/>
        </w:rPr>
        <w:t>, centrándose en la cooperación digital</w:t>
      </w:r>
      <w:r>
        <w:rPr>
          <w:lang w:val="es-ES"/>
        </w:rPr>
        <w:t>.</w:t>
      </w:r>
    </w:p>
    <w:p w14:paraId="11DF0742" w14:textId="015E4371" w:rsidR="008A64DF" w:rsidRPr="00794F8D" w:rsidRDefault="008A64DF" w:rsidP="00794F8D">
      <w:pPr>
        <w:pStyle w:val="Headingb"/>
        <w:rPr>
          <w:lang w:val="es-ES"/>
        </w:rPr>
      </w:pPr>
      <w:r w:rsidRPr="005B7DE1">
        <w:rPr>
          <w:lang w:val="es-ES"/>
        </w:rPr>
        <w:t>La UIT aporta su experiencia a los líderes del G20 para acelerar el crecimiento, el desarrollo y la innovación de las TIC</w:t>
      </w:r>
    </w:p>
    <w:p w14:paraId="3426175D" w14:textId="63BCC1F8" w:rsidR="008A64DF" w:rsidRDefault="008A64DF" w:rsidP="00794F8D">
      <w:pPr>
        <w:rPr>
          <w:lang w:val="es-ES"/>
        </w:rPr>
      </w:pPr>
      <w:r w:rsidRPr="00853017">
        <w:rPr>
          <w:lang w:val="es-ES"/>
        </w:rPr>
        <w:t>Los líderes del G20 reconocen las posibilidades que ofrecen las TIC para avanzar en la consecución de los ODS mediante el fomento de la digitalización universal. En 2020, la UIT prestó apoyo a la Presidencia del G20</w:t>
      </w:r>
      <w:r>
        <w:rPr>
          <w:lang w:val="es-ES"/>
        </w:rPr>
        <w:t xml:space="preserve">, en su calidad de colaborador sobre </w:t>
      </w:r>
      <w:r w:rsidRPr="00853017">
        <w:rPr>
          <w:lang w:val="es-ES"/>
        </w:rPr>
        <w:t xml:space="preserve">conocimientos en </w:t>
      </w:r>
      <w:r>
        <w:rPr>
          <w:lang w:val="es-ES"/>
        </w:rPr>
        <w:t xml:space="preserve">diversos </w:t>
      </w:r>
      <w:r w:rsidRPr="00853017">
        <w:rPr>
          <w:lang w:val="es-ES"/>
        </w:rPr>
        <w:t xml:space="preserve">temas, </w:t>
      </w:r>
      <w:r>
        <w:rPr>
          <w:lang w:val="es-ES"/>
        </w:rPr>
        <w:t xml:space="preserve">en particular en </w:t>
      </w:r>
      <w:r w:rsidRPr="00853017">
        <w:rPr>
          <w:lang w:val="es-ES"/>
        </w:rPr>
        <w:t xml:space="preserve">el Grupo de Trabajo del G20 sobre </w:t>
      </w:r>
      <w:r>
        <w:rPr>
          <w:lang w:val="es-ES"/>
        </w:rPr>
        <w:t>s</w:t>
      </w:r>
      <w:r w:rsidRPr="00853017">
        <w:rPr>
          <w:lang w:val="es-ES"/>
        </w:rPr>
        <w:t xml:space="preserve">alud </w:t>
      </w:r>
      <w:r>
        <w:rPr>
          <w:lang w:val="es-ES"/>
        </w:rPr>
        <w:t>d</w:t>
      </w:r>
      <w:r w:rsidRPr="00853017">
        <w:rPr>
          <w:lang w:val="es-ES"/>
        </w:rPr>
        <w:t>igital y la "</w:t>
      </w:r>
      <w:r>
        <w:rPr>
          <w:lang w:val="es-ES"/>
        </w:rPr>
        <w:t>s</w:t>
      </w:r>
      <w:r w:rsidRPr="00853017">
        <w:rPr>
          <w:lang w:val="es-ES"/>
        </w:rPr>
        <w:t xml:space="preserve">eguridad en la </w:t>
      </w:r>
      <w:r>
        <w:rPr>
          <w:lang w:val="es-ES"/>
        </w:rPr>
        <w:t>e</w:t>
      </w:r>
      <w:r w:rsidRPr="00853017">
        <w:rPr>
          <w:lang w:val="es-ES"/>
        </w:rPr>
        <w:t xml:space="preserve">conomía </w:t>
      </w:r>
      <w:r>
        <w:rPr>
          <w:lang w:val="es-ES"/>
        </w:rPr>
        <w:t>d</w:t>
      </w:r>
      <w:r w:rsidRPr="00853017">
        <w:rPr>
          <w:lang w:val="es-ES"/>
        </w:rPr>
        <w:t>igital".</w:t>
      </w:r>
    </w:p>
    <w:p w14:paraId="06C596D1" w14:textId="5E5D5625" w:rsidR="00794F8D" w:rsidRDefault="00794F8D" w:rsidP="00794F8D">
      <w:pPr>
        <w:rPr>
          <w:lang w:val="es-ES"/>
        </w:rPr>
      </w:pPr>
      <w:r w:rsidRPr="00794F8D">
        <w:rPr>
          <w:lang w:val="es-ES"/>
        </w:rPr>
        <w:t xml:space="preserve">Junto con otras organizaciones internacionales, la UIT aportó al G20 su experiencia en la aceleración del crecimiento, el desarrollo y la innovación mediante las TIC. Basándose en dicha experiencia, la UIT dirigió el estudio </w:t>
      </w:r>
      <w:hyperlink r:id="rId251" w:history="1">
        <w:r w:rsidRPr="00794F8D">
          <w:rPr>
            <w:rStyle w:val="Hyperlink"/>
            <w:lang w:val="es-ES"/>
          </w:rPr>
          <w:t xml:space="preserve">Conectar a la </w:t>
        </w:r>
        <w:r w:rsidR="005B7DE1" w:rsidRPr="00794F8D">
          <w:rPr>
            <w:rStyle w:val="Hyperlink"/>
            <w:lang w:val="es-ES"/>
          </w:rPr>
          <w:t>h</w:t>
        </w:r>
        <w:r w:rsidRPr="00794F8D">
          <w:rPr>
            <w:rStyle w:val="Hyperlink"/>
            <w:lang w:val="es-ES"/>
          </w:rPr>
          <w:t>umanidad</w:t>
        </w:r>
      </w:hyperlink>
      <w:r w:rsidRPr="00794F8D">
        <w:rPr>
          <w:lang w:val="es-ES"/>
        </w:rPr>
        <w:t xml:space="preserve"> (con el apoyo del Reino de Arabia Saud</w:t>
      </w:r>
      <w:r w:rsidR="005B7DE1">
        <w:rPr>
          <w:lang w:val="es-ES"/>
        </w:rPr>
        <w:t>ita</w:t>
      </w:r>
      <w:r w:rsidRPr="00794F8D">
        <w:rPr>
          <w:lang w:val="es-ES"/>
        </w:rPr>
        <w:t>), en el que se calcula la inversión necesaria para lograr una conectividad de banda ancha universal y asequible para toda la humanidad a finales de este decenio. El informe se presentó en la reunión del Grupo de Trabajo del G20 sobre economía digital el mes de julio de 2020.</w:t>
      </w:r>
    </w:p>
    <w:p w14:paraId="7EE955C3" w14:textId="042BAB52" w:rsidR="00CA0A89" w:rsidRPr="00CA0A89" w:rsidRDefault="00CA0A89" w:rsidP="00CA0A89">
      <w:pPr>
        <w:pStyle w:val="Headingb"/>
        <w:rPr>
          <w:lang w:val="es-ES"/>
        </w:rPr>
      </w:pPr>
      <w:r w:rsidRPr="00CA0A89">
        <w:rPr>
          <w:lang w:val="es-ES"/>
        </w:rPr>
        <w:t>Asociación de la UIT y la Organización Mundial de la Salud (OMS) sobre aplicaciones sanitarias de la inteligencia artificial</w:t>
      </w:r>
    </w:p>
    <w:p w14:paraId="588C1519" w14:textId="2E5EED23" w:rsidR="00CA0A89" w:rsidRPr="00CA0A89" w:rsidRDefault="00CA0A89" w:rsidP="00CA0A89">
      <w:r w:rsidRPr="00CA0A89">
        <w:t xml:space="preserve">El </w:t>
      </w:r>
      <w:hyperlink r:id="rId252" w:history="1">
        <w:r w:rsidRPr="008A79F1">
          <w:rPr>
            <w:rStyle w:val="Hyperlink"/>
          </w:rPr>
          <w:t xml:space="preserve">Grupo Temático UIT-OMS sobre </w:t>
        </w:r>
        <w:r w:rsidR="000F6694" w:rsidRPr="008A79F1">
          <w:rPr>
            <w:rStyle w:val="Hyperlink"/>
          </w:rPr>
          <w:t>i</w:t>
        </w:r>
        <w:r w:rsidRPr="008A79F1">
          <w:rPr>
            <w:rStyle w:val="Hyperlink"/>
          </w:rPr>
          <w:t>nteligencia artificial en el ámbito de la sanidad (</w:t>
        </w:r>
        <w:r w:rsidR="000F6694" w:rsidRPr="008A79F1">
          <w:rPr>
            <w:rStyle w:val="Hyperlink"/>
          </w:rPr>
          <w:t>FG</w:t>
        </w:r>
        <w:r w:rsidRPr="008A79F1">
          <w:rPr>
            <w:rStyle w:val="Hyperlink"/>
          </w:rPr>
          <w:t>-AI4H)</w:t>
        </w:r>
      </w:hyperlink>
      <w:r w:rsidRPr="00CA0A89">
        <w:t xml:space="preserve"> colabora con la Organización Mundial de la Salud para establecer un marco de evaluación normalizado de métodos basados en la IA para la toma de decisiones sobre sanidad, realización de diagnósticos, actividades de clasificación o tratamientos. El Grupo, a través de su Grupo de Trabajo sobre </w:t>
      </w:r>
      <w:r w:rsidR="000F6694" w:rsidRPr="00CA0A89">
        <w:t>a</w:t>
      </w:r>
      <w:r w:rsidRPr="00CA0A89">
        <w:t xml:space="preserve">spectos </w:t>
      </w:r>
      <w:r w:rsidR="000F6694" w:rsidRPr="00CA0A89">
        <w:t>é</w:t>
      </w:r>
      <w:r w:rsidRPr="00CA0A89">
        <w:t xml:space="preserve">ticos, ha elaborado una </w:t>
      </w:r>
      <w:hyperlink r:id="rId253" w:history="1">
        <w:r w:rsidRPr="008A79F1">
          <w:rPr>
            <w:rStyle w:val="Hyperlink"/>
          </w:rPr>
          <w:t xml:space="preserve">"Guía de la OMS" sobre "Ética y gobernanza de la </w:t>
        </w:r>
        <w:r w:rsidR="000F6694" w:rsidRPr="008A79F1">
          <w:rPr>
            <w:rStyle w:val="Hyperlink"/>
          </w:rPr>
          <w:t>i</w:t>
        </w:r>
        <w:r w:rsidRPr="008A79F1">
          <w:rPr>
            <w:rStyle w:val="Hyperlink"/>
          </w:rPr>
          <w:t xml:space="preserve">nteligencia </w:t>
        </w:r>
        <w:r w:rsidR="000F6694" w:rsidRPr="008A79F1">
          <w:rPr>
            <w:rStyle w:val="Hyperlink"/>
          </w:rPr>
          <w:t>a</w:t>
        </w:r>
        <w:r w:rsidRPr="008A79F1">
          <w:rPr>
            <w:rStyle w:val="Hyperlink"/>
          </w:rPr>
          <w:t>rtificial para en el ámbito de la sanidad"</w:t>
        </w:r>
      </w:hyperlink>
      <w:r w:rsidRPr="00CA0A89">
        <w:t>. En el informe se identifican los retos y riesgos éticos asociados a la utilización de la inteligencia artificial para la salud y se proporcionan seis principios de consenso para garantizar que la IA redunde en beneficio público en todos los países. También contiene un conjunto de recomendaciones para garantizar que la gobernanza de la inteligencia artificial en el ámbito de la salud permita aprovechar todo lo posible la capacidad de la tecnología, y que todas las partes interesadas, tanto en el sector público como en el privado, rindan cuentas y respondan ante los trabajadores sanitarios que utilizarán esas tecnologías, así como ante las comunidades y personas cuya salud se verá afectada por su uso.</w:t>
      </w:r>
    </w:p>
    <w:p w14:paraId="11123248" w14:textId="77777777" w:rsidR="00CA0A89" w:rsidRPr="00CA0A89" w:rsidRDefault="00CA0A89" w:rsidP="00CA0A89">
      <w:r w:rsidRPr="00CA0A89">
        <w:t>Por otro lado, los grupos de trabajo sobre aspectos reglamentarios y evaluación clínica han elaborado varios documentos que publicará en breve la OMS.</w:t>
      </w:r>
    </w:p>
    <w:p w14:paraId="14ED1253" w14:textId="4C031471" w:rsidR="00CA0A89" w:rsidRPr="00CA0A89" w:rsidRDefault="00CA0A89" w:rsidP="00CA0A89">
      <w:r w:rsidRPr="00CA0A89">
        <w:lastRenderedPageBreak/>
        <w:t xml:space="preserve">Por último, la </w:t>
      </w:r>
      <w:r w:rsidR="00711463" w:rsidRPr="00CA0A89">
        <w:t>i</w:t>
      </w:r>
      <w:r w:rsidRPr="00CA0A89">
        <w:t xml:space="preserve">niciativa sobre código abierto fomenta una </w:t>
      </w:r>
      <w:hyperlink r:id="rId254" w:history="1">
        <w:r w:rsidRPr="008A79F1">
          <w:rPr>
            <w:rStyle w:val="Hyperlink"/>
          </w:rPr>
          <w:t>implementación de referencia</w:t>
        </w:r>
      </w:hyperlink>
      <w:r w:rsidRPr="00CA0A89">
        <w:t>, públicamente disponible, en relación con los productos finales pertinentes.</w:t>
      </w:r>
    </w:p>
    <w:p w14:paraId="65E4C887" w14:textId="0476B3EF" w:rsidR="00CA0A89" w:rsidRPr="00CA0A89" w:rsidRDefault="00CA0A89" w:rsidP="00CA0A89">
      <w:pPr>
        <w:pStyle w:val="Headingb"/>
        <w:rPr>
          <w:lang w:val="es-ES"/>
        </w:rPr>
      </w:pPr>
      <w:r w:rsidRPr="00CA0A89">
        <w:rPr>
          <w:lang w:val="es-ES"/>
        </w:rPr>
        <w:t>La UIT, la Organización Meteorológica Mundial y el PNUMA analizan las posibilidades de aprovechar la IA para la gestión de catástrofes naturales</w:t>
      </w:r>
    </w:p>
    <w:p w14:paraId="14EDD3BD" w14:textId="53503790" w:rsidR="00CA0A89" w:rsidRPr="00CA0A89" w:rsidRDefault="00CA0A89" w:rsidP="00CA0A89">
      <w:r w:rsidRPr="00D5601F">
        <w:t xml:space="preserve">El </w:t>
      </w:r>
      <w:hyperlink r:id="rId255" w:history="1">
        <w:r w:rsidRPr="00D5601F">
          <w:rPr>
            <w:rStyle w:val="Hyperlink"/>
            <w:bCs/>
          </w:rPr>
          <w:t xml:space="preserve">Grupo Temático UIT/OMM/PNUMA sobre </w:t>
        </w:r>
        <w:r w:rsidR="00BE2D5A" w:rsidRPr="00DF43B8">
          <w:rPr>
            <w:rStyle w:val="Hyperlink"/>
            <w:bCs/>
          </w:rPr>
          <w:t>i</w:t>
        </w:r>
        <w:r w:rsidRPr="00D5601F">
          <w:rPr>
            <w:rStyle w:val="Hyperlink"/>
            <w:bCs/>
          </w:rPr>
          <w:t>nteligencia artificial para la gestión de catástrofes naturales (FG-AI4NDM)</w:t>
        </w:r>
      </w:hyperlink>
      <w:r w:rsidRPr="00D5601F">
        <w:t xml:space="preserve"> </w:t>
      </w:r>
      <w:r w:rsidRPr="00CA0A89">
        <w:t>estudia</w:t>
      </w:r>
      <w:r w:rsidRPr="00D5601F">
        <w:t xml:space="preserve"> </w:t>
      </w:r>
      <w:r w:rsidRPr="00CA0A89">
        <w:t>la viabilidad del aprovechamiento de</w:t>
      </w:r>
      <w:r w:rsidRPr="002D2158">
        <w:t xml:space="preserve"> la IA para la gestión de catástrofes naturales. </w:t>
      </w:r>
      <w:r w:rsidRPr="00CA0A89">
        <w:t>Ello</w:t>
      </w:r>
      <w:r w:rsidRPr="00D5601F">
        <w:t xml:space="preserve"> </w:t>
      </w:r>
      <w:r w:rsidRPr="00CA0A89">
        <w:t xml:space="preserve">contribuye, en consecuencia, </w:t>
      </w:r>
      <w:r w:rsidRPr="00D5601F">
        <w:t xml:space="preserve">a sentar las bases para la elaboración de prácticas </w:t>
      </w:r>
      <w:r w:rsidRPr="00CA0A89">
        <w:t xml:space="preserve">idóneas en cuanto a </w:t>
      </w:r>
      <w:r w:rsidRPr="00D5601F">
        <w:t xml:space="preserve">la utilización de la IA para detectar y </w:t>
      </w:r>
      <w:r w:rsidRPr="00CA0A89">
        <w:t>prever</w:t>
      </w:r>
      <w:r w:rsidRPr="00D5601F">
        <w:t xml:space="preserve"> catástrofes naturales y </w:t>
      </w:r>
      <w:r w:rsidRPr="00CA0A89">
        <w:t>facilitar</w:t>
      </w:r>
      <w:r w:rsidRPr="00D5601F">
        <w:t xml:space="preserve"> una comunicación eficaz.</w:t>
      </w:r>
    </w:p>
    <w:p w14:paraId="02E0B455" w14:textId="51599D2E" w:rsidR="00CA0A89" w:rsidRPr="00CA0A89" w:rsidRDefault="00CA0A89" w:rsidP="00CA0A89">
      <w:pPr>
        <w:pStyle w:val="Headingb"/>
        <w:rPr>
          <w:lang w:val="es-ES"/>
        </w:rPr>
      </w:pPr>
      <w:r w:rsidRPr="00CA0A89">
        <w:rPr>
          <w:lang w:val="es-ES"/>
        </w:rPr>
        <w:t>La UIT y la Organización de las Naciones Unidas para la Agricultura y la Alimentación cooperan estrechamente en materia de IA e IoT para fomentar la agricultura digital</w:t>
      </w:r>
    </w:p>
    <w:p w14:paraId="3DBEC200" w14:textId="1CA4F008" w:rsidR="00CA0A89" w:rsidRPr="00CA0A89" w:rsidRDefault="00CA0A89" w:rsidP="00CA0A89">
      <w:r w:rsidRPr="00CA0A89">
        <w:t>El</w:t>
      </w:r>
      <w:hyperlink r:id="rId256" w:history="1">
        <w:r w:rsidRPr="00CA0A89">
          <w:rPr>
            <w:rStyle w:val="Hyperlink"/>
          </w:rPr>
          <w:t xml:space="preserve"> Grupo Temático de la UIT sobre inteligencia artificial (IA) e Internet de las </w:t>
        </w:r>
        <w:r w:rsidR="00194230" w:rsidRPr="00CA0A89">
          <w:rPr>
            <w:rStyle w:val="Hyperlink"/>
          </w:rPr>
          <w:t>c</w:t>
        </w:r>
        <w:r w:rsidRPr="00CA0A89">
          <w:rPr>
            <w:rStyle w:val="Hyperlink"/>
          </w:rPr>
          <w:t>osas (IoT) para la agricultura digital (FG-AI4A)</w:t>
        </w:r>
      </w:hyperlink>
      <w:r w:rsidRPr="00CA0A89">
        <w:t xml:space="preserve"> analiza la capacidad de las tecnologías emergentes, en particular la IA y la IoT, para facilitar la adquisición y el procesamiento de datos, mejorar el establecimiento de modelos con arreglo a un volumen cada vez mayor de datos agrícolas y geoespaciales, y proporcionar una comunicación eficaz con respecto a intervenciones relacionadas con la obtención de procesos de producción agrícola idóneos.</w:t>
      </w:r>
    </w:p>
    <w:p w14:paraId="135429DC" w14:textId="570952E4" w:rsidR="008A64DF" w:rsidRPr="00794F8D" w:rsidRDefault="008A64DF" w:rsidP="00794F8D">
      <w:pPr>
        <w:pStyle w:val="Headingb"/>
      </w:pPr>
      <w:r w:rsidRPr="00C145B1">
        <w:t>La UIT, un asociado de confianza para muy diversas organizaciones de categoría mundial</w:t>
      </w:r>
    </w:p>
    <w:p w14:paraId="1ED698CB" w14:textId="4001C64E" w:rsidR="008A64DF" w:rsidRDefault="008A64DF" w:rsidP="00794F8D">
      <w:pPr>
        <w:rPr>
          <w:lang w:val="es-ES"/>
        </w:rPr>
      </w:pPr>
      <w:r>
        <w:rPr>
          <w:lang w:val="es-ES"/>
        </w:rPr>
        <w:t>La U</w:t>
      </w:r>
      <w:r w:rsidRPr="00B04A9A">
        <w:rPr>
          <w:lang w:val="es-ES"/>
        </w:rPr>
        <w:t xml:space="preserve">IT </w:t>
      </w:r>
      <w:r>
        <w:rPr>
          <w:lang w:val="es-ES"/>
        </w:rPr>
        <w:t>colabora con diversas organizaciones en el marco de su trabajo cotidiano</w:t>
      </w:r>
      <w:r w:rsidRPr="00B04A9A">
        <w:rPr>
          <w:lang w:val="es-ES"/>
        </w:rPr>
        <w:t>:</w:t>
      </w:r>
    </w:p>
    <w:p w14:paraId="307F9ADB" w14:textId="3F68F1D7" w:rsidR="000B76DF" w:rsidRPr="000B76DF" w:rsidRDefault="000B76DF" w:rsidP="000B76DF">
      <w:pPr>
        <w:pStyle w:val="enumlev1"/>
        <w:rPr>
          <w:lang w:val="es-ES"/>
        </w:rPr>
      </w:pPr>
      <w:r w:rsidRPr="000B76DF">
        <w:rPr>
          <w:lang w:val="es-ES"/>
        </w:rPr>
        <w:t>•</w:t>
      </w:r>
      <w:r>
        <w:rPr>
          <w:lang w:val="es-ES"/>
        </w:rPr>
        <w:tab/>
      </w:r>
      <w:r w:rsidRPr="000B76DF">
        <w:rPr>
          <w:i/>
          <w:iCs/>
          <w:lang w:val="es-ES"/>
        </w:rPr>
        <w:t>Radiocomunicaciones</w:t>
      </w:r>
      <w:r w:rsidRPr="000B76DF">
        <w:rPr>
          <w:lang w:val="es-ES"/>
        </w:rPr>
        <w:t>. La Oficina de Radiocomunicaciones de la UIT (BR) sigue cooperando estrechamente con organizaciones regionales de telecomunicaciones (APT, ASMG, ATU, CEPT, CITEL y RCC); organizaciones de radiodifusión (ABU, ASBU, EBU y HFCC); y organizaciones de radiocomunicaciones (</w:t>
      </w:r>
      <w:r w:rsidR="00834D4F">
        <w:rPr>
          <w:lang w:val="es-ES"/>
        </w:rPr>
        <w:t>por ejemplo,</w:t>
      </w:r>
      <w:r w:rsidRPr="000B76DF">
        <w:rPr>
          <w:lang w:val="es-ES"/>
        </w:rPr>
        <w:t xml:space="preserve"> ITSO, ESOA, GVF</w:t>
      </w:r>
      <w:r w:rsidR="00292CF7">
        <w:rPr>
          <w:lang w:val="es-ES"/>
        </w:rPr>
        <w:t xml:space="preserve"> y</w:t>
      </w:r>
      <w:r w:rsidRPr="000B76DF">
        <w:rPr>
          <w:lang w:val="es-ES"/>
        </w:rPr>
        <w:t xml:space="preserve"> GSMA).</w:t>
      </w:r>
    </w:p>
    <w:p w14:paraId="2A648B57" w14:textId="3E097458" w:rsidR="000B76DF" w:rsidRDefault="000B76DF" w:rsidP="000B76DF">
      <w:pPr>
        <w:pStyle w:val="enumlev1"/>
        <w:rPr>
          <w:lang w:val="es-ES"/>
        </w:rPr>
      </w:pPr>
      <w:r w:rsidRPr="000B76DF">
        <w:rPr>
          <w:lang w:val="es-ES"/>
        </w:rPr>
        <w:t>•</w:t>
      </w:r>
      <w:r>
        <w:rPr>
          <w:lang w:val="es-ES"/>
        </w:rPr>
        <w:tab/>
      </w:r>
      <w:r w:rsidRPr="000B76DF">
        <w:rPr>
          <w:i/>
          <w:iCs/>
          <w:lang w:val="es-ES"/>
        </w:rPr>
        <w:t>Ciberseguridad</w:t>
      </w:r>
      <w:r w:rsidRPr="000B76DF">
        <w:rPr>
          <w:lang w:val="es-ES"/>
        </w:rPr>
        <w:t xml:space="preserve">. La UIT colabora con la </w:t>
      </w:r>
      <w:r w:rsidR="00292CF7">
        <w:rPr>
          <w:lang w:val="es-ES"/>
        </w:rPr>
        <w:t>i</w:t>
      </w:r>
      <w:r w:rsidRPr="000B76DF">
        <w:rPr>
          <w:lang w:val="es-ES"/>
        </w:rPr>
        <w:t>niciativa contra la ciberdelincuencia de la Commonwealth, ENISA, INTERPOL, CEDEAO, el Banco Mundial, FIRST y las asociaciones de EIII/EIEI regionales, como el EIEI AP, el EIEI ÁFRICA y el EIEI OIC.</w:t>
      </w:r>
    </w:p>
    <w:p w14:paraId="22FB5866" w14:textId="0D927E59" w:rsidR="000B76DF" w:rsidRPr="000B76DF" w:rsidRDefault="000B76DF" w:rsidP="000B76DF">
      <w:pPr>
        <w:pStyle w:val="enumlev1"/>
        <w:rPr>
          <w:lang w:val="es-ES"/>
        </w:rPr>
      </w:pPr>
      <w:r w:rsidRPr="000B76DF">
        <w:rPr>
          <w:lang w:val="es-ES"/>
        </w:rPr>
        <w:t>•</w:t>
      </w:r>
      <w:r>
        <w:rPr>
          <w:lang w:val="es-ES"/>
        </w:rPr>
        <w:tab/>
      </w:r>
      <w:r w:rsidRPr="000B76DF">
        <w:rPr>
          <w:i/>
          <w:iCs/>
          <w:lang w:val="es-ES"/>
        </w:rPr>
        <w:t>Residuos electrónicos</w:t>
      </w:r>
      <w:r w:rsidRPr="000B76DF">
        <w:rPr>
          <w:lang w:val="es-ES"/>
        </w:rPr>
        <w:t xml:space="preserve">. La Unión ha consolidado la </w:t>
      </w:r>
      <w:hyperlink r:id="rId257" w:history="1">
        <w:r w:rsidRPr="000B76DF">
          <w:rPr>
            <w:rStyle w:val="Hyperlink"/>
            <w:lang w:val="es-ES"/>
          </w:rPr>
          <w:t>Alianza Mundial para el Control Estadístico de los Residuos Electrónicos</w:t>
        </w:r>
      </w:hyperlink>
      <w:r w:rsidRPr="000B76DF">
        <w:rPr>
          <w:lang w:val="es-ES"/>
        </w:rPr>
        <w:t>, fundada en 2017 por la UIT, la Universidad de las Naciones Unidas (UNU) y la Asociación Internacional de Residuos Sólidos (ISWA).</w:t>
      </w:r>
    </w:p>
    <w:p w14:paraId="1F7B0DA2" w14:textId="2EEDCC8D" w:rsidR="000B76DF" w:rsidRPr="000B76DF" w:rsidRDefault="000B76DF" w:rsidP="000B76DF">
      <w:pPr>
        <w:pStyle w:val="enumlev1"/>
        <w:rPr>
          <w:lang w:val="es-ES"/>
        </w:rPr>
      </w:pPr>
      <w:r w:rsidRPr="000B76DF">
        <w:rPr>
          <w:lang w:val="es-ES"/>
        </w:rPr>
        <w:t>•</w:t>
      </w:r>
      <w:r>
        <w:rPr>
          <w:lang w:val="es-ES"/>
        </w:rPr>
        <w:tab/>
      </w:r>
      <w:r w:rsidRPr="000B76DF">
        <w:rPr>
          <w:i/>
          <w:iCs/>
          <w:lang w:val="es-ES"/>
        </w:rPr>
        <w:t>Ciudades inteligentes.</w:t>
      </w:r>
      <w:r w:rsidRPr="000B76DF">
        <w:rPr>
          <w:lang w:val="es-ES"/>
        </w:rPr>
        <w:t xml:space="preserve"> La UIT creó la iniciativa Unidos por las ciudades inteligentes y sostenibles (</w:t>
      </w:r>
      <w:hyperlink r:id="rId258" w:history="1">
        <w:r w:rsidRPr="00C145B1">
          <w:rPr>
            <w:rStyle w:val="Hyperlink"/>
            <w:lang w:val="es-ES"/>
          </w:rPr>
          <w:t>U4SSC</w:t>
        </w:r>
      </w:hyperlink>
      <w:r w:rsidRPr="000B76DF">
        <w:rPr>
          <w:lang w:val="es-ES"/>
        </w:rPr>
        <w:t>) en 2016, junto con la CEPE y ONU-Hábitat. La iniciativa cuenta ahora con el apoyo de otros 14 organismos de las Naciones Unidas, a saber, el CDB, la CEPAL, la FAO, el</w:t>
      </w:r>
      <w:r w:rsidR="00C145B1">
        <w:rPr>
          <w:lang w:val="es-ES"/>
        </w:rPr>
        <w:t> </w:t>
      </w:r>
      <w:r w:rsidRPr="000B76DF">
        <w:rPr>
          <w:lang w:val="es-ES"/>
        </w:rPr>
        <w:t>PNUD, la CEPA, la UNESCO, el PNUMA, el PNUMA-FI, la CMNUCC, la ONUDI, la UNOP, la</w:t>
      </w:r>
      <w:r w:rsidR="00C145B1">
        <w:rPr>
          <w:lang w:val="es-ES"/>
        </w:rPr>
        <w:t> </w:t>
      </w:r>
      <w:r w:rsidRPr="000B76DF">
        <w:rPr>
          <w:lang w:val="es-ES"/>
        </w:rPr>
        <w:t>UNU-EGOV, ONU-Mujeres y la OMM. La UIT colabora estrechamente con la Organización para las Relaciones Económicas Internacionales (OiER), el Centro Brasileño de Información en Red (NIC.br) y la Organización Panamericana de la Salud (PAHO).</w:t>
      </w:r>
    </w:p>
    <w:p w14:paraId="2A2C1382" w14:textId="34CBFAA3" w:rsidR="008A64DF" w:rsidRPr="000B76DF" w:rsidRDefault="008A64DF" w:rsidP="000B76DF">
      <w:pPr>
        <w:pStyle w:val="Heading2"/>
      </w:pPr>
      <w:bookmarkStart w:id="126" w:name="_Toc37860464"/>
      <w:bookmarkStart w:id="127" w:name="_Toc37861225"/>
      <w:bookmarkStart w:id="128" w:name="_Toc37943348"/>
      <w:bookmarkStart w:id="129" w:name="_Toc90552447"/>
      <w:bookmarkStart w:id="130" w:name="_Toc97821269"/>
      <w:bookmarkStart w:id="131" w:name="Section_1_10"/>
      <w:r w:rsidRPr="00173679">
        <w:t>1.10</w:t>
      </w:r>
      <w:r w:rsidRPr="00173679">
        <w:tab/>
        <w:t xml:space="preserve">Seminarios, </w:t>
      </w:r>
      <w:bookmarkEnd w:id="126"/>
      <w:bookmarkEnd w:id="127"/>
      <w:bookmarkEnd w:id="128"/>
      <w:r w:rsidRPr="00173679">
        <w:t>talleres y asistencia</w:t>
      </w:r>
      <w:bookmarkEnd w:id="129"/>
      <w:bookmarkEnd w:id="130"/>
    </w:p>
    <w:bookmarkEnd w:id="131"/>
    <w:p w14:paraId="12EC2DEF" w14:textId="6B0EA15D" w:rsidR="008A64DF" w:rsidRPr="000B76DF" w:rsidRDefault="008A64DF" w:rsidP="000B76DF">
      <w:pPr>
        <w:rPr>
          <w:lang w:val="es-ES"/>
        </w:rPr>
      </w:pPr>
      <w:r w:rsidRPr="000B76DF">
        <w:rPr>
          <w:lang w:val="es-ES"/>
        </w:rPr>
        <w:t>Cada uno de los tres Sectores de la UIT ha llegado a países, comunidades y circunscripciones de todo el mundo, y les ha aportado conocimientos, información y experiencia de valor incalculable, a través de miles de talleres y seminarios organizados a lo largo de los cuatro años que abarca este informe.</w:t>
      </w:r>
    </w:p>
    <w:p w14:paraId="09AADBCE" w14:textId="77777777" w:rsidR="008A64DF" w:rsidRPr="000B76DF" w:rsidRDefault="008A64DF" w:rsidP="000B76DF">
      <w:pPr>
        <w:pStyle w:val="Headingb"/>
      </w:pPr>
      <w:r w:rsidRPr="00173679">
        <w:lastRenderedPageBreak/>
        <w:t>UIT-R</w:t>
      </w:r>
    </w:p>
    <w:p w14:paraId="7ABF273A" w14:textId="25FF7DCE" w:rsidR="008A64DF" w:rsidRDefault="008A64DF" w:rsidP="000B76DF">
      <w:pPr>
        <w:rPr>
          <w:lang w:val="es-ES"/>
        </w:rPr>
      </w:pPr>
      <w:r w:rsidRPr="000B76DF">
        <w:rPr>
          <w:lang w:val="es-ES"/>
        </w:rPr>
        <w:t>Se llevaron a cabo Seminarios Mundiales de Radiocomunicaciones (SMR), Seminarios Regionales de Radiocomunicaciones (SRR) y talleres interregionales de la UIT sobre la preparación de la CMR. Los SMR se celebran cada dos años, como complemento de los SRR. En los SMR se aborda la utilización del espectro de radiofrecuencias y las órbitas de los satélites, en relación con las disposiciones del Reglamento de Radiocomunicaciones de la UIT.</w:t>
      </w:r>
    </w:p>
    <w:p w14:paraId="399EEC4B" w14:textId="77777777" w:rsidR="000B76DF" w:rsidRPr="000B76DF" w:rsidRDefault="000B76DF" w:rsidP="000B76DF">
      <w:pPr>
        <w:rPr>
          <w:lang w:val="es-ES"/>
        </w:rPr>
      </w:pPr>
      <w:r w:rsidRPr="000B76DF">
        <w:rPr>
          <w:lang w:val="es-ES"/>
        </w:rPr>
        <w:t xml:space="preserve">El SMR-20 tuvo lugar de manera totalmente virtual y la participación en la sesión plenaria estuvo abierta a todos. En las sesiones se trataron asuntos generales de radiocomunicaciones, la aplicación de las disposiciones del Reglamento de Radiocomunicaciones de la UIT y las tendencias de los servicios de radiocomunicaciones. Las sesiones plenarias del SMR-20 están disponibles en línea, en el sitio web de </w:t>
      </w:r>
      <w:hyperlink r:id="rId259" w:history="1">
        <w:r w:rsidRPr="000B76DF">
          <w:rPr>
            <w:rStyle w:val="Hyperlink"/>
            <w:lang w:val="es-ES"/>
          </w:rPr>
          <w:t>lo mejor del SMR-20</w:t>
        </w:r>
      </w:hyperlink>
      <w:r w:rsidRPr="000B76DF">
        <w:rPr>
          <w:lang w:val="es-ES"/>
        </w:rPr>
        <w:t>.</w:t>
      </w:r>
    </w:p>
    <w:p w14:paraId="43E87220" w14:textId="32BC5852" w:rsidR="008A64DF" w:rsidRPr="000B76DF" w:rsidRDefault="008A64DF" w:rsidP="000B76DF">
      <w:pPr>
        <w:rPr>
          <w:lang w:val="es-ES"/>
        </w:rPr>
      </w:pPr>
      <w:r w:rsidRPr="000B76DF">
        <w:rPr>
          <w:lang w:val="es-ES"/>
        </w:rPr>
        <w:t xml:space="preserve">La participación en los talleres se reservó a los Estados Miembros e </w:t>
      </w:r>
      <w:r w:rsidR="00173679" w:rsidRPr="000B76DF">
        <w:rPr>
          <w:lang w:val="es-ES"/>
        </w:rPr>
        <w:t xml:space="preserve">Instituciones Académicas </w:t>
      </w:r>
      <w:r w:rsidRPr="000B76DF">
        <w:rPr>
          <w:lang w:val="es-ES"/>
        </w:rPr>
        <w:t>de la</w:t>
      </w:r>
      <w:r w:rsidR="000B76DF">
        <w:rPr>
          <w:lang w:val="es-ES"/>
        </w:rPr>
        <w:t> </w:t>
      </w:r>
      <w:r w:rsidRPr="000B76DF">
        <w:rPr>
          <w:lang w:val="es-ES"/>
        </w:rPr>
        <w:t xml:space="preserve">UIT, así como a los Miembros de Sector y Asociados del UIT-R. En los talleres se abordaron los servicios espaciales y terrestres y se impartieron conferencias y sesiones prácticas, lo que permitió a los participantes familiarizarse con los procedimientos de notificación de la UIT, así como con los programas informáticos y las publicaciones electrónicas que la Oficina de Radiocomunicaciones pone a disposición de los </w:t>
      </w:r>
      <w:r w:rsidR="00173679">
        <w:rPr>
          <w:lang w:val="es-ES"/>
        </w:rPr>
        <w:t>m</w:t>
      </w:r>
      <w:r w:rsidRPr="000B76DF">
        <w:rPr>
          <w:lang w:val="es-ES"/>
        </w:rPr>
        <w:t>iembros de la UIT.</w:t>
      </w:r>
    </w:p>
    <w:p w14:paraId="476F020D" w14:textId="668520A3" w:rsidR="008A64DF" w:rsidRPr="000B76DF" w:rsidRDefault="008A64DF" w:rsidP="000B76DF">
      <w:pPr>
        <w:spacing w:after="120"/>
        <w:rPr>
          <w:lang w:val="es-ES"/>
        </w:rPr>
      </w:pPr>
      <w:r w:rsidRPr="000B76DF">
        <w:rPr>
          <w:lang w:val="es-ES"/>
        </w:rPr>
        <w:t xml:space="preserve">En los </w:t>
      </w:r>
      <w:r w:rsidR="00173679" w:rsidRPr="000B76DF">
        <w:rPr>
          <w:lang w:val="es-ES"/>
        </w:rPr>
        <w:t xml:space="preserve">Seminarios Regionales </w:t>
      </w:r>
      <w:r w:rsidRPr="000B76DF">
        <w:rPr>
          <w:lang w:val="es-ES"/>
        </w:rPr>
        <w:t xml:space="preserve">de </w:t>
      </w:r>
      <w:r w:rsidR="00173679" w:rsidRPr="000B76DF">
        <w:rPr>
          <w:lang w:val="es-ES"/>
        </w:rPr>
        <w:t xml:space="preserve">Radiocomunicaciones </w:t>
      </w:r>
      <w:r w:rsidRPr="000B76DF">
        <w:rPr>
          <w:lang w:val="es-ES"/>
        </w:rPr>
        <w:t>de la UIT, organizados por el UIT-R, se divulgó información por todo el mundo, en cooperación con las oficinas y organizaciones regionales de la UIT.</w:t>
      </w:r>
    </w:p>
    <w:tbl>
      <w:tblPr>
        <w:tblStyle w:val="TableGrid"/>
        <w:tblW w:w="5000" w:type="pct"/>
        <w:jc w:val="center"/>
        <w:tblLook w:val="04A0" w:firstRow="1" w:lastRow="0" w:firstColumn="1" w:lastColumn="0" w:noHBand="0" w:noVBand="1"/>
      </w:tblPr>
      <w:tblGrid>
        <w:gridCol w:w="2181"/>
        <w:gridCol w:w="3778"/>
        <w:gridCol w:w="3670"/>
      </w:tblGrid>
      <w:tr w:rsidR="008A64DF" w:rsidRPr="000B76DF" w14:paraId="28E9E1EC" w14:textId="77777777" w:rsidTr="000B76DF">
        <w:trPr>
          <w:jc w:val="center"/>
        </w:trPr>
        <w:tc>
          <w:tcPr>
            <w:tcW w:w="2181" w:type="dxa"/>
          </w:tcPr>
          <w:p w14:paraId="2BFF81E1" w14:textId="77777777" w:rsidR="008A64DF" w:rsidRPr="000B76DF" w:rsidRDefault="008A64DF" w:rsidP="00C2640F">
            <w:pPr>
              <w:pStyle w:val="Tablehead"/>
              <w:keepNext/>
              <w:keepLines/>
              <w:rPr>
                <w:lang w:val="es-ES"/>
              </w:rPr>
            </w:pPr>
          </w:p>
        </w:tc>
        <w:tc>
          <w:tcPr>
            <w:tcW w:w="3778" w:type="dxa"/>
          </w:tcPr>
          <w:p w14:paraId="04266CA2" w14:textId="019B8B08" w:rsidR="008A64DF" w:rsidRPr="000B76DF" w:rsidRDefault="008A64DF" w:rsidP="00194230">
            <w:pPr>
              <w:pStyle w:val="Tablehead"/>
              <w:jc w:val="left"/>
              <w:rPr>
                <w:lang w:val="es-ES"/>
              </w:rPr>
            </w:pPr>
            <w:r w:rsidRPr="000B76DF">
              <w:rPr>
                <w:lang w:val="es-ES"/>
              </w:rPr>
              <w:t>Seminarios Regionales de Radiocomunicaciones (SRR)</w:t>
            </w:r>
          </w:p>
        </w:tc>
        <w:tc>
          <w:tcPr>
            <w:tcW w:w="3670" w:type="dxa"/>
          </w:tcPr>
          <w:p w14:paraId="512238CD" w14:textId="77777777" w:rsidR="008A64DF" w:rsidRPr="000B76DF" w:rsidRDefault="008A64DF" w:rsidP="00194230">
            <w:pPr>
              <w:pStyle w:val="Tablehead"/>
              <w:jc w:val="left"/>
              <w:rPr>
                <w:lang w:val="es-ES"/>
              </w:rPr>
            </w:pPr>
            <w:r w:rsidRPr="000B76DF">
              <w:rPr>
                <w:lang w:val="es-ES"/>
              </w:rPr>
              <w:t>Seminarios Mundiales de Radiocomunicaciones (SMR)</w:t>
            </w:r>
          </w:p>
        </w:tc>
      </w:tr>
      <w:tr w:rsidR="008A64DF" w:rsidRPr="00DB3FF8" w14:paraId="6B9F5B8B" w14:textId="77777777" w:rsidTr="000B76DF">
        <w:trPr>
          <w:jc w:val="center"/>
        </w:trPr>
        <w:tc>
          <w:tcPr>
            <w:tcW w:w="2181" w:type="dxa"/>
          </w:tcPr>
          <w:p w14:paraId="2F8CDF38" w14:textId="77777777" w:rsidR="008A64DF" w:rsidRPr="000B76DF" w:rsidRDefault="008A64DF" w:rsidP="00C2640F">
            <w:pPr>
              <w:pStyle w:val="Tabletext"/>
              <w:keepNext/>
              <w:keepLines/>
            </w:pPr>
            <w:r w:rsidRPr="000B76DF">
              <w:t>2018</w:t>
            </w:r>
          </w:p>
        </w:tc>
        <w:tc>
          <w:tcPr>
            <w:tcW w:w="3778" w:type="dxa"/>
          </w:tcPr>
          <w:p w14:paraId="4A5C41EF" w14:textId="184DF422" w:rsidR="008A64DF" w:rsidRPr="000B76DF" w:rsidRDefault="008A64DF" w:rsidP="000B76DF">
            <w:pPr>
              <w:pStyle w:val="Tabletext"/>
            </w:pPr>
            <w:r w:rsidRPr="000B76DF">
              <w:t>SRR-18 Asia-Pacífico</w:t>
            </w:r>
          </w:p>
          <w:p w14:paraId="505A3874" w14:textId="77777777" w:rsidR="008A64DF" w:rsidRPr="000B76DF" w:rsidRDefault="008A64DF" w:rsidP="000B76DF">
            <w:pPr>
              <w:pStyle w:val="Tabletext"/>
            </w:pPr>
            <w:r w:rsidRPr="000B76DF">
              <w:t>SRR-18 Américas</w:t>
            </w:r>
          </w:p>
        </w:tc>
        <w:tc>
          <w:tcPr>
            <w:tcW w:w="3670" w:type="dxa"/>
          </w:tcPr>
          <w:p w14:paraId="303490AF" w14:textId="77777777" w:rsidR="008A64DF" w:rsidRPr="000B76DF" w:rsidRDefault="008A64DF" w:rsidP="000B76DF">
            <w:pPr>
              <w:pStyle w:val="Tabletext"/>
            </w:pPr>
            <w:r w:rsidRPr="000B76DF">
              <w:t>SMR-18</w:t>
            </w:r>
          </w:p>
        </w:tc>
      </w:tr>
      <w:tr w:rsidR="008A64DF" w:rsidRPr="00DB3FF8" w14:paraId="5859E4BF" w14:textId="77777777" w:rsidTr="000B76DF">
        <w:trPr>
          <w:jc w:val="center"/>
        </w:trPr>
        <w:tc>
          <w:tcPr>
            <w:tcW w:w="2181" w:type="dxa"/>
          </w:tcPr>
          <w:p w14:paraId="5B87D8C2" w14:textId="77777777" w:rsidR="008A64DF" w:rsidRPr="000B76DF" w:rsidRDefault="008A64DF" w:rsidP="00C2640F">
            <w:pPr>
              <w:pStyle w:val="Tabletext"/>
              <w:keepNext/>
              <w:keepLines/>
            </w:pPr>
            <w:r w:rsidRPr="000B76DF">
              <w:t>2019</w:t>
            </w:r>
          </w:p>
        </w:tc>
        <w:tc>
          <w:tcPr>
            <w:tcW w:w="3778" w:type="dxa"/>
          </w:tcPr>
          <w:p w14:paraId="05936EA9" w14:textId="77777777" w:rsidR="008A64DF" w:rsidRPr="000B76DF" w:rsidRDefault="008A64DF" w:rsidP="000B76DF">
            <w:pPr>
              <w:pStyle w:val="Tabletext"/>
            </w:pPr>
            <w:r w:rsidRPr="000B76DF">
              <w:t>SRR-19 África</w:t>
            </w:r>
          </w:p>
          <w:p w14:paraId="0408F741" w14:textId="77777777" w:rsidR="008A64DF" w:rsidRPr="000B76DF" w:rsidRDefault="008A64DF" w:rsidP="000B76DF">
            <w:pPr>
              <w:pStyle w:val="Tabletext"/>
            </w:pPr>
            <w:r w:rsidRPr="000B76DF">
              <w:t>SRR-19 CEI</w:t>
            </w:r>
          </w:p>
          <w:p w14:paraId="67023262" w14:textId="77777777" w:rsidR="008A64DF" w:rsidRPr="000B76DF" w:rsidRDefault="008A64DF" w:rsidP="000B76DF">
            <w:pPr>
              <w:pStyle w:val="Tabletext"/>
            </w:pPr>
            <w:r w:rsidRPr="000B76DF">
              <w:t>SRME-19 Europa</w:t>
            </w:r>
          </w:p>
        </w:tc>
        <w:tc>
          <w:tcPr>
            <w:tcW w:w="3670" w:type="dxa"/>
          </w:tcPr>
          <w:p w14:paraId="5A53B52A" w14:textId="77777777" w:rsidR="008A64DF" w:rsidRPr="000B76DF" w:rsidRDefault="008A64DF" w:rsidP="000B76DF">
            <w:pPr>
              <w:pStyle w:val="Tabletext"/>
            </w:pPr>
          </w:p>
        </w:tc>
      </w:tr>
      <w:tr w:rsidR="008A64DF" w:rsidRPr="00DB3FF8" w14:paraId="54636193" w14:textId="77777777" w:rsidTr="000B76DF">
        <w:trPr>
          <w:jc w:val="center"/>
        </w:trPr>
        <w:tc>
          <w:tcPr>
            <w:tcW w:w="2181" w:type="dxa"/>
          </w:tcPr>
          <w:p w14:paraId="0BA96116" w14:textId="77777777" w:rsidR="008A64DF" w:rsidRPr="000B76DF" w:rsidRDefault="008A64DF" w:rsidP="000B76DF">
            <w:pPr>
              <w:pStyle w:val="Tabletext"/>
            </w:pPr>
            <w:r w:rsidRPr="000B76DF">
              <w:t>2020</w:t>
            </w:r>
          </w:p>
        </w:tc>
        <w:tc>
          <w:tcPr>
            <w:tcW w:w="3778" w:type="dxa"/>
          </w:tcPr>
          <w:p w14:paraId="7BFE3978" w14:textId="77777777" w:rsidR="008A64DF" w:rsidRPr="000B76DF" w:rsidRDefault="008A64DF" w:rsidP="000B76DF">
            <w:pPr>
              <w:pStyle w:val="Tabletext"/>
            </w:pPr>
            <w:r w:rsidRPr="000B76DF">
              <w:t>SRR-20 Américas</w:t>
            </w:r>
          </w:p>
          <w:p w14:paraId="62EF9E70" w14:textId="77777777" w:rsidR="008A64DF" w:rsidRPr="000B76DF" w:rsidRDefault="008A64DF" w:rsidP="000B76DF">
            <w:pPr>
              <w:pStyle w:val="Tabletext"/>
            </w:pPr>
            <w:r w:rsidRPr="000B76DF">
              <w:t>SRR-20 Asia-Pacífico</w:t>
            </w:r>
          </w:p>
        </w:tc>
        <w:tc>
          <w:tcPr>
            <w:tcW w:w="3670" w:type="dxa"/>
          </w:tcPr>
          <w:p w14:paraId="1D9E139E" w14:textId="77777777" w:rsidR="008A64DF" w:rsidRPr="000B76DF" w:rsidRDefault="008A64DF" w:rsidP="000B76DF">
            <w:pPr>
              <w:pStyle w:val="Tabletext"/>
            </w:pPr>
            <w:r w:rsidRPr="000B76DF">
              <w:t>SMR-20 (virtual)</w:t>
            </w:r>
          </w:p>
        </w:tc>
      </w:tr>
      <w:tr w:rsidR="008A64DF" w:rsidRPr="00DB3FF8" w14:paraId="54188219" w14:textId="77777777" w:rsidTr="000B76DF">
        <w:trPr>
          <w:jc w:val="center"/>
        </w:trPr>
        <w:tc>
          <w:tcPr>
            <w:tcW w:w="2181" w:type="dxa"/>
          </w:tcPr>
          <w:p w14:paraId="03A321B1" w14:textId="77777777" w:rsidR="008A64DF" w:rsidRPr="000B76DF" w:rsidRDefault="008A64DF" w:rsidP="000B76DF">
            <w:pPr>
              <w:pStyle w:val="Tabletext"/>
            </w:pPr>
            <w:r w:rsidRPr="000B76DF">
              <w:t>2021</w:t>
            </w:r>
          </w:p>
        </w:tc>
        <w:tc>
          <w:tcPr>
            <w:tcW w:w="3778" w:type="dxa"/>
          </w:tcPr>
          <w:p w14:paraId="24503C40" w14:textId="77777777" w:rsidR="008A64DF" w:rsidRPr="000B76DF" w:rsidRDefault="008A64DF" w:rsidP="000B76DF">
            <w:pPr>
              <w:pStyle w:val="Tabletext"/>
            </w:pPr>
            <w:r w:rsidRPr="000B76DF">
              <w:t>SRR-21 Américas</w:t>
            </w:r>
          </w:p>
          <w:p w14:paraId="35241886" w14:textId="77777777" w:rsidR="008A64DF" w:rsidRPr="000B76DF" w:rsidRDefault="008A64DF" w:rsidP="000B76DF">
            <w:pPr>
              <w:pStyle w:val="Tabletext"/>
            </w:pPr>
            <w:r w:rsidRPr="000B76DF">
              <w:t>SRR-21 África</w:t>
            </w:r>
          </w:p>
          <w:p w14:paraId="44CDAC23" w14:textId="77777777" w:rsidR="008A64DF" w:rsidRPr="000B76DF" w:rsidRDefault="008A64DF" w:rsidP="000B76DF">
            <w:pPr>
              <w:pStyle w:val="Tabletext"/>
            </w:pPr>
            <w:r w:rsidRPr="000B76DF">
              <w:t>SRR-21 Asia-Pacífico</w:t>
            </w:r>
          </w:p>
        </w:tc>
        <w:tc>
          <w:tcPr>
            <w:tcW w:w="3670" w:type="dxa"/>
          </w:tcPr>
          <w:p w14:paraId="2151A44A" w14:textId="77777777" w:rsidR="008A64DF" w:rsidRPr="000B76DF" w:rsidRDefault="008A64DF" w:rsidP="000B76DF">
            <w:pPr>
              <w:pStyle w:val="Tabletext"/>
            </w:pPr>
          </w:p>
        </w:tc>
      </w:tr>
    </w:tbl>
    <w:p w14:paraId="4B43E368" w14:textId="77777777" w:rsidR="008A64DF" w:rsidRPr="00C414C0" w:rsidRDefault="008A64DF" w:rsidP="008A64DF">
      <w:pPr>
        <w:rPr>
          <w:lang w:val="es-ES"/>
        </w:rPr>
      </w:pPr>
    </w:p>
    <w:tbl>
      <w:tblPr>
        <w:tblStyle w:val="TableGrid"/>
        <w:tblW w:w="5000" w:type="pct"/>
        <w:jc w:val="center"/>
        <w:tblLook w:val="04A0" w:firstRow="1" w:lastRow="0" w:firstColumn="1" w:lastColumn="0" w:noHBand="0" w:noVBand="1"/>
      </w:tblPr>
      <w:tblGrid>
        <w:gridCol w:w="2181"/>
        <w:gridCol w:w="7448"/>
      </w:tblGrid>
      <w:tr w:rsidR="008A64DF" w:rsidRPr="000B76DF" w14:paraId="0961A6D2" w14:textId="77777777" w:rsidTr="00C414C0">
        <w:trPr>
          <w:jc w:val="center"/>
        </w:trPr>
        <w:tc>
          <w:tcPr>
            <w:tcW w:w="2181" w:type="dxa"/>
            <w:shd w:val="clear" w:color="auto" w:fill="auto"/>
          </w:tcPr>
          <w:p w14:paraId="0677DCF5" w14:textId="77777777" w:rsidR="008A64DF" w:rsidRPr="00B04A9A" w:rsidRDefault="008A64DF" w:rsidP="000B76DF">
            <w:pPr>
              <w:pStyle w:val="Tablehead"/>
              <w:rPr>
                <w:lang w:val="es-ES"/>
              </w:rPr>
            </w:pPr>
            <w:bookmarkStart w:id="132" w:name="_Hlk95737540"/>
          </w:p>
        </w:tc>
        <w:tc>
          <w:tcPr>
            <w:tcW w:w="7448" w:type="dxa"/>
            <w:shd w:val="clear" w:color="auto" w:fill="auto"/>
          </w:tcPr>
          <w:p w14:paraId="3F64641E" w14:textId="77777777" w:rsidR="008A64DF" w:rsidRPr="000B76DF" w:rsidRDefault="008A64DF" w:rsidP="00194230">
            <w:pPr>
              <w:pStyle w:val="Tablehead"/>
              <w:jc w:val="left"/>
              <w:rPr>
                <w:lang w:val="es-ES"/>
              </w:rPr>
            </w:pPr>
            <w:r w:rsidRPr="000B76DF">
              <w:rPr>
                <w:lang w:val="es-ES"/>
              </w:rPr>
              <w:t xml:space="preserve">Talleres interregionales de la UIT </w:t>
            </w:r>
          </w:p>
        </w:tc>
      </w:tr>
      <w:tr w:rsidR="008A64DF" w:rsidRPr="00B04A9A" w14:paraId="0B438347" w14:textId="77777777" w:rsidTr="00C414C0">
        <w:trPr>
          <w:jc w:val="center"/>
        </w:trPr>
        <w:tc>
          <w:tcPr>
            <w:tcW w:w="2181" w:type="dxa"/>
            <w:shd w:val="clear" w:color="auto" w:fill="auto"/>
          </w:tcPr>
          <w:p w14:paraId="02498A8E" w14:textId="77777777" w:rsidR="008A64DF" w:rsidRPr="000B76DF" w:rsidRDefault="008A64DF" w:rsidP="000B76DF">
            <w:pPr>
              <w:pStyle w:val="Tabletext"/>
            </w:pPr>
            <w:r w:rsidRPr="000B76DF">
              <w:t>2019</w:t>
            </w:r>
          </w:p>
        </w:tc>
        <w:tc>
          <w:tcPr>
            <w:tcW w:w="7448" w:type="dxa"/>
            <w:shd w:val="clear" w:color="auto" w:fill="auto"/>
          </w:tcPr>
          <w:p w14:paraId="5A5508E8" w14:textId="22C9B9FB" w:rsidR="008A64DF" w:rsidRPr="00C414C0" w:rsidRDefault="008A64DF" w:rsidP="00C414C0">
            <w:pPr>
              <w:pStyle w:val="Tabletext"/>
            </w:pPr>
            <w:r w:rsidRPr="00C414C0">
              <w:t>3</w:t>
            </w:r>
            <w:r w:rsidR="00173679" w:rsidRPr="00173679">
              <w:rPr>
                <w:vertAlign w:val="superscript"/>
              </w:rPr>
              <w:t>er</w:t>
            </w:r>
            <w:r w:rsidRPr="00C414C0">
              <w:t xml:space="preserve"> </w:t>
            </w:r>
            <w:r w:rsidR="00173679">
              <w:t>t</w:t>
            </w:r>
            <w:r w:rsidRPr="00C414C0">
              <w:t xml:space="preserve">aller interregional de la UIT sobre los preparativos de la CMR-19 </w:t>
            </w:r>
          </w:p>
        </w:tc>
      </w:tr>
      <w:tr w:rsidR="008A64DF" w:rsidRPr="00B04A9A" w14:paraId="0FF126F0" w14:textId="77777777" w:rsidTr="00C414C0">
        <w:trPr>
          <w:jc w:val="center"/>
        </w:trPr>
        <w:tc>
          <w:tcPr>
            <w:tcW w:w="2181" w:type="dxa"/>
            <w:shd w:val="clear" w:color="auto" w:fill="auto"/>
          </w:tcPr>
          <w:p w14:paraId="381000DA" w14:textId="77777777" w:rsidR="008A64DF" w:rsidRPr="000B76DF" w:rsidRDefault="008A64DF" w:rsidP="000B76DF">
            <w:pPr>
              <w:pStyle w:val="Tabletext"/>
            </w:pPr>
            <w:r w:rsidRPr="000B76DF">
              <w:t>2021</w:t>
            </w:r>
          </w:p>
        </w:tc>
        <w:tc>
          <w:tcPr>
            <w:tcW w:w="7448" w:type="dxa"/>
            <w:shd w:val="clear" w:color="auto" w:fill="auto"/>
          </w:tcPr>
          <w:p w14:paraId="58FD7EAA" w14:textId="3D6086BC" w:rsidR="008A64DF" w:rsidRPr="00C414C0" w:rsidRDefault="008A64DF" w:rsidP="00C414C0">
            <w:pPr>
              <w:pStyle w:val="Tabletext"/>
            </w:pPr>
            <w:r w:rsidRPr="00C414C0">
              <w:t>1</w:t>
            </w:r>
            <w:r w:rsidR="00173679" w:rsidRPr="00173679">
              <w:rPr>
                <w:vertAlign w:val="superscript"/>
              </w:rPr>
              <w:t>er</w:t>
            </w:r>
            <w:r w:rsidRPr="00C414C0">
              <w:t xml:space="preserve"> </w:t>
            </w:r>
            <w:r w:rsidR="00173679">
              <w:t>t</w:t>
            </w:r>
            <w:r w:rsidRPr="00C414C0">
              <w:t xml:space="preserve">aller interregional de la UIT sobre los preparativos de la CMR-23 </w:t>
            </w:r>
          </w:p>
        </w:tc>
      </w:tr>
      <w:tr w:rsidR="008A64DF" w:rsidRPr="00B04A9A" w14:paraId="120D07AF" w14:textId="77777777" w:rsidTr="00C414C0">
        <w:trPr>
          <w:jc w:val="center"/>
        </w:trPr>
        <w:tc>
          <w:tcPr>
            <w:tcW w:w="2181" w:type="dxa"/>
            <w:shd w:val="clear" w:color="auto" w:fill="auto"/>
          </w:tcPr>
          <w:p w14:paraId="316F7D3C" w14:textId="6BBB61C6" w:rsidR="008A64DF" w:rsidRPr="000B76DF" w:rsidRDefault="008A64DF" w:rsidP="000B76DF">
            <w:pPr>
              <w:pStyle w:val="Tabletext"/>
            </w:pPr>
            <w:r w:rsidRPr="000B76DF">
              <w:t>2022 (</w:t>
            </w:r>
            <w:r w:rsidR="004815BF">
              <w:t>previsto</w:t>
            </w:r>
            <w:r w:rsidRPr="000B76DF">
              <w:t>)</w:t>
            </w:r>
          </w:p>
        </w:tc>
        <w:tc>
          <w:tcPr>
            <w:tcW w:w="7448" w:type="dxa"/>
            <w:shd w:val="clear" w:color="auto" w:fill="auto"/>
          </w:tcPr>
          <w:p w14:paraId="1D243B8B" w14:textId="7C180CD2" w:rsidR="008A64DF" w:rsidRPr="00C414C0" w:rsidRDefault="008A64DF" w:rsidP="00C414C0">
            <w:pPr>
              <w:pStyle w:val="Tabletext"/>
            </w:pPr>
            <w:r w:rsidRPr="00C414C0">
              <w:t>2</w:t>
            </w:r>
            <w:r w:rsidR="001B1357">
              <w:t>º</w:t>
            </w:r>
            <w:r w:rsidRPr="00C414C0">
              <w:t> </w:t>
            </w:r>
            <w:r w:rsidR="00173679">
              <w:t>t</w:t>
            </w:r>
            <w:r w:rsidRPr="00C414C0">
              <w:t>aller interregional sobre los preparativos de la CMR-23</w:t>
            </w:r>
          </w:p>
        </w:tc>
      </w:tr>
    </w:tbl>
    <w:bookmarkEnd w:id="132"/>
    <w:p w14:paraId="18EC834B" w14:textId="1FC9B0D0" w:rsidR="008A64DF" w:rsidRPr="00C414C0" w:rsidRDefault="00C414C0" w:rsidP="00E313D8">
      <w:pPr>
        <w:pStyle w:val="Normalaftertitle"/>
        <w:keepNext/>
        <w:keepLines/>
        <w:spacing w:after="120"/>
        <w:rPr>
          <w:lang w:val="es-ES"/>
        </w:rPr>
      </w:pPr>
      <w:r w:rsidRPr="00C414C0">
        <w:rPr>
          <w:lang w:val="es-ES"/>
        </w:rPr>
        <w:lastRenderedPageBreak/>
        <w:t xml:space="preserve">Asimismo, en el Simposio de comunicaciones por satélite y en los </w:t>
      </w:r>
      <w:hyperlink r:id="rId260" w:history="1">
        <w:r w:rsidRPr="00C414C0">
          <w:rPr>
            <w:rStyle w:val="Hyperlink"/>
            <w:lang w:val="es-ES"/>
          </w:rPr>
          <w:t>seminarios web sobre satélites</w:t>
        </w:r>
      </w:hyperlink>
      <w:r w:rsidRPr="00C414C0">
        <w:rPr>
          <w:lang w:val="es-ES"/>
        </w:rPr>
        <w:t xml:space="preserve"> se examinaron sistemas de satélites geoestacionarios para la prestación de servicios de banda ancha; innovaciones en los sistemas de satélites geoestacionarios y la función de la UIT en la prevención y reducción de interferencias.</w:t>
      </w:r>
    </w:p>
    <w:tbl>
      <w:tblPr>
        <w:tblStyle w:val="TableGrid"/>
        <w:tblW w:w="5000" w:type="pct"/>
        <w:jc w:val="center"/>
        <w:tblLook w:val="04A0" w:firstRow="1" w:lastRow="0" w:firstColumn="1" w:lastColumn="0" w:noHBand="0" w:noVBand="1"/>
      </w:tblPr>
      <w:tblGrid>
        <w:gridCol w:w="2181"/>
        <w:gridCol w:w="7448"/>
      </w:tblGrid>
      <w:tr w:rsidR="008A64DF" w:rsidRPr="000B76DF" w14:paraId="6A3798BF" w14:textId="77777777" w:rsidTr="00C414C0">
        <w:trPr>
          <w:jc w:val="center"/>
        </w:trPr>
        <w:tc>
          <w:tcPr>
            <w:tcW w:w="2181" w:type="dxa"/>
          </w:tcPr>
          <w:p w14:paraId="0E03BA46" w14:textId="77777777" w:rsidR="008A64DF" w:rsidRPr="000B76DF" w:rsidRDefault="008A64DF" w:rsidP="000B76DF">
            <w:pPr>
              <w:pStyle w:val="Tablehead"/>
              <w:rPr>
                <w:lang w:val="es-ES"/>
              </w:rPr>
            </w:pPr>
          </w:p>
        </w:tc>
        <w:tc>
          <w:tcPr>
            <w:tcW w:w="7448" w:type="dxa"/>
          </w:tcPr>
          <w:p w14:paraId="400DBDD0" w14:textId="77777777" w:rsidR="008A64DF" w:rsidRPr="000B76DF" w:rsidRDefault="008A64DF" w:rsidP="00194230">
            <w:pPr>
              <w:pStyle w:val="Tablehead"/>
              <w:jc w:val="left"/>
              <w:rPr>
                <w:lang w:val="es-ES"/>
              </w:rPr>
            </w:pPr>
            <w:r w:rsidRPr="000B76DF">
              <w:rPr>
                <w:lang w:val="es-ES"/>
              </w:rPr>
              <w:t>Simposios y seminarios web sobre satélites</w:t>
            </w:r>
          </w:p>
        </w:tc>
      </w:tr>
      <w:tr w:rsidR="008A64DF" w:rsidRPr="00DB3FF8" w14:paraId="6BC20038" w14:textId="77777777" w:rsidTr="00C414C0">
        <w:trPr>
          <w:jc w:val="center"/>
        </w:trPr>
        <w:tc>
          <w:tcPr>
            <w:tcW w:w="2181" w:type="dxa"/>
          </w:tcPr>
          <w:p w14:paraId="71EBBC76" w14:textId="77777777" w:rsidR="008A64DF" w:rsidRPr="00C414C0" w:rsidRDefault="008A64DF" w:rsidP="00C414C0">
            <w:pPr>
              <w:pStyle w:val="Tabletext"/>
            </w:pPr>
            <w:r w:rsidRPr="00C414C0">
              <w:t>2018</w:t>
            </w:r>
          </w:p>
        </w:tc>
        <w:tc>
          <w:tcPr>
            <w:tcW w:w="7448" w:type="dxa"/>
          </w:tcPr>
          <w:p w14:paraId="7BA9FC57" w14:textId="77777777" w:rsidR="008A64DF" w:rsidRPr="00C414C0" w:rsidRDefault="008A64DF" w:rsidP="00C414C0">
            <w:pPr>
              <w:pStyle w:val="Tabletext"/>
            </w:pPr>
            <w:r w:rsidRPr="00C414C0">
              <w:t>Simposio de la UIT sobre satélites, 2018</w:t>
            </w:r>
          </w:p>
          <w:p w14:paraId="43429103" w14:textId="77777777" w:rsidR="008A64DF" w:rsidRPr="00C414C0" w:rsidRDefault="008A64DF" w:rsidP="00C414C0">
            <w:pPr>
              <w:pStyle w:val="Tabletext"/>
            </w:pPr>
            <w:r w:rsidRPr="00C414C0">
              <w:t>Cuatro talleres sobre comunicaciones por satélite</w:t>
            </w:r>
          </w:p>
        </w:tc>
      </w:tr>
      <w:tr w:rsidR="008A64DF" w:rsidRPr="00DB3FF8" w14:paraId="38731E06" w14:textId="77777777" w:rsidTr="00C414C0">
        <w:trPr>
          <w:jc w:val="center"/>
        </w:trPr>
        <w:tc>
          <w:tcPr>
            <w:tcW w:w="2181" w:type="dxa"/>
          </w:tcPr>
          <w:p w14:paraId="0C8F6646" w14:textId="77777777" w:rsidR="008A64DF" w:rsidRPr="00C414C0" w:rsidRDefault="008A64DF" w:rsidP="00C414C0">
            <w:pPr>
              <w:pStyle w:val="Tabletext"/>
            </w:pPr>
            <w:r w:rsidRPr="00C414C0">
              <w:t>2019</w:t>
            </w:r>
          </w:p>
        </w:tc>
        <w:tc>
          <w:tcPr>
            <w:tcW w:w="7448" w:type="dxa"/>
          </w:tcPr>
          <w:p w14:paraId="74533DB4" w14:textId="77777777" w:rsidR="008A64DF" w:rsidRPr="00C414C0" w:rsidRDefault="008A64DF" w:rsidP="00C414C0">
            <w:pPr>
              <w:pStyle w:val="Tabletext"/>
            </w:pPr>
            <w:r w:rsidRPr="00C414C0">
              <w:t>Simposio de la UIT sobre comunicaciones por satélite, 2019</w:t>
            </w:r>
          </w:p>
        </w:tc>
      </w:tr>
      <w:tr w:rsidR="008A64DF" w:rsidRPr="00DB3FF8" w14:paraId="1A195FFC" w14:textId="77777777" w:rsidTr="00C414C0">
        <w:trPr>
          <w:jc w:val="center"/>
        </w:trPr>
        <w:tc>
          <w:tcPr>
            <w:tcW w:w="2181" w:type="dxa"/>
          </w:tcPr>
          <w:p w14:paraId="33539AEE" w14:textId="77777777" w:rsidR="008A64DF" w:rsidRPr="00C414C0" w:rsidRDefault="008A64DF" w:rsidP="00C414C0">
            <w:pPr>
              <w:pStyle w:val="Tabletext"/>
            </w:pPr>
            <w:r w:rsidRPr="00C414C0">
              <w:t>2020</w:t>
            </w:r>
          </w:p>
        </w:tc>
        <w:tc>
          <w:tcPr>
            <w:tcW w:w="7448" w:type="dxa"/>
          </w:tcPr>
          <w:p w14:paraId="296B72A1" w14:textId="77777777" w:rsidR="008A64DF" w:rsidRPr="00C414C0" w:rsidRDefault="008A64DF" w:rsidP="00C414C0">
            <w:pPr>
              <w:pStyle w:val="Tabletext"/>
            </w:pPr>
            <w:r w:rsidRPr="00C414C0">
              <w:t xml:space="preserve">Tres seminarios de la UIT sobre satélites </w:t>
            </w:r>
          </w:p>
        </w:tc>
      </w:tr>
      <w:tr w:rsidR="008A64DF" w:rsidRPr="00DB3FF8" w14:paraId="10FFA57C" w14:textId="77777777" w:rsidTr="00C414C0">
        <w:trPr>
          <w:jc w:val="center"/>
        </w:trPr>
        <w:tc>
          <w:tcPr>
            <w:tcW w:w="2181" w:type="dxa"/>
          </w:tcPr>
          <w:p w14:paraId="5A8403B0" w14:textId="77777777" w:rsidR="008A64DF" w:rsidRPr="00C414C0" w:rsidRDefault="008A64DF" w:rsidP="00C414C0">
            <w:pPr>
              <w:pStyle w:val="Tabletext"/>
            </w:pPr>
            <w:r w:rsidRPr="00C414C0">
              <w:t>2021</w:t>
            </w:r>
          </w:p>
        </w:tc>
        <w:tc>
          <w:tcPr>
            <w:tcW w:w="7448" w:type="dxa"/>
          </w:tcPr>
          <w:p w14:paraId="158E592C" w14:textId="650C55B9" w:rsidR="008A64DF" w:rsidRPr="00C414C0" w:rsidRDefault="008A64DF" w:rsidP="00C414C0">
            <w:pPr>
              <w:pStyle w:val="Tabletext"/>
            </w:pPr>
            <w:r w:rsidRPr="00C414C0">
              <w:t>22ª reunión internacional sobre comprobación técnica de radiocomunicaciones espaciales</w:t>
            </w:r>
          </w:p>
        </w:tc>
      </w:tr>
    </w:tbl>
    <w:p w14:paraId="3D8446B4" w14:textId="58D8058C" w:rsidR="00C414C0" w:rsidRPr="00C414C0" w:rsidRDefault="00C414C0" w:rsidP="00C414C0">
      <w:pPr>
        <w:pStyle w:val="Normalaftertitle"/>
        <w:spacing w:after="120"/>
        <w:rPr>
          <w:lang w:val="es-ES"/>
        </w:rPr>
      </w:pPr>
      <w:r w:rsidRPr="00F40187">
        <w:rPr>
          <w:lang w:val="es-ES"/>
        </w:rPr>
        <w:t>El UIT-R</w:t>
      </w:r>
      <w:r w:rsidRPr="00C414C0">
        <w:rPr>
          <w:lang w:val="es-ES"/>
        </w:rPr>
        <w:t xml:space="preserve"> junto con la Unión Africana de Telecomunicaciones (</w:t>
      </w:r>
      <w:r w:rsidR="00CD3E3C">
        <w:rPr>
          <w:lang w:val="es-ES"/>
        </w:rPr>
        <w:t>UAT</w:t>
      </w:r>
      <w:r w:rsidRPr="00C414C0">
        <w:rPr>
          <w:lang w:val="es-ES"/>
        </w:rPr>
        <w:t xml:space="preserve">), inició la </w:t>
      </w:r>
      <w:hyperlink r:id="rId261" w:history="1">
        <w:r w:rsidRPr="00C414C0">
          <w:rPr>
            <w:rStyle w:val="Hyperlink"/>
            <w:lang w:val="es-ES"/>
          </w:rPr>
          <w:t>optimización del Plan</w:t>
        </w:r>
        <w:r w:rsidR="00855EA4">
          <w:rPr>
            <w:rStyle w:val="Hyperlink"/>
            <w:lang w:val="es-ES"/>
          </w:rPr>
          <w:t> </w:t>
        </w:r>
        <w:r w:rsidRPr="00C414C0">
          <w:rPr>
            <w:rStyle w:val="Hyperlink"/>
            <w:lang w:val="es-ES"/>
          </w:rPr>
          <w:t>GE84</w:t>
        </w:r>
      </w:hyperlink>
      <w:r w:rsidRPr="00C414C0">
        <w:rPr>
          <w:lang w:val="es-ES"/>
        </w:rPr>
        <w:t xml:space="preserve"> para los países africanos, con el fin de atender la creciente necesidad de frecuencias adicionales. En 2020, se celebraron cuatro talleres sobre optimización del Plan GE84 para África con el fin de ayudar en la capacitación y preparación de los países para la </w:t>
      </w:r>
      <w:hyperlink r:id="rId262" w:history="1">
        <w:r w:rsidRPr="00C414C0">
          <w:rPr>
            <w:rStyle w:val="Hyperlink"/>
            <w:lang w:val="es-ES"/>
          </w:rPr>
          <w:t>primera reunión de coordinación de frecuencias</w:t>
        </w:r>
      </w:hyperlink>
      <w:r w:rsidRPr="00C414C0">
        <w:rPr>
          <w:lang w:val="es-ES"/>
        </w:rPr>
        <w:t xml:space="preserve"> celebrada en formato virtual en febrero de 2021. La </w:t>
      </w:r>
      <w:hyperlink r:id="rId263" w:history="1">
        <w:r w:rsidRPr="00C414C0">
          <w:rPr>
            <w:rStyle w:val="Hyperlink"/>
            <w:lang w:val="es-ES"/>
          </w:rPr>
          <w:t>segunda reunión de coordinación de frecuencias</w:t>
        </w:r>
      </w:hyperlink>
      <w:r w:rsidRPr="00C414C0">
        <w:rPr>
          <w:lang w:val="es-ES"/>
        </w:rPr>
        <w:t xml:space="preserve"> tuvo lugar en formato virtual del 28 de junio al 2 de julio de 2021.</w:t>
      </w:r>
    </w:p>
    <w:p w14:paraId="3BE242CB" w14:textId="06FF10E5" w:rsidR="00C414C0" w:rsidRPr="00C414C0" w:rsidRDefault="00C414C0" w:rsidP="00855EA4">
      <w:pPr>
        <w:keepNext/>
        <w:keepLines/>
        <w:rPr>
          <w:lang w:val="es-ES"/>
        </w:rPr>
      </w:pPr>
      <w:r w:rsidRPr="00C414C0">
        <w:rPr>
          <w:lang w:val="es-ES"/>
        </w:rPr>
        <w:t xml:space="preserve">El UIT-R, junto con el UIT-D, participa en el proyecto de la </w:t>
      </w:r>
      <w:r w:rsidR="00CD3E3C" w:rsidRPr="00CD3E3C">
        <w:rPr>
          <w:lang w:val="es-ES"/>
        </w:rPr>
        <w:t>Iniciativa de Política y Regulación para un África Digital</w:t>
      </w:r>
      <w:r w:rsidRPr="00C414C0">
        <w:rPr>
          <w:lang w:val="es-ES"/>
        </w:rPr>
        <w:t xml:space="preserve"> (</w:t>
      </w:r>
      <w:hyperlink r:id="rId264" w:history="1">
        <w:r w:rsidRPr="00C414C0">
          <w:rPr>
            <w:rStyle w:val="Hyperlink"/>
            <w:lang w:val="es-ES"/>
          </w:rPr>
          <w:t>PRIDA</w:t>
        </w:r>
      </w:hyperlink>
      <w:r w:rsidRPr="00C414C0">
        <w:rPr>
          <w:lang w:val="es-ES"/>
        </w:rPr>
        <w:t xml:space="preserve">) destinado a </w:t>
      </w:r>
      <w:r w:rsidR="00CD3E3C">
        <w:rPr>
          <w:lang w:val="es-ES"/>
        </w:rPr>
        <w:t>"</w:t>
      </w:r>
      <w:r w:rsidRPr="00C414C0">
        <w:rPr>
          <w:lang w:val="es-ES"/>
        </w:rPr>
        <w:t>aumentar la tasa de penetración de la banda ancha inalámbrica a través de la mejora y la armonización de la utilización del espectro y la reglamentación</w:t>
      </w:r>
      <w:r w:rsidR="00CD3E3C">
        <w:rPr>
          <w:lang w:val="es-ES"/>
        </w:rPr>
        <w:t>"</w:t>
      </w:r>
      <w:r w:rsidRPr="00C414C0">
        <w:rPr>
          <w:lang w:val="es-ES"/>
        </w:rPr>
        <w:t>. La BR participó en las reuniones en línea para validar los informes técnicos y las directrices de PRIDA, celebradas en marzo de 2021, y en</w:t>
      </w:r>
      <w:r w:rsidR="00CD3E3C">
        <w:rPr>
          <w:lang w:val="es-ES"/>
        </w:rPr>
        <w:t xml:space="preserve"> </w:t>
      </w:r>
      <w:r w:rsidRPr="00C414C0">
        <w:rPr>
          <w:lang w:val="es-ES"/>
        </w:rPr>
        <w:t>tres talleres de capacitación:</w:t>
      </w:r>
    </w:p>
    <w:p w14:paraId="722944FA" w14:textId="06F4813A" w:rsidR="00C414C0" w:rsidRPr="00C414C0" w:rsidRDefault="00C414C0" w:rsidP="00C414C0">
      <w:pPr>
        <w:pStyle w:val="enumlev1"/>
        <w:rPr>
          <w:lang w:val="es-ES"/>
        </w:rPr>
      </w:pPr>
      <w:r w:rsidRPr="00C414C0">
        <w:rPr>
          <w:lang w:val="es-ES"/>
        </w:rPr>
        <w:t>•</w:t>
      </w:r>
      <w:r>
        <w:rPr>
          <w:lang w:val="es-ES"/>
        </w:rPr>
        <w:tab/>
      </w:r>
      <w:r w:rsidR="00F40187">
        <w:rPr>
          <w:lang w:val="es-ES"/>
        </w:rPr>
        <w:t>g</w:t>
      </w:r>
      <w:r w:rsidRPr="00C414C0">
        <w:rPr>
          <w:lang w:val="es-ES"/>
        </w:rPr>
        <w:t xml:space="preserve">estión del espectro moderno y </w:t>
      </w:r>
      <w:r w:rsidRPr="00CD3E3C">
        <w:rPr>
          <w:i/>
          <w:iCs/>
          <w:lang w:val="es-ES"/>
        </w:rPr>
        <w:t>software</w:t>
      </w:r>
      <w:r w:rsidRPr="00C414C0">
        <w:rPr>
          <w:lang w:val="es-ES"/>
        </w:rPr>
        <w:t xml:space="preserve"> conexo (SMS4DC) en inglés, marzo de 2020 (Zanzíbar</w:t>
      </w:r>
      <w:r w:rsidR="00CD3E3C">
        <w:rPr>
          <w:lang w:val="es-ES"/>
        </w:rPr>
        <w:t xml:space="preserve"> </w:t>
      </w:r>
      <w:r w:rsidR="00F40187">
        <w:rPr>
          <w:lang w:val="es-ES"/>
        </w:rPr>
        <w:t>(</w:t>
      </w:r>
      <w:r w:rsidRPr="00C414C0">
        <w:rPr>
          <w:lang w:val="es-ES"/>
        </w:rPr>
        <w:t>Tanzan</w:t>
      </w:r>
      <w:r w:rsidR="00446CE6">
        <w:rPr>
          <w:lang w:val="es-ES"/>
        </w:rPr>
        <w:t>í</w:t>
      </w:r>
      <w:r w:rsidRPr="00C414C0">
        <w:rPr>
          <w:lang w:val="es-ES"/>
        </w:rPr>
        <w:t>a</w:t>
      </w:r>
      <w:r w:rsidR="00F40187">
        <w:rPr>
          <w:lang w:val="es-ES"/>
        </w:rPr>
        <w:t>)</w:t>
      </w:r>
      <w:r w:rsidRPr="00C414C0">
        <w:rPr>
          <w:lang w:val="es-ES"/>
        </w:rPr>
        <w:t>) y en francés (en línea), mayo de 2020;</w:t>
      </w:r>
    </w:p>
    <w:p w14:paraId="344825DB" w14:textId="341F318E" w:rsidR="00C414C0" w:rsidRPr="00C414C0" w:rsidRDefault="00C414C0" w:rsidP="00C414C0">
      <w:pPr>
        <w:pStyle w:val="enumlev1"/>
        <w:rPr>
          <w:lang w:val="es-ES"/>
        </w:rPr>
      </w:pPr>
      <w:r w:rsidRPr="00C414C0">
        <w:rPr>
          <w:lang w:val="es-ES"/>
        </w:rPr>
        <w:t>•</w:t>
      </w:r>
      <w:r>
        <w:rPr>
          <w:lang w:val="es-ES"/>
        </w:rPr>
        <w:tab/>
      </w:r>
      <w:r w:rsidRPr="00C414C0">
        <w:rPr>
          <w:lang w:val="es-ES"/>
        </w:rPr>
        <w:t xml:space="preserve">Internet de las cosas (IoT) y servicios digitales (en línea), en agosto (francés) y en septiembre </w:t>
      </w:r>
      <w:r w:rsidR="00F40187">
        <w:rPr>
          <w:lang w:val="es-ES"/>
        </w:rPr>
        <w:t xml:space="preserve">de </w:t>
      </w:r>
      <w:r w:rsidRPr="00C414C0">
        <w:rPr>
          <w:lang w:val="es-ES"/>
        </w:rPr>
        <w:t>2020 (inglés);</w:t>
      </w:r>
    </w:p>
    <w:p w14:paraId="4EE0FFED" w14:textId="61A409BB" w:rsidR="00C414C0" w:rsidRPr="00C414C0" w:rsidRDefault="00C414C0" w:rsidP="00C414C0">
      <w:pPr>
        <w:pStyle w:val="enumlev1"/>
        <w:rPr>
          <w:lang w:val="es-ES"/>
        </w:rPr>
      </w:pPr>
      <w:r w:rsidRPr="00C414C0">
        <w:rPr>
          <w:lang w:val="es-ES"/>
        </w:rPr>
        <w:t>•</w:t>
      </w:r>
      <w:r>
        <w:rPr>
          <w:lang w:val="es-ES"/>
        </w:rPr>
        <w:tab/>
      </w:r>
      <w:r w:rsidR="00F40187">
        <w:rPr>
          <w:lang w:val="es-ES"/>
        </w:rPr>
        <w:t>p</w:t>
      </w:r>
      <w:r w:rsidRPr="00C414C0">
        <w:rPr>
          <w:lang w:val="es-ES"/>
        </w:rPr>
        <w:t xml:space="preserve">reparación </w:t>
      </w:r>
      <w:bookmarkStart w:id="133" w:name="_Hlk95306990"/>
      <w:r w:rsidRPr="00C414C0">
        <w:rPr>
          <w:lang w:val="es-ES"/>
        </w:rPr>
        <w:t xml:space="preserve">del Cuadro </w:t>
      </w:r>
      <w:r w:rsidR="00F40187">
        <w:rPr>
          <w:lang w:val="es-ES"/>
        </w:rPr>
        <w:t>n</w:t>
      </w:r>
      <w:r w:rsidRPr="00C414C0">
        <w:rPr>
          <w:lang w:val="es-ES"/>
        </w:rPr>
        <w:t>acional de atribución de bandas de frecuencias (NTFA)</w:t>
      </w:r>
      <w:bookmarkEnd w:id="133"/>
      <w:r w:rsidRPr="00C414C0">
        <w:rPr>
          <w:lang w:val="es-ES"/>
        </w:rPr>
        <w:t xml:space="preserve"> (en línea), mayo de 2021, seguido de las sesiones de asistencia a países para la creación de su NTFA, junio de 2021 (</w:t>
      </w:r>
      <w:hyperlink r:id="rId265" w:history="1">
        <w:r w:rsidRPr="00C414C0">
          <w:rPr>
            <w:rStyle w:val="Hyperlink"/>
            <w:lang w:val="es-ES"/>
          </w:rPr>
          <w:t>harmonización del espectro</w:t>
        </w:r>
      </w:hyperlink>
      <w:r w:rsidRPr="00C414C0">
        <w:rPr>
          <w:lang w:val="es-ES"/>
        </w:rPr>
        <w:t>).</w:t>
      </w:r>
    </w:p>
    <w:p w14:paraId="5825C8AF" w14:textId="30DEF4AB" w:rsidR="00C414C0" w:rsidRPr="00C414C0" w:rsidRDefault="00C414C0" w:rsidP="00C414C0">
      <w:pPr>
        <w:rPr>
          <w:lang w:val="es-ES"/>
        </w:rPr>
      </w:pPr>
      <w:r w:rsidRPr="00C414C0">
        <w:rPr>
          <w:lang w:val="es-ES"/>
        </w:rPr>
        <w:t xml:space="preserve">Se organizaron cinco talleres regionales de capacitación de la UIT/ITSO sobre comunicaciones por satélite en Minsk </w:t>
      </w:r>
      <w:r w:rsidR="00F40187">
        <w:rPr>
          <w:lang w:val="es-ES"/>
        </w:rPr>
        <w:t>(</w:t>
      </w:r>
      <w:r w:rsidR="00876FCF">
        <w:rPr>
          <w:lang w:val="es-ES"/>
        </w:rPr>
        <w:t>Belarús</w:t>
      </w:r>
      <w:r w:rsidR="00F40187">
        <w:rPr>
          <w:lang w:val="es-ES"/>
        </w:rPr>
        <w:t>)</w:t>
      </w:r>
      <w:r w:rsidRPr="00C414C0">
        <w:rPr>
          <w:lang w:val="es-ES"/>
        </w:rPr>
        <w:t xml:space="preserve"> (</w:t>
      </w:r>
      <w:r w:rsidR="00F40187" w:rsidRPr="00C414C0">
        <w:rPr>
          <w:lang w:val="es-ES"/>
        </w:rPr>
        <w:t xml:space="preserve">Región </w:t>
      </w:r>
      <w:r w:rsidRPr="00C414C0">
        <w:rPr>
          <w:lang w:val="es-ES"/>
        </w:rPr>
        <w:t xml:space="preserve">de la CEI, abril de 2019); Asunción </w:t>
      </w:r>
      <w:r w:rsidR="00F40187">
        <w:rPr>
          <w:lang w:val="es-ES"/>
        </w:rPr>
        <w:t>(</w:t>
      </w:r>
      <w:r w:rsidRPr="00C414C0">
        <w:rPr>
          <w:lang w:val="es-ES"/>
        </w:rPr>
        <w:t>Paraguay</w:t>
      </w:r>
      <w:r w:rsidR="00F40187">
        <w:rPr>
          <w:lang w:val="es-ES"/>
        </w:rPr>
        <w:t>)</w:t>
      </w:r>
      <w:r w:rsidRPr="00C414C0">
        <w:rPr>
          <w:lang w:val="es-ES"/>
        </w:rPr>
        <w:t xml:space="preserve"> (</w:t>
      </w:r>
      <w:r w:rsidR="00F40187" w:rsidRPr="00C414C0">
        <w:rPr>
          <w:lang w:val="es-ES"/>
        </w:rPr>
        <w:t xml:space="preserve">Región </w:t>
      </w:r>
      <w:r w:rsidRPr="00C414C0">
        <w:rPr>
          <w:lang w:val="es-ES"/>
        </w:rPr>
        <w:t>de las Américas</w:t>
      </w:r>
      <w:r w:rsidR="00F40187">
        <w:rPr>
          <w:lang w:val="es-ES"/>
        </w:rPr>
        <w:t>,</w:t>
      </w:r>
      <w:r w:rsidRPr="00C414C0">
        <w:rPr>
          <w:lang w:val="es-ES"/>
        </w:rPr>
        <w:t xml:space="preserve"> abril de 2019); Maputo </w:t>
      </w:r>
      <w:r w:rsidR="00F40187">
        <w:rPr>
          <w:lang w:val="es-ES"/>
        </w:rPr>
        <w:t>(</w:t>
      </w:r>
      <w:r w:rsidRPr="00C414C0">
        <w:rPr>
          <w:lang w:val="es-ES"/>
        </w:rPr>
        <w:t>Mozambique</w:t>
      </w:r>
      <w:r w:rsidR="00F40187">
        <w:rPr>
          <w:lang w:val="es-ES"/>
        </w:rPr>
        <w:t>)</w:t>
      </w:r>
      <w:r w:rsidRPr="00C414C0">
        <w:rPr>
          <w:lang w:val="es-ES"/>
        </w:rPr>
        <w:t xml:space="preserve"> (</w:t>
      </w:r>
      <w:r w:rsidR="00F40187" w:rsidRPr="00C414C0">
        <w:rPr>
          <w:lang w:val="es-ES"/>
        </w:rPr>
        <w:t xml:space="preserve">Región </w:t>
      </w:r>
      <w:r w:rsidRPr="00C414C0">
        <w:rPr>
          <w:lang w:val="es-ES"/>
        </w:rPr>
        <w:t>de África</w:t>
      </w:r>
      <w:r w:rsidR="00F40187">
        <w:rPr>
          <w:lang w:val="es-ES"/>
        </w:rPr>
        <w:t>,</w:t>
      </w:r>
      <w:r w:rsidRPr="00C414C0">
        <w:rPr>
          <w:lang w:val="es-ES"/>
        </w:rPr>
        <w:t xml:space="preserve"> en inglés, junio de 2019); Abiyán </w:t>
      </w:r>
      <w:r w:rsidR="00F40187">
        <w:rPr>
          <w:lang w:val="es-ES"/>
        </w:rPr>
        <w:t>(Côte d'Ivoire)</w:t>
      </w:r>
      <w:r w:rsidRPr="00C414C0">
        <w:rPr>
          <w:lang w:val="es-ES"/>
        </w:rPr>
        <w:t xml:space="preserve"> (</w:t>
      </w:r>
      <w:r w:rsidR="00F40187" w:rsidRPr="00C414C0">
        <w:rPr>
          <w:lang w:val="es-ES"/>
        </w:rPr>
        <w:t xml:space="preserve">Región </w:t>
      </w:r>
      <w:r w:rsidRPr="00C414C0">
        <w:rPr>
          <w:lang w:val="es-ES"/>
        </w:rPr>
        <w:t>de África</w:t>
      </w:r>
      <w:r w:rsidR="00F40187">
        <w:rPr>
          <w:lang w:val="es-ES"/>
        </w:rPr>
        <w:t>,</w:t>
      </w:r>
      <w:r w:rsidRPr="00C414C0">
        <w:rPr>
          <w:lang w:val="es-ES"/>
        </w:rPr>
        <w:t xml:space="preserve"> en francés, julio de 2019); y Argel </w:t>
      </w:r>
      <w:r w:rsidR="00F40187">
        <w:rPr>
          <w:lang w:val="es-ES"/>
        </w:rPr>
        <w:t>(</w:t>
      </w:r>
      <w:r w:rsidRPr="00C414C0">
        <w:rPr>
          <w:lang w:val="es-ES"/>
        </w:rPr>
        <w:t>Argelia</w:t>
      </w:r>
      <w:r w:rsidR="00F40187">
        <w:rPr>
          <w:lang w:val="es-ES"/>
        </w:rPr>
        <w:t>)</w:t>
      </w:r>
      <w:r w:rsidRPr="00C414C0">
        <w:rPr>
          <w:lang w:val="es-ES"/>
        </w:rPr>
        <w:t xml:space="preserve"> (</w:t>
      </w:r>
      <w:r w:rsidR="00194230" w:rsidRPr="00194230">
        <w:rPr>
          <w:lang w:val="es-ES"/>
        </w:rPr>
        <w:t>estados</w:t>
      </w:r>
      <w:r w:rsidRPr="00C414C0">
        <w:rPr>
          <w:lang w:val="es-ES"/>
        </w:rPr>
        <w:t xml:space="preserve"> árabes</w:t>
      </w:r>
      <w:r w:rsidR="00F40187">
        <w:rPr>
          <w:lang w:val="es-ES"/>
        </w:rPr>
        <w:t>,</w:t>
      </w:r>
      <w:r w:rsidRPr="00C414C0">
        <w:rPr>
          <w:lang w:val="es-ES"/>
        </w:rPr>
        <w:t xml:space="preserve"> octubre de 2019).</w:t>
      </w:r>
    </w:p>
    <w:p w14:paraId="3C90D8EF" w14:textId="61BB8792" w:rsidR="00C414C0" w:rsidRPr="00C414C0" w:rsidRDefault="00C414C0" w:rsidP="00C414C0">
      <w:pPr>
        <w:rPr>
          <w:lang w:val="es-ES"/>
        </w:rPr>
      </w:pPr>
      <w:r w:rsidRPr="007669F5">
        <w:rPr>
          <w:lang w:val="es-ES"/>
        </w:rPr>
        <w:t>La</w:t>
      </w:r>
      <w:r w:rsidRPr="00C414C0">
        <w:rPr>
          <w:lang w:val="es-ES"/>
        </w:rPr>
        <w:t xml:space="preserve"> </w:t>
      </w:r>
      <w:hyperlink r:id="rId266" w:history="1">
        <w:r w:rsidRPr="00C414C0">
          <w:rPr>
            <w:rStyle w:val="Hyperlink"/>
            <w:lang w:val="es-ES"/>
          </w:rPr>
          <w:t>tercera</w:t>
        </w:r>
      </w:hyperlink>
      <w:r w:rsidRPr="00C414C0">
        <w:rPr>
          <w:lang w:val="es-ES"/>
        </w:rPr>
        <w:t xml:space="preserve"> y </w:t>
      </w:r>
      <w:hyperlink r:id="rId267" w:history="1">
        <w:r w:rsidRPr="00C414C0">
          <w:rPr>
            <w:rStyle w:val="Hyperlink"/>
            <w:lang w:val="es-ES"/>
          </w:rPr>
          <w:t>cuarta</w:t>
        </w:r>
      </w:hyperlink>
      <w:r w:rsidRPr="00C414C0">
        <w:rPr>
          <w:lang w:val="es-ES"/>
        </w:rPr>
        <w:t xml:space="preserve"> </w:t>
      </w:r>
      <w:bookmarkStart w:id="134" w:name="_Hlk95308005"/>
      <w:r w:rsidR="00A74CB9" w:rsidRPr="00C414C0">
        <w:rPr>
          <w:lang w:val="es-ES"/>
        </w:rPr>
        <w:t>Reuni</w:t>
      </w:r>
      <w:r w:rsidR="00A74CB9">
        <w:rPr>
          <w:lang w:val="es-ES"/>
        </w:rPr>
        <w:t>ó</w:t>
      </w:r>
      <w:r w:rsidR="00A74CB9" w:rsidRPr="00C414C0">
        <w:rPr>
          <w:lang w:val="es-ES"/>
        </w:rPr>
        <w:t xml:space="preserve">n Regional </w:t>
      </w:r>
      <w:r w:rsidRPr="00C414C0">
        <w:rPr>
          <w:lang w:val="es-ES"/>
        </w:rPr>
        <w:t xml:space="preserve">de </w:t>
      </w:r>
      <w:r w:rsidR="00A74CB9" w:rsidRPr="00C414C0">
        <w:rPr>
          <w:lang w:val="es-ES"/>
        </w:rPr>
        <w:t xml:space="preserve">Coordinación </w:t>
      </w:r>
      <w:r w:rsidRPr="00C414C0">
        <w:rPr>
          <w:lang w:val="es-ES"/>
        </w:rPr>
        <w:t xml:space="preserve">de </w:t>
      </w:r>
      <w:r w:rsidR="00A74CB9" w:rsidRPr="00C414C0">
        <w:rPr>
          <w:lang w:val="es-ES"/>
        </w:rPr>
        <w:t xml:space="preserve">Frecuencias </w:t>
      </w:r>
      <w:bookmarkEnd w:id="134"/>
      <w:r w:rsidRPr="00C414C0">
        <w:rPr>
          <w:lang w:val="es-ES"/>
        </w:rPr>
        <w:t>de la UIT se celebraron en</w:t>
      </w:r>
      <w:r w:rsidR="007669F5">
        <w:rPr>
          <w:lang w:val="es-ES"/>
        </w:rPr>
        <w:t> </w:t>
      </w:r>
      <w:r w:rsidRPr="00C414C0">
        <w:rPr>
          <w:lang w:val="es-ES"/>
        </w:rPr>
        <w:t>2018 y 2019 en la región de América Central y el Caribe sobre la utilización de las bandas de ondas métricas y decimétricas.</w:t>
      </w:r>
    </w:p>
    <w:p w14:paraId="1BDF303A" w14:textId="5BFBFCCC" w:rsidR="00C414C0" w:rsidRPr="00C414C0" w:rsidRDefault="00C414C0" w:rsidP="00C414C0">
      <w:pPr>
        <w:rPr>
          <w:lang w:val="es-ES"/>
        </w:rPr>
      </w:pPr>
      <w:r w:rsidRPr="00C414C0">
        <w:rPr>
          <w:lang w:val="es-ES"/>
        </w:rPr>
        <w:t>La BR ha contribuido a revisar y actualizar el material didáctico de la Academia de la UIT (</w:t>
      </w:r>
      <w:hyperlink r:id="rId268" w:history="1">
        <w:r w:rsidRPr="007669F5">
          <w:rPr>
            <w:rStyle w:val="Hyperlink"/>
            <w:lang w:val="es-ES"/>
          </w:rPr>
          <w:t>SMTP</w:t>
        </w:r>
      </w:hyperlink>
      <w:r w:rsidRPr="00C414C0">
        <w:rPr>
          <w:lang w:val="es-ES"/>
        </w:rPr>
        <w:t>).</w:t>
      </w:r>
    </w:p>
    <w:p w14:paraId="63ED4003" w14:textId="77777777" w:rsidR="008A64DF" w:rsidRPr="00C414C0" w:rsidRDefault="008A64DF" w:rsidP="00E313D8">
      <w:pPr>
        <w:keepNext/>
        <w:keepLines/>
        <w:rPr>
          <w:lang w:val="es-ES"/>
        </w:rPr>
      </w:pPr>
      <w:r w:rsidRPr="00C414C0">
        <w:rPr>
          <w:lang w:val="es-ES"/>
        </w:rPr>
        <w:lastRenderedPageBreak/>
        <w:t>Además de las iniciativas anteriores, el UIT-R prestó asistencia especializada a diversas regiones y administraciones de la UIT, según se indica a continuación:</w:t>
      </w:r>
    </w:p>
    <w:p w14:paraId="1FBDB192" w14:textId="77777777" w:rsidR="008A64DF" w:rsidRPr="006F7894" w:rsidRDefault="008A64DF" w:rsidP="008A64DF">
      <w:pPr>
        <w:pStyle w:val="enumlev1"/>
        <w:rPr>
          <w:lang w:val="es-ES"/>
        </w:rPr>
      </w:pPr>
      <w:r w:rsidRPr="006F7894">
        <w:rPr>
          <w:lang w:val="es-ES"/>
        </w:rPr>
        <w:t>•</w:t>
      </w:r>
      <w:r w:rsidRPr="006F7894">
        <w:rPr>
          <w:lang w:val="es-ES"/>
        </w:rPr>
        <w:tab/>
        <w:t>Mongolia recibió asistencia con miras al examen de su régimen nacional de tarificación del espectro de radiofrecuencias y la modificación de sus leyes nacionales en materia de frecuencias.</w:t>
      </w:r>
    </w:p>
    <w:p w14:paraId="4B51F8E4" w14:textId="77777777" w:rsidR="008A64DF" w:rsidRPr="006F7894" w:rsidRDefault="008A64DF" w:rsidP="008A64DF">
      <w:pPr>
        <w:pStyle w:val="enumlev1"/>
        <w:rPr>
          <w:lang w:val="es-ES"/>
        </w:rPr>
      </w:pPr>
      <w:r w:rsidRPr="006F7894">
        <w:rPr>
          <w:lang w:val="es-ES"/>
        </w:rPr>
        <w:t>•</w:t>
      </w:r>
      <w:r w:rsidRPr="006F7894">
        <w:rPr>
          <w:lang w:val="es-ES"/>
        </w:rPr>
        <w:tab/>
        <w:t>Las Islas Salomón y Vanuatu recibieron asistencia para definir un régimen nacional de homologación de dispositivos inalámbricos de corto alcance.</w:t>
      </w:r>
    </w:p>
    <w:p w14:paraId="22C62E47" w14:textId="364462D5" w:rsidR="008A64DF" w:rsidRPr="006F7894" w:rsidRDefault="008A64DF" w:rsidP="008A64DF">
      <w:pPr>
        <w:pStyle w:val="enumlev1"/>
        <w:rPr>
          <w:lang w:val="es-ES"/>
        </w:rPr>
      </w:pPr>
      <w:r w:rsidRPr="006F7894">
        <w:rPr>
          <w:lang w:val="es-ES"/>
        </w:rPr>
        <w:t>•</w:t>
      </w:r>
      <w:r w:rsidRPr="006F7894">
        <w:rPr>
          <w:lang w:val="es-ES"/>
        </w:rPr>
        <w:tab/>
        <w:t>Se celebraron más de 15 talleres y formaciones encaminados a la sensibilización y la capacitación en gestión del espectro, junto con otros cursos, en Asia</w:t>
      </w:r>
      <w:r w:rsidR="007669F5">
        <w:rPr>
          <w:lang w:val="es-ES"/>
        </w:rPr>
        <w:t>-</w:t>
      </w:r>
      <w:r w:rsidRPr="006F7894">
        <w:rPr>
          <w:lang w:val="es-ES"/>
        </w:rPr>
        <w:t>Pacífico.</w:t>
      </w:r>
    </w:p>
    <w:p w14:paraId="27EA1F67" w14:textId="77777777" w:rsidR="008A64DF" w:rsidRPr="006F7894" w:rsidRDefault="008A64DF" w:rsidP="008A64DF">
      <w:pPr>
        <w:pStyle w:val="enumlev1"/>
        <w:rPr>
          <w:lang w:val="es-ES"/>
        </w:rPr>
      </w:pPr>
      <w:r w:rsidRPr="006F7894">
        <w:rPr>
          <w:lang w:val="es-ES"/>
        </w:rPr>
        <w:t>•</w:t>
      </w:r>
      <w:r w:rsidRPr="006F7894">
        <w:rPr>
          <w:lang w:val="es-ES"/>
        </w:rPr>
        <w:tab/>
        <w:t>Se prestó asistencia al Ministerio de Ciencia, Energía y Tecnología y a la Autoridad de Gestión del Espectro de Jamaica, para la definición de un marco nacional de licencias de espectro.</w:t>
      </w:r>
    </w:p>
    <w:p w14:paraId="5BC38271" w14:textId="6ECB6BF2" w:rsidR="008A64DF" w:rsidRPr="006F7894" w:rsidRDefault="008A64DF" w:rsidP="008A64DF">
      <w:pPr>
        <w:pStyle w:val="enumlev1"/>
        <w:rPr>
          <w:lang w:val="es-ES"/>
        </w:rPr>
      </w:pPr>
      <w:r w:rsidRPr="006F7894">
        <w:rPr>
          <w:lang w:val="es-ES"/>
        </w:rPr>
        <w:t>•</w:t>
      </w:r>
      <w:r w:rsidRPr="006F7894">
        <w:rPr>
          <w:lang w:val="es-ES"/>
        </w:rPr>
        <w:tab/>
        <w:t xml:space="preserve">Se celebró la </w:t>
      </w:r>
      <w:hyperlink r:id="rId269" w:history="1">
        <w:r w:rsidRPr="005F76BE">
          <w:rPr>
            <w:rStyle w:val="Hyperlink"/>
            <w:lang w:val="es-ES"/>
          </w:rPr>
          <w:t>tercera Conferencia anual de gestión del espectro de la Región de la CEI y la</w:t>
        </w:r>
        <w:r w:rsidR="007419BD">
          <w:rPr>
            <w:rStyle w:val="Hyperlink"/>
            <w:lang w:val="es-ES"/>
          </w:rPr>
          <w:t> </w:t>
        </w:r>
        <w:r w:rsidRPr="005F76BE">
          <w:rPr>
            <w:rStyle w:val="Hyperlink"/>
            <w:lang w:val="es-ES"/>
          </w:rPr>
          <w:t>CEE</w:t>
        </w:r>
      </w:hyperlink>
      <w:r w:rsidRPr="006F7894">
        <w:rPr>
          <w:lang w:val="es-ES"/>
        </w:rPr>
        <w:t>, además de un taller de la UIT sobre cómo mantener comunicaciones sin interferencias (Minsk (Belarús)).</w:t>
      </w:r>
    </w:p>
    <w:p w14:paraId="76700296" w14:textId="77777777" w:rsidR="008A64DF" w:rsidRPr="006F7894" w:rsidRDefault="008A64DF" w:rsidP="008A64DF">
      <w:pPr>
        <w:pStyle w:val="enumlev1"/>
        <w:rPr>
          <w:lang w:val="es-ES"/>
        </w:rPr>
      </w:pPr>
      <w:r w:rsidRPr="006F7894">
        <w:rPr>
          <w:lang w:val="es-ES"/>
        </w:rPr>
        <w:t>•</w:t>
      </w:r>
      <w:r w:rsidRPr="006F7894">
        <w:rPr>
          <w:lang w:val="es-ES"/>
        </w:rPr>
        <w:tab/>
        <w:t>Se organizó una serie de talleres y seminarios en la CEI para examinar el futuro de la televisión, la cartografía de las infraestructuras y servicios terrenales de banda ancha, y otros temas relacionados con las radiocomunicaciones.</w:t>
      </w:r>
    </w:p>
    <w:p w14:paraId="42203704" w14:textId="77777777" w:rsidR="008A64DF" w:rsidRPr="006F7894" w:rsidRDefault="008A64DF" w:rsidP="008A64DF">
      <w:pPr>
        <w:pStyle w:val="enumlev1"/>
        <w:rPr>
          <w:lang w:val="es-ES"/>
        </w:rPr>
      </w:pPr>
      <w:r w:rsidRPr="006F7894">
        <w:rPr>
          <w:lang w:val="es-ES"/>
        </w:rPr>
        <w:t>•</w:t>
      </w:r>
      <w:r w:rsidRPr="006F7894">
        <w:rPr>
          <w:lang w:val="es-ES"/>
        </w:rPr>
        <w:tab/>
        <w:t>Se prestó asistencia en el marco de varios proyectos coreanos relacionados con los fundamentos de la gestión del espectro y el Sistema de gestión del espectro para países en desarrollo (SMS4DC).</w:t>
      </w:r>
    </w:p>
    <w:p w14:paraId="68EB7E79" w14:textId="77777777" w:rsidR="008A64DF" w:rsidRPr="006F7894" w:rsidRDefault="008A64DF" w:rsidP="008A64DF">
      <w:pPr>
        <w:pStyle w:val="enumlev1"/>
        <w:rPr>
          <w:lang w:val="es-ES"/>
        </w:rPr>
      </w:pPr>
      <w:r w:rsidRPr="006F7894">
        <w:rPr>
          <w:lang w:val="es-ES"/>
        </w:rPr>
        <w:t>•</w:t>
      </w:r>
      <w:r w:rsidRPr="006F7894">
        <w:rPr>
          <w:lang w:val="es-ES"/>
        </w:rPr>
        <w:tab/>
        <w:t>Se impartió un curso de formación técnica sobre el SMS4DC en Vientiane (Lao (R.D.P.)).</w:t>
      </w:r>
    </w:p>
    <w:p w14:paraId="2D5FE8FC" w14:textId="77777777" w:rsidR="008A64DF" w:rsidRPr="00C3025E" w:rsidRDefault="008A64DF" w:rsidP="008A64DF">
      <w:pPr>
        <w:pStyle w:val="Headingb"/>
        <w:rPr>
          <w:lang w:val="es-ES"/>
        </w:rPr>
      </w:pPr>
      <w:r w:rsidRPr="00677401">
        <w:rPr>
          <w:lang w:val="es-ES"/>
        </w:rPr>
        <w:t>UIT-T</w:t>
      </w:r>
    </w:p>
    <w:p w14:paraId="5379DD25" w14:textId="422C501D" w:rsidR="008A64DF" w:rsidRDefault="008A64DF" w:rsidP="008A64DF">
      <w:pPr>
        <w:rPr>
          <w:lang w:val="es-ES"/>
        </w:rPr>
      </w:pPr>
      <w:r w:rsidRPr="00C3025E">
        <w:rPr>
          <w:lang w:val="es-ES"/>
        </w:rPr>
        <w:t xml:space="preserve">En los </w:t>
      </w:r>
      <w:hyperlink r:id="rId270" w:history="1">
        <w:r w:rsidRPr="009F2DBF">
          <w:rPr>
            <w:rStyle w:val="Hyperlink"/>
          </w:rPr>
          <w:t>talleres, foros y simposios del UIT-T</w:t>
        </w:r>
      </w:hyperlink>
      <w:r w:rsidRPr="00C3025E">
        <w:rPr>
          <w:lang w:val="es-ES"/>
        </w:rPr>
        <w:t xml:space="preserve"> se </w:t>
      </w:r>
      <w:r>
        <w:rPr>
          <w:lang w:val="es-ES"/>
        </w:rPr>
        <w:t xml:space="preserve">examinan </w:t>
      </w:r>
      <w:r w:rsidRPr="00C3025E">
        <w:rPr>
          <w:lang w:val="es-ES"/>
        </w:rPr>
        <w:t>las nuevas tendencias en materia de normalización, se aumenta la visibilidad del trabajo del UIT-T, se mejora la colaboración del UIT-T con otros organismos, se atrae a posibles candidatos a la adhesión al UIT-T y se fomenta el aprendizaje entre pares. Todos los talleres, foros y simposios del UIT-T se celebra</w:t>
      </w:r>
      <w:r>
        <w:rPr>
          <w:lang w:val="es-ES"/>
        </w:rPr>
        <w:t>ro</w:t>
      </w:r>
      <w:r w:rsidRPr="00C3025E">
        <w:rPr>
          <w:lang w:val="es-ES"/>
        </w:rPr>
        <w:t xml:space="preserve">n de forma virtual, </w:t>
      </w:r>
      <w:r>
        <w:rPr>
          <w:lang w:val="es-ES"/>
        </w:rPr>
        <w:t xml:space="preserve">aumentando así la </w:t>
      </w:r>
      <w:r w:rsidRPr="00C3025E">
        <w:rPr>
          <w:lang w:val="es-ES"/>
        </w:rPr>
        <w:t>diversidad</w:t>
      </w:r>
      <w:r>
        <w:rPr>
          <w:lang w:val="es-ES"/>
        </w:rPr>
        <w:t xml:space="preserve"> y el número de participantes</w:t>
      </w:r>
      <w:r w:rsidRPr="00C3025E">
        <w:rPr>
          <w:lang w:val="es-ES"/>
        </w:rPr>
        <w:t>.</w:t>
      </w:r>
    </w:p>
    <w:p w14:paraId="0525A6DE" w14:textId="390A521C" w:rsidR="008A64DF" w:rsidRDefault="008A64DF" w:rsidP="00C414C0">
      <w:pPr>
        <w:spacing w:after="120"/>
        <w:rPr>
          <w:lang w:val="es-ES"/>
        </w:rPr>
      </w:pPr>
      <w:r>
        <w:rPr>
          <w:lang w:val="es-ES"/>
        </w:rPr>
        <w:t xml:space="preserve">A continuación se indican los principales indicadores relacionados con los </w:t>
      </w:r>
      <w:r w:rsidRPr="00C3025E">
        <w:rPr>
          <w:lang w:val="es-ES"/>
        </w:rPr>
        <w:t xml:space="preserve">talleres, foros y simposios, </w:t>
      </w:r>
      <w:r>
        <w:rPr>
          <w:lang w:val="es-ES"/>
        </w:rPr>
        <w:t>que abarca</w:t>
      </w:r>
      <w:r w:rsidR="00677401">
        <w:rPr>
          <w:lang w:val="es-ES"/>
        </w:rPr>
        <w:t>n</w:t>
      </w:r>
      <w:r>
        <w:rPr>
          <w:lang w:val="es-ES"/>
        </w:rPr>
        <w:t xml:space="preserve"> </w:t>
      </w:r>
      <w:r w:rsidRPr="00C3025E">
        <w:rPr>
          <w:lang w:val="es-ES"/>
        </w:rPr>
        <w:t>una gran variedad de temas, desde la 5G hasta el medio ambiente, las ciudades inteligentes, los sistemas de transporte inteligentes, la inteligencia artificial y la reducción del riesgo de catástrofes, entre otros.</w:t>
      </w:r>
    </w:p>
    <w:tbl>
      <w:tblPr>
        <w:tblW w:w="40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97"/>
        <w:gridCol w:w="3213"/>
        <w:gridCol w:w="3182"/>
      </w:tblGrid>
      <w:tr w:rsidR="008A64DF" w:rsidRPr="00C414C0" w14:paraId="0F0C2222" w14:textId="77777777" w:rsidTr="00855EA4">
        <w:trPr>
          <w:trHeight w:val="892"/>
          <w:jc w:val="center"/>
        </w:trPr>
        <w:tc>
          <w:tcPr>
            <w:tcW w:w="896" w:type="pct"/>
            <w:tcMar>
              <w:top w:w="0" w:type="dxa"/>
              <w:left w:w="108" w:type="dxa"/>
              <w:bottom w:w="0" w:type="dxa"/>
              <w:right w:w="108" w:type="dxa"/>
            </w:tcMar>
            <w:hideMark/>
          </w:tcPr>
          <w:p w14:paraId="7C92983A" w14:textId="77777777" w:rsidR="008A64DF" w:rsidRPr="00C414C0" w:rsidRDefault="008A64DF" w:rsidP="00C414C0">
            <w:pPr>
              <w:pStyle w:val="Tablehead"/>
              <w:rPr>
                <w:lang w:val="es-ES"/>
              </w:rPr>
            </w:pPr>
          </w:p>
        </w:tc>
        <w:tc>
          <w:tcPr>
            <w:tcW w:w="2061" w:type="pct"/>
            <w:tcMar>
              <w:top w:w="0" w:type="dxa"/>
              <w:left w:w="108" w:type="dxa"/>
              <w:bottom w:w="0" w:type="dxa"/>
              <w:right w:w="108" w:type="dxa"/>
            </w:tcMar>
            <w:hideMark/>
          </w:tcPr>
          <w:p w14:paraId="1A034607" w14:textId="245878C1" w:rsidR="008A64DF" w:rsidRPr="00C414C0" w:rsidRDefault="008A64DF" w:rsidP="00C414C0">
            <w:pPr>
              <w:pStyle w:val="Tablehead"/>
              <w:rPr>
                <w:lang w:val="es-ES"/>
              </w:rPr>
            </w:pPr>
            <w:r w:rsidRPr="00C414C0">
              <w:rPr>
                <w:lang w:val="es-ES"/>
              </w:rPr>
              <w:t>Nº de talleres</w:t>
            </w:r>
            <w:r w:rsidR="00855EA4">
              <w:rPr>
                <w:lang w:val="es-ES"/>
              </w:rPr>
              <w:br/>
            </w:r>
            <w:r w:rsidRPr="00C414C0">
              <w:rPr>
                <w:lang w:val="es-ES"/>
              </w:rPr>
              <w:t xml:space="preserve">(total) </w:t>
            </w:r>
            <w:r w:rsidR="00C414C0">
              <w:rPr>
                <w:lang w:val="es-ES"/>
              </w:rPr>
              <w:br/>
            </w:r>
            <w:r w:rsidRPr="00C414C0">
              <w:rPr>
                <w:lang w:val="es-ES"/>
              </w:rPr>
              <w:t>(desde el 1 nov</w:t>
            </w:r>
            <w:r w:rsidR="00677401">
              <w:rPr>
                <w:lang w:val="es-ES"/>
              </w:rPr>
              <w:t>iembre</w:t>
            </w:r>
            <w:r w:rsidRPr="00C414C0">
              <w:rPr>
                <w:lang w:val="es-ES"/>
              </w:rPr>
              <w:t xml:space="preserve"> de 2021)</w:t>
            </w:r>
          </w:p>
        </w:tc>
        <w:tc>
          <w:tcPr>
            <w:tcW w:w="2042" w:type="pct"/>
            <w:tcMar>
              <w:left w:w="108" w:type="dxa"/>
              <w:right w:w="108" w:type="dxa"/>
            </w:tcMar>
          </w:tcPr>
          <w:p w14:paraId="0AC3A7E1" w14:textId="1402E609" w:rsidR="008A64DF" w:rsidRPr="00C414C0" w:rsidRDefault="008A64DF" w:rsidP="00C414C0">
            <w:pPr>
              <w:pStyle w:val="Tablehead"/>
              <w:rPr>
                <w:lang w:val="es-ES"/>
              </w:rPr>
            </w:pPr>
            <w:r w:rsidRPr="00C414C0">
              <w:rPr>
                <w:lang w:val="es-ES"/>
              </w:rPr>
              <w:t>Nº de talleres</w:t>
            </w:r>
            <w:r w:rsidRPr="00C414C0">
              <w:rPr>
                <w:lang w:val="es-ES"/>
              </w:rPr>
              <w:br/>
              <w:t xml:space="preserve">(virtual solamente) </w:t>
            </w:r>
            <w:r w:rsidR="00C414C0">
              <w:rPr>
                <w:lang w:val="es-ES"/>
              </w:rPr>
              <w:br/>
            </w:r>
            <w:r w:rsidRPr="00C414C0">
              <w:rPr>
                <w:lang w:val="es-ES"/>
              </w:rPr>
              <w:t>(desde el 1 nov</w:t>
            </w:r>
            <w:r w:rsidR="00677401">
              <w:rPr>
                <w:lang w:val="es-ES"/>
              </w:rPr>
              <w:t>iembre</w:t>
            </w:r>
            <w:r w:rsidRPr="00C414C0">
              <w:rPr>
                <w:lang w:val="es-ES"/>
              </w:rPr>
              <w:t xml:space="preserve"> de 2021)</w:t>
            </w:r>
          </w:p>
        </w:tc>
      </w:tr>
      <w:tr w:rsidR="008A64DF" w:rsidRPr="00C414C0" w14:paraId="6E685645" w14:textId="77777777" w:rsidTr="00855EA4">
        <w:trPr>
          <w:trHeight w:val="426"/>
          <w:jc w:val="center"/>
        </w:trPr>
        <w:tc>
          <w:tcPr>
            <w:tcW w:w="896" w:type="pct"/>
            <w:tcMar>
              <w:top w:w="0" w:type="dxa"/>
              <w:left w:w="108" w:type="dxa"/>
              <w:bottom w:w="0" w:type="dxa"/>
              <w:right w:w="108" w:type="dxa"/>
            </w:tcMar>
            <w:hideMark/>
          </w:tcPr>
          <w:p w14:paraId="5F861917" w14:textId="77777777" w:rsidR="008A64DF" w:rsidRPr="00677401" w:rsidRDefault="008A64DF" w:rsidP="00194230">
            <w:pPr>
              <w:pStyle w:val="Tabletext"/>
              <w:jc w:val="center"/>
              <w:rPr>
                <w:b/>
                <w:bCs/>
              </w:rPr>
            </w:pPr>
            <w:r w:rsidRPr="00677401">
              <w:rPr>
                <w:b/>
                <w:bCs/>
              </w:rPr>
              <w:t>2018</w:t>
            </w:r>
          </w:p>
        </w:tc>
        <w:tc>
          <w:tcPr>
            <w:tcW w:w="2061" w:type="pct"/>
            <w:tcMar>
              <w:top w:w="0" w:type="dxa"/>
              <w:left w:w="108" w:type="dxa"/>
              <w:bottom w:w="0" w:type="dxa"/>
              <w:right w:w="108" w:type="dxa"/>
            </w:tcMar>
            <w:hideMark/>
          </w:tcPr>
          <w:p w14:paraId="367D5DAC" w14:textId="77777777" w:rsidR="008A64DF" w:rsidRPr="00C414C0" w:rsidRDefault="008A64DF" w:rsidP="00677401">
            <w:pPr>
              <w:pStyle w:val="Tabletext"/>
              <w:jc w:val="center"/>
            </w:pPr>
            <w:r w:rsidRPr="00C414C0">
              <w:t>53</w:t>
            </w:r>
          </w:p>
        </w:tc>
        <w:tc>
          <w:tcPr>
            <w:tcW w:w="2042" w:type="pct"/>
            <w:tcMar>
              <w:left w:w="108" w:type="dxa"/>
              <w:right w:w="108" w:type="dxa"/>
            </w:tcMar>
          </w:tcPr>
          <w:p w14:paraId="027F72EB" w14:textId="77777777" w:rsidR="008A64DF" w:rsidRPr="00C414C0" w:rsidRDefault="008A64DF" w:rsidP="00E61F2C">
            <w:pPr>
              <w:pStyle w:val="Tabletext"/>
              <w:jc w:val="center"/>
            </w:pPr>
            <w:r w:rsidRPr="00C414C0">
              <w:t>0</w:t>
            </w:r>
          </w:p>
        </w:tc>
      </w:tr>
      <w:tr w:rsidR="008A64DF" w:rsidRPr="00C414C0" w14:paraId="59A5DB4D" w14:textId="77777777" w:rsidTr="00855EA4">
        <w:trPr>
          <w:trHeight w:val="412"/>
          <w:jc w:val="center"/>
        </w:trPr>
        <w:tc>
          <w:tcPr>
            <w:tcW w:w="896" w:type="pct"/>
            <w:tcMar>
              <w:top w:w="0" w:type="dxa"/>
              <w:left w:w="108" w:type="dxa"/>
              <w:bottom w:w="0" w:type="dxa"/>
              <w:right w:w="108" w:type="dxa"/>
            </w:tcMar>
            <w:hideMark/>
          </w:tcPr>
          <w:p w14:paraId="33C2780D" w14:textId="77777777" w:rsidR="008A64DF" w:rsidRPr="00677401" w:rsidRDefault="008A64DF" w:rsidP="00194230">
            <w:pPr>
              <w:pStyle w:val="Tabletext"/>
              <w:jc w:val="center"/>
              <w:rPr>
                <w:b/>
                <w:bCs/>
              </w:rPr>
            </w:pPr>
            <w:r w:rsidRPr="00677401">
              <w:rPr>
                <w:b/>
                <w:bCs/>
              </w:rPr>
              <w:t>2019</w:t>
            </w:r>
          </w:p>
        </w:tc>
        <w:tc>
          <w:tcPr>
            <w:tcW w:w="2061" w:type="pct"/>
            <w:tcMar>
              <w:top w:w="0" w:type="dxa"/>
              <w:left w:w="108" w:type="dxa"/>
              <w:bottom w:w="0" w:type="dxa"/>
              <w:right w:w="108" w:type="dxa"/>
            </w:tcMar>
            <w:hideMark/>
          </w:tcPr>
          <w:p w14:paraId="4684532E" w14:textId="77777777" w:rsidR="008A64DF" w:rsidRPr="00C414C0" w:rsidRDefault="008A64DF" w:rsidP="00677401">
            <w:pPr>
              <w:pStyle w:val="Tabletext"/>
              <w:jc w:val="center"/>
            </w:pPr>
            <w:r w:rsidRPr="00C414C0">
              <w:t>56</w:t>
            </w:r>
          </w:p>
        </w:tc>
        <w:tc>
          <w:tcPr>
            <w:tcW w:w="2042" w:type="pct"/>
            <w:tcMar>
              <w:left w:w="108" w:type="dxa"/>
              <w:right w:w="108" w:type="dxa"/>
            </w:tcMar>
          </w:tcPr>
          <w:p w14:paraId="5D77D7FD" w14:textId="77777777" w:rsidR="008A64DF" w:rsidRPr="00C414C0" w:rsidRDefault="008A64DF" w:rsidP="00E61F2C">
            <w:pPr>
              <w:pStyle w:val="Tabletext"/>
              <w:jc w:val="center"/>
            </w:pPr>
            <w:r w:rsidRPr="00C414C0">
              <w:t>0</w:t>
            </w:r>
          </w:p>
        </w:tc>
      </w:tr>
      <w:tr w:rsidR="008A64DF" w:rsidRPr="00C414C0" w14:paraId="1477B67A" w14:textId="77777777" w:rsidTr="00855EA4">
        <w:trPr>
          <w:trHeight w:val="412"/>
          <w:jc w:val="center"/>
        </w:trPr>
        <w:tc>
          <w:tcPr>
            <w:tcW w:w="896" w:type="pct"/>
            <w:tcMar>
              <w:top w:w="0" w:type="dxa"/>
              <w:left w:w="108" w:type="dxa"/>
              <w:bottom w:w="0" w:type="dxa"/>
              <w:right w:w="108" w:type="dxa"/>
            </w:tcMar>
            <w:hideMark/>
          </w:tcPr>
          <w:p w14:paraId="4ADB035F" w14:textId="77777777" w:rsidR="008A64DF" w:rsidRPr="00677401" w:rsidRDefault="008A64DF" w:rsidP="00194230">
            <w:pPr>
              <w:pStyle w:val="Tabletext"/>
              <w:jc w:val="center"/>
              <w:rPr>
                <w:b/>
                <w:bCs/>
              </w:rPr>
            </w:pPr>
            <w:r w:rsidRPr="00677401">
              <w:rPr>
                <w:b/>
                <w:bCs/>
              </w:rPr>
              <w:t>2020</w:t>
            </w:r>
          </w:p>
        </w:tc>
        <w:tc>
          <w:tcPr>
            <w:tcW w:w="2061" w:type="pct"/>
            <w:tcMar>
              <w:top w:w="0" w:type="dxa"/>
              <w:left w:w="108" w:type="dxa"/>
              <w:bottom w:w="0" w:type="dxa"/>
              <w:right w:w="108" w:type="dxa"/>
            </w:tcMar>
            <w:hideMark/>
          </w:tcPr>
          <w:p w14:paraId="4F1D2AA7" w14:textId="77777777" w:rsidR="008A64DF" w:rsidRPr="00C414C0" w:rsidRDefault="008A64DF" w:rsidP="00677401">
            <w:pPr>
              <w:pStyle w:val="Tabletext"/>
              <w:jc w:val="center"/>
            </w:pPr>
            <w:r w:rsidRPr="00C414C0">
              <w:t>46</w:t>
            </w:r>
          </w:p>
        </w:tc>
        <w:tc>
          <w:tcPr>
            <w:tcW w:w="2042" w:type="pct"/>
            <w:tcMar>
              <w:left w:w="108" w:type="dxa"/>
              <w:right w:w="108" w:type="dxa"/>
            </w:tcMar>
          </w:tcPr>
          <w:p w14:paraId="2CFA2C06" w14:textId="77777777" w:rsidR="008A64DF" w:rsidRPr="00C414C0" w:rsidRDefault="008A64DF" w:rsidP="00E61F2C">
            <w:pPr>
              <w:pStyle w:val="Tabletext"/>
              <w:jc w:val="center"/>
            </w:pPr>
            <w:r w:rsidRPr="00C414C0">
              <w:t>37</w:t>
            </w:r>
          </w:p>
        </w:tc>
      </w:tr>
      <w:tr w:rsidR="008A64DF" w:rsidRPr="00C414C0" w14:paraId="135C907A" w14:textId="77777777" w:rsidTr="00855EA4">
        <w:trPr>
          <w:trHeight w:val="426"/>
          <w:jc w:val="center"/>
        </w:trPr>
        <w:tc>
          <w:tcPr>
            <w:tcW w:w="896" w:type="pct"/>
            <w:tcMar>
              <w:top w:w="0" w:type="dxa"/>
              <w:left w:w="108" w:type="dxa"/>
              <w:bottom w:w="0" w:type="dxa"/>
              <w:right w:w="108" w:type="dxa"/>
            </w:tcMar>
            <w:hideMark/>
          </w:tcPr>
          <w:p w14:paraId="4FA0270F" w14:textId="77777777" w:rsidR="008A64DF" w:rsidRPr="00677401" w:rsidRDefault="008A64DF" w:rsidP="00194230">
            <w:pPr>
              <w:pStyle w:val="Tabletext"/>
              <w:jc w:val="center"/>
              <w:rPr>
                <w:b/>
                <w:bCs/>
              </w:rPr>
            </w:pPr>
            <w:r w:rsidRPr="00677401">
              <w:rPr>
                <w:b/>
                <w:bCs/>
              </w:rPr>
              <w:t>2021</w:t>
            </w:r>
          </w:p>
        </w:tc>
        <w:tc>
          <w:tcPr>
            <w:tcW w:w="2061" w:type="pct"/>
            <w:tcMar>
              <w:top w:w="0" w:type="dxa"/>
              <w:left w:w="108" w:type="dxa"/>
              <w:bottom w:w="0" w:type="dxa"/>
              <w:right w:w="108" w:type="dxa"/>
            </w:tcMar>
            <w:hideMark/>
          </w:tcPr>
          <w:p w14:paraId="4E0741E4" w14:textId="77777777" w:rsidR="008A64DF" w:rsidRPr="00C414C0" w:rsidRDefault="008A64DF" w:rsidP="00677401">
            <w:pPr>
              <w:pStyle w:val="Tabletext"/>
              <w:jc w:val="center"/>
            </w:pPr>
            <w:r w:rsidRPr="00C414C0">
              <w:t>44</w:t>
            </w:r>
          </w:p>
        </w:tc>
        <w:tc>
          <w:tcPr>
            <w:tcW w:w="2042" w:type="pct"/>
            <w:tcMar>
              <w:left w:w="108" w:type="dxa"/>
              <w:right w:w="108" w:type="dxa"/>
            </w:tcMar>
          </w:tcPr>
          <w:p w14:paraId="0777A0B2" w14:textId="4E3FA23D" w:rsidR="008A64DF" w:rsidRPr="00C414C0" w:rsidRDefault="008A64DF" w:rsidP="00E61F2C">
            <w:pPr>
              <w:pStyle w:val="Tabletext"/>
              <w:jc w:val="center"/>
            </w:pPr>
            <w:r w:rsidRPr="00C414C0">
              <w:t>44</w:t>
            </w:r>
          </w:p>
        </w:tc>
      </w:tr>
    </w:tbl>
    <w:p w14:paraId="0AE1E94F" w14:textId="77777777" w:rsidR="008A64DF" w:rsidRPr="00C414C0" w:rsidRDefault="008A64DF" w:rsidP="00C414C0">
      <w:pPr>
        <w:pStyle w:val="Headingb"/>
        <w:rPr>
          <w:lang w:val="es-ES"/>
        </w:rPr>
      </w:pPr>
      <w:bookmarkStart w:id="135" w:name="_Hlk72319163"/>
      <w:r w:rsidRPr="00043FB6">
        <w:rPr>
          <w:lang w:val="es-ES"/>
        </w:rPr>
        <w:lastRenderedPageBreak/>
        <w:t>UIT-D</w:t>
      </w:r>
    </w:p>
    <w:p w14:paraId="17C02882" w14:textId="5BE28664" w:rsidR="008A64DF" w:rsidRPr="00C3025E" w:rsidRDefault="008A64DF" w:rsidP="00C414C0">
      <w:pPr>
        <w:rPr>
          <w:lang w:val="es-ES"/>
        </w:rPr>
      </w:pPr>
      <w:bookmarkStart w:id="136" w:name="lt_pId743"/>
      <w:r w:rsidRPr="00106CF8">
        <w:rPr>
          <w:lang w:val="es-ES"/>
        </w:rPr>
        <w:t>En 20</w:t>
      </w:r>
      <w:r>
        <w:rPr>
          <w:lang w:val="es-ES"/>
        </w:rPr>
        <w:t>20</w:t>
      </w:r>
      <w:r w:rsidRPr="00C3025E">
        <w:rPr>
          <w:lang w:val="es-ES"/>
        </w:rPr>
        <w:t xml:space="preserve">, </w:t>
      </w:r>
      <w:r>
        <w:rPr>
          <w:lang w:val="es-ES"/>
        </w:rPr>
        <w:t>se celebraron talleres y seminarios sobre diversos temas, garantizando así el progreso en prioridades</w:t>
      </w:r>
      <w:r w:rsidRPr="00C3025E">
        <w:rPr>
          <w:lang w:val="es-ES"/>
        </w:rPr>
        <w:t xml:space="preserve">: innovación, inclusión digital, capacitación, servicios y aplicaciones digitales, ciberseguridad, telecomunicaciones de emergencia, medio ambiente, infraestructura digital y de red, política y reglamentación, y estadísticas. A pesar de los confinamientos a lo largo y ancho del mundo, nuestro trabajo ha seguido dejando huella en </w:t>
      </w:r>
      <w:r>
        <w:rPr>
          <w:lang w:val="es-ES"/>
        </w:rPr>
        <w:t xml:space="preserve">todo el </w:t>
      </w:r>
      <w:r w:rsidRPr="00C3025E">
        <w:rPr>
          <w:lang w:val="es-ES"/>
        </w:rPr>
        <w:t>mundo, en particular</w:t>
      </w:r>
      <w:r w:rsidR="00B608CF">
        <w:rPr>
          <w:lang w:val="es-ES"/>
        </w:rPr>
        <w:t>,</w:t>
      </w:r>
      <w:r w:rsidRPr="00C3025E">
        <w:rPr>
          <w:lang w:val="es-ES"/>
        </w:rPr>
        <w:t xml:space="preserve"> los países menos adelantados (PMA), los pequeños Estados insulares en desarrollo (PEID) y los países en desarrollo sin litoral (PDSL).</w:t>
      </w:r>
    </w:p>
    <w:p w14:paraId="41DECE88" w14:textId="77777777" w:rsidR="008A64DF" w:rsidRPr="00C3025E" w:rsidRDefault="008A64DF" w:rsidP="00C414C0">
      <w:pPr>
        <w:rPr>
          <w:lang w:val="es-ES"/>
        </w:rPr>
      </w:pPr>
      <w:r>
        <w:rPr>
          <w:lang w:val="es-ES"/>
        </w:rPr>
        <w:t>S</w:t>
      </w:r>
      <w:r w:rsidRPr="00C3025E">
        <w:rPr>
          <w:lang w:val="es-ES"/>
        </w:rPr>
        <w:t xml:space="preserve">e celebraron </w:t>
      </w:r>
      <w:r>
        <w:rPr>
          <w:lang w:val="es-ES"/>
        </w:rPr>
        <w:t xml:space="preserve">diversos </w:t>
      </w:r>
      <w:r w:rsidRPr="00C3025E">
        <w:rPr>
          <w:lang w:val="es-ES"/>
        </w:rPr>
        <w:t xml:space="preserve">talleres regionales </w:t>
      </w:r>
      <w:r>
        <w:rPr>
          <w:lang w:val="es-ES"/>
        </w:rPr>
        <w:t xml:space="preserve">de capacitación </w:t>
      </w:r>
      <w:r w:rsidRPr="00C3025E">
        <w:rPr>
          <w:lang w:val="es-ES"/>
        </w:rPr>
        <w:t xml:space="preserve">destinados a ayudar a los países a subsanar las carencias de conocimientos y aptitudes en el sector de las TIC </w:t>
      </w:r>
      <w:r>
        <w:rPr>
          <w:lang w:val="es-ES"/>
        </w:rPr>
        <w:t>para aumentar las competencias digitales</w:t>
      </w:r>
      <w:r w:rsidRPr="00C3025E">
        <w:rPr>
          <w:lang w:val="es-ES"/>
        </w:rPr>
        <w:t>.</w:t>
      </w:r>
    </w:p>
    <w:bookmarkEnd w:id="136"/>
    <w:p w14:paraId="1BA5FFF0" w14:textId="77777777" w:rsidR="008A64DF" w:rsidRDefault="008A64DF" w:rsidP="008A64DF">
      <w:pPr>
        <w:rPr>
          <w:lang w:val="es-ES"/>
        </w:rPr>
      </w:pPr>
      <w:r w:rsidRPr="00C3025E">
        <w:rPr>
          <w:lang w:val="es-ES"/>
        </w:rPr>
        <w:t>Los Estados Miembros y otros interesados se beneficiaron de una serie de talleres y cursos de formación sobre telecomunicaciones de emergencia y desarrollo de planes nacionales de telecomunicaciones de emergencia.</w:t>
      </w:r>
    </w:p>
    <w:p w14:paraId="4A586D6F" w14:textId="657E0153" w:rsidR="008A64DF" w:rsidRPr="00C3025E" w:rsidRDefault="008A64DF" w:rsidP="008A64DF">
      <w:pPr>
        <w:rPr>
          <w:bCs/>
          <w:lang w:val="es-ES"/>
        </w:rPr>
      </w:pPr>
      <w:r w:rsidRPr="002656AE">
        <w:rPr>
          <w:lang w:val="es-ES"/>
        </w:rPr>
        <w:t>En</w:t>
      </w:r>
      <w:r w:rsidRPr="00C3025E">
        <w:rPr>
          <w:lang w:val="es-ES"/>
        </w:rPr>
        <w:t xml:space="preserve"> el marco del </w:t>
      </w:r>
      <w:hyperlink r:id="rId271" w:history="1">
        <w:r w:rsidRPr="00C3025E">
          <w:rPr>
            <w:rStyle w:val="Hyperlink"/>
            <w:lang w:val="es-ES"/>
          </w:rPr>
          <w:t>Cibersimulacro Mundial de la UIT 2020</w:t>
        </w:r>
      </w:hyperlink>
      <w:r w:rsidRPr="00C3025E">
        <w:rPr>
          <w:lang w:val="es-ES"/>
        </w:rPr>
        <w:t>, se organizaron eventos de simulaciones de ciberseguridad en línea, entre septiembre y noviembre</w:t>
      </w:r>
      <w:r>
        <w:rPr>
          <w:lang w:val="es-ES"/>
        </w:rPr>
        <w:t xml:space="preserve"> de 2020</w:t>
      </w:r>
      <w:r w:rsidRPr="00C3025E">
        <w:rPr>
          <w:lang w:val="es-ES"/>
        </w:rPr>
        <w:t>, en l</w:t>
      </w:r>
      <w:r w:rsidR="00B608CF">
        <w:rPr>
          <w:lang w:val="es-ES"/>
        </w:rPr>
        <w:t>o</w:t>
      </w:r>
      <w:r w:rsidRPr="00C3025E">
        <w:rPr>
          <w:lang w:val="es-ES"/>
        </w:rPr>
        <w:t xml:space="preserve">s que participaron </w:t>
      </w:r>
      <w:r w:rsidRPr="00C3025E">
        <w:rPr>
          <w:bCs/>
          <w:lang w:val="es-ES"/>
        </w:rPr>
        <w:t>3 000</w:t>
      </w:r>
      <w:r w:rsidR="00B608CF">
        <w:rPr>
          <w:bCs/>
          <w:lang w:val="es-ES"/>
        </w:rPr>
        <w:t> </w:t>
      </w:r>
      <w:r w:rsidRPr="00C3025E">
        <w:rPr>
          <w:bCs/>
          <w:lang w:val="es-ES"/>
        </w:rPr>
        <w:t>personas. Comprendió</w:t>
      </w:r>
      <w:r w:rsidR="00B608CF">
        <w:rPr>
          <w:bCs/>
          <w:lang w:val="es-ES"/>
        </w:rPr>
        <w:t>,</w:t>
      </w:r>
      <w:r w:rsidRPr="00C3025E">
        <w:rPr>
          <w:bCs/>
          <w:lang w:val="es-ES"/>
        </w:rPr>
        <w:t xml:space="preserve"> además</w:t>
      </w:r>
      <w:r w:rsidR="00B608CF">
        <w:rPr>
          <w:bCs/>
          <w:lang w:val="es-ES"/>
        </w:rPr>
        <w:t>,</w:t>
      </w:r>
      <w:r w:rsidRPr="00C3025E">
        <w:rPr>
          <w:bCs/>
          <w:lang w:val="es-ES"/>
        </w:rPr>
        <w:t xml:space="preserve"> seis diálogos regionales, tres seminarios web, seis sesiones de formación y seis ejercicios basados en casos hipotéticos cuyo objetivo era </w:t>
      </w:r>
      <w:r>
        <w:rPr>
          <w:bCs/>
          <w:lang w:val="es-ES"/>
        </w:rPr>
        <w:t xml:space="preserve">ayudar </w:t>
      </w:r>
      <w:r w:rsidRPr="00C3025E">
        <w:rPr>
          <w:bCs/>
          <w:lang w:val="es-ES"/>
        </w:rPr>
        <w:t xml:space="preserve">a los Estados Miembros a gestionar los riesgos cibernéticos y mejorar las comunicaciones y </w:t>
      </w:r>
      <w:r>
        <w:rPr>
          <w:bCs/>
          <w:lang w:val="es-ES"/>
        </w:rPr>
        <w:t xml:space="preserve">respuesta a incidentes por </w:t>
      </w:r>
      <w:r w:rsidRPr="00C3025E">
        <w:rPr>
          <w:bCs/>
          <w:lang w:val="es-ES"/>
        </w:rPr>
        <w:t>los EIII y EIISI.</w:t>
      </w:r>
    </w:p>
    <w:p w14:paraId="3D6B0D99" w14:textId="2BF51827" w:rsidR="008A64DF" w:rsidRPr="00C3025E" w:rsidRDefault="008A64DF" w:rsidP="008A64DF">
      <w:pPr>
        <w:rPr>
          <w:lang w:val="es-ES"/>
        </w:rPr>
      </w:pPr>
      <w:r w:rsidRPr="00C3025E">
        <w:rPr>
          <w:lang w:val="es-ES"/>
        </w:rPr>
        <w:t>PRIDA, una iniciativa conjunta de la Unión Africana, la Unión Europea y la UIT, celebró ocho</w:t>
      </w:r>
      <w:r w:rsidR="00B608CF">
        <w:rPr>
          <w:lang w:val="es-ES"/>
        </w:rPr>
        <w:t> </w:t>
      </w:r>
      <w:r w:rsidRPr="00C3025E">
        <w:rPr>
          <w:lang w:val="es-ES"/>
        </w:rPr>
        <w:t>talleres de capacitación en los que se impartió formación a 573 ingenieros de las Autoridades de Reglamentación de 48 países africanos.</w:t>
      </w:r>
    </w:p>
    <w:p w14:paraId="4EF56AFE" w14:textId="5E6566C1" w:rsidR="008A64DF" w:rsidRDefault="008A64DF" w:rsidP="008A64DF">
      <w:pPr>
        <w:rPr>
          <w:lang w:val="es-ES"/>
        </w:rPr>
      </w:pPr>
      <w:r w:rsidRPr="00C3025E">
        <w:rPr>
          <w:lang w:val="es-ES"/>
        </w:rPr>
        <w:t xml:space="preserve">Las Comisiones de Estudio del UIT-D organizaron diálogos </w:t>
      </w:r>
      <w:r>
        <w:rPr>
          <w:lang w:val="es-ES"/>
        </w:rPr>
        <w:t xml:space="preserve">web </w:t>
      </w:r>
      <w:r w:rsidRPr="00C3025E">
        <w:rPr>
          <w:lang w:val="es-ES"/>
        </w:rPr>
        <w:t>para analizar las medidas de respuesta a la COVID-19, con respecto a cuestiones específicas de las Comisiones de Estudio del</w:t>
      </w:r>
      <w:r w:rsidR="00043FB6">
        <w:rPr>
          <w:lang w:val="es-ES"/>
        </w:rPr>
        <w:t> </w:t>
      </w:r>
      <w:r w:rsidRPr="00C3025E">
        <w:rPr>
          <w:lang w:val="es-ES"/>
        </w:rPr>
        <w:t xml:space="preserve">UIT-D. </w:t>
      </w:r>
      <w:bookmarkStart w:id="137" w:name="_Hlk95737723"/>
      <w:r w:rsidR="00A037DD">
        <w:rPr>
          <w:lang w:val="es-ES"/>
        </w:rPr>
        <w:t>L</w:t>
      </w:r>
      <w:r w:rsidRPr="00C3025E">
        <w:rPr>
          <w:lang w:val="es-ES"/>
        </w:rPr>
        <w:t xml:space="preserve">os </w:t>
      </w:r>
      <w:hyperlink r:id="rId272" w:history="1">
        <w:r w:rsidRPr="009F2DBF">
          <w:rPr>
            <w:rStyle w:val="Hyperlink"/>
            <w:lang w:val="es-ES"/>
          </w:rPr>
          <w:t>diálogos</w:t>
        </w:r>
      </w:hyperlink>
      <w:r w:rsidRPr="00C3025E">
        <w:rPr>
          <w:lang w:val="es-ES"/>
        </w:rPr>
        <w:t xml:space="preserve"> </w:t>
      </w:r>
      <w:r w:rsidR="00A037DD" w:rsidRPr="00A037DD">
        <w:rPr>
          <w:lang w:val="es-ES"/>
        </w:rPr>
        <w:t>giraron en torno a cómo aprovechar las TIC en la actual crisis de la COVID</w:t>
      </w:r>
      <w:r w:rsidR="00A037DD">
        <w:rPr>
          <w:lang w:val="es-ES"/>
        </w:rPr>
        <w:noBreakHyphen/>
      </w:r>
      <w:r w:rsidR="00A037DD" w:rsidRPr="00A037DD">
        <w:rPr>
          <w:lang w:val="es-ES"/>
        </w:rPr>
        <w:t>19 para garantizar la continuidad de la actividad empresarial y contribuir así a alcanzar los objetivos sociales y fomentar oportunidades de innovación justas</w:t>
      </w:r>
      <w:r w:rsidRPr="00C3025E">
        <w:rPr>
          <w:lang w:val="es-ES"/>
        </w:rPr>
        <w:t>.</w:t>
      </w:r>
    </w:p>
    <w:bookmarkEnd w:id="137"/>
    <w:p w14:paraId="381665E5" w14:textId="7659EBB6" w:rsidR="008A64DF" w:rsidRPr="00C414C0" w:rsidRDefault="008A64DF" w:rsidP="00C414C0">
      <w:pPr>
        <w:rPr>
          <w:lang w:val="es-ES"/>
        </w:rPr>
      </w:pPr>
      <w:r w:rsidRPr="00C414C0">
        <w:rPr>
          <w:lang w:val="es-ES"/>
        </w:rPr>
        <w:t>En 2019, se celebraron más de 100</w:t>
      </w:r>
      <w:r w:rsidR="00043FB6">
        <w:rPr>
          <w:lang w:val="es-ES"/>
        </w:rPr>
        <w:t> </w:t>
      </w:r>
      <w:r w:rsidRPr="00C414C0">
        <w:rPr>
          <w:lang w:val="es-ES"/>
        </w:rPr>
        <w:t>talleres y seminarios. Se organizaron diversos talleres regionales de formación para ayudar a los países a subsanar deficiencias en términos de conocimientos y competencias en el sector de las TIC, en aras de que las personas adquieran las aptitudes digitales necesarias para participar y prosperar en la economía digital.</w:t>
      </w:r>
    </w:p>
    <w:p w14:paraId="3B3A3EFE" w14:textId="39671245" w:rsidR="00C414C0" w:rsidRPr="00C414C0" w:rsidRDefault="00C414C0" w:rsidP="00C414C0">
      <w:pPr>
        <w:rPr>
          <w:lang w:val="es-ES"/>
        </w:rPr>
      </w:pPr>
      <w:r w:rsidRPr="00C414C0">
        <w:rPr>
          <w:lang w:val="es-ES"/>
        </w:rPr>
        <w:t xml:space="preserve">En 2019 se llevaron a cabo, en colaboración con diversos asociados, diferentes cibersimulacros regionales encaminados a ayudar a los países a reforzar sus capacidades en materia de ciberseguridad y crear confianza en la utilización de las TIC (véase la </w:t>
      </w:r>
      <w:hyperlink w:anchor="_Toc37943340" w:history="1">
        <w:r w:rsidRPr="00C414C0">
          <w:rPr>
            <w:rStyle w:val="Hyperlink"/>
            <w:lang w:val="es-ES"/>
          </w:rPr>
          <w:t>sección 1.6</w:t>
        </w:r>
      </w:hyperlink>
      <w:r w:rsidRPr="00C414C0">
        <w:rPr>
          <w:lang w:val="es-ES"/>
        </w:rPr>
        <w:t>).</w:t>
      </w:r>
    </w:p>
    <w:p w14:paraId="448F7821" w14:textId="4D852355" w:rsidR="00C414C0" w:rsidRPr="00EB7F22" w:rsidRDefault="00C414C0" w:rsidP="00043FB6">
      <w:pPr>
        <w:rPr>
          <w:lang w:val="es-ES"/>
        </w:rPr>
      </w:pPr>
      <w:r w:rsidRPr="00C414C0">
        <w:rPr>
          <w:lang w:val="es-ES"/>
        </w:rPr>
        <w:t>El papel de tecnologías incipientes como la inteligencia artificial y la concepción de soluciones digitales innovadoras para mejorar la calidad de vida de las personas con discapacidad ocuparon un lugar central en las conclusiones de dos importantes eventos organizados para promover la accesibilidad a las TIC en las Regiones de Europa y las Américas (v</w:t>
      </w:r>
      <w:r w:rsidRPr="00EB7F22">
        <w:rPr>
          <w:lang w:val="es-ES"/>
        </w:rPr>
        <w:t xml:space="preserve">éase la </w:t>
      </w:r>
      <w:hyperlink w:anchor="_1.5_Medio_ambiente" w:history="1">
        <w:r w:rsidRPr="00EB7F22">
          <w:rPr>
            <w:rStyle w:val="Hyperlink"/>
            <w:lang w:val="es-ES"/>
          </w:rPr>
          <w:t>sección 1.5</w:t>
        </w:r>
      </w:hyperlink>
      <w:r w:rsidRPr="00C414C0">
        <w:rPr>
          <w:lang w:val="es-ES"/>
        </w:rPr>
        <w:t>).</w:t>
      </w:r>
    </w:p>
    <w:p w14:paraId="593CFF56" w14:textId="457F9DA9" w:rsidR="008A64DF" w:rsidRPr="00BD6095" w:rsidRDefault="008A64DF" w:rsidP="008A64DF">
      <w:pPr>
        <w:rPr>
          <w:lang w:val="es-ES"/>
        </w:rPr>
      </w:pPr>
      <w:r w:rsidRPr="00BD6095">
        <w:rPr>
          <w:lang w:val="es-ES"/>
        </w:rPr>
        <w:t>En 2019, se celebraron cuatro sesiones regionales de formación en materia de recopilación y medición de datos de TIC, con objeto de ayudar a los responsables polític</w:t>
      </w:r>
      <w:r>
        <w:rPr>
          <w:lang w:val="es-ES"/>
        </w:rPr>
        <w:t>o</w:t>
      </w:r>
      <w:r w:rsidRPr="00BD6095">
        <w:rPr>
          <w:lang w:val="es-ES"/>
        </w:rPr>
        <w:t>s y los reguladores a elaborar políticas basadas en datos empíricos más adecuadas y a detectar deficiencias en el acceso a las TIC.</w:t>
      </w:r>
    </w:p>
    <w:p w14:paraId="141C69C0" w14:textId="77777777" w:rsidR="008A64DF" w:rsidRPr="00B04A9A" w:rsidRDefault="008A64DF" w:rsidP="008A64DF">
      <w:pPr>
        <w:pStyle w:val="Heading2"/>
        <w:rPr>
          <w:lang w:val="es-ES" w:eastAsia="en-GB"/>
        </w:rPr>
      </w:pPr>
      <w:bookmarkStart w:id="138" w:name="_1.11_Principales_eventos"/>
      <w:bookmarkStart w:id="139" w:name="_Toc37860465"/>
      <w:bookmarkStart w:id="140" w:name="_Toc37861226"/>
      <w:bookmarkStart w:id="141" w:name="_Toc37943349"/>
      <w:bookmarkStart w:id="142" w:name="Section_1_11"/>
      <w:bookmarkStart w:id="143" w:name="_Toc90552448"/>
      <w:bookmarkStart w:id="144" w:name="_Toc97821270"/>
      <w:bookmarkEnd w:id="135"/>
      <w:bookmarkEnd w:id="138"/>
      <w:r w:rsidRPr="00CD4DDD">
        <w:rPr>
          <w:lang w:val="es-ES" w:eastAsia="en-GB"/>
        </w:rPr>
        <w:lastRenderedPageBreak/>
        <w:t>1.11</w:t>
      </w:r>
      <w:r w:rsidRPr="00CD4DDD">
        <w:rPr>
          <w:lang w:val="es-ES" w:eastAsia="en-GB"/>
        </w:rPr>
        <w:tab/>
        <w:t>Principales eventos</w:t>
      </w:r>
      <w:bookmarkEnd w:id="139"/>
      <w:bookmarkEnd w:id="140"/>
      <w:bookmarkEnd w:id="141"/>
      <w:bookmarkEnd w:id="142"/>
      <w:bookmarkEnd w:id="143"/>
      <w:bookmarkEnd w:id="144"/>
    </w:p>
    <w:p w14:paraId="2111A69F" w14:textId="1B096E46" w:rsidR="008A64DF" w:rsidRPr="00C414C0" w:rsidRDefault="008A64DF" w:rsidP="00C414C0">
      <w:pPr>
        <w:rPr>
          <w:lang w:val="es-ES"/>
        </w:rPr>
      </w:pPr>
      <w:r w:rsidRPr="00C414C0">
        <w:rPr>
          <w:lang w:val="es-ES"/>
        </w:rPr>
        <w:t>Pese a la COVID, la UIT ha continuado con la importante tarea de reunir a los grupos importantes en las plataformas adecuadas, para dar un impulso continuo y avanzar hacia la consecución de los</w:t>
      </w:r>
      <w:r w:rsidR="00CD4DDD">
        <w:rPr>
          <w:lang w:val="es-ES"/>
        </w:rPr>
        <w:t> </w:t>
      </w:r>
      <w:r w:rsidRPr="00C414C0">
        <w:rPr>
          <w:lang w:val="es-ES"/>
        </w:rPr>
        <w:t>ODS a través del acceso universal a las TIC.</w:t>
      </w:r>
    </w:p>
    <w:p w14:paraId="3D31DA42" w14:textId="77777777" w:rsidR="008A64DF" w:rsidRPr="00C414C0" w:rsidRDefault="008A64DF" w:rsidP="00C414C0">
      <w:pPr>
        <w:pStyle w:val="Headingb"/>
        <w:rPr>
          <w:lang w:val="es-ES"/>
        </w:rPr>
      </w:pPr>
      <w:r w:rsidRPr="00C414C0">
        <w:rPr>
          <w:lang w:val="es-ES"/>
        </w:rPr>
        <w:t>Día Mundial de las Telecomunicaciones y la Sociedad de la Información (DMTSI)</w:t>
      </w:r>
    </w:p>
    <w:p w14:paraId="3C8EEE2B" w14:textId="51920163" w:rsidR="008A64DF" w:rsidRDefault="008A64DF" w:rsidP="00C414C0">
      <w:pPr>
        <w:rPr>
          <w:lang w:val="es-ES"/>
        </w:rPr>
      </w:pPr>
      <w:r w:rsidRPr="00C414C0">
        <w:rPr>
          <w:lang w:val="es-ES"/>
        </w:rPr>
        <w:t>El Día Mundial de las Telecomunicaciones y la Sociedad de la Información (DMTSI) se celebra cada año el 17 de mayo.</w:t>
      </w:r>
    </w:p>
    <w:p w14:paraId="2999C330" w14:textId="255F34EF" w:rsidR="00C414C0" w:rsidRPr="00C414C0" w:rsidRDefault="00C414C0" w:rsidP="00C414C0">
      <w:pPr>
        <w:rPr>
          <w:lang w:val="es-ES"/>
        </w:rPr>
      </w:pPr>
      <w:r w:rsidRPr="00C414C0">
        <w:rPr>
          <w:lang w:val="es-ES"/>
        </w:rPr>
        <w:t xml:space="preserve">El tema del </w:t>
      </w:r>
      <w:hyperlink r:id="rId273" w:history="1">
        <w:r w:rsidRPr="00C414C0">
          <w:rPr>
            <w:rStyle w:val="Hyperlink"/>
            <w:lang w:val="es-ES"/>
          </w:rPr>
          <w:t>DMT</w:t>
        </w:r>
        <w:r w:rsidR="00CD4DDD" w:rsidRPr="00CD4DDD">
          <w:rPr>
            <w:rStyle w:val="Hyperlink"/>
            <w:lang w:val="es-ES"/>
          </w:rPr>
          <w:t>S</w:t>
        </w:r>
        <w:r w:rsidRPr="00C414C0">
          <w:rPr>
            <w:rStyle w:val="Hyperlink"/>
            <w:lang w:val="es-ES"/>
          </w:rPr>
          <w:t>I 2021</w:t>
        </w:r>
      </w:hyperlink>
      <w:r w:rsidRPr="00C414C0">
        <w:rPr>
          <w:lang w:val="es-ES"/>
        </w:rPr>
        <w:t xml:space="preserve"> fue </w:t>
      </w:r>
      <w:r w:rsidR="00CD4DDD">
        <w:rPr>
          <w:lang w:val="es-ES"/>
        </w:rPr>
        <w:t>"</w:t>
      </w:r>
      <w:r w:rsidRPr="00C414C0">
        <w:rPr>
          <w:lang w:val="es-ES"/>
        </w:rPr>
        <w:t>Acelerar la transformación digital en tiempos difíciles</w:t>
      </w:r>
      <w:r w:rsidR="00CD4DDD">
        <w:rPr>
          <w:lang w:val="es-ES"/>
        </w:rPr>
        <w:t>"</w:t>
      </w:r>
      <w:r w:rsidRPr="00C414C0">
        <w:rPr>
          <w:lang w:val="es-ES"/>
        </w:rPr>
        <w:t xml:space="preserve"> y constituyó una oportunidad para que los </w:t>
      </w:r>
      <w:r w:rsidR="00CD4DDD">
        <w:rPr>
          <w:lang w:val="es-ES"/>
        </w:rPr>
        <w:t>m</w:t>
      </w:r>
      <w:r w:rsidRPr="00C414C0">
        <w:rPr>
          <w:lang w:val="es-ES"/>
        </w:rPr>
        <w:t xml:space="preserve">iembros de la UIT sigan impulsando la transformación digital mediante la promoción de estrategias nacionales de desarrollo de las TIC y unas políticas inteligentes para fomentar la inversión, la cooperación y la creación de asociaciones. </w:t>
      </w:r>
      <w:bookmarkStart w:id="145" w:name="_Hlk95737838"/>
      <w:r w:rsidRPr="00C414C0">
        <w:rPr>
          <w:lang w:val="es-ES"/>
        </w:rPr>
        <w:t xml:space="preserve">Concluyó con un </w:t>
      </w:r>
      <w:hyperlink r:id="rId274" w:history="1">
        <w:r w:rsidR="00A037DD" w:rsidRPr="00CD4DDD">
          <w:rPr>
            <w:rStyle w:val="Hyperlink"/>
            <w:lang w:val="es-ES"/>
          </w:rPr>
          <w:t>l</w:t>
        </w:r>
        <w:r w:rsidR="00CD4DDD" w:rsidRPr="00CD4DDD">
          <w:rPr>
            <w:rStyle w:val="Hyperlink"/>
            <w:lang w:val="es-ES"/>
          </w:rPr>
          <w:t>lamamiento a la acción</w:t>
        </w:r>
      </w:hyperlink>
      <w:r w:rsidRPr="00C414C0">
        <w:rPr>
          <w:lang w:val="es-ES"/>
        </w:rPr>
        <w:t>.</w:t>
      </w:r>
      <w:bookmarkEnd w:id="145"/>
    </w:p>
    <w:p w14:paraId="26E966A1" w14:textId="7F42501D" w:rsidR="00905220" w:rsidRPr="00905220" w:rsidRDefault="00905220" w:rsidP="00905220">
      <w:pPr>
        <w:rPr>
          <w:lang w:val="es-ES"/>
        </w:rPr>
      </w:pPr>
      <w:r w:rsidRPr="00905220">
        <w:rPr>
          <w:lang w:val="es-ES"/>
        </w:rPr>
        <w:t>El tema del DMTS</w:t>
      </w:r>
      <w:r w:rsidR="00CD4DDD">
        <w:rPr>
          <w:lang w:val="es-ES"/>
        </w:rPr>
        <w:t>I</w:t>
      </w:r>
      <w:r w:rsidRPr="00905220">
        <w:rPr>
          <w:lang w:val="es-ES"/>
        </w:rPr>
        <w:t xml:space="preserve"> 2020 fue </w:t>
      </w:r>
      <w:hyperlink r:id="rId275" w:history="1">
        <w:r w:rsidRPr="00905220">
          <w:rPr>
            <w:rStyle w:val="Hyperlink"/>
            <w:lang w:val="es-ES"/>
          </w:rPr>
          <w:t>Conectar 2030: las TIC para los Objetivos de Desarrollo Sostenible (ODS)</w:t>
        </w:r>
      </w:hyperlink>
      <w:r w:rsidRPr="00905220">
        <w:rPr>
          <w:lang w:val="es-ES"/>
        </w:rPr>
        <w:t>, subrayando el compromiso de la UIT con la conexión universal, en todas partes (</w:t>
      </w:r>
      <w:hyperlink r:id="rId276" w:history="1">
        <w:r w:rsidRPr="00905220">
          <w:rPr>
            <w:rStyle w:val="Hyperlink"/>
            <w:lang w:val="es-ES"/>
          </w:rPr>
          <w:t>Resolución</w:t>
        </w:r>
        <w:r w:rsidR="00CD4DDD">
          <w:rPr>
            <w:rStyle w:val="Hyperlink"/>
            <w:lang w:val="es-ES"/>
          </w:rPr>
          <w:t> </w:t>
        </w:r>
        <w:r w:rsidRPr="00905220">
          <w:rPr>
            <w:rStyle w:val="Hyperlink"/>
            <w:lang w:val="es-ES"/>
          </w:rPr>
          <w:t>200</w:t>
        </w:r>
      </w:hyperlink>
      <w:r w:rsidRPr="00905220">
        <w:rPr>
          <w:lang w:val="es-ES"/>
        </w:rPr>
        <w:t xml:space="preserve"> (Rev. Dubái, 2018)). Celebrado de manera totalmente virtual por vez primera, los asociados de la UIT mostraron cómo las TIC aceleran la consecución de los ODS y cómo las TIC pueden responder a la pandemia </w:t>
      </w:r>
      <w:r w:rsidR="00CD4DDD">
        <w:rPr>
          <w:lang w:val="es-ES"/>
        </w:rPr>
        <w:t xml:space="preserve">de </w:t>
      </w:r>
      <w:r w:rsidRPr="00905220">
        <w:rPr>
          <w:lang w:val="es-ES"/>
        </w:rPr>
        <w:t>COVID-19. Las partes interesadas expusieron cómo apoyaron la continuidad de las empresas, destacaron el potencial de las TIC para permitir el desarrollo y subrayaron la importancia de la colaboración entre los países y los sectores</w:t>
      </w:r>
    </w:p>
    <w:p w14:paraId="6312EA47" w14:textId="1B5A2302" w:rsidR="00905220" w:rsidRPr="00905220" w:rsidRDefault="00905220" w:rsidP="008A79F1">
      <w:pPr>
        <w:keepNext/>
        <w:keepLines/>
        <w:rPr>
          <w:lang w:val="es-ES"/>
        </w:rPr>
      </w:pPr>
      <w:r w:rsidRPr="00905220">
        <w:rPr>
          <w:lang w:val="es-ES"/>
        </w:rPr>
        <w:t>En 2019 tuvo lugar la 50ª edición del DMTSI. El tema</w:t>
      </w:r>
      <w:r w:rsidR="00CD4DDD">
        <w:rPr>
          <w:lang w:val="es-ES"/>
        </w:rPr>
        <w:t>,</w:t>
      </w:r>
      <w:r w:rsidRPr="00905220">
        <w:rPr>
          <w:lang w:val="es-ES"/>
        </w:rPr>
        <w:t xml:space="preserve"> </w:t>
      </w:r>
      <w:hyperlink r:id="rId277" w:history="1">
        <w:r w:rsidR="00CD4DDD">
          <w:rPr>
            <w:rStyle w:val="Hyperlink"/>
            <w:lang w:val="es-ES"/>
          </w:rPr>
          <w:t>reduciendo</w:t>
        </w:r>
        <w:r w:rsidRPr="00905220">
          <w:rPr>
            <w:rStyle w:val="Hyperlink"/>
            <w:lang w:val="es-ES"/>
          </w:rPr>
          <w:t xml:space="preserve"> la brecha de normalización</w:t>
        </w:r>
      </w:hyperlink>
      <w:r w:rsidR="00CD4DDD">
        <w:rPr>
          <w:lang w:val="es-ES"/>
        </w:rPr>
        <w:t xml:space="preserve">, </w:t>
      </w:r>
      <w:r w:rsidRPr="00905220">
        <w:rPr>
          <w:lang w:val="es-ES"/>
        </w:rPr>
        <w:t>tenía por objeto promover una mayor participación de los países en desarrollo en el proceso de normalización de la UIT y empoderar a expertos locales en el proceso de normalización en los planos nacional, regional e internacional, además de fomentar la implementación de las normas internacionales en los países en desarrollo</w:t>
      </w:r>
      <w:r>
        <w:rPr>
          <w:lang w:val="es-ES"/>
        </w:rPr>
        <w:t>.</w:t>
      </w:r>
    </w:p>
    <w:p w14:paraId="3E17754B" w14:textId="3AA8CABE" w:rsidR="008A64DF" w:rsidRDefault="008A64DF" w:rsidP="00905220">
      <w:pPr>
        <w:pStyle w:val="Headingb"/>
        <w:rPr>
          <w:lang w:val="es-ES"/>
        </w:rPr>
      </w:pPr>
      <w:r w:rsidRPr="00C7417B">
        <w:rPr>
          <w:lang w:val="es-ES"/>
        </w:rPr>
        <w:t>Foro de la CMSI</w:t>
      </w:r>
    </w:p>
    <w:p w14:paraId="5F51E765" w14:textId="20E28D05" w:rsidR="00905220" w:rsidRPr="00905220" w:rsidRDefault="00905220" w:rsidP="00905220">
      <w:pPr>
        <w:rPr>
          <w:lang w:val="es-ES"/>
        </w:rPr>
      </w:pPr>
      <w:r w:rsidRPr="00905220">
        <w:rPr>
          <w:lang w:val="es-ES"/>
        </w:rPr>
        <w:t xml:space="preserve">El </w:t>
      </w:r>
      <w:r w:rsidRPr="00DC0597">
        <w:rPr>
          <w:lang w:val="es-ES"/>
        </w:rPr>
        <w:t xml:space="preserve">Foro </w:t>
      </w:r>
      <w:r w:rsidRPr="00905220">
        <w:rPr>
          <w:lang w:val="es-ES"/>
        </w:rPr>
        <w:t>de la Cumbre Mundial sobre la Sociedad de la Información (CMSI)</w:t>
      </w:r>
      <w:r w:rsidR="00DC0597" w:rsidRPr="00DC0597">
        <w:rPr>
          <w:lang w:val="es-ES"/>
        </w:rPr>
        <w:t xml:space="preserve"> 2021</w:t>
      </w:r>
      <w:r w:rsidRPr="00905220">
        <w:rPr>
          <w:lang w:val="es-ES"/>
        </w:rPr>
        <w:t>, celebrado de forma virtual entre enero y mayo debido a la pandemia de COVID-19, organizó más de 250</w:t>
      </w:r>
      <w:r w:rsidR="00BC49D9">
        <w:rPr>
          <w:lang w:val="es-ES"/>
        </w:rPr>
        <w:t> </w:t>
      </w:r>
      <w:r w:rsidRPr="00905220">
        <w:rPr>
          <w:lang w:val="es-ES"/>
        </w:rPr>
        <w:t>sesiones, incluido</w:t>
      </w:r>
      <w:r w:rsidR="00876FCF">
        <w:rPr>
          <w:lang w:val="es-ES"/>
        </w:rPr>
        <w:t>s</w:t>
      </w:r>
      <w:r w:rsidRPr="00905220">
        <w:rPr>
          <w:lang w:val="es-ES"/>
        </w:rPr>
        <w:t xml:space="preserve"> talleres, entrevistas en directo, WSIS TalkX, una pista de alto nivel, un hackatón, etc. El tema fue "Las TIC para sociedades y economías inclusivas, resilientes y sostenibles (</w:t>
      </w:r>
      <w:r w:rsidR="00BC49D9">
        <w:rPr>
          <w:lang w:val="es-ES"/>
        </w:rPr>
        <w:t>l</w:t>
      </w:r>
      <w:r w:rsidRPr="00905220">
        <w:rPr>
          <w:lang w:val="es-ES"/>
        </w:rPr>
        <w:t xml:space="preserve">íneas de </w:t>
      </w:r>
      <w:r w:rsidR="00BC49D9">
        <w:rPr>
          <w:lang w:val="es-ES"/>
        </w:rPr>
        <w:t>a</w:t>
      </w:r>
      <w:r w:rsidRPr="00905220">
        <w:rPr>
          <w:lang w:val="es-ES"/>
        </w:rPr>
        <w:t xml:space="preserve">cción de la CMSI para alcanzar los Objetivos de Desarrollo Sostenible)". Para más información, véase este </w:t>
      </w:r>
      <w:hyperlink r:id="rId278" w:history="1">
        <w:r w:rsidRPr="00905220">
          <w:rPr>
            <w:rStyle w:val="Hyperlink"/>
            <w:lang w:val="es-ES"/>
          </w:rPr>
          <w:t>enlace</w:t>
        </w:r>
      </w:hyperlink>
      <w:r w:rsidRPr="00905220">
        <w:rPr>
          <w:lang w:val="es-ES"/>
        </w:rPr>
        <w:t>.</w:t>
      </w:r>
    </w:p>
    <w:p w14:paraId="6426F5FD" w14:textId="7AE9F993" w:rsidR="00905220" w:rsidRPr="00905220" w:rsidRDefault="00905220" w:rsidP="00905220">
      <w:pPr>
        <w:rPr>
          <w:rFonts w:eastAsia="Calibri Light"/>
          <w:lang w:val="es-ES"/>
        </w:rPr>
      </w:pPr>
      <w:r w:rsidRPr="00DC0597">
        <w:rPr>
          <w:lang w:val="es-ES"/>
        </w:rPr>
        <w:t xml:space="preserve">El Foro de la CMSI </w:t>
      </w:r>
      <w:r w:rsidR="00DC0597" w:rsidRPr="00DC0597">
        <w:rPr>
          <w:lang w:val="es-ES"/>
        </w:rPr>
        <w:t xml:space="preserve">2020 </w:t>
      </w:r>
      <w:r w:rsidRPr="00DC0597">
        <w:rPr>
          <w:lang w:val="es-ES"/>
        </w:rPr>
        <w:t>tuvo lugar en formato virtual de junio a septiembre de 2020 en el</w:t>
      </w:r>
      <w:r w:rsidRPr="00905220">
        <w:rPr>
          <w:lang w:val="es-ES"/>
        </w:rPr>
        <w:t xml:space="preserve"> contexto de la COVID. El tema fue "Fomentar la transformación digital y las asociaciones globales: </w:t>
      </w:r>
      <w:r w:rsidR="00BC49D9">
        <w:rPr>
          <w:lang w:val="es-ES"/>
        </w:rPr>
        <w:t>l</w:t>
      </w:r>
      <w:r w:rsidRPr="00905220">
        <w:rPr>
          <w:lang w:val="es-ES"/>
        </w:rPr>
        <w:t>íneas de acción de la CMSI para alcanzar los Objetivos de Desarrollo Sostenible (ODS)". El Foro contó con una asistencia total de más de 15</w:t>
      </w:r>
      <w:r w:rsidR="00BC49D9">
        <w:rPr>
          <w:lang w:val="es-ES"/>
        </w:rPr>
        <w:t> </w:t>
      </w:r>
      <w:r w:rsidRPr="00905220">
        <w:rPr>
          <w:lang w:val="es-ES"/>
        </w:rPr>
        <w:t>000</w:t>
      </w:r>
      <w:r w:rsidR="00BC49D9">
        <w:rPr>
          <w:lang w:val="es-ES"/>
        </w:rPr>
        <w:t> </w:t>
      </w:r>
      <w:r w:rsidRPr="00905220">
        <w:rPr>
          <w:lang w:val="es-ES"/>
        </w:rPr>
        <w:t>asistentes procedentes de unos 150</w:t>
      </w:r>
      <w:r w:rsidR="00BC49D9">
        <w:rPr>
          <w:lang w:val="es-ES"/>
        </w:rPr>
        <w:t> </w:t>
      </w:r>
      <w:r w:rsidRPr="00905220">
        <w:rPr>
          <w:lang w:val="es-ES"/>
        </w:rPr>
        <w:t>países que participaron en las 160 sesiones virtuales con 850</w:t>
      </w:r>
      <w:r w:rsidR="00BC49D9">
        <w:rPr>
          <w:lang w:val="es-ES"/>
        </w:rPr>
        <w:t> </w:t>
      </w:r>
      <w:r w:rsidRPr="00905220">
        <w:rPr>
          <w:lang w:val="es-ES"/>
        </w:rPr>
        <w:t xml:space="preserve">ponentes diferentes. Los resultados y las publicaciones del </w:t>
      </w:r>
      <w:r w:rsidRPr="00DC0597">
        <w:rPr>
          <w:lang w:val="es-ES"/>
        </w:rPr>
        <w:t xml:space="preserve">Foro de la CMSI </w:t>
      </w:r>
      <w:r w:rsidR="00DC0597" w:rsidRPr="00DC0597">
        <w:rPr>
          <w:lang w:val="es-ES"/>
        </w:rPr>
        <w:t>2020</w:t>
      </w:r>
      <w:r w:rsidR="00DC0597">
        <w:rPr>
          <w:lang w:val="es-ES"/>
        </w:rPr>
        <w:t xml:space="preserve"> </w:t>
      </w:r>
      <w:r w:rsidRPr="00905220">
        <w:rPr>
          <w:lang w:val="es-ES"/>
        </w:rPr>
        <w:t xml:space="preserve">están disponibles en este </w:t>
      </w:r>
      <w:hyperlink r:id="rId279" w:history="1">
        <w:r w:rsidRPr="00905220">
          <w:rPr>
            <w:rStyle w:val="Hyperlink"/>
            <w:lang w:val="es-ES"/>
          </w:rPr>
          <w:t>enlace</w:t>
        </w:r>
      </w:hyperlink>
      <w:r w:rsidRPr="00905220">
        <w:rPr>
          <w:lang w:val="es-ES"/>
        </w:rPr>
        <w:t>.</w:t>
      </w:r>
    </w:p>
    <w:p w14:paraId="1B340D7C" w14:textId="1C9242A1" w:rsidR="00905220" w:rsidRPr="00905220" w:rsidRDefault="00905220" w:rsidP="00E313D8">
      <w:pPr>
        <w:keepNext/>
        <w:keepLines/>
        <w:rPr>
          <w:lang w:val="es-ES"/>
        </w:rPr>
      </w:pPr>
      <w:r w:rsidRPr="00905220">
        <w:rPr>
          <w:lang w:val="es-ES"/>
        </w:rPr>
        <w:lastRenderedPageBreak/>
        <w:t xml:space="preserve">Celebrado del 8 al 12 de abril de 2019 en Ginebra (Suiza), el Foro de la </w:t>
      </w:r>
      <w:r w:rsidRPr="00DC0597">
        <w:rPr>
          <w:lang w:val="es-ES"/>
        </w:rPr>
        <w:t>CMSI 2019</w:t>
      </w:r>
      <w:r w:rsidRPr="00905220">
        <w:rPr>
          <w:lang w:val="es-ES"/>
        </w:rPr>
        <w:t>, coorganizado por la UIT, la UNESCO, la UNCTAD y el PNUD, en colaboración con todos los organismos de las Naciones Unidas, reunió a más de 3</w:t>
      </w:r>
      <w:r w:rsidR="00BC49D9">
        <w:rPr>
          <w:lang w:val="es-ES"/>
        </w:rPr>
        <w:t> </w:t>
      </w:r>
      <w:r w:rsidRPr="00905220">
        <w:rPr>
          <w:lang w:val="es-ES"/>
        </w:rPr>
        <w:t>000</w:t>
      </w:r>
      <w:r w:rsidR="00BC49D9">
        <w:rPr>
          <w:lang w:val="es-ES"/>
        </w:rPr>
        <w:t> </w:t>
      </w:r>
      <w:r w:rsidRPr="00905220">
        <w:rPr>
          <w:lang w:val="es-ES"/>
        </w:rPr>
        <w:t>participantes. Contó con más de 300</w:t>
      </w:r>
      <w:r w:rsidR="00BC49D9">
        <w:rPr>
          <w:lang w:val="es-ES"/>
        </w:rPr>
        <w:t> </w:t>
      </w:r>
      <w:r w:rsidRPr="00905220">
        <w:rPr>
          <w:lang w:val="es-ES"/>
        </w:rPr>
        <w:t>sesiones de más de 150</w:t>
      </w:r>
      <w:r w:rsidR="00BC49D9">
        <w:rPr>
          <w:lang w:val="es-ES"/>
        </w:rPr>
        <w:t> </w:t>
      </w:r>
      <w:r w:rsidRPr="00905220">
        <w:rPr>
          <w:lang w:val="es-ES"/>
        </w:rPr>
        <w:t>países y más de 500</w:t>
      </w:r>
      <w:r w:rsidR="00BC49D9">
        <w:rPr>
          <w:lang w:val="es-ES"/>
        </w:rPr>
        <w:t> </w:t>
      </w:r>
      <w:r w:rsidRPr="00905220">
        <w:rPr>
          <w:lang w:val="es-ES"/>
        </w:rPr>
        <w:t xml:space="preserve">representantes de alto nivel de todo el conjunto de partes interesadas en la CMSI. El Foro permitió a los participantes fomentar alianzas, intercambiar prácticas idóneas y presentar innovaciones, además de anunciar herramientas e iniciativas. Los aspectos más destacados y los resultados del </w:t>
      </w:r>
      <w:r w:rsidRPr="00DC0597">
        <w:rPr>
          <w:lang w:val="es-ES"/>
        </w:rPr>
        <w:t>Foro de la CMSI 2019</w:t>
      </w:r>
      <w:r w:rsidRPr="00905220">
        <w:rPr>
          <w:lang w:val="es-ES"/>
        </w:rPr>
        <w:t xml:space="preserve"> están disponibles en este </w:t>
      </w:r>
      <w:hyperlink r:id="rId280" w:history="1">
        <w:r w:rsidRPr="00905220">
          <w:rPr>
            <w:rStyle w:val="Hyperlink"/>
            <w:lang w:val="es-ES"/>
          </w:rPr>
          <w:t>enlace</w:t>
        </w:r>
      </w:hyperlink>
      <w:r w:rsidRPr="00905220">
        <w:rPr>
          <w:lang w:val="es-ES"/>
        </w:rPr>
        <w:t>.</w:t>
      </w:r>
    </w:p>
    <w:p w14:paraId="548A197C" w14:textId="1E5BCC5F" w:rsidR="008A64DF" w:rsidRDefault="008A64DF" w:rsidP="00905220">
      <w:pPr>
        <w:pStyle w:val="Headingb"/>
        <w:rPr>
          <w:lang w:val="es-ES"/>
        </w:rPr>
      </w:pPr>
      <w:r w:rsidRPr="00DD1AC9">
        <w:rPr>
          <w:lang w:val="es-ES"/>
        </w:rPr>
        <w:t>Pre</w:t>
      </w:r>
      <w:r w:rsidR="003D70D3" w:rsidRPr="00DD1AC9">
        <w:rPr>
          <w:lang w:val="es-ES"/>
        </w:rPr>
        <w:t>m</w:t>
      </w:r>
      <w:r w:rsidRPr="00DD1AC9">
        <w:rPr>
          <w:lang w:val="es-ES"/>
        </w:rPr>
        <w:t>ios de la CMSI 2020 y 2021</w:t>
      </w:r>
    </w:p>
    <w:p w14:paraId="1FEC0187" w14:textId="3B631F19" w:rsidR="00905220" w:rsidRPr="00905220" w:rsidRDefault="00905220" w:rsidP="005F0C0A">
      <w:pPr>
        <w:keepNext/>
        <w:keepLines/>
        <w:rPr>
          <w:lang w:val="es-ES"/>
        </w:rPr>
      </w:pPr>
      <w:r w:rsidRPr="00905220">
        <w:rPr>
          <w:lang w:val="es-ES"/>
        </w:rPr>
        <w:t>Se presentaron 1</w:t>
      </w:r>
      <w:r w:rsidR="00C7417B">
        <w:rPr>
          <w:lang w:val="es-ES"/>
        </w:rPr>
        <w:t> </w:t>
      </w:r>
      <w:r w:rsidRPr="00905220">
        <w:rPr>
          <w:lang w:val="es-ES"/>
        </w:rPr>
        <w:t>286</w:t>
      </w:r>
      <w:r w:rsidR="00C7417B">
        <w:rPr>
          <w:lang w:val="es-ES"/>
        </w:rPr>
        <w:t> </w:t>
      </w:r>
      <w:r w:rsidRPr="00905220">
        <w:rPr>
          <w:lang w:val="es-ES"/>
        </w:rPr>
        <w:t xml:space="preserve">proyectos para los </w:t>
      </w:r>
      <w:hyperlink r:id="rId281" w:history="1">
        <w:r w:rsidRPr="00905220">
          <w:rPr>
            <w:rStyle w:val="Hyperlink"/>
            <w:lang w:val="es-ES"/>
          </w:rPr>
          <w:t>Premios de la CMSI 2021</w:t>
        </w:r>
      </w:hyperlink>
      <w:r w:rsidRPr="00905220">
        <w:rPr>
          <w:lang w:val="es-ES"/>
        </w:rPr>
        <w:t xml:space="preserve">, cifra récord desde que se creara el concurso en 2012. Las partes interesadas indicaron prácticas idóneas e iniciativas y </w:t>
      </w:r>
      <w:r w:rsidR="00876FCF" w:rsidRPr="00905220">
        <w:rPr>
          <w:lang w:val="es-ES"/>
        </w:rPr>
        <w:t>proyectos</w:t>
      </w:r>
      <w:r w:rsidRPr="00905220">
        <w:rPr>
          <w:lang w:val="es-ES"/>
        </w:rPr>
        <w:t xml:space="preserve"> innovadores en materia de TIC para acelerar el cumplimiento de los ODS. Se premió a 18</w:t>
      </w:r>
      <w:r w:rsidR="00DC0597">
        <w:rPr>
          <w:lang w:val="es-ES"/>
        </w:rPr>
        <w:t> </w:t>
      </w:r>
      <w:r w:rsidRPr="00905220">
        <w:rPr>
          <w:lang w:val="es-ES"/>
        </w:rPr>
        <w:t xml:space="preserve">ganadores y galardonados en el </w:t>
      </w:r>
      <w:bookmarkStart w:id="146" w:name="_Hlk95737940"/>
      <w:r w:rsidR="00AC425B" w:rsidRPr="00DC0597">
        <w:fldChar w:fldCharType="begin"/>
      </w:r>
      <w:r w:rsidR="00AC425B" w:rsidRPr="00DC0597">
        <w:instrText xml:space="preserve"> HYPERLINK "https://www.itu.int/net4/wsis/forum/2022/es" </w:instrText>
      </w:r>
      <w:r w:rsidR="00AC425B" w:rsidRPr="00DC0597">
        <w:fldChar w:fldCharType="separate"/>
      </w:r>
      <w:r w:rsidRPr="00DC0597">
        <w:rPr>
          <w:rStyle w:val="Hyperlink"/>
          <w:lang w:val="es-ES"/>
        </w:rPr>
        <w:t>Foro de la CMSI 2021</w:t>
      </w:r>
      <w:r w:rsidR="00AC425B" w:rsidRPr="00DC0597">
        <w:rPr>
          <w:rStyle w:val="Hyperlink"/>
          <w:lang w:val="es-ES"/>
        </w:rPr>
        <w:fldChar w:fldCharType="end"/>
      </w:r>
      <w:r w:rsidRPr="00905220">
        <w:rPr>
          <w:lang w:val="es-ES"/>
        </w:rPr>
        <w:t>.</w:t>
      </w:r>
      <w:bookmarkEnd w:id="146"/>
      <w:r w:rsidRPr="00905220">
        <w:rPr>
          <w:lang w:val="es-ES"/>
        </w:rPr>
        <w:t xml:space="preserve"> Los proyectos ganadores se incluyen en el </w:t>
      </w:r>
      <w:r w:rsidR="00C7417B">
        <w:rPr>
          <w:lang w:val="es-ES"/>
        </w:rPr>
        <w:t>"</w:t>
      </w:r>
      <w:r w:rsidRPr="00905220">
        <w:rPr>
          <w:lang w:val="es-ES"/>
        </w:rPr>
        <w:t>Inventario de la CMSI: crónicas de 2021</w:t>
      </w:r>
      <w:r w:rsidR="00C7417B">
        <w:rPr>
          <w:lang w:val="es-ES"/>
        </w:rPr>
        <w:t>"</w:t>
      </w:r>
      <w:r w:rsidRPr="00905220">
        <w:rPr>
          <w:lang w:val="es-ES"/>
        </w:rPr>
        <w:t xml:space="preserve">, y las descripciones se incluyen en el Informe sobre el inventario de la </w:t>
      </w:r>
      <w:r w:rsidRPr="00DC0597">
        <w:rPr>
          <w:lang w:val="es-ES"/>
        </w:rPr>
        <w:t>CMSI 2021</w:t>
      </w:r>
      <w:r w:rsidRPr="00905220">
        <w:rPr>
          <w:lang w:val="es-ES"/>
        </w:rPr>
        <w:t>.</w:t>
      </w:r>
    </w:p>
    <w:p w14:paraId="3C0359E8" w14:textId="3DC809C8" w:rsidR="00905220" w:rsidRDefault="00905220" w:rsidP="00905220">
      <w:pPr>
        <w:rPr>
          <w:lang w:val="es-ES"/>
        </w:rPr>
      </w:pPr>
      <w:r w:rsidRPr="00905220">
        <w:t xml:space="preserve">En su edición de 2020, los </w:t>
      </w:r>
      <w:hyperlink r:id="rId282" w:history="1">
        <w:r w:rsidRPr="00905220">
          <w:rPr>
            <w:rStyle w:val="Hyperlink"/>
          </w:rPr>
          <w:t>Premios de la CMSI</w:t>
        </w:r>
      </w:hyperlink>
      <w:r w:rsidRPr="00905220">
        <w:t xml:space="preserve"> reconocieron las mejores iniciativas de gobiernos, del sector privado, de la sociedad civil y del mundo académico que favorecen la aplicación de las líneas de acción de la CMSI para acelerar los ODS. Las partes interesadas en la CMSI presentaron 806</w:t>
      </w:r>
      <w:r w:rsidR="00C7417B">
        <w:t> </w:t>
      </w:r>
      <w:r w:rsidRPr="00905220">
        <w:t xml:space="preserve">proyectos y se seleccionaron 90 ganadores según los más de dos millones de votos emitidos por las partes interesadas. Durante la última semana del </w:t>
      </w:r>
      <w:r w:rsidRPr="00DC0597">
        <w:t>Foro de la CMSI</w:t>
      </w:r>
      <w:r w:rsidR="00DC0597" w:rsidRPr="00DC0597">
        <w:t xml:space="preserve"> 2020</w:t>
      </w:r>
      <w:r w:rsidRPr="00905220">
        <w:t>, se anunciaron los 18</w:t>
      </w:r>
      <w:r w:rsidR="00C7417B">
        <w:t> </w:t>
      </w:r>
      <w:r w:rsidRPr="00905220">
        <w:t xml:space="preserve">ganadores de los </w:t>
      </w:r>
      <w:r w:rsidRPr="00DC0597">
        <w:t xml:space="preserve">Premios </w:t>
      </w:r>
      <w:r w:rsidRPr="00905220">
        <w:t xml:space="preserve">de la CMSI </w:t>
      </w:r>
      <w:r w:rsidR="00DC0597" w:rsidRPr="00DC0597">
        <w:t>2020</w:t>
      </w:r>
      <w:r w:rsidR="00DC0597">
        <w:t xml:space="preserve"> </w:t>
      </w:r>
      <w:r w:rsidRPr="00905220">
        <w:t xml:space="preserve">y se celebró la ceremonia virtual especialmente diseñada para promover a escala mundial sus innovadores proyectos. Para más información, véase </w:t>
      </w:r>
      <w:hyperlink r:id="rId283" w:history="1">
        <w:r w:rsidRPr="00905220">
          <w:rPr>
            <w:rStyle w:val="Hyperlink"/>
            <w:lang w:val="es-ES"/>
          </w:rPr>
          <w:t>ImeetyouatWSIS</w:t>
        </w:r>
      </w:hyperlink>
      <w:r w:rsidRPr="00905220">
        <w:rPr>
          <w:lang w:val="es-ES"/>
        </w:rPr>
        <w:t>.</w:t>
      </w:r>
    </w:p>
    <w:p w14:paraId="3E2C067D" w14:textId="7202643D" w:rsidR="00C33B10" w:rsidRPr="00905220" w:rsidRDefault="00C33B10" w:rsidP="00905220">
      <w:pPr>
        <w:rPr>
          <w:lang w:val="es-ES"/>
        </w:rPr>
      </w:pPr>
      <w:r w:rsidRPr="00C33B10">
        <w:rPr>
          <w:lang w:val="es-ES"/>
        </w:rPr>
        <w:t>En 2019, se nominaron 1</w:t>
      </w:r>
      <w:r w:rsidR="00BE2D5A">
        <w:rPr>
          <w:lang w:val="es-ES"/>
        </w:rPr>
        <w:t> </w:t>
      </w:r>
      <w:r w:rsidRPr="00C33B10">
        <w:rPr>
          <w:lang w:val="es-ES"/>
        </w:rPr>
        <w:t>062 proye</w:t>
      </w:r>
      <w:r>
        <w:rPr>
          <w:lang w:val="es-ES"/>
        </w:rPr>
        <w:t>c</w:t>
      </w:r>
      <w:r w:rsidRPr="00C33B10">
        <w:rPr>
          <w:lang w:val="es-ES"/>
        </w:rPr>
        <w:t>tos a los premios de la CMSI.</w:t>
      </w:r>
    </w:p>
    <w:p w14:paraId="58535135" w14:textId="0C196871" w:rsidR="008A64DF" w:rsidRDefault="008A64DF" w:rsidP="00905220">
      <w:pPr>
        <w:pStyle w:val="Headingb"/>
        <w:rPr>
          <w:lang w:val="es-ES"/>
        </w:rPr>
      </w:pPr>
      <w:r w:rsidRPr="00FD0753">
        <w:rPr>
          <w:lang w:val="es-ES"/>
        </w:rPr>
        <w:t>Inventario de la CMSI, 2020-2021</w:t>
      </w:r>
    </w:p>
    <w:p w14:paraId="2D9149C9" w14:textId="384FE45B" w:rsidR="00905220" w:rsidRDefault="00905220" w:rsidP="00855EA4">
      <w:pPr>
        <w:keepNext/>
        <w:keepLines/>
        <w:rPr>
          <w:lang w:val="es-ES"/>
        </w:rPr>
      </w:pPr>
      <w:r w:rsidRPr="00905220">
        <w:rPr>
          <w:lang w:val="es-ES"/>
        </w:rPr>
        <w:t xml:space="preserve">En 2020, el Inventario de la CMSI lanzó el </w:t>
      </w:r>
      <w:hyperlink r:id="rId284" w:history="1">
        <w:r w:rsidRPr="00905220">
          <w:rPr>
            <w:rStyle w:val="Hyperlink"/>
            <w:lang w:val="es-ES"/>
          </w:rPr>
          <w:t>Informe global anual del Inventario de la CMSI</w:t>
        </w:r>
      </w:hyperlink>
      <w:r w:rsidRPr="00905220">
        <w:rPr>
          <w:lang w:val="es-ES"/>
        </w:rPr>
        <w:t>. Esta 11</w:t>
      </w:r>
      <w:r w:rsidR="00DD1AC9">
        <w:rPr>
          <w:lang w:val="es-ES"/>
        </w:rPr>
        <w:t>ª </w:t>
      </w:r>
      <w:r w:rsidRPr="00905220">
        <w:rPr>
          <w:lang w:val="es-ES"/>
        </w:rPr>
        <w:t>edición reúne 776</w:t>
      </w:r>
      <w:r w:rsidR="00FD0753">
        <w:rPr>
          <w:lang w:val="es-ES"/>
        </w:rPr>
        <w:t> </w:t>
      </w:r>
      <w:r w:rsidRPr="00905220">
        <w:rPr>
          <w:lang w:val="es-ES"/>
        </w:rPr>
        <w:t xml:space="preserve">actividades relacionadas con las TIC para el desarrollo, presentadas a la </w:t>
      </w:r>
      <w:hyperlink r:id="rId285" w:history="1">
        <w:r w:rsidRPr="00905220">
          <w:rPr>
            <w:rStyle w:val="Hyperlink"/>
            <w:lang w:val="es-ES"/>
          </w:rPr>
          <w:t>Plataforma del Inventario de la CMSI</w:t>
        </w:r>
      </w:hyperlink>
      <w:r w:rsidRPr="00905220">
        <w:rPr>
          <w:lang w:val="es-ES"/>
        </w:rPr>
        <w:t xml:space="preserve"> del 2 de julio al 29 de noviembre de 2019. Se prepararon seis informes regionales bienales del Inventario de la CMSI, y se publicó el informe especial sobre la recopilación de casos de TIC relativo a la respuesta ante la crisis de la COVID-19.</w:t>
      </w:r>
    </w:p>
    <w:p w14:paraId="6BF83FA9" w14:textId="64B81955" w:rsidR="00C33B10" w:rsidRPr="00905220" w:rsidRDefault="00C33B10" w:rsidP="00905220">
      <w:pPr>
        <w:rPr>
          <w:lang w:val="es-ES"/>
        </w:rPr>
      </w:pPr>
      <w:r w:rsidRPr="00C33B10">
        <w:rPr>
          <w:lang w:val="es-ES"/>
        </w:rPr>
        <w:t xml:space="preserve">Los informes sobre el inventario de la CMSI para 2019 y 2018 figuran aquí: </w:t>
      </w:r>
      <w:hyperlink r:id="rId286" w:history="1">
        <w:r w:rsidRPr="00C33B10">
          <w:rPr>
            <w:rStyle w:val="Hyperlink"/>
            <w:lang w:val="es-ES"/>
          </w:rPr>
          <w:t>2019</w:t>
        </w:r>
      </w:hyperlink>
      <w:r>
        <w:rPr>
          <w:lang w:val="es-ES"/>
        </w:rPr>
        <w:t xml:space="preserve"> y</w:t>
      </w:r>
      <w:r w:rsidRPr="00C33B10">
        <w:rPr>
          <w:lang w:val="es-ES"/>
        </w:rPr>
        <w:t xml:space="preserve"> </w:t>
      </w:r>
      <w:hyperlink r:id="rId287" w:history="1">
        <w:r w:rsidRPr="00C33B10">
          <w:rPr>
            <w:rStyle w:val="Hyperlink"/>
            <w:lang w:val="es-ES"/>
          </w:rPr>
          <w:t>2018</w:t>
        </w:r>
      </w:hyperlink>
      <w:r w:rsidRPr="00C33B10">
        <w:rPr>
          <w:lang w:val="es-ES"/>
        </w:rPr>
        <w:t>.</w:t>
      </w:r>
    </w:p>
    <w:p w14:paraId="56111EB2" w14:textId="4FA9C96B" w:rsidR="008A64DF" w:rsidRDefault="008A64DF" w:rsidP="00905220">
      <w:pPr>
        <w:pStyle w:val="Headingb"/>
        <w:rPr>
          <w:lang w:val="es-ES"/>
        </w:rPr>
      </w:pPr>
      <w:r w:rsidRPr="00442A6F">
        <w:rPr>
          <w:lang w:val="es-ES"/>
        </w:rPr>
        <w:t>Caleidoscopio de la UIT</w:t>
      </w:r>
    </w:p>
    <w:p w14:paraId="188FE01D" w14:textId="2C961AEE" w:rsidR="00905220" w:rsidRPr="00905220" w:rsidRDefault="00905220" w:rsidP="00905220">
      <w:pPr>
        <w:rPr>
          <w:lang w:val="es-ES"/>
        </w:rPr>
      </w:pPr>
      <w:r w:rsidRPr="00905220">
        <w:rPr>
          <w:lang w:val="es-ES"/>
        </w:rPr>
        <w:t>Los eventos del Caleidoscopio de la UIT, que se celebran anualmente en distintas partes del mundo, fomentan el diálogo entre los expertos en normalización de las TIC y el mundo académico. Al examinar las tecnologías a través de un "Caleidoscopio", estos eventos prospectivos permiten identificar nuevos temas para la normalización.</w:t>
      </w:r>
    </w:p>
    <w:p w14:paraId="0456EC71" w14:textId="77CFDAB8" w:rsidR="00905220" w:rsidRPr="00905220" w:rsidRDefault="00905220" w:rsidP="00905220">
      <w:pPr>
        <w:rPr>
          <w:lang w:val="es-ES"/>
        </w:rPr>
      </w:pPr>
      <w:r w:rsidRPr="00905220">
        <w:rPr>
          <w:lang w:val="es-ES"/>
        </w:rPr>
        <w:t xml:space="preserve">En el </w:t>
      </w:r>
      <w:hyperlink r:id="rId288" w:history="1">
        <w:r w:rsidRPr="00905220">
          <w:rPr>
            <w:rStyle w:val="Hyperlink"/>
            <w:lang w:val="es-ES"/>
          </w:rPr>
          <w:t>Caleidoscopio 2021: Conexión de los mundos físico y virtual</w:t>
        </w:r>
      </w:hyperlink>
      <w:r w:rsidRPr="00905220">
        <w:rPr>
          <w:lang w:val="es-ES"/>
        </w:rPr>
        <w:t>, que tuvo lugar en línea del 6 al 10 de diciembre de 2021, se analizó la investigación en materia de creación de realidades virtuales persistentes y entornos personalizados generados por computador, así como las nuevas posibilidades y retos.</w:t>
      </w:r>
    </w:p>
    <w:p w14:paraId="15B9704A" w14:textId="41A44452" w:rsidR="00905220" w:rsidRPr="00905220" w:rsidRDefault="00905220" w:rsidP="00E313D8">
      <w:pPr>
        <w:keepNext/>
        <w:keepLines/>
        <w:rPr>
          <w:lang w:val="es-ES"/>
        </w:rPr>
      </w:pPr>
      <w:r w:rsidRPr="00905220">
        <w:rPr>
          <w:lang w:val="es-ES"/>
        </w:rPr>
        <w:lastRenderedPageBreak/>
        <w:t xml:space="preserve">En el </w:t>
      </w:r>
      <w:hyperlink r:id="rId289" w:history="1">
        <w:r w:rsidRPr="00905220">
          <w:rPr>
            <w:rStyle w:val="Hyperlink"/>
            <w:lang w:val="es-ES"/>
          </w:rPr>
          <w:t>Caleidoscopio 2020: Transformación digital impulsada por la industria</w:t>
        </w:r>
      </w:hyperlink>
      <w:r w:rsidRPr="00905220">
        <w:rPr>
          <w:lang w:val="es-ES"/>
        </w:rPr>
        <w:t xml:space="preserve">, celebrado en línea del 7 al 11 de diciembre de 2020, se examinaron las oportunidades para la industria derivadas de la innovación en el campo de la inteligencia artificial y del aprendizaje automático, sistemas ciberfísicos, simulación virtual, gemelos digitales, realidad aumentada, 5G y redes futuras. Para más información véanse los sobre los </w:t>
      </w:r>
      <w:hyperlink r:id="rId290" w:history="1">
        <w:r w:rsidRPr="00905220">
          <w:rPr>
            <w:rStyle w:val="Hyperlink"/>
            <w:lang w:val="es-ES"/>
          </w:rPr>
          <w:t xml:space="preserve">trabajos ganadores y finalistas de </w:t>
        </w:r>
        <w:r w:rsidR="00442A6F" w:rsidRPr="00905220">
          <w:rPr>
            <w:rStyle w:val="Hyperlink"/>
            <w:lang w:val="es-ES"/>
          </w:rPr>
          <w:t>Caleidoscopio</w:t>
        </w:r>
        <w:r w:rsidRPr="00905220">
          <w:rPr>
            <w:rStyle w:val="Hyperlink"/>
            <w:lang w:val="es-ES"/>
          </w:rPr>
          <w:t xml:space="preserve"> 2020</w:t>
        </w:r>
      </w:hyperlink>
      <w:r w:rsidRPr="00905220">
        <w:rPr>
          <w:lang w:val="es-ES"/>
        </w:rPr>
        <w:t>.</w:t>
      </w:r>
    </w:p>
    <w:p w14:paraId="06157412" w14:textId="55DDCC50" w:rsidR="00905220" w:rsidRPr="00905220" w:rsidRDefault="00905220" w:rsidP="00905220">
      <w:pPr>
        <w:rPr>
          <w:lang w:val="es-ES"/>
        </w:rPr>
      </w:pPr>
      <w:r w:rsidRPr="00905220">
        <w:rPr>
          <w:lang w:val="es-ES"/>
        </w:rPr>
        <w:t xml:space="preserve">El Instituto de Tecnología de Georgia, con sede en Atlanta (Georgia, Estados Unidos de América), acogió la </w:t>
      </w:r>
      <w:hyperlink r:id="rId291" w:history="1">
        <w:r w:rsidRPr="00905220">
          <w:rPr>
            <w:rStyle w:val="Hyperlink"/>
            <w:lang w:val="es-ES"/>
          </w:rPr>
          <w:t>edición de 2019 de la conferencia Caleidoscopio</w:t>
        </w:r>
      </w:hyperlink>
      <w:r w:rsidRPr="00905220">
        <w:rPr>
          <w:lang w:val="es-ES"/>
        </w:rPr>
        <w:t>, cuyo tema fue "TIC para la salud: Redes, normas e innovación". Entre sus participantes se contaron especialistas en TIC, salud digital y desarrollo socioeconómico, incluidos investigadores, académicos, estudiantes, ingenieros, informáticos, legisladores, reguladores, innovadores, visionarios, clínicos y profesionales de la salud</w:t>
      </w:r>
      <w:r w:rsidR="00442A6F">
        <w:rPr>
          <w:lang w:val="es-ES"/>
        </w:rPr>
        <w:t>.</w:t>
      </w:r>
    </w:p>
    <w:p w14:paraId="001277F6" w14:textId="27A7EB21" w:rsidR="00905220" w:rsidRPr="00905220" w:rsidRDefault="00905220" w:rsidP="00905220">
      <w:pPr>
        <w:rPr>
          <w:lang w:val="es-ES"/>
        </w:rPr>
      </w:pPr>
      <w:r w:rsidRPr="00905220">
        <w:t xml:space="preserve">El </w:t>
      </w:r>
      <w:hyperlink r:id="rId292" w:history="1">
        <w:r w:rsidRPr="00905220">
          <w:rPr>
            <w:rStyle w:val="Hyperlink"/>
            <w:lang w:val="es-ES"/>
          </w:rPr>
          <w:t>Caleidoscopio 2018: Aprendizaje automático para una futura 5G</w:t>
        </w:r>
      </w:hyperlink>
      <w:r w:rsidRPr="00905220">
        <w:rPr>
          <w:lang w:val="es-ES"/>
        </w:rPr>
        <w:t xml:space="preserve"> fue acogido por la Universidad Tecnológica Nacional, Santa Fe </w:t>
      </w:r>
      <w:r w:rsidR="00442A6F">
        <w:rPr>
          <w:lang w:val="es-ES"/>
        </w:rPr>
        <w:t>(</w:t>
      </w:r>
      <w:r w:rsidRPr="00905220">
        <w:rPr>
          <w:lang w:val="es-ES"/>
        </w:rPr>
        <w:t>Argentina</w:t>
      </w:r>
      <w:r w:rsidR="00442A6F">
        <w:rPr>
          <w:lang w:val="es-ES"/>
        </w:rPr>
        <w:t>)</w:t>
      </w:r>
      <w:r w:rsidRPr="00905220">
        <w:rPr>
          <w:lang w:val="es-ES"/>
        </w:rPr>
        <w:t>. Se examinaron temas como la investigación en materia de técnicas de aprendizaje automático e inteligencia artificial para las futuras redes de comunicaciones, abarcando todos los aspectos de diseño, gestión, implementación y optimización de las redes.</w:t>
      </w:r>
    </w:p>
    <w:p w14:paraId="0E53C5D1" w14:textId="7E0E09E8" w:rsidR="008A64DF" w:rsidRPr="00905220" w:rsidRDefault="00DC0597" w:rsidP="00905220">
      <w:pPr>
        <w:pStyle w:val="Headingb"/>
      </w:pPr>
      <w:bookmarkStart w:id="147" w:name="_AI_for_Good"/>
      <w:bookmarkStart w:id="148" w:name="AI_for_Good"/>
      <w:bookmarkEnd w:id="147"/>
      <w:bookmarkEnd w:id="148"/>
      <w:r w:rsidRPr="00DC0597">
        <w:t>AI for Good</w:t>
      </w:r>
    </w:p>
    <w:p w14:paraId="00C75CC7" w14:textId="09F90AE3" w:rsidR="00905220" w:rsidRPr="00905220" w:rsidRDefault="00905220" w:rsidP="00905220">
      <w:pPr>
        <w:rPr>
          <w:lang w:val="es-ES"/>
        </w:rPr>
      </w:pPr>
      <w:bookmarkStart w:id="149" w:name="_Hlk95738014"/>
      <w:r w:rsidRPr="00187E3C">
        <w:rPr>
          <w:lang w:val="es-ES"/>
        </w:rPr>
        <w:t>AI for Good</w:t>
      </w:r>
      <w:r w:rsidRPr="00905220">
        <w:rPr>
          <w:lang w:val="es-ES"/>
        </w:rPr>
        <w:t xml:space="preserve"> </w:t>
      </w:r>
      <w:bookmarkEnd w:id="149"/>
      <w:r w:rsidRPr="00905220">
        <w:rPr>
          <w:lang w:val="es-ES"/>
        </w:rPr>
        <w:t>es una plataforma digital, cuya duración es de un año, en la que los innovadores de la IA y los propietarios de los problemas aprenden, construyen y se mantienen en contacto para identificar soluciones prácticas de IA favorables a los ODS. La plataforma está organizada por la</w:t>
      </w:r>
      <w:r w:rsidR="00442A6F">
        <w:rPr>
          <w:lang w:val="es-ES"/>
        </w:rPr>
        <w:t> </w:t>
      </w:r>
      <w:r w:rsidRPr="00905220">
        <w:rPr>
          <w:lang w:val="es-ES"/>
        </w:rPr>
        <w:t>UIT en colaboración con 38 organismos de las Naciones Unidas, la Fundación XPRIZE y la ACM, y está coorganizada con Suiza.</w:t>
      </w:r>
    </w:p>
    <w:p w14:paraId="7B3EFDE7" w14:textId="3F389A2E" w:rsidR="00905220" w:rsidRPr="00905220" w:rsidRDefault="00905220" w:rsidP="00905220">
      <w:pPr>
        <w:rPr>
          <w:lang w:val="es-ES"/>
        </w:rPr>
      </w:pPr>
      <w:r w:rsidRPr="00905220">
        <w:rPr>
          <w:lang w:val="es-ES"/>
        </w:rPr>
        <w:t xml:space="preserve">La edición 2021 de </w:t>
      </w:r>
      <w:r w:rsidR="00DC0597" w:rsidRPr="00DC0597">
        <w:rPr>
          <w:lang w:val="es-ES"/>
        </w:rPr>
        <w:t>AI for Good</w:t>
      </w:r>
      <w:r w:rsidRPr="00905220">
        <w:rPr>
          <w:lang w:val="es-ES"/>
        </w:rPr>
        <w:t xml:space="preserve"> es una iniciativa conjunta entre la UIT y más de 40 organismos y entidades de Naciones Unidas, así como miembros del Grupo de Trabajo Interorganismos sobre IA de las Naciones Unidas. Incluye un análisis detallado sobre la naturaleza de las herramientas desarrolladas, el nivel de las asociaciones multipartitas y el impacto de las actividades en determinados ODS. La edición de 2021 se presentó con ocasión del Foro Mundial de Políticas de Telecomunicaciones/TIC celebrado en formato virtual (del 16 al 18 de diciembre de 2021).</w:t>
      </w:r>
    </w:p>
    <w:p w14:paraId="3A9F8F4A" w14:textId="2A0FB7DE" w:rsidR="00905220" w:rsidRPr="00905220" w:rsidRDefault="00905220" w:rsidP="00905220">
      <w:pPr>
        <w:rPr>
          <w:lang w:val="es-ES"/>
        </w:rPr>
      </w:pPr>
      <w:r w:rsidRPr="00905220">
        <w:rPr>
          <w:lang w:val="es-ES"/>
        </w:rPr>
        <w:t xml:space="preserve">La edición de 2021 de </w:t>
      </w:r>
      <w:r w:rsidR="00DC0597" w:rsidRPr="00DC0597">
        <w:rPr>
          <w:lang w:val="es-ES"/>
        </w:rPr>
        <w:t>AI for Good</w:t>
      </w:r>
      <w:r w:rsidRPr="00905220">
        <w:rPr>
          <w:lang w:val="es-ES"/>
        </w:rPr>
        <w:t xml:space="preserve"> se mantuvo como un programa en línea para todo el año. A mediados de marzo, se lanzó el </w:t>
      </w:r>
      <w:hyperlink r:id="rId293" w:history="1">
        <w:r w:rsidRPr="00905220">
          <w:rPr>
            <w:rStyle w:val="Hyperlink"/>
            <w:lang w:val="es-ES"/>
          </w:rPr>
          <w:t xml:space="preserve">canal de </w:t>
        </w:r>
        <w:r w:rsidRPr="00C33B10">
          <w:rPr>
            <w:rStyle w:val="Hyperlink"/>
            <w:lang w:val="es-ES"/>
          </w:rPr>
          <w:t xml:space="preserve">AI for Good </w:t>
        </w:r>
        <w:r w:rsidRPr="00905220">
          <w:rPr>
            <w:rStyle w:val="Hyperlink"/>
            <w:lang w:val="es-ES"/>
          </w:rPr>
          <w:t>en YouTube</w:t>
        </w:r>
      </w:hyperlink>
      <w:r w:rsidRPr="00905220">
        <w:rPr>
          <w:lang w:val="es-ES"/>
        </w:rPr>
        <w:t xml:space="preserve">, en el que se analizan ideas, conocimientos y debates activos en torno a la IA para lograr los ODS. Dicho canal contiene cientos de vídeos en los que se destacan líderes e innovadores en el campo de la IA en los cuatro años de la Cumbre. El canal es una ventanilla única para ponerse al día sobre las tendencias de </w:t>
      </w:r>
      <w:r w:rsidR="00693B94" w:rsidRPr="00693B94">
        <w:rPr>
          <w:lang w:val="es-ES"/>
        </w:rPr>
        <w:t>AI for Good</w:t>
      </w:r>
      <w:r w:rsidRPr="00905220">
        <w:rPr>
          <w:lang w:val="es-ES"/>
        </w:rPr>
        <w:t>.</w:t>
      </w:r>
    </w:p>
    <w:p w14:paraId="1648DF61" w14:textId="70E1A9E3" w:rsidR="00905220" w:rsidRPr="00905220" w:rsidRDefault="00905220" w:rsidP="00905220">
      <w:pPr>
        <w:rPr>
          <w:lang w:val="es-ES"/>
        </w:rPr>
      </w:pPr>
      <w:r w:rsidRPr="00905220">
        <w:rPr>
          <w:lang w:val="es-ES"/>
        </w:rPr>
        <w:t xml:space="preserve">En 2020, la </w:t>
      </w:r>
      <w:hyperlink r:id="rId294" w:history="1">
        <w:r w:rsidR="00693B94">
          <w:rPr>
            <w:rStyle w:val="Hyperlink"/>
            <w:lang w:val="es-ES"/>
          </w:rPr>
          <w:t>Cumbre Mundial de AI for Good</w:t>
        </w:r>
      </w:hyperlink>
      <w:r w:rsidRPr="00905220">
        <w:rPr>
          <w:lang w:val="es-ES"/>
        </w:rPr>
        <w:t xml:space="preserve"> se transformó de manera permanente en una plataforma digital en línea con duración anual, con una programación semanal y diaria. La Cumbre ofrece servicios que demuestran cómo la IA ayuda a alcanzar los ODS. Suiza se convirtió en coorganizadora de la Cumbre.</w:t>
      </w:r>
    </w:p>
    <w:p w14:paraId="04AE4962" w14:textId="5BB0667E" w:rsidR="00905220" w:rsidRPr="00905220" w:rsidRDefault="00905220" w:rsidP="00855EA4">
      <w:pPr>
        <w:rPr>
          <w:lang w:val="es-ES"/>
        </w:rPr>
      </w:pPr>
      <w:r w:rsidRPr="00905220">
        <w:rPr>
          <w:lang w:val="es-ES"/>
        </w:rPr>
        <w:t>La Cumbre de 2019, celebrada del 28 al 31 de mayo de 2019, contó con más de 2</w:t>
      </w:r>
      <w:r w:rsidR="00715AC5">
        <w:rPr>
          <w:lang w:val="es-ES"/>
        </w:rPr>
        <w:t> </w:t>
      </w:r>
      <w:r w:rsidRPr="00905220">
        <w:rPr>
          <w:lang w:val="es-ES"/>
        </w:rPr>
        <w:t>300</w:t>
      </w:r>
      <w:r w:rsidR="00715AC5">
        <w:rPr>
          <w:lang w:val="es-ES"/>
        </w:rPr>
        <w:t> </w:t>
      </w:r>
      <w:r w:rsidRPr="00905220">
        <w:rPr>
          <w:lang w:val="es-ES"/>
        </w:rPr>
        <w:t>participantes, procedentes de más de 90 países, de los cuales más de 270 delegados procedían de países en desarrollo y cerca del 40% eran mujeres. Además, recibió una cobertura mediática internacional y multilingüe de la BBC, la CNN y Forbes. Los temas de vanguardia fueron la IA y la salud; la IA y la educación; la IA y la dignidad humana y la igualdad; la escalabilidad de la</w:t>
      </w:r>
      <w:r w:rsidR="00715AC5">
        <w:rPr>
          <w:lang w:val="es-ES"/>
        </w:rPr>
        <w:t> </w:t>
      </w:r>
      <w:r w:rsidRPr="00905220">
        <w:rPr>
          <w:lang w:val="es-ES"/>
        </w:rPr>
        <w:t xml:space="preserve">IA; y la IA para el espacio, con sesiones sobre el futuro de la movilidad inteligente; la IA y la agricultura; el papel de la IA en las artes y la cultura; la IA y la robótica; y las consecuencias </w:t>
      </w:r>
      <w:r w:rsidRPr="00905220">
        <w:rPr>
          <w:lang w:val="es-ES"/>
        </w:rPr>
        <w:lastRenderedPageBreak/>
        <w:t xml:space="preserve">imprevistas de la IA. La Cumbre mostró exoesqueletos, coches autónomos y soluciones sanitarias impulsadas por la IA, y dio lugar a la creación de "AI Commons", una colaboración para lograr que </w:t>
      </w:r>
      <w:r w:rsidR="00693B94" w:rsidRPr="00693B94">
        <w:rPr>
          <w:lang w:val="es-ES"/>
        </w:rPr>
        <w:t>AI for Good</w:t>
      </w:r>
      <w:r w:rsidRPr="00905220">
        <w:rPr>
          <w:lang w:val="es-ES"/>
        </w:rPr>
        <w:t xml:space="preserve"> resuelva problemas a escala. Todo ello culminó con la presentación de la </w:t>
      </w:r>
      <w:hyperlink r:id="rId295" w:history="1">
        <w:r w:rsidRPr="00905220">
          <w:rPr>
            <w:rStyle w:val="Hyperlink"/>
            <w:lang w:val="es-ES"/>
          </w:rPr>
          <w:t>Iniciativa Global sobre IA y datos comunes</w:t>
        </w:r>
      </w:hyperlink>
      <w:r w:rsidRPr="00905220">
        <w:rPr>
          <w:lang w:val="es-ES"/>
        </w:rPr>
        <w:t xml:space="preserve"> a principios de 2020</w:t>
      </w:r>
      <w:r w:rsidR="00715AC5">
        <w:rPr>
          <w:lang w:val="es-ES"/>
        </w:rPr>
        <w:t>.</w:t>
      </w:r>
    </w:p>
    <w:p w14:paraId="2D41F079" w14:textId="065C08F1" w:rsidR="00905220" w:rsidRPr="00905220" w:rsidRDefault="00905220" w:rsidP="00905220">
      <w:pPr>
        <w:rPr>
          <w:lang w:val="es-ES"/>
        </w:rPr>
      </w:pPr>
      <w:r w:rsidRPr="00905220">
        <w:rPr>
          <w:lang w:val="es-ES"/>
        </w:rPr>
        <w:t xml:space="preserve">La </w:t>
      </w:r>
      <w:hyperlink r:id="rId296" w:history="1">
        <w:r w:rsidR="00693B94">
          <w:rPr>
            <w:rStyle w:val="Hyperlink"/>
            <w:lang w:val="es-ES"/>
          </w:rPr>
          <w:t>Cumbre Mundial de AI for Good</w:t>
        </w:r>
      </w:hyperlink>
      <w:r w:rsidRPr="00905220">
        <w:rPr>
          <w:lang w:val="es-ES"/>
        </w:rPr>
        <w:t xml:space="preserve"> de 2018 identificó las aplicaciones prácticas de la IA y las estrategias para mejorar la calidad y la sostenibilidad de la vida en nuestro planeta. La </w:t>
      </w:r>
      <w:r w:rsidR="00BD6770" w:rsidRPr="00905220">
        <w:rPr>
          <w:lang w:val="es-ES"/>
        </w:rPr>
        <w:t xml:space="preserve">Cumbre </w:t>
      </w:r>
      <w:r w:rsidRPr="00905220">
        <w:rPr>
          <w:lang w:val="es-ES"/>
        </w:rPr>
        <w:t>formuló estrategias favorables al desarrollo seguro e inclusivo de las tecnologías de IA y el acceso equitativo a sus beneficios.</w:t>
      </w:r>
    </w:p>
    <w:p w14:paraId="55B30A74" w14:textId="6150FAEA" w:rsidR="00905220" w:rsidRPr="00905220" w:rsidRDefault="00905220" w:rsidP="00905220">
      <w:pPr>
        <w:rPr>
          <w:lang w:val="es-ES"/>
        </w:rPr>
      </w:pPr>
      <w:r w:rsidRPr="00905220">
        <w:rPr>
          <w:lang w:val="es-ES"/>
        </w:rPr>
        <w:t xml:space="preserve">Tras la Cumbre Mundial de </w:t>
      </w:r>
      <w:r w:rsidR="00693B94" w:rsidRPr="00693B94">
        <w:rPr>
          <w:lang w:val="es-ES"/>
        </w:rPr>
        <w:t>AI for Good</w:t>
      </w:r>
      <w:r w:rsidRPr="00905220">
        <w:rPr>
          <w:lang w:val="es-ES"/>
        </w:rPr>
        <w:t xml:space="preserve"> de 2018, la UIT publicó el "Compendio de actividades de las Naciones Unidas sobre la inteligencia artificial" en el que se destacan las actividades realizadas en todo el sistema de las Naciones Unidas. En el portal en línea de </w:t>
      </w:r>
      <w:r w:rsidRPr="00693B94">
        <w:rPr>
          <w:lang w:val="es-ES"/>
        </w:rPr>
        <w:t>AI for Good</w:t>
      </w:r>
      <w:r w:rsidRPr="00905220">
        <w:rPr>
          <w:lang w:val="es-ES"/>
        </w:rPr>
        <w:t xml:space="preserve"> se muestran los esfuerzos de las partes interesadas sobre la IA con una </w:t>
      </w:r>
      <w:r w:rsidR="00876FCF" w:rsidRPr="00905220">
        <w:rPr>
          <w:lang w:val="es-ES"/>
        </w:rPr>
        <w:t>sección</w:t>
      </w:r>
      <w:r w:rsidRPr="00905220">
        <w:rPr>
          <w:lang w:val="es-ES"/>
        </w:rPr>
        <w:t xml:space="preserve"> especial dedicada a las actividades de las Naciones Unidas destacadas en el compendio.</w:t>
      </w:r>
    </w:p>
    <w:p w14:paraId="3A504799" w14:textId="4DE241DA" w:rsidR="00905220" w:rsidRDefault="00905220" w:rsidP="00905220">
      <w:pPr>
        <w:pStyle w:val="Headingb"/>
        <w:rPr>
          <w:lang w:val="es-ES"/>
        </w:rPr>
      </w:pPr>
      <w:r w:rsidRPr="00EA532B">
        <w:rPr>
          <w:lang w:val="es-ES"/>
        </w:rPr>
        <w:t>Concurso de la UIT sobre IA/aprendizaje automático en la 5G</w:t>
      </w:r>
    </w:p>
    <w:p w14:paraId="22305355" w14:textId="2FAAA9EE" w:rsidR="00905220" w:rsidRPr="00905220" w:rsidRDefault="00905220" w:rsidP="00905220">
      <w:pPr>
        <w:rPr>
          <w:lang w:val="es-ES"/>
        </w:rPr>
      </w:pPr>
      <w:r w:rsidRPr="00905220">
        <w:rPr>
          <w:lang w:val="es-ES"/>
        </w:rPr>
        <w:t xml:space="preserve">El primer </w:t>
      </w:r>
      <w:hyperlink r:id="rId297" w:history="1">
        <w:r w:rsidRPr="00905220">
          <w:rPr>
            <w:rStyle w:val="Hyperlink"/>
            <w:lang w:val="es-ES"/>
          </w:rPr>
          <w:t>Concurso de la UIT sobre IA/</w:t>
        </w:r>
        <w:r w:rsidR="00BD6770" w:rsidRPr="00905220">
          <w:rPr>
            <w:rStyle w:val="Hyperlink"/>
            <w:lang w:val="es-ES"/>
          </w:rPr>
          <w:t>a</w:t>
        </w:r>
        <w:r w:rsidRPr="00905220">
          <w:rPr>
            <w:rStyle w:val="Hyperlink"/>
            <w:lang w:val="es-ES"/>
          </w:rPr>
          <w:t>prendizaje</w:t>
        </w:r>
        <w:r w:rsidR="00BD6770" w:rsidRPr="00905220">
          <w:rPr>
            <w:rStyle w:val="Hyperlink"/>
            <w:lang w:val="es-ES"/>
          </w:rPr>
          <w:t xml:space="preserve"> a</w:t>
        </w:r>
        <w:r w:rsidRPr="00905220">
          <w:rPr>
            <w:rStyle w:val="Hyperlink"/>
            <w:lang w:val="es-ES"/>
          </w:rPr>
          <w:t>utomático</w:t>
        </w:r>
        <w:r w:rsidR="00525F83">
          <w:rPr>
            <w:rStyle w:val="Hyperlink"/>
            <w:lang w:val="es-ES"/>
          </w:rPr>
          <w:t xml:space="preserve"> (ML)</w:t>
        </w:r>
        <w:r w:rsidRPr="00905220">
          <w:rPr>
            <w:rStyle w:val="Hyperlink"/>
            <w:lang w:val="es-ES"/>
          </w:rPr>
          <w:t xml:space="preserve"> en </w:t>
        </w:r>
        <w:r w:rsidR="00BD6770">
          <w:rPr>
            <w:rStyle w:val="Hyperlink"/>
            <w:lang w:val="es-ES"/>
          </w:rPr>
          <w:t xml:space="preserve">la </w:t>
        </w:r>
        <w:r w:rsidRPr="00905220">
          <w:rPr>
            <w:rStyle w:val="Hyperlink"/>
            <w:lang w:val="es-ES"/>
          </w:rPr>
          <w:t>5G</w:t>
        </w:r>
      </w:hyperlink>
      <w:r w:rsidRPr="00905220">
        <w:rPr>
          <w:lang w:val="es-ES"/>
        </w:rPr>
        <w:t xml:space="preserve"> celebrado en 2020 sirvió para estudiar la aplicación práctica de la IA/</w:t>
      </w:r>
      <w:r w:rsidRPr="00525F83">
        <w:rPr>
          <w:lang w:val="es-ES"/>
        </w:rPr>
        <w:t>ML</w:t>
      </w:r>
      <w:r w:rsidRPr="00905220">
        <w:rPr>
          <w:lang w:val="es-ES"/>
        </w:rPr>
        <w:t xml:space="preserve"> en las redes incipientes y futuras, reuniendo a 1</w:t>
      </w:r>
      <w:r w:rsidR="00EF6125">
        <w:rPr>
          <w:lang w:val="es-ES"/>
        </w:rPr>
        <w:t> </w:t>
      </w:r>
      <w:r w:rsidRPr="00905220">
        <w:rPr>
          <w:lang w:val="es-ES"/>
        </w:rPr>
        <w:t>300</w:t>
      </w:r>
      <w:r w:rsidR="00EF6125">
        <w:rPr>
          <w:lang w:val="es-ES"/>
        </w:rPr>
        <w:t> </w:t>
      </w:r>
      <w:r w:rsidRPr="00905220">
        <w:rPr>
          <w:lang w:val="es-ES"/>
        </w:rPr>
        <w:t>competidores de 62 países y 911</w:t>
      </w:r>
      <w:r w:rsidR="00BD6770">
        <w:rPr>
          <w:lang w:val="es-ES"/>
        </w:rPr>
        <w:t> </w:t>
      </w:r>
      <w:r w:rsidRPr="00905220">
        <w:rPr>
          <w:lang w:val="es-ES"/>
        </w:rPr>
        <w:t>equipos. El Concurso de la UIT permitió poner en contacto a competidores y asociados de la industria y el mundo académico con nuevas herramientas y recursos de datos para resolver problemas del mundo real con IA/</w:t>
      </w:r>
      <w:r w:rsidRPr="00525F83">
        <w:rPr>
          <w:lang w:val="es-ES"/>
        </w:rPr>
        <w:t>ML</w:t>
      </w:r>
      <w:r w:rsidRPr="00905220">
        <w:rPr>
          <w:lang w:val="es-ES"/>
        </w:rPr>
        <w:t>, a partir en 20</w:t>
      </w:r>
      <w:r w:rsidR="00EF6125">
        <w:rPr>
          <w:lang w:val="es-ES"/>
        </w:rPr>
        <w:t> </w:t>
      </w:r>
      <w:r w:rsidRPr="00905220">
        <w:rPr>
          <w:lang w:val="es-ES"/>
        </w:rPr>
        <w:t>enunciados de problemas planteados por los anfitriones de la industria y el mundo académico. Las nuevas normas de la UIT para la IA/</w:t>
      </w:r>
      <w:r w:rsidRPr="00525F83">
        <w:rPr>
          <w:lang w:val="es-ES"/>
        </w:rPr>
        <w:t>ML</w:t>
      </w:r>
      <w:r w:rsidRPr="00905220">
        <w:rPr>
          <w:lang w:val="es-ES"/>
        </w:rPr>
        <w:t xml:space="preserve"> ofrecen conjuntos de herramientas que, cuando se integran, forman una cadena de extremo a extremo para la integración de la IA/</w:t>
      </w:r>
      <w:r w:rsidRPr="00525F83">
        <w:rPr>
          <w:lang w:val="es-ES"/>
        </w:rPr>
        <w:t>ML</w:t>
      </w:r>
      <w:r w:rsidRPr="00905220">
        <w:rPr>
          <w:lang w:val="es-ES"/>
        </w:rPr>
        <w:t xml:space="preserve"> en las redes. El Concurso de la UIT tenía por objeto demostrar y validar estas normas de la UIT</w:t>
      </w:r>
      <w:r w:rsidR="00BD6770">
        <w:rPr>
          <w:lang w:val="es-ES"/>
        </w:rPr>
        <w:t>.</w:t>
      </w:r>
    </w:p>
    <w:p w14:paraId="32F9B70D" w14:textId="45D5E13C" w:rsidR="00905220" w:rsidRPr="00905220" w:rsidRDefault="00905220" w:rsidP="00905220">
      <w:pPr>
        <w:rPr>
          <w:lang w:val="es-ES"/>
        </w:rPr>
      </w:pPr>
      <w:r w:rsidRPr="00905220">
        <w:rPr>
          <w:lang w:val="es-ES"/>
        </w:rPr>
        <w:t xml:space="preserve">Los mejores trabajos revisados por pares del primer Concurso se publicaron en el </w:t>
      </w:r>
      <w:hyperlink r:id="rId298" w:history="1">
        <w:r w:rsidRPr="00EA532B">
          <w:rPr>
            <w:rStyle w:val="Hyperlink"/>
            <w:lang w:val="es-ES"/>
          </w:rPr>
          <w:t>Número 4</w:t>
        </w:r>
        <w:r w:rsidRPr="00EA532B">
          <w:rPr>
            <w:rStyle w:val="Hyperlink"/>
          </w:rPr>
          <w:t>, Volumen 2 (2021)</w:t>
        </w:r>
      </w:hyperlink>
      <w:r w:rsidRPr="00905220">
        <w:rPr>
          <w:lang w:val="es-ES"/>
        </w:rPr>
        <w:t xml:space="preserve"> </w:t>
      </w:r>
      <w:r w:rsidR="00876FCF" w:rsidRPr="00876FCF">
        <w:rPr>
          <w:i/>
          <w:iCs/>
          <w:lang w:val="es-ES"/>
        </w:rPr>
        <w:t>–</w:t>
      </w:r>
      <w:r w:rsidRPr="00905220">
        <w:rPr>
          <w:i/>
          <w:iCs/>
          <w:lang w:val="es-ES"/>
        </w:rPr>
        <w:t xml:space="preserve"> Soluciones de IA y aprendizaje automático en las 5G y redes futuras</w:t>
      </w:r>
      <w:r w:rsidRPr="00905220">
        <w:rPr>
          <w:lang w:val="es-ES"/>
        </w:rPr>
        <w:t xml:space="preserve"> de la Gaceta de la UIT sobre tecnologías futuras y en evolución (ITU J-FET).</w:t>
      </w:r>
    </w:p>
    <w:p w14:paraId="30F03907" w14:textId="4FAF036E" w:rsidR="00905220" w:rsidRPr="00905220" w:rsidRDefault="00905220" w:rsidP="00905220">
      <w:pPr>
        <w:rPr>
          <w:lang w:val="es-ES"/>
        </w:rPr>
      </w:pPr>
      <w:r w:rsidRPr="00905220">
        <w:rPr>
          <w:lang w:val="es-ES"/>
        </w:rPr>
        <w:t xml:space="preserve">La </w:t>
      </w:r>
      <w:hyperlink r:id="rId299" w:history="1">
        <w:r w:rsidRPr="00905220">
          <w:rPr>
            <w:rStyle w:val="Hyperlink"/>
            <w:lang w:val="es-ES"/>
          </w:rPr>
          <w:t>segunda edición del Concurso</w:t>
        </w:r>
      </w:hyperlink>
      <w:r w:rsidRPr="00905220">
        <w:rPr>
          <w:lang w:val="es-ES"/>
        </w:rPr>
        <w:t xml:space="preserve"> que tuvo lugar en febrero de 2021 sirvió para aportar implementaciones de referencia de una cadena </w:t>
      </w:r>
      <w:r w:rsidRPr="00525F83">
        <w:rPr>
          <w:lang w:val="es-ES"/>
        </w:rPr>
        <w:t>ML</w:t>
      </w:r>
      <w:r w:rsidRPr="00905220">
        <w:rPr>
          <w:lang w:val="es-ES"/>
        </w:rPr>
        <w:t xml:space="preserve"> de extremo a extremo, como se define en la </w:t>
      </w:r>
      <w:hyperlink r:id="rId300" w:history="1">
        <w:r w:rsidRPr="00905220">
          <w:rPr>
            <w:rStyle w:val="Hyperlink"/>
            <w:lang w:val="es-ES"/>
          </w:rPr>
          <w:t>Recomendación</w:t>
        </w:r>
        <w:r w:rsidR="00EA532B">
          <w:rPr>
            <w:rStyle w:val="Hyperlink"/>
            <w:lang w:val="es-ES"/>
          </w:rPr>
          <w:t> </w:t>
        </w:r>
        <w:r w:rsidRPr="00905220">
          <w:rPr>
            <w:rStyle w:val="Hyperlink"/>
            <w:lang w:val="es-ES"/>
          </w:rPr>
          <w:t>UIT-T Y.3172</w:t>
        </w:r>
      </w:hyperlink>
      <w:r w:rsidRPr="00905220">
        <w:rPr>
          <w:lang w:val="es-ES"/>
        </w:rPr>
        <w:t>.</w:t>
      </w:r>
    </w:p>
    <w:p w14:paraId="32BE7D8F" w14:textId="7703FE32" w:rsidR="008A64DF" w:rsidRDefault="008A64DF" w:rsidP="00905220">
      <w:pPr>
        <w:pStyle w:val="Headingb"/>
        <w:rPr>
          <w:lang w:val="es-ES"/>
        </w:rPr>
      </w:pPr>
      <w:r w:rsidRPr="00E25CF6">
        <w:rPr>
          <w:lang w:val="es-ES"/>
        </w:rPr>
        <w:t>Simposio Mundial para Organismos Reguladores (GSR-21)</w:t>
      </w:r>
    </w:p>
    <w:p w14:paraId="70BB13AD" w14:textId="4EA1F59E" w:rsidR="00905220" w:rsidRPr="00905220" w:rsidRDefault="00905220" w:rsidP="00905220">
      <w:pPr>
        <w:rPr>
          <w:lang w:val="es-ES"/>
        </w:rPr>
      </w:pPr>
      <w:r w:rsidRPr="00905220">
        <w:rPr>
          <w:lang w:val="es-ES"/>
        </w:rPr>
        <w:t>El 21º Simposio Mundial para Organismos Reguladores (</w:t>
      </w:r>
      <w:hyperlink r:id="rId301" w:history="1">
        <w:r w:rsidRPr="00905220">
          <w:rPr>
            <w:rStyle w:val="Hyperlink"/>
            <w:lang w:val="es-ES"/>
          </w:rPr>
          <w:t>GSR-21</w:t>
        </w:r>
      </w:hyperlink>
      <w:r w:rsidRPr="00905220">
        <w:rPr>
          <w:lang w:val="es-ES"/>
        </w:rPr>
        <w:t>), que tuvo lugar en línea de abril a junio de 2021, consistió en sesiones regionales y principales. Las sesiones principales contaron con 637</w:t>
      </w:r>
      <w:r w:rsidR="00EF6125">
        <w:rPr>
          <w:lang w:val="es-ES"/>
        </w:rPr>
        <w:t> </w:t>
      </w:r>
      <w:r w:rsidRPr="00905220">
        <w:rPr>
          <w:lang w:val="es-ES"/>
        </w:rPr>
        <w:t xml:space="preserve">participantes, de los cuales 439 eran delegados representantes de 115 Estados Miembros, y se centraron en la "Reglamentación para la transformación digital – Acelerar la conectividad, el acceso y el uso inclusivos". En los debates se examinaron los retos a los que se enfrentan los reguladores y los responsables políticos durante la pandemia y se estudió cómo mejorar la conectividad asequible, accesible, efectiva, de confianza, segura y de alta calidad para las personas de todo el mundo. En las sesiones principales del GSR-21 se impartió formación sobre las tecnologías incipientes, el papel de los jóvenes en el futuro de la reglamentación y el promover que las mujeres ocupen cargos directivos en el ámbito de reglamentación de las TIC. El </w:t>
      </w:r>
      <w:r w:rsidR="00F05643" w:rsidRPr="00905220">
        <w:rPr>
          <w:lang w:val="es-ES"/>
        </w:rPr>
        <w:t xml:space="preserve">Informe </w:t>
      </w:r>
      <w:r w:rsidRPr="00905220">
        <w:rPr>
          <w:lang w:val="es-ES"/>
        </w:rPr>
        <w:t xml:space="preserve">del Presidente del GSR-21 está disponible en este </w:t>
      </w:r>
      <w:hyperlink r:id="rId302" w:history="1">
        <w:r w:rsidRPr="00905220">
          <w:rPr>
            <w:rStyle w:val="Hyperlink"/>
            <w:lang w:val="es-ES"/>
          </w:rPr>
          <w:t>enlace</w:t>
        </w:r>
      </w:hyperlink>
      <w:r w:rsidRPr="00905220">
        <w:rPr>
          <w:lang w:val="es-ES"/>
        </w:rPr>
        <w:t xml:space="preserve">. Las directrices </w:t>
      </w:r>
      <w:r w:rsidR="00925C32">
        <w:rPr>
          <w:lang w:val="es-ES"/>
        </w:rPr>
        <w:t>de</w:t>
      </w:r>
      <w:r w:rsidRPr="00905220">
        <w:rPr>
          <w:lang w:val="es-ES"/>
        </w:rPr>
        <w:t xml:space="preserve"> prácticas idóneas del GSR</w:t>
      </w:r>
      <w:r w:rsidR="00C33B10">
        <w:rPr>
          <w:lang w:val="es-ES"/>
        </w:rPr>
        <w:noBreakHyphen/>
      </w:r>
      <w:r w:rsidRPr="00905220">
        <w:rPr>
          <w:lang w:val="es-ES"/>
        </w:rPr>
        <w:t xml:space="preserve">21 figuran en este </w:t>
      </w:r>
      <w:hyperlink r:id="rId303" w:history="1">
        <w:r w:rsidRPr="00905220">
          <w:rPr>
            <w:rStyle w:val="Hyperlink"/>
            <w:lang w:val="es-ES"/>
          </w:rPr>
          <w:t>enlace</w:t>
        </w:r>
      </w:hyperlink>
      <w:r w:rsidRPr="00905220">
        <w:rPr>
          <w:lang w:val="es-ES"/>
        </w:rPr>
        <w:t>.</w:t>
      </w:r>
    </w:p>
    <w:p w14:paraId="53EEC776" w14:textId="77777777" w:rsidR="00905220" w:rsidRPr="00905220" w:rsidRDefault="00905220" w:rsidP="00905220">
      <w:pPr>
        <w:pStyle w:val="Headingb"/>
        <w:rPr>
          <w:lang w:val="es-ES"/>
        </w:rPr>
      </w:pPr>
      <w:r w:rsidRPr="00C62E99">
        <w:rPr>
          <w:lang w:val="es-ES"/>
        </w:rPr>
        <w:lastRenderedPageBreak/>
        <w:t>Simposio Mundial para Organismos Reguladores (GSR-20)</w:t>
      </w:r>
    </w:p>
    <w:p w14:paraId="0A66DE33" w14:textId="27794931" w:rsidR="00905220" w:rsidRPr="00905220" w:rsidRDefault="00905220" w:rsidP="00905220">
      <w:pPr>
        <w:rPr>
          <w:lang w:val="es-ES"/>
        </w:rPr>
      </w:pPr>
      <w:r w:rsidRPr="00905220">
        <w:rPr>
          <w:lang w:val="es-ES"/>
        </w:rPr>
        <w:t>La 20ª edición (</w:t>
      </w:r>
      <w:hyperlink r:id="rId304" w:history="1">
        <w:r w:rsidRPr="00905220">
          <w:rPr>
            <w:rStyle w:val="Hyperlink"/>
            <w:lang w:val="es-ES"/>
          </w:rPr>
          <w:t>GSR-20</w:t>
        </w:r>
      </w:hyperlink>
      <w:r w:rsidRPr="00905220">
        <w:rPr>
          <w:lang w:val="es-ES"/>
        </w:rPr>
        <w:t>), que tuvo lugar en línea bajo el lema</w:t>
      </w:r>
      <w:r w:rsidR="00925C32">
        <w:rPr>
          <w:lang w:val="es-ES"/>
        </w:rPr>
        <w:t>:</w:t>
      </w:r>
      <w:r w:rsidRPr="00905220">
        <w:rPr>
          <w:lang w:val="es-ES"/>
        </w:rPr>
        <w:t xml:space="preserve"> "La rueda del cambio reglamentario: </w:t>
      </w:r>
      <w:r w:rsidR="00925C32" w:rsidRPr="00905220">
        <w:rPr>
          <w:lang w:val="es-ES"/>
        </w:rPr>
        <w:t xml:space="preserve">Reglamentación </w:t>
      </w:r>
      <w:r w:rsidRPr="00905220">
        <w:rPr>
          <w:lang w:val="es-ES"/>
        </w:rPr>
        <w:t>para la transformación digital", se centró en ofrecer orientación para lograr una conectividad efectiva. Esta plataforma mundial, el GSR-20, congregó a reguladores y responsables políticos, con mesas redondas de alto nivel sobre temas de regulación de actualidad, sesiones interactivas y cursillos de formación. El GSR-20 permitió a los Miembros de la UIT intercambiar experiencias y conocimientos, colaborar e identificar herramientas reguladoras evolutivas que aporten una conectividad asequible, segura y fiable a las personas de todo el mundo. El GSR-20 contó con 609</w:t>
      </w:r>
      <w:r w:rsidR="00C62E99">
        <w:rPr>
          <w:lang w:val="es-ES"/>
        </w:rPr>
        <w:t> </w:t>
      </w:r>
      <w:r w:rsidRPr="00905220">
        <w:rPr>
          <w:lang w:val="es-ES"/>
        </w:rPr>
        <w:t xml:space="preserve">participantes de 120 países en las sesiones principales. El </w:t>
      </w:r>
      <w:r w:rsidR="00F05643" w:rsidRPr="00905220">
        <w:rPr>
          <w:lang w:val="es-ES"/>
        </w:rPr>
        <w:t xml:space="preserve">Informe </w:t>
      </w:r>
      <w:r w:rsidRPr="00905220">
        <w:rPr>
          <w:lang w:val="es-ES"/>
        </w:rPr>
        <w:t xml:space="preserve">del Presidente está disponible en este </w:t>
      </w:r>
      <w:hyperlink r:id="rId305" w:history="1">
        <w:r w:rsidRPr="00905220">
          <w:rPr>
            <w:rStyle w:val="Hyperlink"/>
            <w:lang w:val="es-ES"/>
          </w:rPr>
          <w:t>enlace</w:t>
        </w:r>
      </w:hyperlink>
      <w:r w:rsidRPr="00905220">
        <w:rPr>
          <w:lang w:val="es-ES"/>
        </w:rPr>
        <w:t xml:space="preserve">. Las directrices de prácticas idóneas del GSR-20 figuran en este </w:t>
      </w:r>
      <w:hyperlink r:id="rId306" w:history="1">
        <w:r w:rsidRPr="00905220">
          <w:rPr>
            <w:rStyle w:val="Hyperlink"/>
            <w:lang w:val="es-ES"/>
          </w:rPr>
          <w:t>enlace</w:t>
        </w:r>
      </w:hyperlink>
      <w:r w:rsidRPr="00C62E99">
        <w:t>.</w:t>
      </w:r>
    </w:p>
    <w:p w14:paraId="1AB466D6" w14:textId="3CFCAFDF" w:rsidR="00905220" w:rsidRDefault="00905220" w:rsidP="00905220">
      <w:pPr>
        <w:pStyle w:val="Headingb"/>
        <w:rPr>
          <w:lang w:val="es-ES"/>
        </w:rPr>
      </w:pPr>
      <w:r w:rsidRPr="00DF317F">
        <w:rPr>
          <w:lang w:val="es-ES"/>
        </w:rPr>
        <w:t>Simposio Mundial para Organismos Reguladores (GSR-19)</w:t>
      </w:r>
    </w:p>
    <w:p w14:paraId="44F3C352" w14:textId="34F64E2B" w:rsidR="00EF6125" w:rsidRPr="00EF6125" w:rsidRDefault="00EF6125" w:rsidP="00EF6125">
      <w:pPr>
        <w:rPr>
          <w:lang w:val="es-ES"/>
        </w:rPr>
      </w:pPr>
      <w:r w:rsidRPr="00EF6125">
        <w:rPr>
          <w:lang w:val="es-ES"/>
        </w:rPr>
        <w:t xml:space="preserve">El </w:t>
      </w:r>
      <w:hyperlink r:id="rId307" w:history="1">
        <w:r w:rsidRPr="00EF6125">
          <w:rPr>
            <w:rStyle w:val="Hyperlink"/>
            <w:lang w:val="es-ES"/>
          </w:rPr>
          <w:t>GSR-19</w:t>
        </w:r>
      </w:hyperlink>
      <w:r w:rsidRPr="00EF6125">
        <w:rPr>
          <w:lang w:val="es-ES"/>
        </w:rPr>
        <w:t xml:space="preserve">, organizado en Port Vila (Vanuatu), del 9 al 12 de julio, contó con más de 325 participantes, entre los que se encontraban ministros gubernamentales, jefes de organismos reguladores y altos ejecutivos de la industria de más de 64 países. Conectividad inclusiva: El futuro de la reglamentación", en el que los participantes analizaron estrategias de reglamentación innovadoras, colaborativas y basadas en los resultados para acelerar el cumplimiento de los ODS. Los reguladores aprobaron un conjunto de </w:t>
      </w:r>
      <w:hyperlink r:id="rId308" w:history="1">
        <w:r w:rsidRPr="00DF317F">
          <w:rPr>
            <w:rStyle w:val="Hyperlink"/>
            <w:lang w:val="es-ES"/>
          </w:rPr>
          <w:t xml:space="preserve">directrices </w:t>
        </w:r>
        <w:r w:rsidR="00925C32">
          <w:rPr>
            <w:rStyle w:val="Hyperlink"/>
            <w:lang w:val="es-ES"/>
          </w:rPr>
          <w:t>d</w:t>
        </w:r>
        <w:r w:rsidRPr="00DF317F">
          <w:rPr>
            <w:rStyle w:val="Hyperlink"/>
            <w:lang w:val="es-ES"/>
          </w:rPr>
          <w:t>e prácticas idóneas</w:t>
        </w:r>
      </w:hyperlink>
      <w:r w:rsidRPr="00EF6125">
        <w:rPr>
          <w:lang w:val="es-ES"/>
        </w:rPr>
        <w:t xml:space="preserve"> para acelerar la conectividad digital para todos. El </w:t>
      </w:r>
      <w:r w:rsidR="00F05643" w:rsidRPr="00EF6125">
        <w:rPr>
          <w:lang w:val="es-ES"/>
        </w:rPr>
        <w:t xml:space="preserve">Informe </w:t>
      </w:r>
      <w:r w:rsidRPr="00EF6125">
        <w:rPr>
          <w:lang w:val="es-ES"/>
        </w:rPr>
        <w:t xml:space="preserve">del Presidente está disponible en este </w:t>
      </w:r>
      <w:hyperlink r:id="rId309" w:history="1">
        <w:r w:rsidRPr="00DF317F">
          <w:rPr>
            <w:rStyle w:val="Hyperlink"/>
            <w:lang w:val="es-ES"/>
          </w:rPr>
          <w:t>enlace</w:t>
        </w:r>
      </w:hyperlink>
      <w:r w:rsidRPr="00EF6125">
        <w:rPr>
          <w:lang w:val="es-ES"/>
        </w:rPr>
        <w:t xml:space="preserve">. Las directrices de prácticas idóneas del GSR-19 figuran en este </w:t>
      </w:r>
      <w:hyperlink r:id="rId310" w:history="1">
        <w:r w:rsidRPr="00DF317F">
          <w:rPr>
            <w:rStyle w:val="Hyperlink"/>
            <w:lang w:val="es-ES"/>
          </w:rPr>
          <w:t>enlace</w:t>
        </w:r>
      </w:hyperlink>
      <w:r w:rsidRPr="00EF6125">
        <w:rPr>
          <w:lang w:val="es-ES"/>
        </w:rPr>
        <w:t>.</w:t>
      </w:r>
    </w:p>
    <w:p w14:paraId="334A48CA" w14:textId="24005A15" w:rsidR="008A64DF" w:rsidRDefault="008A64DF" w:rsidP="008360E9">
      <w:pPr>
        <w:pStyle w:val="Headingb"/>
        <w:rPr>
          <w:lang w:val="es-ES"/>
        </w:rPr>
      </w:pPr>
      <w:r w:rsidRPr="00925C32">
        <w:rPr>
          <w:lang w:val="es-ES"/>
        </w:rPr>
        <w:t>Simposio Mundial para Organismos Reguladores (GSR-18)</w:t>
      </w:r>
    </w:p>
    <w:p w14:paraId="025BF1B2" w14:textId="3BB55A19" w:rsidR="008360E9" w:rsidRPr="008360E9" w:rsidRDefault="008360E9" w:rsidP="008360E9">
      <w:pPr>
        <w:rPr>
          <w:lang w:val="es-ES"/>
        </w:rPr>
      </w:pPr>
      <w:r w:rsidRPr="008360E9">
        <w:t xml:space="preserve">El </w:t>
      </w:r>
      <w:hyperlink r:id="rId311" w:history="1">
        <w:r w:rsidRPr="00925C32">
          <w:rPr>
            <w:rStyle w:val="Hyperlink"/>
          </w:rPr>
          <w:t>GSR-18</w:t>
        </w:r>
      </w:hyperlink>
      <w:r w:rsidRPr="008360E9">
        <w:t>, celebrado en Ginebra (Suiza) del 9 al 12 de julio, contó con más de 600</w:t>
      </w:r>
      <w:r w:rsidR="00925C32">
        <w:t> </w:t>
      </w:r>
      <w:r w:rsidRPr="008360E9">
        <w:t xml:space="preserve">participantes, entre los que se encontraban ministros, jefes de organismos reguladores y altos ejecutivos de la industria de más de 125 países, cuyo tema fue "Nuevas fronteras reglamentarias". </w:t>
      </w:r>
      <w:r w:rsidRPr="008360E9">
        <w:rPr>
          <w:lang w:val="es-ES"/>
        </w:rPr>
        <w:t xml:space="preserve">El </w:t>
      </w:r>
      <w:r w:rsidR="00F05643" w:rsidRPr="008360E9">
        <w:rPr>
          <w:lang w:val="es-ES"/>
        </w:rPr>
        <w:t xml:space="preserve">Informe </w:t>
      </w:r>
      <w:r w:rsidRPr="008360E9">
        <w:rPr>
          <w:lang w:val="es-ES"/>
        </w:rPr>
        <w:t xml:space="preserve">del Presidente está disponible en este </w:t>
      </w:r>
      <w:hyperlink r:id="rId312" w:history="1">
        <w:r w:rsidRPr="008360E9">
          <w:rPr>
            <w:rStyle w:val="Hyperlink"/>
            <w:lang w:val="es-ES"/>
          </w:rPr>
          <w:t>enlace</w:t>
        </w:r>
      </w:hyperlink>
      <w:r w:rsidRPr="008360E9">
        <w:rPr>
          <w:lang w:val="es-ES"/>
        </w:rPr>
        <w:t xml:space="preserve">. Las directrices de prácticas idóneas del GSR-18 figuran en este </w:t>
      </w:r>
      <w:hyperlink r:id="rId313" w:history="1">
        <w:r w:rsidRPr="008360E9">
          <w:rPr>
            <w:rStyle w:val="Hyperlink"/>
            <w:lang w:val="es-ES"/>
          </w:rPr>
          <w:t>enlace</w:t>
        </w:r>
      </w:hyperlink>
      <w:r w:rsidRPr="008360E9">
        <w:rPr>
          <w:lang w:val="es-ES"/>
        </w:rPr>
        <w:t>.</w:t>
      </w:r>
    </w:p>
    <w:p w14:paraId="33BD53ED" w14:textId="11C2172E" w:rsidR="008A64DF" w:rsidRPr="008360E9" w:rsidRDefault="008A64DF" w:rsidP="008360E9">
      <w:pPr>
        <w:pStyle w:val="Headingb"/>
        <w:rPr>
          <w:lang w:val="es-ES"/>
        </w:rPr>
      </w:pPr>
      <w:r w:rsidRPr="00EF7E07">
        <w:rPr>
          <w:lang w:val="es-ES"/>
        </w:rPr>
        <w:t>Eventos ITU Telecom World 2019 y Digital World</w:t>
      </w:r>
    </w:p>
    <w:bookmarkStart w:id="150" w:name="lt_pId781"/>
    <w:p w14:paraId="01496E3D" w14:textId="5AA9584A" w:rsidR="008A64DF" w:rsidRPr="00C3025E" w:rsidRDefault="008A64DF" w:rsidP="008A64DF">
      <w:pPr>
        <w:rPr>
          <w:lang w:val="es-ES"/>
        </w:rPr>
      </w:pPr>
      <w:r w:rsidRPr="00C3025E">
        <w:rPr>
          <w:lang w:val="es-ES"/>
        </w:rPr>
        <w:fldChar w:fldCharType="begin"/>
      </w:r>
      <w:r>
        <w:rPr>
          <w:lang w:val="es-ES"/>
        </w:rPr>
        <w:instrText>HYPERLINK "https://www.itu.int/es/ITUTELECOM/Pages/world2019.aspx"</w:instrText>
      </w:r>
      <w:r w:rsidRPr="00C3025E">
        <w:rPr>
          <w:lang w:val="es-ES"/>
        </w:rPr>
        <w:fldChar w:fldCharType="separate"/>
      </w:r>
      <w:r w:rsidRPr="00C3025E">
        <w:rPr>
          <w:rStyle w:val="Hyperlink"/>
          <w:lang w:val="es-ES"/>
        </w:rPr>
        <w:t xml:space="preserve">ITU Telecom </w:t>
      </w:r>
      <w:proofErr w:type="spellStart"/>
      <w:r w:rsidRPr="00C3025E">
        <w:rPr>
          <w:rStyle w:val="Hyperlink"/>
          <w:lang w:val="es-ES"/>
        </w:rPr>
        <w:t>World</w:t>
      </w:r>
      <w:proofErr w:type="spellEnd"/>
      <w:r w:rsidRPr="00C3025E">
        <w:rPr>
          <w:rStyle w:val="Hyperlink"/>
          <w:lang w:val="es-ES"/>
        </w:rPr>
        <w:t xml:space="preserve"> 2019</w:t>
      </w:r>
      <w:r w:rsidRPr="00C3025E">
        <w:fldChar w:fldCharType="end"/>
      </w:r>
      <w:r w:rsidRPr="00C3025E">
        <w:rPr>
          <w:lang w:val="es-ES"/>
        </w:rPr>
        <w:t xml:space="preserve"> </w:t>
      </w:r>
      <w:r>
        <w:rPr>
          <w:lang w:val="es-ES"/>
        </w:rPr>
        <w:t>celebrado</w:t>
      </w:r>
      <w:r w:rsidRPr="00C3025E">
        <w:rPr>
          <w:lang w:val="es-ES"/>
        </w:rPr>
        <w:t xml:space="preserve"> del 9 al 12 de septiembre en Budapest (Hungría), bajo el lema "Innovar juntos: la conectividad que importa"</w:t>
      </w:r>
      <w:r>
        <w:rPr>
          <w:lang w:val="es-ES"/>
        </w:rPr>
        <w:t>,</w:t>
      </w:r>
      <w:r w:rsidRPr="00C3025E">
        <w:rPr>
          <w:lang w:val="es-ES"/>
        </w:rPr>
        <w:t xml:space="preserve"> congregó a gobiernos, empresas y pymes tecnológicas, para exponer soluciones innovadoras, crear redes, compartir conocimientos y celebrar debates con expertos. Al evento asistieron más de 4</w:t>
      </w:r>
      <w:r>
        <w:rPr>
          <w:lang w:val="es-ES"/>
        </w:rPr>
        <w:t> </w:t>
      </w:r>
      <w:r w:rsidRPr="00C3025E">
        <w:rPr>
          <w:lang w:val="es-ES"/>
        </w:rPr>
        <w:t>000</w:t>
      </w:r>
      <w:r w:rsidR="009A4E96">
        <w:rPr>
          <w:lang w:val="es-ES"/>
        </w:rPr>
        <w:t> </w:t>
      </w:r>
      <w:r w:rsidRPr="00C3025E">
        <w:rPr>
          <w:lang w:val="es-ES"/>
        </w:rPr>
        <w:t>participantes de 135</w:t>
      </w:r>
      <w:r w:rsidR="009A4E96">
        <w:rPr>
          <w:lang w:val="es-ES"/>
        </w:rPr>
        <w:t> </w:t>
      </w:r>
      <w:r w:rsidRPr="00C3025E">
        <w:rPr>
          <w:lang w:val="es-ES"/>
        </w:rPr>
        <w:t>países</w:t>
      </w:r>
      <w:bookmarkEnd w:id="150"/>
      <w:r w:rsidRPr="00C3025E">
        <w:rPr>
          <w:lang w:val="es-ES"/>
        </w:rPr>
        <w:t>.</w:t>
      </w:r>
      <w:r>
        <w:rPr>
          <w:lang w:val="es-ES"/>
        </w:rPr>
        <w:t xml:space="preserve"> </w:t>
      </w:r>
      <w:r w:rsidRPr="00C3025E">
        <w:rPr>
          <w:lang w:val="es-ES"/>
        </w:rPr>
        <w:t xml:space="preserve">El evento incluyó debates de alto nivel, diálogos entre empresas, un conjunto de pymes innovadoras en el campo de la tecnología y gobiernos, eventos </w:t>
      </w:r>
      <w:r>
        <w:rPr>
          <w:lang w:val="es-ES"/>
        </w:rPr>
        <w:t xml:space="preserve">para establecer </w:t>
      </w:r>
      <w:r w:rsidRPr="00C3025E">
        <w:rPr>
          <w:lang w:val="es-ES"/>
        </w:rPr>
        <w:t xml:space="preserve">redes </w:t>
      </w:r>
      <w:r>
        <w:rPr>
          <w:lang w:val="es-ES"/>
        </w:rPr>
        <w:t xml:space="preserve">de contactos </w:t>
      </w:r>
      <w:r w:rsidRPr="00C3025E">
        <w:rPr>
          <w:lang w:val="es-ES"/>
        </w:rPr>
        <w:t xml:space="preserve">y un programa y una ceremonia de entrega de premios de alto nivel. </w:t>
      </w:r>
      <w:bookmarkStart w:id="151" w:name="lt_pId784"/>
      <w:r w:rsidRPr="00C3025E">
        <w:rPr>
          <w:lang w:val="es-ES"/>
        </w:rPr>
        <w:t xml:space="preserve">Las innovaciones premiadas de pymes y grandes empresas se enmarcan en ámbitos tan diversos como la educación en línea, las aeronaves y los drones 5G, las 5G ecológicas, el direccionamiento digital, el aprovechamiento del calor que generan los dispositivos digitales de los centros de datos, los nanosatélites y la supresión de obstáculos a las llamadas de emergencia. Véase más información sobre los aspectos más destacados en el </w:t>
      </w:r>
      <w:hyperlink r:id="rId314" w:history="1">
        <w:r w:rsidRPr="00C3025E">
          <w:rPr>
            <w:rStyle w:val="Hyperlink"/>
            <w:lang w:val="es-ES"/>
          </w:rPr>
          <w:t>informe posterior al evento</w:t>
        </w:r>
      </w:hyperlink>
      <w:r w:rsidRPr="00C3025E">
        <w:rPr>
          <w:lang w:val="es-ES"/>
        </w:rPr>
        <w:t xml:space="preserve"> y</w:t>
      </w:r>
      <w:bookmarkStart w:id="152" w:name="lt_pId786"/>
      <w:bookmarkEnd w:id="151"/>
      <w:r w:rsidRPr="00C3025E">
        <w:rPr>
          <w:lang w:val="es-ES"/>
        </w:rPr>
        <w:t xml:space="preserve"> </w:t>
      </w:r>
      <w:hyperlink r:id="rId315" w:history="1">
        <w:r>
          <w:rPr>
            <w:rStyle w:val="Hyperlink"/>
            <w:lang w:val="es-ES"/>
          </w:rPr>
          <w:t>en línea</w:t>
        </w:r>
      </w:hyperlink>
      <w:r w:rsidRPr="00C3025E">
        <w:rPr>
          <w:lang w:val="es-ES"/>
        </w:rPr>
        <w:t>.</w:t>
      </w:r>
      <w:bookmarkEnd w:id="152"/>
    </w:p>
    <w:p w14:paraId="7916C40B" w14:textId="2FB7273F" w:rsidR="008A64DF" w:rsidRPr="009A4E96" w:rsidRDefault="00AF6115" w:rsidP="008A64DF">
      <w:pPr>
        <w:rPr>
          <w:lang w:val="es-ES" w:eastAsia="en-GB"/>
        </w:rPr>
      </w:pPr>
      <w:hyperlink r:id="rId316" w:history="1">
        <w:r w:rsidR="008A64DF" w:rsidRPr="009A4E96">
          <w:rPr>
            <w:rStyle w:val="Hyperlink"/>
            <w:lang w:val="es-ES" w:eastAsia="en-GB"/>
          </w:rPr>
          <w:t>ITU Virtual Digital World 2020</w:t>
        </w:r>
      </w:hyperlink>
      <w:r w:rsidR="008A64DF" w:rsidRPr="009A4E96">
        <w:rPr>
          <w:lang w:val="es-ES" w:eastAsia="en-GB"/>
        </w:rPr>
        <w:t xml:space="preserve">, </w:t>
      </w:r>
      <w:r w:rsidR="008A64DF" w:rsidRPr="00C3025E">
        <w:rPr>
          <w:lang w:val="es-ES" w:eastAsia="en-GB"/>
        </w:rPr>
        <w:t>se celebró del 20 al 22 de octubre y comprendió mesas redondas ministeriales centradas en "</w:t>
      </w:r>
      <w:r w:rsidR="008A64DF">
        <w:rPr>
          <w:lang w:val="es-ES" w:eastAsia="en-GB"/>
        </w:rPr>
        <w:t>e</w:t>
      </w:r>
      <w:r w:rsidR="008A64DF" w:rsidRPr="00C3025E">
        <w:rPr>
          <w:lang w:val="es-ES" w:eastAsia="en-GB"/>
        </w:rPr>
        <w:t xml:space="preserve">l papel de las tecnologías digitales durante y después de la pandemia de COVID-19", en las que se estudió la conectividad digital en las estrategias nacionales de recuperación económica. </w:t>
      </w:r>
      <w:r w:rsidR="008A64DF">
        <w:rPr>
          <w:lang w:val="es-ES" w:eastAsia="en-GB"/>
        </w:rPr>
        <w:t>E</w:t>
      </w:r>
      <w:r w:rsidR="008A64DF" w:rsidRPr="00C3025E">
        <w:rPr>
          <w:lang w:val="es-ES" w:eastAsia="en-GB"/>
        </w:rPr>
        <w:t xml:space="preserve">n los seminarios web del Foro se estudiaron las políticas, tecnologías y tendencias que impulsan la economía digital, y se celebró una </w:t>
      </w:r>
      <w:r w:rsidR="008A64DF">
        <w:rPr>
          <w:lang w:val="es-ES" w:eastAsia="en-GB"/>
        </w:rPr>
        <w:t>e</w:t>
      </w:r>
      <w:r w:rsidR="008A64DF" w:rsidRPr="00C3025E">
        <w:rPr>
          <w:lang w:val="es-ES" w:eastAsia="en-GB"/>
        </w:rPr>
        <w:t xml:space="preserve">xposición virtual que permitió las </w:t>
      </w:r>
      <w:r w:rsidR="008A64DF" w:rsidRPr="00C3025E">
        <w:rPr>
          <w:lang w:val="es-ES" w:eastAsia="en-GB"/>
        </w:rPr>
        <w:lastRenderedPageBreak/>
        <w:t xml:space="preserve">presentaciones en línea. </w:t>
      </w:r>
      <w:r w:rsidR="008A64DF">
        <w:rPr>
          <w:lang w:val="es-ES" w:eastAsia="en-GB"/>
        </w:rPr>
        <w:t>E</w:t>
      </w:r>
      <w:r w:rsidR="008A64DF" w:rsidRPr="00C3025E">
        <w:rPr>
          <w:lang w:val="es-ES" w:eastAsia="en-GB"/>
        </w:rPr>
        <w:t xml:space="preserve">l evento virtual constó de </w:t>
      </w:r>
      <w:r w:rsidR="008A64DF">
        <w:rPr>
          <w:lang w:val="es-ES" w:eastAsia="en-GB"/>
        </w:rPr>
        <w:t>tres</w:t>
      </w:r>
      <w:r w:rsidR="008A64DF" w:rsidRPr="00C3025E">
        <w:rPr>
          <w:lang w:val="es-ES" w:eastAsia="en-GB"/>
        </w:rPr>
        <w:t xml:space="preserve"> sesiones del Foro y </w:t>
      </w:r>
      <w:r w:rsidR="008A64DF">
        <w:rPr>
          <w:lang w:val="es-ES" w:eastAsia="en-GB"/>
        </w:rPr>
        <w:t>tres</w:t>
      </w:r>
      <w:r w:rsidR="008A64DF" w:rsidRPr="00C3025E">
        <w:rPr>
          <w:lang w:val="es-ES" w:eastAsia="en-GB"/>
        </w:rPr>
        <w:t xml:space="preserve"> mesas redondas ministeriales en las que participaron 83</w:t>
      </w:r>
      <w:r w:rsidR="009A4E96">
        <w:rPr>
          <w:lang w:val="es-ES" w:eastAsia="en-GB"/>
        </w:rPr>
        <w:t> </w:t>
      </w:r>
      <w:r w:rsidR="008A64DF" w:rsidRPr="00C3025E">
        <w:rPr>
          <w:lang w:val="es-ES" w:eastAsia="en-GB"/>
        </w:rPr>
        <w:t>oradores, entre ellos 27 ministros y 13 representantes de Autoridades de Reglamentación. La exposición virtual contó con más de 150 expositores de Viet</w:t>
      </w:r>
      <w:r w:rsidR="008A64DF">
        <w:rPr>
          <w:lang w:val="es-ES" w:eastAsia="en-GB"/>
        </w:rPr>
        <w:t> </w:t>
      </w:r>
      <w:r w:rsidR="008A64DF" w:rsidRPr="00C3025E">
        <w:rPr>
          <w:lang w:val="es-ES" w:eastAsia="en-GB"/>
        </w:rPr>
        <w:t xml:space="preserve">Nam y de otras empresas de alcance mundial, además de </w:t>
      </w:r>
      <w:r w:rsidR="009A4E96">
        <w:rPr>
          <w:lang w:val="es-ES" w:eastAsia="en-GB"/>
        </w:rPr>
        <w:t>diez</w:t>
      </w:r>
      <w:r w:rsidR="008A64DF" w:rsidRPr="00C3025E">
        <w:rPr>
          <w:lang w:val="es-ES" w:eastAsia="en-GB"/>
        </w:rPr>
        <w:t xml:space="preserve"> pabellones nacionales de todo el mundo.</w:t>
      </w:r>
      <w:r w:rsidR="008A64DF" w:rsidRPr="009A4E96">
        <w:rPr>
          <w:lang w:val="es-ES" w:eastAsia="en-GB"/>
        </w:rPr>
        <w:t xml:space="preserve"> Los </w:t>
      </w:r>
      <w:hyperlink r:id="rId317" w:history="1">
        <w:r w:rsidR="009A4E96" w:rsidRPr="009A4E96">
          <w:rPr>
            <w:rStyle w:val="Hyperlink"/>
            <w:lang w:eastAsia="en-GB"/>
          </w:rPr>
          <w:t>p</w:t>
        </w:r>
        <w:r w:rsidR="008A64DF" w:rsidRPr="009A4E96">
          <w:rPr>
            <w:rStyle w:val="Hyperlink"/>
            <w:lang w:eastAsia="en-GB"/>
          </w:rPr>
          <w:t xml:space="preserve">remios a las </w:t>
        </w:r>
        <w:r w:rsidR="00C77895" w:rsidRPr="009A4E96">
          <w:rPr>
            <w:rStyle w:val="Hyperlink"/>
            <w:lang w:eastAsia="en-GB"/>
          </w:rPr>
          <w:t>pymes</w:t>
        </w:r>
      </w:hyperlink>
      <w:r w:rsidR="008A64DF" w:rsidRPr="009A4E96">
        <w:rPr>
          <w:lang w:val="es-ES" w:eastAsia="en-GB"/>
        </w:rPr>
        <w:t xml:space="preserve"> y </w:t>
      </w:r>
      <w:hyperlink r:id="rId318" w:history="1">
        <w:r w:rsidR="009A4E96">
          <w:rPr>
            <w:rStyle w:val="Hyperlink"/>
            <w:lang w:eastAsia="en-GB"/>
          </w:rPr>
          <w:t>c</w:t>
        </w:r>
        <w:r w:rsidR="008A64DF" w:rsidRPr="009A4E96">
          <w:rPr>
            <w:rStyle w:val="Hyperlink"/>
            <w:lang w:eastAsia="en-GB"/>
          </w:rPr>
          <w:t>lases magistrales</w:t>
        </w:r>
      </w:hyperlink>
      <w:r w:rsidR="008A64DF" w:rsidRPr="009A4E96">
        <w:rPr>
          <w:lang w:val="es-ES" w:eastAsia="en-GB"/>
        </w:rPr>
        <w:t xml:space="preserve"> virtuales de ITU Digital World 2020 se celebraron en noviembre y diciembre de 2020.</w:t>
      </w:r>
    </w:p>
    <w:p w14:paraId="3C423593" w14:textId="33E630EC" w:rsidR="008360E9" w:rsidRPr="008360E9" w:rsidRDefault="00AF6115" w:rsidP="008360E9">
      <w:pPr>
        <w:rPr>
          <w:lang w:val="es-ES" w:eastAsia="en-GB"/>
        </w:rPr>
      </w:pPr>
      <w:hyperlink r:id="rId319" w:history="1">
        <w:r w:rsidR="008360E9" w:rsidRPr="00EF7E07">
          <w:rPr>
            <w:rStyle w:val="Hyperlink"/>
            <w:lang w:val="es-ES" w:eastAsia="en-GB"/>
          </w:rPr>
          <w:t>ITU Digital World 2021</w:t>
        </w:r>
      </w:hyperlink>
      <w:r w:rsidR="008360E9" w:rsidRPr="008360E9">
        <w:rPr>
          <w:lang w:val="es-ES" w:eastAsia="en-GB"/>
        </w:rPr>
        <w:t xml:space="preserve">, tuvo lugar en línea, de septiembre a diciembre de 2021, y </w:t>
      </w:r>
      <w:r w:rsidR="00876FCF" w:rsidRPr="008360E9">
        <w:rPr>
          <w:lang w:val="es-ES" w:eastAsia="en-GB"/>
        </w:rPr>
        <w:t>conmemoró</w:t>
      </w:r>
      <w:r w:rsidR="008360E9" w:rsidRPr="008360E9">
        <w:rPr>
          <w:lang w:val="es-ES" w:eastAsia="en-GB"/>
        </w:rPr>
        <w:t xml:space="preserve"> el 50º aniversario de los eventos de ITU Telecom. El evento se centró en la transformación digital; la infraestructura esencial para la transformación digital; la financiación y la facilitación de transformación digital a través de debates políticos con ministros, jefes de </w:t>
      </w:r>
      <w:r w:rsidR="00EF7E07">
        <w:rPr>
          <w:lang w:val="es-ES" w:eastAsia="en-GB"/>
        </w:rPr>
        <w:t xml:space="preserve">organismos </w:t>
      </w:r>
      <w:r w:rsidR="008360E9" w:rsidRPr="008360E9">
        <w:rPr>
          <w:lang w:val="es-ES" w:eastAsia="en-GB"/>
        </w:rPr>
        <w:t xml:space="preserve">reguladores y líderes del sector tecnológico; así como los factores que aceleran la transformación digital, como la IA, la ciberseguridad, las competencias digitales y la sostenibilidad. La información sobre las clases magistrales en línea para </w:t>
      </w:r>
      <w:r w:rsidR="00C77895" w:rsidRPr="008360E9">
        <w:rPr>
          <w:lang w:val="es-ES" w:eastAsia="en-GB"/>
        </w:rPr>
        <w:t>pyme</w:t>
      </w:r>
      <w:r w:rsidR="00C77895">
        <w:rPr>
          <w:lang w:val="es-ES" w:eastAsia="en-GB"/>
        </w:rPr>
        <w:t>s</w:t>
      </w:r>
      <w:r w:rsidR="00C77895" w:rsidRPr="008360E9">
        <w:rPr>
          <w:lang w:val="es-ES" w:eastAsia="en-GB"/>
        </w:rPr>
        <w:t xml:space="preserve"> </w:t>
      </w:r>
      <w:r w:rsidR="008360E9" w:rsidRPr="008360E9">
        <w:rPr>
          <w:lang w:val="es-ES" w:eastAsia="en-GB"/>
        </w:rPr>
        <w:t xml:space="preserve">está disponible en este </w:t>
      </w:r>
      <w:hyperlink r:id="rId320" w:anchor="MC" w:history="1">
        <w:r w:rsidR="008360E9" w:rsidRPr="008360E9">
          <w:rPr>
            <w:rStyle w:val="Hyperlink"/>
            <w:lang w:val="es-ES" w:eastAsia="en-GB"/>
          </w:rPr>
          <w:t>enlace</w:t>
        </w:r>
      </w:hyperlink>
      <w:r w:rsidR="008360E9" w:rsidRPr="008360E9">
        <w:rPr>
          <w:lang w:val="es-ES" w:eastAsia="en-GB"/>
        </w:rPr>
        <w:t>. Los aspectos más destacados del evento figuran en</w:t>
      </w:r>
      <w:r w:rsidR="00EF7E07">
        <w:rPr>
          <w:lang w:val="es-ES" w:eastAsia="en-GB"/>
        </w:rPr>
        <w:t xml:space="preserve"> este</w:t>
      </w:r>
      <w:r w:rsidR="008360E9" w:rsidRPr="008360E9">
        <w:rPr>
          <w:lang w:val="es-ES" w:eastAsia="en-GB"/>
        </w:rPr>
        <w:t xml:space="preserve"> </w:t>
      </w:r>
      <w:hyperlink r:id="rId321" w:history="1">
        <w:r w:rsidR="008360E9" w:rsidRPr="008360E9">
          <w:rPr>
            <w:rStyle w:val="Hyperlink"/>
            <w:lang w:val="es-ES" w:eastAsia="en-GB"/>
          </w:rPr>
          <w:t>enlace</w:t>
        </w:r>
      </w:hyperlink>
      <w:r w:rsidR="008360E9" w:rsidRPr="008360E9">
        <w:rPr>
          <w:lang w:val="es-ES" w:eastAsia="en-GB"/>
        </w:rPr>
        <w:t>.</w:t>
      </w:r>
    </w:p>
    <w:p w14:paraId="186B40CB" w14:textId="4BD9FDBD" w:rsidR="008360E9" w:rsidRPr="008360E9" w:rsidRDefault="008360E9" w:rsidP="008360E9">
      <w:pPr>
        <w:rPr>
          <w:lang w:val="es-ES" w:eastAsia="en-GB"/>
        </w:rPr>
      </w:pPr>
      <w:r w:rsidRPr="00EF7E07">
        <w:rPr>
          <w:lang w:val="es-ES" w:eastAsia="en-GB"/>
        </w:rPr>
        <w:t>El</w:t>
      </w:r>
      <w:r w:rsidRPr="008360E9">
        <w:rPr>
          <w:lang w:val="es-ES" w:eastAsia="en-GB"/>
        </w:rPr>
        <w:t xml:space="preserve"> evento contó con nueve sesiones de foro, cinco mesas redondas ministeriales y tres sesiones patrocinadas, con un número total de 155 ponentes, de los cuales 31 era representantes ministeriales y 12 de reguladores. En cuanto a la </w:t>
      </w:r>
      <w:r w:rsidR="00EF7E07">
        <w:rPr>
          <w:lang w:val="es-ES" w:eastAsia="en-GB"/>
        </w:rPr>
        <w:t>e</w:t>
      </w:r>
      <w:r w:rsidRPr="008360E9">
        <w:rPr>
          <w:lang w:val="es-ES" w:eastAsia="en-GB"/>
        </w:rPr>
        <w:t xml:space="preserve">xposición </w:t>
      </w:r>
      <w:r w:rsidR="00EF7E07">
        <w:rPr>
          <w:lang w:val="es-ES" w:eastAsia="en-GB"/>
        </w:rPr>
        <w:t>v</w:t>
      </w:r>
      <w:r w:rsidRPr="008360E9">
        <w:rPr>
          <w:lang w:val="es-ES" w:eastAsia="en-GB"/>
        </w:rPr>
        <w:t>irtual, se contó con 124 pabellones de empresas vietnamitas y mundiales, y cinco pabellones nacionales de todo el mundo</w:t>
      </w:r>
      <w:r>
        <w:rPr>
          <w:lang w:val="es-ES" w:eastAsia="en-GB"/>
        </w:rPr>
        <w:t>.</w:t>
      </w:r>
    </w:p>
    <w:p w14:paraId="65A15C86" w14:textId="1622D084" w:rsidR="008360E9" w:rsidRPr="008360E9" w:rsidRDefault="008360E9" w:rsidP="008360E9">
      <w:pPr>
        <w:rPr>
          <w:lang w:val="es-ES" w:eastAsia="en-GB"/>
        </w:rPr>
      </w:pPr>
      <w:r w:rsidRPr="00813D2F">
        <w:rPr>
          <w:lang w:val="es-ES" w:eastAsia="en-GB"/>
        </w:rPr>
        <w:t>Los</w:t>
      </w:r>
      <w:r w:rsidRPr="008360E9">
        <w:rPr>
          <w:lang w:val="es-ES" w:eastAsia="en-GB"/>
        </w:rPr>
        <w:t xml:space="preserve"> Premios </w:t>
      </w:r>
      <w:r w:rsidR="007F637D">
        <w:rPr>
          <w:lang w:val="es-ES" w:eastAsia="en-GB"/>
        </w:rPr>
        <w:t>d</w:t>
      </w:r>
      <w:r w:rsidRPr="008360E9">
        <w:rPr>
          <w:lang w:val="es-ES" w:eastAsia="en-GB"/>
        </w:rPr>
        <w:t xml:space="preserve">igitales </w:t>
      </w:r>
      <w:r w:rsidR="007F637D">
        <w:rPr>
          <w:lang w:val="es-ES" w:eastAsia="en-GB"/>
        </w:rPr>
        <w:t>m</w:t>
      </w:r>
      <w:r w:rsidRPr="008360E9">
        <w:rPr>
          <w:lang w:val="es-ES" w:eastAsia="en-GB"/>
        </w:rPr>
        <w:t xml:space="preserve">undiales y el Programa </w:t>
      </w:r>
      <w:r w:rsidR="007F637D">
        <w:rPr>
          <w:lang w:val="es-ES" w:eastAsia="en-GB"/>
        </w:rPr>
        <w:t>para</w:t>
      </w:r>
      <w:r w:rsidRPr="008360E9">
        <w:rPr>
          <w:lang w:val="es-ES" w:eastAsia="en-GB"/>
        </w:rPr>
        <w:t xml:space="preserve"> </w:t>
      </w:r>
      <w:r w:rsidR="00C77895" w:rsidRPr="008360E9">
        <w:rPr>
          <w:lang w:val="es-ES" w:eastAsia="en-GB"/>
        </w:rPr>
        <w:t>pyme</w:t>
      </w:r>
      <w:r w:rsidR="00C77895">
        <w:rPr>
          <w:lang w:val="es-ES" w:eastAsia="en-GB"/>
        </w:rPr>
        <w:t>s</w:t>
      </w:r>
      <w:r w:rsidR="00C77895" w:rsidRPr="008360E9">
        <w:rPr>
          <w:lang w:val="es-ES" w:eastAsia="en-GB"/>
        </w:rPr>
        <w:t xml:space="preserve"> </w:t>
      </w:r>
      <w:r w:rsidRPr="008360E9">
        <w:rPr>
          <w:lang w:val="es-ES" w:eastAsia="en-GB"/>
        </w:rPr>
        <w:t xml:space="preserve">de la UIT presentaron y reconocieron las soluciones innovadoras basadas en las TIC con repercusiones sociales, con categorías de candidatos determinadas mediante una combinación de información procedente de los eventos, el análisis de los anteriores expositores de </w:t>
      </w:r>
      <w:r w:rsidR="00C77895" w:rsidRPr="008360E9">
        <w:rPr>
          <w:lang w:val="es-ES" w:eastAsia="en-GB"/>
        </w:rPr>
        <w:t>pyme</w:t>
      </w:r>
      <w:r w:rsidR="00C77895">
        <w:rPr>
          <w:lang w:val="es-ES" w:eastAsia="en-GB"/>
        </w:rPr>
        <w:t>s</w:t>
      </w:r>
      <w:r w:rsidR="00C77895" w:rsidRPr="008360E9">
        <w:rPr>
          <w:lang w:val="es-ES" w:eastAsia="en-GB"/>
        </w:rPr>
        <w:t xml:space="preserve"> </w:t>
      </w:r>
      <w:r w:rsidRPr="008360E9">
        <w:rPr>
          <w:lang w:val="es-ES" w:eastAsia="en-GB"/>
        </w:rPr>
        <w:t xml:space="preserve">y la investigación de las tendencias mundiales. El programa para pymes consistió en un total de 13 sesiones, a saber, </w:t>
      </w:r>
      <w:r w:rsidR="00813D2F">
        <w:rPr>
          <w:lang w:val="es-ES" w:eastAsia="en-GB"/>
        </w:rPr>
        <w:t>siete (</w:t>
      </w:r>
      <w:r w:rsidRPr="008360E9">
        <w:rPr>
          <w:lang w:val="es-ES" w:eastAsia="en-GB"/>
        </w:rPr>
        <w:t>7</w:t>
      </w:r>
      <w:r w:rsidR="00813D2F">
        <w:rPr>
          <w:lang w:val="es-ES" w:eastAsia="en-GB"/>
        </w:rPr>
        <w:t>)</w:t>
      </w:r>
      <w:r w:rsidRPr="008360E9">
        <w:rPr>
          <w:lang w:val="es-ES" w:eastAsia="en-GB"/>
        </w:rPr>
        <w:t xml:space="preserve"> de clases magistrales para pymes y </w:t>
      </w:r>
      <w:r w:rsidR="00813D2F">
        <w:rPr>
          <w:lang w:val="es-ES" w:eastAsia="en-GB"/>
        </w:rPr>
        <w:t xml:space="preserve">seis(6) de </w:t>
      </w:r>
      <w:r w:rsidRPr="008360E9">
        <w:rPr>
          <w:lang w:val="es-ES" w:eastAsia="en-GB"/>
        </w:rPr>
        <w:t xml:space="preserve">sesiones de premios y programas para pymes; habida cuenta </w:t>
      </w:r>
      <w:r w:rsidR="00813D2F">
        <w:rPr>
          <w:lang w:val="es-ES" w:eastAsia="en-GB"/>
        </w:rPr>
        <w:t>que</w:t>
      </w:r>
      <w:r w:rsidRPr="008360E9">
        <w:rPr>
          <w:lang w:val="es-ES" w:eastAsia="en-GB"/>
        </w:rPr>
        <w:t xml:space="preserve"> la Resolución 11 de la PP estipula que </w:t>
      </w:r>
      <w:r w:rsidR="00813D2F">
        <w:rPr>
          <w:lang w:val="es-ES" w:eastAsia="en-GB"/>
        </w:rPr>
        <w:t>"</w:t>
      </w:r>
      <w:r w:rsidRPr="001B1357">
        <w:rPr>
          <w:lang w:val="es-ES" w:eastAsia="en-GB"/>
        </w:rPr>
        <w:t>12</w:t>
      </w:r>
      <w:r w:rsidRPr="008360E9">
        <w:rPr>
          <w:lang w:val="es-ES" w:eastAsia="en-GB"/>
        </w:rPr>
        <w:t xml:space="preserve"> que la Unión, en colaboración con sus Estados Miembros y Miembros de Sector, fomente conscientemente la participación de las </w:t>
      </w:r>
      <w:r w:rsidR="00C77895" w:rsidRPr="008360E9">
        <w:rPr>
          <w:lang w:val="es-ES" w:eastAsia="en-GB"/>
        </w:rPr>
        <w:t>pyme</w:t>
      </w:r>
      <w:r w:rsidR="00C77895">
        <w:rPr>
          <w:lang w:val="es-ES" w:eastAsia="en-GB"/>
        </w:rPr>
        <w:t>s</w:t>
      </w:r>
      <w:r w:rsidR="00C77895" w:rsidRPr="008360E9">
        <w:rPr>
          <w:lang w:val="es-ES" w:eastAsia="en-GB"/>
        </w:rPr>
        <w:t xml:space="preserve"> </w:t>
      </w:r>
      <w:r w:rsidRPr="008360E9">
        <w:rPr>
          <w:lang w:val="es-ES" w:eastAsia="en-GB"/>
        </w:rPr>
        <w:t>en los eventos de la</w:t>
      </w:r>
      <w:r w:rsidR="00813D2F">
        <w:rPr>
          <w:lang w:val="es-ES" w:eastAsia="en-GB"/>
        </w:rPr>
        <w:t> </w:t>
      </w:r>
      <w:r w:rsidRPr="008360E9">
        <w:rPr>
          <w:lang w:val="es-ES" w:eastAsia="en-GB"/>
        </w:rPr>
        <w:t xml:space="preserve">UIT incorporando cuestiones de importancia para las </w:t>
      </w:r>
      <w:r w:rsidR="00C77895" w:rsidRPr="008360E9">
        <w:rPr>
          <w:lang w:val="es-ES" w:eastAsia="en-GB"/>
        </w:rPr>
        <w:t>pyme</w:t>
      </w:r>
      <w:r w:rsidR="00C77895">
        <w:rPr>
          <w:lang w:val="es-ES" w:eastAsia="en-GB"/>
        </w:rPr>
        <w:t>s</w:t>
      </w:r>
      <w:r w:rsidR="00C77895" w:rsidRPr="008360E9">
        <w:rPr>
          <w:lang w:val="es-ES" w:eastAsia="en-GB"/>
        </w:rPr>
        <w:t xml:space="preserve"> </w:t>
      </w:r>
      <w:r w:rsidRPr="008360E9">
        <w:rPr>
          <w:lang w:val="es-ES" w:eastAsia="en-GB"/>
        </w:rPr>
        <w:t xml:space="preserve">en los programas de esos eventos y permitiendo a las </w:t>
      </w:r>
      <w:r w:rsidR="00C77895" w:rsidRPr="008360E9">
        <w:rPr>
          <w:lang w:val="es-ES" w:eastAsia="en-GB"/>
        </w:rPr>
        <w:t>pyme</w:t>
      </w:r>
      <w:r w:rsidR="00C77895">
        <w:rPr>
          <w:lang w:val="es-ES" w:eastAsia="en-GB"/>
        </w:rPr>
        <w:t>s</w:t>
      </w:r>
      <w:r w:rsidR="00C77895" w:rsidRPr="008360E9">
        <w:rPr>
          <w:lang w:val="es-ES" w:eastAsia="en-GB"/>
        </w:rPr>
        <w:t xml:space="preserve"> </w:t>
      </w:r>
      <w:r w:rsidRPr="008360E9">
        <w:rPr>
          <w:lang w:val="es-ES" w:eastAsia="en-GB"/>
        </w:rPr>
        <w:t>pronunciarse sobre las cuestiones reglamentarias y burocráticas que les afectan</w:t>
      </w:r>
      <w:r w:rsidR="00813D2F">
        <w:rPr>
          <w:lang w:val="es-ES" w:eastAsia="en-GB"/>
        </w:rPr>
        <w:t>"</w:t>
      </w:r>
      <w:r w:rsidRPr="008360E9">
        <w:rPr>
          <w:lang w:val="es-ES" w:eastAsia="en-GB"/>
        </w:rPr>
        <w:t>.</w:t>
      </w:r>
    </w:p>
    <w:p w14:paraId="15533E01" w14:textId="6C32F5F2" w:rsidR="008A64DF" w:rsidRDefault="008A64DF" w:rsidP="008360E9">
      <w:pPr>
        <w:pStyle w:val="Headingb"/>
        <w:rPr>
          <w:lang w:val="es-ES"/>
        </w:rPr>
      </w:pPr>
      <w:r w:rsidRPr="008360E9">
        <w:rPr>
          <w:lang w:val="es-ES"/>
        </w:rPr>
        <w:t>FMPT-21</w:t>
      </w:r>
    </w:p>
    <w:p w14:paraId="27F84B26" w14:textId="551278C4" w:rsidR="008360E9" w:rsidRPr="008360E9" w:rsidRDefault="008360E9" w:rsidP="008360E9">
      <w:pPr>
        <w:rPr>
          <w:lang w:val="es-ES" w:eastAsia="en-GB"/>
        </w:rPr>
      </w:pPr>
      <w:r w:rsidRPr="008360E9">
        <w:rPr>
          <w:lang w:val="es-ES" w:eastAsia="en-GB"/>
        </w:rPr>
        <w:t xml:space="preserve">El </w:t>
      </w:r>
      <w:hyperlink r:id="rId322" w:history="1">
        <w:r w:rsidRPr="008360E9">
          <w:rPr>
            <w:rStyle w:val="Hyperlink"/>
            <w:lang w:val="es-ES" w:eastAsia="en-GB"/>
          </w:rPr>
          <w:t>sexto Foro Mundial de Políticas de Telecomunicaciones</w:t>
        </w:r>
      </w:hyperlink>
      <w:r w:rsidRPr="008360E9">
        <w:rPr>
          <w:lang w:val="es-ES" w:eastAsia="en-GB"/>
        </w:rPr>
        <w:t xml:space="preserve">, se celebró de manera virtual del 16 al 18 de diciembre de 2021, con el tema </w:t>
      </w:r>
      <w:r w:rsidR="00813D2F">
        <w:rPr>
          <w:lang w:val="es-ES" w:eastAsia="en-GB"/>
        </w:rPr>
        <w:t>"</w:t>
      </w:r>
      <w:r w:rsidRPr="008360E9">
        <w:rPr>
          <w:lang w:val="es-ES" w:eastAsia="en-GB"/>
        </w:rPr>
        <w:t>Políticas para la movilización de telecomunicaciones/TIC nuevas e incipientes en aras del desarrollo sostenible</w:t>
      </w:r>
      <w:r w:rsidR="00813D2F">
        <w:rPr>
          <w:lang w:val="es-ES" w:eastAsia="en-GB"/>
        </w:rPr>
        <w:t>"</w:t>
      </w:r>
      <w:r w:rsidRPr="008360E9">
        <w:rPr>
          <w:iCs/>
          <w:lang w:val="es-ES" w:eastAsia="en-GB"/>
        </w:rPr>
        <w:t xml:space="preserve">. </w:t>
      </w:r>
      <w:r w:rsidR="00813D2F">
        <w:rPr>
          <w:iCs/>
          <w:lang w:val="es-ES" w:eastAsia="en-GB"/>
        </w:rPr>
        <w:t xml:space="preserve">El </w:t>
      </w:r>
      <w:r w:rsidRPr="008360E9">
        <w:rPr>
          <w:lang w:val="es-ES" w:eastAsia="en-GB"/>
        </w:rPr>
        <w:t>FMPT-21 examinó cómo las tecnologías y tendencias digitales nuevas e incipientes pueden propiciar la transición a la economía digital a escala mundial. Entre los temas objeto de debate cabe destacar la IA, la IoT, la 5G, los macrodatos y los OTT, ofreciendo así una plataforma centrada en las oportunidades, los retos y las políticas capaces de fomentar el desarrollo sostenible</w:t>
      </w:r>
      <w:r w:rsidRPr="008360E9">
        <w:rPr>
          <w:iCs/>
          <w:lang w:val="es-ES" w:eastAsia="en-GB"/>
        </w:rPr>
        <w:t>.</w:t>
      </w:r>
    </w:p>
    <w:p w14:paraId="769FB18E" w14:textId="77777777" w:rsidR="008A64DF" w:rsidRPr="008360E9" w:rsidRDefault="008A64DF" w:rsidP="008360E9">
      <w:pPr>
        <w:rPr>
          <w:lang w:val="es-ES" w:eastAsia="en-GB"/>
        </w:rPr>
      </w:pPr>
      <w:r w:rsidRPr="008360E9">
        <w:rPr>
          <w:lang w:val="es-ES" w:eastAsia="en-GB"/>
        </w:rPr>
        <w:t>Se examinaron cinco proyectos de Opinión:</w:t>
      </w:r>
    </w:p>
    <w:p w14:paraId="269F2AE4" w14:textId="5D6127FB" w:rsidR="008A64DF" w:rsidRPr="00B27068" w:rsidRDefault="00B27068" w:rsidP="00B27068">
      <w:pPr>
        <w:pStyle w:val="enumlev1"/>
        <w:rPr>
          <w:lang w:val="es-ES" w:eastAsia="en-GB"/>
        </w:rPr>
      </w:pPr>
      <w:r w:rsidRPr="00B27068">
        <w:rPr>
          <w:lang w:val="es-ES" w:eastAsia="en-GB"/>
        </w:rPr>
        <w:t>•</w:t>
      </w:r>
      <w:r>
        <w:rPr>
          <w:lang w:val="es-ES" w:eastAsia="en-GB"/>
        </w:rPr>
        <w:tab/>
      </w:r>
      <w:r w:rsidR="008A64DF" w:rsidRPr="00B27068">
        <w:rPr>
          <w:lang w:val="es-ES" w:eastAsia="en-GB"/>
        </w:rPr>
        <w:t>Proyecto de Opinión 1: Entorno propicio al desarrollo y la implantación de servicios y tecnologías de telecomunicaciones/TIC nuevos e incipientes en favor del desarrollo sostenible</w:t>
      </w:r>
    </w:p>
    <w:p w14:paraId="433D35CF" w14:textId="1F504425" w:rsidR="008A64DF" w:rsidRPr="00B27068" w:rsidRDefault="00B27068" w:rsidP="00B27068">
      <w:pPr>
        <w:pStyle w:val="enumlev1"/>
        <w:rPr>
          <w:lang w:val="es-ES" w:eastAsia="en-GB"/>
        </w:rPr>
      </w:pPr>
      <w:r w:rsidRPr="00B27068">
        <w:rPr>
          <w:lang w:val="es-ES" w:eastAsia="en-GB"/>
        </w:rPr>
        <w:t>•</w:t>
      </w:r>
      <w:r>
        <w:rPr>
          <w:lang w:val="es-ES" w:eastAsia="en-GB"/>
        </w:rPr>
        <w:tab/>
      </w:r>
      <w:r w:rsidR="008A64DF" w:rsidRPr="00B27068">
        <w:rPr>
          <w:lang w:val="es-ES" w:eastAsia="en-GB"/>
        </w:rPr>
        <w:t>Proyecto de Opinión 2: Conectividad asequible y segura para movilizar las telecomunicaciones/TIC nuevas e incipientes para el desarrollo sostenible</w:t>
      </w:r>
    </w:p>
    <w:p w14:paraId="1E461CE5" w14:textId="655309FE" w:rsidR="008A64DF" w:rsidRPr="00B27068" w:rsidRDefault="00B27068" w:rsidP="00B27068">
      <w:pPr>
        <w:pStyle w:val="enumlev1"/>
        <w:rPr>
          <w:lang w:val="es-ES" w:eastAsia="en-GB"/>
        </w:rPr>
      </w:pPr>
      <w:r w:rsidRPr="00B27068">
        <w:rPr>
          <w:lang w:val="es-ES" w:eastAsia="en-GB"/>
        </w:rPr>
        <w:t>•</w:t>
      </w:r>
      <w:r>
        <w:rPr>
          <w:lang w:val="es-ES" w:eastAsia="en-GB"/>
        </w:rPr>
        <w:tab/>
      </w:r>
      <w:r w:rsidR="008A64DF" w:rsidRPr="00B27068">
        <w:rPr>
          <w:lang w:val="es-ES" w:eastAsia="en-GB"/>
        </w:rPr>
        <w:t>Proyecto de Opinión 3: Alfabetización y competencias digitales para un acceso inclusivo</w:t>
      </w:r>
    </w:p>
    <w:p w14:paraId="02CF36BE" w14:textId="3DB34B36" w:rsidR="008A64DF" w:rsidRPr="00B27068" w:rsidRDefault="00B27068" w:rsidP="00B27068">
      <w:pPr>
        <w:pStyle w:val="enumlev1"/>
        <w:rPr>
          <w:lang w:val="es-ES" w:eastAsia="en-GB"/>
        </w:rPr>
      </w:pPr>
      <w:r w:rsidRPr="00B27068">
        <w:rPr>
          <w:lang w:val="es-ES" w:eastAsia="en-GB"/>
        </w:rPr>
        <w:lastRenderedPageBreak/>
        <w:t>•</w:t>
      </w:r>
      <w:r>
        <w:rPr>
          <w:lang w:val="es-ES" w:eastAsia="en-GB"/>
        </w:rPr>
        <w:tab/>
      </w:r>
      <w:r w:rsidR="008A64DF" w:rsidRPr="00B27068">
        <w:rPr>
          <w:lang w:val="es-ES" w:eastAsia="en-GB"/>
        </w:rPr>
        <w:t xml:space="preserve">Proyecto de Opinión 4: Tecnologías y servicios nuevos </w:t>
      </w:r>
      <w:r w:rsidR="00E30044" w:rsidRPr="00B27068">
        <w:rPr>
          <w:lang w:val="es-ES" w:eastAsia="en-GB"/>
        </w:rPr>
        <w:t>e incipientes</w:t>
      </w:r>
      <w:r w:rsidR="008A64DF" w:rsidRPr="00B27068">
        <w:rPr>
          <w:lang w:val="es-ES" w:eastAsia="en-GB"/>
        </w:rPr>
        <w:t xml:space="preserve"> para facilitar el uso de las telecomunicaciones/TIC en pro del desarrollo sostenible</w:t>
      </w:r>
    </w:p>
    <w:p w14:paraId="6273B751" w14:textId="22592CB6" w:rsidR="008A64DF" w:rsidRPr="00B04A9A" w:rsidRDefault="00B27068" w:rsidP="00B27068">
      <w:pPr>
        <w:pStyle w:val="enumlev1"/>
        <w:rPr>
          <w:lang w:val="es-ES" w:eastAsia="en-GB"/>
        </w:rPr>
      </w:pPr>
      <w:r w:rsidRPr="00B27068">
        <w:rPr>
          <w:lang w:val="es-ES" w:eastAsia="en-GB"/>
        </w:rPr>
        <w:t>•</w:t>
      </w:r>
      <w:r>
        <w:rPr>
          <w:lang w:val="es-ES" w:eastAsia="en-GB"/>
        </w:rPr>
        <w:tab/>
      </w:r>
      <w:r w:rsidR="008A64DF" w:rsidRPr="00B27068">
        <w:rPr>
          <w:lang w:val="es-ES" w:eastAsia="en-GB"/>
        </w:rPr>
        <w:t>Proyecto de Opinión 5: Utilización de las telecomunicaciones/TIC en el marco de la COVID-19 y en la preparación y respuesta ante futuras pandemias y epidemias</w:t>
      </w:r>
    </w:p>
    <w:p w14:paraId="6E553E5D" w14:textId="774DEBBE" w:rsidR="008A64DF" w:rsidRPr="00B04A9A" w:rsidRDefault="008A64DF" w:rsidP="008A64DF">
      <w:pPr>
        <w:pStyle w:val="Heading1"/>
        <w:rPr>
          <w:lang w:val="es-ES" w:eastAsia="en-GB"/>
        </w:rPr>
      </w:pPr>
      <w:bookmarkStart w:id="153" w:name="_Toc37860466"/>
      <w:bookmarkStart w:id="154" w:name="_Toc37861227"/>
      <w:bookmarkStart w:id="155" w:name="_Toc37943350"/>
      <w:bookmarkStart w:id="156" w:name="_Toc90552449"/>
      <w:bookmarkStart w:id="157" w:name="_Toc97821271"/>
      <w:r w:rsidRPr="00E23D86">
        <w:rPr>
          <w:lang w:val="es-ES" w:eastAsia="en-GB"/>
        </w:rPr>
        <w:t>2</w:t>
      </w:r>
      <w:r w:rsidRPr="00E23D86">
        <w:rPr>
          <w:lang w:val="es-ES" w:eastAsia="en-GB"/>
        </w:rPr>
        <w:tab/>
        <w:t>Otras actividades fundamentales de la Secretaría en apoyo de los miembros de la UIT</w:t>
      </w:r>
      <w:bookmarkEnd w:id="153"/>
      <w:bookmarkEnd w:id="154"/>
      <w:bookmarkEnd w:id="155"/>
      <w:bookmarkEnd w:id="156"/>
      <w:bookmarkEnd w:id="157"/>
    </w:p>
    <w:p w14:paraId="5746747D" w14:textId="2A10AC13" w:rsidR="008A64DF" w:rsidRPr="00C3025E" w:rsidRDefault="008A64DF" w:rsidP="005F0C0A">
      <w:pPr>
        <w:keepNext/>
        <w:keepLines/>
        <w:rPr>
          <w:lang w:val="es-ES"/>
        </w:rPr>
      </w:pPr>
      <w:bookmarkStart w:id="158" w:name="lt_pId788"/>
      <w:r w:rsidRPr="00C3025E">
        <w:rPr>
          <w:lang w:val="es-ES"/>
        </w:rPr>
        <w:t xml:space="preserve">La Secretaría de la UIT (por conducto de sus tres Oficinas y de la Secretaría General) sigue perfeccionando y mejorando los servicios que presta a los miembros de la Unión. En este capítulo se resumen </w:t>
      </w:r>
      <w:r>
        <w:rPr>
          <w:lang w:val="es-ES"/>
        </w:rPr>
        <w:t xml:space="preserve">importantes </w:t>
      </w:r>
      <w:r w:rsidRPr="00C3025E">
        <w:rPr>
          <w:lang w:val="es-ES"/>
        </w:rPr>
        <w:t xml:space="preserve">iniciativas </w:t>
      </w:r>
      <w:r>
        <w:rPr>
          <w:lang w:val="es-ES"/>
        </w:rPr>
        <w:t xml:space="preserve">que se emprendieron </w:t>
      </w:r>
      <w:r w:rsidRPr="00C3025E">
        <w:rPr>
          <w:lang w:val="es-ES"/>
        </w:rPr>
        <w:t xml:space="preserve">durante el periodo </w:t>
      </w:r>
      <w:r>
        <w:rPr>
          <w:lang w:val="es-ES"/>
        </w:rPr>
        <w:t xml:space="preserve">2018-2021 </w:t>
      </w:r>
      <w:r w:rsidRPr="00C3025E">
        <w:rPr>
          <w:lang w:val="es-ES"/>
        </w:rPr>
        <w:t xml:space="preserve">en relación con cuatro </w:t>
      </w:r>
      <w:r>
        <w:rPr>
          <w:lang w:val="es-ES"/>
        </w:rPr>
        <w:t xml:space="preserve">aspectos </w:t>
      </w:r>
      <w:r w:rsidRPr="00C3025E">
        <w:rPr>
          <w:lang w:val="es-ES"/>
        </w:rPr>
        <w:t>de los servicios que la UIT</w:t>
      </w:r>
      <w:r>
        <w:rPr>
          <w:lang w:val="es-ES"/>
        </w:rPr>
        <w:t xml:space="preserve"> presta a sus miembros</w:t>
      </w:r>
      <w:r w:rsidRPr="00C3025E">
        <w:rPr>
          <w:lang w:val="es-ES"/>
        </w:rPr>
        <w:t xml:space="preserve">, a saber: el funcionamiento de sus órganos rectores; herramientas de colaboración vanguardistas; </w:t>
      </w:r>
      <w:r>
        <w:rPr>
          <w:lang w:val="es-ES"/>
        </w:rPr>
        <w:t xml:space="preserve">adaptación de </w:t>
      </w:r>
      <w:r w:rsidRPr="00C3025E">
        <w:rPr>
          <w:lang w:val="es-ES"/>
        </w:rPr>
        <w:t xml:space="preserve">la estructura de las unidades funcionales </w:t>
      </w:r>
      <w:r>
        <w:rPr>
          <w:lang w:val="es-ES"/>
        </w:rPr>
        <w:t xml:space="preserve">a </w:t>
      </w:r>
      <w:r w:rsidRPr="00C3025E">
        <w:rPr>
          <w:lang w:val="es-ES"/>
        </w:rPr>
        <w:t xml:space="preserve">los </w:t>
      </w:r>
      <w:r>
        <w:rPr>
          <w:lang w:val="es-ES"/>
        </w:rPr>
        <w:t xml:space="preserve">retos </w:t>
      </w:r>
      <w:r w:rsidRPr="00C3025E">
        <w:rPr>
          <w:lang w:val="es-ES"/>
        </w:rPr>
        <w:t xml:space="preserve">y oportunidades </w:t>
      </w:r>
      <w:r>
        <w:rPr>
          <w:lang w:val="es-ES"/>
        </w:rPr>
        <w:t xml:space="preserve">resultantes </w:t>
      </w:r>
      <w:r w:rsidRPr="00C3025E">
        <w:rPr>
          <w:lang w:val="es-ES"/>
        </w:rPr>
        <w:t xml:space="preserve">de una sociedad cada vez más digital; y </w:t>
      </w:r>
      <w:r>
        <w:rPr>
          <w:lang w:val="es-ES"/>
        </w:rPr>
        <w:t xml:space="preserve">refuerzo de </w:t>
      </w:r>
      <w:r w:rsidRPr="00C3025E">
        <w:rPr>
          <w:lang w:val="es-ES"/>
        </w:rPr>
        <w:t>los servicios generales de apoyo a los miembros de la</w:t>
      </w:r>
      <w:r w:rsidR="00B27068">
        <w:rPr>
          <w:lang w:val="es-ES"/>
        </w:rPr>
        <w:t> </w:t>
      </w:r>
      <w:r w:rsidRPr="00C3025E">
        <w:rPr>
          <w:lang w:val="es-ES"/>
        </w:rPr>
        <w:t>UIT.</w:t>
      </w:r>
      <w:bookmarkEnd w:id="158"/>
    </w:p>
    <w:p w14:paraId="44EFBF3E" w14:textId="441421CD" w:rsidR="008A64DF" w:rsidRPr="00B04A9A" w:rsidRDefault="008A64DF" w:rsidP="00B27068">
      <w:pPr>
        <w:pStyle w:val="Heading2"/>
        <w:rPr>
          <w:lang w:val="es-ES" w:eastAsia="en-GB"/>
        </w:rPr>
      </w:pPr>
      <w:bookmarkStart w:id="159" w:name="_Toc37860467"/>
      <w:bookmarkStart w:id="160" w:name="_Toc37861228"/>
      <w:bookmarkStart w:id="161" w:name="_Toc37943351"/>
      <w:bookmarkStart w:id="162" w:name="Section_2_1"/>
      <w:bookmarkStart w:id="163" w:name="_Toc97821272"/>
      <w:r w:rsidRPr="00FD751F">
        <w:rPr>
          <w:lang w:val="es-ES" w:eastAsia="en-GB"/>
        </w:rPr>
        <w:t>2.1</w:t>
      </w:r>
      <w:r w:rsidRPr="00FD751F">
        <w:rPr>
          <w:lang w:val="es-ES" w:eastAsia="en-GB"/>
        </w:rPr>
        <w:tab/>
        <w:t>UIT-R</w:t>
      </w:r>
      <w:bookmarkEnd w:id="159"/>
      <w:bookmarkEnd w:id="160"/>
      <w:bookmarkEnd w:id="161"/>
      <w:r w:rsidRPr="00FD751F">
        <w:rPr>
          <w:lang w:val="es-ES" w:eastAsia="en-GB"/>
        </w:rPr>
        <w:t xml:space="preserve">: </w:t>
      </w:r>
      <w:bookmarkEnd w:id="162"/>
      <w:r w:rsidRPr="00FD751F">
        <w:rPr>
          <w:lang w:val="es-ES" w:eastAsia="en-GB"/>
        </w:rPr>
        <w:t>Junta del Reglamento de Radiocomunicaciones (RRB), reuniones, adopción de decisiones</w:t>
      </w:r>
      <w:bookmarkEnd w:id="163"/>
    </w:p>
    <w:p w14:paraId="3C889394" w14:textId="77777777" w:rsidR="008A64DF" w:rsidRPr="00C3025E" w:rsidRDefault="008A64DF" w:rsidP="008A64DF">
      <w:pPr>
        <w:rPr>
          <w:lang w:val="es-ES"/>
        </w:rPr>
      </w:pPr>
      <w:bookmarkStart w:id="164" w:name="lt_pId792"/>
      <w:bookmarkStart w:id="165" w:name="_Toc37860468"/>
      <w:bookmarkStart w:id="166" w:name="_Toc37861229"/>
      <w:bookmarkStart w:id="167" w:name="_Toc37943352"/>
      <w:r w:rsidRPr="00C3025E">
        <w:rPr>
          <w:lang w:val="es-ES"/>
        </w:rPr>
        <w:t xml:space="preserve">La RRB prosiguió su labor a lo largo de </w:t>
      </w:r>
      <w:r>
        <w:rPr>
          <w:lang w:val="es-ES"/>
        </w:rPr>
        <w:t xml:space="preserve">2018 y </w:t>
      </w:r>
      <w:r w:rsidRPr="00C3025E">
        <w:rPr>
          <w:lang w:val="es-ES"/>
        </w:rPr>
        <w:t>2019 (</w:t>
      </w:r>
      <w:r>
        <w:rPr>
          <w:lang w:val="es-ES"/>
        </w:rPr>
        <w:t xml:space="preserve">seis </w:t>
      </w:r>
      <w:r w:rsidRPr="00C3025E">
        <w:rPr>
          <w:lang w:val="es-ES"/>
        </w:rPr>
        <w:t>reuniones físicas)</w:t>
      </w:r>
      <w:r>
        <w:rPr>
          <w:lang w:val="es-ES"/>
        </w:rPr>
        <w:t>,</w:t>
      </w:r>
      <w:r w:rsidRPr="00C3025E">
        <w:rPr>
          <w:lang w:val="es-ES"/>
        </w:rPr>
        <w:t xml:space="preserve"> 2020 (tres reuniones virtuales)</w:t>
      </w:r>
      <w:r>
        <w:rPr>
          <w:lang w:val="es-ES"/>
        </w:rPr>
        <w:t xml:space="preserve"> y 2021 (una reunión híbrida y dos virtuales)</w:t>
      </w:r>
      <w:r w:rsidRPr="00C3025E">
        <w:rPr>
          <w:lang w:val="es-ES"/>
        </w:rPr>
        <w:t xml:space="preserve">. En estas reuniones, </w:t>
      </w:r>
      <w:r>
        <w:rPr>
          <w:lang w:val="es-ES"/>
        </w:rPr>
        <w:t xml:space="preserve">se examinaron las Reglas de Procedimiento </w:t>
      </w:r>
      <w:r w:rsidRPr="00C3025E">
        <w:rPr>
          <w:lang w:val="es-ES"/>
        </w:rPr>
        <w:t xml:space="preserve">en respuesta a las decisiones de la </w:t>
      </w:r>
      <w:r>
        <w:rPr>
          <w:lang w:val="es-ES"/>
        </w:rPr>
        <w:t xml:space="preserve">CMR-15 y </w:t>
      </w:r>
      <w:r w:rsidRPr="00C3025E">
        <w:rPr>
          <w:lang w:val="es-ES"/>
        </w:rPr>
        <w:t xml:space="preserve">CMR-19 y </w:t>
      </w:r>
      <w:r>
        <w:rPr>
          <w:lang w:val="es-ES"/>
        </w:rPr>
        <w:t xml:space="preserve">analizó </w:t>
      </w:r>
      <w:r w:rsidRPr="00C3025E">
        <w:rPr>
          <w:lang w:val="es-ES"/>
        </w:rPr>
        <w:t xml:space="preserve">casos </w:t>
      </w:r>
      <w:r>
        <w:rPr>
          <w:lang w:val="es-ES"/>
        </w:rPr>
        <w:t xml:space="preserve">sobre la </w:t>
      </w:r>
      <w:r w:rsidRPr="00C3025E">
        <w:rPr>
          <w:lang w:val="es-ES"/>
        </w:rPr>
        <w:t>práctica general de la Oficina. La Junta tomó decisiones sobre:</w:t>
      </w:r>
      <w:bookmarkEnd w:id="164"/>
    </w:p>
    <w:p w14:paraId="5E925760" w14:textId="77777777" w:rsidR="008A64DF" w:rsidRPr="00432E87" w:rsidRDefault="008A64DF" w:rsidP="008A64DF">
      <w:pPr>
        <w:pStyle w:val="enumlev1"/>
      </w:pPr>
      <w:bookmarkStart w:id="168" w:name="lt_pId793"/>
      <w:r w:rsidRPr="002D40EB">
        <w:rPr>
          <w:lang w:val="es-ES"/>
        </w:rPr>
        <w:t>•</w:t>
      </w:r>
      <w:r w:rsidRPr="00C3025E">
        <w:rPr>
          <w:lang w:val="es-ES"/>
        </w:rPr>
        <w:tab/>
      </w:r>
      <w:r w:rsidRPr="009B6175">
        <w:rPr>
          <w:lang w:val="es-ES"/>
        </w:rPr>
        <w:t>28</w:t>
      </w:r>
      <w:r>
        <w:rPr>
          <w:lang w:val="es-ES"/>
        </w:rPr>
        <w:t xml:space="preserve"> </w:t>
      </w:r>
      <w:r w:rsidRPr="00C3025E">
        <w:rPr>
          <w:lang w:val="es-ES"/>
        </w:rPr>
        <w:t>comunicaciones de administraciones en las que solicitaban la ampliación del plazo reglamentario para la puesta en servicio o renovación del servicio de asignaciones de frecuencias a redes de satélite</w:t>
      </w:r>
      <w:bookmarkEnd w:id="168"/>
      <w:r>
        <w:rPr>
          <w:lang w:val="es-ES"/>
        </w:rPr>
        <w:t>;</w:t>
      </w:r>
    </w:p>
    <w:p w14:paraId="2F2EEA13" w14:textId="09A5BB17" w:rsidR="008A64DF" w:rsidRDefault="008A64DF" w:rsidP="008A64DF">
      <w:pPr>
        <w:pStyle w:val="enumlev1"/>
        <w:rPr>
          <w:lang w:val="es-ES"/>
        </w:rPr>
      </w:pPr>
      <w:bookmarkStart w:id="169" w:name="lt_pId796"/>
      <w:r w:rsidRPr="00C3025E">
        <w:rPr>
          <w:lang w:val="es-ES"/>
        </w:rPr>
        <w:t>•</w:t>
      </w:r>
      <w:r w:rsidRPr="00C3025E">
        <w:rPr>
          <w:lang w:val="es-ES"/>
        </w:rPr>
        <w:tab/>
      </w:r>
      <w:r w:rsidRPr="009B6175">
        <w:rPr>
          <w:lang w:val="es-ES"/>
        </w:rPr>
        <w:t>15 casos para los cuales la Junta accedió a mantener o suprimir las redes de satélite en el</w:t>
      </w:r>
      <w:r w:rsidR="00855EA4">
        <w:rPr>
          <w:lang w:val="es-ES"/>
        </w:rPr>
        <w:t> </w:t>
      </w:r>
      <w:r w:rsidRPr="009B6175">
        <w:rPr>
          <w:lang w:val="es-ES"/>
        </w:rPr>
        <w:t>MIFR</w:t>
      </w:r>
      <w:r w:rsidRPr="00C3025E">
        <w:rPr>
          <w:lang w:val="es-ES"/>
        </w:rPr>
        <w:t>, en virtud de los exámenes realizados por la Oficina con arreglo al número</w:t>
      </w:r>
      <w:r>
        <w:rPr>
          <w:lang w:val="es-ES"/>
        </w:rPr>
        <w:t> </w:t>
      </w:r>
      <w:r w:rsidRPr="00C3025E">
        <w:rPr>
          <w:lang w:val="es-ES"/>
        </w:rPr>
        <w:t>13.6 del</w:t>
      </w:r>
      <w:r w:rsidR="00855EA4">
        <w:rPr>
          <w:lang w:val="es-ES"/>
        </w:rPr>
        <w:t> </w:t>
      </w:r>
      <w:r w:rsidRPr="00C3025E">
        <w:rPr>
          <w:lang w:val="es-ES"/>
        </w:rPr>
        <w:t>RR</w:t>
      </w:r>
      <w:bookmarkEnd w:id="169"/>
      <w:r>
        <w:rPr>
          <w:lang w:val="es-ES"/>
        </w:rPr>
        <w:t>;</w:t>
      </w:r>
    </w:p>
    <w:p w14:paraId="35D69978" w14:textId="77777777" w:rsidR="008A64DF" w:rsidRPr="00432E87" w:rsidRDefault="008A64DF" w:rsidP="008A64DF">
      <w:pPr>
        <w:pStyle w:val="enumlev1"/>
      </w:pPr>
      <w:bookmarkStart w:id="170" w:name="_Hlk73456562"/>
      <w:r w:rsidRPr="003B0607">
        <w:t>•</w:t>
      </w:r>
      <w:r w:rsidRPr="003B0607">
        <w:tab/>
      </w:r>
      <w:r>
        <w:t>s</w:t>
      </w:r>
      <w:r w:rsidRPr="003B0607">
        <w:t>ituaciones de interferencia perjudicial denunciadas a la Junta que no pudieron resolverse entre las administraciones afectadas</w:t>
      </w:r>
      <w:r>
        <w:t>.</w:t>
      </w:r>
    </w:p>
    <w:p w14:paraId="04CA5DC6" w14:textId="621067D3" w:rsidR="008A64DF" w:rsidRPr="00B27068" w:rsidRDefault="008A64DF" w:rsidP="00B27068">
      <w:pPr>
        <w:pStyle w:val="Heading2"/>
        <w:rPr>
          <w:lang w:val="es-ES" w:eastAsia="en-GB"/>
        </w:rPr>
      </w:pPr>
      <w:bookmarkStart w:id="171" w:name="_Toc97821273"/>
      <w:bookmarkEnd w:id="170"/>
      <w:r w:rsidRPr="00FD751F">
        <w:rPr>
          <w:lang w:val="es-ES" w:eastAsia="en-GB"/>
        </w:rPr>
        <w:t>2.2</w:t>
      </w:r>
      <w:r w:rsidRPr="00FD751F">
        <w:rPr>
          <w:lang w:val="es-ES" w:eastAsia="en-GB"/>
        </w:rPr>
        <w:tab/>
        <w:t>UIT-T</w:t>
      </w:r>
      <w:bookmarkEnd w:id="165"/>
      <w:bookmarkEnd w:id="166"/>
      <w:bookmarkEnd w:id="167"/>
      <w:r w:rsidRPr="00FD751F">
        <w:rPr>
          <w:lang w:val="es-ES" w:eastAsia="en-GB"/>
        </w:rPr>
        <w:t>: mejora de la calidad de servicio para Miembros de la UIT</w:t>
      </w:r>
      <w:bookmarkEnd w:id="171"/>
    </w:p>
    <w:p w14:paraId="627C2BDA" w14:textId="096A17E8" w:rsidR="008A64DF" w:rsidRPr="00C3025E" w:rsidRDefault="008A64DF" w:rsidP="008A64DF">
      <w:pPr>
        <w:rPr>
          <w:lang w:val="es-ES"/>
        </w:rPr>
      </w:pPr>
      <w:bookmarkStart w:id="172" w:name="lt_pId815"/>
      <w:r w:rsidRPr="00C3025E">
        <w:rPr>
          <w:lang w:val="es-ES"/>
        </w:rPr>
        <w:t xml:space="preserve">La TSB ha desarrollado herramientas modernas y ha mejorado en gran medida los métodos de trabajo de la Oficina, </w:t>
      </w:r>
      <w:r>
        <w:rPr>
          <w:lang w:val="es-ES"/>
        </w:rPr>
        <w:t xml:space="preserve">mejorando </w:t>
      </w:r>
      <w:r w:rsidRPr="00C3025E">
        <w:rPr>
          <w:lang w:val="es-ES"/>
        </w:rPr>
        <w:t xml:space="preserve">así los servicios prestados a sus miembros. De hecho, </w:t>
      </w:r>
      <w:r>
        <w:rPr>
          <w:lang w:val="es-ES"/>
        </w:rPr>
        <w:t xml:space="preserve">en </w:t>
      </w:r>
      <w:r w:rsidR="00FE3C56">
        <w:rPr>
          <w:lang w:val="es-ES"/>
        </w:rPr>
        <w:t xml:space="preserve">los </w:t>
      </w:r>
      <w:r w:rsidRPr="00C3025E">
        <w:rPr>
          <w:lang w:val="es-ES"/>
        </w:rPr>
        <w:t>año</w:t>
      </w:r>
      <w:r w:rsidR="00FE3C56">
        <w:rPr>
          <w:lang w:val="es-ES"/>
        </w:rPr>
        <w:t>s</w:t>
      </w:r>
      <w:r w:rsidR="00E23D86">
        <w:rPr>
          <w:lang w:val="es-ES"/>
        </w:rPr>
        <w:t> </w:t>
      </w:r>
      <w:r w:rsidRPr="00C3025E">
        <w:rPr>
          <w:lang w:val="es-ES"/>
        </w:rPr>
        <w:t xml:space="preserve">2020 </w:t>
      </w:r>
      <w:r>
        <w:rPr>
          <w:lang w:val="es-ES"/>
        </w:rPr>
        <w:t xml:space="preserve">y 2021 se mejoró considerable </w:t>
      </w:r>
      <w:r w:rsidRPr="00C3025E">
        <w:rPr>
          <w:lang w:val="es-ES"/>
        </w:rPr>
        <w:t>el entorno de trabajo electrónico del UIT-T</w:t>
      </w:r>
      <w:r>
        <w:rPr>
          <w:lang w:val="es-ES"/>
        </w:rPr>
        <w:t xml:space="preserve"> y los servicios que ofrece, de modo que las reuniones virtuales y métodos de trabajo electrónicos son ahora la </w:t>
      </w:r>
      <w:r w:rsidRPr="00C3025E">
        <w:rPr>
          <w:lang w:val="es-ES"/>
        </w:rPr>
        <w:t xml:space="preserve">plataforma principal para los trabajos de normalización de la UIT, en el contexto de la respuesta mundial a la COVID-19 (véase la </w:t>
      </w:r>
      <w:hyperlink w:anchor="_1.8_Actividades/respuestas_relacion" w:history="1">
        <w:r w:rsidRPr="007E5CFA">
          <w:rPr>
            <w:rStyle w:val="Hyperlink"/>
            <w:lang w:val="es-ES"/>
          </w:rPr>
          <w:t>sección 1.8</w:t>
        </w:r>
      </w:hyperlink>
      <w:r w:rsidRPr="00C3025E">
        <w:rPr>
          <w:lang w:val="es-ES"/>
        </w:rPr>
        <w:t>).</w:t>
      </w:r>
      <w:bookmarkEnd w:id="172"/>
    </w:p>
    <w:p w14:paraId="50AB2981" w14:textId="7204D3A0" w:rsidR="008A64DF" w:rsidRPr="00B04A9A" w:rsidRDefault="008A64DF" w:rsidP="00B27068">
      <w:pPr>
        <w:rPr>
          <w:rFonts w:eastAsia="Calibri"/>
          <w:lang w:val="es-ES"/>
        </w:rPr>
      </w:pPr>
      <w:r w:rsidRPr="00C3025E">
        <w:rPr>
          <w:lang w:val="es-ES"/>
        </w:rPr>
        <w:t xml:space="preserve">Los miembros de la UIT que participan en la elaboración de normas y en los preparativos para la Asamblea Mundial de Normalización de las Telecomunicaciones de 2020 (AMNT-20) de la UIT están utilizando de forma óptima la plataforma personalizada </w:t>
      </w:r>
      <w:hyperlink r:id="rId323" w:history="1">
        <w:r w:rsidRPr="00C3025E">
          <w:rPr>
            <w:rStyle w:val="Hyperlink"/>
            <w:lang w:val="es-ES"/>
          </w:rPr>
          <w:t>MyWorkspace</w:t>
        </w:r>
      </w:hyperlink>
      <w:r w:rsidRPr="00C3025E">
        <w:rPr>
          <w:lang w:val="es-ES"/>
        </w:rPr>
        <w:t xml:space="preserve"> y los servicios y herramientas conexos, como </w:t>
      </w:r>
      <w:r w:rsidRPr="00C3025E">
        <w:t>MyMeetings</w:t>
      </w:r>
      <w:r w:rsidRPr="00C3025E">
        <w:rPr>
          <w:lang w:val="es-ES"/>
        </w:rPr>
        <w:t>, que ha desarrollado la TSB.</w:t>
      </w:r>
    </w:p>
    <w:p w14:paraId="51641580" w14:textId="2D6AB43F" w:rsidR="008A64DF" w:rsidRDefault="008A64DF" w:rsidP="00E313D8">
      <w:pPr>
        <w:keepNext/>
        <w:keepLines/>
        <w:rPr>
          <w:lang w:val="es-ES"/>
        </w:rPr>
      </w:pPr>
      <w:r w:rsidRPr="00B27068">
        <w:rPr>
          <w:lang w:val="es-ES"/>
        </w:rPr>
        <w:lastRenderedPageBreak/>
        <w:t>Entre las mejoras importantes se encuentran:</w:t>
      </w:r>
    </w:p>
    <w:p w14:paraId="7191AB6D" w14:textId="2DAA6F1E" w:rsidR="00B27068" w:rsidRDefault="00B27068" w:rsidP="00B27068">
      <w:pPr>
        <w:pStyle w:val="enumlev1"/>
        <w:rPr>
          <w:lang w:val="es-ES"/>
        </w:rPr>
      </w:pPr>
      <w:r w:rsidRPr="00B27068">
        <w:rPr>
          <w:lang w:val="es-ES"/>
        </w:rPr>
        <w:t>–</w:t>
      </w:r>
      <w:r>
        <w:rPr>
          <w:lang w:val="es-ES"/>
        </w:rPr>
        <w:tab/>
      </w:r>
      <w:r w:rsidRPr="00FE3C56">
        <w:rPr>
          <w:lang w:val="es-ES"/>
        </w:rPr>
        <w:t>MyWorkspace</w:t>
      </w:r>
      <w:r w:rsidRPr="00B27068">
        <w:rPr>
          <w:lang w:val="es-ES"/>
        </w:rPr>
        <w:t xml:space="preserve">. </w:t>
      </w:r>
      <w:hyperlink r:id="rId324" w:history="1">
        <w:r w:rsidRPr="00B27068">
          <w:rPr>
            <w:rStyle w:val="Hyperlink"/>
            <w:lang w:val="es-ES"/>
          </w:rPr>
          <w:t>MyWorkspace</w:t>
        </w:r>
      </w:hyperlink>
      <w:r w:rsidRPr="00B27068">
        <w:rPr>
          <w:lang w:val="es-ES"/>
        </w:rPr>
        <w:t xml:space="preserve"> comprende un conjunto de herramientas y servicios aptos para móviles, que se presentó en 2017 en respuesta a la Resolución 32 de la AMNT, para facilitar la </w:t>
      </w:r>
      <w:r w:rsidRPr="00B27068">
        <w:t>labor</w:t>
      </w:r>
      <w:r w:rsidRPr="00B27068">
        <w:rPr>
          <w:lang w:val="es-ES"/>
        </w:rPr>
        <w:t xml:space="preserve"> de los expertos del UIT-T. La versión 3.2 de la plataforma se puso en marcha en noviembre de 2020, en la que se da un aspecto más simple a la interfaz de usuario y se mejora su funcionamiento. Se puede acceder a MyWorkspace a través de una aplicación web (PWA), que permite a los usuarios emplear fácilmente la plataforma mediante diversos dispositivos y sin ninguna instalación adicional. Las credenciales de la cuenta de usuario (TIES) de la UIT permiten acceder a MyWorkspace de forma segura. La plataforma brinda acceso a:</w:t>
      </w:r>
    </w:p>
    <w:p w14:paraId="791BD205" w14:textId="489D6A90" w:rsidR="00B27068" w:rsidRPr="00B27068" w:rsidRDefault="00B27068" w:rsidP="00B27068">
      <w:pPr>
        <w:pStyle w:val="enumlev2"/>
        <w:rPr>
          <w:lang w:val="es-ES"/>
        </w:rPr>
      </w:pPr>
      <w:r w:rsidRPr="00B27068">
        <w:rPr>
          <w:lang w:val="es-ES"/>
        </w:rPr>
        <w:t>•</w:t>
      </w:r>
      <w:r>
        <w:rPr>
          <w:lang w:val="es-ES"/>
        </w:rPr>
        <w:tab/>
      </w:r>
      <w:hyperlink r:id="rId325" w:anchor="/MyMeetings" w:tgtFrame="_blank" w:history="1">
        <w:r w:rsidRPr="00B27068">
          <w:rPr>
            <w:rStyle w:val="Hyperlink"/>
            <w:lang w:val="es-ES"/>
          </w:rPr>
          <w:t>MyMeetings</w:t>
        </w:r>
      </w:hyperlink>
      <w:r w:rsidRPr="00B27068">
        <w:rPr>
          <w:lang w:val="es-ES"/>
        </w:rPr>
        <w:t xml:space="preserve">: </w:t>
      </w:r>
      <w:r w:rsidRPr="00B27068">
        <w:t>servicio</w:t>
      </w:r>
      <w:r w:rsidRPr="00B27068">
        <w:rPr>
          <w:lang w:val="es-ES"/>
        </w:rPr>
        <w:t xml:space="preserve"> de participación a distancia basado en una solución de código abierto adaptada a las necesidades de las reuniones reglamentarias y no reglamentarias del UIT-T</w:t>
      </w:r>
      <w:r w:rsidR="00CD492D">
        <w:rPr>
          <w:lang w:val="es-ES"/>
        </w:rPr>
        <w:t>.</w:t>
      </w:r>
    </w:p>
    <w:p w14:paraId="3B551110" w14:textId="5F21023E" w:rsidR="00B27068" w:rsidRPr="00B27068" w:rsidRDefault="00B27068" w:rsidP="00B27068">
      <w:pPr>
        <w:pStyle w:val="enumlev2"/>
        <w:rPr>
          <w:lang w:val="es-ES"/>
        </w:rPr>
      </w:pPr>
      <w:r w:rsidRPr="00B27068">
        <w:rPr>
          <w:lang w:val="es-ES"/>
        </w:rPr>
        <w:t>•</w:t>
      </w:r>
      <w:r>
        <w:rPr>
          <w:lang w:val="es-ES"/>
        </w:rPr>
        <w:tab/>
      </w:r>
      <w:r w:rsidRPr="00B27068">
        <w:rPr>
          <w:u w:val="single"/>
        </w:rPr>
        <w:t>Chatbot del UIT-T</w:t>
      </w:r>
      <w:r w:rsidRPr="00B27068">
        <w:t xml:space="preserve">: </w:t>
      </w:r>
      <w:r w:rsidRPr="00B27068">
        <w:rPr>
          <w:rFonts w:eastAsia="Calibri"/>
        </w:rPr>
        <w:t>asistencia</w:t>
      </w:r>
      <w:r w:rsidRPr="00B27068">
        <w:t xml:space="preserve"> instantánea a los miembros del UIT-T durante las reuniones MyMeetings</w:t>
      </w:r>
      <w:r w:rsidR="00CD492D">
        <w:t>.</w:t>
      </w:r>
    </w:p>
    <w:p w14:paraId="497C6768" w14:textId="6144B68C" w:rsidR="00B27068" w:rsidRPr="00B27068" w:rsidRDefault="00B27068" w:rsidP="00B27068">
      <w:pPr>
        <w:pStyle w:val="enumlev2"/>
        <w:rPr>
          <w:lang w:val="es-ES"/>
        </w:rPr>
      </w:pPr>
      <w:r w:rsidRPr="00B27068">
        <w:rPr>
          <w:lang w:val="es-ES"/>
        </w:rPr>
        <w:t>•</w:t>
      </w:r>
      <w:r>
        <w:rPr>
          <w:lang w:val="es-ES"/>
        </w:rPr>
        <w:tab/>
      </w:r>
      <w:hyperlink r:id="rId326" w:anchor="/Myevents" w:tgtFrame="_blank" w:history="1">
        <w:r w:rsidRPr="00B27068">
          <w:rPr>
            <w:rStyle w:val="Hyperlink"/>
            <w:lang w:val="es-ES"/>
          </w:rPr>
          <w:t>MyEvents</w:t>
        </w:r>
      </w:hyperlink>
      <w:r w:rsidRPr="00B27068">
        <w:rPr>
          <w:lang w:val="es-ES"/>
        </w:rPr>
        <w:t xml:space="preserve">: plataforma de gestión </w:t>
      </w:r>
      <w:r w:rsidRPr="00B27068">
        <w:t>de</w:t>
      </w:r>
      <w:r w:rsidRPr="00B27068">
        <w:rPr>
          <w:lang w:val="es-ES"/>
        </w:rPr>
        <w:t xml:space="preserve"> eventos que ofrece el programa de eventos del</w:t>
      </w:r>
      <w:r w:rsidR="00CD492D">
        <w:rPr>
          <w:lang w:val="es-ES"/>
        </w:rPr>
        <w:t> </w:t>
      </w:r>
      <w:r w:rsidRPr="00B27068">
        <w:rPr>
          <w:lang w:val="es-ES"/>
        </w:rPr>
        <w:t>UIT-T en tiempo real, listas de participantes, ponentes y expositores y una función para la creación de redes de contactos entre los participantes.</w:t>
      </w:r>
    </w:p>
    <w:p w14:paraId="4497DD65" w14:textId="12446A47" w:rsidR="00B27068" w:rsidRPr="00B27068" w:rsidRDefault="00B27068" w:rsidP="00B27068">
      <w:pPr>
        <w:pStyle w:val="enumlev2"/>
        <w:rPr>
          <w:lang w:val="es-ES"/>
        </w:rPr>
      </w:pPr>
      <w:r w:rsidRPr="00B27068">
        <w:rPr>
          <w:lang w:val="es-ES"/>
        </w:rPr>
        <w:t>•</w:t>
      </w:r>
      <w:r>
        <w:rPr>
          <w:lang w:val="es-ES"/>
        </w:rPr>
        <w:tab/>
      </w:r>
      <w:hyperlink r:id="rId327" w:anchor="/Translate" w:tgtFrame="_blank" w:history="1">
        <w:r w:rsidRPr="00B27068">
          <w:rPr>
            <w:rStyle w:val="Hyperlink"/>
            <w:lang w:val="es-ES"/>
          </w:rPr>
          <w:t>ITU Translate</w:t>
        </w:r>
      </w:hyperlink>
      <w:r w:rsidRPr="00B27068">
        <w:rPr>
          <w:lang w:val="es-ES"/>
        </w:rPr>
        <w:t xml:space="preserve">: herramienta de traducción automática basada en la red neuronal, entrenada </w:t>
      </w:r>
      <w:r w:rsidRPr="00B27068">
        <w:t>internamente</w:t>
      </w:r>
      <w:r w:rsidRPr="00B27068">
        <w:rPr>
          <w:lang w:val="es-ES"/>
        </w:rPr>
        <w:t xml:space="preserve"> con los documentos de la UIT, para los seis idiomas oficiales.</w:t>
      </w:r>
    </w:p>
    <w:p w14:paraId="111532A7" w14:textId="6408D759" w:rsidR="00B27068" w:rsidRPr="00B27068" w:rsidRDefault="00B27068" w:rsidP="00B27068">
      <w:pPr>
        <w:pStyle w:val="enumlev2"/>
        <w:rPr>
          <w:lang w:val="es-ES"/>
        </w:rPr>
      </w:pPr>
      <w:r w:rsidRPr="00B27068">
        <w:rPr>
          <w:lang w:val="es-ES"/>
        </w:rPr>
        <w:t>•</w:t>
      </w:r>
      <w:r>
        <w:rPr>
          <w:lang w:val="es-ES"/>
        </w:rPr>
        <w:tab/>
      </w:r>
      <w:hyperlink r:id="rId328" w:tgtFrame="_blank" w:history="1">
        <w:r w:rsidRPr="00B27068">
          <w:rPr>
            <w:rStyle w:val="Hyperlink"/>
            <w:lang w:val="es-ES"/>
          </w:rPr>
          <w:t>ITU-T Cloud</w:t>
        </w:r>
      </w:hyperlink>
      <w:r w:rsidRPr="00B27068">
        <w:rPr>
          <w:lang w:val="es-ES"/>
        </w:rPr>
        <w:t>: servicio de almacenamiento en la nube de la UIT que permite a los usuarios compartir e intercambiar archivos de hasta 10</w:t>
      </w:r>
      <w:r w:rsidR="00CD492D">
        <w:rPr>
          <w:lang w:val="es-ES"/>
        </w:rPr>
        <w:t> </w:t>
      </w:r>
      <w:r w:rsidRPr="00B27068">
        <w:rPr>
          <w:lang w:val="es-ES"/>
        </w:rPr>
        <w:t>GB por usuario.</w:t>
      </w:r>
    </w:p>
    <w:p w14:paraId="7544E4AA" w14:textId="49E2A845" w:rsidR="00B27068" w:rsidRPr="00B27068" w:rsidRDefault="00B27068" w:rsidP="00B27068">
      <w:pPr>
        <w:pStyle w:val="enumlev2"/>
        <w:rPr>
          <w:lang w:val="es-ES"/>
        </w:rPr>
      </w:pPr>
      <w:r w:rsidRPr="00B27068">
        <w:rPr>
          <w:lang w:val="es-ES"/>
        </w:rPr>
        <w:t>•</w:t>
      </w:r>
      <w:r>
        <w:rPr>
          <w:lang w:val="es-ES"/>
        </w:rPr>
        <w:tab/>
      </w:r>
      <w:hyperlink r:id="rId329" w:anchor="/Calendar" w:history="1">
        <w:r w:rsidRPr="00B27068">
          <w:rPr>
            <w:rStyle w:val="Hyperlink"/>
            <w:lang w:val="es-ES"/>
          </w:rPr>
          <w:t>Calendario</w:t>
        </w:r>
      </w:hyperlink>
      <w:r w:rsidRPr="00B27068">
        <w:rPr>
          <w:lang w:val="es-ES"/>
        </w:rPr>
        <w:t>: vista del calendario mensual de todos los eventos de la UIT con filtros por Sector de la UIT y Grupos de Trabajo del UIT-T.</w:t>
      </w:r>
    </w:p>
    <w:p w14:paraId="6F055035" w14:textId="627BFE96" w:rsidR="00B27068" w:rsidRPr="00B27068" w:rsidRDefault="00B27068" w:rsidP="00B27068">
      <w:pPr>
        <w:pStyle w:val="enumlev2"/>
        <w:rPr>
          <w:lang w:val="es-ES"/>
        </w:rPr>
      </w:pPr>
      <w:r w:rsidRPr="00B27068">
        <w:rPr>
          <w:lang w:val="es-ES"/>
        </w:rPr>
        <w:t>•</w:t>
      </w:r>
      <w:r>
        <w:rPr>
          <w:lang w:val="es-ES"/>
        </w:rPr>
        <w:tab/>
      </w:r>
      <w:hyperlink r:id="rId330" w:anchor="/Documents/MyDocuments" w:history="1">
        <w:r w:rsidRPr="00B27068">
          <w:rPr>
            <w:rStyle w:val="Hyperlink"/>
            <w:lang w:val="es-ES"/>
          </w:rPr>
          <w:t>Documentos</w:t>
        </w:r>
      </w:hyperlink>
      <w:r w:rsidRPr="00B27068">
        <w:rPr>
          <w:lang w:val="es-ES"/>
        </w:rPr>
        <w:t xml:space="preserve">: acceso rápido a los documentos de las reuniones de Comisiones de Estudio con búsqueda de texto completo, amplias capacidades de filtrado y clasificación, y la posibilidad de obtener la traducción automática de los documentos que no están traducidos por humanos (por ejemplo, </w:t>
      </w:r>
      <w:hyperlink r:id="rId331" w:anchor="/Documents/MyDocuments/meeting=T17-SG02-201218&amp;search=&amp;type=&amp;sources=&amp;questions=" w:history="1">
        <w:r w:rsidRPr="00B27068">
          <w:rPr>
            <w:rStyle w:val="Hyperlink"/>
            <w:lang w:val="es-ES"/>
          </w:rPr>
          <w:t>reunión electrónica de la CE 2, 18 de diciembre de 2020</w:t>
        </w:r>
      </w:hyperlink>
      <w:r w:rsidRPr="00B27068">
        <w:rPr>
          <w:lang w:val="es-ES"/>
        </w:rPr>
        <w:t>).</w:t>
      </w:r>
    </w:p>
    <w:p w14:paraId="39E2E43C" w14:textId="0E4AB12F" w:rsidR="00B27068" w:rsidRPr="00B27068" w:rsidRDefault="00B27068" w:rsidP="00B27068">
      <w:pPr>
        <w:pStyle w:val="enumlev2"/>
        <w:rPr>
          <w:lang w:val="es-ES"/>
        </w:rPr>
      </w:pPr>
      <w:r w:rsidRPr="00B27068">
        <w:rPr>
          <w:lang w:val="es-ES"/>
        </w:rPr>
        <w:t>•</w:t>
      </w:r>
      <w:r>
        <w:rPr>
          <w:lang w:val="es-ES"/>
        </w:rPr>
        <w:tab/>
      </w:r>
      <w:hyperlink r:id="rId332" w:anchor="/Mailing" w:tgtFrame="_blank" w:history="1">
        <w:r w:rsidRPr="00B27068">
          <w:rPr>
            <w:rStyle w:val="Hyperlink"/>
            <w:lang w:val="es-ES"/>
          </w:rPr>
          <w:t>Correo</w:t>
        </w:r>
      </w:hyperlink>
      <w:r w:rsidRPr="00B27068">
        <w:rPr>
          <w:lang w:val="es-ES"/>
        </w:rPr>
        <w:t>: gestión de suscripciones con función de búsqueda.</w:t>
      </w:r>
    </w:p>
    <w:p w14:paraId="505AA9B0" w14:textId="5B0FF584" w:rsidR="00B27068" w:rsidRPr="00B27068" w:rsidRDefault="00B27068" w:rsidP="00B27068">
      <w:pPr>
        <w:pStyle w:val="enumlev2"/>
        <w:rPr>
          <w:lang w:val="es-ES"/>
        </w:rPr>
      </w:pPr>
      <w:r w:rsidRPr="00B27068">
        <w:rPr>
          <w:lang w:val="es-ES"/>
        </w:rPr>
        <w:t>•</w:t>
      </w:r>
      <w:r>
        <w:rPr>
          <w:lang w:val="es-ES"/>
        </w:rPr>
        <w:tab/>
      </w:r>
      <w:hyperlink r:id="rId333" w:anchor="/Community" w:tgtFrame="_blank" w:history="1">
        <w:r w:rsidRPr="00B27068">
          <w:rPr>
            <w:rStyle w:val="Hyperlink"/>
            <w:lang w:val="es-ES"/>
          </w:rPr>
          <w:t>Comunidad</w:t>
        </w:r>
      </w:hyperlink>
      <w:r w:rsidRPr="00B27068">
        <w:rPr>
          <w:lang w:val="es-ES"/>
        </w:rPr>
        <w:t>: directorio de usuario en MyWorkspace.</w:t>
      </w:r>
    </w:p>
    <w:p w14:paraId="7E759ACD" w14:textId="343B1E8E" w:rsidR="00B27068" w:rsidRPr="00B27068" w:rsidRDefault="00B27068" w:rsidP="00B27068">
      <w:pPr>
        <w:pStyle w:val="enumlev2"/>
        <w:rPr>
          <w:lang w:val="es-ES"/>
        </w:rPr>
      </w:pPr>
      <w:r w:rsidRPr="00B27068">
        <w:rPr>
          <w:lang w:val="es-ES"/>
        </w:rPr>
        <w:t>•</w:t>
      </w:r>
      <w:r>
        <w:rPr>
          <w:lang w:val="es-ES"/>
        </w:rPr>
        <w:tab/>
      </w:r>
      <w:hyperlink r:id="rId334" w:anchor="/profile" w:tgtFrame="_blank" w:history="1">
        <w:r w:rsidRPr="00B27068">
          <w:rPr>
            <w:rStyle w:val="Hyperlink"/>
            <w:lang w:val="es-ES"/>
          </w:rPr>
          <w:t>Perfil y preferencias</w:t>
        </w:r>
      </w:hyperlink>
      <w:r w:rsidRPr="00B27068">
        <w:rPr>
          <w:lang w:val="es-ES"/>
        </w:rPr>
        <w:t>: información personal y de interés para el usuario.</w:t>
      </w:r>
    </w:p>
    <w:p w14:paraId="5FA0B880" w14:textId="7B06229A" w:rsidR="008A64DF" w:rsidRPr="00B27068" w:rsidRDefault="00B27068" w:rsidP="00B27068">
      <w:pPr>
        <w:pStyle w:val="enumlev1"/>
      </w:pPr>
      <w:bookmarkStart w:id="173" w:name="lt_pId835"/>
      <w:bookmarkStart w:id="174" w:name="_Toc480527871"/>
      <w:bookmarkStart w:id="175" w:name="_Toc31193739"/>
      <w:r>
        <w:t>–</w:t>
      </w:r>
      <w:r>
        <w:tab/>
      </w:r>
      <w:r w:rsidR="008A64DF" w:rsidRPr="00CD492D">
        <w:t>Sitios de colaboración SharePoint del UIT-T</w:t>
      </w:r>
      <w:r w:rsidR="008A64DF" w:rsidRPr="00B27068">
        <w:t>: permiten a los participantes en los grupos de trabajo del UIT-T celebrar debates en línea, trabajar en proyectos, programar reuniones y gestionar y almacenar documentos en un entorno compartido seguro.</w:t>
      </w:r>
      <w:bookmarkEnd w:id="173"/>
      <w:r w:rsidR="008A64DF" w:rsidRPr="00B27068">
        <w:t xml:space="preserve"> La mayoría de los sitios de colaboración están restringidos a los Miembros del Sector UIT-T y ofrecen acceso mediante una cuenta de usuario TIES. Algunos sitios de colaboración están abiertos a los no miembros, accesible con cuentas de usuario que no sean de la UIT.</w:t>
      </w:r>
    </w:p>
    <w:p w14:paraId="33D2ED9A" w14:textId="2A48F9A1" w:rsidR="008A64DF" w:rsidRPr="00B27068" w:rsidRDefault="00B27068" w:rsidP="00B27068">
      <w:pPr>
        <w:pStyle w:val="enumlev1"/>
      </w:pPr>
      <w:bookmarkStart w:id="176" w:name="lt_pId839"/>
      <w:r>
        <w:t>–</w:t>
      </w:r>
      <w:r>
        <w:tab/>
      </w:r>
      <w:r w:rsidR="008A64DF" w:rsidRPr="00CD492D">
        <w:t>Sistema de gestión de documentos para los Grupos de Relator</w:t>
      </w:r>
      <w:r w:rsidR="00CD492D">
        <w:t>:</w:t>
      </w:r>
      <w:r w:rsidR="008A64DF" w:rsidRPr="00B27068">
        <w:t xml:space="preserve"> </w:t>
      </w:r>
      <w:r w:rsidR="00CD492D">
        <w:t>e</w:t>
      </w:r>
      <w:r w:rsidR="008A64DF" w:rsidRPr="00B27068">
        <w:t xml:space="preserve">l sistema de gestión de documentos basado en Microsoft SharePoint para las reuniones de los Grupos de Relator (RGR) del UIT-T figura entre los servicios disponibles en los sitios de colaboración SharePoint del UIT-T ampliamente utilizados por las Comisiones de Estudio del UIT-T y el GANT. Las </w:t>
      </w:r>
      <w:r w:rsidR="008A64DF" w:rsidRPr="00B27068">
        <w:lastRenderedPageBreak/>
        <w:t>observaciones formuladas por los Relatores impulsan la mejora continua del sistema de las</w:t>
      </w:r>
      <w:r w:rsidR="00CD492D">
        <w:t> </w:t>
      </w:r>
      <w:r w:rsidR="008A64DF" w:rsidRPr="00B27068">
        <w:t>RGR.</w:t>
      </w:r>
      <w:bookmarkEnd w:id="174"/>
      <w:bookmarkEnd w:id="175"/>
      <w:bookmarkEnd w:id="176"/>
    </w:p>
    <w:p w14:paraId="3DF20463" w14:textId="606D6222" w:rsidR="008A64DF" w:rsidRPr="00B27068" w:rsidRDefault="00B27068" w:rsidP="00B27068">
      <w:pPr>
        <w:pStyle w:val="enumlev1"/>
      </w:pPr>
      <w:bookmarkStart w:id="177" w:name="_Toc462664281"/>
      <w:bookmarkStart w:id="178" w:name="_Toc480527876"/>
      <w:bookmarkStart w:id="179" w:name="_Toc31193742"/>
      <w:bookmarkStart w:id="180" w:name="lt_pId845"/>
      <w:r>
        <w:t>–</w:t>
      </w:r>
      <w:r>
        <w:tab/>
      </w:r>
      <w:r w:rsidR="008A64DF" w:rsidRPr="00CD492D">
        <w:t>Aplicación de sincronización de documentos de reuniones</w:t>
      </w:r>
      <w:r w:rsidR="00CD492D">
        <w:t>:</w:t>
      </w:r>
      <w:r w:rsidR="008A64DF" w:rsidRPr="00B27068">
        <w:t xml:space="preserve"> </w:t>
      </w:r>
      <w:r w:rsidR="00CD492D">
        <w:t>e</w:t>
      </w:r>
      <w:r w:rsidR="008A64DF" w:rsidRPr="00B27068">
        <w:t>sta aplicación permite a los participantes en las reuniones sincronizar los documentos de las reuniones de las Comisiones de Estudio del UIT-T en curso desde el servidor de la UIT hasta su unidad local. La aplicación se mejora y actualiza constantemente, de acuerdo con las observaciones y sugerencias de los usuarios.</w:t>
      </w:r>
      <w:bookmarkEnd w:id="177"/>
      <w:bookmarkEnd w:id="178"/>
      <w:bookmarkEnd w:id="179"/>
      <w:bookmarkEnd w:id="180"/>
    </w:p>
    <w:p w14:paraId="089F22D5" w14:textId="1CE76B23" w:rsidR="008A64DF" w:rsidRPr="00B27068" w:rsidRDefault="00B27068" w:rsidP="00B27068">
      <w:pPr>
        <w:pStyle w:val="enumlev1"/>
      </w:pPr>
      <w:r>
        <w:t>–</w:t>
      </w:r>
      <w:r>
        <w:tab/>
      </w:r>
      <w:r w:rsidR="008A64DF" w:rsidRPr="00B27068">
        <w:t>Editing Workflow</w:t>
      </w:r>
      <w:r w:rsidR="00CD492D">
        <w:t>:</w:t>
      </w:r>
      <w:r w:rsidR="008A64DF" w:rsidRPr="00B27068">
        <w:t xml:space="preserve"> </w:t>
      </w:r>
      <w:r w:rsidR="00CD492D">
        <w:t>h</w:t>
      </w:r>
      <w:r w:rsidR="008A64DF" w:rsidRPr="00B27068">
        <w:t>erramienta interna de gestión de procesos administrativos para editar publicaciones del UIT-T y publicar páginas web</w:t>
      </w:r>
      <w:r w:rsidR="00CD492D">
        <w:t>.</w:t>
      </w:r>
    </w:p>
    <w:p w14:paraId="5C080930" w14:textId="18A1CCED" w:rsidR="008A64DF" w:rsidRPr="00B27068" w:rsidRDefault="00B27068" w:rsidP="00B27068">
      <w:pPr>
        <w:pStyle w:val="enumlev1"/>
      </w:pPr>
      <w:r>
        <w:t>–</w:t>
      </w:r>
      <w:r>
        <w:tab/>
      </w:r>
      <w:r w:rsidR="008A64DF" w:rsidRPr="00B27068">
        <w:t xml:space="preserve">Sistema del </w:t>
      </w:r>
      <w:r w:rsidR="00CD492D">
        <w:t>p</w:t>
      </w:r>
      <w:r w:rsidR="008A64DF" w:rsidRPr="00B27068">
        <w:t xml:space="preserve">roceso de </w:t>
      </w:r>
      <w:r w:rsidR="00CD492D">
        <w:t>a</w:t>
      </w:r>
      <w:r w:rsidR="008A64DF" w:rsidRPr="00B27068">
        <w:t xml:space="preserve">probación </w:t>
      </w:r>
      <w:r w:rsidR="00CD492D">
        <w:t>a</w:t>
      </w:r>
      <w:r w:rsidR="008A64DF" w:rsidRPr="00B27068">
        <w:t>lternativo</w:t>
      </w:r>
      <w:r w:rsidR="00CD492D">
        <w:t>:</w:t>
      </w:r>
      <w:r w:rsidR="008A64DF" w:rsidRPr="00B27068">
        <w:t xml:space="preserve"> solución en línea para aplicar el procedimiento simplificado de la Rec</w:t>
      </w:r>
      <w:r w:rsidR="00CD492D">
        <w:t>omendación</w:t>
      </w:r>
      <w:r w:rsidR="008A64DF" w:rsidRPr="00B27068">
        <w:t xml:space="preserve"> UIT-T A.8 para obtener la aprobación de proyectos de Recomendación nuevos o revisados</w:t>
      </w:r>
      <w:r w:rsidR="00CD492D">
        <w:t>.</w:t>
      </w:r>
    </w:p>
    <w:p w14:paraId="3B555F0A" w14:textId="7744825A" w:rsidR="008A64DF" w:rsidRPr="00B27068" w:rsidRDefault="00B27068" w:rsidP="00B27068">
      <w:pPr>
        <w:pStyle w:val="enumlev1"/>
      </w:pPr>
      <w:r>
        <w:t>–</w:t>
      </w:r>
      <w:r>
        <w:tab/>
      </w:r>
      <w:r w:rsidR="008A64DF" w:rsidRPr="00B27068">
        <w:t>Programa de trabajo del UIT-T</w:t>
      </w:r>
      <w:r w:rsidR="00CD492D">
        <w:t>:</w:t>
      </w:r>
      <w:r w:rsidR="008A64DF" w:rsidRPr="00B27068">
        <w:t xml:space="preserve"> conjunto de aplicaciones </w:t>
      </w:r>
      <w:r w:rsidR="00CD492D">
        <w:t xml:space="preserve">de </w:t>
      </w:r>
      <w:r w:rsidR="008A64DF" w:rsidRPr="00B27068">
        <w:t>Windows y web para seguir la estructura y temas de trabajo de los Grupos de Trabajo del UIT-T</w:t>
      </w:r>
      <w:r w:rsidR="00FD751F">
        <w:t>.</w:t>
      </w:r>
    </w:p>
    <w:p w14:paraId="552BCBFD" w14:textId="0BF7C905" w:rsidR="008A64DF" w:rsidRPr="00B27068" w:rsidRDefault="00B27068" w:rsidP="00B27068">
      <w:pPr>
        <w:pStyle w:val="enumlev1"/>
      </w:pPr>
      <w:r w:rsidRPr="00FD751F">
        <w:t>–</w:t>
      </w:r>
      <w:r>
        <w:tab/>
      </w:r>
      <w:r w:rsidR="008A64DF" w:rsidRPr="00B27068">
        <w:t>Declaración de coordinación del UIT-T</w:t>
      </w:r>
      <w:r w:rsidR="00FD751F">
        <w:t>:</w:t>
      </w:r>
      <w:r w:rsidR="008A64DF" w:rsidRPr="00B27068">
        <w:t xml:space="preserve"> aplicación en línea para acceder a la base de datos de declaraciones de coordinación del UIT-T</w:t>
      </w:r>
      <w:r w:rsidR="00FD751F">
        <w:t>.</w:t>
      </w:r>
    </w:p>
    <w:p w14:paraId="0C3D7C16" w14:textId="7979E42D" w:rsidR="008A64DF" w:rsidRPr="00B27068" w:rsidRDefault="00B27068" w:rsidP="00B27068">
      <w:pPr>
        <w:pStyle w:val="enumlev1"/>
      </w:pPr>
      <w:r>
        <w:t>–</w:t>
      </w:r>
      <w:r>
        <w:tab/>
      </w:r>
      <w:r w:rsidR="008A64DF" w:rsidRPr="00B27068">
        <w:t>Events Dashboard</w:t>
      </w:r>
      <w:r w:rsidR="00FD751F">
        <w:t>:</w:t>
      </w:r>
      <w:r w:rsidR="008A64DF" w:rsidRPr="00B27068">
        <w:t xml:space="preserve"> solución de gestión de procesos administrativos para la organización de eventos del UIT-T</w:t>
      </w:r>
      <w:r w:rsidR="00FD751F">
        <w:t>.</w:t>
      </w:r>
    </w:p>
    <w:p w14:paraId="2DCDFCEF" w14:textId="35CD9BAF" w:rsidR="008A64DF" w:rsidRDefault="00B27068" w:rsidP="00B27068">
      <w:pPr>
        <w:pStyle w:val="enumlev1"/>
      </w:pPr>
      <w:r>
        <w:t>–</w:t>
      </w:r>
      <w:r>
        <w:tab/>
      </w:r>
      <w:r w:rsidR="008A64DF" w:rsidRPr="00B27068">
        <w:t>Panorama de normas de las TIC</w:t>
      </w:r>
      <w:r w:rsidR="00FD751F">
        <w:t>:</w:t>
      </w:r>
      <w:r w:rsidR="008A64DF" w:rsidRPr="00B27068">
        <w:t xml:space="preserve"> herramienta en línea mantenida por expertos designados para ayudar en la normalización en el campo de las TIC (por ejemplo, seguridad, IoT y C+CI, etc.) mediante la identificación de normas existentes, normas que están en fase de desarrollo, y ámbitos importantes que es necesario normalizar</w:t>
      </w:r>
      <w:r w:rsidR="00FD751F">
        <w:t>.</w:t>
      </w:r>
    </w:p>
    <w:p w14:paraId="2D74BBE7" w14:textId="3A3D8D84" w:rsidR="003A4333" w:rsidRPr="003A4333" w:rsidRDefault="003A4333" w:rsidP="003A4333">
      <w:pPr>
        <w:pStyle w:val="enumlev1"/>
        <w:rPr>
          <w:lang w:val="es-ES"/>
        </w:rPr>
      </w:pPr>
      <w:r w:rsidRPr="003A4333">
        <w:rPr>
          <w:lang w:val="es-ES"/>
        </w:rPr>
        <w:t>–</w:t>
      </w:r>
      <w:r>
        <w:rPr>
          <w:lang w:val="es-ES"/>
        </w:rPr>
        <w:tab/>
      </w:r>
      <w:r w:rsidRPr="003A4333">
        <w:rPr>
          <w:lang w:val="es-ES"/>
        </w:rPr>
        <w:t>Base de datos de DPI</w:t>
      </w:r>
      <w:r w:rsidR="00FD751F">
        <w:rPr>
          <w:lang w:val="es-ES"/>
        </w:rPr>
        <w:t>:</w:t>
      </w:r>
      <w:r w:rsidRPr="003A4333">
        <w:rPr>
          <w:lang w:val="es-ES"/>
        </w:rPr>
        <w:t xml:space="preserve"> permite a los usuarios acceder a declaraciones de derechos de propiedad de </w:t>
      </w:r>
      <w:r w:rsidRPr="00FD751F">
        <w:rPr>
          <w:i/>
          <w:iCs/>
          <w:lang w:val="es-ES"/>
        </w:rPr>
        <w:t>software</w:t>
      </w:r>
      <w:r w:rsidRPr="003A4333">
        <w:rPr>
          <w:lang w:val="es-ES"/>
        </w:rPr>
        <w:t xml:space="preserve"> y patentes en las Recomendaciones del UIT-T (</w:t>
      </w:r>
      <w:hyperlink r:id="rId335" w:history="1">
        <w:r w:rsidRPr="003A4333">
          <w:rPr>
            <w:rStyle w:val="Hyperlink"/>
            <w:lang w:val="es-ES"/>
          </w:rPr>
          <w:t>Declaración de patentes en las Recomendaciones del UIT-R y del UIT-T</w:t>
        </w:r>
      </w:hyperlink>
      <w:r w:rsidRPr="003A4333">
        <w:rPr>
          <w:lang w:val="es-ES"/>
        </w:rPr>
        <w:t>)</w:t>
      </w:r>
      <w:r w:rsidR="00FD751F">
        <w:rPr>
          <w:lang w:val="es-ES"/>
        </w:rPr>
        <w:t>.</w:t>
      </w:r>
    </w:p>
    <w:p w14:paraId="725966AE" w14:textId="6C50C8F3" w:rsidR="003A4333" w:rsidRPr="003A4333" w:rsidRDefault="003A4333" w:rsidP="003A4333">
      <w:pPr>
        <w:pStyle w:val="enumlev1"/>
        <w:rPr>
          <w:lang w:val="es-ES"/>
        </w:rPr>
      </w:pPr>
      <w:r w:rsidRPr="003A4333">
        <w:rPr>
          <w:lang w:val="es-ES"/>
        </w:rPr>
        <w:t>–</w:t>
      </w:r>
      <w:r w:rsidRPr="003A4333">
        <w:rPr>
          <w:lang w:val="es-ES"/>
        </w:rPr>
        <w:tab/>
      </w:r>
      <w:r w:rsidRPr="003A4333">
        <w:rPr>
          <w:rFonts w:eastAsia="PMingLiU"/>
        </w:rPr>
        <w:t>Base</w:t>
      </w:r>
      <w:r w:rsidRPr="003A4333">
        <w:rPr>
          <w:lang w:val="es-ES"/>
        </w:rPr>
        <w:t xml:space="preserve"> de datos de términos y definiciones del UIT-R/UIT-T</w:t>
      </w:r>
      <w:r w:rsidR="00FD751F">
        <w:rPr>
          <w:lang w:val="es-ES"/>
        </w:rPr>
        <w:t>:</w:t>
      </w:r>
      <w:r w:rsidRPr="003A4333">
        <w:rPr>
          <w:lang w:val="es-ES"/>
        </w:rPr>
        <w:t xml:space="preserve"> para dar acceso a los usuarios a todos los términos y definiciones utilizados en las Recomendaciones del UIT-T (</w:t>
      </w:r>
      <w:hyperlink r:id="rId336" w:history="1">
        <w:r w:rsidR="00FD751F" w:rsidRPr="003A4333">
          <w:rPr>
            <w:rStyle w:val="Hyperlink"/>
            <w:lang w:val="es-ES"/>
          </w:rPr>
          <w:t>S</w:t>
        </w:r>
        <w:r w:rsidRPr="003A4333">
          <w:rPr>
            <w:rStyle w:val="Hyperlink"/>
            <w:lang w:val="es-ES"/>
          </w:rPr>
          <w:t>istema de la</w:t>
        </w:r>
        <w:r w:rsidR="00FD751F">
          <w:rPr>
            <w:rStyle w:val="Hyperlink"/>
            <w:lang w:val="es-ES"/>
          </w:rPr>
          <w:t>s</w:t>
        </w:r>
        <w:r w:rsidRPr="003A4333">
          <w:rPr>
            <w:rStyle w:val="Hyperlink"/>
            <w:lang w:val="es-ES"/>
          </w:rPr>
          <w:t xml:space="preserve"> Recomendaciones de la UIT</w:t>
        </w:r>
      </w:hyperlink>
      <w:r w:rsidRPr="003A4333">
        <w:rPr>
          <w:lang w:val="es-ES"/>
        </w:rPr>
        <w:t>)</w:t>
      </w:r>
      <w:r w:rsidR="00FD751F">
        <w:rPr>
          <w:lang w:val="es-ES"/>
        </w:rPr>
        <w:t>.</w:t>
      </w:r>
    </w:p>
    <w:p w14:paraId="1B3B5637" w14:textId="47EC8B74" w:rsidR="003A4333" w:rsidRDefault="003A4333" w:rsidP="003A4333">
      <w:pPr>
        <w:pStyle w:val="enumlev1"/>
      </w:pPr>
      <w:r>
        <w:t>–</w:t>
      </w:r>
      <w:r>
        <w:tab/>
        <w:t>ITUSearch</w:t>
      </w:r>
      <w:r w:rsidR="00FD751F">
        <w:t>:</w:t>
      </w:r>
      <w:r>
        <w:t xml:space="preserve"> motor de búsqueda en todos los recursos digitales de la UIT (publicaciones, documentos, páginas web, medios sociales…)</w:t>
      </w:r>
      <w:r w:rsidR="00FD751F">
        <w:t>.</w:t>
      </w:r>
    </w:p>
    <w:p w14:paraId="4E673B4B" w14:textId="06753400" w:rsidR="003A4333" w:rsidRDefault="003A4333" w:rsidP="003A4333">
      <w:pPr>
        <w:pStyle w:val="enumlev1"/>
      </w:pPr>
      <w:r>
        <w:t>–</w:t>
      </w:r>
      <w:r>
        <w:tab/>
        <w:t>Inteligencia administrativa</w:t>
      </w:r>
      <w:r w:rsidR="00FD751F">
        <w:t>:</w:t>
      </w:r>
      <w:r>
        <w:t xml:space="preserve"> soluciones basadas en Power BI y Google Analytics para generar </w:t>
      </w:r>
      <w:r w:rsidR="00876FCF">
        <w:t>estadísticas</w:t>
      </w:r>
      <w:r>
        <w:t xml:space="preserve"> sobre las actividades del UIT-T</w:t>
      </w:r>
      <w:r w:rsidR="00FD751F">
        <w:t>.</w:t>
      </w:r>
    </w:p>
    <w:p w14:paraId="695A98BD" w14:textId="30ACFE88" w:rsidR="003A4333" w:rsidRDefault="003A4333" w:rsidP="003A4333">
      <w:pPr>
        <w:pStyle w:val="enumlev1"/>
      </w:pPr>
      <w:r>
        <w:t>–</w:t>
      </w:r>
      <w:r>
        <w:tab/>
        <w:t>Correspondencia con los ODS</w:t>
      </w:r>
      <w:r w:rsidR="00FD751F">
        <w:t>:</w:t>
      </w:r>
      <w:r>
        <w:t xml:space="preserve"> establecimiento automático de las relaciones entre las actividades del UIT-T y las de los ODS de las Naciones Unidas mediante la evaluación de la relevancia semántica de textos</w:t>
      </w:r>
      <w:r w:rsidR="00FD751F">
        <w:t>.</w:t>
      </w:r>
    </w:p>
    <w:p w14:paraId="53A28B76" w14:textId="74395C2F" w:rsidR="003A4333" w:rsidRDefault="003A4333" w:rsidP="003A4333">
      <w:pPr>
        <w:pStyle w:val="enumlev1"/>
      </w:pPr>
      <w:r>
        <w:t>–</w:t>
      </w:r>
      <w:r>
        <w:tab/>
        <w:t xml:space="preserve">Sistema de </w:t>
      </w:r>
      <w:r w:rsidR="00876FCF">
        <w:t>autoservicio</w:t>
      </w:r>
      <w:r>
        <w:t xml:space="preserve"> biográfico</w:t>
      </w:r>
      <w:r w:rsidR="00FD751F">
        <w:t>:</w:t>
      </w:r>
      <w:r>
        <w:t xml:space="preserve"> </w:t>
      </w:r>
      <w:r w:rsidR="00FD751F">
        <w:t>a</w:t>
      </w:r>
      <w:r>
        <w:t>yuda a los organizadores de eventos a encontrar expertos y a mantener actualizada la biografía de los invitados en el sitio web del evento</w:t>
      </w:r>
      <w:r w:rsidR="00FD751F">
        <w:t>.</w:t>
      </w:r>
    </w:p>
    <w:p w14:paraId="2F9911E6" w14:textId="2786C118" w:rsidR="003A4333" w:rsidRDefault="003A4333" w:rsidP="003A4333">
      <w:pPr>
        <w:pStyle w:val="enumlev1"/>
      </w:pPr>
      <w:r>
        <w:t>–</w:t>
      </w:r>
      <w:r>
        <w:tab/>
        <w:t>Transcripción automática</w:t>
      </w:r>
      <w:r w:rsidR="00FD751F">
        <w:t>:</w:t>
      </w:r>
      <w:r>
        <w:t xml:space="preserve"> reconocimiento vocal y segmentación del orador a partir de la grabación de la reunión.</w:t>
      </w:r>
    </w:p>
    <w:p w14:paraId="7466A3ED" w14:textId="037BDFA8" w:rsidR="008A64DF" w:rsidRPr="003A4333" w:rsidRDefault="008A64DF" w:rsidP="003A4333">
      <w:pPr>
        <w:pStyle w:val="Heading2"/>
        <w:rPr>
          <w:lang w:val="es-ES" w:eastAsia="en-GB"/>
        </w:rPr>
      </w:pPr>
      <w:bookmarkStart w:id="181" w:name="_Toc37860469"/>
      <w:bookmarkStart w:id="182" w:name="_Toc37861230"/>
      <w:bookmarkStart w:id="183" w:name="_Toc37943353"/>
      <w:bookmarkStart w:id="184" w:name="_Toc97821274"/>
      <w:r w:rsidRPr="00525F83">
        <w:rPr>
          <w:lang w:val="es-ES" w:eastAsia="en-GB"/>
        </w:rPr>
        <w:lastRenderedPageBreak/>
        <w:t>2.3</w:t>
      </w:r>
      <w:r w:rsidRPr="00525F83">
        <w:rPr>
          <w:lang w:val="es-ES" w:eastAsia="en-GB"/>
        </w:rPr>
        <w:tab/>
      </w:r>
      <w:bookmarkEnd w:id="181"/>
      <w:bookmarkEnd w:id="182"/>
      <w:bookmarkEnd w:id="183"/>
      <w:r w:rsidRPr="00525F83">
        <w:rPr>
          <w:lang w:val="es-ES" w:eastAsia="en-GB"/>
        </w:rPr>
        <w:t>Transformación del UIT-D: una BDT adaptada a su misión</w:t>
      </w:r>
      <w:bookmarkEnd w:id="184"/>
    </w:p>
    <w:p w14:paraId="20ABC412" w14:textId="0F38839C" w:rsidR="008A64DF" w:rsidRPr="00C3025E" w:rsidRDefault="008A64DF" w:rsidP="00E313D8">
      <w:pPr>
        <w:keepNext/>
        <w:keepLines/>
        <w:rPr>
          <w:lang w:val="es-ES"/>
        </w:rPr>
      </w:pPr>
      <w:r w:rsidRPr="00C3025E">
        <w:rPr>
          <w:lang w:val="es-ES"/>
        </w:rPr>
        <w:t>En 2019, la BDT inició su transformación en una Oficina capaz de evolucionar tan rápidamente como el entorno de desarrollo, que responda efectivamente a las necesidades de los Estados Miembros y los Miembros de Sector</w:t>
      </w:r>
      <w:r>
        <w:rPr>
          <w:lang w:val="es-ES"/>
        </w:rPr>
        <w:t xml:space="preserve"> </w:t>
      </w:r>
      <w:r w:rsidR="008C7C70" w:rsidRPr="008C7C70">
        <w:rPr>
          <w:lang w:val="es-ES"/>
        </w:rPr>
        <w:t>–</w:t>
      </w:r>
      <w:r>
        <w:rPr>
          <w:lang w:val="es-ES"/>
        </w:rPr>
        <w:t xml:space="preserve"> una BDT adaptada a su misión </w:t>
      </w:r>
      <w:r w:rsidRPr="00C3025E">
        <w:rPr>
          <w:lang w:val="es-ES"/>
        </w:rPr>
        <w:t xml:space="preserve">que </w:t>
      </w:r>
      <w:r>
        <w:rPr>
          <w:lang w:val="es-ES"/>
        </w:rPr>
        <w:t>sea más pertinente y genere resultados</w:t>
      </w:r>
      <w:r w:rsidRPr="00C3025E">
        <w:rPr>
          <w:lang w:val="es-ES"/>
        </w:rPr>
        <w:t xml:space="preserve">. Tras una serie de consultas internas, la BDT ha adoptado métodos de trabajo innovadores, sentando las bases que garantizarán </w:t>
      </w:r>
      <w:r>
        <w:rPr>
          <w:lang w:val="es-ES"/>
        </w:rPr>
        <w:t xml:space="preserve">la </w:t>
      </w:r>
      <w:r w:rsidRPr="00C3025E">
        <w:rPr>
          <w:lang w:val="es-ES"/>
        </w:rPr>
        <w:t>ejecución</w:t>
      </w:r>
      <w:r w:rsidR="00A5499A">
        <w:rPr>
          <w:lang w:val="es-ES"/>
        </w:rPr>
        <w:t xml:space="preserve"> del</w:t>
      </w:r>
      <w:r w:rsidRPr="00C3025E">
        <w:rPr>
          <w:lang w:val="es-ES"/>
        </w:rPr>
        <w:t xml:space="preserve"> </w:t>
      </w:r>
      <w:hyperlink r:id="rId337" w:history="1">
        <w:r w:rsidRPr="00C3025E">
          <w:rPr>
            <w:rStyle w:val="Hyperlink"/>
            <w:lang w:val="es-ES"/>
          </w:rPr>
          <w:t>Plan de Acción de Buenos Aires</w:t>
        </w:r>
      </w:hyperlink>
      <w:r w:rsidRPr="00C3025E">
        <w:rPr>
          <w:lang w:val="es-ES"/>
        </w:rPr>
        <w:t>.</w:t>
      </w:r>
    </w:p>
    <w:p w14:paraId="788D9B83" w14:textId="061D9E57" w:rsidR="008A64DF" w:rsidRPr="00C3025E" w:rsidRDefault="008A64DF" w:rsidP="008A64DF">
      <w:pPr>
        <w:rPr>
          <w:lang w:val="es-ES"/>
        </w:rPr>
      </w:pPr>
      <w:r w:rsidRPr="00C3025E">
        <w:rPr>
          <w:lang w:val="es-ES"/>
        </w:rPr>
        <w:t xml:space="preserve">La transformación de la BDT es un proceso participativo y consultivo que depende de las opiniones recabadas y del debate con Estados Miembros y Miembros de Sector. </w:t>
      </w:r>
      <w:r>
        <w:rPr>
          <w:lang w:val="es-ES"/>
        </w:rPr>
        <w:t xml:space="preserve">La transformación digital de la </w:t>
      </w:r>
      <w:r w:rsidRPr="00C3025E">
        <w:rPr>
          <w:lang w:val="es-ES"/>
        </w:rPr>
        <w:t xml:space="preserve">BDT a través de </w:t>
      </w:r>
      <w:r>
        <w:rPr>
          <w:lang w:val="es-ES"/>
        </w:rPr>
        <w:t xml:space="preserve">la </w:t>
      </w:r>
      <w:r w:rsidRPr="00C3025E">
        <w:rPr>
          <w:lang w:val="es-ES"/>
        </w:rPr>
        <w:t xml:space="preserve">conectividad </w:t>
      </w:r>
      <w:r>
        <w:rPr>
          <w:lang w:val="es-ES"/>
        </w:rPr>
        <w:t xml:space="preserve">efectiva </w:t>
      </w:r>
      <w:r w:rsidRPr="00C3025E">
        <w:rPr>
          <w:lang w:val="es-ES"/>
        </w:rPr>
        <w:t>se centra en las personas y en escuchar a aquellas a las que la BDT intenta llegar para descubrir lo que necesitan a fin de mejorar sus vidas.</w:t>
      </w:r>
    </w:p>
    <w:p w14:paraId="2233B3FB" w14:textId="50CC4068" w:rsidR="008A64DF" w:rsidRPr="00C3025E" w:rsidRDefault="008A64DF" w:rsidP="00A5499A">
      <w:pPr>
        <w:rPr>
          <w:lang w:val="es-ES"/>
        </w:rPr>
      </w:pPr>
      <w:r w:rsidRPr="004A0682">
        <w:rPr>
          <w:lang w:val="es-ES"/>
        </w:rPr>
        <w:t>La</w:t>
      </w:r>
      <w:r w:rsidRPr="00C3025E">
        <w:rPr>
          <w:lang w:val="es-ES"/>
        </w:rPr>
        <w:t xml:space="preserve"> pandemia de COVID ha repercutido de forma muy adversa en todo el mundo. A lo largo de</w:t>
      </w:r>
      <w:r>
        <w:rPr>
          <w:lang w:val="es-ES"/>
        </w:rPr>
        <w:t> </w:t>
      </w:r>
      <w:r w:rsidRPr="00C3025E">
        <w:rPr>
          <w:lang w:val="es-ES"/>
        </w:rPr>
        <w:t xml:space="preserve">2020, la BDT ha implantado varias soluciones digitales y ha desarrollado paulatinamente nuevas formas de prestar sus servicios. Esas nuevas formas de prestación de servicios han pasado a constituir una nueva normalidad, y además de permitir a la BDT proseguir su labor pese a las nuevas circunstancias, han contribuido a fomentar vínculos más estrechos con nuestros </w:t>
      </w:r>
      <w:r>
        <w:rPr>
          <w:lang w:val="es-ES"/>
        </w:rPr>
        <w:t>m</w:t>
      </w:r>
      <w:r w:rsidRPr="00C3025E">
        <w:rPr>
          <w:lang w:val="es-ES"/>
        </w:rPr>
        <w:t>iembros y a aumentar nuestra disponibilidad con respecto a los mismos, habida cuenta de la coyuntura actual.</w:t>
      </w:r>
      <w:r w:rsidR="00A5499A">
        <w:rPr>
          <w:lang w:val="es-ES"/>
        </w:rPr>
        <w:t xml:space="preserve"> </w:t>
      </w:r>
      <w:r w:rsidRPr="00C3025E">
        <w:rPr>
          <w:lang w:val="es-ES"/>
        </w:rPr>
        <w:t xml:space="preserve">Esta es la </w:t>
      </w:r>
      <w:r w:rsidRPr="00A5499A">
        <w:rPr>
          <w:bCs/>
          <w:lang w:val="es-ES"/>
        </w:rPr>
        <w:t>"BDT apta para sus fines"</w:t>
      </w:r>
      <w:r w:rsidRPr="00C3025E">
        <w:rPr>
          <w:lang w:val="es-ES"/>
        </w:rPr>
        <w:t xml:space="preserve"> que queremos fomentar, una Oficina cuya labor sea interactiva y adopte nuevos instrumentos y enfoques, y que preste los servicios que necesitan los </w:t>
      </w:r>
      <w:r>
        <w:rPr>
          <w:lang w:val="es-ES"/>
        </w:rPr>
        <w:t>m</w:t>
      </w:r>
      <w:r w:rsidRPr="00C3025E">
        <w:rPr>
          <w:lang w:val="es-ES"/>
        </w:rPr>
        <w:t>iembros de la UIT, en colaboración con un conjunto, cada vez mayor, de organizaciones asociadas. La BDT ha demostrado en 2020 su capacidad para adaptarse rápidamente a la evolución de las circunstancias. Ello pone claramente de manifiesto lo que conlleva la labor de una "BDT apta para sus fines", en particular, lograr los resultados adecuados en consonancia con la visión de la</w:t>
      </w:r>
      <w:r>
        <w:rPr>
          <w:lang w:val="es-ES"/>
        </w:rPr>
        <w:t> </w:t>
      </w:r>
      <w:r w:rsidRPr="00C3025E">
        <w:rPr>
          <w:lang w:val="es-ES"/>
        </w:rPr>
        <w:t>BDT de facilitar la conexión de las personas que aún carecen de la misma.</w:t>
      </w:r>
    </w:p>
    <w:p w14:paraId="348C618D" w14:textId="77777777" w:rsidR="008A64DF" w:rsidRPr="00C3025E" w:rsidRDefault="008A64DF" w:rsidP="008A64DF">
      <w:pPr>
        <w:pStyle w:val="Headingb"/>
        <w:rPr>
          <w:lang w:val="es-ES"/>
        </w:rPr>
      </w:pPr>
      <w:r w:rsidRPr="004D2C55">
        <w:rPr>
          <w:lang w:val="es-ES"/>
        </w:rPr>
        <w:t>Principales actividades en 2020 para lograr una BDT apta para sus fines</w:t>
      </w:r>
    </w:p>
    <w:p w14:paraId="08872F00" w14:textId="281FBBC8" w:rsidR="008A64DF" w:rsidRPr="00C3025E" w:rsidRDefault="008A64DF" w:rsidP="008A64DF">
      <w:pPr>
        <w:pStyle w:val="enumlev1"/>
        <w:rPr>
          <w:lang w:val="es-ES"/>
        </w:rPr>
      </w:pPr>
      <w:r w:rsidRPr="00C3025E">
        <w:rPr>
          <w:lang w:val="es-ES"/>
        </w:rPr>
        <w:t>•</w:t>
      </w:r>
      <w:r w:rsidRPr="00C3025E">
        <w:rPr>
          <w:lang w:val="es-ES"/>
        </w:rPr>
        <w:tab/>
        <w:t xml:space="preserve">Elaboración de un nuevo </w:t>
      </w:r>
      <w:r w:rsidR="00B72349">
        <w:rPr>
          <w:lang w:val="es-ES"/>
        </w:rPr>
        <w:t>m</w:t>
      </w:r>
      <w:r w:rsidRPr="00C3025E">
        <w:rPr>
          <w:lang w:val="es-ES"/>
        </w:rPr>
        <w:t xml:space="preserve">anual de gestión de proyectos para mejorar la repercusión de los proyectos con arreglo al lenguaje, las herramientas y los procesos utilizados en todas las fases </w:t>
      </w:r>
      <w:r>
        <w:rPr>
          <w:lang w:val="es-ES"/>
        </w:rPr>
        <w:t>de los</w:t>
      </w:r>
      <w:r w:rsidRPr="00C3025E">
        <w:rPr>
          <w:lang w:val="es-ES"/>
        </w:rPr>
        <w:t xml:space="preserve"> proyectos.</w:t>
      </w:r>
    </w:p>
    <w:p w14:paraId="4522BF22" w14:textId="77777777" w:rsidR="008A64DF" w:rsidRPr="00C3025E" w:rsidRDefault="008A64DF" w:rsidP="008A64DF">
      <w:pPr>
        <w:pStyle w:val="enumlev1"/>
        <w:rPr>
          <w:lang w:val="es-ES"/>
        </w:rPr>
      </w:pPr>
      <w:r w:rsidRPr="00C3025E">
        <w:rPr>
          <w:lang w:val="es-ES"/>
        </w:rPr>
        <w:t>•</w:t>
      </w:r>
      <w:r w:rsidRPr="00C3025E">
        <w:rPr>
          <w:lang w:val="es-ES"/>
        </w:rPr>
        <w:tab/>
        <w:t>Evaluación de la cultura de liderazgo como labor de referencia.</w:t>
      </w:r>
    </w:p>
    <w:p w14:paraId="610B54AA" w14:textId="77777777" w:rsidR="008A64DF" w:rsidRPr="00C3025E" w:rsidRDefault="008A64DF" w:rsidP="008A64DF">
      <w:pPr>
        <w:pStyle w:val="enumlev1"/>
        <w:rPr>
          <w:lang w:val="es-ES"/>
        </w:rPr>
      </w:pPr>
      <w:r w:rsidRPr="00C3025E">
        <w:rPr>
          <w:lang w:val="es-ES"/>
        </w:rPr>
        <w:t>•</w:t>
      </w:r>
      <w:r w:rsidRPr="00C3025E">
        <w:rPr>
          <w:lang w:val="es-ES"/>
        </w:rPr>
        <w:tab/>
        <w:t>Revisión de los procesos de la BDT para racionalizar los procesos y aumentar la eficiencia.</w:t>
      </w:r>
    </w:p>
    <w:p w14:paraId="0ABBEB62" w14:textId="77777777" w:rsidR="008A64DF" w:rsidRPr="00C3025E" w:rsidRDefault="008A64DF" w:rsidP="008A64DF">
      <w:pPr>
        <w:pStyle w:val="enumlev1"/>
        <w:rPr>
          <w:lang w:val="es-ES"/>
        </w:rPr>
      </w:pPr>
      <w:r w:rsidRPr="00C3025E">
        <w:rPr>
          <w:lang w:val="es-ES"/>
        </w:rPr>
        <w:t>•</w:t>
      </w:r>
      <w:r w:rsidRPr="00C3025E">
        <w:rPr>
          <w:lang w:val="es-ES"/>
        </w:rPr>
        <w:tab/>
        <w:t>Puesta en marcha de la iniciativa "</w:t>
      </w:r>
      <w:r w:rsidRPr="00AF6115">
        <w:rPr>
          <w:lang w:val="fr-FR"/>
        </w:rPr>
        <w:t xml:space="preserve">Web </w:t>
      </w:r>
      <w:proofErr w:type="spellStart"/>
      <w:r w:rsidRPr="00AF6115">
        <w:rPr>
          <w:lang w:val="fr-FR"/>
        </w:rPr>
        <w:t>We</w:t>
      </w:r>
      <w:proofErr w:type="spellEnd"/>
      <w:r w:rsidRPr="00AF6115">
        <w:rPr>
          <w:lang w:val="fr-FR"/>
        </w:rPr>
        <w:t xml:space="preserve"> </w:t>
      </w:r>
      <w:proofErr w:type="spellStart"/>
      <w:r w:rsidRPr="00AF6115">
        <w:rPr>
          <w:lang w:val="fr-FR"/>
        </w:rPr>
        <w:t>Want</w:t>
      </w:r>
      <w:proofErr w:type="spellEnd"/>
      <w:r w:rsidRPr="00C3025E">
        <w:rPr>
          <w:lang w:val="es-ES"/>
        </w:rPr>
        <w:t>" para modernizar y rediseñar el sitio web del UIT-D.</w:t>
      </w:r>
    </w:p>
    <w:p w14:paraId="6641B81C" w14:textId="77777777" w:rsidR="008A64DF" w:rsidRPr="00C3025E" w:rsidRDefault="008A64DF" w:rsidP="008A64DF">
      <w:pPr>
        <w:pStyle w:val="enumlev1"/>
        <w:rPr>
          <w:lang w:val="es-ES"/>
        </w:rPr>
      </w:pPr>
      <w:r w:rsidRPr="00C3025E">
        <w:rPr>
          <w:lang w:val="es-ES"/>
        </w:rPr>
        <w:t>•</w:t>
      </w:r>
      <w:r w:rsidRPr="00C3025E">
        <w:rPr>
          <w:lang w:val="es-ES"/>
        </w:rPr>
        <w:tab/>
        <w:t>Examen de la presencia regional para fortalecer la labor y las actividades de coordinación de la BDT sobre el terreno.</w:t>
      </w:r>
    </w:p>
    <w:p w14:paraId="0240FC24" w14:textId="77777777" w:rsidR="008A64DF" w:rsidRPr="00C3025E" w:rsidRDefault="008A64DF" w:rsidP="008A64DF">
      <w:pPr>
        <w:pStyle w:val="enumlev1"/>
        <w:rPr>
          <w:lang w:val="es-ES"/>
        </w:rPr>
      </w:pPr>
      <w:r w:rsidRPr="00C3025E">
        <w:rPr>
          <w:lang w:val="es-ES"/>
        </w:rPr>
        <w:t>•</w:t>
      </w:r>
      <w:r w:rsidRPr="00C3025E">
        <w:rPr>
          <w:lang w:val="es-ES"/>
        </w:rPr>
        <w:tab/>
        <w:t>Incorporación del nuevo personal y bienvenida al mismo.</w:t>
      </w:r>
    </w:p>
    <w:p w14:paraId="1215AF1F" w14:textId="77777777" w:rsidR="008A64DF" w:rsidRPr="00C3025E" w:rsidRDefault="008A64DF" w:rsidP="008A64DF">
      <w:pPr>
        <w:pStyle w:val="enumlev1"/>
        <w:rPr>
          <w:lang w:val="es-ES"/>
        </w:rPr>
      </w:pPr>
      <w:r w:rsidRPr="00F66FAC">
        <w:rPr>
          <w:lang w:val="es-ES"/>
        </w:rPr>
        <w:t>•</w:t>
      </w:r>
      <w:r w:rsidRPr="00F66FAC">
        <w:rPr>
          <w:lang w:val="es-ES"/>
        </w:rPr>
        <w:tab/>
        <w:t xml:space="preserve">Adopción de nuevos enfoques </w:t>
      </w:r>
      <w:r>
        <w:rPr>
          <w:lang w:val="es-ES"/>
        </w:rPr>
        <w:t xml:space="preserve">para </w:t>
      </w:r>
      <w:r w:rsidRPr="00F66FAC">
        <w:rPr>
          <w:lang w:val="es-ES"/>
        </w:rPr>
        <w:t xml:space="preserve">la gestión basada en recursos </w:t>
      </w:r>
      <w:r>
        <w:rPr>
          <w:lang w:val="es-ES"/>
        </w:rPr>
        <w:t xml:space="preserve">y la </w:t>
      </w:r>
      <w:r w:rsidRPr="00F66FAC">
        <w:rPr>
          <w:lang w:val="es-ES"/>
        </w:rPr>
        <w:t>planificación</w:t>
      </w:r>
      <w:r>
        <w:rPr>
          <w:lang w:val="es-ES"/>
        </w:rPr>
        <w:t xml:space="preserve"> operativa</w:t>
      </w:r>
      <w:r w:rsidRPr="00F66FAC">
        <w:rPr>
          <w:lang w:val="es-ES"/>
        </w:rPr>
        <w:t>.</w:t>
      </w:r>
    </w:p>
    <w:p w14:paraId="64EBFB06" w14:textId="77777777" w:rsidR="008A64DF" w:rsidRPr="00C3025E" w:rsidRDefault="008A64DF" w:rsidP="008A64DF">
      <w:pPr>
        <w:pStyle w:val="enumlev1"/>
        <w:rPr>
          <w:lang w:val="es-ES"/>
        </w:rPr>
      </w:pPr>
      <w:r w:rsidRPr="00C3025E">
        <w:rPr>
          <w:lang w:val="es-ES"/>
        </w:rPr>
        <w:t>•</w:t>
      </w:r>
      <w:r w:rsidRPr="00C3025E">
        <w:rPr>
          <w:lang w:val="es-ES"/>
        </w:rPr>
        <w:tab/>
        <w:t>Organización de organizaciones abiertas para mantener al personal de la BDT informado y facilitar su colaboración.</w:t>
      </w:r>
    </w:p>
    <w:p w14:paraId="4C09FFF4" w14:textId="77777777" w:rsidR="008A64DF" w:rsidRPr="00C3025E" w:rsidRDefault="008A64DF" w:rsidP="008A64DF">
      <w:pPr>
        <w:pStyle w:val="enumlev1"/>
        <w:rPr>
          <w:lang w:val="es-ES"/>
        </w:rPr>
      </w:pPr>
      <w:r w:rsidRPr="00C3025E">
        <w:rPr>
          <w:lang w:val="es-ES"/>
        </w:rPr>
        <w:t>•</w:t>
      </w:r>
      <w:r w:rsidRPr="00C3025E">
        <w:rPr>
          <w:lang w:val="es-ES"/>
        </w:rPr>
        <w:tab/>
        <w:t>Retiro del personal directivo de la BDT para armonizar los objetivos conjuntos y fomentar la colaboración.</w:t>
      </w:r>
    </w:p>
    <w:p w14:paraId="36AD0743" w14:textId="77777777" w:rsidR="008A64DF" w:rsidRPr="00C3025E" w:rsidRDefault="008A64DF" w:rsidP="008A64DF">
      <w:pPr>
        <w:pStyle w:val="enumlev1"/>
        <w:rPr>
          <w:lang w:val="es-ES"/>
        </w:rPr>
      </w:pPr>
      <w:r w:rsidRPr="00C3025E">
        <w:rPr>
          <w:lang w:val="es-ES"/>
        </w:rPr>
        <w:t>•</w:t>
      </w:r>
      <w:r w:rsidRPr="00C3025E">
        <w:rPr>
          <w:lang w:val="es-ES"/>
        </w:rPr>
        <w:tab/>
        <w:t>Formulación de una estrategia de movilización de recursos para aportar recursos y lograr una mayor eficacia.</w:t>
      </w:r>
    </w:p>
    <w:p w14:paraId="26FC6417" w14:textId="42B431C8" w:rsidR="008A64DF" w:rsidRPr="00C3025E" w:rsidRDefault="008A64DF" w:rsidP="008A64DF">
      <w:pPr>
        <w:pStyle w:val="enumlev1"/>
        <w:rPr>
          <w:lang w:val="es-ES"/>
        </w:rPr>
      </w:pPr>
      <w:r w:rsidRPr="00C3025E">
        <w:rPr>
          <w:lang w:val="es-ES"/>
        </w:rPr>
        <w:lastRenderedPageBreak/>
        <w:t>•</w:t>
      </w:r>
      <w:r w:rsidRPr="00C3025E">
        <w:rPr>
          <w:lang w:val="es-ES"/>
        </w:rPr>
        <w:tab/>
        <w:t xml:space="preserve">Segunda promoción en </w:t>
      </w:r>
      <w:r w:rsidR="00B72349">
        <w:rPr>
          <w:lang w:val="es-ES"/>
        </w:rPr>
        <w:t>g</w:t>
      </w:r>
      <w:r w:rsidRPr="00C3025E">
        <w:rPr>
          <w:lang w:val="es-ES"/>
        </w:rPr>
        <w:t>estión de proyectos.</w:t>
      </w:r>
    </w:p>
    <w:p w14:paraId="3B989C86" w14:textId="4B595E9E" w:rsidR="008A64DF" w:rsidRDefault="008A64DF" w:rsidP="008A64DF">
      <w:pPr>
        <w:pStyle w:val="enumlev1"/>
        <w:rPr>
          <w:lang w:val="es-ES"/>
        </w:rPr>
      </w:pPr>
      <w:r w:rsidRPr="00C3025E">
        <w:rPr>
          <w:lang w:val="es-ES"/>
        </w:rPr>
        <w:t>•</w:t>
      </w:r>
      <w:r w:rsidRPr="00C3025E">
        <w:rPr>
          <w:lang w:val="es-ES"/>
        </w:rPr>
        <w:tab/>
        <w:t xml:space="preserve">Tercera promoción de </w:t>
      </w:r>
      <w:r w:rsidR="00B72349">
        <w:rPr>
          <w:lang w:val="es-ES"/>
        </w:rPr>
        <w:t>a</w:t>
      </w:r>
      <w:r w:rsidRPr="00C3025E">
        <w:rPr>
          <w:lang w:val="es-ES"/>
        </w:rPr>
        <w:t>gentes del cambio.</w:t>
      </w:r>
    </w:p>
    <w:p w14:paraId="68B9962C" w14:textId="3E8FC01F" w:rsidR="008A64DF" w:rsidRPr="006C4478" w:rsidRDefault="008A64DF" w:rsidP="008A64DF">
      <w:pPr>
        <w:pStyle w:val="Headingb"/>
        <w:rPr>
          <w:rFonts w:eastAsia="Calibri"/>
          <w:lang w:val="es-ES"/>
        </w:rPr>
      </w:pPr>
      <w:r w:rsidRPr="00B749BA">
        <w:rPr>
          <w:lang w:val="es-ES"/>
        </w:rPr>
        <w:t>Principales actividades en 2021 para lograr una BDT apta para sus fines</w:t>
      </w:r>
    </w:p>
    <w:p w14:paraId="32C2F97E" w14:textId="193964D8" w:rsidR="008A64DF" w:rsidRPr="00E05726" w:rsidRDefault="008A64DF" w:rsidP="008A64DF">
      <w:pPr>
        <w:pStyle w:val="enumlev1"/>
        <w:rPr>
          <w:lang w:val="es-ES"/>
        </w:rPr>
      </w:pPr>
      <w:r w:rsidRPr="00C3025E">
        <w:rPr>
          <w:lang w:val="es-ES"/>
        </w:rPr>
        <w:t>•</w:t>
      </w:r>
      <w:r w:rsidRPr="00C3025E">
        <w:rPr>
          <w:lang w:val="es-ES"/>
        </w:rPr>
        <w:tab/>
      </w:r>
      <w:r w:rsidRPr="00E05726">
        <w:rPr>
          <w:lang w:val="es-ES"/>
        </w:rPr>
        <w:t>Mejoras en los controles internos y la rendición de cuentas, incluida la modernización de múltiples sistemas de gestión a través del proyecto IT4BDT</w:t>
      </w:r>
      <w:r w:rsidR="00B749BA">
        <w:rPr>
          <w:lang w:val="es-ES"/>
        </w:rPr>
        <w:t>.</w:t>
      </w:r>
    </w:p>
    <w:p w14:paraId="7CEA12A3" w14:textId="74C5DD67" w:rsidR="008A64DF" w:rsidRPr="00E05726" w:rsidRDefault="008A64DF" w:rsidP="008A64DF">
      <w:pPr>
        <w:pStyle w:val="enumlev1"/>
        <w:rPr>
          <w:lang w:val="es-ES"/>
        </w:rPr>
      </w:pPr>
      <w:r w:rsidRPr="00C3025E">
        <w:rPr>
          <w:lang w:val="es-ES"/>
        </w:rPr>
        <w:t>•</w:t>
      </w:r>
      <w:r w:rsidRPr="00C3025E">
        <w:rPr>
          <w:lang w:val="es-ES"/>
        </w:rPr>
        <w:tab/>
      </w:r>
      <w:r w:rsidRPr="00E05726">
        <w:rPr>
          <w:lang w:val="es-ES"/>
        </w:rPr>
        <w:t>Evaluación de la cultura de liderazgo</w:t>
      </w:r>
      <w:r w:rsidR="00B749BA">
        <w:rPr>
          <w:lang w:val="es-ES"/>
        </w:rPr>
        <w:t>.</w:t>
      </w:r>
    </w:p>
    <w:p w14:paraId="3AD9FC70" w14:textId="4FCA87B9" w:rsidR="008A64DF" w:rsidRPr="00E05726" w:rsidRDefault="008A64DF" w:rsidP="008A64DF">
      <w:pPr>
        <w:pStyle w:val="enumlev1"/>
        <w:rPr>
          <w:lang w:val="es-ES"/>
        </w:rPr>
      </w:pPr>
      <w:r w:rsidRPr="00C3025E">
        <w:rPr>
          <w:lang w:val="es-ES"/>
        </w:rPr>
        <w:t>•</w:t>
      </w:r>
      <w:r w:rsidRPr="00C3025E">
        <w:rPr>
          <w:lang w:val="es-ES"/>
        </w:rPr>
        <w:tab/>
      </w:r>
      <w:r w:rsidRPr="00E05726">
        <w:rPr>
          <w:lang w:val="es-ES"/>
        </w:rPr>
        <w:t>Evaluación de la capacidad interna y plan de desarrollo</w:t>
      </w:r>
      <w:r w:rsidR="00B749BA">
        <w:rPr>
          <w:lang w:val="es-ES"/>
        </w:rPr>
        <w:t>.</w:t>
      </w:r>
    </w:p>
    <w:p w14:paraId="57B62D07" w14:textId="63F69C66" w:rsidR="008A64DF" w:rsidRPr="00E05726" w:rsidRDefault="008A64DF" w:rsidP="008A64DF">
      <w:pPr>
        <w:pStyle w:val="enumlev1"/>
        <w:rPr>
          <w:lang w:val="es-ES"/>
        </w:rPr>
      </w:pPr>
      <w:r w:rsidRPr="00C3025E">
        <w:rPr>
          <w:lang w:val="es-ES"/>
        </w:rPr>
        <w:t>•</w:t>
      </w:r>
      <w:r w:rsidRPr="00C3025E">
        <w:rPr>
          <w:lang w:val="es-ES"/>
        </w:rPr>
        <w:tab/>
      </w:r>
      <w:r w:rsidRPr="00E05726">
        <w:rPr>
          <w:lang w:val="es-ES"/>
        </w:rPr>
        <w:t>Mejora de la red de cambio de la BDT</w:t>
      </w:r>
      <w:r w:rsidR="00B749BA">
        <w:rPr>
          <w:lang w:val="es-ES"/>
        </w:rPr>
        <w:t>.</w:t>
      </w:r>
    </w:p>
    <w:p w14:paraId="02EA454E" w14:textId="16FD2DCD" w:rsidR="008A64DF" w:rsidRPr="00E05726" w:rsidRDefault="008A64DF" w:rsidP="008A64DF">
      <w:pPr>
        <w:pStyle w:val="enumlev1"/>
        <w:rPr>
          <w:lang w:val="es-ES"/>
        </w:rPr>
      </w:pPr>
      <w:r w:rsidRPr="00C3025E">
        <w:rPr>
          <w:lang w:val="es-ES"/>
        </w:rPr>
        <w:t>•</w:t>
      </w:r>
      <w:r w:rsidRPr="00C3025E">
        <w:rPr>
          <w:lang w:val="es-ES"/>
        </w:rPr>
        <w:tab/>
      </w:r>
      <w:r w:rsidRPr="00E05726">
        <w:rPr>
          <w:lang w:val="es-ES"/>
        </w:rPr>
        <w:t>Puesta en marcha de la Junta de Proyectos</w:t>
      </w:r>
      <w:r w:rsidR="00B749BA">
        <w:rPr>
          <w:lang w:val="es-ES"/>
        </w:rPr>
        <w:t>.</w:t>
      </w:r>
    </w:p>
    <w:p w14:paraId="70717A0E" w14:textId="77198197" w:rsidR="008A64DF" w:rsidRPr="00E05726" w:rsidRDefault="008A64DF" w:rsidP="008A64DF">
      <w:pPr>
        <w:pStyle w:val="enumlev1"/>
        <w:rPr>
          <w:lang w:val="es-ES"/>
        </w:rPr>
      </w:pPr>
      <w:r w:rsidRPr="00C3025E">
        <w:rPr>
          <w:lang w:val="es-ES"/>
        </w:rPr>
        <w:t>•</w:t>
      </w:r>
      <w:r w:rsidRPr="00C3025E">
        <w:rPr>
          <w:lang w:val="es-ES"/>
        </w:rPr>
        <w:tab/>
      </w:r>
      <w:r w:rsidRPr="00E05726">
        <w:rPr>
          <w:lang w:val="es-ES"/>
        </w:rPr>
        <w:t xml:space="preserve">Continuación de las reuniones </w:t>
      </w:r>
      <w:r>
        <w:rPr>
          <w:lang w:val="es-ES"/>
        </w:rPr>
        <w:t>generales</w:t>
      </w:r>
      <w:r w:rsidRPr="00E05726">
        <w:rPr>
          <w:lang w:val="es-ES"/>
        </w:rPr>
        <w:t xml:space="preserve"> para mantener al personal de la BDT informado y comprometido</w:t>
      </w:r>
      <w:r w:rsidR="00B749BA">
        <w:rPr>
          <w:lang w:val="es-ES"/>
        </w:rPr>
        <w:t>.</w:t>
      </w:r>
    </w:p>
    <w:p w14:paraId="4C64582F" w14:textId="5788B2DA" w:rsidR="008A64DF" w:rsidRPr="00E05726" w:rsidRDefault="008A64DF" w:rsidP="008A64DF">
      <w:pPr>
        <w:pStyle w:val="enumlev1"/>
        <w:rPr>
          <w:lang w:val="es-ES"/>
        </w:rPr>
      </w:pPr>
      <w:r w:rsidRPr="00C3025E">
        <w:rPr>
          <w:lang w:val="es-ES"/>
        </w:rPr>
        <w:t>•</w:t>
      </w:r>
      <w:r w:rsidRPr="00C3025E">
        <w:rPr>
          <w:lang w:val="es-ES"/>
        </w:rPr>
        <w:tab/>
      </w:r>
      <w:r w:rsidRPr="00E05726">
        <w:rPr>
          <w:lang w:val="es-ES"/>
        </w:rPr>
        <w:t>Revisión del proceso</w:t>
      </w:r>
      <w:r w:rsidR="00B749BA">
        <w:rPr>
          <w:lang w:val="es-ES"/>
        </w:rPr>
        <w:t>.</w:t>
      </w:r>
    </w:p>
    <w:p w14:paraId="4097DF9C" w14:textId="329FC096" w:rsidR="008A64DF" w:rsidRPr="00E05726" w:rsidRDefault="008A64DF" w:rsidP="008A64DF">
      <w:pPr>
        <w:pStyle w:val="enumlev1"/>
        <w:rPr>
          <w:lang w:val="es-ES"/>
        </w:rPr>
      </w:pPr>
      <w:r w:rsidRPr="00C3025E">
        <w:rPr>
          <w:lang w:val="es-ES"/>
        </w:rPr>
        <w:t>•</w:t>
      </w:r>
      <w:r w:rsidRPr="00C3025E">
        <w:rPr>
          <w:lang w:val="es-ES"/>
        </w:rPr>
        <w:tab/>
      </w:r>
      <w:r w:rsidRPr="00E05726">
        <w:rPr>
          <w:lang w:val="es-ES"/>
        </w:rPr>
        <w:t>Estrategia de movilización de recursos</w:t>
      </w:r>
      <w:r w:rsidR="00B749BA">
        <w:rPr>
          <w:lang w:val="es-ES"/>
        </w:rPr>
        <w:t>.</w:t>
      </w:r>
    </w:p>
    <w:p w14:paraId="1D6A4A07" w14:textId="234D4CCE" w:rsidR="008A64DF" w:rsidRPr="00E05726" w:rsidRDefault="008A64DF" w:rsidP="008A64DF">
      <w:pPr>
        <w:pStyle w:val="enumlev1"/>
        <w:rPr>
          <w:lang w:val="es-ES"/>
        </w:rPr>
      </w:pPr>
      <w:r w:rsidRPr="00C3025E">
        <w:rPr>
          <w:lang w:val="es-ES"/>
        </w:rPr>
        <w:t>•</w:t>
      </w:r>
      <w:r w:rsidRPr="00C3025E">
        <w:rPr>
          <w:lang w:val="es-ES"/>
        </w:rPr>
        <w:tab/>
      </w:r>
      <w:r w:rsidRPr="00E05726">
        <w:rPr>
          <w:lang w:val="es-ES"/>
        </w:rPr>
        <w:t>Innovación (iCodi)</w:t>
      </w:r>
      <w:r w:rsidR="00B749BA">
        <w:rPr>
          <w:lang w:val="es-ES"/>
        </w:rPr>
        <w:t>.</w:t>
      </w:r>
    </w:p>
    <w:p w14:paraId="11A6A6AB" w14:textId="72F77019" w:rsidR="008A64DF" w:rsidRPr="00E05726" w:rsidRDefault="008A64DF" w:rsidP="008A64DF">
      <w:pPr>
        <w:pStyle w:val="enumlev1"/>
        <w:rPr>
          <w:lang w:val="es-ES"/>
        </w:rPr>
      </w:pPr>
      <w:r w:rsidRPr="00C3025E">
        <w:rPr>
          <w:lang w:val="es-ES"/>
        </w:rPr>
        <w:t>•</w:t>
      </w:r>
      <w:r w:rsidRPr="00C3025E">
        <w:rPr>
          <w:lang w:val="es-ES"/>
        </w:rPr>
        <w:tab/>
      </w:r>
      <w:r w:rsidRPr="00E05726">
        <w:rPr>
          <w:lang w:val="es-ES"/>
        </w:rPr>
        <w:t>Refuerzo de las comunicaciones internas</w:t>
      </w:r>
      <w:r w:rsidR="00B749BA">
        <w:rPr>
          <w:lang w:val="es-ES"/>
        </w:rPr>
        <w:t>.</w:t>
      </w:r>
    </w:p>
    <w:p w14:paraId="4154A378" w14:textId="6A4825B0" w:rsidR="008A64DF" w:rsidRPr="00E05726" w:rsidRDefault="008A64DF" w:rsidP="008A64DF">
      <w:pPr>
        <w:pStyle w:val="enumlev1"/>
        <w:rPr>
          <w:lang w:val="es-ES"/>
        </w:rPr>
      </w:pPr>
      <w:r w:rsidRPr="00C3025E">
        <w:rPr>
          <w:lang w:val="es-ES"/>
        </w:rPr>
        <w:t>•</w:t>
      </w:r>
      <w:r w:rsidRPr="00C3025E">
        <w:rPr>
          <w:lang w:val="es-ES"/>
        </w:rPr>
        <w:tab/>
      </w:r>
      <w:r w:rsidRPr="00E05726">
        <w:rPr>
          <w:lang w:val="es-ES"/>
        </w:rPr>
        <w:t xml:space="preserve">Desarrollo de cuadros de </w:t>
      </w:r>
      <w:r>
        <w:rPr>
          <w:lang w:val="es-ES"/>
        </w:rPr>
        <w:t>gestión</w:t>
      </w:r>
      <w:r w:rsidRPr="00E05726">
        <w:rPr>
          <w:lang w:val="es-ES"/>
        </w:rPr>
        <w:t xml:space="preserve"> y visualizaciones de gestión mejorados</w:t>
      </w:r>
      <w:r w:rsidR="00B749BA">
        <w:rPr>
          <w:lang w:val="es-ES"/>
        </w:rPr>
        <w:t>.</w:t>
      </w:r>
    </w:p>
    <w:p w14:paraId="67101905" w14:textId="77777777" w:rsidR="008A64DF" w:rsidRPr="00E05726" w:rsidRDefault="008A64DF" w:rsidP="008A64DF">
      <w:pPr>
        <w:pStyle w:val="enumlev1"/>
        <w:rPr>
          <w:lang w:val="es-ES"/>
        </w:rPr>
      </w:pPr>
      <w:r w:rsidRPr="00C3025E">
        <w:rPr>
          <w:lang w:val="es-ES"/>
        </w:rPr>
        <w:t>•</w:t>
      </w:r>
      <w:r w:rsidRPr="00C3025E">
        <w:rPr>
          <w:lang w:val="es-ES"/>
        </w:rPr>
        <w:tab/>
      </w:r>
      <w:r w:rsidRPr="00E05726">
        <w:rPr>
          <w:lang w:val="es-ES"/>
        </w:rPr>
        <w:t>Fortalecimiento del enfoque de la gestión basada en los resultados.</w:t>
      </w:r>
    </w:p>
    <w:p w14:paraId="6AA2C0A8" w14:textId="77777777" w:rsidR="008A64DF" w:rsidRPr="00C3025E" w:rsidRDefault="008A64DF" w:rsidP="008A64DF">
      <w:pPr>
        <w:pStyle w:val="Headingb"/>
        <w:rPr>
          <w:lang w:val="es-ES"/>
        </w:rPr>
      </w:pPr>
      <w:r w:rsidRPr="004D2C55">
        <w:rPr>
          <w:lang w:val="es-ES"/>
        </w:rPr>
        <w:t>Novedades en materia de C4C (liderazgo para el cambio)</w:t>
      </w:r>
    </w:p>
    <w:p w14:paraId="00C5D3E9" w14:textId="77777777" w:rsidR="008A64DF" w:rsidRPr="003A4333" w:rsidRDefault="008A64DF" w:rsidP="008A64DF">
      <w:r w:rsidRPr="00C3025E">
        <w:rPr>
          <w:lang w:val="es-ES"/>
        </w:rPr>
        <w:t>La pandemia ha propiciado cambios a un ritmo mucho más rápido que el previsto inicia</w:t>
      </w:r>
      <w:r>
        <w:rPr>
          <w:lang w:val="es-ES"/>
        </w:rPr>
        <w:t>l</w:t>
      </w:r>
      <w:r w:rsidRPr="00C3025E">
        <w:rPr>
          <w:lang w:val="es-ES"/>
        </w:rPr>
        <w:t>mente en el proceso de evolución de la BDT</w:t>
      </w:r>
      <w:r>
        <w:rPr>
          <w:lang w:val="es-ES"/>
        </w:rPr>
        <w:t>.</w:t>
      </w:r>
      <w:r w:rsidRPr="00C3025E">
        <w:rPr>
          <w:lang w:val="es-ES"/>
        </w:rPr>
        <w:t xml:space="preserve"> </w:t>
      </w:r>
      <w:r>
        <w:rPr>
          <w:lang w:val="es-ES"/>
        </w:rPr>
        <w:t>E</w:t>
      </w:r>
      <w:r w:rsidRPr="00C3025E">
        <w:rPr>
          <w:lang w:val="es-ES"/>
        </w:rPr>
        <w:t xml:space="preserve">l entorno de trabajo de todo el mundo se ha visto alterado íntegramente, </w:t>
      </w:r>
      <w:r>
        <w:rPr>
          <w:lang w:val="es-ES"/>
        </w:rPr>
        <w:t>y ha tenido que adaptarse y lidiar con las presiones adicionales del cambio</w:t>
      </w:r>
      <w:r w:rsidRPr="00C3025E">
        <w:rPr>
          <w:lang w:val="es-ES"/>
        </w:rPr>
        <w:t xml:space="preserve">, a fin de lograr avances para lograr una BDT "apta para sus fines" en un nuevo contexto mundial. Cada vez es más acuciante prestar servicios a los Estados Miembros cuya población, red institucional y economía deben afrontar grandes desafíos con la asistencia de la BDT. </w:t>
      </w:r>
      <w:r>
        <w:rPr>
          <w:lang w:val="es-ES"/>
        </w:rPr>
        <w:t xml:space="preserve">Los actuales </w:t>
      </w:r>
      <w:r w:rsidRPr="00C3025E">
        <w:rPr>
          <w:lang w:val="es-ES"/>
        </w:rPr>
        <w:t>planes y programas</w:t>
      </w:r>
      <w:r>
        <w:rPr>
          <w:lang w:val="es-ES"/>
        </w:rPr>
        <w:t xml:space="preserve"> han tenido que reconfigurarse rápidamente a </w:t>
      </w:r>
      <w:r w:rsidRPr="00C3025E">
        <w:rPr>
          <w:lang w:val="es-ES"/>
        </w:rPr>
        <w:t>tenor de nuevas necesidades y la oportunidad de fomentar la conectividad. En los últimos 12 meses, se ha impartido formación a 34 miembros del personal en materia de gestión de cambios</w:t>
      </w:r>
      <w:r>
        <w:rPr>
          <w:lang w:val="es-ES"/>
        </w:rPr>
        <w:t xml:space="preserve"> y, en consecuencia, </w:t>
      </w:r>
      <w:r w:rsidRPr="00C3025E">
        <w:rPr>
          <w:lang w:val="es-ES"/>
        </w:rPr>
        <w:t>ha aportado nuevos enfoques profesionales</w:t>
      </w:r>
      <w:r>
        <w:rPr>
          <w:lang w:val="es-ES"/>
        </w:rPr>
        <w:t>,</w:t>
      </w:r>
      <w:r w:rsidRPr="00C3025E">
        <w:rPr>
          <w:lang w:val="es-ES"/>
        </w:rPr>
        <w:t xml:space="preserve"> y ha contribuido a varias iniciativas clave de la BDT.</w:t>
      </w:r>
    </w:p>
    <w:p w14:paraId="405F542E" w14:textId="658B2657" w:rsidR="008A64DF" w:rsidRPr="003A4333" w:rsidRDefault="008A64DF" w:rsidP="003A4333">
      <w:pPr>
        <w:pStyle w:val="Heading2"/>
        <w:rPr>
          <w:lang w:val="es-ES" w:eastAsia="en-GB"/>
        </w:rPr>
      </w:pPr>
      <w:bookmarkStart w:id="185" w:name="_Toc37943354"/>
      <w:bookmarkStart w:id="186" w:name="_Toc97821275"/>
      <w:r w:rsidRPr="004D2C55">
        <w:rPr>
          <w:lang w:val="es-ES" w:eastAsia="en-GB"/>
        </w:rPr>
        <w:t>2.4</w:t>
      </w:r>
      <w:r w:rsidRPr="004D2C55">
        <w:rPr>
          <w:lang w:val="es-ES" w:eastAsia="en-GB"/>
        </w:rPr>
        <w:tab/>
        <w:t>Secretaría General</w:t>
      </w:r>
      <w:bookmarkEnd w:id="185"/>
      <w:bookmarkEnd w:id="186"/>
    </w:p>
    <w:p w14:paraId="242D4DF1" w14:textId="1613536F" w:rsidR="008A64DF" w:rsidRDefault="008A64DF" w:rsidP="003A4333">
      <w:pPr>
        <w:pStyle w:val="Headingb"/>
        <w:rPr>
          <w:lang w:val="es-ES"/>
        </w:rPr>
      </w:pPr>
      <w:r w:rsidRPr="003A4333">
        <w:rPr>
          <w:lang w:val="es-ES"/>
        </w:rPr>
        <w:t>La UIT y el medioambiente</w:t>
      </w:r>
    </w:p>
    <w:p w14:paraId="198A5A7E" w14:textId="1735BFEF" w:rsidR="003A4333" w:rsidRPr="003A4333" w:rsidRDefault="003A4333" w:rsidP="003A4333">
      <w:pPr>
        <w:rPr>
          <w:lang w:val="es-ES"/>
        </w:rPr>
      </w:pPr>
      <w:r w:rsidRPr="003A4333">
        <w:rPr>
          <w:lang w:val="es-ES"/>
        </w:rPr>
        <w:t xml:space="preserve">La UIT sigue abordando su propia huella ambiental. Se han emprendido varias actividades de ecologización y la UIT mide anualmente su huella en el contexto de la iniciativa </w:t>
      </w:r>
      <w:proofErr w:type="spellStart"/>
      <w:r w:rsidRPr="00AF6115">
        <w:rPr>
          <w:lang w:val="fr-FR"/>
        </w:rPr>
        <w:t>Greening</w:t>
      </w:r>
      <w:proofErr w:type="spellEnd"/>
      <w:r w:rsidRPr="00AF6115">
        <w:rPr>
          <w:lang w:val="fr-FR"/>
        </w:rPr>
        <w:t xml:space="preserve"> the Blue</w:t>
      </w:r>
      <w:r w:rsidRPr="003A4333">
        <w:rPr>
          <w:i/>
          <w:iCs/>
          <w:lang w:val="es-ES"/>
        </w:rPr>
        <w:t xml:space="preserve"> </w:t>
      </w:r>
      <w:r w:rsidRPr="003A4333">
        <w:rPr>
          <w:lang w:val="es-ES"/>
        </w:rPr>
        <w:t xml:space="preserve">de las Naciones Unidas, así como de la iniciativa </w:t>
      </w:r>
      <w:hyperlink r:id="rId338" w:history="1">
        <w:r w:rsidR="004D2C55">
          <w:rPr>
            <w:rStyle w:val="Hyperlink"/>
            <w:lang w:val="es-ES"/>
          </w:rPr>
          <w:t>2050Today</w:t>
        </w:r>
      </w:hyperlink>
      <w:r w:rsidRPr="003A4333">
        <w:rPr>
          <w:lang w:val="es-ES"/>
        </w:rPr>
        <w:t xml:space="preserve">, con sede en Ginebra. Según el informe </w:t>
      </w:r>
      <w:proofErr w:type="spellStart"/>
      <w:r w:rsidRPr="00AF6115">
        <w:rPr>
          <w:lang w:val="fr-FR"/>
        </w:rPr>
        <w:t>Greening</w:t>
      </w:r>
      <w:proofErr w:type="spellEnd"/>
      <w:r w:rsidRPr="00AF6115">
        <w:rPr>
          <w:lang w:val="fr-FR"/>
        </w:rPr>
        <w:t xml:space="preserve"> the Blue 2021</w:t>
      </w:r>
      <w:r w:rsidRPr="003A4333">
        <w:rPr>
          <w:lang w:val="es-ES"/>
        </w:rPr>
        <w:t xml:space="preserve"> de las Naciones Unidas, basado en los datos de 2020, la huella operativa global de la UIT se redujo en un 46% en comparación con 2019. Solo el cese de la mayoría de los viajes en misión supuso una reducción de más de 1</w:t>
      </w:r>
      <w:r w:rsidR="004D2C55">
        <w:rPr>
          <w:lang w:val="es-ES"/>
        </w:rPr>
        <w:t> </w:t>
      </w:r>
      <w:r w:rsidRPr="003A4333">
        <w:rPr>
          <w:lang w:val="es-ES"/>
        </w:rPr>
        <w:t>600</w:t>
      </w:r>
      <w:r w:rsidR="004D2C55">
        <w:rPr>
          <w:lang w:val="es-ES"/>
        </w:rPr>
        <w:t> </w:t>
      </w:r>
      <w:r w:rsidRPr="003A4333">
        <w:rPr>
          <w:lang w:val="es-ES"/>
        </w:rPr>
        <w:t>toneladas de CO</w:t>
      </w:r>
      <w:r w:rsidRPr="003A4333">
        <w:rPr>
          <w:vertAlign w:val="subscript"/>
          <w:lang w:val="es-ES"/>
        </w:rPr>
        <w:t>2</w:t>
      </w:r>
      <w:r w:rsidRPr="003A4333">
        <w:rPr>
          <w:lang w:val="es-ES"/>
        </w:rPr>
        <w:t xml:space="preserve"> en comparación con 2019, un 86% respecto las emisiones de 2019 en concepto de vuelos en misión, según la </w:t>
      </w:r>
      <w:bookmarkStart w:id="187" w:name="_Hlk95379116"/>
      <w:r w:rsidRPr="003A4333">
        <w:rPr>
          <w:lang w:val="es-ES"/>
        </w:rPr>
        <w:t>Sección de Viajes de la UIT</w:t>
      </w:r>
      <w:bookmarkEnd w:id="187"/>
      <w:r w:rsidRPr="003A4333">
        <w:rPr>
          <w:lang w:val="es-ES"/>
        </w:rPr>
        <w:t xml:space="preserve">. Tras la aprobación por el Consejo del </w:t>
      </w:r>
      <w:r w:rsidR="004D2C55" w:rsidRPr="003A4333">
        <w:rPr>
          <w:lang w:val="es-ES"/>
        </w:rPr>
        <w:t xml:space="preserve">Documento </w:t>
      </w:r>
      <w:hyperlink r:id="rId339" w:history="1">
        <w:r w:rsidRPr="003A4333">
          <w:rPr>
            <w:rStyle w:val="Hyperlink"/>
            <w:lang w:val="es-ES"/>
          </w:rPr>
          <w:t>C21/68</w:t>
        </w:r>
      </w:hyperlink>
      <w:r w:rsidRPr="003A4333">
        <w:rPr>
          <w:lang w:val="es-ES"/>
        </w:rPr>
        <w:t xml:space="preserve">, la dirección de la UIT ha aprobado Metas en el contexto del sistema de gestión ambiental de la UIT y </w:t>
      </w:r>
      <w:r w:rsidRPr="003A4333">
        <w:rPr>
          <w:lang w:val="es-ES"/>
        </w:rPr>
        <w:lastRenderedPageBreak/>
        <w:t>la UIT sigue tratando de armonizar sus actividades y aplicar la Estrategia de Sostenibilidad de las Naciones Unidas 2020-2030.</w:t>
      </w:r>
    </w:p>
    <w:p w14:paraId="0B39922E" w14:textId="41683EF6" w:rsidR="008A64DF" w:rsidRDefault="008A64DF" w:rsidP="008A64DF">
      <w:pPr>
        <w:pStyle w:val="Headingb"/>
        <w:rPr>
          <w:lang w:val="es-ES"/>
        </w:rPr>
      </w:pPr>
      <w:r w:rsidRPr="00FF095F">
        <w:rPr>
          <w:lang w:val="es-ES"/>
        </w:rPr>
        <w:t>Mejorar la eficiencia y la eficacia de la organización</w:t>
      </w:r>
    </w:p>
    <w:p w14:paraId="4B5338F3" w14:textId="77777777" w:rsidR="003A4333" w:rsidRPr="003A4333" w:rsidRDefault="003A4333" w:rsidP="003A4333">
      <w:pPr>
        <w:rPr>
          <w:lang w:val="es-ES"/>
        </w:rPr>
      </w:pPr>
      <w:r w:rsidRPr="003A4333">
        <w:rPr>
          <w:lang w:val="es-ES"/>
        </w:rPr>
        <w:t>A fin de desarrollar una estrategia de gestión a largo plazo para la organización, mantener el rendimiento y la pertinencia de los conocimientos técnicos, permitir la toma de decisiones informadas y demostrar la repercusión del trabajo de la UIT, se han llevado a cabo varios proyectos e iniciativas, en coordinación entre la Secretaría General (SG) y las Oficinas, en particular:</w:t>
      </w:r>
    </w:p>
    <w:p w14:paraId="174FEDAA" w14:textId="77777777" w:rsidR="008A64DF" w:rsidRPr="00C3025E" w:rsidRDefault="008A64DF" w:rsidP="008A64DF">
      <w:pPr>
        <w:pStyle w:val="enumlev1"/>
        <w:rPr>
          <w:lang w:val="es-ES"/>
        </w:rPr>
      </w:pPr>
      <w:r w:rsidRPr="00C3025E">
        <w:rPr>
          <w:lang w:val="es-ES"/>
        </w:rPr>
        <w:t>•</w:t>
      </w:r>
      <w:r w:rsidRPr="00C3025E">
        <w:rPr>
          <w:lang w:val="es-ES"/>
        </w:rPr>
        <w:tab/>
      </w:r>
      <w:r>
        <w:rPr>
          <w:lang w:val="es-ES"/>
        </w:rPr>
        <w:t>g</w:t>
      </w:r>
      <w:r w:rsidRPr="00C3025E">
        <w:rPr>
          <w:lang w:val="es-ES"/>
        </w:rPr>
        <w:t>estión basada en resultados/elaboración de un marco de delegación de autoridad</w:t>
      </w:r>
      <w:r>
        <w:rPr>
          <w:lang w:val="es-ES"/>
        </w:rPr>
        <w:t>;</w:t>
      </w:r>
    </w:p>
    <w:p w14:paraId="705D628E" w14:textId="77777777" w:rsidR="008A64DF" w:rsidRPr="00C3025E" w:rsidRDefault="008A64DF" w:rsidP="008A64DF">
      <w:pPr>
        <w:pStyle w:val="enumlev1"/>
        <w:rPr>
          <w:lang w:val="es-ES"/>
        </w:rPr>
      </w:pPr>
      <w:r w:rsidRPr="00C3025E">
        <w:rPr>
          <w:lang w:val="es-ES"/>
        </w:rPr>
        <w:t>•</w:t>
      </w:r>
      <w:r w:rsidRPr="00C3025E">
        <w:rPr>
          <w:lang w:val="es-ES"/>
        </w:rPr>
        <w:tab/>
      </w:r>
      <w:r>
        <w:rPr>
          <w:lang w:val="es-ES"/>
        </w:rPr>
        <w:t>a</w:t>
      </w:r>
      <w:r w:rsidRPr="00C3025E">
        <w:rPr>
          <w:lang w:val="es-ES"/>
        </w:rPr>
        <w:t xml:space="preserve">plicación del </w:t>
      </w:r>
      <w:r>
        <w:rPr>
          <w:lang w:val="es-ES"/>
        </w:rPr>
        <w:t>p</w:t>
      </w:r>
      <w:r w:rsidRPr="00C3025E">
        <w:rPr>
          <w:lang w:val="es-ES"/>
        </w:rPr>
        <w:t xml:space="preserve">lan de </w:t>
      </w:r>
      <w:r>
        <w:rPr>
          <w:lang w:val="es-ES"/>
        </w:rPr>
        <w:t>a</w:t>
      </w:r>
      <w:r w:rsidRPr="00C3025E">
        <w:rPr>
          <w:lang w:val="es-ES"/>
        </w:rPr>
        <w:t xml:space="preserve">cción de </w:t>
      </w:r>
      <w:r>
        <w:rPr>
          <w:lang w:val="es-ES"/>
        </w:rPr>
        <w:t>g</w:t>
      </w:r>
      <w:r w:rsidRPr="00C3025E">
        <w:rPr>
          <w:lang w:val="es-ES"/>
        </w:rPr>
        <w:t xml:space="preserve">estión de </w:t>
      </w:r>
      <w:r>
        <w:rPr>
          <w:lang w:val="es-ES"/>
        </w:rPr>
        <w:t>r</w:t>
      </w:r>
      <w:r w:rsidRPr="00C3025E">
        <w:rPr>
          <w:lang w:val="es-ES"/>
        </w:rPr>
        <w:t>iesgos (es decir, el marco COSO y el modelo de las tres líneas)</w:t>
      </w:r>
      <w:r>
        <w:rPr>
          <w:lang w:val="es-ES"/>
        </w:rPr>
        <w:t>;</w:t>
      </w:r>
    </w:p>
    <w:p w14:paraId="499ACC95" w14:textId="77777777" w:rsidR="008A64DF" w:rsidRPr="00C3025E" w:rsidRDefault="008A64DF" w:rsidP="008A64DF">
      <w:pPr>
        <w:pStyle w:val="enumlev1"/>
        <w:rPr>
          <w:lang w:val="es-ES"/>
        </w:rPr>
      </w:pPr>
      <w:r w:rsidRPr="00C3025E">
        <w:rPr>
          <w:lang w:val="es-ES"/>
        </w:rPr>
        <w:t>•</w:t>
      </w:r>
      <w:r w:rsidRPr="00C3025E">
        <w:rPr>
          <w:lang w:val="es-ES"/>
        </w:rPr>
        <w:tab/>
      </w:r>
      <w:r>
        <w:rPr>
          <w:lang w:val="es-ES"/>
        </w:rPr>
        <w:t>f</w:t>
      </w:r>
      <w:r w:rsidRPr="00C3025E">
        <w:rPr>
          <w:lang w:val="es-ES"/>
        </w:rPr>
        <w:t>ortalecimiento del marco de rendición de cuentas de la UIT</w:t>
      </w:r>
      <w:r>
        <w:rPr>
          <w:lang w:val="es-ES"/>
        </w:rPr>
        <w:t>;</w:t>
      </w:r>
    </w:p>
    <w:p w14:paraId="52A758A7" w14:textId="77777777" w:rsidR="008A64DF" w:rsidRPr="00C3025E" w:rsidRDefault="008A64DF" w:rsidP="008A64DF">
      <w:pPr>
        <w:pStyle w:val="enumlev1"/>
        <w:rPr>
          <w:lang w:val="es-ES"/>
        </w:rPr>
      </w:pPr>
      <w:r w:rsidRPr="00C3025E">
        <w:rPr>
          <w:lang w:val="es-ES"/>
        </w:rPr>
        <w:t>•</w:t>
      </w:r>
      <w:r w:rsidRPr="00C3025E">
        <w:rPr>
          <w:lang w:val="es-ES"/>
        </w:rPr>
        <w:tab/>
      </w:r>
      <w:r>
        <w:rPr>
          <w:lang w:val="es-ES"/>
        </w:rPr>
        <w:t>e</w:t>
      </w:r>
      <w:r w:rsidRPr="00C3025E">
        <w:rPr>
          <w:lang w:val="es-ES"/>
        </w:rPr>
        <w:t>laboración del tablero de control del cumplimiento de la UIT</w:t>
      </w:r>
      <w:r>
        <w:rPr>
          <w:lang w:val="es-ES"/>
        </w:rPr>
        <w:t>;</w:t>
      </w:r>
    </w:p>
    <w:p w14:paraId="7900E76A" w14:textId="77777777" w:rsidR="008A64DF" w:rsidRPr="00C3025E" w:rsidRDefault="008A64DF" w:rsidP="008A64DF">
      <w:pPr>
        <w:pStyle w:val="enumlev1"/>
        <w:rPr>
          <w:lang w:val="es-ES"/>
        </w:rPr>
      </w:pPr>
      <w:r w:rsidRPr="00C3025E">
        <w:rPr>
          <w:lang w:val="es-ES"/>
        </w:rPr>
        <w:t>•</w:t>
      </w:r>
      <w:r w:rsidRPr="00C3025E">
        <w:rPr>
          <w:lang w:val="es-ES"/>
        </w:rPr>
        <w:tab/>
        <w:t>"</w:t>
      </w:r>
      <w:r>
        <w:rPr>
          <w:lang w:val="es-ES"/>
        </w:rPr>
        <w:t>e</w:t>
      </w:r>
      <w:r w:rsidRPr="00C3025E">
        <w:rPr>
          <w:lang w:val="es-ES"/>
        </w:rPr>
        <w:t>valuación cultural del liderazgo" y "</w:t>
      </w:r>
      <w:r>
        <w:rPr>
          <w:lang w:val="es-ES"/>
        </w:rPr>
        <w:t>d</w:t>
      </w:r>
      <w:r w:rsidRPr="00C3025E">
        <w:rPr>
          <w:lang w:val="es-ES"/>
        </w:rPr>
        <w:t>iagnóstico cultural y déficit de competencias</w:t>
      </w:r>
      <w:r>
        <w:rPr>
          <w:lang w:val="es-ES"/>
        </w:rPr>
        <w:t>"</w:t>
      </w:r>
      <w:r w:rsidRPr="00C3025E">
        <w:rPr>
          <w:lang w:val="es-ES"/>
        </w:rPr>
        <w:t>.</w:t>
      </w:r>
    </w:p>
    <w:p w14:paraId="32BACB2A" w14:textId="77777777" w:rsidR="008A64DF" w:rsidRPr="00C3025E" w:rsidRDefault="008A64DF" w:rsidP="003A4333">
      <w:pPr>
        <w:pStyle w:val="Headingb"/>
        <w:rPr>
          <w:lang w:val="es-ES"/>
        </w:rPr>
      </w:pPr>
      <w:bookmarkStart w:id="188" w:name="lt_pId862"/>
      <w:r w:rsidRPr="00FF095F">
        <w:rPr>
          <w:lang w:val="es-ES"/>
        </w:rPr>
        <w:t xml:space="preserve">Miembros de Sector, Asociados e </w:t>
      </w:r>
      <w:bookmarkStart w:id="189" w:name="_Hlk39911561"/>
      <w:r w:rsidRPr="00FF095F">
        <w:rPr>
          <w:lang w:val="es-ES"/>
        </w:rPr>
        <w:t xml:space="preserve">Instituciones Académicas </w:t>
      </w:r>
      <w:bookmarkEnd w:id="189"/>
      <w:r w:rsidRPr="00FF095F">
        <w:rPr>
          <w:lang w:val="es-ES"/>
        </w:rPr>
        <w:t>de la UIT: principales grupos de interesados en las actividades de la UIT</w:t>
      </w:r>
      <w:bookmarkEnd w:id="188"/>
    </w:p>
    <w:p w14:paraId="4310D543" w14:textId="77777777" w:rsidR="008A64DF" w:rsidRPr="00C3025E" w:rsidRDefault="008A64DF" w:rsidP="008A64DF">
      <w:pPr>
        <w:rPr>
          <w:lang w:val="es-ES"/>
        </w:rPr>
      </w:pPr>
      <w:bookmarkStart w:id="190" w:name="lt_pId863"/>
      <w:r w:rsidRPr="00C3025E">
        <w:rPr>
          <w:lang w:val="es-ES"/>
        </w:rPr>
        <w:t>Los Miembros de Sector, los Asociados y las Instituciones Académicas de la UIT desempeñan un papel fundamental en las actividades de la Unión. A escala mundial, la composición de la UIT comprende empresas, universidades, institutos de investigación y organizaciones internacionales y regionales, que integran una muestra representativa del sector global de las TIC, incluidos desde los mayores fabricantes y operadores del mundo hasta pequeños actores innovadores que trabajan con las tecnologías nuevas e incipientes.</w:t>
      </w:r>
      <w:bookmarkEnd w:id="190"/>
    </w:p>
    <w:p w14:paraId="77D23E5B" w14:textId="77777777" w:rsidR="008A64DF" w:rsidRPr="00C3025E" w:rsidRDefault="008A64DF" w:rsidP="008A64DF">
      <w:pPr>
        <w:rPr>
          <w:lang w:val="es-ES"/>
        </w:rPr>
      </w:pPr>
      <w:bookmarkStart w:id="191" w:name="lt_pId865"/>
      <w:r>
        <w:rPr>
          <w:lang w:val="es-ES"/>
        </w:rPr>
        <w:t>L</w:t>
      </w:r>
      <w:r w:rsidRPr="00C3025E">
        <w:rPr>
          <w:lang w:val="es-ES"/>
        </w:rPr>
        <w:t xml:space="preserve">a Secretaría de la UIT siguió aplicando una estrategia coordinada </w:t>
      </w:r>
      <w:r>
        <w:rPr>
          <w:lang w:val="es-ES"/>
        </w:rPr>
        <w:t xml:space="preserve">para </w:t>
      </w:r>
      <w:r w:rsidRPr="00C3025E">
        <w:rPr>
          <w:lang w:val="es-ES"/>
        </w:rPr>
        <w:t xml:space="preserve">darse a conocer a otros segmentos </w:t>
      </w:r>
      <w:r>
        <w:rPr>
          <w:lang w:val="es-ES"/>
        </w:rPr>
        <w:t xml:space="preserve">y, así, </w:t>
      </w:r>
      <w:r w:rsidRPr="00C3025E">
        <w:rPr>
          <w:lang w:val="es-ES"/>
        </w:rPr>
        <w:t>aumentar y diversificar la composición de la UIT, utilizando al mismo tiempo un enfoque centrado en el cliente para mejorar los servicios prestados a sus miembros, en aras del compromiso, la integración y el empoderamiento de todos ellos con respecto a la labor de la UIT.</w:t>
      </w:r>
      <w:bookmarkEnd w:id="191"/>
    </w:p>
    <w:p w14:paraId="57AF3326" w14:textId="7EC45AE7" w:rsidR="008A64DF" w:rsidRPr="003A4333" w:rsidRDefault="008A64DF" w:rsidP="008A79F1">
      <w:pPr>
        <w:keepNext/>
        <w:keepLines/>
        <w:rPr>
          <w:lang w:val="es-ES"/>
        </w:rPr>
      </w:pPr>
      <w:r w:rsidRPr="003A4333">
        <w:rPr>
          <w:lang w:val="es-ES"/>
        </w:rPr>
        <w:t>Un aspecto importante de esta labor de difusión coordinada ha sido el fortalecimiento de la capacidad interna y la realización de campañas de comercialización digital para llegar a nuevas audiencias. Con el cambio a los eventos virtuales en 2020 y 2021, la eficacia de la comercialización digital y los esfuerzos de promoción en toda la UIT se tradujeron en un aumento significativo de la participación en diversos eventos en los Sectores y la Secretaría General. Miles de nuevos expertos se unieron a los seminarios web de la UIT y descargaron publicaciones y noticias de la UIT. La participación de esta creciente comunidad será decisiva para fortalecer el número de miembros de la</w:t>
      </w:r>
      <w:r w:rsidR="00FF095F">
        <w:rPr>
          <w:lang w:val="es-ES"/>
        </w:rPr>
        <w:t> </w:t>
      </w:r>
      <w:r w:rsidRPr="003A4333">
        <w:rPr>
          <w:lang w:val="es-ES"/>
        </w:rPr>
        <w:t>UIT en los próximos años.</w:t>
      </w:r>
    </w:p>
    <w:p w14:paraId="7420E2EA" w14:textId="3BC75A4D" w:rsidR="008A64DF" w:rsidRPr="005621ED" w:rsidRDefault="00A037DD" w:rsidP="003A4333">
      <w:pPr>
        <w:pStyle w:val="Headingb"/>
        <w:rPr>
          <w:lang w:val="es-ES"/>
        </w:rPr>
      </w:pPr>
      <w:bookmarkStart w:id="192" w:name="_Hlk95738074"/>
      <w:r w:rsidRPr="00A037DD">
        <w:rPr>
          <w:lang w:val="es-ES"/>
        </w:rPr>
        <w:t>El número de miembros de la UIT ha aumentado</w:t>
      </w:r>
    </w:p>
    <w:p w14:paraId="55D1114D" w14:textId="327B89F0" w:rsidR="00A037DD" w:rsidRPr="003A4333" w:rsidRDefault="00A037DD" w:rsidP="00A037DD">
      <w:pPr>
        <w:spacing w:after="120"/>
        <w:rPr>
          <w:lang w:val="es-ES"/>
        </w:rPr>
      </w:pPr>
      <w:r w:rsidRPr="00A037DD">
        <w:rPr>
          <w:lang w:val="es-ES"/>
        </w:rPr>
        <w:t xml:space="preserve">La implicación de los actuales Miembros y su retención son también fundamentales para la estrategia. Las mejoras introducidas en los análisis, las encuestas y los informes están ayudando a la Secretaría a comprender mejor las necesidades e intereses de los </w:t>
      </w:r>
      <w:r w:rsidR="00DC0597" w:rsidRPr="00A037DD">
        <w:rPr>
          <w:lang w:val="es-ES"/>
        </w:rPr>
        <w:t xml:space="preserve">Miembros </w:t>
      </w:r>
      <w:r w:rsidRPr="00A037DD">
        <w:rPr>
          <w:lang w:val="es-ES"/>
        </w:rPr>
        <w:t>y su participación, así como a identificar los aspectos susceptibles de mejora y las afiliaciones "en riesgo". De este modo, la Secretaría puede llevar a mejor término sus actividades dentro de sus limitados recursos. La Secretaría también destacó la participación de los Miembros a través de los artículos de ITU</w:t>
      </w:r>
      <w:r w:rsidR="00DC0597">
        <w:rPr>
          <w:lang w:val="es-ES"/>
        </w:rPr>
        <w:t> </w:t>
      </w:r>
      <w:r w:rsidRPr="00A037DD">
        <w:rPr>
          <w:lang w:val="es-ES"/>
        </w:rPr>
        <w:t xml:space="preserve">News y la revista </w:t>
      </w:r>
      <w:r w:rsidRPr="00DC0597">
        <w:rPr>
          <w:i/>
          <w:iCs/>
          <w:lang w:val="es-ES"/>
        </w:rPr>
        <w:t>Actualidades de la UIT</w:t>
      </w:r>
      <w:r w:rsidRPr="00A037DD">
        <w:rPr>
          <w:lang w:val="es-ES"/>
        </w:rPr>
        <w:t>.</w:t>
      </w:r>
    </w:p>
    <w:tbl>
      <w:tblPr>
        <w:tblStyle w:val="TableGrid"/>
        <w:tblW w:w="5000" w:type="pct"/>
        <w:jc w:val="center"/>
        <w:tblBorders>
          <w:insideH w:val="none" w:sz="0" w:space="0" w:color="auto"/>
          <w:insideV w:val="none" w:sz="0" w:space="0" w:color="auto"/>
        </w:tblBorders>
        <w:shd w:val="clear" w:color="auto" w:fill="DCE5F4"/>
        <w:tblLook w:val="04A0" w:firstRow="1" w:lastRow="0" w:firstColumn="1" w:lastColumn="0" w:noHBand="0" w:noVBand="1"/>
      </w:tblPr>
      <w:tblGrid>
        <w:gridCol w:w="9629"/>
      </w:tblGrid>
      <w:tr w:rsidR="008A64DF" w:rsidRPr="00B04A9A" w14:paraId="2B5014F1" w14:textId="77777777" w:rsidTr="002E4443">
        <w:trPr>
          <w:cantSplit/>
          <w:jc w:val="center"/>
        </w:trPr>
        <w:tc>
          <w:tcPr>
            <w:tcW w:w="9016" w:type="dxa"/>
            <w:shd w:val="clear" w:color="auto" w:fill="DCE5F4"/>
          </w:tcPr>
          <w:p w14:paraId="734766B3" w14:textId="60CC79A2" w:rsidR="008A64DF" w:rsidRPr="00D41BC5" w:rsidRDefault="008A64DF" w:rsidP="002E4443">
            <w:pPr>
              <w:rPr>
                <w:lang w:val="es-ES"/>
              </w:rPr>
            </w:pPr>
            <w:bookmarkStart w:id="193" w:name="lt_pId868"/>
            <w:bookmarkEnd w:id="192"/>
            <w:r w:rsidRPr="00D905C9">
              <w:rPr>
                <w:b/>
                <w:bCs/>
                <w:u w:val="single"/>
                <w:lang w:val="es-ES"/>
              </w:rPr>
              <w:lastRenderedPageBreak/>
              <w:t>Recuadro 1</w:t>
            </w:r>
            <w:r w:rsidRPr="002E4443">
              <w:rPr>
                <w:b/>
                <w:bCs/>
                <w:u w:val="single"/>
                <w:lang w:val="es-ES"/>
              </w:rPr>
              <w:t xml:space="preserve">. Encuesta a los miembros de la UIT de </w:t>
            </w:r>
            <w:bookmarkEnd w:id="193"/>
            <w:r w:rsidR="00C33B10">
              <w:rPr>
                <w:b/>
                <w:bCs/>
                <w:u w:val="single"/>
                <w:lang w:val="es-ES"/>
              </w:rPr>
              <w:t>2021</w:t>
            </w:r>
          </w:p>
          <w:p w14:paraId="153BE162" w14:textId="3C4BBF09" w:rsidR="008A64DF" w:rsidRPr="002E4443" w:rsidRDefault="008A64DF" w:rsidP="002E4443">
            <w:pPr>
              <w:rPr>
                <w:b/>
                <w:bCs/>
                <w:u w:val="single"/>
                <w:lang w:val="es-ES"/>
              </w:rPr>
            </w:pPr>
            <w:bookmarkStart w:id="194" w:name="lt_pId870"/>
            <w:r w:rsidRPr="002E4443">
              <w:rPr>
                <w:b/>
                <w:bCs/>
                <w:u w:val="single"/>
                <w:lang w:val="es-ES"/>
              </w:rPr>
              <w:t xml:space="preserve">Elevada tasa de respuesta: </w:t>
            </w:r>
            <w:r w:rsidR="003B1831">
              <w:rPr>
                <w:b/>
                <w:bCs/>
                <w:u w:val="single"/>
                <w:lang w:val="es-ES"/>
              </w:rPr>
              <w:t>21</w:t>
            </w:r>
            <w:r w:rsidRPr="002E4443">
              <w:rPr>
                <w:b/>
                <w:bCs/>
                <w:u w:val="single"/>
                <w:lang w:val="es-ES"/>
              </w:rPr>
              <w:t xml:space="preserve">% de miembros de la UIT de </w:t>
            </w:r>
            <w:r w:rsidR="003B1831">
              <w:rPr>
                <w:b/>
                <w:bCs/>
                <w:u w:val="single"/>
                <w:lang w:val="es-ES"/>
              </w:rPr>
              <w:t>55</w:t>
            </w:r>
            <w:r w:rsidRPr="002E4443">
              <w:rPr>
                <w:b/>
                <w:bCs/>
                <w:u w:val="single"/>
                <w:lang w:val="es-ES"/>
              </w:rPr>
              <w:t xml:space="preserve"> países. Buen nivel de representación entre Sectores, categorías y regiones.</w:t>
            </w:r>
            <w:bookmarkEnd w:id="194"/>
          </w:p>
          <w:p w14:paraId="354225EC" w14:textId="0F6FEE5C" w:rsidR="008A64DF" w:rsidRPr="002E4443" w:rsidRDefault="008A64DF" w:rsidP="002E4443">
            <w:pPr>
              <w:pStyle w:val="enumlev1"/>
            </w:pPr>
            <w:bookmarkStart w:id="195" w:name="lt_pId872"/>
            <w:r w:rsidRPr="002E4443">
              <w:t>•</w:t>
            </w:r>
            <w:r w:rsidRPr="002E4443">
              <w:tab/>
              <w:t>Nivel de satisfacción muy elevado:</w:t>
            </w:r>
            <w:bookmarkEnd w:id="195"/>
          </w:p>
          <w:p w14:paraId="45B5A6DA" w14:textId="3EB52112" w:rsidR="008A64DF" w:rsidRPr="002E4443" w:rsidRDefault="008A64DF" w:rsidP="002E4443">
            <w:pPr>
              <w:pStyle w:val="enumlev2"/>
              <w:rPr>
                <w:b/>
                <w:bCs/>
                <w:lang w:val="es-ES"/>
              </w:rPr>
            </w:pPr>
            <w:bookmarkStart w:id="196" w:name="lt_pId873"/>
            <w:r w:rsidRPr="00D905C9">
              <w:rPr>
                <w:lang w:val="es-ES"/>
              </w:rPr>
              <w:t>–</w:t>
            </w:r>
            <w:r w:rsidRPr="00D905C9">
              <w:rPr>
                <w:lang w:val="es-ES"/>
              </w:rPr>
              <w:tab/>
            </w:r>
            <w:r w:rsidRPr="002E4443">
              <w:rPr>
                <w:b/>
                <w:bCs/>
                <w:lang w:val="es-ES"/>
              </w:rPr>
              <w:t xml:space="preserve">el </w:t>
            </w:r>
            <w:r w:rsidR="003B1831">
              <w:rPr>
                <w:b/>
                <w:bCs/>
                <w:lang w:val="es-ES"/>
              </w:rPr>
              <w:t>96,3% (</w:t>
            </w:r>
            <w:r w:rsidRPr="002E4443">
              <w:rPr>
                <w:b/>
                <w:bCs/>
                <w:lang w:val="es-ES"/>
              </w:rPr>
              <w:t>98%</w:t>
            </w:r>
            <w:r w:rsidR="003B1831">
              <w:rPr>
                <w:b/>
                <w:bCs/>
                <w:lang w:val="es-ES"/>
              </w:rPr>
              <w:t xml:space="preserve"> en 2020)</w:t>
            </w:r>
            <w:r w:rsidRPr="002E4443">
              <w:rPr>
                <w:b/>
                <w:bCs/>
                <w:lang w:val="es-ES"/>
              </w:rPr>
              <w:t xml:space="preserve"> de los encuestados se declara satisfecho/muy satisfecho con la UIT</w:t>
            </w:r>
            <w:bookmarkEnd w:id="196"/>
            <w:r w:rsidRPr="002E4443">
              <w:rPr>
                <w:b/>
                <w:bCs/>
                <w:lang w:val="es-ES"/>
              </w:rPr>
              <w:t>;</w:t>
            </w:r>
          </w:p>
          <w:p w14:paraId="64CEC40C" w14:textId="4E7E4AE5" w:rsidR="008A64DF" w:rsidRPr="002E4443" w:rsidRDefault="008A64DF" w:rsidP="002E4443">
            <w:pPr>
              <w:pStyle w:val="enumlev2"/>
              <w:rPr>
                <w:b/>
                <w:bCs/>
                <w:lang w:val="es-ES"/>
              </w:rPr>
            </w:pPr>
            <w:bookmarkStart w:id="197" w:name="lt_pId874"/>
            <w:r w:rsidRPr="00D905C9">
              <w:rPr>
                <w:lang w:val="es-ES"/>
              </w:rPr>
              <w:t>–</w:t>
            </w:r>
            <w:r w:rsidRPr="00D905C9">
              <w:rPr>
                <w:lang w:val="es-ES"/>
              </w:rPr>
              <w:tab/>
            </w:r>
            <w:r w:rsidRPr="002E4443">
              <w:rPr>
                <w:b/>
                <w:bCs/>
                <w:lang w:val="es-ES"/>
              </w:rPr>
              <w:t xml:space="preserve">el </w:t>
            </w:r>
            <w:r w:rsidR="003B1831">
              <w:rPr>
                <w:b/>
                <w:bCs/>
                <w:lang w:val="es-ES"/>
              </w:rPr>
              <w:t>98,1% (</w:t>
            </w:r>
            <w:r w:rsidRPr="002E4443">
              <w:rPr>
                <w:b/>
                <w:bCs/>
                <w:lang w:val="es-ES"/>
              </w:rPr>
              <w:t>99%</w:t>
            </w:r>
            <w:r w:rsidR="003B1831">
              <w:rPr>
                <w:b/>
                <w:bCs/>
                <w:lang w:val="es-ES"/>
              </w:rPr>
              <w:t xml:space="preserve"> en 202</w:t>
            </w:r>
            <w:r w:rsidR="00BE2D5A">
              <w:rPr>
                <w:b/>
                <w:bCs/>
                <w:lang w:val="es-ES"/>
              </w:rPr>
              <w:t>0</w:t>
            </w:r>
            <w:r w:rsidR="003B1831">
              <w:rPr>
                <w:b/>
                <w:bCs/>
                <w:lang w:val="es-ES"/>
              </w:rPr>
              <w:t>)</w:t>
            </w:r>
            <w:r w:rsidRPr="002E4443">
              <w:rPr>
                <w:b/>
                <w:bCs/>
                <w:lang w:val="es-ES"/>
              </w:rPr>
              <w:t xml:space="preserve"> se declara satisfecho/muy satisfecho con las ventajas inherentes a su calidad de miembro.</w:t>
            </w:r>
            <w:bookmarkEnd w:id="197"/>
          </w:p>
          <w:p w14:paraId="6B43EBCE" w14:textId="77777777" w:rsidR="008A64DF" w:rsidRPr="00D41BC5" w:rsidRDefault="008A64DF" w:rsidP="002E4443">
            <w:pPr>
              <w:pStyle w:val="enumlev1"/>
              <w:rPr>
                <w:lang w:val="es-ES"/>
              </w:rPr>
            </w:pPr>
            <w:bookmarkStart w:id="198" w:name="lt_pId875"/>
            <w:r w:rsidRPr="00D41BC5">
              <w:rPr>
                <w:lang w:val="es-ES"/>
              </w:rPr>
              <w:t>•</w:t>
            </w:r>
            <w:r w:rsidRPr="00D41BC5">
              <w:rPr>
                <w:lang w:val="es-ES"/>
              </w:rPr>
              <w:tab/>
              <w:t>Principales ámbitos de interés:</w:t>
            </w:r>
            <w:bookmarkEnd w:id="198"/>
          </w:p>
          <w:p w14:paraId="27BA29CF" w14:textId="67D5DEB1" w:rsidR="008A64DF" w:rsidRPr="00D905C9" w:rsidRDefault="008A64DF" w:rsidP="00D905C9">
            <w:pPr>
              <w:pStyle w:val="enumlev2"/>
            </w:pPr>
            <w:bookmarkStart w:id="199" w:name="lt_pId876"/>
            <w:r w:rsidRPr="00D905C9">
              <w:t>–</w:t>
            </w:r>
            <w:r w:rsidRPr="00D905C9">
              <w:tab/>
            </w:r>
            <w:r w:rsidRPr="00D905C9">
              <w:rPr>
                <w:b/>
                <w:bCs/>
              </w:rPr>
              <w:t>5G</w:t>
            </w:r>
            <w:r w:rsidRPr="00D905C9">
              <w:t xml:space="preserve"> (</w:t>
            </w:r>
            <w:r w:rsidR="003B1831">
              <w:t xml:space="preserve">66%, </w:t>
            </w:r>
            <w:r w:rsidRPr="00D905C9">
              <w:t>71%</w:t>
            </w:r>
            <w:r w:rsidR="003B1831">
              <w:t xml:space="preserve"> en 2020</w:t>
            </w:r>
            <w:r w:rsidRPr="00D905C9">
              <w:t xml:space="preserve">), </w:t>
            </w:r>
            <w:r w:rsidRPr="00D905C9">
              <w:rPr>
                <w:b/>
                <w:bCs/>
              </w:rPr>
              <w:t>normas</w:t>
            </w:r>
            <w:r w:rsidRPr="00D905C9">
              <w:t xml:space="preserve"> (</w:t>
            </w:r>
            <w:r w:rsidR="003B1831">
              <w:t xml:space="preserve">53%, </w:t>
            </w:r>
            <w:r w:rsidRPr="00D905C9">
              <w:t>57%</w:t>
            </w:r>
            <w:r w:rsidR="003B1831">
              <w:t xml:space="preserve"> en 2020</w:t>
            </w:r>
            <w:r w:rsidRPr="00D905C9">
              <w:t xml:space="preserve">), </w:t>
            </w:r>
            <w:r w:rsidRPr="00D905C9">
              <w:rPr>
                <w:b/>
                <w:bCs/>
              </w:rPr>
              <w:t>Internet de las cosas</w:t>
            </w:r>
            <w:r w:rsidRPr="00D905C9">
              <w:t xml:space="preserve"> (54%), </w:t>
            </w:r>
            <w:r w:rsidRPr="00D905C9">
              <w:rPr>
                <w:b/>
                <w:bCs/>
              </w:rPr>
              <w:t>inteligencia artificial</w:t>
            </w:r>
            <w:r w:rsidRPr="00D905C9">
              <w:t xml:space="preserve"> (</w:t>
            </w:r>
            <w:r w:rsidR="003B1831">
              <w:t xml:space="preserve">38%, </w:t>
            </w:r>
            <w:r w:rsidRPr="00D905C9">
              <w:t>50%</w:t>
            </w:r>
            <w:r w:rsidR="003B1831">
              <w:t xml:space="preserve"> en 2020</w:t>
            </w:r>
            <w:r w:rsidRPr="00D905C9">
              <w:t xml:space="preserve">), </w:t>
            </w:r>
            <w:r w:rsidRPr="00D905C9">
              <w:rPr>
                <w:b/>
                <w:bCs/>
              </w:rPr>
              <w:t>ciudades inteligentes</w:t>
            </w:r>
            <w:r w:rsidRPr="00D905C9">
              <w:t xml:space="preserve"> (</w:t>
            </w:r>
            <w:r w:rsidR="003B1831">
              <w:t xml:space="preserve">35%, </w:t>
            </w:r>
            <w:r w:rsidRPr="00D905C9">
              <w:t>37%</w:t>
            </w:r>
            <w:r w:rsidR="003B1831">
              <w:t xml:space="preserve"> en 2020</w:t>
            </w:r>
            <w:r w:rsidRPr="00D905C9">
              <w:t xml:space="preserve">), </w:t>
            </w:r>
            <w:r w:rsidRPr="00D905C9">
              <w:rPr>
                <w:b/>
                <w:bCs/>
              </w:rPr>
              <w:t>transformación digital</w:t>
            </w:r>
            <w:r w:rsidRPr="00D905C9">
              <w:t xml:space="preserve"> (</w:t>
            </w:r>
            <w:r w:rsidR="003B1831">
              <w:t xml:space="preserve">35%, </w:t>
            </w:r>
            <w:r w:rsidRPr="00D905C9">
              <w:t>37%</w:t>
            </w:r>
            <w:r w:rsidR="003B1831">
              <w:t xml:space="preserve"> en 2020</w:t>
            </w:r>
            <w:r w:rsidRPr="00D905C9">
              <w:t xml:space="preserve">), </w:t>
            </w:r>
            <w:r w:rsidRPr="00D905C9">
              <w:rPr>
                <w:b/>
                <w:bCs/>
              </w:rPr>
              <w:t>infraestructura</w:t>
            </w:r>
            <w:r w:rsidRPr="00D905C9">
              <w:t xml:space="preserve"> (35%</w:t>
            </w:r>
            <w:r w:rsidR="003B1831">
              <w:t>, invariable</w:t>
            </w:r>
            <w:r w:rsidRPr="00D905C9">
              <w:t xml:space="preserve">), </w:t>
            </w:r>
            <w:r w:rsidRPr="00D905C9">
              <w:rPr>
                <w:b/>
                <w:bCs/>
              </w:rPr>
              <w:t>ciberseguridad</w:t>
            </w:r>
            <w:r w:rsidRPr="00D905C9">
              <w:t xml:space="preserve"> (</w:t>
            </w:r>
            <w:r w:rsidR="003B1831">
              <w:t xml:space="preserve">35%, </w:t>
            </w:r>
            <w:r w:rsidRPr="00D905C9">
              <w:t>34%</w:t>
            </w:r>
            <w:r w:rsidR="003B1831">
              <w:t xml:space="preserve"> en 2020</w:t>
            </w:r>
            <w:r w:rsidRPr="00D905C9">
              <w:t xml:space="preserve">) y </w:t>
            </w:r>
            <w:r w:rsidRPr="00D905C9">
              <w:rPr>
                <w:b/>
                <w:bCs/>
              </w:rPr>
              <w:t>satélites</w:t>
            </w:r>
            <w:r w:rsidRPr="00D905C9">
              <w:t xml:space="preserve"> (</w:t>
            </w:r>
            <w:r w:rsidR="003B1831">
              <w:t xml:space="preserve">34%, </w:t>
            </w:r>
            <w:r w:rsidRPr="00D905C9">
              <w:t>32%</w:t>
            </w:r>
            <w:r w:rsidR="003B1831">
              <w:t xml:space="preserve"> en 2020</w:t>
            </w:r>
            <w:r w:rsidRPr="00D905C9">
              <w:t>).</w:t>
            </w:r>
            <w:bookmarkEnd w:id="199"/>
          </w:p>
          <w:p w14:paraId="2BE2BA4D" w14:textId="206AD89D" w:rsidR="008A64DF" w:rsidRPr="00D41BC5" w:rsidRDefault="008A64DF" w:rsidP="002E4443">
            <w:pPr>
              <w:pStyle w:val="enumlev1"/>
              <w:rPr>
                <w:lang w:val="es-ES"/>
              </w:rPr>
            </w:pPr>
            <w:bookmarkStart w:id="200" w:name="lt_pId877"/>
            <w:r w:rsidRPr="00C3025E">
              <w:rPr>
                <w:lang w:val="es-ES"/>
              </w:rPr>
              <w:t>•</w:t>
            </w:r>
            <w:r w:rsidRPr="00D41BC5">
              <w:rPr>
                <w:lang w:val="es-ES"/>
              </w:rPr>
              <w:tab/>
            </w:r>
            <w:bookmarkEnd w:id="200"/>
            <w:r w:rsidR="003B1831" w:rsidRPr="003B1831">
              <w:rPr>
                <w:lang w:val="es-ES"/>
              </w:rPr>
              <w:t>El 62% de los encuestados han participado en un número de reuniones o eventos en 2021 que oscila entre 1 y 5, y el 49% señalaron haber fomentado su participación en eventos de la UIT debido a la COVID y a la transición de eventos físicos a virtuales. Esta pauta proseguirá, habida cuenta de que el 44% de los encuestados tienen previsto aumentar su participación a lo largo de los dos próximos años (únicamente el 6% prevé reducirla)</w:t>
            </w:r>
            <w:r w:rsidR="003B1831">
              <w:rPr>
                <w:lang w:val="es-ES"/>
              </w:rPr>
              <w:t>.</w:t>
            </w:r>
          </w:p>
          <w:p w14:paraId="3411D61E" w14:textId="37EA517C" w:rsidR="008A64DF" w:rsidRPr="00B04A9A" w:rsidRDefault="002E4443" w:rsidP="002E4443">
            <w:pPr>
              <w:pStyle w:val="enumlev1"/>
              <w:rPr>
                <w:lang w:val="es-ES"/>
              </w:rPr>
            </w:pPr>
            <w:bookmarkStart w:id="201" w:name="lt_pId878"/>
            <w:r w:rsidRPr="002E4443">
              <w:rPr>
                <w:lang w:val="es-ES"/>
              </w:rPr>
              <w:t>•</w:t>
            </w:r>
            <w:r>
              <w:rPr>
                <w:lang w:val="es-ES"/>
              </w:rPr>
              <w:tab/>
            </w:r>
            <w:bookmarkEnd w:id="201"/>
            <w:r w:rsidR="003B1831" w:rsidRPr="003B1831">
              <w:rPr>
                <w:lang w:val="es-ES"/>
              </w:rPr>
              <w:t>El 74% de los encuestados tiene previsto participar en la labor de Comisiones de Estudio en 2022, el 53% prevé asistir a seminarios en línea, talleres o seminarios presenciales, el 36% tiene previsto asistir a eventos de alcance mundial y el 35% a eventos de alcance regional.</w:t>
            </w:r>
          </w:p>
        </w:tc>
      </w:tr>
    </w:tbl>
    <w:p w14:paraId="0B20D06E" w14:textId="1FB97E1C" w:rsidR="008A64DF" w:rsidRPr="00C3025E" w:rsidRDefault="008A64DF" w:rsidP="008A79F1">
      <w:pPr>
        <w:pStyle w:val="Normalaftertitle"/>
        <w:keepNext/>
        <w:keepLines/>
        <w:rPr>
          <w:lang w:val="es-ES"/>
        </w:rPr>
      </w:pPr>
      <w:r w:rsidRPr="00C3025E">
        <w:rPr>
          <w:lang w:val="es-ES"/>
        </w:rPr>
        <w:t>A pesar de los retos de la COVID</w:t>
      </w:r>
      <w:r>
        <w:rPr>
          <w:lang w:val="es-ES"/>
        </w:rPr>
        <w:t xml:space="preserve">, </w:t>
      </w:r>
      <w:r w:rsidRPr="00C3025E">
        <w:rPr>
          <w:lang w:val="es-ES"/>
        </w:rPr>
        <w:t xml:space="preserve">de la desaceleración económica mundial, y de cierta fusión resultante en el sector, el número de miembros de la UIT se mantuvo estable, e incluso </w:t>
      </w:r>
      <w:r>
        <w:rPr>
          <w:lang w:val="es-ES"/>
        </w:rPr>
        <w:t xml:space="preserve">alcanzó </w:t>
      </w:r>
      <w:r w:rsidRPr="00C3025E">
        <w:rPr>
          <w:lang w:val="es-ES"/>
        </w:rPr>
        <w:t>un nuevo máximo de 9</w:t>
      </w:r>
      <w:r>
        <w:rPr>
          <w:lang w:val="es-ES"/>
        </w:rPr>
        <w:t>40</w:t>
      </w:r>
      <w:r w:rsidRPr="00C3025E">
        <w:rPr>
          <w:lang w:val="es-ES"/>
        </w:rPr>
        <w:t xml:space="preserve"> entidades </w:t>
      </w:r>
      <w:r>
        <w:rPr>
          <w:lang w:val="es-ES"/>
        </w:rPr>
        <w:t>y 1</w:t>
      </w:r>
      <w:r w:rsidR="00D905C9">
        <w:rPr>
          <w:lang w:val="es-ES"/>
        </w:rPr>
        <w:t> </w:t>
      </w:r>
      <w:r>
        <w:rPr>
          <w:lang w:val="es-ES"/>
        </w:rPr>
        <w:t>268 miembros entre los tres Sectores, al 1 de noviembre de</w:t>
      </w:r>
      <w:r w:rsidR="00D905C9">
        <w:rPr>
          <w:lang w:val="es-ES"/>
        </w:rPr>
        <w:t> </w:t>
      </w:r>
      <w:r>
        <w:rPr>
          <w:lang w:val="es-ES"/>
        </w:rPr>
        <w:t>2021</w:t>
      </w:r>
      <w:r w:rsidRPr="00C3025E">
        <w:rPr>
          <w:lang w:val="es-ES"/>
        </w:rPr>
        <w:t xml:space="preserve"> (véase la figura siguiente</w:t>
      </w:r>
      <w:r>
        <w:rPr>
          <w:lang w:val="es-ES"/>
        </w:rPr>
        <w:t xml:space="preserve">, donde se indica la composición neta por sector/categoría de </w:t>
      </w:r>
      <w:r w:rsidR="00D905C9">
        <w:rPr>
          <w:lang w:val="es-ES"/>
        </w:rPr>
        <w:t>m</w:t>
      </w:r>
      <w:r>
        <w:rPr>
          <w:lang w:val="es-ES"/>
        </w:rPr>
        <w:t>iembro</w:t>
      </w:r>
      <w:r w:rsidRPr="00C3025E">
        <w:rPr>
          <w:lang w:val="es-ES"/>
        </w:rPr>
        <w:t>).</w:t>
      </w:r>
    </w:p>
    <w:p w14:paraId="04E8B926" w14:textId="77777777" w:rsidR="008A64DF" w:rsidRPr="002C60F1" w:rsidRDefault="008A64DF" w:rsidP="002C60F1">
      <w:pPr>
        <w:pStyle w:val="Figuretitle"/>
        <w:rPr>
          <w:rFonts w:eastAsia="Calibri"/>
        </w:rPr>
      </w:pPr>
      <w:bookmarkStart w:id="202" w:name="lt_pId885"/>
      <w:r w:rsidRPr="002C60F1">
        <w:t>Composición neta por Sector/categoría (2010-2021, al 1 de noviembre de 2021)</w:t>
      </w:r>
      <w:bookmarkEnd w:id="202"/>
    </w:p>
    <w:p w14:paraId="1777A4E5" w14:textId="0774DE1A" w:rsidR="002C60F1" w:rsidRDefault="002C60F1" w:rsidP="002C60F1">
      <w:pPr>
        <w:pStyle w:val="Figure"/>
        <w:rPr>
          <w:lang w:val="es-ES"/>
        </w:rPr>
      </w:pPr>
      <w:bookmarkStart w:id="203" w:name="lt_pId886"/>
      <w:r w:rsidRPr="002C60F1">
        <w:rPr>
          <w:noProof/>
        </w:rPr>
        <w:drawing>
          <wp:inline distT="0" distB="0" distL="0" distR="0" wp14:anchorId="297934E2" wp14:editId="76899318">
            <wp:extent cx="4140000" cy="1994400"/>
            <wp:effectExtent l="0" t="0" r="0" b="6350"/>
            <wp:docPr id="33" name="Picture 33"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able&#10;&#10;Description automatically generated with medium confidence"/>
                    <pic:cNvPicPr/>
                  </pic:nvPicPr>
                  <pic:blipFill>
                    <a:blip r:embed="rId340"/>
                    <a:stretch>
                      <a:fillRect/>
                    </a:stretch>
                  </pic:blipFill>
                  <pic:spPr>
                    <a:xfrm>
                      <a:off x="0" y="0"/>
                      <a:ext cx="4140000" cy="1994400"/>
                    </a:xfrm>
                    <a:prstGeom prst="rect">
                      <a:avLst/>
                    </a:prstGeom>
                  </pic:spPr>
                </pic:pic>
              </a:graphicData>
            </a:graphic>
          </wp:inline>
        </w:drawing>
      </w:r>
    </w:p>
    <w:p w14:paraId="409ADE03" w14:textId="6147B856" w:rsidR="008A64DF" w:rsidRPr="00C3025E" w:rsidRDefault="008A64DF" w:rsidP="008A64DF">
      <w:pPr>
        <w:pStyle w:val="Headingb"/>
        <w:rPr>
          <w:lang w:val="es-ES"/>
        </w:rPr>
      </w:pPr>
      <w:r w:rsidRPr="00C3025E">
        <w:rPr>
          <w:lang w:val="es-ES"/>
        </w:rPr>
        <w:lastRenderedPageBreak/>
        <w:t>Facilitar la participación de las pymes en los trabajos de la</w:t>
      </w:r>
      <w:bookmarkEnd w:id="203"/>
      <w:r w:rsidRPr="00C3025E">
        <w:rPr>
          <w:lang w:val="es-ES"/>
        </w:rPr>
        <w:t xml:space="preserve"> UIT</w:t>
      </w:r>
    </w:p>
    <w:p w14:paraId="1043E572" w14:textId="3A057089" w:rsidR="008A64DF" w:rsidRPr="00C3025E" w:rsidRDefault="008A64DF" w:rsidP="008A64DF">
      <w:pPr>
        <w:rPr>
          <w:lang w:val="es-ES"/>
        </w:rPr>
      </w:pPr>
      <w:bookmarkStart w:id="204" w:name="lt_pId887"/>
      <w:r w:rsidRPr="00C3025E">
        <w:rPr>
          <w:lang w:val="es-ES"/>
        </w:rPr>
        <w:t xml:space="preserve">Se estima que el </w:t>
      </w:r>
      <w:r w:rsidR="00D905C9">
        <w:rPr>
          <w:lang w:val="es-ES"/>
        </w:rPr>
        <w:t>diez</w:t>
      </w:r>
      <w:r w:rsidRPr="00C3025E">
        <w:rPr>
          <w:lang w:val="es-ES"/>
        </w:rPr>
        <w:t xml:space="preserve"> por ciento de los miembros actuales de la UIT, principalmente Asociados, podrían considerarse pymes. En virtud de la Resolución 209 (Dubái, 2018) de la Conferencia de Plenipotenciarios, con el apoyo de los Estados Miembros, la UIT ha alentado a las pymes cualificadas a incorporarse en calidad de Asociados a las Comisiones de Estudio del UIT-R y del</w:t>
      </w:r>
      <w:r w:rsidR="00D905C9">
        <w:rPr>
          <w:lang w:val="es-ES"/>
        </w:rPr>
        <w:t> </w:t>
      </w:r>
      <w:r w:rsidRPr="00C3025E">
        <w:rPr>
          <w:lang w:val="es-ES"/>
        </w:rPr>
        <w:t>UIT</w:t>
      </w:r>
      <w:r w:rsidR="00E65E11">
        <w:rPr>
          <w:lang w:val="es-ES"/>
        </w:rPr>
        <w:noBreakHyphen/>
      </w:r>
      <w:r w:rsidRPr="00C3025E">
        <w:rPr>
          <w:lang w:val="es-ES"/>
        </w:rPr>
        <w:t xml:space="preserve">T, con una tasa reducida. </w:t>
      </w:r>
      <w:r>
        <w:rPr>
          <w:lang w:val="es-ES"/>
        </w:rPr>
        <w:t>Desde que se comenzó a aplicar esta opción de tasa reducida e</w:t>
      </w:r>
      <w:r w:rsidRPr="00C3025E">
        <w:rPr>
          <w:lang w:val="es-ES"/>
        </w:rPr>
        <w:t xml:space="preserve">n 2020, </w:t>
      </w:r>
      <w:r>
        <w:rPr>
          <w:lang w:val="es-ES"/>
        </w:rPr>
        <w:t xml:space="preserve">con </w:t>
      </w:r>
      <w:r w:rsidRPr="00C3025E">
        <w:rPr>
          <w:lang w:val="es-ES"/>
        </w:rPr>
        <w:t xml:space="preserve">importantes esfuerzos de comercialización y divulgación digital, la UIT acogió a </w:t>
      </w:r>
      <w:r>
        <w:rPr>
          <w:lang w:val="es-ES"/>
        </w:rPr>
        <w:t>46</w:t>
      </w:r>
      <w:r w:rsidR="00E65E11">
        <w:rPr>
          <w:lang w:val="es-ES"/>
        </w:rPr>
        <w:t> </w:t>
      </w:r>
      <w:r w:rsidRPr="00C3025E">
        <w:rPr>
          <w:lang w:val="es-ES"/>
        </w:rPr>
        <w:t xml:space="preserve">pymes, </w:t>
      </w:r>
      <w:r>
        <w:rPr>
          <w:lang w:val="es-ES"/>
        </w:rPr>
        <w:t>38</w:t>
      </w:r>
      <w:r w:rsidRPr="00C3025E">
        <w:rPr>
          <w:lang w:val="es-ES"/>
        </w:rPr>
        <w:t xml:space="preserve"> en el UIT-T y </w:t>
      </w:r>
      <w:r w:rsidR="00D905C9">
        <w:rPr>
          <w:lang w:val="es-ES"/>
        </w:rPr>
        <w:t>ocho</w:t>
      </w:r>
      <w:r w:rsidRPr="00C3025E">
        <w:rPr>
          <w:lang w:val="es-ES"/>
        </w:rPr>
        <w:t xml:space="preserve"> en el UIT-R</w:t>
      </w:r>
      <w:r>
        <w:rPr>
          <w:lang w:val="es-ES"/>
        </w:rPr>
        <w:t xml:space="preserve"> (cifras al 1 de noviembre de 2021)</w:t>
      </w:r>
      <w:r w:rsidRPr="00C3025E">
        <w:rPr>
          <w:lang w:val="es-ES"/>
        </w:rPr>
        <w:t>.</w:t>
      </w:r>
    </w:p>
    <w:p w14:paraId="17C5FD6A" w14:textId="7AE42472" w:rsidR="008A64DF" w:rsidRPr="00C3025E" w:rsidRDefault="008A64DF" w:rsidP="008A64DF">
      <w:pPr>
        <w:rPr>
          <w:lang w:val="es-ES"/>
        </w:rPr>
      </w:pPr>
      <w:bookmarkStart w:id="205" w:name="lt_pId892"/>
      <w:bookmarkEnd w:id="204"/>
      <w:r w:rsidRPr="00C3025E">
        <w:rPr>
          <w:lang w:val="es-ES"/>
        </w:rPr>
        <w:t>Las pymes de los países desarrollados que reúnen los requisitos pagan ahora 3</w:t>
      </w:r>
      <w:r>
        <w:rPr>
          <w:lang w:val="es-ES"/>
        </w:rPr>
        <w:t> </w:t>
      </w:r>
      <w:r w:rsidRPr="00C3025E">
        <w:rPr>
          <w:lang w:val="es-ES"/>
        </w:rPr>
        <w:t>975</w:t>
      </w:r>
      <w:r w:rsidR="00D905C9">
        <w:rPr>
          <w:lang w:val="es-ES"/>
        </w:rPr>
        <w:t> </w:t>
      </w:r>
      <w:r w:rsidRPr="00C3025E">
        <w:rPr>
          <w:lang w:val="es-ES"/>
        </w:rPr>
        <w:t>CHF al año, y las de los países en desarrollo 1</w:t>
      </w:r>
      <w:r>
        <w:rPr>
          <w:lang w:val="es-ES"/>
        </w:rPr>
        <w:t> </w:t>
      </w:r>
      <w:r w:rsidRPr="00C3025E">
        <w:rPr>
          <w:lang w:val="es-ES"/>
        </w:rPr>
        <w:t>987,50</w:t>
      </w:r>
      <w:r w:rsidR="00D905C9">
        <w:rPr>
          <w:lang w:val="es-ES"/>
        </w:rPr>
        <w:t> </w:t>
      </w:r>
      <w:r w:rsidRPr="00C3025E">
        <w:rPr>
          <w:lang w:val="es-ES"/>
        </w:rPr>
        <w:t>CHF al año por participar en una Comisión de Estudio, en lugar de la tasa ordinaria de 10</w:t>
      </w:r>
      <w:r>
        <w:rPr>
          <w:lang w:val="es-ES"/>
        </w:rPr>
        <w:t> </w:t>
      </w:r>
      <w:r w:rsidRPr="00C3025E">
        <w:rPr>
          <w:lang w:val="es-ES"/>
        </w:rPr>
        <w:t>600</w:t>
      </w:r>
      <w:r w:rsidR="00D905C9">
        <w:rPr>
          <w:lang w:val="es-ES"/>
        </w:rPr>
        <w:t> </w:t>
      </w:r>
      <w:r w:rsidRPr="00C3025E">
        <w:rPr>
          <w:lang w:val="es-ES"/>
        </w:rPr>
        <w:t xml:space="preserve">CHF para el UIT-R y el UIT-T. Los Asociados en las Comisiones de Estudio del UIT-D ya pagan estos importes. Los Estados Miembros clasifican a las pymes según </w:t>
      </w:r>
      <w:r>
        <w:rPr>
          <w:lang w:val="es-ES"/>
        </w:rPr>
        <w:t xml:space="preserve">las </w:t>
      </w:r>
      <w:r w:rsidRPr="00C3025E">
        <w:rPr>
          <w:lang w:val="es-ES"/>
        </w:rPr>
        <w:t>definiciones nacionales, pero la Conferencia de Plenipotenciarios (Dubái, 2018) estableció un límite superior de un máximo de 250 empleados y el Consejo, en su sesión de 2019, fijó los ingresos máximos en 15</w:t>
      </w:r>
      <w:r w:rsidR="00D905C9">
        <w:rPr>
          <w:lang w:val="es-ES"/>
        </w:rPr>
        <w:t> </w:t>
      </w:r>
      <w:r w:rsidRPr="00C3025E">
        <w:rPr>
          <w:lang w:val="es-ES"/>
        </w:rPr>
        <w:t>millones</w:t>
      </w:r>
      <w:r w:rsidR="00D905C9">
        <w:rPr>
          <w:lang w:val="es-ES"/>
        </w:rPr>
        <w:t> </w:t>
      </w:r>
      <w:r w:rsidRPr="00C3025E">
        <w:rPr>
          <w:lang w:val="es-ES"/>
        </w:rPr>
        <w:t>CHF al año.</w:t>
      </w:r>
    </w:p>
    <w:p w14:paraId="21978B6D" w14:textId="685DCA6C" w:rsidR="008A64DF" w:rsidRPr="00C3025E" w:rsidRDefault="008A64DF" w:rsidP="008A64DF">
      <w:pPr>
        <w:rPr>
          <w:lang w:val="es-ES"/>
        </w:rPr>
      </w:pPr>
      <w:r>
        <w:rPr>
          <w:lang w:val="es-ES"/>
        </w:rPr>
        <w:t xml:space="preserve">Además de las Comisiones de Estudio y Grupos Temáticos, que acogieron con </w:t>
      </w:r>
      <w:r w:rsidR="00E65E11">
        <w:rPr>
          <w:lang w:val="es-ES"/>
        </w:rPr>
        <w:t>satisfacción</w:t>
      </w:r>
      <w:r>
        <w:rPr>
          <w:lang w:val="es-ES"/>
        </w:rPr>
        <w:t xml:space="preserve"> la participación de las pymes, l</w:t>
      </w:r>
      <w:r w:rsidRPr="00C3025E">
        <w:rPr>
          <w:lang w:val="es-ES"/>
        </w:rPr>
        <w:t>a UIT también ha puesto en marcha diversas actividades y plataformas específicas, adaptadas a las pymes, como el programa de ITU Digital World para pymes</w:t>
      </w:r>
      <w:r>
        <w:rPr>
          <w:lang w:val="es-ES"/>
        </w:rPr>
        <w:t xml:space="preserve"> (véase la </w:t>
      </w:r>
      <w:hyperlink w:anchor="_1.11_Principales_eventos" w:history="1">
        <w:r w:rsidR="00084CD9" w:rsidRPr="00084CD9">
          <w:rPr>
            <w:rStyle w:val="Hyperlink"/>
            <w:lang w:val="es-ES"/>
          </w:rPr>
          <w:t>sección</w:t>
        </w:r>
        <w:r w:rsidR="00084CD9">
          <w:rPr>
            <w:rStyle w:val="Hyperlink"/>
            <w:lang w:val="es-ES"/>
          </w:rPr>
          <w:t> </w:t>
        </w:r>
        <w:r w:rsidR="00084CD9" w:rsidRPr="00084CD9">
          <w:rPr>
            <w:rStyle w:val="Hyperlink"/>
            <w:lang w:val="es-ES"/>
          </w:rPr>
          <w:t>1.11</w:t>
        </w:r>
      </w:hyperlink>
      <w:r>
        <w:rPr>
          <w:lang w:val="es-ES"/>
        </w:rPr>
        <w:t>)</w:t>
      </w:r>
      <w:r w:rsidRPr="00C3025E">
        <w:rPr>
          <w:lang w:val="es-ES"/>
        </w:rPr>
        <w:t xml:space="preserve">, con sus clases magistrales en línea, y sus premios para este tipo de empresas, el programa "incubadora inteligente" de la UIT, los concursos de innovación de la UIT, la "fábrica de innovación" de la </w:t>
      </w:r>
      <w:r w:rsidR="00BD6770" w:rsidRPr="00C3025E">
        <w:rPr>
          <w:lang w:val="es-ES"/>
        </w:rPr>
        <w:t xml:space="preserve">Cumbre </w:t>
      </w:r>
      <w:r w:rsidRPr="00C3025E">
        <w:rPr>
          <w:lang w:val="es-ES"/>
        </w:rPr>
        <w:t xml:space="preserve">de </w:t>
      </w:r>
      <w:r w:rsidR="00693B94" w:rsidRPr="00693B94">
        <w:rPr>
          <w:lang w:val="es-ES"/>
        </w:rPr>
        <w:t>AI for Good</w:t>
      </w:r>
      <w:r w:rsidR="00D63B64" w:rsidRPr="00C3025E">
        <w:rPr>
          <w:lang w:val="es-ES"/>
        </w:rPr>
        <w:t xml:space="preserve"> </w:t>
      </w:r>
      <w:r w:rsidRPr="00C3025E">
        <w:rPr>
          <w:lang w:val="es-ES"/>
        </w:rPr>
        <w:t>y los cursos de formación de la UIT, entre otros.</w:t>
      </w:r>
      <w:bookmarkEnd w:id="205"/>
    </w:p>
    <w:p w14:paraId="4DCC85C0" w14:textId="3814F31A" w:rsidR="008A64DF" w:rsidRPr="00B04A9A" w:rsidRDefault="008A64DF" w:rsidP="008A64DF">
      <w:pPr>
        <w:pStyle w:val="Heading1"/>
        <w:rPr>
          <w:lang w:val="es-ES" w:eastAsia="en-GB"/>
        </w:rPr>
      </w:pPr>
      <w:bookmarkStart w:id="206" w:name="_3_Aplicación_del"/>
      <w:bookmarkStart w:id="207" w:name="_Toc37943355"/>
      <w:bookmarkStart w:id="208" w:name="Section_3"/>
      <w:bookmarkStart w:id="209" w:name="_Toc37860470"/>
      <w:bookmarkStart w:id="210" w:name="_Toc37861231"/>
      <w:bookmarkStart w:id="211" w:name="_Toc90552450"/>
      <w:bookmarkStart w:id="212" w:name="_Toc97821276"/>
      <w:bookmarkEnd w:id="206"/>
      <w:r w:rsidRPr="00D63B64">
        <w:rPr>
          <w:lang w:val="es-ES" w:eastAsia="en-GB"/>
        </w:rPr>
        <w:t>3</w:t>
      </w:r>
      <w:r w:rsidRPr="00D63B64">
        <w:rPr>
          <w:lang w:val="es-ES" w:eastAsia="en-GB"/>
        </w:rPr>
        <w:tab/>
      </w:r>
      <w:bookmarkEnd w:id="207"/>
      <w:bookmarkEnd w:id="208"/>
      <w:bookmarkEnd w:id="209"/>
      <w:bookmarkEnd w:id="210"/>
      <w:bookmarkEnd w:id="211"/>
      <w:r w:rsidRPr="00D63B64">
        <w:rPr>
          <w:lang w:val="es-ES"/>
        </w:rPr>
        <w:t xml:space="preserve">Aplicación del Plan Estratégico de la UIT: </w:t>
      </w:r>
      <w:r w:rsidR="00D63B64" w:rsidRPr="00D63B64">
        <w:rPr>
          <w:lang w:val="es-ES"/>
        </w:rPr>
        <w:t>a</w:t>
      </w:r>
      <w:r w:rsidRPr="00D63B64">
        <w:rPr>
          <w:lang w:val="es-ES"/>
        </w:rPr>
        <w:t>vances en la consecución de las metas estratégicas y los objetivos</w:t>
      </w:r>
      <w:bookmarkEnd w:id="212"/>
    </w:p>
    <w:p w14:paraId="3A33F695" w14:textId="40C49ABA" w:rsidR="008A64DF" w:rsidRPr="00E65E11" w:rsidRDefault="008A64DF" w:rsidP="00E65E11">
      <w:pPr>
        <w:rPr>
          <w:lang w:val="es-ES"/>
        </w:rPr>
      </w:pPr>
      <w:r w:rsidRPr="00E65E11">
        <w:rPr>
          <w:lang w:val="es-ES"/>
        </w:rPr>
        <w:t xml:space="preserve">La Conferencia de Plenipotenciarios de 2018 adoptó la Agenda Conectar 2030 que forma parte del </w:t>
      </w:r>
      <w:r w:rsidR="00D63B64" w:rsidRPr="00E65E11">
        <w:rPr>
          <w:lang w:val="es-ES"/>
        </w:rPr>
        <w:t xml:space="preserve">Plan Estratégico </w:t>
      </w:r>
      <w:r w:rsidRPr="00E65E11">
        <w:rPr>
          <w:lang w:val="es-ES"/>
        </w:rPr>
        <w:t xml:space="preserve">de la UIT para el cuatrienio 2020-2023. </w:t>
      </w:r>
      <w:r w:rsidRPr="00C3025E">
        <w:rPr>
          <w:lang w:val="es-ES"/>
        </w:rPr>
        <w:t xml:space="preserve">La Agenda y el Plan Estratégico de la UIT se articulan en torno a cinco metas, que incluyen 24 finalidades estratégicas concebidas para supervisar los progresos y ayudar a la UIT y a </w:t>
      </w:r>
      <w:r>
        <w:rPr>
          <w:lang w:val="es-ES"/>
        </w:rPr>
        <w:t xml:space="preserve">las partes </w:t>
      </w:r>
      <w:r w:rsidRPr="00C3025E">
        <w:rPr>
          <w:lang w:val="es-ES"/>
        </w:rPr>
        <w:t>interesad</w:t>
      </w:r>
      <w:r>
        <w:rPr>
          <w:lang w:val="es-ES"/>
        </w:rPr>
        <w:t>a</w:t>
      </w:r>
      <w:r w:rsidRPr="00C3025E">
        <w:rPr>
          <w:lang w:val="es-ES"/>
        </w:rPr>
        <w:t xml:space="preserve">s a orientar sus prioridades. </w:t>
      </w:r>
      <w:r w:rsidRPr="00E65E11">
        <w:rPr>
          <w:lang w:val="es-ES"/>
        </w:rPr>
        <w:t>Estas metas/objetivos están estrechamente armonizadas con la manera en que las actividades de la UIT repercuten en la vida de las personas y se corresponden claramente con los objetivos sectoriales e intersectoriales. La contribución de la Secretaría de la UIT (SG y Oficinas) se evalúa mediante los indicadores "facilitadores", que marcan la eficiencia de los servicios de asistencia y su rendimiento en la consecución de los productos. Este nivel del marco de resultados está bajo el control de la UIT.</w:t>
      </w:r>
    </w:p>
    <w:p w14:paraId="7687982E" w14:textId="77777777" w:rsidR="008A64DF" w:rsidRPr="00C3025E" w:rsidRDefault="008A64DF" w:rsidP="00E65E11">
      <w:pPr>
        <w:pStyle w:val="Headingb"/>
        <w:rPr>
          <w:lang w:val="es-ES"/>
        </w:rPr>
      </w:pPr>
      <w:bookmarkStart w:id="213" w:name="lt_pId904"/>
      <w:r w:rsidRPr="00937321">
        <w:rPr>
          <w:lang w:val="es-ES"/>
        </w:rPr>
        <w:t>Avances en la consecución de las metas estratégicas y los objetivos</w:t>
      </w:r>
      <w:bookmarkEnd w:id="213"/>
    </w:p>
    <w:p w14:paraId="4AE605AF" w14:textId="77777777" w:rsidR="008A64DF" w:rsidRPr="007A61AF" w:rsidRDefault="008A64DF" w:rsidP="00D63B64">
      <w:pPr>
        <w:rPr>
          <w:lang w:val="es-ES"/>
        </w:rPr>
      </w:pPr>
      <w:bookmarkStart w:id="214" w:name="lt_pId905"/>
      <w:r w:rsidRPr="007A61AF">
        <w:rPr>
          <w:lang w:val="es-ES"/>
        </w:rPr>
        <w:t>A fin de evaluar los progresos en la aplicación del Plan Estratégico de la Unión, se utiliza un conjunto de indicadores referentes a distintos niveles del marco de resultados de la UIT (véase la figura</w:t>
      </w:r>
      <w:r w:rsidRPr="007A61AF">
        <w:rPr>
          <w:i/>
          <w:iCs/>
          <w:lang w:val="es-ES"/>
        </w:rPr>
        <w:t xml:space="preserve"> infra</w:t>
      </w:r>
      <w:r w:rsidRPr="007A61AF">
        <w:rPr>
          <w:lang w:val="es-ES"/>
        </w:rPr>
        <w:t>). Los progresos realizados en la consecución de las metas y los objetivos se evalúan midiendo:</w:t>
      </w:r>
      <w:bookmarkEnd w:id="214"/>
    </w:p>
    <w:p w14:paraId="7574F6D8" w14:textId="4C1BFC8B" w:rsidR="008A64DF" w:rsidRPr="00C3025E" w:rsidRDefault="00E65E11" w:rsidP="00E65E11">
      <w:pPr>
        <w:pStyle w:val="enumlev1"/>
        <w:rPr>
          <w:lang w:val="es-ES"/>
        </w:rPr>
      </w:pPr>
      <w:bookmarkStart w:id="215" w:name="lt_pId907"/>
      <w:r w:rsidRPr="00E65E11">
        <w:rPr>
          <w:lang w:val="es-ES"/>
        </w:rPr>
        <w:t>•</w:t>
      </w:r>
      <w:r w:rsidRPr="00E65E11">
        <w:rPr>
          <w:lang w:val="es-ES"/>
        </w:rPr>
        <w:tab/>
      </w:r>
      <w:r w:rsidR="008A64DF" w:rsidRPr="00C3025E">
        <w:rPr>
          <w:b/>
          <w:bCs/>
          <w:lang w:val="es-ES"/>
        </w:rPr>
        <w:t>24 finalidades</w:t>
      </w:r>
      <w:r w:rsidR="008A64DF" w:rsidRPr="00C3025E">
        <w:rPr>
          <w:lang w:val="es-ES"/>
        </w:rPr>
        <w:t xml:space="preserve"> en el nivel de </w:t>
      </w:r>
      <w:r w:rsidR="008A64DF" w:rsidRPr="00E65E11">
        <w:t>repercusión</w:t>
      </w:r>
      <w:bookmarkEnd w:id="215"/>
      <w:r w:rsidR="00D63B64">
        <w:rPr>
          <w:lang w:val="es-ES"/>
        </w:rPr>
        <w:t>;</w:t>
      </w:r>
    </w:p>
    <w:p w14:paraId="232EA85E" w14:textId="2D92B30F" w:rsidR="008A64DF" w:rsidRPr="00C3025E" w:rsidRDefault="00E65E11" w:rsidP="00E65E11">
      <w:pPr>
        <w:pStyle w:val="enumlev1"/>
        <w:rPr>
          <w:lang w:val="es-ES"/>
        </w:rPr>
      </w:pPr>
      <w:bookmarkStart w:id="216" w:name="lt_pId908"/>
      <w:r w:rsidRPr="00E65E11">
        <w:rPr>
          <w:lang w:val="es-ES"/>
        </w:rPr>
        <w:t>•</w:t>
      </w:r>
      <w:r w:rsidRPr="00E65E11">
        <w:rPr>
          <w:lang w:val="es-ES"/>
        </w:rPr>
        <w:tab/>
      </w:r>
      <w:r w:rsidR="008A64DF">
        <w:rPr>
          <w:b/>
          <w:bCs/>
          <w:lang w:val="es-ES"/>
        </w:rPr>
        <w:t>6</w:t>
      </w:r>
      <w:r w:rsidR="008A64DF" w:rsidRPr="00C3025E">
        <w:rPr>
          <w:b/>
          <w:bCs/>
          <w:lang w:val="es-ES"/>
        </w:rPr>
        <w:t>4 indicadores de resultados</w:t>
      </w:r>
      <w:r w:rsidR="008A64DF" w:rsidRPr="00C3025E">
        <w:rPr>
          <w:lang w:val="es-ES"/>
        </w:rPr>
        <w:t>. Esta capa del marco de resultados está compuesta por 3 objetivos y 15 resultados del UIT-R; 5 objetivos y 14 resultados del UIT-T; 4 objetivos y 16 resultados del UIT-D; y 6 objetivos y 19 resultados intersectoriales</w:t>
      </w:r>
      <w:bookmarkEnd w:id="216"/>
      <w:r w:rsidR="00D63B64">
        <w:rPr>
          <w:lang w:val="es-ES"/>
        </w:rPr>
        <w:t>;</w:t>
      </w:r>
    </w:p>
    <w:p w14:paraId="4FFDE734" w14:textId="115811DF" w:rsidR="008A64DF" w:rsidRPr="00C3025E" w:rsidRDefault="00E65E11" w:rsidP="00E65E11">
      <w:pPr>
        <w:pStyle w:val="enumlev1"/>
        <w:rPr>
          <w:lang w:val="es-ES"/>
        </w:rPr>
      </w:pPr>
      <w:bookmarkStart w:id="217" w:name="lt_pId910"/>
      <w:r w:rsidRPr="00E65E11">
        <w:rPr>
          <w:lang w:val="es-ES"/>
        </w:rPr>
        <w:lastRenderedPageBreak/>
        <w:t>•</w:t>
      </w:r>
      <w:r w:rsidRPr="00E65E11">
        <w:rPr>
          <w:lang w:val="es-ES"/>
        </w:rPr>
        <w:tab/>
      </w:r>
      <w:r w:rsidR="008A64DF" w:rsidRPr="00E65E11">
        <w:rPr>
          <w:b/>
          <w:bCs/>
          <w:lang w:val="es-ES"/>
        </w:rPr>
        <w:t>40 indicadores de facilitadores</w:t>
      </w:r>
      <w:r w:rsidR="008A64DF" w:rsidRPr="00C3025E">
        <w:rPr>
          <w:lang w:val="es-ES"/>
        </w:rPr>
        <w:t>.</w:t>
      </w:r>
      <w:bookmarkEnd w:id="217"/>
    </w:p>
    <w:p w14:paraId="5A9B938D" w14:textId="77777777" w:rsidR="008A64DF" w:rsidRPr="007A61AF" w:rsidRDefault="008A64DF" w:rsidP="008A64DF">
      <w:pPr>
        <w:rPr>
          <w:lang w:val="es-ES"/>
        </w:rPr>
      </w:pPr>
      <w:bookmarkStart w:id="218" w:name="lt_pId911"/>
      <w:r w:rsidRPr="007A61AF">
        <w:rPr>
          <w:lang w:val="es-ES"/>
        </w:rPr>
        <w:t>En las secciones que figuran a continuación se expone un resumen de los cuadros que muestran la evaluación del rendimiento de la UIT.</w:t>
      </w:r>
      <w:bookmarkEnd w:id="218"/>
    </w:p>
    <w:p w14:paraId="1D786403" w14:textId="77777777" w:rsidR="008A64DF" w:rsidRPr="00C3025E" w:rsidRDefault="008A64DF" w:rsidP="008A64DF">
      <w:pPr>
        <w:pStyle w:val="Figure"/>
        <w:rPr>
          <w:lang w:val="es-ES"/>
        </w:rPr>
      </w:pPr>
      <w:r w:rsidRPr="00C3025E">
        <w:rPr>
          <w:noProof/>
          <w:lang w:val="es-ES"/>
        </w:rPr>
        <w:drawing>
          <wp:inline distT="0" distB="0" distL="0" distR="0" wp14:anchorId="520E326E" wp14:editId="05B17E9B">
            <wp:extent cx="5292000" cy="2113200"/>
            <wp:effectExtent l="0" t="0" r="4445" b="1905"/>
            <wp:docPr id="1" name="Picture 1"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with medium confidence"/>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5292000" cy="2113200"/>
                    </a:xfrm>
                    <a:prstGeom prst="rect">
                      <a:avLst/>
                    </a:prstGeom>
                    <a:noFill/>
                    <a:ln>
                      <a:noFill/>
                    </a:ln>
                  </pic:spPr>
                </pic:pic>
              </a:graphicData>
            </a:graphic>
          </wp:inline>
        </w:drawing>
      </w:r>
    </w:p>
    <w:p w14:paraId="2EA18E20" w14:textId="77777777" w:rsidR="008A64DF" w:rsidRPr="00753844" w:rsidRDefault="008A64DF" w:rsidP="00937321">
      <w:pPr>
        <w:pStyle w:val="Normalaftertitle"/>
        <w:rPr>
          <w:lang w:val="es-ES"/>
        </w:rPr>
      </w:pPr>
      <w:bookmarkStart w:id="219" w:name="lt_pId912"/>
      <w:r w:rsidRPr="00937321">
        <w:rPr>
          <w:lang w:val="es-ES"/>
        </w:rPr>
        <w:t>El</w:t>
      </w:r>
      <w:r w:rsidRPr="00C3025E">
        <w:rPr>
          <w:lang w:val="es-ES"/>
        </w:rPr>
        <w:t xml:space="preserve"> </w:t>
      </w:r>
      <w:r w:rsidRPr="00496151">
        <w:rPr>
          <w:rFonts w:eastAsia="Calibri"/>
          <w:lang w:val="es-ES"/>
        </w:rPr>
        <w:t>análisis</w:t>
      </w:r>
      <w:r w:rsidRPr="00C3025E">
        <w:rPr>
          <w:lang w:val="es-ES"/>
        </w:rPr>
        <w:t xml:space="preserve"> de los resultados que ilustran los gráficos </w:t>
      </w:r>
      <w:r w:rsidRPr="00C3025E">
        <w:rPr>
          <w:i/>
          <w:iCs/>
          <w:lang w:val="es-ES"/>
        </w:rPr>
        <w:t>infra</w:t>
      </w:r>
      <w:r w:rsidRPr="00C3025E">
        <w:rPr>
          <w:lang w:val="es-ES"/>
        </w:rPr>
        <w:t>, relativos a los avances logrados en la consecución de las metas estratégicas, permite sacar las siguientes conclusiones:</w:t>
      </w:r>
      <w:bookmarkEnd w:id="219"/>
      <w:r w:rsidRPr="00753844">
        <w:rPr>
          <w:lang w:val="es-ES"/>
        </w:rPr>
        <w:t xml:space="preserve"> (</w:t>
      </w:r>
      <w:r>
        <w:rPr>
          <w:lang w:val="es-ES"/>
        </w:rPr>
        <w:t xml:space="preserve">véase el informe de la UIT </w:t>
      </w:r>
      <w:hyperlink r:id="rId342" w:history="1">
        <w:r w:rsidRPr="00937321">
          <w:rPr>
            <w:rStyle w:val="Hyperlink"/>
            <w:i/>
            <w:iCs/>
            <w:lang w:val="es-ES"/>
          </w:rPr>
          <w:t>Hechos y cifras 2021</w:t>
        </w:r>
      </w:hyperlink>
      <w:r w:rsidRPr="00753844">
        <w:rPr>
          <w:lang w:val="es-ES"/>
        </w:rPr>
        <w:t>):</w:t>
      </w:r>
    </w:p>
    <w:p w14:paraId="06D61C99" w14:textId="7AD348B6" w:rsidR="008A64DF" w:rsidRPr="00B04A9A" w:rsidRDefault="00B67923" w:rsidP="00B67923">
      <w:pPr>
        <w:pStyle w:val="enumlev1"/>
        <w:rPr>
          <w:lang w:val="es-ES"/>
        </w:rPr>
      </w:pPr>
      <w:r w:rsidRPr="00937321">
        <w:rPr>
          <w:lang w:val="es-ES"/>
        </w:rPr>
        <w:t>•</w:t>
      </w:r>
      <w:r>
        <w:rPr>
          <w:lang w:val="es-ES"/>
        </w:rPr>
        <w:tab/>
      </w:r>
      <w:r w:rsidR="008A64DF" w:rsidRPr="00B67923">
        <w:rPr>
          <w:b/>
          <w:bCs/>
          <w:lang w:val="es-ES"/>
        </w:rPr>
        <w:t>La adopción de Internet se ha acelerado durante la pandemia</w:t>
      </w:r>
      <w:r w:rsidR="008A64DF" w:rsidRPr="00F43641">
        <w:rPr>
          <w:lang w:val="es-ES"/>
        </w:rPr>
        <w:t xml:space="preserve">: </w:t>
      </w:r>
      <w:r>
        <w:rPr>
          <w:lang w:val="es-ES"/>
        </w:rPr>
        <w:t>l</w:t>
      </w:r>
      <w:r w:rsidR="008A64DF" w:rsidRPr="00F43641">
        <w:rPr>
          <w:lang w:val="es-ES"/>
        </w:rPr>
        <w:t xml:space="preserve">os últimos datos de la UIT muestran que la adopción de Internet se ha acelerado durante la pandemia. En 2019, </w:t>
      </w:r>
      <w:r w:rsidR="008A64DF">
        <w:rPr>
          <w:lang w:val="es-ES"/>
        </w:rPr>
        <w:t xml:space="preserve">el número de usuarios de Internet se elevaba a </w:t>
      </w:r>
      <w:r w:rsidR="008A64DF" w:rsidRPr="00F43641">
        <w:rPr>
          <w:lang w:val="es-ES"/>
        </w:rPr>
        <w:t>4</w:t>
      </w:r>
      <w:r w:rsidR="003277A8">
        <w:rPr>
          <w:lang w:val="es-ES"/>
        </w:rPr>
        <w:t> </w:t>
      </w:r>
      <w:r w:rsidR="008A64DF" w:rsidRPr="00F43641">
        <w:rPr>
          <w:lang w:val="es-ES"/>
        </w:rPr>
        <w:t xml:space="preserve">100 millones de personas (el 54% de la población mundial). Desde entonces, </w:t>
      </w:r>
      <w:r w:rsidR="008A64DF">
        <w:rPr>
          <w:lang w:val="es-ES"/>
        </w:rPr>
        <w:t xml:space="preserve">dicho </w:t>
      </w:r>
      <w:r w:rsidR="008A64DF" w:rsidRPr="00F43641">
        <w:rPr>
          <w:lang w:val="es-ES"/>
        </w:rPr>
        <w:t>número ha aumentado en 800</w:t>
      </w:r>
      <w:r w:rsidR="00937321">
        <w:rPr>
          <w:lang w:val="es-ES"/>
        </w:rPr>
        <w:t> </w:t>
      </w:r>
      <w:r w:rsidR="008A64DF" w:rsidRPr="00F43641">
        <w:rPr>
          <w:lang w:val="es-ES"/>
        </w:rPr>
        <w:t>millones hasta alcanzar los 4</w:t>
      </w:r>
      <w:r>
        <w:rPr>
          <w:lang w:val="es-ES"/>
        </w:rPr>
        <w:t> </w:t>
      </w:r>
      <w:r w:rsidR="008A64DF" w:rsidRPr="00F43641">
        <w:rPr>
          <w:lang w:val="es-ES"/>
        </w:rPr>
        <w:t xml:space="preserve">900 millones de </w:t>
      </w:r>
      <w:r w:rsidR="008A64DF">
        <w:rPr>
          <w:lang w:val="es-ES"/>
        </w:rPr>
        <w:t xml:space="preserve">usuarios </w:t>
      </w:r>
      <w:r w:rsidR="008A64DF" w:rsidRPr="00F43641">
        <w:rPr>
          <w:lang w:val="es-ES"/>
        </w:rPr>
        <w:t xml:space="preserve">en 2021, es decir, el 63% de la población. En 2020, el primer año de la pandemia, el número de usuarios de Internet creció un 10,2%, </w:t>
      </w:r>
      <w:r w:rsidR="008A64DF">
        <w:rPr>
          <w:lang w:val="es-ES"/>
        </w:rPr>
        <w:t xml:space="preserve">registrando así </w:t>
      </w:r>
      <w:r w:rsidR="008A64DF" w:rsidRPr="00F43641">
        <w:rPr>
          <w:lang w:val="es-ES"/>
        </w:rPr>
        <w:t>el mayor aumento en un</w:t>
      </w:r>
      <w:r w:rsidR="008A64DF">
        <w:rPr>
          <w:lang w:val="es-ES"/>
        </w:rPr>
        <w:t>a</w:t>
      </w:r>
      <w:r w:rsidR="008A64DF" w:rsidRPr="00F43641">
        <w:rPr>
          <w:lang w:val="es-ES"/>
        </w:rPr>
        <w:t xml:space="preserve"> década, </w:t>
      </w:r>
      <w:r w:rsidR="008A64DF">
        <w:rPr>
          <w:lang w:val="es-ES"/>
        </w:rPr>
        <w:t xml:space="preserve">especialmente en </w:t>
      </w:r>
      <w:r w:rsidR="008A64DF" w:rsidRPr="00F43641">
        <w:rPr>
          <w:lang w:val="es-ES"/>
        </w:rPr>
        <w:t xml:space="preserve">los países en desarrollo, donde aumentó un 13,3%. En 2021, el crecimiento ha vuelto a ser más modesto, </w:t>
      </w:r>
      <w:r w:rsidR="008A64DF">
        <w:rPr>
          <w:lang w:val="es-ES"/>
        </w:rPr>
        <w:t xml:space="preserve">a saber </w:t>
      </w:r>
      <w:r w:rsidR="008A64DF" w:rsidRPr="00F43641">
        <w:rPr>
          <w:lang w:val="es-ES"/>
        </w:rPr>
        <w:t xml:space="preserve">un 5,8%, </w:t>
      </w:r>
      <w:r w:rsidR="008A64DF">
        <w:rPr>
          <w:lang w:val="es-ES"/>
        </w:rPr>
        <w:t xml:space="preserve">en consonancia </w:t>
      </w:r>
      <w:r w:rsidR="008A64DF" w:rsidRPr="00F43641">
        <w:rPr>
          <w:lang w:val="es-ES"/>
        </w:rPr>
        <w:t>con las tasas anteriores a la crisis</w:t>
      </w:r>
      <w:r w:rsidR="008A64DF" w:rsidRPr="00B04A9A">
        <w:rPr>
          <w:lang w:val="es-ES"/>
        </w:rPr>
        <w:t>.</w:t>
      </w:r>
    </w:p>
    <w:p w14:paraId="5F13CB2F" w14:textId="2053EB7F" w:rsidR="008A64DF" w:rsidRPr="00B67923" w:rsidRDefault="00B67923" w:rsidP="00B67923">
      <w:pPr>
        <w:pStyle w:val="enumlev1"/>
        <w:rPr>
          <w:lang w:val="es-ES"/>
        </w:rPr>
      </w:pPr>
      <w:r w:rsidRPr="00937321">
        <w:rPr>
          <w:lang w:val="es-ES"/>
        </w:rPr>
        <w:t>•</w:t>
      </w:r>
      <w:r>
        <w:rPr>
          <w:lang w:val="es-ES"/>
        </w:rPr>
        <w:tab/>
      </w:r>
      <w:r w:rsidR="008A64DF" w:rsidRPr="00B67923">
        <w:rPr>
          <w:b/>
          <w:bCs/>
          <w:lang w:val="es-ES"/>
        </w:rPr>
        <w:t>Modesta reducción de la brecha entre los países más y menos conectados del mundo</w:t>
      </w:r>
      <w:r w:rsidR="008A64DF" w:rsidRPr="00B67923">
        <w:rPr>
          <w:lang w:val="es-ES"/>
        </w:rPr>
        <w:t xml:space="preserve">: </w:t>
      </w:r>
      <w:r>
        <w:rPr>
          <w:lang w:val="es-ES"/>
        </w:rPr>
        <w:t>e</w:t>
      </w:r>
      <w:r w:rsidR="008A64DF" w:rsidRPr="00B67923">
        <w:rPr>
          <w:lang w:val="es-ES"/>
        </w:rPr>
        <w:t xml:space="preserve">ntre 2019 y 2021, la utilización de Internet en África y la </w:t>
      </w:r>
      <w:r w:rsidR="00937321" w:rsidRPr="00B67923">
        <w:rPr>
          <w:lang w:val="es-ES"/>
        </w:rPr>
        <w:t xml:space="preserve">Región </w:t>
      </w:r>
      <w:r w:rsidR="008A64DF" w:rsidRPr="00B67923">
        <w:rPr>
          <w:lang w:val="es-ES"/>
        </w:rPr>
        <w:t>de Asia-Pacífico se disparó un 23% y un 24%, respectivamente. Durante ese mismo per</w:t>
      </w:r>
      <w:r w:rsidR="00EF6125">
        <w:rPr>
          <w:lang w:val="es-ES"/>
        </w:rPr>
        <w:t>i</w:t>
      </w:r>
      <w:r w:rsidR="008A64DF" w:rsidRPr="00B67923">
        <w:rPr>
          <w:lang w:val="es-ES"/>
        </w:rPr>
        <w:t>odo, el número de usuarios de Internet en los países menos adelantados (PMA) aumentó un 20%, situándose ahora en el</w:t>
      </w:r>
      <w:r w:rsidR="00937321">
        <w:rPr>
          <w:lang w:val="es-ES"/>
        </w:rPr>
        <w:t> </w:t>
      </w:r>
      <w:r w:rsidR="008A64DF" w:rsidRPr="00B67923">
        <w:rPr>
          <w:lang w:val="es-ES"/>
        </w:rPr>
        <w:t>27% de la población. El crecimiento ha sido necesariamente mucho más reducido en los países desarrollados, ya que la utilización de Internet es prácticamente universal, superior al</w:t>
      </w:r>
      <w:r w:rsidR="00937321">
        <w:rPr>
          <w:lang w:val="es-ES"/>
        </w:rPr>
        <w:t> </w:t>
      </w:r>
      <w:r w:rsidR="008A64DF" w:rsidRPr="00B67923">
        <w:rPr>
          <w:lang w:val="es-ES"/>
        </w:rPr>
        <w:t>90%. Este diferencial de crecimiento ha contribuido a una modesta reducción de la brecha entre los países más y menos conectados del mundo: es decir, la brecha entre los países desarrollados y los PMA pasó de 66 puntos porcentuales en 2017 a 63 puntos porcentuales en</w:t>
      </w:r>
      <w:r w:rsidR="00021E69">
        <w:rPr>
          <w:lang w:val="es-ES"/>
        </w:rPr>
        <w:t> </w:t>
      </w:r>
      <w:r w:rsidR="008A64DF" w:rsidRPr="00B67923">
        <w:rPr>
          <w:lang w:val="es-ES"/>
        </w:rPr>
        <w:t>2021.</w:t>
      </w:r>
    </w:p>
    <w:p w14:paraId="1566AD5B" w14:textId="45D66324" w:rsidR="008A64DF" w:rsidRPr="00B67923" w:rsidRDefault="00B67923" w:rsidP="00B67923">
      <w:pPr>
        <w:pStyle w:val="enumlev1"/>
        <w:rPr>
          <w:lang w:val="es-ES"/>
        </w:rPr>
      </w:pPr>
      <w:r w:rsidRPr="00FB7F03">
        <w:rPr>
          <w:lang w:val="es-ES"/>
        </w:rPr>
        <w:t>•</w:t>
      </w:r>
      <w:r>
        <w:rPr>
          <w:lang w:val="es-ES"/>
        </w:rPr>
        <w:tab/>
      </w:r>
      <w:r w:rsidR="008A64DF" w:rsidRPr="00B67923">
        <w:rPr>
          <w:b/>
          <w:bCs/>
          <w:lang w:val="es-ES"/>
        </w:rPr>
        <w:t>La utilización de Internet se acerca a la paridad de género</w:t>
      </w:r>
      <w:r w:rsidR="008A64DF" w:rsidRPr="00B67923">
        <w:rPr>
          <w:lang w:val="es-ES"/>
        </w:rPr>
        <w:t xml:space="preserve">: </w:t>
      </w:r>
      <w:r>
        <w:rPr>
          <w:lang w:val="es-ES"/>
        </w:rPr>
        <w:t>e</w:t>
      </w:r>
      <w:r w:rsidR="008A64DF" w:rsidRPr="00B67923">
        <w:rPr>
          <w:lang w:val="es-ES"/>
        </w:rPr>
        <w:t xml:space="preserve">n 2020, la proporción de hombres que utilizaban Internet en todo el mundo era del 62%, y la de mujeres del 57%. Se considera que se ha logrado la paridad de género cuando el índice de paridad de género, definido como el porcentaje de mujeres dividido por el porcentaje de hombres que utilizan Internet, se sitúa entre 0,98 y 1,02. En los últimos años la brecha de género en Internet se ha reducido en todas las regiones (véase el gráfico de </w:t>
      </w:r>
      <w:r w:rsidR="008A64DF" w:rsidRPr="00FB7F03">
        <w:rPr>
          <w:lang w:val="es-ES"/>
        </w:rPr>
        <w:t xml:space="preserve">la </w:t>
      </w:r>
      <w:r w:rsidR="008A64DF" w:rsidRPr="001B1357">
        <w:rPr>
          <w:lang w:val="es-ES"/>
        </w:rPr>
        <w:t>página siguiente</w:t>
      </w:r>
      <w:r w:rsidR="008A64DF" w:rsidRPr="00B67923">
        <w:rPr>
          <w:lang w:val="es-ES"/>
        </w:rPr>
        <w:t xml:space="preserve">). Así, el índice de paridad de género a escala mundial ha aumentado de 0,89 en 2018 a 0,92 en 2020. La paridad se ha alcanzado en los países desarrollados en su conjunto y en América, y casi se ha </w:t>
      </w:r>
      <w:r w:rsidR="008A64DF" w:rsidRPr="00B67923">
        <w:rPr>
          <w:lang w:val="es-ES"/>
        </w:rPr>
        <w:lastRenderedPageBreak/>
        <w:t xml:space="preserve">logrado (puntuación de paridad entre 0,95 y 0,98) en la </w:t>
      </w:r>
      <w:r w:rsidR="00021E69" w:rsidRPr="00B67923">
        <w:rPr>
          <w:lang w:val="es-ES"/>
        </w:rPr>
        <w:t xml:space="preserve">Región </w:t>
      </w:r>
      <w:r w:rsidR="008A64DF" w:rsidRPr="00B67923">
        <w:rPr>
          <w:lang w:val="es-ES"/>
        </w:rPr>
        <w:t xml:space="preserve">de la Comunidad de Estados Independientes (CEI), los pequeños </w:t>
      </w:r>
      <w:r w:rsidR="00021E69" w:rsidRPr="00B67923">
        <w:rPr>
          <w:lang w:val="es-ES"/>
        </w:rPr>
        <w:t xml:space="preserve">Estados </w:t>
      </w:r>
      <w:r w:rsidR="008A64DF" w:rsidRPr="00B67923">
        <w:rPr>
          <w:lang w:val="es-ES"/>
        </w:rPr>
        <w:t xml:space="preserve">insulares en desarrollo (PEID) y Europa. Sin embargo, la brecha sigue siendo amplia en los PMA, donde sólo el 19% de las mujeres utiliza Internet (12 puntos porcentuales menos que los hombres), los países en desarrollo sin litoral </w:t>
      </w:r>
      <w:r w:rsidR="00FB7F03">
        <w:rPr>
          <w:lang w:val="es-ES"/>
        </w:rPr>
        <w:t xml:space="preserve">(PDSL) </w:t>
      </w:r>
      <w:r w:rsidR="008A64DF" w:rsidRPr="00B67923">
        <w:rPr>
          <w:lang w:val="es-ES"/>
        </w:rPr>
        <w:t>(27% de las mujeres y 38% de los hombres), África (24% respecto de 35%) y los Estados Árabes (56% respecto de 68%).</w:t>
      </w:r>
    </w:p>
    <w:p w14:paraId="1F154963" w14:textId="66C7B720" w:rsidR="008A64DF" w:rsidRPr="006572A1" w:rsidRDefault="00B67923" w:rsidP="00B67923">
      <w:pPr>
        <w:pStyle w:val="enumlev1"/>
        <w:rPr>
          <w:lang w:val="es-ES"/>
        </w:rPr>
      </w:pPr>
      <w:r w:rsidRPr="00FB7F03">
        <w:rPr>
          <w:lang w:val="es-ES"/>
        </w:rPr>
        <w:t>•</w:t>
      </w:r>
      <w:r>
        <w:rPr>
          <w:lang w:val="es-ES"/>
        </w:rPr>
        <w:tab/>
      </w:r>
      <w:r w:rsidR="008A64DF" w:rsidRPr="00B67923">
        <w:rPr>
          <w:b/>
          <w:bCs/>
          <w:lang w:val="es-ES"/>
        </w:rPr>
        <w:t>Los jóvenes están más conectados que el resto de la población</w:t>
      </w:r>
      <w:r w:rsidR="008A64DF" w:rsidRPr="00B67923">
        <w:rPr>
          <w:lang w:val="es-ES"/>
        </w:rPr>
        <w:t xml:space="preserve">: </w:t>
      </w:r>
      <w:r>
        <w:rPr>
          <w:lang w:val="es-ES"/>
        </w:rPr>
        <w:t>e</w:t>
      </w:r>
      <w:r w:rsidR="008A64DF" w:rsidRPr="006572A1">
        <w:rPr>
          <w:lang w:val="es-ES"/>
        </w:rPr>
        <w:t xml:space="preserve">n 2020, el </w:t>
      </w:r>
      <w:r w:rsidR="008A64DF">
        <w:rPr>
          <w:lang w:val="es-ES"/>
        </w:rPr>
        <w:t xml:space="preserve">porcentaje de jóvenes </w:t>
      </w:r>
      <w:r w:rsidR="008A64DF" w:rsidRPr="006572A1">
        <w:rPr>
          <w:lang w:val="es-ES"/>
        </w:rPr>
        <w:t>(con edades comprendidas entre los 15 y los 24 años)</w:t>
      </w:r>
      <w:r w:rsidR="008A64DF">
        <w:rPr>
          <w:lang w:val="es-ES"/>
        </w:rPr>
        <w:t xml:space="preserve"> que utilizaba </w:t>
      </w:r>
      <w:r w:rsidR="00FB7F03">
        <w:rPr>
          <w:lang w:val="es-ES"/>
        </w:rPr>
        <w:t xml:space="preserve">Internet </w:t>
      </w:r>
      <w:r w:rsidR="008A64DF">
        <w:rPr>
          <w:lang w:val="es-ES"/>
        </w:rPr>
        <w:t xml:space="preserve">era del </w:t>
      </w:r>
      <w:r w:rsidR="008A64DF" w:rsidRPr="006572A1">
        <w:rPr>
          <w:lang w:val="es-ES"/>
        </w:rPr>
        <w:t xml:space="preserve">71% </w:t>
      </w:r>
      <w:r w:rsidR="008A64DF">
        <w:rPr>
          <w:lang w:val="es-ES"/>
        </w:rPr>
        <w:t>a nivel mundial</w:t>
      </w:r>
      <w:r w:rsidR="008A64DF" w:rsidRPr="006572A1">
        <w:rPr>
          <w:lang w:val="es-ES"/>
        </w:rPr>
        <w:t xml:space="preserve">, </w:t>
      </w:r>
      <w:r w:rsidR="008A64DF">
        <w:rPr>
          <w:lang w:val="es-ES"/>
        </w:rPr>
        <w:t xml:space="preserve">mientras que </w:t>
      </w:r>
      <w:r w:rsidR="008A64DF" w:rsidRPr="006572A1">
        <w:rPr>
          <w:lang w:val="es-ES"/>
        </w:rPr>
        <w:t>e</w:t>
      </w:r>
      <w:r w:rsidR="008A64DF">
        <w:rPr>
          <w:lang w:val="es-ES"/>
        </w:rPr>
        <w:t>n</w:t>
      </w:r>
      <w:r w:rsidR="008A64DF" w:rsidRPr="006572A1">
        <w:rPr>
          <w:lang w:val="es-ES"/>
        </w:rPr>
        <w:t xml:space="preserve"> los demás grupos de edad </w:t>
      </w:r>
      <w:r w:rsidR="008A64DF">
        <w:rPr>
          <w:lang w:val="es-ES"/>
        </w:rPr>
        <w:t xml:space="preserve">esta cifra era del </w:t>
      </w:r>
      <w:r w:rsidR="008A64DF" w:rsidRPr="006572A1">
        <w:rPr>
          <w:lang w:val="es-ES"/>
        </w:rPr>
        <w:t xml:space="preserve">57%. A escala mundial, la probabilidad de acceso a Internet es 1,24 veces mayor para los jóvenes que para el resto de la población. En los países desarrollados, donde el 90% de la población ya está conectada, la proporción era pequeña (1,14). En los países en desarrollo, la diferencia era de 1,32, y en los PMA alcanzaba el 1,53, ya que el 34% de los jóvenes estaban conectados, </w:t>
      </w:r>
      <w:r w:rsidR="008A64DF">
        <w:rPr>
          <w:lang w:val="es-ES"/>
        </w:rPr>
        <w:t xml:space="preserve">mientras que </w:t>
      </w:r>
      <w:r w:rsidR="008A64DF" w:rsidRPr="006572A1">
        <w:rPr>
          <w:lang w:val="es-ES"/>
        </w:rPr>
        <w:t xml:space="preserve">sólo el </w:t>
      </w:r>
      <w:r w:rsidR="008A64DF">
        <w:rPr>
          <w:lang w:val="es-ES"/>
        </w:rPr>
        <w:t xml:space="preserve">porcentaje para </w:t>
      </w:r>
      <w:r w:rsidR="008A64DF" w:rsidRPr="006572A1">
        <w:rPr>
          <w:lang w:val="es-ES"/>
        </w:rPr>
        <w:t>el resto de la población</w:t>
      </w:r>
      <w:r w:rsidR="008A64DF">
        <w:rPr>
          <w:lang w:val="es-ES"/>
        </w:rPr>
        <w:t xml:space="preserve"> era de</w:t>
      </w:r>
      <w:r w:rsidR="00FB7F03">
        <w:rPr>
          <w:lang w:val="es-ES"/>
        </w:rPr>
        <w:t>l</w:t>
      </w:r>
      <w:r w:rsidR="008A64DF">
        <w:rPr>
          <w:lang w:val="es-ES"/>
        </w:rPr>
        <w:t xml:space="preserve"> </w:t>
      </w:r>
      <w:r w:rsidR="008A64DF" w:rsidRPr="006572A1">
        <w:rPr>
          <w:lang w:val="es-ES"/>
        </w:rPr>
        <w:t xml:space="preserve">22%. En el caso de África, la relación era de 1,47, y en la </w:t>
      </w:r>
      <w:r w:rsidR="00937321" w:rsidRPr="006572A1">
        <w:rPr>
          <w:lang w:val="es-ES"/>
        </w:rPr>
        <w:t xml:space="preserve">Región </w:t>
      </w:r>
      <w:r w:rsidR="008A64DF" w:rsidRPr="006572A1">
        <w:rPr>
          <w:lang w:val="es-ES"/>
        </w:rPr>
        <w:t>de Asia</w:t>
      </w:r>
      <w:r w:rsidR="00937321">
        <w:rPr>
          <w:lang w:val="es-ES"/>
        </w:rPr>
        <w:noBreakHyphen/>
      </w:r>
      <w:r w:rsidR="008A64DF" w:rsidRPr="006572A1">
        <w:rPr>
          <w:lang w:val="es-ES"/>
        </w:rPr>
        <w:t xml:space="preserve">Pacífico, de 1,35. La mayor aceptación por parte de los jóvenes </w:t>
      </w:r>
      <w:r w:rsidR="008A64DF">
        <w:rPr>
          <w:lang w:val="es-ES"/>
        </w:rPr>
        <w:t>resulta prometedor</w:t>
      </w:r>
      <w:r w:rsidR="00FB7F03">
        <w:rPr>
          <w:lang w:val="es-ES"/>
        </w:rPr>
        <w:t>a</w:t>
      </w:r>
      <w:r w:rsidR="008A64DF">
        <w:rPr>
          <w:lang w:val="es-ES"/>
        </w:rPr>
        <w:t xml:space="preserve"> </w:t>
      </w:r>
      <w:r w:rsidR="008A64DF" w:rsidRPr="006572A1">
        <w:rPr>
          <w:lang w:val="es-ES"/>
        </w:rPr>
        <w:t xml:space="preserve">para la conectividad en zonas cuyo perfil demográfico </w:t>
      </w:r>
      <w:r w:rsidR="008A64DF">
        <w:rPr>
          <w:lang w:val="es-ES"/>
        </w:rPr>
        <w:t>es más joven</w:t>
      </w:r>
      <w:r w:rsidR="008A64DF" w:rsidRPr="006572A1">
        <w:rPr>
          <w:lang w:val="es-ES"/>
        </w:rPr>
        <w:t xml:space="preserve">, como los PMA, donde la mitad de la población tiene menos de 20 años. </w:t>
      </w:r>
      <w:r w:rsidR="008A64DF">
        <w:rPr>
          <w:lang w:val="es-ES"/>
        </w:rPr>
        <w:t xml:space="preserve">Todo esto se traduce en </w:t>
      </w:r>
      <w:r w:rsidR="008A64DF" w:rsidRPr="006572A1">
        <w:rPr>
          <w:lang w:val="es-ES"/>
        </w:rPr>
        <w:t xml:space="preserve">que la mano de obra estará más conectada y será más experta en tecnología </w:t>
      </w:r>
      <w:r w:rsidR="008A64DF">
        <w:rPr>
          <w:lang w:val="es-ES"/>
        </w:rPr>
        <w:t xml:space="preserve">cuando </w:t>
      </w:r>
      <w:r w:rsidR="008A64DF" w:rsidRPr="006572A1">
        <w:rPr>
          <w:lang w:val="es-ES"/>
        </w:rPr>
        <w:t xml:space="preserve">la generación joven se incorpore </w:t>
      </w:r>
      <w:r w:rsidR="008A64DF">
        <w:rPr>
          <w:lang w:val="es-ES"/>
        </w:rPr>
        <w:t>al mercado laboral</w:t>
      </w:r>
      <w:r w:rsidR="008A64DF" w:rsidRPr="006572A1">
        <w:rPr>
          <w:lang w:val="es-ES"/>
        </w:rPr>
        <w:t xml:space="preserve">. </w:t>
      </w:r>
      <w:r w:rsidR="008A64DF">
        <w:rPr>
          <w:lang w:val="es-ES"/>
        </w:rPr>
        <w:t xml:space="preserve">Asimismo, esto </w:t>
      </w:r>
      <w:r w:rsidR="008A64DF" w:rsidRPr="006572A1">
        <w:rPr>
          <w:lang w:val="es-ES"/>
        </w:rPr>
        <w:t>podría mejorar las perspectivas de desarrollo de estas regiones.</w:t>
      </w:r>
    </w:p>
    <w:p w14:paraId="0EAD1FD4" w14:textId="1C46D3BD" w:rsidR="008A64DF" w:rsidRPr="00B67923" w:rsidRDefault="00B67923" w:rsidP="00FB7F03">
      <w:pPr>
        <w:pStyle w:val="enumlev1"/>
        <w:keepNext/>
        <w:keepLines/>
        <w:rPr>
          <w:lang w:val="es-ES"/>
        </w:rPr>
      </w:pPr>
      <w:r w:rsidRPr="002C2809">
        <w:rPr>
          <w:lang w:val="es-ES"/>
        </w:rPr>
        <w:t>•</w:t>
      </w:r>
      <w:r>
        <w:rPr>
          <w:lang w:val="es-ES"/>
        </w:rPr>
        <w:tab/>
      </w:r>
      <w:r w:rsidR="008A64DF" w:rsidRPr="00B67923">
        <w:rPr>
          <w:b/>
          <w:bCs/>
          <w:lang w:val="es-ES"/>
        </w:rPr>
        <w:t>La mayor parte de la población mundial dispone de cobertura de banda ancha móvil, aunque siguen existiendo puntos ciegos</w:t>
      </w:r>
      <w:r w:rsidR="008A64DF" w:rsidRPr="00B67923">
        <w:rPr>
          <w:lang w:val="es-ES"/>
        </w:rPr>
        <w:t xml:space="preserve">: </w:t>
      </w:r>
      <w:r>
        <w:rPr>
          <w:lang w:val="es-ES"/>
        </w:rPr>
        <w:t>e</w:t>
      </w:r>
      <w:r w:rsidR="008A64DF" w:rsidRPr="00B67923">
        <w:rPr>
          <w:lang w:val="es-ES"/>
        </w:rPr>
        <w:t xml:space="preserve">n la mayoría de los países en desarrollo, la banda ancha móvil (3G o superior) es la principal forma </w:t>
      </w:r>
      <w:r w:rsidR="00FB7F03" w:rsidRPr="00FB7F03">
        <w:rPr>
          <w:lang w:val="es-ES"/>
        </w:rPr>
        <w:t>–</w:t>
      </w:r>
      <w:r w:rsidR="008A64DF" w:rsidRPr="00B67923">
        <w:rPr>
          <w:lang w:val="es-ES"/>
        </w:rPr>
        <w:t>y a menudo la única</w:t>
      </w:r>
      <w:r w:rsidR="00FB7F03" w:rsidRPr="00FB7F03">
        <w:rPr>
          <w:lang w:val="es-ES"/>
        </w:rPr>
        <w:t>–</w:t>
      </w:r>
      <w:r w:rsidR="008A64DF" w:rsidRPr="00B67923">
        <w:rPr>
          <w:lang w:val="es-ES"/>
        </w:rPr>
        <w:t xml:space="preserve"> de conectarse a Internet. Sin embargo, los posibles usuarios se enfrentan a otros obstáculos para la conectividad. El 95% de la población mundial tiene ya acceso a una red de banda ancha móvil. Entre 2015 y 2021, la cobertura de la red 4G se duplicó para llegar al 88% de la población mundial. En cuatro de las seis regiones, la cobertura de banda ancha móvil (3G o superior) está disponible para el 90% de la población, y la </w:t>
      </w:r>
      <w:r w:rsidR="002C2809" w:rsidRPr="00B67923">
        <w:rPr>
          <w:lang w:val="es-ES"/>
        </w:rPr>
        <w:t xml:space="preserve">Región </w:t>
      </w:r>
      <w:r w:rsidR="008A64DF" w:rsidRPr="00B67923">
        <w:rPr>
          <w:lang w:val="es-ES"/>
        </w:rPr>
        <w:t>de la CEI está muy cerca de ese valor (89%). En África, la brecha de cobertura sigue siendo considerable, donde, a pesar de un aumento del 21% en la cobertura 4G desde 2020, el 18% de la población sigue sin tener ningún tipo de acceso a una red de banda ancha móvil. En los PMA y los PDSL el porcentaje de población sin acceso es similar (17%), por lo que no se ha cumplido la Meta</w:t>
      </w:r>
      <w:r w:rsidR="002F6834">
        <w:rPr>
          <w:lang w:val="es-ES"/>
        </w:rPr>
        <w:t> </w:t>
      </w:r>
      <w:r w:rsidR="008A64DF" w:rsidRPr="00B67923">
        <w:rPr>
          <w:lang w:val="es-ES"/>
        </w:rPr>
        <w:t>9.c del ODS</w:t>
      </w:r>
      <w:r w:rsidR="002C2809">
        <w:rPr>
          <w:lang w:val="es-ES"/>
        </w:rPr>
        <w:t> </w:t>
      </w:r>
      <w:r w:rsidR="008A64DF" w:rsidRPr="00B67923">
        <w:rPr>
          <w:lang w:val="es-ES"/>
        </w:rPr>
        <w:t>9: "Aumentar significativamente el acceso a la tecnología de la información y las comunicaciones y esforzarse por proporcionar acceso universal y asequible a Internet en los países menos adelantados de aquí a 202</w:t>
      </w:r>
      <w:r w:rsidR="002C2809">
        <w:rPr>
          <w:lang w:val="es-ES"/>
        </w:rPr>
        <w:t>0</w:t>
      </w:r>
      <w:r w:rsidR="008A64DF" w:rsidRPr="00B67923">
        <w:rPr>
          <w:lang w:val="es-ES"/>
        </w:rPr>
        <w:t>".</w:t>
      </w:r>
    </w:p>
    <w:p w14:paraId="22AAB8B9" w14:textId="43987879" w:rsidR="008A64DF" w:rsidRPr="00B67923" w:rsidRDefault="00B67923" w:rsidP="00B67923">
      <w:pPr>
        <w:pStyle w:val="enumlev1"/>
        <w:rPr>
          <w:lang w:val="es-ES"/>
        </w:rPr>
      </w:pPr>
      <w:r w:rsidRPr="0084620E">
        <w:rPr>
          <w:lang w:val="es-ES"/>
        </w:rPr>
        <w:t>•</w:t>
      </w:r>
      <w:r>
        <w:rPr>
          <w:lang w:val="es-ES"/>
        </w:rPr>
        <w:tab/>
      </w:r>
      <w:r w:rsidR="008A64DF" w:rsidRPr="00B67923">
        <w:rPr>
          <w:b/>
          <w:bCs/>
          <w:lang w:val="es-ES"/>
        </w:rPr>
        <w:t>El ancho de banda internacional sigue creciendo a buen ritmo</w:t>
      </w:r>
      <w:r w:rsidR="008A64DF" w:rsidRPr="00B67923">
        <w:rPr>
          <w:lang w:val="es-ES"/>
        </w:rPr>
        <w:t xml:space="preserve">: </w:t>
      </w:r>
      <w:r>
        <w:rPr>
          <w:lang w:val="es-ES"/>
        </w:rPr>
        <w:t>l</w:t>
      </w:r>
      <w:r w:rsidR="008A64DF" w:rsidRPr="00B67923">
        <w:rPr>
          <w:lang w:val="es-ES"/>
        </w:rPr>
        <w:t>a utilización del ancho de banda internacional en 2021 alcanzó un total mundial de 932</w:t>
      </w:r>
      <w:r w:rsidR="0084620E">
        <w:rPr>
          <w:lang w:val="es-ES"/>
        </w:rPr>
        <w:t> </w:t>
      </w:r>
      <w:r w:rsidR="008A64DF" w:rsidRPr="00B67923">
        <w:rPr>
          <w:lang w:val="es-ES"/>
        </w:rPr>
        <w:t>Tbit/s, cifra que en 2020 era de 719</w:t>
      </w:r>
      <w:r w:rsidR="00CF225E">
        <w:rPr>
          <w:lang w:val="es-ES"/>
        </w:rPr>
        <w:t> </w:t>
      </w:r>
      <w:r w:rsidR="008A64DF" w:rsidRPr="00B67923">
        <w:rPr>
          <w:lang w:val="es-ES"/>
        </w:rPr>
        <w:t xml:space="preserve">Tbit/s. Esto supone un aumento del 30%, manteniéndose un incremento similar al del año anterior. La </w:t>
      </w:r>
      <w:r w:rsidR="00937321" w:rsidRPr="00B67923">
        <w:rPr>
          <w:lang w:val="es-ES"/>
        </w:rPr>
        <w:t xml:space="preserve">Región </w:t>
      </w:r>
      <w:r w:rsidR="008A64DF" w:rsidRPr="00B67923">
        <w:rPr>
          <w:lang w:val="es-ES"/>
        </w:rPr>
        <w:t>de Asia-Pacífico es la que registra el mayor índice de utilización del ancho de banda internacional, con más de 400</w:t>
      </w:r>
      <w:r w:rsidR="0084620E">
        <w:rPr>
          <w:lang w:val="es-ES"/>
        </w:rPr>
        <w:t> </w:t>
      </w:r>
      <w:r w:rsidR="008A64DF" w:rsidRPr="00B67923">
        <w:rPr>
          <w:lang w:val="es-ES"/>
        </w:rPr>
        <w:t>Tbit/s, el doble que Europa (204</w:t>
      </w:r>
      <w:r w:rsidR="0084620E">
        <w:rPr>
          <w:lang w:val="es-ES"/>
        </w:rPr>
        <w:t> </w:t>
      </w:r>
      <w:r w:rsidR="008A64DF" w:rsidRPr="00B67923">
        <w:rPr>
          <w:lang w:val="es-ES"/>
        </w:rPr>
        <w:t>Tbit/s) o América (180</w:t>
      </w:r>
      <w:r w:rsidR="0084620E">
        <w:rPr>
          <w:lang w:val="es-ES"/>
        </w:rPr>
        <w:t> </w:t>
      </w:r>
      <w:r w:rsidR="008A64DF" w:rsidRPr="00B67923">
        <w:rPr>
          <w:lang w:val="es-ES"/>
        </w:rPr>
        <w:t>Tbit/s). En cuanto al consumo por usuario, Europa está a la cabeza, con 340</w:t>
      </w:r>
      <w:r w:rsidR="00CF225E">
        <w:rPr>
          <w:lang w:val="es-ES"/>
        </w:rPr>
        <w:t> </w:t>
      </w:r>
      <w:r w:rsidR="008A64DF" w:rsidRPr="00B67923">
        <w:rPr>
          <w:lang w:val="es-ES"/>
        </w:rPr>
        <w:t>kbit/s por usuario de Internet, seguida de América, con 214</w:t>
      </w:r>
      <w:r w:rsidR="0084620E">
        <w:rPr>
          <w:lang w:val="es-ES"/>
        </w:rPr>
        <w:t> </w:t>
      </w:r>
      <w:r w:rsidR="008A64DF" w:rsidRPr="00B67923">
        <w:rPr>
          <w:lang w:val="es-ES"/>
        </w:rPr>
        <w:t>kbit/s, y los Estados Árabes, con 174</w:t>
      </w:r>
      <w:r w:rsidR="0084620E">
        <w:rPr>
          <w:lang w:val="es-ES"/>
        </w:rPr>
        <w:t> </w:t>
      </w:r>
      <w:r w:rsidR="008A64DF" w:rsidRPr="00B67923">
        <w:rPr>
          <w:lang w:val="es-ES"/>
        </w:rPr>
        <w:t xml:space="preserve">kbit/s (es la primera vez que la cifra por usuario en los Estados Árabes rebasa a la de la </w:t>
      </w:r>
      <w:r w:rsidR="00937321" w:rsidRPr="00B67923">
        <w:rPr>
          <w:lang w:val="es-ES"/>
        </w:rPr>
        <w:t xml:space="preserve">Región </w:t>
      </w:r>
      <w:r w:rsidR="008A64DF" w:rsidRPr="00B67923">
        <w:rPr>
          <w:lang w:val="es-ES"/>
        </w:rPr>
        <w:t>de Asia-Pacífico). La utilización del ancho de banda internacional en los PMA asciende a sólo 34</w:t>
      </w:r>
      <w:r w:rsidR="0084620E">
        <w:rPr>
          <w:lang w:val="es-ES"/>
        </w:rPr>
        <w:t> </w:t>
      </w:r>
      <w:r w:rsidR="008A64DF" w:rsidRPr="00B67923">
        <w:rPr>
          <w:lang w:val="es-ES"/>
        </w:rPr>
        <w:t>kbit/s por usuario de Internet, lo que contrasta fuertemente con los países en desarrollo y desarrollados (144</w:t>
      </w:r>
      <w:r w:rsidR="0084620E">
        <w:rPr>
          <w:lang w:val="es-ES"/>
        </w:rPr>
        <w:t> </w:t>
      </w:r>
      <w:r w:rsidR="008A64DF" w:rsidRPr="00B67923">
        <w:rPr>
          <w:lang w:val="es-ES"/>
        </w:rPr>
        <w:t>kbit/s y 296</w:t>
      </w:r>
      <w:r w:rsidR="0084620E">
        <w:rPr>
          <w:lang w:val="es-ES"/>
        </w:rPr>
        <w:t> </w:t>
      </w:r>
      <w:r w:rsidR="008A64DF" w:rsidRPr="00B67923">
        <w:rPr>
          <w:lang w:val="es-ES"/>
        </w:rPr>
        <w:t>kbit/s, respectivamente).</w:t>
      </w:r>
    </w:p>
    <w:p w14:paraId="0A7D473C" w14:textId="2DEE9BE9" w:rsidR="008A64DF" w:rsidRPr="00B67923" w:rsidRDefault="00B67923" w:rsidP="00B67923">
      <w:pPr>
        <w:pStyle w:val="enumlev1"/>
        <w:rPr>
          <w:lang w:val="es-ES"/>
        </w:rPr>
      </w:pPr>
      <w:r w:rsidRPr="0084620E">
        <w:rPr>
          <w:lang w:val="es-ES"/>
        </w:rPr>
        <w:lastRenderedPageBreak/>
        <w:t>•</w:t>
      </w:r>
      <w:r>
        <w:rPr>
          <w:lang w:val="es-ES"/>
        </w:rPr>
        <w:tab/>
      </w:r>
      <w:r w:rsidR="008A64DF" w:rsidRPr="00B67923">
        <w:rPr>
          <w:b/>
          <w:bCs/>
          <w:lang w:val="es-ES"/>
        </w:rPr>
        <w:t>A pesar de un descenso constante, el coste de la conexión sigue siendo elevado en los países en desarrollo</w:t>
      </w:r>
      <w:r w:rsidR="008A64DF" w:rsidRPr="00B67923">
        <w:rPr>
          <w:lang w:val="es-ES"/>
        </w:rPr>
        <w:t xml:space="preserve">: </w:t>
      </w:r>
      <w:r>
        <w:rPr>
          <w:lang w:val="es-ES"/>
        </w:rPr>
        <w:t>l</w:t>
      </w:r>
      <w:r w:rsidR="008A64DF" w:rsidRPr="00B67923">
        <w:rPr>
          <w:lang w:val="es-ES"/>
        </w:rPr>
        <w:t>os precios siguen siendo prohibitivos en muchas partes del mundo. En el caso de la banda ancha móvil, algo menos de la mitad de las economías sobre las que la</w:t>
      </w:r>
      <w:r w:rsidR="003277A8">
        <w:rPr>
          <w:lang w:val="es-ES"/>
        </w:rPr>
        <w:t> </w:t>
      </w:r>
      <w:r w:rsidR="008A64DF" w:rsidRPr="00B67923">
        <w:rPr>
          <w:lang w:val="es-ES"/>
        </w:rPr>
        <w:t>UIT recopiló datos en 2020 siguen sin alcanzar el objetivo</w:t>
      </w:r>
      <w:r w:rsidR="0084620E">
        <w:rPr>
          <w:rStyle w:val="FootnoteReference"/>
          <w:lang w:val="es-ES"/>
        </w:rPr>
        <w:footnoteReference w:id="1"/>
      </w:r>
      <w:r w:rsidR="008A64DF" w:rsidRPr="00B67923">
        <w:rPr>
          <w:lang w:val="es-ES"/>
        </w:rPr>
        <w:t xml:space="preserve"> (84 de 195), y en el caso de la banda ancha fija, es más de la mitad (56%). En los PMA, aunque el precio medio de la banda ancha básica ha disminuido, sigue estando por encima de las posibilidades del consumidor medio en todos los PMA excepto en cuatro de los 43 de los que se tienen datos. En cuanto a la banda ancha fija, entre los 33 PMA de los que se dispone de datos, sólo uno ha alcanzado el objetivo del 2%</w:t>
      </w:r>
      <w:r w:rsidR="008A64DF" w:rsidRPr="00B04A9A">
        <w:rPr>
          <w:lang w:val="es-ES"/>
        </w:rPr>
        <w:t>.</w:t>
      </w:r>
    </w:p>
    <w:p w14:paraId="03227ADA" w14:textId="08EF6BEE" w:rsidR="008A64DF" w:rsidRPr="00B67923" w:rsidRDefault="00B67923" w:rsidP="00B67923">
      <w:pPr>
        <w:pStyle w:val="enumlev1"/>
      </w:pPr>
      <w:r w:rsidRPr="00AE0426">
        <w:rPr>
          <w:lang w:val="es-ES"/>
        </w:rPr>
        <w:t>•</w:t>
      </w:r>
      <w:r>
        <w:rPr>
          <w:lang w:val="es-ES"/>
        </w:rPr>
        <w:tab/>
      </w:r>
      <w:r w:rsidR="008A64DF" w:rsidRPr="00B67923">
        <w:rPr>
          <w:b/>
          <w:bCs/>
        </w:rPr>
        <w:t>Los teléfonos móviles empiezan a ser omnipresentes</w:t>
      </w:r>
      <w:r w:rsidR="008A64DF" w:rsidRPr="00B67923">
        <w:t>: en casi la mitad de los países de los que se dispone de datos para el periodo 2018-2020, más del 90% de la población posee un teléfono móvil. En otros diez países, esa cifra se sitúa entre el 80% y el 90%. Sólo en tres países el porcentaje es inferior a la mitad de la población, siendo el más bajo el 45%. La posesión de teléfonos móviles ha demostrado ser una herramienta importante para empoderar a las mujeres, y en este sentido el mundo está avanzando hacia una mayor igualdad de género. En la mitad de los 60 países de los que se dispone de datos para el periodo 2018-2020, se ha alcanzado la paridad de género en la propiedad de teléfonos móviles, y en otros diez países, hay más mujeres que hombres que poseen un teléfono móvil. Sin embargo, en 21 países, las mujeres están por detrás de los hombres en cuanto a la posesión de teléfonos móviles, en algunos casos por un amplio margen.</w:t>
      </w:r>
    </w:p>
    <w:p w14:paraId="5CCFBD8F" w14:textId="58399531" w:rsidR="008A64DF" w:rsidRPr="00B67923" w:rsidRDefault="00B67923" w:rsidP="00B67923">
      <w:pPr>
        <w:pStyle w:val="enumlev1"/>
      </w:pPr>
      <w:r w:rsidRPr="00AE0426">
        <w:rPr>
          <w:lang w:val="es-ES"/>
        </w:rPr>
        <w:t>•</w:t>
      </w:r>
      <w:r>
        <w:rPr>
          <w:lang w:val="es-ES"/>
        </w:rPr>
        <w:tab/>
      </w:r>
      <w:r w:rsidR="008A64DF" w:rsidRPr="00B67923">
        <w:rPr>
          <w:b/>
          <w:bCs/>
        </w:rPr>
        <w:t>Los retos en el sector de las TIC son cada vez mayores</w:t>
      </w:r>
      <w:r w:rsidR="008A64DF" w:rsidRPr="00B67923">
        <w:t xml:space="preserve">: </w:t>
      </w:r>
      <w:r>
        <w:t>e</w:t>
      </w:r>
      <w:r w:rsidR="008A64DF" w:rsidRPr="00B67923">
        <w:t>l informe " El impacto de la transmisión de vídeo en las emisiones de carbono" afirma que las emisiones de carbono del sector de las TIC aumentaron durante el per</w:t>
      </w:r>
      <w:r w:rsidR="00EF6125">
        <w:t>i</w:t>
      </w:r>
      <w:r w:rsidR="008A64DF" w:rsidRPr="00B67923">
        <w:t>odo comprendido entre principios del decenio de 1990 y 2010. No obstante, estas emisiones se han estancado, permaneciendo relativamente estable</w:t>
      </w:r>
      <w:r w:rsidR="00AE0426">
        <w:t>s</w:t>
      </w:r>
      <w:r w:rsidR="008A64DF" w:rsidRPr="00B67923">
        <w:t xml:space="preserve"> durante la última década, a pesar de que los volúmenes de datos de la red siguen creciendo año tras año. La curva de emisiones de las TIC se ha aplanado y, de hecho, ha descendido del 1,5% al 1,3% de las emisiones mundiales de carbono durante la última década, mientras que las emisiones absolutas de las TIC han descendido levemente desde un máximo de 730</w:t>
      </w:r>
      <w:r w:rsidR="00AE0426">
        <w:t> </w:t>
      </w:r>
      <w:r w:rsidR="008A64DF" w:rsidRPr="00525F83">
        <w:t>MtCO</w:t>
      </w:r>
      <w:r w:rsidR="008A64DF" w:rsidRPr="00525F83">
        <w:rPr>
          <w:vertAlign w:val="subscript"/>
        </w:rPr>
        <w:t>2</w:t>
      </w:r>
      <w:r w:rsidR="008A64DF" w:rsidRPr="00525F83">
        <w:t>e</w:t>
      </w:r>
      <w:r w:rsidR="008A64DF" w:rsidRPr="00B67923">
        <w:t xml:space="preserve"> en 2015 a 710</w:t>
      </w:r>
      <w:r w:rsidR="00AE0426">
        <w:t> </w:t>
      </w:r>
      <w:r w:rsidR="008A64DF" w:rsidRPr="00B67923">
        <w:t>MtCO</w:t>
      </w:r>
      <w:r w:rsidR="008A64DF" w:rsidRPr="001921EB">
        <w:rPr>
          <w:vertAlign w:val="subscript"/>
        </w:rPr>
        <w:t>2</w:t>
      </w:r>
      <w:r w:rsidR="008A64DF" w:rsidRPr="00B67923">
        <w:t>e en 2018, situándose en 690</w:t>
      </w:r>
      <w:r w:rsidR="00CF225E">
        <w:t> </w:t>
      </w:r>
      <w:r w:rsidR="008A64DF" w:rsidRPr="00B67923">
        <w:t>MtCO</w:t>
      </w:r>
      <w:r w:rsidR="008A64DF" w:rsidRPr="001921EB">
        <w:rPr>
          <w:vertAlign w:val="subscript"/>
        </w:rPr>
        <w:t>2</w:t>
      </w:r>
      <w:r w:rsidR="008A64DF" w:rsidRPr="00B67923">
        <w:t xml:space="preserve">e en 2020. Sin embargo, el volumen de residuos electrónicos no deja de aumentar, </w:t>
      </w:r>
      <w:r w:rsidR="008A64DF" w:rsidRPr="00C3025E">
        <w:rPr>
          <w:lang w:val="es-ES"/>
        </w:rPr>
        <w:t>pasando de 44,7</w:t>
      </w:r>
      <w:r w:rsidR="008A64DF">
        <w:rPr>
          <w:lang w:val="es-ES"/>
        </w:rPr>
        <w:t> </w:t>
      </w:r>
      <w:r w:rsidR="008A64DF" w:rsidRPr="00C3025E">
        <w:rPr>
          <w:lang w:val="es-ES"/>
        </w:rPr>
        <w:t>megatones generados en 2016 a 53,6</w:t>
      </w:r>
      <w:r w:rsidR="008A64DF">
        <w:rPr>
          <w:lang w:val="es-ES"/>
        </w:rPr>
        <w:t> </w:t>
      </w:r>
      <w:r w:rsidR="008A64DF" w:rsidRPr="00C3025E">
        <w:rPr>
          <w:lang w:val="es-ES"/>
        </w:rPr>
        <w:t>megatones en 2019, mientras que el porcentaje de residuos de este tipo que, según pruebas documentales, se recoge y recicla adecuadamente disminuyó del 20</w:t>
      </w:r>
      <w:r w:rsidR="00EF6125">
        <w:rPr>
          <w:lang w:val="es-ES"/>
        </w:rPr>
        <w:t xml:space="preserve"> </w:t>
      </w:r>
      <w:r w:rsidR="008A64DF" w:rsidRPr="00C3025E">
        <w:rPr>
          <w:lang w:val="es-ES"/>
        </w:rPr>
        <w:t>por ciento al 17,4 por ciento en el mismo periodo. Las ciberamenazas también van en aumento. Sin embargo, el porcentaje de países dotados de equipos EIII, EIEI o EIISI aumentó del 56 por ciento en 2019 al 60,82 por ciento en</w:t>
      </w:r>
      <w:r w:rsidR="00CF225E">
        <w:rPr>
          <w:lang w:val="es-ES"/>
        </w:rPr>
        <w:t> </w:t>
      </w:r>
      <w:r w:rsidR="008A64DF" w:rsidRPr="00C3025E">
        <w:rPr>
          <w:lang w:val="es-ES"/>
        </w:rPr>
        <w:t>2020</w:t>
      </w:r>
      <w:r w:rsidR="008A64DF" w:rsidRPr="00B67923">
        <w:t>.</w:t>
      </w:r>
    </w:p>
    <w:p w14:paraId="28A7F1EB" w14:textId="6752C979" w:rsidR="008A64DF" w:rsidRPr="00B67923" w:rsidRDefault="00B67923" w:rsidP="00B67923">
      <w:pPr>
        <w:pStyle w:val="enumlev1"/>
      </w:pPr>
      <w:r w:rsidRPr="001921EB">
        <w:rPr>
          <w:lang w:val="es-ES"/>
        </w:rPr>
        <w:t>•</w:t>
      </w:r>
      <w:r>
        <w:rPr>
          <w:lang w:val="es-ES"/>
        </w:rPr>
        <w:tab/>
      </w:r>
      <w:r w:rsidR="008A64DF" w:rsidRPr="00B67923">
        <w:rPr>
          <w:b/>
          <w:bCs/>
          <w:lang w:val="es-ES"/>
        </w:rPr>
        <w:t>Un mayor número de países están estableciendo políticas/estrategias encaminadas a fomentar la innovación centrada en las telecomunicaciones/TIC</w:t>
      </w:r>
      <w:r w:rsidR="001921EB">
        <w:rPr>
          <w:lang w:val="es-ES"/>
        </w:rPr>
        <w:t>:</w:t>
      </w:r>
      <w:r w:rsidR="008A64DF" w:rsidRPr="00C3025E">
        <w:rPr>
          <w:lang w:val="es-ES"/>
        </w:rPr>
        <w:t xml:space="preserve"> </w:t>
      </w:r>
      <w:r w:rsidR="001921EB">
        <w:rPr>
          <w:lang w:val="es-ES"/>
        </w:rPr>
        <w:t>e</w:t>
      </w:r>
      <w:r w:rsidR="008A64DF" w:rsidRPr="00C3025E">
        <w:rPr>
          <w:lang w:val="es-ES"/>
        </w:rPr>
        <w:t>n 2019, se tenía constancia de que 66 países contaban con políticas/estrategias encaminadas a fomentar la innovación centrada en las telecomunicaciones/TIC. Esta cifra ha aumentado en 2020, situándose en 74, lo que confirma cierto progreso, aunque insuficiente para alcanzar la meta de 100 países para 2023</w:t>
      </w:r>
      <w:r w:rsidR="008A64DF" w:rsidRPr="00B67923">
        <w:rPr>
          <w:lang w:val="es-ES"/>
        </w:rPr>
        <w:t>.</w:t>
      </w:r>
    </w:p>
    <w:p w14:paraId="4DF87C1E" w14:textId="4C4BD7BE" w:rsidR="008A64DF" w:rsidRPr="00B67923" w:rsidRDefault="00B67923" w:rsidP="00B67923">
      <w:pPr>
        <w:pStyle w:val="enumlev1"/>
      </w:pPr>
      <w:r w:rsidRPr="00B67923">
        <w:rPr>
          <w:lang w:val="es-ES"/>
        </w:rPr>
        <w:lastRenderedPageBreak/>
        <w:t>•</w:t>
      </w:r>
      <w:r>
        <w:rPr>
          <w:lang w:val="es-ES"/>
        </w:rPr>
        <w:tab/>
      </w:r>
      <w:r w:rsidR="008A64DF" w:rsidRPr="00B67923">
        <w:rPr>
          <w:b/>
          <w:bCs/>
          <w:lang w:val="es-ES"/>
        </w:rPr>
        <w:t>Se considera que las asociaciones en el sector de las telecomunicaciones/TIC muestran una tendencia positiva</w:t>
      </w:r>
      <w:r w:rsidR="001921EB">
        <w:rPr>
          <w:lang w:val="es-ES"/>
        </w:rPr>
        <w:t>:</w:t>
      </w:r>
      <w:r w:rsidR="008A64DF" w:rsidRPr="00C3025E">
        <w:rPr>
          <w:lang w:val="es-ES"/>
        </w:rPr>
        <w:t xml:space="preserve"> </w:t>
      </w:r>
      <w:r w:rsidR="001921EB">
        <w:rPr>
          <w:lang w:val="es-ES"/>
        </w:rPr>
        <w:t>s</w:t>
      </w:r>
      <w:r w:rsidR="008A64DF" w:rsidRPr="00C3025E">
        <w:rPr>
          <w:lang w:val="es-ES"/>
        </w:rPr>
        <w:t xml:space="preserve">ólo el </w:t>
      </w:r>
      <w:r w:rsidR="001921EB">
        <w:rPr>
          <w:lang w:val="es-ES"/>
        </w:rPr>
        <w:t>cuatro</w:t>
      </w:r>
      <w:r w:rsidR="008A64DF" w:rsidRPr="00C3025E">
        <w:rPr>
          <w:lang w:val="es-ES"/>
        </w:rPr>
        <w:t xml:space="preserve"> por ciento de los </w:t>
      </w:r>
      <w:r w:rsidR="008A64DF">
        <w:rPr>
          <w:lang w:val="es-ES"/>
        </w:rPr>
        <w:t>m</w:t>
      </w:r>
      <w:r w:rsidR="008A64DF" w:rsidRPr="00C3025E">
        <w:rPr>
          <w:lang w:val="es-ES"/>
        </w:rPr>
        <w:t>iembros de la UIT encuestados en 2020 estaba en desacuerdo o muy en desacuerdo con la frase</w:t>
      </w:r>
      <w:r w:rsidR="001921EB">
        <w:rPr>
          <w:lang w:val="es-ES"/>
        </w:rPr>
        <w:t>:</w:t>
      </w:r>
      <w:r w:rsidR="008A64DF" w:rsidRPr="00C3025E">
        <w:rPr>
          <w:lang w:val="es-ES"/>
        </w:rPr>
        <w:t xml:space="preserve"> "</w:t>
      </w:r>
      <w:r w:rsidR="001921EB">
        <w:rPr>
          <w:lang w:val="es-ES"/>
        </w:rPr>
        <w:t>S</w:t>
      </w:r>
      <w:r w:rsidR="008A64DF" w:rsidRPr="00C3025E">
        <w:rPr>
          <w:lang w:val="es-ES"/>
        </w:rPr>
        <w:t>u organización está colaborando con otras partes interesadas más que en años anteriores"</w:t>
      </w:r>
      <w:r w:rsidR="008A64DF">
        <w:rPr>
          <w:lang w:val="es-ES"/>
        </w:rPr>
        <w:t xml:space="preserve"> (esta cifra disminuyó ligeramente en 2021);</w:t>
      </w:r>
      <w:r w:rsidR="008A64DF" w:rsidRPr="00C3025E">
        <w:rPr>
          <w:lang w:val="es-ES"/>
        </w:rPr>
        <w:t xml:space="preserve"> y s</w:t>
      </w:r>
      <w:r w:rsidR="008A64DF">
        <w:rPr>
          <w:lang w:val="es-ES"/>
        </w:rPr>
        <w:t>ó</w:t>
      </w:r>
      <w:r w:rsidR="008A64DF" w:rsidRPr="00C3025E">
        <w:rPr>
          <w:lang w:val="es-ES"/>
        </w:rPr>
        <w:t xml:space="preserve">lo el </w:t>
      </w:r>
      <w:r w:rsidR="001921EB">
        <w:rPr>
          <w:lang w:val="es-ES"/>
        </w:rPr>
        <w:t>dos</w:t>
      </w:r>
      <w:r w:rsidR="008A64DF" w:rsidRPr="00C3025E">
        <w:rPr>
          <w:lang w:val="es-ES"/>
        </w:rPr>
        <w:t xml:space="preserve"> por ciento estaba en desacuerdo con la frase</w:t>
      </w:r>
      <w:r w:rsidR="008A64DF">
        <w:rPr>
          <w:lang w:val="es-ES"/>
        </w:rPr>
        <w:t>:</w:t>
      </w:r>
      <w:r w:rsidR="008A64DF" w:rsidRPr="00C3025E">
        <w:rPr>
          <w:lang w:val="es-ES"/>
        </w:rPr>
        <w:t xml:space="preserve"> "Su organización se está beneficiando del aumento de las sinergias al trabajar con otros", en la misma encuesta a los miembros de la UIT de 2020</w:t>
      </w:r>
      <w:r w:rsidR="008A64DF">
        <w:rPr>
          <w:lang w:val="es-ES"/>
        </w:rPr>
        <w:t xml:space="preserve"> y </w:t>
      </w:r>
      <w:r w:rsidR="008A64DF" w:rsidRPr="00B67923">
        <w:rPr>
          <w:lang w:val="es-ES"/>
        </w:rPr>
        <w:t>2021.</w:t>
      </w:r>
    </w:p>
    <w:p w14:paraId="33FA6F06" w14:textId="77777777" w:rsidR="008A64DF" w:rsidRPr="00B67923" w:rsidRDefault="008A64DF" w:rsidP="00B67923">
      <w:pPr>
        <w:pStyle w:val="Headingb"/>
        <w:rPr>
          <w:lang w:val="es-ES"/>
        </w:rPr>
      </w:pPr>
      <w:r w:rsidRPr="00204461">
        <w:rPr>
          <w:lang w:val="es-ES"/>
        </w:rPr>
        <w:t>¿En qué medida contribuyen las telecomunicaciones/TIC a los ODS?</w:t>
      </w:r>
    </w:p>
    <w:p w14:paraId="2981F666" w14:textId="0519C7AF" w:rsidR="008A64DF" w:rsidRPr="00B04A9A" w:rsidRDefault="008A64DF" w:rsidP="008A64DF">
      <w:pPr>
        <w:spacing w:after="240"/>
        <w:rPr>
          <w:lang w:val="es-ES"/>
        </w:rPr>
      </w:pPr>
      <w:r w:rsidRPr="00C3025E">
        <w:rPr>
          <w:lang w:val="es-ES"/>
        </w:rPr>
        <w:t xml:space="preserve">A fin de evaluar la percepción de los miembros de la UIT </w:t>
      </w:r>
      <w:r>
        <w:rPr>
          <w:lang w:val="es-ES"/>
        </w:rPr>
        <w:t xml:space="preserve">sobre cómo contribuyen </w:t>
      </w:r>
      <w:r w:rsidRPr="00C3025E">
        <w:rPr>
          <w:lang w:val="es-ES"/>
        </w:rPr>
        <w:t xml:space="preserve">las telecomunicaciones/TIC a los ODS, se </w:t>
      </w:r>
      <w:r>
        <w:rPr>
          <w:lang w:val="es-ES"/>
        </w:rPr>
        <w:t xml:space="preserve">añadió </w:t>
      </w:r>
      <w:r w:rsidRPr="00C3025E">
        <w:rPr>
          <w:lang w:val="es-ES"/>
        </w:rPr>
        <w:t xml:space="preserve">una nueva pregunta a la encuesta a los miembros de la UIT de 2020. Los resultados son alentadores: en 2019 sólo el </w:t>
      </w:r>
      <w:r w:rsidR="00204461">
        <w:rPr>
          <w:lang w:val="es-ES"/>
        </w:rPr>
        <w:t>uno</w:t>
      </w:r>
      <w:r w:rsidRPr="00C3025E">
        <w:rPr>
          <w:lang w:val="es-ES"/>
        </w:rPr>
        <w:t xml:space="preserve"> por ciento estaba en desacuerdo y más del 60 por ciento estaba de acuerdo o totalmente de acuerdo con la frase</w:t>
      </w:r>
      <w:r>
        <w:rPr>
          <w:lang w:val="es-ES"/>
        </w:rPr>
        <w:t>:</w:t>
      </w:r>
      <w:r w:rsidRPr="00C3025E">
        <w:rPr>
          <w:lang w:val="es-ES"/>
        </w:rPr>
        <w:t xml:space="preserve"> "Las telecomunicaciones/TIC contribuyen de manera </w:t>
      </w:r>
      <w:r w:rsidRPr="00C3025E">
        <w:rPr>
          <w:b/>
          <w:bCs/>
          <w:lang w:val="es-ES"/>
        </w:rPr>
        <w:t>significativa</w:t>
      </w:r>
      <w:r w:rsidRPr="00C3025E">
        <w:rPr>
          <w:lang w:val="es-ES"/>
        </w:rPr>
        <w:t xml:space="preserve"> al logro de los ODS", véase el gráfico que figura a continuación. </w:t>
      </w:r>
      <w:r>
        <w:rPr>
          <w:lang w:val="es-ES"/>
        </w:rPr>
        <w:t>C</w:t>
      </w:r>
      <w:r w:rsidRPr="00C3025E">
        <w:rPr>
          <w:lang w:val="es-ES"/>
        </w:rPr>
        <w:t>abe tener en cuenta que el porcentaje de respuestas positivas a dicha frase ha aumentado del 19 al 22 por ciento</w:t>
      </w:r>
      <w:r>
        <w:rPr>
          <w:lang w:val="es-ES"/>
        </w:rPr>
        <w:t xml:space="preserve"> en 2020 y, posteriormente, al 27,4 por ciento en 2021</w:t>
      </w:r>
      <w:r w:rsidRPr="00B04A9A">
        <w:rPr>
          <w:lang w:val="es-ES"/>
        </w:rPr>
        <w:t>.</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8A64DF" w:rsidRPr="00C3025E" w14:paraId="41D2D551" w14:textId="77777777" w:rsidTr="00FD3243">
        <w:trPr>
          <w:jc w:val="center"/>
        </w:trPr>
        <w:tc>
          <w:tcPr>
            <w:tcW w:w="4819" w:type="dxa"/>
          </w:tcPr>
          <w:p w14:paraId="79D669E3" w14:textId="77777777" w:rsidR="008A64DF" w:rsidRPr="00F416D2" w:rsidRDefault="008A64DF" w:rsidP="00273589">
            <w:pPr>
              <w:keepNext/>
              <w:keepLines/>
              <w:jc w:val="center"/>
              <w:rPr>
                <w:b/>
                <w:bCs/>
                <w:sz w:val="22"/>
                <w:szCs w:val="22"/>
                <w:lang w:val="es-ES"/>
              </w:rPr>
            </w:pPr>
            <w:r w:rsidRPr="00F416D2">
              <w:rPr>
                <w:b/>
                <w:bCs/>
                <w:sz w:val="22"/>
                <w:szCs w:val="22"/>
                <w:lang w:val="es-ES"/>
              </w:rPr>
              <w:t>2019</w:t>
            </w:r>
          </w:p>
        </w:tc>
        <w:tc>
          <w:tcPr>
            <w:tcW w:w="4820" w:type="dxa"/>
          </w:tcPr>
          <w:p w14:paraId="31A92A91" w14:textId="77777777" w:rsidR="008A64DF" w:rsidRPr="00F416D2" w:rsidRDefault="008A64DF" w:rsidP="00273589">
            <w:pPr>
              <w:jc w:val="center"/>
              <w:rPr>
                <w:b/>
                <w:bCs/>
                <w:sz w:val="22"/>
                <w:szCs w:val="22"/>
                <w:lang w:val="es-ES"/>
              </w:rPr>
            </w:pPr>
            <w:r w:rsidRPr="00F416D2">
              <w:rPr>
                <w:b/>
                <w:bCs/>
                <w:sz w:val="22"/>
                <w:szCs w:val="22"/>
                <w:lang w:val="es-ES"/>
              </w:rPr>
              <w:t>2020</w:t>
            </w:r>
          </w:p>
        </w:tc>
      </w:tr>
      <w:tr w:rsidR="008A64DF" w:rsidRPr="00C3025E" w14:paraId="20E988F0" w14:textId="77777777" w:rsidTr="00FD3243">
        <w:trPr>
          <w:jc w:val="center"/>
        </w:trPr>
        <w:tc>
          <w:tcPr>
            <w:tcW w:w="4819" w:type="dxa"/>
          </w:tcPr>
          <w:p w14:paraId="504E59B2" w14:textId="77777777" w:rsidR="008A64DF" w:rsidRPr="00140A4B" w:rsidRDefault="008A64DF" w:rsidP="00FD3243">
            <w:pPr>
              <w:pStyle w:val="Figure"/>
              <w:rPr>
                <w:lang w:val="es-ES"/>
              </w:rPr>
            </w:pPr>
            <w:r>
              <w:rPr>
                <w:noProof/>
                <w:lang w:val="es-ES"/>
              </w:rPr>
              <w:drawing>
                <wp:inline distT="0" distB="0" distL="0" distR="0" wp14:anchorId="0552AF38" wp14:editId="50189F94">
                  <wp:extent cx="2433600" cy="1440000"/>
                  <wp:effectExtent l="0" t="0" r="5080" b="8255"/>
                  <wp:docPr id="8" name="Picture 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bar chart&#10;&#10;Description automatically generated"/>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2433600" cy="1440000"/>
                          </a:xfrm>
                          <a:prstGeom prst="rect">
                            <a:avLst/>
                          </a:prstGeom>
                          <a:noFill/>
                        </pic:spPr>
                      </pic:pic>
                    </a:graphicData>
                  </a:graphic>
                </wp:inline>
              </w:drawing>
            </w:r>
          </w:p>
        </w:tc>
        <w:tc>
          <w:tcPr>
            <w:tcW w:w="4820" w:type="dxa"/>
          </w:tcPr>
          <w:p w14:paraId="68D3D043" w14:textId="77777777" w:rsidR="008A64DF" w:rsidRPr="00C3025E" w:rsidRDefault="008A64DF" w:rsidP="00FD3243">
            <w:pPr>
              <w:pStyle w:val="Figure"/>
              <w:rPr>
                <w:lang w:val="es-ES"/>
              </w:rPr>
            </w:pPr>
            <w:r>
              <w:rPr>
                <w:noProof/>
                <w:lang w:val="es-ES"/>
              </w:rPr>
              <w:drawing>
                <wp:inline distT="0" distB="0" distL="0" distR="0" wp14:anchorId="5BAEDF5C" wp14:editId="5EBBAA28">
                  <wp:extent cx="2433600" cy="1440000"/>
                  <wp:effectExtent l="0" t="0" r="5080" b="8255"/>
                  <wp:docPr id="9" name="Picture 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bar chart&#10;&#10;Description automatically generated"/>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2433600" cy="1440000"/>
                          </a:xfrm>
                          <a:prstGeom prst="rect">
                            <a:avLst/>
                          </a:prstGeom>
                          <a:noFill/>
                        </pic:spPr>
                      </pic:pic>
                    </a:graphicData>
                  </a:graphic>
                </wp:inline>
              </w:drawing>
            </w:r>
          </w:p>
        </w:tc>
      </w:tr>
      <w:tr w:rsidR="00204461" w:rsidRPr="00C3025E" w14:paraId="58FD38AA" w14:textId="77777777" w:rsidTr="00E30624">
        <w:trPr>
          <w:jc w:val="center"/>
        </w:trPr>
        <w:tc>
          <w:tcPr>
            <w:tcW w:w="9639" w:type="dxa"/>
            <w:gridSpan w:val="2"/>
          </w:tcPr>
          <w:p w14:paraId="6E694EB4" w14:textId="3B60DC6D" w:rsidR="00204461" w:rsidRPr="00204461" w:rsidRDefault="00204461" w:rsidP="00204461">
            <w:pPr>
              <w:keepNext/>
              <w:keepLines/>
              <w:jc w:val="center"/>
              <w:rPr>
                <w:b/>
                <w:bCs/>
                <w:sz w:val="22"/>
                <w:szCs w:val="22"/>
                <w:lang w:val="es-ES"/>
              </w:rPr>
            </w:pPr>
            <w:r w:rsidRPr="00204461">
              <w:rPr>
                <w:b/>
                <w:bCs/>
                <w:sz w:val="22"/>
                <w:szCs w:val="22"/>
                <w:lang w:val="es-ES"/>
              </w:rPr>
              <w:t>2021</w:t>
            </w:r>
          </w:p>
        </w:tc>
      </w:tr>
      <w:tr w:rsidR="008A64DF" w:rsidRPr="00C3025E" w14:paraId="48335315" w14:textId="77777777" w:rsidTr="00FD3243">
        <w:trPr>
          <w:jc w:val="center"/>
        </w:trPr>
        <w:tc>
          <w:tcPr>
            <w:tcW w:w="9639" w:type="dxa"/>
            <w:gridSpan w:val="2"/>
          </w:tcPr>
          <w:p w14:paraId="30A5156A" w14:textId="1DE0F449" w:rsidR="00A64188" w:rsidRPr="00A64188" w:rsidRDefault="00A64188" w:rsidP="00C55787">
            <w:pPr>
              <w:pStyle w:val="Figure"/>
              <w:rPr>
                <w:rFonts w:eastAsia="Calibri"/>
              </w:rPr>
            </w:pPr>
            <w:r>
              <w:rPr>
                <w:noProof/>
              </w:rPr>
              <w:drawing>
                <wp:inline distT="0" distB="0" distL="0" distR="0" wp14:anchorId="5A086524" wp14:editId="6FD5F16B">
                  <wp:extent cx="2646000" cy="1580400"/>
                  <wp:effectExtent l="0" t="0" r="2540" b="1270"/>
                  <wp:docPr id="1257977732" name="Picture 1257977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5"/>
                          <a:stretch>
                            <a:fillRect/>
                          </a:stretch>
                        </pic:blipFill>
                        <pic:spPr>
                          <a:xfrm>
                            <a:off x="0" y="0"/>
                            <a:ext cx="2646000" cy="1580400"/>
                          </a:xfrm>
                          <a:prstGeom prst="rect">
                            <a:avLst/>
                          </a:prstGeom>
                        </pic:spPr>
                      </pic:pic>
                    </a:graphicData>
                  </a:graphic>
                </wp:inline>
              </w:drawing>
            </w:r>
          </w:p>
        </w:tc>
      </w:tr>
    </w:tbl>
    <w:p w14:paraId="3FF6FF0C" w14:textId="474151DD" w:rsidR="00116669" w:rsidRPr="002F5217" w:rsidRDefault="008A64DF" w:rsidP="002F5217">
      <w:pPr>
        <w:pStyle w:val="Heading2"/>
      </w:pPr>
      <w:bookmarkStart w:id="222" w:name="_3.1_Resultados_de"/>
      <w:bookmarkStart w:id="223" w:name="_Toc97821277"/>
      <w:bookmarkStart w:id="224" w:name="_Toc37860472"/>
      <w:bookmarkStart w:id="225" w:name="_Toc37861232"/>
      <w:bookmarkStart w:id="226" w:name="_Toc37943356"/>
      <w:bookmarkStart w:id="227" w:name="_Toc90552451"/>
      <w:bookmarkStart w:id="228" w:name="Section_3_1"/>
      <w:bookmarkEnd w:id="222"/>
      <w:r w:rsidRPr="002F5217">
        <w:t>3.1</w:t>
      </w:r>
      <w:r w:rsidRPr="002F5217">
        <w:tab/>
      </w:r>
      <w:r w:rsidR="00116669" w:rsidRPr="002F5217">
        <w:t xml:space="preserve">Contribución de la UIT a los Objetivos de Desarrollo Sostenible y a las </w:t>
      </w:r>
      <w:r w:rsidR="00C81CF7" w:rsidRPr="002F5217">
        <w:t>l</w:t>
      </w:r>
      <w:r w:rsidR="00116669" w:rsidRPr="002F5217">
        <w:t xml:space="preserve">íneas de </w:t>
      </w:r>
      <w:r w:rsidR="00C81CF7" w:rsidRPr="002F5217">
        <w:t>a</w:t>
      </w:r>
      <w:r w:rsidR="00116669" w:rsidRPr="002F5217">
        <w:t>cción de la</w:t>
      </w:r>
      <w:r w:rsidR="00855EA4">
        <w:t> </w:t>
      </w:r>
      <w:r w:rsidR="00116669" w:rsidRPr="002F5217">
        <w:t>CMSI</w:t>
      </w:r>
      <w:bookmarkEnd w:id="223"/>
    </w:p>
    <w:p w14:paraId="0E3C6B4D" w14:textId="1A968777" w:rsidR="00116669" w:rsidRPr="00116669" w:rsidRDefault="00116669" w:rsidP="00116669">
      <w:pPr>
        <w:rPr>
          <w:lang w:val="es-ES"/>
        </w:rPr>
      </w:pPr>
      <w:r w:rsidRPr="00116669">
        <w:rPr>
          <w:lang w:val="es-ES"/>
        </w:rPr>
        <w:t xml:space="preserve">La UIT, como organismo especializado de las Naciones Unidas para las </w:t>
      </w:r>
      <w:bookmarkStart w:id="229" w:name="_Hlk97721434"/>
      <w:r w:rsidR="002F5217" w:rsidRPr="00116669">
        <w:rPr>
          <w:lang w:val="es-ES"/>
        </w:rPr>
        <w:t>t</w:t>
      </w:r>
      <w:r w:rsidRPr="00116669">
        <w:rPr>
          <w:lang w:val="es-ES"/>
        </w:rPr>
        <w:t xml:space="preserve">ecnologías de la </w:t>
      </w:r>
      <w:r w:rsidR="002F5217" w:rsidRPr="00116669">
        <w:rPr>
          <w:lang w:val="es-ES"/>
        </w:rPr>
        <w:t>i</w:t>
      </w:r>
      <w:r w:rsidRPr="00116669">
        <w:rPr>
          <w:lang w:val="es-ES"/>
        </w:rPr>
        <w:t xml:space="preserve">nformación y la </w:t>
      </w:r>
      <w:r w:rsidR="002F5217" w:rsidRPr="00116669">
        <w:rPr>
          <w:lang w:val="es-ES"/>
        </w:rPr>
        <w:t>c</w:t>
      </w:r>
      <w:r w:rsidRPr="00116669">
        <w:rPr>
          <w:lang w:val="es-ES"/>
        </w:rPr>
        <w:t>omunicación</w:t>
      </w:r>
      <w:bookmarkEnd w:id="229"/>
      <w:r w:rsidRPr="00116669">
        <w:rPr>
          <w:lang w:val="es-ES"/>
        </w:rPr>
        <w:t xml:space="preserve"> (TIC), sigue apoyando a sus miembros y contribuyendo a los esfuerzos mundiales para promover la Agenda 2030 de las Naciones Unidas para el Desarrollo Sostenible y alcanzar sus Objetivos de Desarrollo Sostenible (ODS).</w:t>
      </w:r>
    </w:p>
    <w:p w14:paraId="3EED18C7" w14:textId="4596F3C2" w:rsidR="00116669" w:rsidRPr="00116669" w:rsidRDefault="00116669" w:rsidP="00E313D8">
      <w:pPr>
        <w:keepNext/>
        <w:keepLines/>
        <w:rPr>
          <w:lang w:val="es-ES"/>
        </w:rPr>
      </w:pPr>
      <w:r w:rsidRPr="00116669">
        <w:rPr>
          <w:lang w:val="es-ES"/>
        </w:rPr>
        <w:lastRenderedPageBreak/>
        <w:t>Los 17 ODS y sus 169 metas conexas proporcionan una visión holística para el sistema de las Naciones Unidas. La función y contribución de las TIC como factores que faciliten el cumplimiento de los ODS se ponen claramente de manifiesto y han cobrado protagonismo a raíz de la pandemia del COVID-19. Las infraestructuras, la conectividad y las TIC han demostrado su amplia contribución y su capacidad para propiciar el progreso humano, reducir la brecha digital y desarrollar sociedades digitales.</w:t>
      </w:r>
    </w:p>
    <w:p w14:paraId="565374BF" w14:textId="273DCF6D" w:rsidR="00116669" w:rsidRDefault="00116669" w:rsidP="00116669">
      <w:pPr>
        <w:rPr>
          <w:lang w:val="es-ES"/>
        </w:rPr>
      </w:pPr>
      <w:r w:rsidRPr="00116669">
        <w:rPr>
          <w:lang w:val="es-ES"/>
        </w:rPr>
        <w:t>Como se refleja en la figura siguiente, la UIT puede desempeñar una función clave para contribuir al cumplimiento de los ODS, a tenor de sus principales Objetivos de conectividad universal y Transformación digital sostenible.</w:t>
      </w:r>
    </w:p>
    <w:p w14:paraId="7062DB40" w14:textId="14541714" w:rsidR="0087430D" w:rsidRPr="0087430D" w:rsidRDefault="00B91B15" w:rsidP="0087430D">
      <w:pPr>
        <w:pStyle w:val="Figure"/>
        <w:rPr>
          <w:lang w:val="es-ES"/>
        </w:rPr>
      </w:pPr>
      <w:r w:rsidRPr="00B91B15">
        <w:rPr>
          <w:noProof/>
        </w:rPr>
        <w:drawing>
          <wp:inline distT="0" distB="0" distL="0" distR="0" wp14:anchorId="79061CE0" wp14:editId="49FCACBB">
            <wp:extent cx="3780000" cy="3211200"/>
            <wp:effectExtent l="0" t="0" r="0" b="8255"/>
            <wp:docPr id="505389734" name="Picture 505389734"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389734" name="Picture 505389734" descr="Chart, sunburst chart&#10;&#10;Description automatically generated"/>
                    <pic:cNvPicPr/>
                  </pic:nvPicPr>
                  <pic:blipFill>
                    <a:blip r:embed="rId346"/>
                    <a:stretch>
                      <a:fillRect/>
                    </a:stretch>
                  </pic:blipFill>
                  <pic:spPr>
                    <a:xfrm>
                      <a:off x="0" y="0"/>
                      <a:ext cx="3780000" cy="3211200"/>
                    </a:xfrm>
                    <a:prstGeom prst="rect">
                      <a:avLst/>
                    </a:prstGeom>
                  </pic:spPr>
                </pic:pic>
              </a:graphicData>
            </a:graphic>
          </wp:inline>
        </w:drawing>
      </w:r>
    </w:p>
    <w:p w14:paraId="561A9F9A" w14:textId="7948CC0D" w:rsidR="00116669" w:rsidRPr="00116669" w:rsidRDefault="00116669" w:rsidP="00D70E39">
      <w:pPr>
        <w:pStyle w:val="Normalaftertitle"/>
        <w:rPr>
          <w:lang w:val="es-ES"/>
        </w:rPr>
      </w:pPr>
      <w:r w:rsidRPr="00116669">
        <w:rPr>
          <w:lang w:val="es-ES"/>
        </w:rPr>
        <w:t>La figura presenta la contribución de la UIT al cumplimiento de los ODS con arreglo a cuatro niveles de participación, que se representan como anillos concéntricos. Estos cuatro niveles de participación están en consonancia con el análisis anteriormente presentado con arreglo a la Herramienta de correspondencia con los ODS de la UIT.</w:t>
      </w:r>
    </w:p>
    <w:p w14:paraId="5669B9C6" w14:textId="15CE6A83" w:rsidR="00116669" w:rsidRPr="00116669" w:rsidRDefault="00116669" w:rsidP="00116669">
      <w:pPr>
        <w:pStyle w:val="enumlev1"/>
        <w:rPr>
          <w:lang w:val="es-ES"/>
        </w:rPr>
      </w:pPr>
      <w:r w:rsidRPr="00116669">
        <w:rPr>
          <w:lang w:val="es-ES"/>
        </w:rPr>
        <w:t>1</w:t>
      </w:r>
      <w:r>
        <w:rPr>
          <w:lang w:val="es-ES"/>
        </w:rPr>
        <w:t>)</w:t>
      </w:r>
      <w:r w:rsidRPr="00116669">
        <w:rPr>
          <w:lang w:val="es-ES"/>
        </w:rPr>
        <w:tab/>
      </w:r>
      <w:r w:rsidRPr="00116669">
        <w:rPr>
          <w:b/>
          <w:bCs/>
          <w:lang w:val="es-ES"/>
        </w:rPr>
        <w:t>Las TIC como elemento facilitador</w:t>
      </w:r>
      <w:r w:rsidRPr="00116669">
        <w:rPr>
          <w:lang w:val="es-ES"/>
        </w:rPr>
        <w:t>: la UIT puede contribuir al cumplimiento de todos los</w:t>
      </w:r>
      <w:r w:rsidR="00D70E39">
        <w:rPr>
          <w:lang w:val="es-ES"/>
        </w:rPr>
        <w:t> </w:t>
      </w:r>
      <w:r w:rsidRPr="00116669">
        <w:rPr>
          <w:lang w:val="es-ES"/>
        </w:rPr>
        <w:t>ODS sobre la base de las ventajas que aportan las TIC a las sociedades y a las economías.</w:t>
      </w:r>
    </w:p>
    <w:p w14:paraId="3108D12C" w14:textId="31386741" w:rsidR="00116669" w:rsidRPr="00116669" w:rsidRDefault="00116669" w:rsidP="00116669">
      <w:pPr>
        <w:pStyle w:val="enumlev1"/>
        <w:rPr>
          <w:lang w:val="es-ES"/>
        </w:rPr>
      </w:pPr>
      <w:r w:rsidRPr="00DF43B8">
        <w:rPr>
          <w:lang w:val="es-ES"/>
        </w:rPr>
        <w:t>2)</w:t>
      </w:r>
      <w:r w:rsidRPr="00116669">
        <w:rPr>
          <w:lang w:val="es-ES"/>
        </w:rPr>
        <w:tab/>
      </w:r>
      <w:r w:rsidRPr="00116669">
        <w:rPr>
          <w:b/>
          <w:bCs/>
          <w:lang w:val="es-ES"/>
        </w:rPr>
        <w:t>Enfoque</w:t>
      </w:r>
      <w:r w:rsidRPr="00116669">
        <w:rPr>
          <w:lang w:val="es-ES"/>
        </w:rPr>
        <w:t>: ODS sin referencia específica a las TIC, pero con respecto a los cuales la UIT ha demostrado tener una gran repercusión mediante las ventajas que aportan las TIC a sectores y actividades específicas (en particular, en materia de cibersanidad, inclusión digital, ciudades inteligentes, residuos electrónicos y cambio climático). Se trata de los ODS 1, 3, 10, 11, 12 y 13.</w:t>
      </w:r>
    </w:p>
    <w:p w14:paraId="3A4D6292" w14:textId="43F31D7D" w:rsidR="00116669" w:rsidRPr="00116669" w:rsidRDefault="00116669" w:rsidP="00116669">
      <w:pPr>
        <w:pStyle w:val="enumlev1"/>
        <w:rPr>
          <w:lang w:val="es-ES"/>
        </w:rPr>
      </w:pPr>
      <w:r w:rsidRPr="00116669">
        <w:rPr>
          <w:lang w:val="es-ES"/>
        </w:rPr>
        <w:t>3</w:t>
      </w:r>
      <w:r>
        <w:rPr>
          <w:lang w:val="es-ES"/>
        </w:rPr>
        <w:t>)</w:t>
      </w:r>
      <w:r w:rsidRPr="00116669">
        <w:rPr>
          <w:lang w:val="es-ES"/>
        </w:rPr>
        <w:tab/>
      </w:r>
      <w:r w:rsidRPr="00116669">
        <w:rPr>
          <w:b/>
          <w:bCs/>
          <w:lang w:val="es-ES"/>
        </w:rPr>
        <w:t>Enfoque específico</w:t>
      </w:r>
      <w:r w:rsidRPr="00116669">
        <w:rPr>
          <w:lang w:val="es-ES"/>
        </w:rPr>
        <w:t>: ODS en los que la UIT repercute en gran medida de forma específica a través de sus iniciativas y determinados indicadores de los que es depositaria. Cabe destacar el ODS</w:t>
      </w:r>
      <w:r w:rsidR="00DF43B8">
        <w:rPr>
          <w:lang w:val="es-ES"/>
        </w:rPr>
        <w:t> </w:t>
      </w:r>
      <w:r w:rsidRPr="00116669">
        <w:rPr>
          <w:lang w:val="es-ES"/>
        </w:rPr>
        <w:t xml:space="preserve">4 (Educación de calidad), incluida su </w:t>
      </w:r>
      <w:r w:rsidR="00DF43B8" w:rsidRPr="00116669">
        <w:rPr>
          <w:lang w:val="es-ES"/>
        </w:rPr>
        <w:t>M</w:t>
      </w:r>
      <w:r w:rsidRPr="00116669">
        <w:rPr>
          <w:lang w:val="es-ES"/>
        </w:rPr>
        <w:t>eta 4b sobre "…aumento a escala mundial del número de becas disponibles para la realización de estudios de enseñanza superior, incluidos programas de formación profesional y de las TIC, técnicos, de ingeniería y científicos…", y el ODS</w:t>
      </w:r>
      <w:r w:rsidR="00DF43B8">
        <w:rPr>
          <w:lang w:val="es-ES"/>
        </w:rPr>
        <w:t> </w:t>
      </w:r>
      <w:r w:rsidRPr="00116669">
        <w:rPr>
          <w:lang w:val="es-ES"/>
        </w:rPr>
        <w:t xml:space="preserve">5 (Igualdad de género), incluida la </w:t>
      </w:r>
      <w:r w:rsidR="00DF43B8" w:rsidRPr="00116669">
        <w:rPr>
          <w:lang w:val="es-ES"/>
        </w:rPr>
        <w:t>M</w:t>
      </w:r>
      <w:r w:rsidRPr="00116669">
        <w:rPr>
          <w:lang w:val="es-ES"/>
        </w:rPr>
        <w:t>eta 5.b sobre</w:t>
      </w:r>
      <w:r>
        <w:rPr>
          <w:lang w:val="es-ES"/>
        </w:rPr>
        <w:t xml:space="preserve"> "</w:t>
      </w:r>
      <w:r w:rsidRPr="00116669">
        <w:rPr>
          <w:lang w:val="es-ES"/>
        </w:rPr>
        <w:t xml:space="preserve">…utilización de </w:t>
      </w:r>
      <w:r w:rsidRPr="00116669">
        <w:rPr>
          <w:lang w:val="es-ES"/>
        </w:rPr>
        <w:lastRenderedPageBreak/>
        <w:t>tecnologías facilitadoras, en particular las TIC, para promover el empoderamiento de las mujeres</w:t>
      </w:r>
      <w:r>
        <w:rPr>
          <w:lang w:val="es-ES"/>
        </w:rPr>
        <w:t>"</w:t>
      </w:r>
      <w:r w:rsidRPr="00116669">
        <w:rPr>
          <w:lang w:val="es-ES"/>
        </w:rPr>
        <w:t xml:space="preserve">. Y, por último, el </w:t>
      </w:r>
      <w:r w:rsidR="00DF43B8" w:rsidRPr="00116669">
        <w:rPr>
          <w:lang w:val="es-ES"/>
        </w:rPr>
        <w:t>I</w:t>
      </w:r>
      <w:r w:rsidRPr="00116669">
        <w:rPr>
          <w:lang w:val="es-ES"/>
        </w:rPr>
        <w:t>ndicador 5b.1 sobre la titularidad de teléfonos móviles, por sexo.</w:t>
      </w:r>
    </w:p>
    <w:p w14:paraId="45CB4FDC" w14:textId="3C8CC92E" w:rsidR="00116669" w:rsidRPr="00116669" w:rsidRDefault="00116669" w:rsidP="00116669">
      <w:pPr>
        <w:pStyle w:val="enumlev1"/>
        <w:rPr>
          <w:lang w:val="es-ES"/>
        </w:rPr>
      </w:pPr>
      <w:r w:rsidRPr="00116669">
        <w:rPr>
          <w:lang w:val="es-ES"/>
        </w:rPr>
        <w:t>4</w:t>
      </w:r>
      <w:r>
        <w:rPr>
          <w:lang w:val="es-ES"/>
        </w:rPr>
        <w:t>)</w:t>
      </w:r>
      <w:r w:rsidRPr="00116669">
        <w:rPr>
          <w:lang w:val="es-ES"/>
        </w:rPr>
        <w:tab/>
      </w:r>
      <w:r w:rsidRPr="00116669">
        <w:rPr>
          <w:b/>
          <w:bCs/>
          <w:lang w:val="es-ES"/>
        </w:rPr>
        <w:t>Enfoque específico principal</w:t>
      </w:r>
      <w:r w:rsidRPr="00116669">
        <w:rPr>
          <w:lang w:val="es-ES"/>
        </w:rPr>
        <w:t xml:space="preserve">: ODS con respecto a los cuales la UIT contribuye en mayor medida, en particular el ODS 9 (Industria, </w:t>
      </w:r>
      <w:r w:rsidR="00DF43B8" w:rsidRPr="00116669">
        <w:rPr>
          <w:lang w:val="es-ES"/>
        </w:rPr>
        <w:t>i</w:t>
      </w:r>
      <w:r w:rsidRPr="00116669">
        <w:rPr>
          <w:lang w:val="es-ES"/>
        </w:rPr>
        <w:t xml:space="preserve">nnovación e </w:t>
      </w:r>
      <w:r w:rsidR="00DF43B8" w:rsidRPr="00116669">
        <w:rPr>
          <w:lang w:val="es-ES"/>
        </w:rPr>
        <w:t>i</w:t>
      </w:r>
      <w:r w:rsidRPr="00116669">
        <w:rPr>
          <w:lang w:val="es-ES"/>
        </w:rPr>
        <w:t xml:space="preserve">nfraestructura) y el ODS 17 (Alianzas para el cumplimiento de los objetivos). En este caso, la UIT también es depositaria de la </w:t>
      </w:r>
      <w:r w:rsidR="00DF43B8" w:rsidRPr="00116669">
        <w:rPr>
          <w:lang w:val="es-ES"/>
        </w:rPr>
        <w:t>M</w:t>
      </w:r>
      <w:r w:rsidRPr="00116669">
        <w:rPr>
          <w:lang w:val="es-ES"/>
        </w:rPr>
        <w:t xml:space="preserve">eta 9.c conexa sobre ".... utilización </w:t>
      </w:r>
      <w:r w:rsidR="00DF43B8">
        <w:rPr>
          <w:lang w:val="es-ES"/>
        </w:rPr>
        <w:t xml:space="preserve">de </w:t>
      </w:r>
      <w:r w:rsidRPr="00116669">
        <w:rPr>
          <w:lang w:val="es-ES"/>
        </w:rPr>
        <w:t xml:space="preserve">las TIC para proporcionar un acceso universal y asequible a Internet...", incluido su </w:t>
      </w:r>
      <w:r w:rsidR="00DF43B8" w:rsidRPr="00116669">
        <w:rPr>
          <w:lang w:val="es-ES"/>
        </w:rPr>
        <w:t>I</w:t>
      </w:r>
      <w:r w:rsidRPr="00116669">
        <w:rPr>
          <w:lang w:val="es-ES"/>
        </w:rPr>
        <w:t xml:space="preserve">ndicador 9c.1 sobre cobertura de redes móviles por tipo de tecnología. Y, por último, la </w:t>
      </w:r>
      <w:r w:rsidR="00DF43B8" w:rsidRPr="00116669">
        <w:rPr>
          <w:lang w:val="es-ES"/>
        </w:rPr>
        <w:t>M</w:t>
      </w:r>
      <w:r w:rsidRPr="00116669">
        <w:rPr>
          <w:lang w:val="es-ES"/>
        </w:rPr>
        <w:t>eta 17.8 sobre "</w:t>
      </w:r>
      <w:r w:rsidR="00DF43B8">
        <w:rPr>
          <w:lang w:val="es-ES"/>
        </w:rPr>
        <w:t>...</w:t>
      </w:r>
      <w:r w:rsidRPr="00116669">
        <w:rPr>
          <w:lang w:val="es-ES"/>
        </w:rPr>
        <w:t xml:space="preserve">fomento de la utilización de tecnologías facilitadoras, en particular las tecnologías de la información y las comunicaciones", y su </w:t>
      </w:r>
      <w:r w:rsidR="00DF43B8" w:rsidRPr="00116669">
        <w:rPr>
          <w:lang w:val="es-ES"/>
        </w:rPr>
        <w:t>I</w:t>
      </w:r>
      <w:r w:rsidRPr="00116669">
        <w:rPr>
          <w:lang w:val="es-ES"/>
        </w:rPr>
        <w:t>ndicador 17.8.1 sobre utilización de Internet por particulares.</w:t>
      </w:r>
    </w:p>
    <w:p w14:paraId="094B44D8" w14:textId="5501F114" w:rsidR="00116669" w:rsidRDefault="00116669" w:rsidP="00116669">
      <w:pPr>
        <w:rPr>
          <w:lang w:val="es-ES"/>
        </w:rPr>
      </w:pPr>
      <w:r w:rsidRPr="00DF43B8">
        <w:rPr>
          <w:lang w:val="es-ES"/>
        </w:rPr>
        <w:t>La</w:t>
      </w:r>
      <w:r w:rsidRPr="00116669">
        <w:rPr>
          <w:lang w:val="es-ES"/>
        </w:rPr>
        <w:t xml:space="preserve"> UIT desempeña asimismo una función facilitadora de primer orden en el proceso de implantación de la CMSI, en colaboración con más de 30 organismos de las Naciones Unidas, a fin de establecer un entorno de sociedades justas e igualitarias en matera de información y conocimiento. El marco de la CMSI puede considerarse el elemento fundamental de la labor de la</w:t>
      </w:r>
      <w:r w:rsidR="00DF43B8">
        <w:rPr>
          <w:lang w:val="es-ES"/>
        </w:rPr>
        <w:t> </w:t>
      </w:r>
      <w:r w:rsidRPr="00116669">
        <w:rPr>
          <w:lang w:val="es-ES"/>
        </w:rPr>
        <w:t>UIT para propiciar el aprovechamiento de las TIC con respecto al cumplimiento de la Agenda</w:t>
      </w:r>
      <w:r w:rsidR="00DF43B8">
        <w:rPr>
          <w:lang w:val="es-ES"/>
        </w:rPr>
        <w:t> </w:t>
      </w:r>
      <w:r w:rsidRPr="00116669">
        <w:rPr>
          <w:lang w:val="es-ES"/>
        </w:rPr>
        <w:t>2030 de las Naciones Unidas para el Desarrollo Sostenible, sobre la base de la matriz CMSI-ODS elaborada por varios organismos de las Naciones Unidas.</w:t>
      </w:r>
    </w:p>
    <w:p w14:paraId="25595317" w14:textId="46343299" w:rsidR="00D0430A" w:rsidRPr="00D0430A" w:rsidRDefault="00D0430A" w:rsidP="00D0430A">
      <w:pPr>
        <w:pStyle w:val="Figure"/>
      </w:pPr>
      <w:bookmarkStart w:id="230" w:name="_Hlk97310465"/>
      <w:r w:rsidRPr="00D0430A">
        <w:rPr>
          <w:noProof/>
        </w:rPr>
        <w:drawing>
          <wp:inline distT="0" distB="0" distL="0" distR="0" wp14:anchorId="5B85EF2C" wp14:editId="1A396561">
            <wp:extent cx="4320000" cy="3322800"/>
            <wp:effectExtent l="0" t="0" r="4445" b="0"/>
            <wp:docPr id="505389735" name="Picture 50538973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389735" name="Picture 505389735" descr="Diagram&#10;&#10;Description automatically generated"/>
                    <pic:cNvPicPr/>
                  </pic:nvPicPr>
                  <pic:blipFill>
                    <a:blip r:embed="rId347"/>
                    <a:stretch>
                      <a:fillRect/>
                    </a:stretch>
                  </pic:blipFill>
                  <pic:spPr>
                    <a:xfrm>
                      <a:off x="0" y="0"/>
                      <a:ext cx="4320000" cy="3322800"/>
                    </a:xfrm>
                    <a:prstGeom prst="rect">
                      <a:avLst/>
                    </a:prstGeom>
                  </pic:spPr>
                </pic:pic>
              </a:graphicData>
            </a:graphic>
          </wp:inline>
        </w:drawing>
      </w:r>
    </w:p>
    <w:p w14:paraId="389FAA8F" w14:textId="3912AB8B" w:rsidR="008A64DF" w:rsidRPr="00B04A9A" w:rsidRDefault="00116669" w:rsidP="00273589">
      <w:pPr>
        <w:pStyle w:val="Heading2"/>
        <w:spacing w:after="120"/>
        <w:rPr>
          <w:lang w:val="es-ES"/>
        </w:rPr>
      </w:pPr>
      <w:bookmarkStart w:id="231" w:name="_Toc97821278"/>
      <w:bookmarkEnd w:id="230"/>
      <w:r>
        <w:rPr>
          <w:lang w:val="es-ES"/>
        </w:rPr>
        <w:t>3.2</w:t>
      </w:r>
      <w:r>
        <w:rPr>
          <w:lang w:val="es-ES"/>
        </w:rPr>
        <w:tab/>
      </w:r>
      <w:r w:rsidR="008A64DF" w:rsidRPr="00C3025E">
        <w:rPr>
          <w:lang w:val="es-ES"/>
        </w:rPr>
        <w:t xml:space="preserve">Resultados </w:t>
      </w:r>
      <w:r w:rsidR="008A64DF">
        <w:rPr>
          <w:lang w:val="es-ES"/>
        </w:rPr>
        <w:t xml:space="preserve">de los progresos hacia los </w:t>
      </w:r>
      <w:r w:rsidR="008A64DF" w:rsidRPr="00C3025E">
        <w:rPr>
          <w:lang w:val="es-ES"/>
        </w:rPr>
        <w:t>objetivo</w:t>
      </w:r>
      <w:r w:rsidR="008A64DF">
        <w:rPr>
          <w:lang w:val="es-ES"/>
        </w:rPr>
        <w:t>s</w:t>
      </w:r>
      <w:r w:rsidR="008A64DF" w:rsidRPr="00C3025E">
        <w:rPr>
          <w:lang w:val="es-ES"/>
        </w:rPr>
        <w:t xml:space="preserve"> estratégico</w:t>
      </w:r>
      <w:r w:rsidR="008A64DF">
        <w:rPr>
          <w:lang w:val="es-ES"/>
        </w:rPr>
        <w:t>s</w:t>
      </w:r>
      <w:bookmarkEnd w:id="224"/>
      <w:bookmarkEnd w:id="225"/>
      <w:bookmarkEnd w:id="226"/>
      <w:bookmarkEnd w:id="227"/>
      <w:bookmarkEnd w:id="231"/>
    </w:p>
    <w:tbl>
      <w:tblPr>
        <w:tblStyle w:val="ListTable3-Accent11"/>
        <w:tblW w:w="5000" w:type="pct"/>
        <w:jc w:val="center"/>
        <w:tblInd w:w="0" w:type="dxa"/>
        <w:tblLook w:val="0420" w:firstRow="1" w:lastRow="0" w:firstColumn="0" w:lastColumn="0" w:noHBand="0" w:noVBand="1"/>
      </w:tblPr>
      <w:tblGrid>
        <w:gridCol w:w="1479"/>
        <w:gridCol w:w="8150"/>
      </w:tblGrid>
      <w:tr w:rsidR="008A64DF" w:rsidRPr="00B04A9A" w14:paraId="6211C23D" w14:textId="77777777" w:rsidTr="008E276C">
        <w:trPr>
          <w:cnfStyle w:val="100000000000" w:firstRow="1" w:lastRow="0" w:firstColumn="0" w:lastColumn="0" w:oddVBand="0" w:evenVBand="0" w:oddHBand="0" w:evenHBand="0" w:firstRowFirstColumn="0" w:firstRowLastColumn="0" w:lastRowFirstColumn="0" w:lastRowLastColumn="0"/>
          <w:trHeight w:val="20"/>
          <w:tblHeader/>
          <w:jc w:val="center"/>
        </w:trPr>
        <w:tc>
          <w:tcPr>
            <w:tcW w:w="1244" w:type="dxa"/>
            <w:tcBorders>
              <w:top w:val="single" w:sz="4" w:space="0" w:color="4F81BD" w:themeColor="accent1"/>
              <w:bottom w:val="single" w:sz="4" w:space="0" w:color="4F81BD" w:themeColor="accent1"/>
              <w:right w:val="single" w:sz="4" w:space="0" w:color="4F81BD" w:themeColor="accent1"/>
            </w:tcBorders>
          </w:tcPr>
          <w:bookmarkEnd w:id="228"/>
          <w:p w14:paraId="3A3AEE38" w14:textId="417A5236" w:rsidR="008A64DF" w:rsidRPr="00204461" w:rsidRDefault="008A64DF" w:rsidP="00204461">
            <w:pPr>
              <w:pStyle w:val="Tablehead"/>
              <w:jc w:val="left"/>
              <w:rPr>
                <w:b/>
                <w:bCs w:val="0"/>
                <w:lang w:val="es-ES" w:eastAsia="en-GB"/>
              </w:rPr>
            </w:pPr>
            <w:r w:rsidRPr="00204461">
              <w:rPr>
                <w:b/>
                <w:bCs w:val="0"/>
                <w:lang w:val="es-ES" w:eastAsia="en-GB"/>
              </w:rPr>
              <w:t>Objetivo</w:t>
            </w:r>
          </w:p>
        </w:tc>
        <w:tc>
          <w:tcPr>
            <w:tcW w:w="8112" w:type="dxa"/>
            <w:tcBorders>
              <w:left w:val="single" w:sz="4" w:space="0" w:color="4F81BD" w:themeColor="accent1"/>
            </w:tcBorders>
            <w:hideMark/>
          </w:tcPr>
          <w:p w14:paraId="01D1A0C8" w14:textId="77777777" w:rsidR="008A64DF" w:rsidRPr="00204461" w:rsidRDefault="008A64DF" w:rsidP="00204461">
            <w:pPr>
              <w:pStyle w:val="Tablehead"/>
              <w:jc w:val="left"/>
              <w:rPr>
                <w:rFonts w:ascii="Arial" w:hAnsi="Arial" w:cs="Arial"/>
                <w:b/>
                <w:bCs w:val="0"/>
                <w:lang w:val="es-ES" w:eastAsia="en-GB"/>
              </w:rPr>
            </w:pPr>
            <w:r w:rsidRPr="00204461">
              <w:rPr>
                <w:b/>
                <w:bCs w:val="0"/>
                <w:lang w:val="es-ES" w:eastAsia="en-GB"/>
              </w:rPr>
              <w:t>Finalidad, 2023:</w:t>
            </w:r>
          </w:p>
        </w:tc>
      </w:tr>
      <w:tr w:rsidR="008A64DF" w:rsidRPr="00B04A9A" w14:paraId="501FE5CC" w14:textId="77777777" w:rsidTr="00204461">
        <w:trPr>
          <w:cnfStyle w:val="000000100000" w:firstRow="0" w:lastRow="0" w:firstColumn="0" w:lastColumn="0" w:oddVBand="0" w:evenVBand="0" w:oddHBand="1" w:evenHBand="0" w:firstRowFirstColumn="0" w:firstRowLastColumn="0" w:lastRowFirstColumn="0" w:lastRowLastColumn="0"/>
          <w:trHeight w:val="20"/>
          <w:jc w:val="center"/>
        </w:trPr>
        <w:tc>
          <w:tcPr>
            <w:tcW w:w="1244" w:type="dxa"/>
            <w:vMerge w:val="restart"/>
            <w:tcBorders>
              <w:right w:val="single" w:sz="4" w:space="0" w:color="4F81BD" w:themeColor="accent1"/>
            </w:tcBorders>
          </w:tcPr>
          <w:p w14:paraId="5E559718" w14:textId="77777777" w:rsidR="008A64DF" w:rsidRPr="00204461" w:rsidRDefault="008A64DF" w:rsidP="00204461">
            <w:pPr>
              <w:pStyle w:val="Tabletext"/>
              <w:rPr>
                <w:lang w:val="es-ES"/>
              </w:rPr>
            </w:pPr>
            <w:r w:rsidRPr="00204461">
              <w:rPr>
                <w:lang w:val="es-ES"/>
              </w:rPr>
              <w:t>Crecimiento</w:t>
            </w:r>
          </w:p>
        </w:tc>
        <w:tc>
          <w:tcPr>
            <w:tcW w:w="8112" w:type="dxa"/>
            <w:tcBorders>
              <w:left w:val="single" w:sz="4" w:space="0" w:color="4F81BD" w:themeColor="accent1"/>
            </w:tcBorders>
            <w:hideMark/>
          </w:tcPr>
          <w:p w14:paraId="14926B02" w14:textId="417045E4" w:rsidR="008A64DF" w:rsidRPr="00204461" w:rsidRDefault="008A64DF" w:rsidP="00204461">
            <w:pPr>
              <w:pStyle w:val="Tabletext"/>
              <w:rPr>
                <w:lang w:val="es-ES"/>
              </w:rPr>
            </w:pPr>
            <w:r w:rsidRPr="00204461">
              <w:rPr>
                <w:lang w:val="es-ES"/>
              </w:rPr>
              <w:t xml:space="preserve">Finalidad 1.1: </w:t>
            </w:r>
            <w:r w:rsidR="00204461">
              <w:rPr>
                <w:lang w:val="es-ES"/>
              </w:rPr>
              <w:t xml:space="preserve">que </w:t>
            </w:r>
            <w:r w:rsidRPr="00204461">
              <w:rPr>
                <w:lang w:val="es-ES"/>
              </w:rPr>
              <w:t>el 65% de los hogares del mundo tenga acceso a Internet</w:t>
            </w:r>
          </w:p>
        </w:tc>
      </w:tr>
      <w:tr w:rsidR="008A64DF" w:rsidRPr="00B04A9A" w14:paraId="5744C988" w14:textId="77777777" w:rsidTr="00204461">
        <w:trPr>
          <w:trHeight w:val="20"/>
          <w:jc w:val="center"/>
        </w:trPr>
        <w:tc>
          <w:tcPr>
            <w:tcW w:w="1244" w:type="dxa"/>
            <w:vMerge/>
            <w:tcBorders>
              <w:top w:val="single" w:sz="4" w:space="0" w:color="4F81BD" w:themeColor="accent1"/>
              <w:bottom w:val="single" w:sz="4" w:space="0" w:color="4F81BD" w:themeColor="accent1"/>
              <w:right w:val="single" w:sz="4" w:space="0" w:color="4F81BD" w:themeColor="accent1"/>
            </w:tcBorders>
          </w:tcPr>
          <w:p w14:paraId="72BF942E" w14:textId="77777777" w:rsidR="008A64DF" w:rsidRPr="00B04A9A" w:rsidRDefault="008A64DF" w:rsidP="00FD3243">
            <w:pPr>
              <w:contextualSpacing/>
              <w:rPr>
                <w:color w:val="000000"/>
                <w:kern w:val="24"/>
                <w:sz w:val="18"/>
                <w:szCs w:val="18"/>
                <w:lang w:val="es-ES" w:eastAsia="en-GB"/>
              </w:rPr>
            </w:pPr>
          </w:p>
        </w:tc>
        <w:tc>
          <w:tcPr>
            <w:tcW w:w="8112" w:type="dxa"/>
            <w:tcBorders>
              <w:left w:val="single" w:sz="4" w:space="0" w:color="4F81BD" w:themeColor="accent1"/>
            </w:tcBorders>
            <w:hideMark/>
          </w:tcPr>
          <w:p w14:paraId="3AA49715" w14:textId="5AD51A51" w:rsidR="008A64DF" w:rsidRPr="00204461" w:rsidRDefault="008A64DF" w:rsidP="00204461">
            <w:pPr>
              <w:pStyle w:val="Tabletext"/>
              <w:rPr>
                <w:lang w:val="es-ES"/>
              </w:rPr>
            </w:pPr>
            <w:r w:rsidRPr="00204461">
              <w:rPr>
                <w:lang w:val="es-ES"/>
              </w:rPr>
              <w:t xml:space="preserve">Finalidad 1.2: </w:t>
            </w:r>
            <w:r w:rsidR="00204461">
              <w:rPr>
                <w:lang w:val="es-ES"/>
              </w:rPr>
              <w:t xml:space="preserve">que </w:t>
            </w:r>
            <w:r w:rsidRPr="00204461">
              <w:rPr>
                <w:lang w:val="es-ES"/>
              </w:rPr>
              <w:t>el 70% de las personas físicas del mundo utilice Internet</w:t>
            </w:r>
          </w:p>
        </w:tc>
      </w:tr>
      <w:tr w:rsidR="008A64DF" w:rsidRPr="00B04A9A" w14:paraId="1CBC721F" w14:textId="77777777" w:rsidTr="00204461">
        <w:trPr>
          <w:cnfStyle w:val="000000100000" w:firstRow="0" w:lastRow="0" w:firstColumn="0" w:lastColumn="0" w:oddVBand="0" w:evenVBand="0" w:oddHBand="1" w:evenHBand="0" w:firstRowFirstColumn="0" w:firstRowLastColumn="0" w:lastRowFirstColumn="0" w:lastRowLastColumn="0"/>
          <w:trHeight w:val="20"/>
          <w:jc w:val="center"/>
        </w:trPr>
        <w:tc>
          <w:tcPr>
            <w:tcW w:w="1244" w:type="dxa"/>
            <w:vMerge/>
            <w:tcBorders>
              <w:right w:val="single" w:sz="4" w:space="0" w:color="4F81BD" w:themeColor="accent1"/>
            </w:tcBorders>
          </w:tcPr>
          <w:p w14:paraId="04F45C7F" w14:textId="77777777" w:rsidR="008A64DF" w:rsidRPr="00B04A9A" w:rsidRDefault="008A64DF" w:rsidP="00FD3243">
            <w:pPr>
              <w:contextualSpacing/>
              <w:rPr>
                <w:color w:val="000000"/>
                <w:kern w:val="24"/>
                <w:sz w:val="18"/>
                <w:szCs w:val="18"/>
                <w:lang w:val="es-ES" w:eastAsia="en-GB"/>
              </w:rPr>
            </w:pPr>
          </w:p>
        </w:tc>
        <w:tc>
          <w:tcPr>
            <w:tcW w:w="8112" w:type="dxa"/>
            <w:tcBorders>
              <w:left w:val="single" w:sz="4" w:space="0" w:color="4F81BD" w:themeColor="accent1"/>
            </w:tcBorders>
            <w:hideMark/>
          </w:tcPr>
          <w:p w14:paraId="2D8D31CE" w14:textId="699DFBB2" w:rsidR="008A64DF" w:rsidRPr="00204461" w:rsidRDefault="008A64DF" w:rsidP="00204461">
            <w:pPr>
              <w:pStyle w:val="Tabletext"/>
              <w:rPr>
                <w:lang w:val="es-ES"/>
              </w:rPr>
            </w:pPr>
            <w:r w:rsidRPr="00204461">
              <w:rPr>
                <w:lang w:val="es-ES"/>
              </w:rPr>
              <w:t xml:space="preserve">Finalidad 1.3: </w:t>
            </w:r>
            <w:r w:rsidR="00204461">
              <w:rPr>
                <w:lang w:val="es-ES"/>
              </w:rPr>
              <w:t xml:space="preserve">que </w:t>
            </w:r>
            <w:r w:rsidRPr="00204461">
              <w:rPr>
                <w:lang w:val="es-ES"/>
              </w:rPr>
              <w:t>el acceso a Internet sea un 25% más asequible (año de referencia: 2017)</w:t>
            </w:r>
          </w:p>
        </w:tc>
      </w:tr>
      <w:tr w:rsidR="008A64DF" w:rsidRPr="00B04A9A" w14:paraId="1B143B0F" w14:textId="77777777" w:rsidTr="00204461">
        <w:trPr>
          <w:trHeight w:val="20"/>
          <w:jc w:val="center"/>
        </w:trPr>
        <w:tc>
          <w:tcPr>
            <w:tcW w:w="1244" w:type="dxa"/>
            <w:vMerge/>
            <w:tcBorders>
              <w:top w:val="single" w:sz="4" w:space="0" w:color="4F81BD" w:themeColor="accent1"/>
              <w:bottom w:val="single" w:sz="4" w:space="0" w:color="4F81BD" w:themeColor="accent1"/>
              <w:right w:val="single" w:sz="4" w:space="0" w:color="4F81BD" w:themeColor="accent1"/>
            </w:tcBorders>
          </w:tcPr>
          <w:p w14:paraId="0472D147" w14:textId="77777777" w:rsidR="008A64DF" w:rsidRPr="00B04A9A" w:rsidRDefault="008A64DF" w:rsidP="00FD3243">
            <w:pPr>
              <w:contextualSpacing/>
              <w:rPr>
                <w:color w:val="000000"/>
                <w:kern w:val="24"/>
                <w:sz w:val="18"/>
                <w:szCs w:val="18"/>
                <w:lang w:val="es-ES" w:eastAsia="en-GB"/>
              </w:rPr>
            </w:pPr>
          </w:p>
        </w:tc>
        <w:tc>
          <w:tcPr>
            <w:tcW w:w="8112" w:type="dxa"/>
            <w:tcBorders>
              <w:left w:val="single" w:sz="4" w:space="0" w:color="4F81BD" w:themeColor="accent1"/>
            </w:tcBorders>
            <w:hideMark/>
          </w:tcPr>
          <w:p w14:paraId="43D3453E" w14:textId="6D02868F" w:rsidR="008A64DF" w:rsidRPr="00204461" w:rsidRDefault="008A64DF" w:rsidP="00204461">
            <w:pPr>
              <w:pStyle w:val="Tabletext"/>
              <w:rPr>
                <w:lang w:val="es-ES"/>
              </w:rPr>
            </w:pPr>
            <w:r w:rsidRPr="00204461">
              <w:rPr>
                <w:lang w:val="es-ES"/>
              </w:rPr>
              <w:t xml:space="preserve">Finalidad 1.4: </w:t>
            </w:r>
            <w:r w:rsidR="00204461">
              <w:rPr>
                <w:lang w:val="es-ES"/>
              </w:rPr>
              <w:t xml:space="preserve">que </w:t>
            </w:r>
            <w:r w:rsidRPr="00204461">
              <w:rPr>
                <w:lang w:val="es-ES"/>
              </w:rPr>
              <w:t>todos los países hayan adoptado una agenda/estrategia digital</w:t>
            </w:r>
          </w:p>
        </w:tc>
      </w:tr>
      <w:tr w:rsidR="008A64DF" w:rsidRPr="00B04A9A" w14:paraId="7991BDE6" w14:textId="77777777" w:rsidTr="00204461">
        <w:trPr>
          <w:cnfStyle w:val="000000100000" w:firstRow="0" w:lastRow="0" w:firstColumn="0" w:lastColumn="0" w:oddVBand="0" w:evenVBand="0" w:oddHBand="1" w:evenHBand="0" w:firstRowFirstColumn="0" w:firstRowLastColumn="0" w:lastRowFirstColumn="0" w:lastRowLastColumn="0"/>
          <w:trHeight w:val="20"/>
          <w:jc w:val="center"/>
        </w:trPr>
        <w:tc>
          <w:tcPr>
            <w:tcW w:w="1244" w:type="dxa"/>
            <w:vMerge/>
            <w:tcBorders>
              <w:right w:val="single" w:sz="4" w:space="0" w:color="4F81BD" w:themeColor="accent1"/>
            </w:tcBorders>
          </w:tcPr>
          <w:p w14:paraId="722A78A0" w14:textId="77777777" w:rsidR="008A64DF" w:rsidRPr="00B04A9A" w:rsidRDefault="008A64DF" w:rsidP="00FD3243">
            <w:pPr>
              <w:contextualSpacing/>
              <w:rPr>
                <w:color w:val="000000"/>
                <w:kern w:val="24"/>
                <w:sz w:val="18"/>
                <w:szCs w:val="18"/>
                <w:lang w:val="es-ES" w:eastAsia="en-GB"/>
              </w:rPr>
            </w:pPr>
          </w:p>
        </w:tc>
        <w:tc>
          <w:tcPr>
            <w:tcW w:w="8112" w:type="dxa"/>
            <w:tcBorders>
              <w:left w:val="single" w:sz="4" w:space="0" w:color="4F81BD" w:themeColor="accent1"/>
            </w:tcBorders>
            <w:hideMark/>
          </w:tcPr>
          <w:p w14:paraId="62628B95" w14:textId="6B9767B6" w:rsidR="008A64DF" w:rsidRPr="00204461" w:rsidRDefault="008A64DF" w:rsidP="00204461">
            <w:pPr>
              <w:pStyle w:val="Tabletext"/>
              <w:rPr>
                <w:lang w:val="es-ES"/>
              </w:rPr>
            </w:pPr>
            <w:r w:rsidRPr="00204461">
              <w:rPr>
                <w:lang w:val="es-ES"/>
              </w:rPr>
              <w:t xml:space="preserve">Finalidad 1.5: </w:t>
            </w:r>
            <w:r w:rsidR="00204461">
              <w:rPr>
                <w:lang w:val="es-ES"/>
              </w:rPr>
              <w:t xml:space="preserve">que </w:t>
            </w:r>
            <w:r w:rsidRPr="00204461">
              <w:rPr>
                <w:lang w:val="es-ES"/>
              </w:rPr>
              <w:t>los abonos a la banda ancha hayan aumentado un 50%</w:t>
            </w:r>
          </w:p>
        </w:tc>
      </w:tr>
      <w:tr w:rsidR="008A64DF" w:rsidRPr="00B04A9A" w14:paraId="1EEE2A45" w14:textId="77777777" w:rsidTr="00204461">
        <w:trPr>
          <w:trHeight w:val="20"/>
          <w:jc w:val="center"/>
        </w:trPr>
        <w:tc>
          <w:tcPr>
            <w:tcW w:w="1244" w:type="dxa"/>
            <w:vMerge/>
            <w:tcBorders>
              <w:top w:val="single" w:sz="4" w:space="0" w:color="4F81BD" w:themeColor="accent1"/>
              <w:bottom w:val="single" w:sz="4" w:space="0" w:color="4F81BD" w:themeColor="accent1"/>
              <w:right w:val="single" w:sz="4" w:space="0" w:color="4F81BD" w:themeColor="accent1"/>
            </w:tcBorders>
          </w:tcPr>
          <w:p w14:paraId="672F1A89" w14:textId="77777777" w:rsidR="008A64DF" w:rsidRPr="00B04A9A" w:rsidRDefault="008A64DF" w:rsidP="00FD3243">
            <w:pPr>
              <w:contextualSpacing/>
              <w:rPr>
                <w:color w:val="000000"/>
                <w:kern w:val="24"/>
                <w:sz w:val="18"/>
                <w:szCs w:val="18"/>
                <w:lang w:val="es-ES" w:eastAsia="en-GB"/>
              </w:rPr>
            </w:pPr>
          </w:p>
        </w:tc>
        <w:tc>
          <w:tcPr>
            <w:tcW w:w="8112" w:type="dxa"/>
            <w:tcBorders>
              <w:left w:val="single" w:sz="4" w:space="0" w:color="4F81BD" w:themeColor="accent1"/>
            </w:tcBorders>
            <w:hideMark/>
          </w:tcPr>
          <w:p w14:paraId="1519EEE3" w14:textId="13183307" w:rsidR="008A64DF" w:rsidRPr="00204461" w:rsidRDefault="008A64DF" w:rsidP="00204461">
            <w:pPr>
              <w:pStyle w:val="Tabletext"/>
              <w:rPr>
                <w:lang w:val="es-ES"/>
              </w:rPr>
            </w:pPr>
            <w:r w:rsidRPr="00204461">
              <w:rPr>
                <w:lang w:val="es-ES"/>
              </w:rPr>
              <w:t xml:space="preserve">Finalidad 1.6: </w:t>
            </w:r>
            <w:r w:rsidR="00204461">
              <w:rPr>
                <w:lang w:val="es-ES"/>
              </w:rPr>
              <w:t xml:space="preserve">que </w:t>
            </w:r>
            <w:r w:rsidRPr="00204461">
              <w:rPr>
                <w:lang w:val="es-ES"/>
              </w:rPr>
              <w:t>más de la mitad de los abonos a la banda ancha del 40% de los países supere los 10 Mbits/s</w:t>
            </w:r>
          </w:p>
        </w:tc>
      </w:tr>
      <w:tr w:rsidR="008A64DF" w:rsidRPr="00B04A9A" w14:paraId="0CC00F60" w14:textId="77777777" w:rsidTr="00204461">
        <w:trPr>
          <w:cnfStyle w:val="000000100000" w:firstRow="0" w:lastRow="0" w:firstColumn="0" w:lastColumn="0" w:oddVBand="0" w:evenVBand="0" w:oddHBand="1" w:evenHBand="0" w:firstRowFirstColumn="0" w:firstRowLastColumn="0" w:lastRowFirstColumn="0" w:lastRowLastColumn="0"/>
          <w:trHeight w:val="20"/>
          <w:jc w:val="center"/>
        </w:trPr>
        <w:tc>
          <w:tcPr>
            <w:tcW w:w="1244" w:type="dxa"/>
            <w:vMerge/>
            <w:tcBorders>
              <w:right w:val="single" w:sz="4" w:space="0" w:color="4F81BD" w:themeColor="accent1"/>
            </w:tcBorders>
          </w:tcPr>
          <w:p w14:paraId="31D86E90" w14:textId="77777777" w:rsidR="008A64DF" w:rsidRPr="00B04A9A" w:rsidRDefault="008A64DF" w:rsidP="00FD3243">
            <w:pPr>
              <w:contextualSpacing/>
              <w:rPr>
                <w:color w:val="000000"/>
                <w:kern w:val="24"/>
                <w:sz w:val="18"/>
                <w:szCs w:val="18"/>
                <w:lang w:val="es-ES" w:eastAsia="en-GB"/>
              </w:rPr>
            </w:pPr>
          </w:p>
        </w:tc>
        <w:tc>
          <w:tcPr>
            <w:tcW w:w="8112" w:type="dxa"/>
            <w:tcBorders>
              <w:left w:val="single" w:sz="4" w:space="0" w:color="4F81BD" w:themeColor="accent1"/>
            </w:tcBorders>
            <w:hideMark/>
          </w:tcPr>
          <w:p w14:paraId="57164774" w14:textId="04287325" w:rsidR="008A64DF" w:rsidRPr="00204461" w:rsidRDefault="008A64DF" w:rsidP="00204461">
            <w:pPr>
              <w:pStyle w:val="Tabletext"/>
              <w:rPr>
                <w:lang w:val="es-ES"/>
              </w:rPr>
            </w:pPr>
            <w:r w:rsidRPr="00204461">
              <w:rPr>
                <w:lang w:val="es-ES"/>
              </w:rPr>
              <w:t xml:space="preserve">Finalidad 1.7: </w:t>
            </w:r>
            <w:r w:rsidR="00140F68">
              <w:rPr>
                <w:lang w:val="es-ES"/>
              </w:rPr>
              <w:t xml:space="preserve">que </w:t>
            </w:r>
            <w:r w:rsidRPr="00204461">
              <w:rPr>
                <w:lang w:val="es-ES"/>
              </w:rPr>
              <w:t>el 40% de la población utilice servicios gubernamentales en línea</w:t>
            </w:r>
          </w:p>
        </w:tc>
      </w:tr>
      <w:tr w:rsidR="008A64DF" w:rsidRPr="00B04A9A" w14:paraId="11A58D37" w14:textId="77777777" w:rsidTr="00204461">
        <w:trPr>
          <w:trHeight w:val="20"/>
          <w:jc w:val="center"/>
        </w:trPr>
        <w:tc>
          <w:tcPr>
            <w:tcW w:w="1244" w:type="dxa"/>
            <w:vMerge w:val="restart"/>
            <w:tcBorders>
              <w:top w:val="single" w:sz="4" w:space="0" w:color="4F81BD" w:themeColor="accent1"/>
              <w:bottom w:val="single" w:sz="4" w:space="0" w:color="4F81BD" w:themeColor="accent1"/>
              <w:right w:val="single" w:sz="4" w:space="0" w:color="4F81BD" w:themeColor="accent1"/>
            </w:tcBorders>
          </w:tcPr>
          <w:p w14:paraId="3F1A8E5F" w14:textId="77777777" w:rsidR="008A64DF" w:rsidRPr="00204461" w:rsidRDefault="008A64DF" w:rsidP="00204461">
            <w:pPr>
              <w:pStyle w:val="Tabletext"/>
              <w:rPr>
                <w:lang w:val="es-ES"/>
              </w:rPr>
            </w:pPr>
            <w:r w:rsidRPr="00204461">
              <w:rPr>
                <w:lang w:val="es-ES"/>
              </w:rPr>
              <w:t>Inclusividad</w:t>
            </w:r>
          </w:p>
        </w:tc>
        <w:tc>
          <w:tcPr>
            <w:tcW w:w="8112" w:type="dxa"/>
            <w:tcBorders>
              <w:left w:val="single" w:sz="4" w:space="0" w:color="4F81BD" w:themeColor="accent1"/>
            </w:tcBorders>
            <w:hideMark/>
          </w:tcPr>
          <w:p w14:paraId="78D4AAB3" w14:textId="6AF17690" w:rsidR="008A64DF" w:rsidRPr="00204461" w:rsidRDefault="008A64DF" w:rsidP="00204461">
            <w:pPr>
              <w:pStyle w:val="Tabletext"/>
              <w:rPr>
                <w:lang w:val="es-ES"/>
              </w:rPr>
            </w:pPr>
            <w:r w:rsidRPr="00204461">
              <w:rPr>
                <w:lang w:val="es-ES"/>
              </w:rPr>
              <w:t xml:space="preserve">Finalidad 2.1: </w:t>
            </w:r>
            <w:r w:rsidR="00140F68">
              <w:rPr>
                <w:lang w:val="es-ES"/>
              </w:rPr>
              <w:t xml:space="preserve">que </w:t>
            </w:r>
            <w:r w:rsidRPr="00204461">
              <w:rPr>
                <w:lang w:val="es-ES"/>
              </w:rPr>
              <w:t>el 60% de los hogares de los países en desarrollo tenga acceso a Internet</w:t>
            </w:r>
          </w:p>
        </w:tc>
      </w:tr>
      <w:tr w:rsidR="008A64DF" w:rsidRPr="00B04A9A" w14:paraId="6DBAB80E" w14:textId="77777777" w:rsidTr="00204461">
        <w:trPr>
          <w:cnfStyle w:val="000000100000" w:firstRow="0" w:lastRow="0" w:firstColumn="0" w:lastColumn="0" w:oddVBand="0" w:evenVBand="0" w:oddHBand="1" w:evenHBand="0" w:firstRowFirstColumn="0" w:firstRowLastColumn="0" w:lastRowFirstColumn="0" w:lastRowLastColumn="0"/>
          <w:trHeight w:val="20"/>
          <w:jc w:val="center"/>
        </w:trPr>
        <w:tc>
          <w:tcPr>
            <w:tcW w:w="1244" w:type="dxa"/>
            <w:vMerge/>
            <w:tcBorders>
              <w:right w:val="single" w:sz="4" w:space="0" w:color="4F81BD" w:themeColor="accent1"/>
            </w:tcBorders>
          </w:tcPr>
          <w:p w14:paraId="172737F2" w14:textId="77777777" w:rsidR="008A64DF" w:rsidRPr="00B04A9A" w:rsidRDefault="008A64DF" w:rsidP="00FD3243">
            <w:pPr>
              <w:contextualSpacing/>
              <w:rPr>
                <w:color w:val="000000"/>
                <w:kern w:val="24"/>
                <w:sz w:val="18"/>
                <w:szCs w:val="18"/>
                <w:lang w:val="es-ES" w:eastAsia="en-GB"/>
              </w:rPr>
            </w:pPr>
          </w:p>
        </w:tc>
        <w:tc>
          <w:tcPr>
            <w:tcW w:w="8112" w:type="dxa"/>
            <w:tcBorders>
              <w:left w:val="single" w:sz="4" w:space="0" w:color="4F81BD" w:themeColor="accent1"/>
            </w:tcBorders>
            <w:hideMark/>
          </w:tcPr>
          <w:p w14:paraId="569A04E5" w14:textId="46DEE383" w:rsidR="008A64DF" w:rsidRPr="00204461" w:rsidRDefault="008A64DF" w:rsidP="00204461">
            <w:pPr>
              <w:pStyle w:val="Tabletext"/>
              <w:rPr>
                <w:lang w:val="es-ES"/>
              </w:rPr>
            </w:pPr>
            <w:r w:rsidRPr="00204461">
              <w:rPr>
                <w:lang w:val="es-ES"/>
              </w:rPr>
              <w:t xml:space="preserve">Finalidad 2.2: </w:t>
            </w:r>
            <w:r w:rsidR="00140F68">
              <w:rPr>
                <w:lang w:val="es-ES"/>
              </w:rPr>
              <w:t xml:space="preserve">que </w:t>
            </w:r>
            <w:r w:rsidRPr="00204461">
              <w:rPr>
                <w:lang w:val="es-ES"/>
              </w:rPr>
              <w:t>el 30% de los hogares de los países menos adelantados tenga acceso a Internet</w:t>
            </w:r>
          </w:p>
        </w:tc>
      </w:tr>
      <w:tr w:rsidR="008A64DF" w:rsidRPr="00B04A9A" w14:paraId="08393A7C" w14:textId="77777777" w:rsidTr="00204461">
        <w:trPr>
          <w:trHeight w:val="20"/>
          <w:jc w:val="center"/>
        </w:trPr>
        <w:tc>
          <w:tcPr>
            <w:tcW w:w="1244" w:type="dxa"/>
            <w:vMerge/>
            <w:tcBorders>
              <w:top w:val="single" w:sz="4" w:space="0" w:color="4F81BD" w:themeColor="accent1"/>
              <w:bottom w:val="single" w:sz="4" w:space="0" w:color="4F81BD" w:themeColor="accent1"/>
              <w:right w:val="single" w:sz="4" w:space="0" w:color="4F81BD" w:themeColor="accent1"/>
            </w:tcBorders>
          </w:tcPr>
          <w:p w14:paraId="2F33DC62" w14:textId="77777777" w:rsidR="008A64DF" w:rsidRPr="00B04A9A" w:rsidRDefault="008A64DF" w:rsidP="00FD3243">
            <w:pPr>
              <w:contextualSpacing/>
              <w:rPr>
                <w:color w:val="000000"/>
                <w:kern w:val="24"/>
                <w:sz w:val="18"/>
                <w:szCs w:val="18"/>
                <w:lang w:val="es-ES" w:eastAsia="en-GB"/>
              </w:rPr>
            </w:pPr>
          </w:p>
        </w:tc>
        <w:tc>
          <w:tcPr>
            <w:tcW w:w="8112" w:type="dxa"/>
            <w:tcBorders>
              <w:left w:val="single" w:sz="4" w:space="0" w:color="4F81BD" w:themeColor="accent1"/>
            </w:tcBorders>
            <w:hideMark/>
          </w:tcPr>
          <w:p w14:paraId="739A79A2" w14:textId="663A28E4" w:rsidR="008A64DF" w:rsidRPr="00204461" w:rsidRDefault="008A64DF" w:rsidP="00204461">
            <w:pPr>
              <w:pStyle w:val="Tabletext"/>
              <w:rPr>
                <w:lang w:val="es-ES"/>
              </w:rPr>
            </w:pPr>
            <w:r w:rsidRPr="00204461">
              <w:rPr>
                <w:lang w:val="es-ES"/>
              </w:rPr>
              <w:t xml:space="preserve">Finalidad 2.3: </w:t>
            </w:r>
            <w:r w:rsidR="00140F68">
              <w:rPr>
                <w:lang w:val="es-ES"/>
              </w:rPr>
              <w:t xml:space="preserve">que </w:t>
            </w:r>
            <w:r w:rsidRPr="00204461">
              <w:rPr>
                <w:lang w:val="es-ES"/>
              </w:rPr>
              <w:t>el 60% de los habitantes de los países en desarrollo utilice Internet</w:t>
            </w:r>
          </w:p>
        </w:tc>
      </w:tr>
      <w:tr w:rsidR="008A64DF" w:rsidRPr="00B04A9A" w14:paraId="750A9765" w14:textId="77777777" w:rsidTr="00204461">
        <w:trPr>
          <w:cnfStyle w:val="000000100000" w:firstRow="0" w:lastRow="0" w:firstColumn="0" w:lastColumn="0" w:oddVBand="0" w:evenVBand="0" w:oddHBand="1" w:evenHBand="0" w:firstRowFirstColumn="0" w:firstRowLastColumn="0" w:lastRowFirstColumn="0" w:lastRowLastColumn="0"/>
          <w:trHeight w:val="20"/>
          <w:jc w:val="center"/>
        </w:trPr>
        <w:tc>
          <w:tcPr>
            <w:tcW w:w="1244" w:type="dxa"/>
            <w:vMerge/>
            <w:tcBorders>
              <w:right w:val="single" w:sz="4" w:space="0" w:color="4F81BD" w:themeColor="accent1"/>
            </w:tcBorders>
          </w:tcPr>
          <w:p w14:paraId="168559A0" w14:textId="77777777" w:rsidR="008A64DF" w:rsidRPr="00B04A9A" w:rsidRDefault="008A64DF" w:rsidP="00FD3243">
            <w:pPr>
              <w:contextualSpacing/>
              <w:rPr>
                <w:color w:val="000000"/>
                <w:kern w:val="24"/>
                <w:sz w:val="18"/>
                <w:szCs w:val="18"/>
                <w:lang w:val="es-ES" w:eastAsia="en-GB"/>
              </w:rPr>
            </w:pPr>
          </w:p>
        </w:tc>
        <w:tc>
          <w:tcPr>
            <w:tcW w:w="8112" w:type="dxa"/>
            <w:tcBorders>
              <w:left w:val="single" w:sz="4" w:space="0" w:color="4F81BD" w:themeColor="accent1"/>
            </w:tcBorders>
            <w:hideMark/>
          </w:tcPr>
          <w:p w14:paraId="14CC19E8" w14:textId="1F5230AC" w:rsidR="008A64DF" w:rsidRPr="00204461" w:rsidRDefault="008A64DF" w:rsidP="00204461">
            <w:pPr>
              <w:pStyle w:val="Tabletext"/>
              <w:rPr>
                <w:lang w:val="es-ES"/>
              </w:rPr>
            </w:pPr>
            <w:r w:rsidRPr="00204461">
              <w:rPr>
                <w:lang w:val="es-ES"/>
              </w:rPr>
              <w:t xml:space="preserve">Finalidad 2.4: </w:t>
            </w:r>
            <w:r w:rsidR="00140F68">
              <w:rPr>
                <w:lang w:val="es-ES"/>
              </w:rPr>
              <w:t xml:space="preserve">que </w:t>
            </w:r>
            <w:r w:rsidRPr="00204461">
              <w:rPr>
                <w:lang w:val="es-ES"/>
              </w:rPr>
              <w:t>el 30% de los habitantes de los países menos adelantados utilice Internet</w:t>
            </w:r>
          </w:p>
        </w:tc>
      </w:tr>
      <w:tr w:rsidR="008A64DF" w:rsidRPr="00B04A9A" w14:paraId="4D94082E" w14:textId="77777777" w:rsidTr="00204461">
        <w:trPr>
          <w:trHeight w:val="20"/>
          <w:jc w:val="center"/>
        </w:trPr>
        <w:tc>
          <w:tcPr>
            <w:tcW w:w="1244" w:type="dxa"/>
            <w:vMerge/>
            <w:tcBorders>
              <w:top w:val="single" w:sz="4" w:space="0" w:color="4F81BD" w:themeColor="accent1"/>
              <w:bottom w:val="single" w:sz="4" w:space="0" w:color="4F81BD" w:themeColor="accent1"/>
              <w:right w:val="single" w:sz="4" w:space="0" w:color="4F81BD" w:themeColor="accent1"/>
            </w:tcBorders>
          </w:tcPr>
          <w:p w14:paraId="325EEDC9" w14:textId="77777777" w:rsidR="008A64DF" w:rsidRPr="00B04A9A" w:rsidRDefault="008A64DF" w:rsidP="00FD3243">
            <w:pPr>
              <w:contextualSpacing/>
              <w:rPr>
                <w:color w:val="000000"/>
                <w:kern w:val="24"/>
                <w:sz w:val="18"/>
                <w:szCs w:val="18"/>
                <w:lang w:val="es-ES" w:eastAsia="en-GB"/>
              </w:rPr>
            </w:pPr>
          </w:p>
        </w:tc>
        <w:tc>
          <w:tcPr>
            <w:tcW w:w="8112" w:type="dxa"/>
            <w:tcBorders>
              <w:left w:val="single" w:sz="4" w:space="0" w:color="4F81BD" w:themeColor="accent1"/>
            </w:tcBorders>
            <w:hideMark/>
          </w:tcPr>
          <w:p w14:paraId="7ED507AA" w14:textId="1BEF206A" w:rsidR="008A64DF" w:rsidRPr="00204461" w:rsidRDefault="008A64DF" w:rsidP="00204461">
            <w:pPr>
              <w:pStyle w:val="Tabletext"/>
              <w:rPr>
                <w:lang w:val="es-ES"/>
              </w:rPr>
            </w:pPr>
            <w:r w:rsidRPr="00204461">
              <w:rPr>
                <w:lang w:val="es-ES"/>
              </w:rPr>
              <w:t xml:space="preserve">Finalidad 2.5: </w:t>
            </w:r>
            <w:r w:rsidR="00140F68">
              <w:rPr>
                <w:lang w:val="es-ES"/>
              </w:rPr>
              <w:t xml:space="preserve">que </w:t>
            </w:r>
            <w:r w:rsidRPr="00204461">
              <w:rPr>
                <w:lang w:val="es-ES"/>
              </w:rPr>
              <w:t>la brecha de la asequibilidad entre los países desarrollados y en desarrollo se haya reducido un 25% (año de referencia: 2017)</w:t>
            </w:r>
          </w:p>
        </w:tc>
      </w:tr>
      <w:tr w:rsidR="008A64DF" w:rsidRPr="00B04A9A" w14:paraId="0711D0E9" w14:textId="77777777" w:rsidTr="00204461">
        <w:trPr>
          <w:cnfStyle w:val="000000100000" w:firstRow="0" w:lastRow="0" w:firstColumn="0" w:lastColumn="0" w:oddVBand="0" w:evenVBand="0" w:oddHBand="1" w:evenHBand="0" w:firstRowFirstColumn="0" w:firstRowLastColumn="0" w:lastRowFirstColumn="0" w:lastRowLastColumn="0"/>
          <w:trHeight w:val="20"/>
          <w:jc w:val="center"/>
        </w:trPr>
        <w:tc>
          <w:tcPr>
            <w:tcW w:w="1244" w:type="dxa"/>
            <w:vMerge/>
            <w:tcBorders>
              <w:right w:val="single" w:sz="4" w:space="0" w:color="4F81BD" w:themeColor="accent1"/>
            </w:tcBorders>
          </w:tcPr>
          <w:p w14:paraId="430ABDA1" w14:textId="77777777" w:rsidR="008A64DF" w:rsidRPr="00B04A9A" w:rsidRDefault="008A64DF" w:rsidP="00FD3243">
            <w:pPr>
              <w:contextualSpacing/>
              <w:rPr>
                <w:color w:val="000000"/>
                <w:kern w:val="24"/>
                <w:sz w:val="18"/>
                <w:szCs w:val="18"/>
                <w:lang w:val="es-ES" w:eastAsia="en-GB"/>
              </w:rPr>
            </w:pPr>
          </w:p>
        </w:tc>
        <w:tc>
          <w:tcPr>
            <w:tcW w:w="8112" w:type="dxa"/>
            <w:tcBorders>
              <w:left w:val="single" w:sz="4" w:space="0" w:color="4F81BD" w:themeColor="accent1"/>
            </w:tcBorders>
            <w:hideMark/>
          </w:tcPr>
          <w:p w14:paraId="0E199911" w14:textId="6B6BE9A0" w:rsidR="008A64DF" w:rsidRPr="00204461" w:rsidRDefault="008A64DF" w:rsidP="00204461">
            <w:pPr>
              <w:pStyle w:val="Tabletext"/>
              <w:rPr>
                <w:lang w:val="es-ES"/>
              </w:rPr>
            </w:pPr>
            <w:r w:rsidRPr="00204461">
              <w:rPr>
                <w:lang w:val="es-ES"/>
              </w:rPr>
              <w:t xml:space="preserve">Finalidad 2.6: </w:t>
            </w:r>
            <w:r w:rsidR="00140F68">
              <w:rPr>
                <w:lang w:val="es-ES"/>
              </w:rPr>
              <w:t xml:space="preserve">que </w:t>
            </w:r>
            <w:r w:rsidRPr="00204461">
              <w:rPr>
                <w:lang w:val="es-ES"/>
              </w:rPr>
              <w:t>el precio de los servicios de banda ancha no supere el 3% de la renta mensual media en los países en desarrollo</w:t>
            </w:r>
          </w:p>
        </w:tc>
      </w:tr>
      <w:tr w:rsidR="008A64DF" w:rsidRPr="00B04A9A" w14:paraId="5C6630B9" w14:textId="77777777" w:rsidTr="00204461">
        <w:trPr>
          <w:trHeight w:val="20"/>
          <w:jc w:val="center"/>
        </w:trPr>
        <w:tc>
          <w:tcPr>
            <w:tcW w:w="1244" w:type="dxa"/>
            <w:vMerge/>
            <w:tcBorders>
              <w:top w:val="single" w:sz="4" w:space="0" w:color="4F81BD" w:themeColor="accent1"/>
              <w:bottom w:val="single" w:sz="4" w:space="0" w:color="4F81BD" w:themeColor="accent1"/>
              <w:right w:val="single" w:sz="4" w:space="0" w:color="4F81BD" w:themeColor="accent1"/>
            </w:tcBorders>
          </w:tcPr>
          <w:p w14:paraId="518822CE" w14:textId="77777777" w:rsidR="008A64DF" w:rsidRPr="00B04A9A" w:rsidRDefault="008A64DF" w:rsidP="00FD3243">
            <w:pPr>
              <w:contextualSpacing/>
              <w:rPr>
                <w:color w:val="000000"/>
                <w:kern w:val="24"/>
                <w:sz w:val="18"/>
                <w:szCs w:val="18"/>
                <w:lang w:val="es-ES" w:eastAsia="en-GB"/>
              </w:rPr>
            </w:pPr>
          </w:p>
        </w:tc>
        <w:tc>
          <w:tcPr>
            <w:tcW w:w="8112" w:type="dxa"/>
            <w:tcBorders>
              <w:left w:val="single" w:sz="4" w:space="0" w:color="4F81BD" w:themeColor="accent1"/>
            </w:tcBorders>
            <w:hideMark/>
          </w:tcPr>
          <w:p w14:paraId="6EAC2076" w14:textId="638E2B12" w:rsidR="008A64DF" w:rsidRPr="00204461" w:rsidRDefault="008A64DF" w:rsidP="00204461">
            <w:pPr>
              <w:pStyle w:val="Tabletext"/>
              <w:rPr>
                <w:lang w:val="es-ES"/>
              </w:rPr>
            </w:pPr>
            <w:r w:rsidRPr="00204461">
              <w:rPr>
                <w:lang w:val="es-ES"/>
              </w:rPr>
              <w:t xml:space="preserve">Finalidad 2.7: </w:t>
            </w:r>
            <w:r w:rsidR="00140F68">
              <w:rPr>
                <w:lang w:val="es-ES"/>
              </w:rPr>
              <w:t xml:space="preserve">que </w:t>
            </w:r>
            <w:r w:rsidRPr="00204461">
              <w:rPr>
                <w:lang w:val="es-ES"/>
              </w:rPr>
              <w:t>los servicios de banda ancha lleguen al 96% de la población mundial</w:t>
            </w:r>
          </w:p>
        </w:tc>
      </w:tr>
      <w:tr w:rsidR="008A64DF" w:rsidRPr="00B04A9A" w14:paraId="3A9AC89D" w14:textId="77777777" w:rsidTr="00204461">
        <w:trPr>
          <w:cnfStyle w:val="000000100000" w:firstRow="0" w:lastRow="0" w:firstColumn="0" w:lastColumn="0" w:oddVBand="0" w:evenVBand="0" w:oddHBand="1" w:evenHBand="0" w:firstRowFirstColumn="0" w:firstRowLastColumn="0" w:lastRowFirstColumn="0" w:lastRowLastColumn="0"/>
          <w:trHeight w:val="20"/>
          <w:jc w:val="center"/>
        </w:trPr>
        <w:tc>
          <w:tcPr>
            <w:tcW w:w="1244" w:type="dxa"/>
            <w:vMerge/>
            <w:tcBorders>
              <w:right w:val="single" w:sz="4" w:space="0" w:color="4F81BD" w:themeColor="accent1"/>
            </w:tcBorders>
          </w:tcPr>
          <w:p w14:paraId="57680BBD" w14:textId="77777777" w:rsidR="008A64DF" w:rsidRPr="00B04A9A" w:rsidRDefault="008A64DF" w:rsidP="00FD3243">
            <w:pPr>
              <w:contextualSpacing/>
              <w:rPr>
                <w:color w:val="000000"/>
                <w:kern w:val="24"/>
                <w:sz w:val="18"/>
                <w:szCs w:val="18"/>
                <w:lang w:val="es-ES" w:eastAsia="en-GB"/>
              </w:rPr>
            </w:pPr>
          </w:p>
        </w:tc>
        <w:tc>
          <w:tcPr>
            <w:tcW w:w="8112" w:type="dxa"/>
            <w:tcBorders>
              <w:left w:val="single" w:sz="4" w:space="0" w:color="4F81BD" w:themeColor="accent1"/>
            </w:tcBorders>
            <w:hideMark/>
          </w:tcPr>
          <w:p w14:paraId="4D972607" w14:textId="123AF41B" w:rsidR="008A64DF" w:rsidRPr="00204461" w:rsidRDefault="008A64DF" w:rsidP="00204461">
            <w:pPr>
              <w:pStyle w:val="Tabletext"/>
              <w:rPr>
                <w:lang w:val="es-ES"/>
              </w:rPr>
            </w:pPr>
            <w:r w:rsidRPr="00204461">
              <w:rPr>
                <w:lang w:val="es-ES"/>
              </w:rPr>
              <w:t xml:space="preserve">Finalidad 2.8: </w:t>
            </w:r>
            <w:r w:rsidR="00140F68">
              <w:rPr>
                <w:lang w:val="es-ES"/>
              </w:rPr>
              <w:t xml:space="preserve">que </w:t>
            </w:r>
            <w:r w:rsidRPr="00204461">
              <w:rPr>
                <w:lang w:val="es-ES"/>
              </w:rPr>
              <w:t>se haya alcanzado la igualdad de género en la utilización de Internet y la propiedad de teléfonos móviles</w:t>
            </w:r>
          </w:p>
        </w:tc>
      </w:tr>
      <w:tr w:rsidR="008A64DF" w:rsidRPr="00B04A9A" w14:paraId="1761E844" w14:textId="77777777" w:rsidTr="00204461">
        <w:trPr>
          <w:trHeight w:val="20"/>
          <w:jc w:val="center"/>
        </w:trPr>
        <w:tc>
          <w:tcPr>
            <w:tcW w:w="1244" w:type="dxa"/>
            <w:vMerge/>
            <w:tcBorders>
              <w:top w:val="single" w:sz="4" w:space="0" w:color="4F81BD" w:themeColor="accent1"/>
              <w:bottom w:val="single" w:sz="4" w:space="0" w:color="4F81BD" w:themeColor="accent1"/>
              <w:right w:val="single" w:sz="4" w:space="0" w:color="4F81BD" w:themeColor="accent1"/>
            </w:tcBorders>
          </w:tcPr>
          <w:p w14:paraId="5F0F025B" w14:textId="77777777" w:rsidR="008A64DF" w:rsidRPr="00B04A9A" w:rsidRDefault="008A64DF" w:rsidP="00FD3243">
            <w:pPr>
              <w:contextualSpacing/>
              <w:rPr>
                <w:color w:val="000000"/>
                <w:kern w:val="24"/>
                <w:sz w:val="18"/>
                <w:szCs w:val="18"/>
                <w:lang w:val="es-ES" w:eastAsia="en-GB"/>
              </w:rPr>
            </w:pPr>
          </w:p>
        </w:tc>
        <w:tc>
          <w:tcPr>
            <w:tcW w:w="8112" w:type="dxa"/>
            <w:tcBorders>
              <w:left w:val="single" w:sz="4" w:space="0" w:color="4F81BD" w:themeColor="accent1"/>
            </w:tcBorders>
            <w:hideMark/>
          </w:tcPr>
          <w:p w14:paraId="5DDA364C" w14:textId="481643A5" w:rsidR="008A64DF" w:rsidRPr="00204461" w:rsidRDefault="008A64DF" w:rsidP="00204461">
            <w:pPr>
              <w:pStyle w:val="Tabletext"/>
              <w:rPr>
                <w:lang w:val="es-ES"/>
              </w:rPr>
            </w:pPr>
            <w:r w:rsidRPr="00204461">
              <w:rPr>
                <w:lang w:val="es-ES"/>
              </w:rPr>
              <w:t xml:space="preserve">Finalidad 2.9: </w:t>
            </w:r>
            <w:r w:rsidR="00140F68">
              <w:rPr>
                <w:lang w:val="es-ES"/>
              </w:rPr>
              <w:t xml:space="preserve">que </w:t>
            </w:r>
            <w:r w:rsidRPr="00204461">
              <w:rPr>
                <w:lang w:val="es-ES"/>
              </w:rPr>
              <w:t>todos los países hayan creado entornos propicios que permitan a las personas con discapacidad acceder a las telecomunicaciones/TIC</w:t>
            </w:r>
          </w:p>
        </w:tc>
      </w:tr>
      <w:tr w:rsidR="008A64DF" w:rsidRPr="00B04A9A" w14:paraId="364AEF85" w14:textId="77777777" w:rsidTr="00204461">
        <w:trPr>
          <w:cnfStyle w:val="000000100000" w:firstRow="0" w:lastRow="0" w:firstColumn="0" w:lastColumn="0" w:oddVBand="0" w:evenVBand="0" w:oddHBand="1" w:evenHBand="0" w:firstRowFirstColumn="0" w:firstRowLastColumn="0" w:lastRowFirstColumn="0" w:lastRowLastColumn="0"/>
          <w:trHeight w:val="20"/>
          <w:jc w:val="center"/>
        </w:trPr>
        <w:tc>
          <w:tcPr>
            <w:tcW w:w="1244" w:type="dxa"/>
            <w:vMerge/>
            <w:tcBorders>
              <w:right w:val="single" w:sz="4" w:space="0" w:color="4F81BD" w:themeColor="accent1"/>
            </w:tcBorders>
          </w:tcPr>
          <w:p w14:paraId="22182656" w14:textId="77777777" w:rsidR="008A64DF" w:rsidRPr="00B04A9A" w:rsidRDefault="008A64DF" w:rsidP="00FD3243">
            <w:pPr>
              <w:contextualSpacing/>
              <w:rPr>
                <w:color w:val="000000"/>
                <w:kern w:val="24"/>
                <w:sz w:val="18"/>
                <w:szCs w:val="18"/>
                <w:lang w:val="es-ES" w:eastAsia="en-GB"/>
              </w:rPr>
            </w:pPr>
          </w:p>
        </w:tc>
        <w:tc>
          <w:tcPr>
            <w:tcW w:w="8112" w:type="dxa"/>
            <w:tcBorders>
              <w:left w:val="single" w:sz="4" w:space="0" w:color="4F81BD" w:themeColor="accent1"/>
            </w:tcBorders>
            <w:hideMark/>
          </w:tcPr>
          <w:p w14:paraId="13837C79" w14:textId="21B3DD62" w:rsidR="008A64DF" w:rsidRPr="00204461" w:rsidRDefault="008A64DF" w:rsidP="00204461">
            <w:pPr>
              <w:pStyle w:val="Tabletext"/>
              <w:rPr>
                <w:lang w:val="es-ES"/>
              </w:rPr>
            </w:pPr>
            <w:r w:rsidRPr="00204461">
              <w:rPr>
                <w:lang w:val="es-ES"/>
              </w:rPr>
              <w:t xml:space="preserve">Finalidad 2.10: </w:t>
            </w:r>
            <w:r w:rsidR="00140F68">
              <w:rPr>
                <w:lang w:val="es-ES"/>
              </w:rPr>
              <w:t>que l</w:t>
            </w:r>
            <w:r w:rsidRPr="00204461">
              <w:rPr>
                <w:lang w:val="es-ES"/>
              </w:rPr>
              <w:t>a proporción de jóvenes/adultos con competencias en materia de telecomunicaciones/TIC haya aumentado un 40%</w:t>
            </w:r>
          </w:p>
        </w:tc>
      </w:tr>
      <w:tr w:rsidR="008A64DF" w:rsidRPr="00B04A9A" w14:paraId="544A40F6" w14:textId="77777777" w:rsidTr="00204461">
        <w:trPr>
          <w:trHeight w:val="20"/>
          <w:jc w:val="center"/>
        </w:trPr>
        <w:tc>
          <w:tcPr>
            <w:tcW w:w="1244" w:type="dxa"/>
            <w:vMerge w:val="restart"/>
            <w:tcBorders>
              <w:top w:val="single" w:sz="4" w:space="0" w:color="4F81BD" w:themeColor="accent1"/>
              <w:bottom w:val="single" w:sz="4" w:space="0" w:color="4F81BD" w:themeColor="accent1"/>
              <w:right w:val="single" w:sz="4" w:space="0" w:color="4F81BD" w:themeColor="accent1"/>
            </w:tcBorders>
          </w:tcPr>
          <w:p w14:paraId="73D398AE" w14:textId="77777777" w:rsidR="008A64DF" w:rsidRPr="00204461" w:rsidRDefault="008A64DF" w:rsidP="00204461">
            <w:pPr>
              <w:pStyle w:val="Tabletext"/>
              <w:rPr>
                <w:lang w:val="es-ES"/>
              </w:rPr>
            </w:pPr>
            <w:r w:rsidRPr="00204461">
              <w:rPr>
                <w:lang w:val="es-ES"/>
              </w:rPr>
              <w:t>Sostenibilidad</w:t>
            </w:r>
          </w:p>
        </w:tc>
        <w:tc>
          <w:tcPr>
            <w:tcW w:w="8112" w:type="dxa"/>
            <w:tcBorders>
              <w:left w:val="single" w:sz="4" w:space="0" w:color="4F81BD" w:themeColor="accent1"/>
            </w:tcBorders>
            <w:hideMark/>
          </w:tcPr>
          <w:p w14:paraId="17954379" w14:textId="6DE86D85" w:rsidR="008A64DF" w:rsidRPr="00140F68" w:rsidRDefault="008A64DF" w:rsidP="00204461">
            <w:pPr>
              <w:pStyle w:val="Tabletext"/>
              <w:rPr>
                <w:highlight w:val="green"/>
                <w:lang w:val="es-ES"/>
              </w:rPr>
            </w:pPr>
            <w:r w:rsidRPr="005621ED">
              <w:rPr>
                <w:lang w:val="es-ES"/>
              </w:rPr>
              <w:t xml:space="preserve">Finalidad 3.2: </w:t>
            </w:r>
            <w:r w:rsidR="00140F68" w:rsidRPr="005621ED">
              <w:rPr>
                <w:lang w:val="es-ES"/>
              </w:rPr>
              <w:t xml:space="preserve">que </w:t>
            </w:r>
            <w:r w:rsidRPr="005621ED">
              <w:rPr>
                <w:lang w:val="es-ES"/>
              </w:rPr>
              <w:t>se haya aumentado en un 30% la tasa mundial de reciclaje de residuos electrónicos</w:t>
            </w:r>
          </w:p>
        </w:tc>
      </w:tr>
      <w:tr w:rsidR="008A64DF" w:rsidRPr="00B04A9A" w14:paraId="4981A953" w14:textId="77777777" w:rsidTr="00204461">
        <w:trPr>
          <w:cnfStyle w:val="000000100000" w:firstRow="0" w:lastRow="0" w:firstColumn="0" w:lastColumn="0" w:oddVBand="0" w:evenVBand="0" w:oddHBand="1" w:evenHBand="0" w:firstRowFirstColumn="0" w:firstRowLastColumn="0" w:lastRowFirstColumn="0" w:lastRowLastColumn="0"/>
          <w:trHeight w:val="20"/>
          <w:jc w:val="center"/>
        </w:trPr>
        <w:tc>
          <w:tcPr>
            <w:tcW w:w="1244" w:type="dxa"/>
            <w:vMerge/>
            <w:tcBorders>
              <w:right w:val="single" w:sz="4" w:space="0" w:color="4F81BD" w:themeColor="accent1"/>
            </w:tcBorders>
          </w:tcPr>
          <w:p w14:paraId="3FAB0C90" w14:textId="77777777" w:rsidR="008A64DF" w:rsidRPr="00204461" w:rsidRDefault="008A64DF" w:rsidP="00204461">
            <w:pPr>
              <w:pStyle w:val="Tabletext"/>
              <w:rPr>
                <w:lang w:val="es-ES"/>
              </w:rPr>
            </w:pPr>
          </w:p>
        </w:tc>
        <w:tc>
          <w:tcPr>
            <w:tcW w:w="8112" w:type="dxa"/>
            <w:tcBorders>
              <w:left w:val="single" w:sz="4" w:space="0" w:color="4F81BD" w:themeColor="accent1"/>
            </w:tcBorders>
            <w:hideMark/>
          </w:tcPr>
          <w:p w14:paraId="200DB912" w14:textId="6B5BCB6D" w:rsidR="008A64DF" w:rsidRPr="00140F68" w:rsidRDefault="008A64DF" w:rsidP="00204461">
            <w:pPr>
              <w:pStyle w:val="Tabletext"/>
              <w:rPr>
                <w:highlight w:val="green"/>
                <w:lang w:val="es-ES"/>
              </w:rPr>
            </w:pPr>
            <w:r w:rsidRPr="005621ED">
              <w:rPr>
                <w:lang w:val="es-ES"/>
              </w:rPr>
              <w:t xml:space="preserve">Finalidad 3.1: </w:t>
            </w:r>
            <w:r w:rsidR="00140F68" w:rsidRPr="005621ED">
              <w:rPr>
                <w:lang w:val="es-ES"/>
              </w:rPr>
              <w:t xml:space="preserve">que </w:t>
            </w:r>
            <w:r w:rsidRPr="005621ED">
              <w:rPr>
                <w:lang w:val="es-ES"/>
              </w:rPr>
              <w:t>la preparación en términos de ciberseguridad de los países haya mejorado, con competencias clave: se haya aumentado en un 30% la tasa mundial de reciclaje de residuos electrónicos</w:t>
            </w:r>
          </w:p>
        </w:tc>
      </w:tr>
      <w:tr w:rsidR="008A64DF" w:rsidRPr="00B04A9A" w14:paraId="710C3967" w14:textId="77777777" w:rsidTr="00204461">
        <w:trPr>
          <w:trHeight w:val="20"/>
          <w:jc w:val="center"/>
        </w:trPr>
        <w:tc>
          <w:tcPr>
            <w:tcW w:w="1244" w:type="dxa"/>
            <w:vMerge/>
            <w:tcBorders>
              <w:top w:val="single" w:sz="4" w:space="0" w:color="4F81BD" w:themeColor="accent1"/>
              <w:bottom w:val="single" w:sz="4" w:space="0" w:color="4F81BD" w:themeColor="accent1"/>
              <w:right w:val="single" w:sz="4" w:space="0" w:color="4F81BD" w:themeColor="accent1"/>
            </w:tcBorders>
          </w:tcPr>
          <w:p w14:paraId="0E49C16D" w14:textId="77777777" w:rsidR="008A64DF" w:rsidRPr="00204461" w:rsidRDefault="008A64DF" w:rsidP="00204461">
            <w:pPr>
              <w:pStyle w:val="Tabletext"/>
              <w:rPr>
                <w:lang w:val="es-ES"/>
              </w:rPr>
            </w:pPr>
          </w:p>
        </w:tc>
        <w:tc>
          <w:tcPr>
            <w:tcW w:w="8112" w:type="dxa"/>
            <w:tcBorders>
              <w:left w:val="single" w:sz="4" w:space="0" w:color="4F81BD" w:themeColor="accent1"/>
            </w:tcBorders>
            <w:hideMark/>
          </w:tcPr>
          <w:p w14:paraId="3E8E3822" w14:textId="49464620" w:rsidR="008A64DF" w:rsidRPr="00140F68" w:rsidRDefault="008A64DF" w:rsidP="00204461">
            <w:pPr>
              <w:pStyle w:val="Tabletext"/>
              <w:rPr>
                <w:highlight w:val="green"/>
                <w:lang w:val="es-ES"/>
              </w:rPr>
            </w:pPr>
            <w:r w:rsidRPr="005621ED">
              <w:rPr>
                <w:lang w:val="es-ES"/>
              </w:rPr>
              <w:t xml:space="preserve">Finalidad 3.3: </w:t>
            </w:r>
            <w:r w:rsidR="00140F68" w:rsidRPr="005621ED">
              <w:rPr>
                <w:lang w:val="es-ES"/>
              </w:rPr>
              <w:t xml:space="preserve">que </w:t>
            </w:r>
            <w:r w:rsidRPr="005621ED">
              <w:rPr>
                <w:lang w:val="es-ES"/>
              </w:rPr>
              <w:t>se haya duplicado el porcentaje de países dotados de una legislación en materia de residuos electrónicos</w:t>
            </w:r>
          </w:p>
        </w:tc>
      </w:tr>
      <w:tr w:rsidR="008A64DF" w:rsidRPr="00B04A9A" w14:paraId="350388F4" w14:textId="77777777" w:rsidTr="00204461">
        <w:trPr>
          <w:cnfStyle w:val="000000100000" w:firstRow="0" w:lastRow="0" w:firstColumn="0" w:lastColumn="0" w:oddVBand="0" w:evenVBand="0" w:oddHBand="1" w:evenHBand="0" w:firstRowFirstColumn="0" w:firstRowLastColumn="0" w:lastRowFirstColumn="0" w:lastRowLastColumn="0"/>
          <w:trHeight w:val="20"/>
          <w:jc w:val="center"/>
        </w:trPr>
        <w:tc>
          <w:tcPr>
            <w:tcW w:w="1244" w:type="dxa"/>
            <w:vMerge/>
            <w:tcBorders>
              <w:right w:val="single" w:sz="4" w:space="0" w:color="4F81BD" w:themeColor="accent1"/>
            </w:tcBorders>
          </w:tcPr>
          <w:p w14:paraId="7D032870" w14:textId="77777777" w:rsidR="008A64DF" w:rsidRPr="00204461" w:rsidRDefault="008A64DF" w:rsidP="00204461">
            <w:pPr>
              <w:pStyle w:val="Tabletext"/>
              <w:rPr>
                <w:lang w:val="es-ES"/>
              </w:rPr>
            </w:pPr>
          </w:p>
        </w:tc>
        <w:tc>
          <w:tcPr>
            <w:tcW w:w="8112" w:type="dxa"/>
            <w:tcBorders>
              <w:left w:val="single" w:sz="4" w:space="0" w:color="4F81BD" w:themeColor="accent1"/>
            </w:tcBorders>
            <w:hideMark/>
          </w:tcPr>
          <w:p w14:paraId="7D3352FC" w14:textId="7887C409" w:rsidR="008A64DF" w:rsidRPr="00140F68" w:rsidRDefault="008A64DF" w:rsidP="00204461">
            <w:pPr>
              <w:pStyle w:val="Tabletext"/>
              <w:rPr>
                <w:highlight w:val="green"/>
                <w:lang w:val="es-ES"/>
              </w:rPr>
            </w:pPr>
            <w:r w:rsidRPr="005621ED">
              <w:rPr>
                <w:lang w:val="es-ES"/>
              </w:rPr>
              <w:t xml:space="preserve">Finalidad 3.5: </w:t>
            </w:r>
            <w:r w:rsidR="00140F68" w:rsidRPr="005621ED">
              <w:rPr>
                <w:lang w:val="es-ES"/>
              </w:rPr>
              <w:t xml:space="preserve">que </w:t>
            </w:r>
            <w:r w:rsidRPr="005621ED">
              <w:rPr>
                <w:lang w:val="es-ES"/>
              </w:rPr>
              <w:t>todos los países hayan integrado un plan nacional de telecomunicaciones de emergencia en sus estrategias nacionales y locales de reducción del riesgo de catástrofes</w:t>
            </w:r>
          </w:p>
        </w:tc>
      </w:tr>
      <w:tr w:rsidR="008A64DF" w:rsidRPr="00B04A9A" w14:paraId="166F5D44" w14:textId="77777777" w:rsidTr="00204461">
        <w:trPr>
          <w:trHeight w:val="20"/>
          <w:jc w:val="center"/>
        </w:trPr>
        <w:tc>
          <w:tcPr>
            <w:tcW w:w="1244" w:type="dxa"/>
            <w:vMerge/>
            <w:tcBorders>
              <w:top w:val="single" w:sz="4" w:space="0" w:color="4F81BD" w:themeColor="accent1"/>
              <w:bottom w:val="single" w:sz="4" w:space="0" w:color="4F81BD" w:themeColor="accent1"/>
              <w:right w:val="single" w:sz="4" w:space="0" w:color="4F81BD" w:themeColor="accent1"/>
            </w:tcBorders>
          </w:tcPr>
          <w:p w14:paraId="63A9D8C6" w14:textId="77777777" w:rsidR="008A64DF" w:rsidRPr="00204461" w:rsidRDefault="008A64DF" w:rsidP="00204461">
            <w:pPr>
              <w:pStyle w:val="Tabletext"/>
              <w:rPr>
                <w:lang w:val="es-ES"/>
              </w:rPr>
            </w:pPr>
          </w:p>
        </w:tc>
        <w:tc>
          <w:tcPr>
            <w:tcW w:w="8112" w:type="dxa"/>
            <w:tcBorders>
              <w:left w:val="single" w:sz="4" w:space="0" w:color="4F81BD" w:themeColor="accent1"/>
            </w:tcBorders>
            <w:hideMark/>
          </w:tcPr>
          <w:p w14:paraId="05EDFF7F" w14:textId="4EDB1133" w:rsidR="008A64DF" w:rsidRPr="00140F68" w:rsidRDefault="008A64DF" w:rsidP="00204461">
            <w:pPr>
              <w:pStyle w:val="Tabletext"/>
              <w:rPr>
                <w:highlight w:val="green"/>
                <w:lang w:val="es-ES"/>
              </w:rPr>
            </w:pPr>
            <w:r w:rsidRPr="005621ED">
              <w:rPr>
                <w:lang w:val="es-ES"/>
              </w:rPr>
              <w:t xml:space="preserve">Finalidad 3.4: </w:t>
            </w:r>
            <w:r w:rsidR="00140F68" w:rsidRPr="005621ED">
              <w:rPr>
                <w:lang w:val="es-ES"/>
              </w:rPr>
              <w:t xml:space="preserve">que </w:t>
            </w:r>
            <w:r w:rsidRPr="005621ED">
              <w:rPr>
                <w:lang w:val="es-ES"/>
              </w:rPr>
              <w:t>la reducción neta de las emisiones de gases de efecto invernadero propiciada por las telecomunicaciones/TIC haya aumentado un 30% (año de referencia: 2010)</w:t>
            </w:r>
          </w:p>
        </w:tc>
      </w:tr>
      <w:tr w:rsidR="008A64DF" w:rsidRPr="00B04A9A" w14:paraId="644E1904" w14:textId="77777777" w:rsidTr="00204461">
        <w:trPr>
          <w:cnfStyle w:val="000000100000" w:firstRow="0" w:lastRow="0" w:firstColumn="0" w:lastColumn="0" w:oddVBand="0" w:evenVBand="0" w:oddHBand="1" w:evenHBand="0" w:firstRowFirstColumn="0" w:firstRowLastColumn="0" w:lastRowFirstColumn="0" w:lastRowLastColumn="0"/>
          <w:trHeight w:val="20"/>
          <w:jc w:val="center"/>
        </w:trPr>
        <w:tc>
          <w:tcPr>
            <w:tcW w:w="1244" w:type="dxa"/>
            <w:tcBorders>
              <w:right w:val="single" w:sz="4" w:space="0" w:color="4F81BD" w:themeColor="accent1"/>
            </w:tcBorders>
          </w:tcPr>
          <w:p w14:paraId="4959C109" w14:textId="77777777" w:rsidR="008A64DF" w:rsidRPr="00204461" w:rsidRDefault="008A64DF" w:rsidP="00204461">
            <w:pPr>
              <w:pStyle w:val="Tabletext"/>
              <w:rPr>
                <w:lang w:val="es-ES"/>
              </w:rPr>
            </w:pPr>
            <w:r w:rsidRPr="00204461">
              <w:rPr>
                <w:lang w:val="es-ES"/>
              </w:rPr>
              <w:t>Innovación</w:t>
            </w:r>
          </w:p>
        </w:tc>
        <w:tc>
          <w:tcPr>
            <w:tcW w:w="8112" w:type="dxa"/>
            <w:tcBorders>
              <w:left w:val="single" w:sz="4" w:space="0" w:color="4F81BD" w:themeColor="accent1"/>
            </w:tcBorders>
            <w:hideMark/>
          </w:tcPr>
          <w:p w14:paraId="134F4D1D" w14:textId="2204A414" w:rsidR="008A64DF" w:rsidRPr="00204461" w:rsidRDefault="008A64DF" w:rsidP="00204461">
            <w:pPr>
              <w:pStyle w:val="Tabletext"/>
              <w:rPr>
                <w:lang w:val="es-ES"/>
              </w:rPr>
            </w:pPr>
            <w:r w:rsidRPr="00204461">
              <w:rPr>
                <w:lang w:val="es-ES"/>
              </w:rPr>
              <w:t xml:space="preserve">Finalidad 4.1: </w:t>
            </w:r>
            <w:r w:rsidR="00140F68">
              <w:rPr>
                <w:lang w:val="es-ES"/>
              </w:rPr>
              <w:t xml:space="preserve">que </w:t>
            </w:r>
            <w:r w:rsidRPr="00204461">
              <w:rPr>
                <w:lang w:val="es-ES"/>
              </w:rPr>
              <w:t>todos los países dispongan de políticas y/o estrategias encaminadas a fomentar la innovación centrada en las telecomunicaciones/TIC</w:t>
            </w:r>
          </w:p>
        </w:tc>
      </w:tr>
      <w:tr w:rsidR="008A64DF" w:rsidRPr="00B04A9A" w14:paraId="75AE52CB" w14:textId="77777777" w:rsidTr="00204461">
        <w:trPr>
          <w:trHeight w:val="20"/>
          <w:jc w:val="center"/>
        </w:trPr>
        <w:tc>
          <w:tcPr>
            <w:tcW w:w="1244" w:type="dxa"/>
            <w:tcBorders>
              <w:top w:val="single" w:sz="4" w:space="0" w:color="4F81BD" w:themeColor="accent1"/>
              <w:bottom w:val="single" w:sz="4" w:space="0" w:color="4F81BD" w:themeColor="accent1"/>
              <w:right w:val="single" w:sz="4" w:space="0" w:color="4F81BD" w:themeColor="accent1"/>
            </w:tcBorders>
          </w:tcPr>
          <w:p w14:paraId="2322933C" w14:textId="77777777" w:rsidR="008A64DF" w:rsidRPr="00204461" w:rsidRDefault="008A64DF" w:rsidP="00204461">
            <w:pPr>
              <w:pStyle w:val="Tabletext"/>
              <w:rPr>
                <w:lang w:val="es-ES"/>
              </w:rPr>
            </w:pPr>
            <w:r w:rsidRPr="00204461">
              <w:rPr>
                <w:lang w:val="es-ES"/>
              </w:rPr>
              <w:t>Asociaciones</w:t>
            </w:r>
          </w:p>
        </w:tc>
        <w:tc>
          <w:tcPr>
            <w:tcW w:w="8112" w:type="dxa"/>
            <w:tcBorders>
              <w:left w:val="single" w:sz="4" w:space="0" w:color="4F81BD" w:themeColor="accent1"/>
            </w:tcBorders>
            <w:hideMark/>
          </w:tcPr>
          <w:p w14:paraId="0077240A" w14:textId="4AF04FC4" w:rsidR="008A64DF" w:rsidRPr="00204461" w:rsidRDefault="008A64DF" w:rsidP="00204461">
            <w:pPr>
              <w:pStyle w:val="Tabletext"/>
              <w:rPr>
                <w:lang w:val="es-ES"/>
              </w:rPr>
            </w:pPr>
            <w:r w:rsidRPr="00204461">
              <w:rPr>
                <w:lang w:val="es-ES"/>
              </w:rPr>
              <w:t xml:space="preserve">Finalidad 5.1: </w:t>
            </w:r>
            <w:r w:rsidR="00140F68">
              <w:rPr>
                <w:lang w:val="es-ES"/>
              </w:rPr>
              <w:t xml:space="preserve">que </w:t>
            </w:r>
            <w:r w:rsidRPr="00204461">
              <w:rPr>
                <w:lang w:val="es-ES"/>
              </w:rPr>
              <w:t>se hayan incrementado las asociaciones efectivas con interesados y la cooperación con otras organizaciones y entidades del entorno de las telecomunicaciones/TI</w:t>
            </w:r>
            <w:r w:rsidR="00140F68">
              <w:rPr>
                <w:lang w:val="es-ES"/>
              </w:rPr>
              <w:t>C</w:t>
            </w:r>
            <w:r w:rsidR="00F37040">
              <w:rPr>
                <w:lang w:val="es-ES"/>
              </w:rPr>
              <w:t xml:space="preserve"> </w:t>
            </w:r>
            <w:r w:rsidR="00F37040" w:rsidRPr="00F37040">
              <w:rPr>
                <w:lang w:val="es-ES"/>
              </w:rPr>
              <w:t>–</w:t>
            </w:r>
          </w:p>
        </w:tc>
      </w:tr>
    </w:tbl>
    <w:p w14:paraId="32F6A057" w14:textId="77777777" w:rsidR="008A64DF" w:rsidRPr="00273589" w:rsidRDefault="008A64DF" w:rsidP="00273589">
      <w:pPr>
        <w:pStyle w:val="Headingb"/>
        <w:spacing w:after="120"/>
        <w:rPr>
          <w:lang w:val="es-ES"/>
        </w:rPr>
      </w:pPr>
      <w:r w:rsidRPr="00273589">
        <w:rPr>
          <w:lang w:val="es-ES"/>
        </w:rPr>
        <w:lastRenderedPageBreak/>
        <w:t>Resultados: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4533"/>
      </w:tblGrid>
      <w:tr w:rsidR="008A64DF" w:rsidRPr="00B04A9A" w14:paraId="572D5E8E" w14:textId="77777777" w:rsidTr="00D5601F">
        <w:tc>
          <w:tcPr>
            <w:tcW w:w="5106" w:type="dxa"/>
          </w:tcPr>
          <w:p w14:paraId="3A720ADD" w14:textId="4A23CF5B" w:rsidR="008A64DF" w:rsidRPr="00273589" w:rsidRDefault="008A64DF" w:rsidP="00273589">
            <w:pPr>
              <w:keepNext/>
              <w:keepLines/>
              <w:jc w:val="center"/>
              <w:rPr>
                <w:b/>
                <w:bCs/>
                <w:sz w:val="22"/>
                <w:szCs w:val="22"/>
                <w:lang w:val="es-ES"/>
              </w:rPr>
            </w:pPr>
            <w:r w:rsidRPr="00273589">
              <w:rPr>
                <w:b/>
                <w:bCs/>
                <w:sz w:val="22"/>
                <w:szCs w:val="22"/>
                <w:lang w:val="es-ES"/>
              </w:rPr>
              <w:t>Finalidades 1.1, 2.1</w:t>
            </w:r>
            <w:r w:rsidR="00E8048A">
              <w:rPr>
                <w:b/>
                <w:bCs/>
                <w:sz w:val="22"/>
                <w:szCs w:val="22"/>
                <w:lang w:val="es-ES"/>
              </w:rPr>
              <w:t xml:space="preserve"> y</w:t>
            </w:r>
            <w:r w:rsidRPr="00273589">
              <w:rPr>
                <w:b/>
                <w:bCs/>
                <w:sz w:val="22"/>
                <w:szCs w:val="22"/>
                <w:lang w:val="es-ES"/>
              </w:rPr>
              <w:t xml:space="preserve"> 2.2</w:t>
            </w:r>
          </w:p>
        </w:tc>
        <w:tc>
          <w:tcPr>
            <w:tcW w:w="4533" w:type="dxa"/>
          </w:tcPr>
          <w:p w14:paraId="44179148" w14:textId="6439EE14" w:rsidR="008A64DF" w:rsidRPr="00273589" w:rsidRDefault="008A64DF" w:rsidP="00273589">
            <w:pPr>
              <w:keepNext/>
              <w:keepLines/>
              <w:jc w:val="center"/>
              <w:rPr>
                <w:b/>
                <w:bCs/>
                <w:sz w:val="22"/>
                <w:szCs w:val="22"/>
                <w:lang w:val="es-ES"/>
              </w:rPr>
            </w:pPr>
            <w:r w:rsidRPr="00273589">
              <w:rPr>
                <w:b/>
                <w:bCs/>
                <w:sz w:val="22"/>
                <w:szCs w:val="22"/>
                <w:lang w:val="es-ES"/>
              </w:rPr>
              <w:t>Finalidades 1.2, 2.3</w:t>
            </w:r>
            <w:r w:rsidR="00E8048A">
              <w:rPr>
                <w:b/>
                <w:bCs/>
                <w:sz w:val="22"/>
                <w:szCs w:val="22"/>
                <w:lang w:val="es-ES"/>
              </w:rPr>
              <w:t xml:space="preserve"> y</w:t>
            </w:r>
            <w:r w:rsidRPr="00273589">
              <w:rPr>
                <w:b/>
                <w:bCs/>
                <w:sz w:val="22"/>
                <w:szCs w:val="22"/>
                <w:lang w:val="es-ES"/>
              </w:rPr>
              <w:t xml:space="preserve"> 2.4</w:t>
            </w:r>
          </w:p>
        </w:tc>
      </w:tr>
      <w:tr w:rsidR="008A64DF" w:rsidRPr="00B04A9A" w14:paraId="7C78BD48" w14:textId="77777777" w:rsidTr="00D5601F">
        <w:tc>
          <w:tcPr>
            <w:tcW w:w="5106" w:type="dxa"/>
          </w:tcPr>
          <w:p w14:paraId="029160E8" w14:textId="73CDDC34" w:rsidR="00001946" w:rsidRPr="00001946" w:rsidRDefault="00001946" w:rsidP="00001946">
            <w:pPr>
              <w:pStyle w:val="Figure"/>
              <w:rPr>
                <w:lang w:val="es-ES"/>
              </w:rPr>
            </w:pPr>
            <w:r>
              <w:rPr>
                <w:noProof/>
                <w:lang w:val="es-ES"/>
              </w:rPr>
              <w:drawing>
                <wp:inline distT="0" distB="0" distL="0" distR="0" wp14:anchorId="3E1BEF95" wp14:editId="3B85BFA3">
                  <wp:extent cx="2815200" cy="1296000"/>
                  <wp:effectExtent l="0" t="0" r="4445" b="0"/>
                  <wp:docPr id="1257977781" name="Picture 1257977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2815200" cy="1296000"/>
                          </a:xfrm>
                          <a:prstGeom prst="rect">
                            <a:avLst/>
                          </a:prstGeom>
                          <a:noFill/>
                        </pic:spPr>
                      </pic:pic>
                    </a:graphicData>
                  </a:graphic>
                </wp:inline>
              </w:drawing>
            </w:r>
          </w:p>
        </w:tc>
        <w:tc>
          <w:tcPr>
            <w:tcW w:w="4533" w:type="dxa"/>
          </w:tcPr>
          <w:p w14:paraId="1E3F464D" w14:textId="218681A4" w:rsidR="00C46A08" w:rsidRPr="00C46A08" w:rsidRDefault="00C46A08" w:rsidP="00C46A08">
            <w:pPr>
              <w:pStyle w:val="Figure"/>
              <w:rPr>
                <w:lang w:val="es-ES"/>
              </w:rPr>
            </w:pPr>
            <w:r>
              <w:rPr>
                <w:noProof/>
                <w:lang w:val="es-ES"/>
              </w:rPr>
              <w:drawing>
                <wp:inline distT="0" distB="0" distL="0" distR="0" wp14:anchorId="67D305F6" wp14:editId="40282242">
                  <wp:extent cx="2210400" cy="1296000"/>
                  <wp:effectExtent l="0" t="0" r="0" b="0"/>
                  <wp:docPr id="1257977782" name="Picture 1257977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2210400" cy="1296000"/>
                          </a:xfrm>
                          <a:prstGeom prst="rect">
                            <a:avLst/>
                          </a:prstGeom>
                          <a:noFill/>
                        </pic:spPr>
                      </pic:pic>
                    </a:graphicData>
                  </a:graphic>
                </wp:inline>
              </w:drawing>
            </w:r>
          </w:p>
        </w:tc>
      </w:tr>
      <w:tr w:rsidR="008A64DF" w:rsidRPr="00B04A9A" w14:paraId="3765ECB0" w14:textId="77777777" w:rsidTr="00D5601F">
        <w:tc>
          <w:tcPr>
            <w:tcW w:w="5106" w:type="dxa"/>
          </w:tcPr>
          <w:p w14:paraId="59DCFB84" w14:textId="26166F23" w:rsidR="008A64DF" w:rsidRPr="00273589" w:rsidRDefault="008A64DF" w:rsidP="00273589">
            <w:pPr>
              <w:keepNext/>
              <w:keepLines/>
              <w:jc w:val="center"/>
              <w:rPr>
                <w:b/>
                <w:bCs/>
                <w:sz w:val="22"/>
                <w:szCs w:val="22"/>
                <w:lang w:val="es-ES"/>
              </w:rPr>
            </w:pPr>
            <w:r w:rsidRPr="00273589">
              <w:rPr>
                <w:b/>
                <w:bCs/>
                <w:sz w:val="22"/>
                <w:szCs w:val="22"/>
                <w:lang w:val="es-ES"/>
              </w:rPr>
              <w:t>Finalidad</w:t>
            </w:r>
            <w:r w:rsidR="00E8048A">
              <w:rPr>
                <w:b/>
                <w:bCs/>
                <w:sz w:val="22"/>
                <w:szCs w:val="22"/>
                <w:lang w:val="es-ES"/>
              </w:rPr>
              <w:t>es</w:t>
            </w:r>
            <w:r w:rsidRPr="00273589">
              <w:rPr>
                <w:b/>
                <w:bCs/>
                <w:sz w:val="22"/>
                <w:szCs w:val="22"/>
                <w:lang w:val="es-ES"/>
              </w:rPr>
              <w:t xml:space="preserve"> 1.3</w:t>
            </w:r>
            <w:r w:rsidR="00E8048A">
              <w:rPr>
                <w:b/>
                <w:bCs/>
                <w:sz w:val="22"/>
                <w:szCs w:val="22"/>
                <w:lang w:val="es-ES"/>
              </w:rPr>
              <w:t>, 2.5 y 2.6</w:t>
            </w:r>
          </w:p>
        </w:tc>
        <w:tc>
          <w:tcPr>
            <w:tcW w:w="4533" w:type="dxa"/>
          </w:tcPr>
          <w:p w14:paraId="48065E8C" w14:textId="77777777" w:rsidR="008A64DF" w:rsidRPr="00273589" w:rsidRDefault="008A64DF" w:rsidP="00273589">
            <w:pPr>
              <w:keepNext/>
              <w:keepLines/>
              <w:jc w:val="center"/>
              <w:rPr>
                <w:b/>
                <w:bCs/>
                <w:sz w:val="22"/>
                <w:szCs w:val="22"/>
                <w:lang w:val="es-ES"/>
              </w:rPr>
            </w:pPr>
            <w:r w:rsidRPr="00273589">
              <w:rPr>
                <w:b/>
                <w:bCs/>
                <w:sz w:val="22"/>
                <w:szCs w:val="22"/>
                <w:lang w:val="es-ES"/>
              </w:rPr>
              <w:t>Finalidad 1.4</w:t>
            </w:r>
          </w:p>
        </w:tc>
      </w:tr>
      <w:tr w:rsidR="008A64DF" w:rsidRPr="00B04A9A" w14:paraId="33D1632E" w14:textId="77777777" w:rsidTr="00D5601F">
        <w:tc>
          <w:tcPr>
            <w:tcW w:w="5106" w:type="dxa"/>
          </w:tcPr>
          <w:p w14:paraId="5C35EEE2" w14:textId="79097D0A" w:rsidR="00AD4A7A" w:rsidRPr="00B04A9A" w:rsidRDefault="00BC0E43" w:rsidP="00F20FBB">
            <w:pPr>
              <w:pStyle w:val="Figure"/>
              <w:rPr>
                <w:noProof/>
                <w:lang w:val="es-ES"/>
              </w:rPr>
            </w:pPr>
            <w:r>
              <w:rPr>
                <w:noProof/>
              </w:rPr>
              <w:drawing>
                <wp:inline distT="0" distB="0" distL="0" distR="0" wp14:anchorId="7C0EDF65" wp14:editId="619D12B6">
                  <wp:extent cx="2520000" cy="2095200"/>
                  <wp:effectExtent l="0" t="0" r="0" b="635"/>
                  <wp:docPr id="1257977770" name="Picture 1257977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0"/>
                          <a:stretch>
                            <a:fillRect/>
                          </a:stretch>
                        </pic:blipFill>
                        <pic:spPr>
                          <a:xfrm>
                            <a:off x="0" y="0"/>
                            <a:ext cx="2520000" cy="2095200"/>
                          </a:xfrm>
                          <a:prstGeom prst="rect">
                            <a:avLst/>
                          </a:prstGeom>
                        </pic:spPr>
                      </pic:pic>
                    </a:graphicData>
                  </a:graphic>
                </wp:inline>
              </w:drawing>
            </w:r>
          </w:p>
        </w:tc>
        <w:tc>
          <w:tcPr>
            <w:tcW w:w="4533" w:type="dxa"/>
          </w:tcPr>
          <w:p w14:paraId="1C1A30DE" w14:textId="2461211F" w:rsidR="008A64DF" w:rsidRPr="00B04A9A" w:rsidRDefault="00AD4A7A" w:rsidP="00F20FBB">
            <w:pPr>
              <w:pStyle w:val="Figure"/>
              <w:rPr>
                <w:noProof/>
                <w:lang w:val="es-ES"/>
              </w:rPr>
            </w:pPr>
            <w:r>
              <w:rPr>
                <w:noProof/>
                <w:lang w:val="es-ES"/>
              </w:rPr>
              <w:drawing>
                <wp:inline distT="0" distB="0" distL="0" distR="0" wp14:anchorId="51D7CABC" wp14:editId="5DD8650A">
                  <wp:extent cx="2372400" cy="1425600"/>
                  <wp:effectExtent l="0" t="0" r="8890" b="3175"/>
                  <wp:docPr id="695998402" name="Picture 695998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2372400" cy="1425600"/>
                          </a:xfrm>
                          <a:prstGeom prst="rect">
                            <a:avLst/>
                          </a:prstGeom>
                          <a:noFill/>
                        </pic:spPr>
                      </pic:pic>
                    </a:graphicData>
                  </a:graphic>
                </wp:inline>
              </w:drawing>
            </w:r>
          </w:p>
        </w:tc>
      </w:tr>
      <w:tr w:rsidR="008A64DF" w:rsidRPr="00B04A9A" w14:paraId="0DB7C178" w14:textId="77777777" w:rsidTr="00D5601F">
        <w:tc>
          <w:tcPr>
            <w:tcW w:w="5106" w:type="dxa"/>
          </w:tcPr>
          <w:p w14:paraId="00D7A138" w14:textId="77777777" w:rsidR="008A64DF" w:rsidRPr="00273589" w:rsidRDefault="008A64DF" w:rsidP="00273589">
            <w:pPr>
              <w:keepNext/>
              <w:keepLines/>
              <w:jc w:val="center"/>
              <w:rPr>
                <w:b/>
                <w:bCs/>
                <w:sz w:val="22"/>
                <w:szCs w:val="22"/>
                <w:lang w:val="es-ES"/>
              </w:rPr>
            </w:pPr>
            <w:r w:rsidRPr="00AD35CB">
              <w:rPr>
                <w:b/>
                <w:bCs/>
                <w:sz w:val="22"/>
                <w:szCs w:val="22"/>
                <w:lang w:val="es-ES"/>
              </w:rPr>
              <w:t>Finalidad 1.5</w:t>
            </w:r>
          </w:p>
        </w:tc>
        <w:tc>
          <w:tcPr>
            <w:tcW w:w="4533" w:type="dxa"/>
          </w:tcPr>
          <w:p w14:paraId="6B5096D8" w14:textId="77777777" w:rsidR="008A64DF" w:rsidRPr="00273589" w:rsidRDefault="008A64DF" w:rsidP="00273589">
            <w:pPr>
              <w:keepNext/>
              <w:keepLines/>
              <w:jc w:val="center"/>
              <w:rPr>
                <w:b/>
                <w:bCs/>
                <w:sz w:val="22"/>
                <w:szCs w:val="22"/>
                <w:lang w:val="es-ES"/>
              </w:rPr>
            </w:pPr>
          </w:p>
        </w:tc>
      </w:tr>
      <w:tr w:rsidR="008A64DF" w:rsidRPr="00B04A9A" w14:paraId="0D08591C" w14:textId="77777777" w:rsidTr="00D5601F">
        <w:tc>
          <w:tcPr>
            <w:tcW w:w="5106" w:type="dxa"/>
          </w:tcPr>
          <w:p w14:paraId="5D85D9B4" w14:textId="135EC02B" w:rsidR="00925FE1" w:rsidRPr="00925FE1" w:rsidRDefault="00925FE1" w:rsidP="00925FE1">
            <w:pPr>
              <w:pStyle w:val="Figure"/>
              <w:rPr>
                <w:lang w:val="es-ES"/>
              </w:rPr>
            </w:pPr>
            <w:r>
              <w:rPr>
                <w:noProof/>
                <w:lang w:val="es-ES"/>
              </w:rPr>
              <w:drawing>
                <wp:inline distT="0" distB="0" distL="0" distR="0" wp14:anchorId="5CF45786" wp14:editId="34FEE938">
                  <wp:extent cx="2451600" cy="1440000"/>
                  <wp:effectExtent l="0" t="0" r="635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2451600" cy="1440000"/>
                          </a:xfrm>
                          <a:prstGeom prst="rect">
                            <a:avLst/>
                          </a:prstGeom>
                          <a:noFill/>
                        </pic:spPr>
                      </pic:pic>
                    </a:graphicData>
                  </a:graphic>
                </wp:inline>
              </w:drawing>
            </w:r>
          </w:p>
        </w:tc>
        <w:tc>
          <w:tcPr>
            <w:tcW w:w="4533" w:type="dxa"/>
          </w:tcPr>
          <w:p w14:paraId="72FDC8AC" w14:textId="4E3CFE49" w:rsidR="008A64DF" w:rsidRPr="00B04A9A" w:rsidRDefault="008A64DF" w:rsidP="00AF5A45">
            <w:pPr>
              <w:pStyle w:val="Figure"/>
              <w:rPr>
                <w:noProof/>
                <w:lang w:val="es-ES"/>
              </w:rPr>
            </w:pPr>
          </w:p>
        </w:tc>
      </w:tr>
      <w:tr w:rsidR="008A64DF" w:rsidRPr="00B04A9A" w14:paraId="65198251" w14:textId="77777777" w:rsidTr="00D5601F">
        <w:tc>
          <w:tcPr>
            <w:tcW w:w="5106" w:type="dxa"/>
          </w:tcPr>
          <w:p w14:paraId="4147246C" w14:textId="20A67E0B" w:rsidR="008A64DF" w:rsidRPr="00273589" w:rsidRDefault="008A64DF" w:rsidP="00273589">
            <w:pPr>
              <w:keepNext/>
              <w:keepLines/>
              <w:jc w:val="center"/>
              <w:rPr>
                <w:b/>
                <w:bCs/>
                <w:sz w:val="22"/>
                <w:szCs w:val="22"/>
                <w:lang w:val="es-ES"/>
              </w:rPr>
            </w:pPr>
            <w:r w:rsidRPr="00273589">
              <w:rPr>
                <w:b/>
                <w:bCs/>
                <w:sz w:val="22"/>
                <w:szCs w:val="22"/>
                <w:lang w:val="es-ES"/>
              </w:rPr>
              <w:t>Finalidad 1.6</w:t>
            </w:r>
          </w:p>
        </w:tc>
        <w:tc>
          <w:tcPr>
            <w:tcW w:w="4533" w:type="dxa"/>
          </w:tcPr>
          <w:p w14:paraId="614D1488" w14:textId="1D53286B" w:rsidR="008A64DF" w:rsidRPr="00273589" w:rsidRDefault="008A64DF" w:rsidP="00273589">
            <w:pPr>
              <w:keepNext/>
              <w:keepLines/>
              <w:jc w:val="center"/>
              <w:rPr>
                <w:b/>
                <w:bCs/>
                <w:sz w:val="22"/>
                <w:szCs w:val="22"/>
                <w:lang w:val="es-ES"/>
              </w:rPr>
            </w:pPr>
          </w:p>
        </w:tc>
      </w:tr>
      <w:tr w:rsidR="008A64DF" w:rsidRPr="00B04A9A" w14:paraId="173BC826" w14:textId="77777777" w:rsidTr="00D5601F">
        <w:tc>
          <w:tcPr>
            <w:tcW w:w="5106" w:type="dxa"/>
          </w:tcPr>
          <w:p w14:paraId="1EA94042" w14:textId="5644621D" w:rsidR="008A64DF" w:rsidRPr="00B04A9A" w:rsidRDefault="00BE0B8F" w:rsidP="00187E3C">
            <w:pPr>
              <w:pStyle w:val="Figure"/>
              <w:rPr>
                <w:noProof/>
                <w:lang w:val="es-ES"/>
              </w:rPr>
            </w:pPr>
            <w:r>
              <w:rPr>
                <w:noProof/>
              </w:rPr>
              <w:drawing>
                <wp:inline distT="0" distB="0" distL="0" distR="0" wp14:anchorId="1874E2DB" wp14:editId="572FA9BF">
                  <wp:extent cx="2484000" cy="1738800"/>
                  <wp:effectExtent l="0" t="0" r="0" b="0"/>
                  <wp:docPr id="1802487815" name="Picture 1802487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3"/>
                          <a:stretch>
                            <a:fillRect/>
                          </a:stretch>
                        </pic:blipFill>
                        <pic:spPr>
                          <a:xfrm>
                            <a:off x="0" y="0"/>
                            <a:ext cx="2484000" cy="1738800"/>
                          </a:xfrm>
                          <a:prstGeom prst="rect">
                            <a:avLst/>
                          </a:prstGeom>
                        </pic:spPr>
                      </pic:pic>
                    </a:graphicData>
                  </a:graphic>
                </wp:inline>
              </w:drawing>
            </w:r>
          </w:p>
        </w:tc>
        <w:tc>
          <w:tcPr>
            <w:tcW w:w="4533" w:type="dxa"/>
          </w:tcPr>
          <w:p w14:paraId="5E12EDDB" w14:textId="685FD713" w:rsidR="00AD4A7A" w:rsidRPr="00B04A9A" w:rsidRDefault="00BE0B8F" w:rsidP="00F20FBB">
            <w:pPr>
              <w:pStyle w:val="Figure"/>
              <w:rPr>
                <w:noProof/>
                <w:lang w:val="es-ES"/>
              </w:rPr>
            </w:pPr>
            <w:r>
              <w:rPr>
                <w:noProof/>
              </w:rPr>
              <w:drawing>
                <wp:inline distT="0" distB="0" distL="0" distR="0" wp14:anchorId="3FCAE4AB" wp14:editId="65B35C1F">
                  <wp:extent cx="2484000" cy="1868400"/>
                  <wp:effectExtent l="0" t="0" r="0" b="0"/>
                  <wp:docPr id="1802487810" name="Picture 1802487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4"/>
                          <a:stretch>
                            <a:fillRect/>
                          </a:stretch>
                        </pic:blipFill>
                        <pic:spPr>
                          <a:xfrm>
                            <a:off x="0" y="0"/>
                            <a:ext cx="2484000" cy="1868400"/>
                          </a:xfrm>
                          <a:prstGeom prst="rect">
                            <a:avLst/>
                          </a:prstGeom>
                        </pic:spPr>
                      </pic:pic>
                    </a:graphicData>
                  </a:graphic>
                </wp:inline>
              </w:drawing>
            </w:r>
          </w:p>
        </w:tc>
      </w:tr>
      <w:tr w:rsidR="00187E3C" w:rsidRPr="00B04A9A" w14:paraId="52C79DAA" w14:textId="77777777" w:rsidTr="00D5601F">
        <w:tc>
          <w:tcPr>
            <w:tcW w:w="5106" w:type="dxa"/>
          </w:tcPr>
          <w:p w14:paraId="055FAF1A" w14:textId="62A7EF72" w:rsidR="008C0174" w:rsidRPr="008C0174" w:rsidRDefault="008C0174" w:rsidP="008C0174">
            <w:pPr>
              <w:pStyle w:val="Figure"/>
              <w:rPr>
                <w:lang w:val="es-ES"/>
              </w:rPr>
            </w:pPr>
            <w:r>
              <w:rPr>
                <w:noProof/>
              </w:rPr>
              <w:lastRenderedPageBreak/>
              <w:drawing>
                <wp:inline distT="0" distB="0" distL="0" distR="0" wp14:anchorId="5F99E205" wp14:editId="3BE95796">
                  <wp:extent cx="2484000" cy="1764000"/>
                  <wp:effectExtent l="0" t="0" r="0" b="8255"/>
                  <wp:docPr id="1802487819" name="Picture 1802487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5"/>
                          <a:stretch>
                            <a:fillRect/>
                          </a:stretch>
                        </pic:blipFill>
                        <pic:spPr>
                          <a:xfrm>
                            <a:off x="0" y="0"/>
                            <a:ext cx="2484000" cy="1764000"/>
                          </a:xfrm>
                          <a:prstGeom prst="rect">
                            <a:avLst/>
                          </a:prstGeom>
                        </pic:spPr>
                      </pic:pic>
                    </a:graphicData>
                  </a:graphic>
                </wp:inline>
              </w:drawing>
            </w:r>
          </w:p>
        </w:tc>
        <w:tc>
          <w:tcPr>
            <w:tcW w:w="4533" w:type="dxa"/>
          </w:tcPr>
          <w:p w14:paraId="42CD2314" w14:textId="17027FB4" w:rsidR="004D25F0" w:rsidRPr="004D25F0" w:rsidRDefault="004D25F0" w:rsidP="004D25F0">
            <w:pPr>
              <w:pStyle w:val="Figure"/>
              <w:rPr>
                <w:lang w:val="es-ES"/>
              </w:rPr>
            </w:pPr>
          </w:p>
        </w:tc>
      </w:tr>
      <w:tr w:rsidR="008A64DF" w:rsidRPr="00B04A9A" w14:paraId="397F2AA6" w14:textId="77777777" w:rsidTr="00D5601F">
        <w:tc>
          <w:tcPr>
            <w:tcW w:w="5106" w:type="dxa"/>
          </w:tcPr>
          <w:p w14:paraId="439BBD7E" w14:textId="0547FE93" w:rsidR="008A64DF" w:rsidRPr="00273589" w:rsidRDefault="008A64DF" w:rsidP="00273589">
            <w:pPr>
              <w:keepNext/>
              <w:keepLines/>
              <w:jc w:val="center"/>
              <w:rPr>
                <w:b/>
                <w:bCs/>
                <w:sz w:val="22"/>
                <w:szCs w:val="22"/>
                <w:lang w:val="es-ES"/>
              </w:rPr>
            </w:pPr>
            <w:r w:rsidRPr="00273589">
              <w:rPr>
                <w:b/>
                <w:bCs/>
                <w:sz w:val="22"/>
                <w:szCs w:val="22"/>
                <w:lang w:val="es-ES"/>
              </w:rPr>
              <w:t>Finalidad 1.7</w:t>
            </w:r>
          </w:p>
        </w:tc>
        <w:tc>
          <w:tcPr>
            <w:tcW w:w="4533" w:type="dxa"/>
          </w:tcPr>
          <w:p w14:paraId="3F51A04B" w14:textId="77777777" w:rsidR="008A64DF" w:rsidRPr="00273589" w:rsidRDefault="008A64DF" w:rsidP="00273589">
            <w:pPr>
              <w:keepNext/>
              <w:keepLines/>
              <w:jc w:val="center"/>
              <w:rPr>
                <w:b/>
                <w:bCs/>
                <w:sz w:val="22"/>
                <w:szCs w:val="22"/>
                <w:lang w:val="es-ES"/>
              </w:rPr>
            </w:pPr>
          </w:p>
        </w:tc>
      </w:tr>
      <w:tr w:rsidR="008A64DF" w:rsidRPr="00B04A9A" w14:paraId="24587D5F" w14:textId="77777777" w:rsidTr="00D5601F">
        <w:tc>
          <w:tcPr>
            <w:tcW w:w="5106" w:type="dxa"/>
          </w:tcPr>
          <w:p w14:paraId="5E93EE21" w14:textId="08CC791E" w:rsidR="00683D52" w:rsidRPr="00683D52" w:rsidRDefault="00683D52" w:rsidP="00AF5A45">
            <w:pPr>
              <w:pStyle w:val="Figure"/>
              <w:rPr>
                <w:lang w:val="es-ES"/>
              </w:rPr>
            </w:pPr>
            <w:r>
              <w:rPr>
                <w:noProof/>
                <w:lang w:val="es-ES"/>
              </w:rPr>
              <w:drawing>
                <wp:inline distT="0" distB="0" distL="0" distR="0" wp14:anchorId="449EC423" wp14:editId="5A0A9987">
                  <wp:extent cx="2523600" cy="1666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2523600" cy="1666800"/>
                          </a:xfrm>
                          <a:prstGeom prst="rect">
                            <a:avLst/>
                          </a:prstGeom>
                          <a:noFill/>
                        </pic:spPr>
                      </pic:pic>
                    </a:graphicData>
                  </a:graphic>
                </wp:inline>
              </w:drawing>
            </w:r>
          </w:p>
        </w:tc>
        <w:tc>
          <w:tcPr>
            <w:tcW w:w="4533" w:type="dxa"/>
          </w:tcPr>
          <w:p w14:paraId="6C23614B" w14:textId="4B00DA1F" w:rsidR="0093617A" w:rsidRPr="0093617A" w:rsidRDefault="0093617A" w:rsidP="0093617A">
            <w:pPr>
              <w:pStyle w:val="Figure"/>
              <w:rPr>
                <w:lang w:val="es-ES"/>
              </w:rPr>
            </w:pPr>
            <w:r>
              <w:rPr>
                <w:noProof/>
                <w:lang w:val="es-ES"/>
              </w:rPr>
              <w:drawing>
                <wp:inline distT="0" distB="0" distL="0" distR="0" wp14:anchorId="57FE11EB" wp14:editId="3DB82D2B">
                  <wp:extent cx="2350800" cy="165240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2350800" cy="1652400"/>
                          </a:xfrm>
                          <a:prstGeom prst="rect">
                            <a:avLst/>
                          </a:prstGeom>
                          <a:noFill/>
                        </pic:spPr>
                      </pic:pic>
                    </a:graphicData>
                  </a:graphic>
                </wp:inline>
              </w:drawing>
            </w:r>
          </w:p>
        </w:tc>
      </w:tr>
      <w:tr w:rsidR="008A64DF" w:rsidRPr="00B04A9A" w14:paraId="012CA3EB" w14:textId="77777777" w:rsidTr="00D5601F">
        <w:tc>
          <w:tcPr>
            <w:tcW w:w="5106" w:type="dxa"/>
          </w:tcPr>
          <w:p w14:paraId="011A2F0C" w14:textId="77777777" w:rsidR="008A64DF" w:rsidRPr="00273589" w:rsidRDefault="008A64DF" w:rsidP="00273589">
            <w:pPr>
              <w:keepNext/>
              <w:keepLines/>
              <w:jc w:val="center"/>
              <w:rPr>
                <w:b/>
                <w:bCs/>
                <w:sz w:val="22"/>
                <w:szCs w:val="22"/>
                <w:lang w:val="es-ES"/>
              </w:rPr>
            </w:pPr>
            <w:r w:rsidRPr="00273589">
              <w:rPr>
                <w:b/>
                <w:bCs/>
                <w:sz w:val="22"/>
                <w:szCs w:val="22"/>
                <w:lang w:val="es-ES"/>
              </w:rPr>
              <w:t>Finalidad 2.7</w:t>
            </w:r>
          </w:p>
        </w:tc>
        <w:tc>
          <w:tcPr>
            <w:tcW w:w="4533" w:type="dxa"/>
          </w:tcPr>
          <w:p w14:paraId="56B88E01" w14:textId="77777777" w:rsidR="008A64DF" w:rsidRPr="00273589" w:rsidRDefault="008A64DF" w:rsidP="00273589">
            <w:pPr>
              <w:keepNext/>
              <w:keepLines/>
              <w:jc w:val="center"/>
              <w:rPr>
                <w:b/>
                <w:bCs/>
                <w:sz w:val="22"/>
                <w:szCs w:val="22"/>
                <w:lang w:val="es-ES"/>
              </w:rPr>
            </w:pPr>
          </w:p>
        </w:tc>
      </w:tr>
      <w:tr w:rsidR="008A64DF" w:rsidRPr="00B04A9A" w14:paraId="49CE2B39" w14:textId="77777777" w:rsidTr="00D5601F">
        <w:tc>
          <w:tcPr>
            <w:tcW w:w="5106" w:type="dxa"/>
          </w:tcPr>
          <w:p w14:paraId="289922E6" w14:textId="7123B091" w:rsidR="006A5D00" w:rsidRPr="006A5D00" w:rsidRDefault="006A5D00" w:rsidP="006A5D00">
            <w:pPr>
              <w:pStyle w:val="Figure"/>
              <w:rPr>
                <w:lang w:val="es-ES"/>
              </w:rPr>
            </w:pPr>
            <w:r>
              <w:rPr>
                <w:noProof/>
                <w:lang w:val="es-ES"/>
              </w:rPr>
              <w:drawing>
                <wp:inline distT="0" distB="0" distL="0" distR="0" wp14:anchorId="5EF2ED9A" wp14:editId="3C8E630C">
                  <wp:extent cx="2433600" cy="1429200"/>
                  <wp:effectExtent l="0" t="0" r="5080" b="0"/>
                  <wp:docPr id="505389700" name="Picture 505389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2433600" cy="1429200"/>
                          </a:xfrm>
                          <a:prstGeom prst="rect">
                            <a:avLst/>
                          </a:prstGeom>
                          <a:noFill/>
                        </pic:spPr>
                      </pic:pic>
                    </a:graphicData>
                  </a:graphic>
                </wp:inline>
              </w:drawing>
            </w:r>
          </w:p>
        </w:tc>
        <w:tc>
          <w:tcPr>
            <w:tcW w:w="4533" w:type="dxa"/>
          </w:tcPr>
          <w:p w14:paraId="15DC91B3" w14:textId="3014C86F" w:rsidR="00F61A49" w:rsidRPr="00F61A49" w:rsidRDefault="00F61A49" w:rsidP="00AF5A45">
            <w:pPr>
              <w:pStyle w:val="Figure"/>
              <w:rPr>
                <w:lang w:val="es-ES"/>
              </w:rPr>
            </w:pPr>
          </w:p>
        </w:tc>
      </w:tr>
      <w:tr w:rsidR="008A64DF" w:rsidRPr="00B04A9A" w14:paraId="0D7516CC" w14:textId="77777777" w:rsidTr="00D5601F">
        <w:tc>
          <w:tcPr>
            <w:tcW w:w="5106" w:type="dxa"/>
          </w:tcPr>
          <w:p w14:paraId="5D9B8534" w14:textId="5AB6989B" w:rsidR="008A64DF" w:rsidRPr="00273589" w:rsidRDefault="008A64DF" w:rsidP="00273589">
            <w:pPr>
              <w:keepNext/>
              <w:keepLines/>
              <w:jc w:val="center"/>
              <w:rPr>
                <w:b/>
                <w:bCs/>
                <w:sz w:val="22"/>
                <w:szCs w:val="22"/>
                <w:lang w:val="es-ES"/>
              </w:rPr>
            </w:pPr>
            <w:r w:rsidRPr="00273589">
              <w:rPr>
                <w:b/>
                <w:bCs/>
                <w:sz w:val="22"/>
                <w:szCs w:val="22"/>
                <w:lang w:val="es-ES"/>
              </w:rPr>
              <w:t>Finalidad 2.8</w:t>
            </w:r>
          </w:p>
        </w:tc>
        <w:tc>
          <w:tcPr>
            <w:tcW w:w="4533" w:type="dxa"/>
          </w:tcPr>
          <w:p w14:paraId="3251F6C8" w14:textId="5E0A85BB" w:rsidR="008A64DF" w:rsidRPr="00273589" w:rsidRDefault="008A64DF" w:rsidP="00273589">
            <w:pPr>
              <w:keepNext/>
              <w:keepLines/>
              <w:jc w:val="center"/>
              <w:rPr>
                <w:b/>
                <w:bCs/>
                <w:sz w:val="22"/>
                <w:szCs w:val="22"/>
                <w:lang w:val="es-ES"/>
              </w:rPr>
            </w:pPr>
          </w:p>
        </w:tc>
      </w:tr>
      <w:tr w:rsidR="008A64DF" w:rsidRPr="00B04A9A" w14:paraId="28C7F089" w14:textId="77777777" w:rsidTr="00D5601F">
        <w:tc>
          <w:tcPr>
            <w:tcW w:w="5106" w:type="dxa"/>
          </w:tcPr>
          <w:p w14:paraId="5FF8562A" w14:textId="5D984617" w:rsidR="002021A6" w:rsidRPr="002021A6" w:rsidRDefault="00BE0B8F" w:rsidP="00BE0B8F">
            <w:pPr>
              <w:pStyle w:val="Figure"/>
              <w:rPr>
                <w:noProof/>
                <w:lang w:val="es-ES"/>
              </w:rPr>
            </w:pPr>
            <w:r>
              <w:rPr>
                <w:noProof/>
              </w:rPr>
              <w:drawing>
                <wp:inline distT="0" distB="0" distL="0" distR="0" wp14:anchorId="6C1024D4" wp14:editId="4261CC08">
                  <wp:extent cx="2520000" cy="1839600"/>
                  <wp:effectExtent l="0" t="0" r="0" b="8255"/>
                  <wp:docPr id="1802487826" name="Picture 1802487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8"/>
                          <a:stretch>
                            <a:fillRect/>
                          </a:stretch>
                        </pic:blipFill>
                        <pic:spPr>
                          <a:xfrm>
                            <a:off x="0" y="0"/>
                            <a:ext cx="2520000" cy="1839600"/>
                          </a:xfrm>
                          <a:prstGeom prst="rect">
                            <a:avLst/>
                          </a:prstGeom>
                        </pic:spPr>
                      </pic:pic>
                    </a:graphicData>
                  </a:graphic>
                </wp:inline>
              </w:drawing>
            </w:r>
          </w:p>
        </w:tc>
        <w:tc>
          <w:tcPr>
            <w:tcW w:w="4533" w:type="dxa"/>
          </w:tcPr>
          <w:p w14:paraId="550E8317" w14:textId="6D6D91E2" w:rsidR="008A64DF" w:rsidRPr="00B04A9A" w:rsidRDefault="00BE0B8F" w:rsidP="00F20FBB">
            <w:pPr>
              <w:pStyle w:val="Figure"/>
              <w:rPr>
                <w:noProof/>
                <w:lang w:val="es-ES"/>
              </w:rPr>
            </w:pPr>
            <w:r>
              <w:rPr>
                <w:noProof/>
              </w:rPr>
              <w:drawing>
                <wp:inline distT="0" distB="0" distL="0" distR="0" wp14:anchorId="1F8280BE" wp14:editId="6C91B364">
                  <wp:extent cx="2484000" cy="1656000"/>
                  <wp:effectExtent l="0" t="0" r="0" b="1905"/>
                  <wp:docPr id="1802487850" name="Picture 1802487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9"/>
                          <a:stretch>
                            <a:fillRect/>
                          </a:stretch>
                        </pic:blipFill>
                        <pic:spPr>
                          <a:xfrm>
                            <a:off x="0" y="0"/>
                            <a:ext cx="2484000" cy="1656000"/>
                          </a:xfrm>
                          <a:prstGeom prst="rect">
                            <a:avLst/>
                          </a:prstGeom>
                        </pic:spPr>
                      </pic:pic>
                    </a:graphicData>
                  </a:graphic>
                </wp:inline>
              </w:drawing>
            </w:r>
          </w:p>
        </w:tc>
      </w:tr>
      <w:tr w:rsidR="008A64DF" w:rsidRPr="00B04A9A" w14:paraId="2303A834" w14:textId="77777777" w:rsidTr="008A64DF">
        <w:trPr>
          <w:trHeight w:val="2992"/>
        </w:trPr>
        <w:tc>
          <w:tcPr>
            <w:tcW w:w="9639" w:type="dxa"/>
            <w:gridSpan w:val="2"/>
          </w:tcPr>
          <w:p w14:paraId="30D97FAC" w14:textId="1EFACEF6" w:rsidR="008A64DF" w:rsidRPr="00F20FBB" w:rsidRDefault="00BE0B8F" w:rsidP="00F20FBB">
            <w:pPr>
              <w:pStyle w:val="Figure"/>
              <w:rPr>
                <w:noProof/>
                <w:lang w:val="es-ES"/>
              </w:rPr>
            </w:pPr>
            <w:r>
              <w:rPr>
                <w:noProof/>
              </w:rPr>
              <w:lastRenderedPageBreak/>
              <w:drawing>
                <wp:inline distT="0" distB="0" distL="0" distR="0" wp14:anchorId="16E268B8" wp14:editId="06D81AE9">
                  <wp:extent cx="3960000" cy="3088800"/>
                  <wp:effectExtent l="0" t="0" r="2540" b="0"/>
                  <wp:docPr id="1820414980" name="Picture 1820414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0"/>
                          <a:stretch>
                            <a:fillRect/>
                          </a:stretch>
                        </pic:blipFill>
                        <pic:spPr>
                          <a:xfrm>
                            <a:off x="0" y="0"/>
                            <a:ext cx="3960000" cy="3088800"/>
                          </a:xfrm>
                          <a:prstGeom prst="rect">
                            <a:avLst/>
                          </a:prstGeom>
                        </pic:spPr>
                      </pic:pic>
                    </a:graphicData>
                  </a:graphic>
                </wp:inline>
              </w:drawing>
            </w:r>
          </w:p>
        </w:tc>
      </w:tr>
      <w:tr w:rsidR="00E8048A" w:rsidRPr="00B04A9A" w14:paraId="44CFFCBE" w14:textId="77777777" w:rsidTr="00F108E5">
        <w:tc>
          <w:tcPr>
            <w:tcW w:w="9639" w:type="dxa"/>
            <w:gridSpan w:val="2"/>
          </w:tcPr>
          <w:p w14:paraId="65994A9B" w14:textId="0D95ACB6" w:rsidR="00E8048A" w:rsidRPr="00273589" w:rsidRDefault="00E8048A" w:rsidP="00273589">
            <w:pPr>
              <w:keepNext/>
              <w:keepLines/>
              <w:spacing w:before="40" w:after="40"/>
              <w:jc w:val="center"/>
              <w:rPr>
                <w:b/>
                <w:bCs/>
                <w:sz w:val="22"/>
                <w:szCs w:val="22"/>
                <w:lang w:val="es-ES"/>
              </w:rPr>
            </w:pPr>
            <w:r w:rsidRPr="00273589">
              <w:rPr>
                <w:b/>
                <w:bCs/>
                <w:sz w:val="22"/>
                <w:szCs w:val="22"/>
                <w:lang w:val="es-ES"/>
              </w:rPr>
              <w:t>Finalidad 2.9</w:t>
            </w:r>
          </w:p>
        </w:tc>
      </w:tr>
      <w:tr w:rsidR="008A64DF" w:rsidRPr="00B04A9A" w14:paraId="2D587AD2" w14:textId="77777777" w:rsidTr="00D5601F">
        <w:tc>
          <w:tcPr>
            <w:tcW w:w="5106" w:type="dxa"/>
          </w:tcPr>
          <w:p w14:paraId="5E5887A3" w14:textId="4BF7D39E" w:rsidR="00AD4A7A" w:rsidRPr="00F20FBB" w:rsidRDefault="00AD4A7A" w:rsidP="00F20FBB">
            <w:pPr>
              <w:pStyle w:val="Figure"/>
              <w:rPr>
                <w:noProof/>
                <w:lang w:val="es-ES"/>
              </w:rPr>
            </w:pPr>
            <w:r w:rsidRPr="00F20FBB">
              <w:rPr>
                <w:noProof/>
                <w:lang w:val="es-ES"/>
              </w:rPr>
              <w:drawing>
                <wp:inline distT="0" distB="0" distL="0" distR="0" wp14:anchorId="03B759DA" wp14:editId="786FC89A">
                  <wp:extent cx="2376000" cy="1468800"/>
                  <wp:effectExtent l="0" t="0" r="5715" b="0"/>
                  <wp:docPr id="695998423" name="Picture 695998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2376000" cy="1468800"/>
                          </a:xfrm>
                          <a:prstGeom prst="rect">
                            <a:avLst/>
                          </a:prstGeom>
                          <a:noFill/>
                        </pic:spPr>
                      </pic:pic>
                    </a:graphicData>
                  </a:graphic>
                </wp:inline>
              </w:drawing>
            </w:r>
          </w:p>
        </w:tc>
        <w:tc>
          <w:tcPr>
            <w:tcW w:w="4533" w:type="dxa"/>
          </w:tcPr>
          <w:p w14:paraId="055873A0" w14:textId="5A453DF7" w:rsidR="00AD4A7A" w:rsidRPr="00F20FBB" w:rsidRDefault="00AD4A7A" w:rsidP="00F20FBB">
            <w:pPr>
              <w:pStyle w:val="Figure"/>
              <w:rPr>
                <w:lang w:val="es-ES"/>
              </w:rPr>
            </w:pPr>
            <w:r w:rsidRPr="00F20FBB">
              <w:rPr>
                <w:noProof/>
                <w:lang w:val="es-ES"/>
              </w:rPr>
              <w:drawing>
                <wp:inline distT="0" distB="0" distL="0" distR="0" wp14:anchorId="2D671BC7" wp14:editId="3F9FA444">
                  <wp:extent cx="2419200" cy="14688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2419200" cy="1468800"/>
                          </a:xfrm>
                          <a:prstGeom prst="rect">
                            <a:avLst/>
                          </a:prstGeom>
                          <a:noFill/>
                        </pic:spPr>
                      </pic:pic>
                    </a:graphicData>
                  </a:graphic>
                </wp:inline>
              </w:drawing>
            </w:r>
          </w:p>
        </w:tc>
      </w:tr>
      <w:tr w:rsidR="008A64DF" w:rsidRPr="00B04A9A" w14:paraId="21B4BE73" w14:textId="77777777" w:rsidTr="00D5601F">
        <w:tc>
          <w:tcPr>
            <w:tcW w:w="5106" w:type="dxa"/>
          </w:tcPr>
          <w:p w14:paraId="001820B8" w14:textId="3684193D" w:rsidR="008A64DF" w:rsidRPr="00273589" w:rsidRDefault="008A64DF" w:rsidP="00273589">
            <w:pPr>
              <w:keepNext/>
              <w:keepLines/>
              <w:jc w:val="center"/>
              <w:rPr>
                <w:b/>
                <w:bCs/>
                <w:sz w:val="22"/>
                <w:szCs w:val="22"/>
                <w:lang w:val="es-ES"/>
              </w:rPr>
            </w:pPr>
            <w:r w:rsidRPr="00273589">
              <w:rPr>
                <w:b/>
                <w:bCs/>
                <w:sz w:val="22"/>
                <w:szCs w:val="22"/>
                <w:lang w:val="es-ES"/>
              </w:rPr>
              <w:t>Finalidad 2.10</w:t>
            </w:r>
          </w:p>
        </w:tc>
        <w:tc>
          <w:tcPr>
            <w:tcW w:w="4533" w:type="dxa"/>
          </w:tcPr>
          <w:p w14:paraId="32DB4A0E" w14:textId="77777777" w:rsidR="008A64DF" w:rsidRPr="00273589" w:rsidRDefault="008A64DF" w:rsidP="00273589">
            <w:pPr>
              <w:keepNext/>
              <w:keepLines/>
              <w:jc w:val="center"/>
              <w:rPr>
                <w:b/>
                <w:bCs/>
                <w:sz w:val="22"/>
                <w:szCs w:val="22"/>
                <w:lang w:val="es-ES"/>
              </w:rPr>
            </w:pPr>
          </w:p>
        </w:tc>
      </w:tr>
      <w:tr w:rsidR="00675A03" w:rsidRPr="00B04A9A" w14:paraId="1F51CD88" w14:textId="77777777" w:rsidTr="00BC0E43">
        <w:tc>
          <w:tcPr>
            <w:tcW w:w="5106" w:type="dxa"/>
          </w:tcPr>
          <w:p w14:paraId="42266C28" w14:textId="07E2CDE0" w:rsidR="00675A03" w:rsidRPr="00273589" w:rsidRDefault="00675A03" w:rsidP="00675A03">
            <w:pPr>
              <w:pStyle w:val="Figure"/>
              <w:rPr>
                <w:lang w:val="es-ES"/>
              </w:rPr>
            </w:pPr>
            <w:r>
              <w:rPr>
                <w:noProof/>
              </w:rPr>
              <w:drawing>
                <wp:inline distT="0" distB="0" distL="0" distR="0" wp14:anchorId="2300AEB8" wp14:editId="5DAAF302">
                  <wp:extent cx="2520000" cy="1447200"/>
                  <wp:effectExtent l="0" t="0" r="0" b="635"/>
                  <wp:docPr id="505389740" name="Picture 505389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3"/>
                          <a:stretch>
                            <a:fillRect/>
                          </a:stretch>
                        </pic:blipFill>
                        <pic:spPr>
                          <a:xfrm>
                            <a:off x="0" y="0"/>
                            <a:ext cx="2520000" cy="1447200"/>
                          </a:xfrm>
                          <a:prstGeom prst="rect">
                            <a:avLst/>
                          </a:prstGeom>
                        </pic:spPr>
                      </pic:pic>
                    </a:graphicData>
                  </a:graphic>
                </wp:inline>
              </w:drawing>
            </w:r>
          </w:p>
        </w:tc>
        <w:tc>
          <w:tcPr>
            <w:tcW w:w="4533" w:type="dxa"/>
          </w:tcPr>
          <w:p w14:paraId="57101711" w14:textId="2D84E673" w:rsidR="00675A03" w:rsidRPr="00273589" w:rsidRDefault="00675A03" w:rsidP="00675A03">
            <w:pPr>
              <w:pStyle w:val="Figure"/>
              <w:rPr>
                <w:lang w:val="es-ES"/>
              </w:rPr>
            </w:pPr>
            <w:r>
              <w:rPr>
                <w:noProof/>
              </w:rPr>
              <w:drawing>
                <wp:inline distT="0" distB="0" distL="0" distR="0" wp14:anchorId="5E89A663" wp14:editId="411C21D1">
                  <wp:extent cx="2538000" cy="1447200"/>
                  <wp:effectExtent l="0" t="0" r="0" b="635"/>
                  <wp:docPr id="505389741" name="Picture 505389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4"/>
                          <a:stretch>
                            <a:fillRect/>
                          </a:stretch>
                        </pic:blipFill>
                        <pic:spPr>
                          <a:xfrm>
                            <a:off x="0" y="0"/>
                            <a:ext cx="2538000" cy="1447200"/>
                          </a:xfrm>
                          <a:prstGeom prst="rect">
                            <a:avLst/>
                          </a:prstGeom>
                        </pic:spPr>
                      </pic:pic>
                    </a:graphicData>
                  </a:graphic>
                </wp:inline>
              </w:drawing>
            </w:r>
          </w:p>
        </w:tc>
      </w:tr>
      <w:tr w:rsidR="008A64DF" w:rsidRPr="00B04A9A" w14:paraId="64117B28" w14:textId="77777777" w:rsidTr="00DF0F81">
        <w:tc>
          <w:tcPr>
            <w:tcW w:w="5106" w:type="dxa"/>
          </w:tcPr>
          <w:p w14:paraId="0D5DD0C7" w14:textId="587E3DA8" w:rsidR="008A64DF" w:rsidRDefault="008A64DF" w:rsidP="00273589">
            <w:pPr>
              <w:keepNext/>
              <w:keepLines/>
              <w:jc w:val="center"/>
              <w:rPr>
                <w:b/>
                <w:bCs/>
                <w:sz w:val="22"/>
                <w:szCs w:val="22"/>
                <w:lang w:val="es-ES"/>
              </w:rPr>
            </w:pPr>
            <w:r w:rsidRPr="00273589">
              <w:rPr>
                <w:b/>
                <w:bCs/>
                <w:sz w:val="22"/>
                <w:szCs w:val="22"/>
                <w:lang w:val="es-ES"/>
              </w:rPr>
              <w:lastRenderedPageBreak/>
              <w:t>Finalidad 3.1</w:t>
            </w:r>
          </w:p>
          <w:p w14:paraId="6C62B87C" w14:textId="2A973C03" w:rsidR="00E8048A" w:rsidRPr="00DF0F81" w:rsidRDefault="00E8048A" w:rsidP="00DF0F81">
            <w:pPr>
              <w:rPr>
                <w:sz w:val="18"/>
                <w:szCs w:val="18"/>
                <w:lang w:val="es-ES"/>
              </w:rPr>
            </w:pPr>
            <w:r w:rsidRPr="00DF0F81">
              <w:rPr>
                <w:sz w:val="18"/>
                <w:szCs w:val="18"/>
                <w:lang w:val="es-ES"/>
              </w:rPr>
              <w:t>Véanse los resultados del Objetivo D.2 para los datos de 2021</w:t>
            </w:r>
            <w:r w:rsidR="00DF0F81">
              <w:rPr>
                <w:sz w:val="18"/>
                <w:szCs w:val="18"/>
                <w:lang w:val="es-ES"/>
              </w:rPr>
              <w:t>.</w:t>
            </w:r>
          </w:p>
        </w:tc>
        <w:tc>
          <w:tcPr>
            <w:tcW w:w="4533" w:type="dxa"/>
          </w:tcPr>
          <w:p w14:paraId="224C4C22" w14:textId="3003317C" w:rsidR="008A64DF" w:rsidRPr="00F20FBB" w:rsidRDefault="008A64DF" w:rsidP="00273589">
            <w:pPr>
              <w:keepNext/>
              <w:keepLines/>
              <w:spacing w:before="40" w:after="40"/>
              <w:jc w:val="center"/>
              <w:rPr>
                <w:b/>
                <w:bCs/>
                <w:sz w:val="22"/>
                <w:szCs w:val="22"/>
                <w:lang w:val="es-ES"/>
              </w:rPr>
            </w:pPr>
          </w:p>
        </w:tc>
      </w:tr>
      <w:tr w:rsidR="008A64DF" w:rsidRPr="00B04A9A" w14:paraId="3A46B70E" w14:textId="77777777" w:rsidTr="00DF0F81">
        <w:tc>
          <w:tcPr>
            <w:tcW w:w="5106" w:type="dxa"/>
          </w:tcPr>
          <w:p w14:paraId="0DAEA053" w14:textId="7C2D65E1" w:rsidR="00AC0C65" w:rsidRPr="00AC0C65" w:rsidRDefault="00AC0C65" w:rsidP="00AC0C65">
            <w:pPr>
              <w:pStyle w:val="Figure"/>
              <w:rPr>
                <w:lang w:val="es-ES"/>
              </w:rPr>
            </w:pPr>
            <w:r>
              <w:rPr>
                <w:noProof/>
                <w:lang w:val="es-ES"/>
              </w:rPr>
              <w:drawing>
                <wp:inline distT="0" distB="0" distL="0" distR="0" wp14:anchorId="5B1F6EA3" wp14:editId="0F3237E8">
                  <wp:extent cx="2390400" cy="1393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2390400" cy="1393200"/>
                          </a:xfrm>
                          <a:prstGeom prst="rect">
                            <a:avLst/>
                          </a:prstGeom>
                          <a:noFill/>
                        </pic:spPr>
                      </pic:pic>
                    </a:graphicData>
                  </a:graphic>
                </wp:inline>
              </w:drawing>
            </w:r>
          </w:p>
        </w:tc>
        <w:tc>
          <w:tcPr>
            <w:tcW w:w="4533" w:type="dxa"/>
          </w:tcPr>
          <w:p w14:paraId="7F494E1D" w14:textId="49DF4D4C" w:rsidR="00AD4A7A" w:rsidRPr="00F20FBB" w:rsidRDefault="00AD4A7A" w:rsidP="00F20FBB">
            <w:pPr>
              <w:pStyle w:val="Figure"/>
              <w:rPr>
                <w:lang w:val="es-ES"/>
              </w:rPr>
            </w:pPr>
            <w:r w:rsidRPr="00F20FBB">
              <w:rPr>
                <w:noProof/>
                <w:lang w:val="es-ES"/>
              </w:rPr>
              <w:drawing>
                <wp:inline distT="0" distB="0" distL="0" distR="0" wp14:anchorId="16A54596" wp14:editId="5CE65A93">
                  <wp:extent cx="2242800" cy="1393200"/>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2242800" cy="1393200"/>
                          </a:xfrm>
                          <a:prstGeom prst="rect">
                            <a:avLst/>
                          </a:prstGeom>
                          <a:noFill/>
                        </pic:spPr>
                      </pic:pic>
                    </a:graphicData>
                  </a:graphic>
                </wp:inline>
              </w:drawing>
            </w:r>
          </w:p>
        </w:tc>
      </w:tr>
      <w:tr w:rsidR="008A64DF" w:rsidRPr="00B04A9A" w14:paraId="78CD045C" w14:textId="77777777" w:rsidTr="00DF0F81">
        <w:tc>
          <w:tcPr>
            <w:tcW w:w="5106" w:type="dxa"/>
          </w:tcPr>
          <w:p w14:paraId="26E5F1E0" w14:textId="77777777" w:rsidR="008A64DF" w:rsidRPr="00273589" w:rsidRDefault="008A64DF" w:rsidP="00273589">
            <w:pPr>
              <w:keepNext/>
              <w:keepLines/>
              <w:jc w:val="center"/>
              <w:rPr>
                <w:b/>
                <w:bCs/>
                <w:sz w:val="22"/>
                <w:szCs w:val="22"/>
                <w:lang w:val="es-ES"/>
              </w:rPr>
            </w:pPr>
            <w:r w:rsidRPr="00273589">
              <w:rPr>
                <w:b/>
                <w:bCs/>
                <w:sz w:val="22"/>
                <w:szCs w:val="22"/>
                <w:lang w:val="es-ES"/>
              </w:rPr>
              <w:t>Finalidad 3.2</w:t>
            </w:r>
          </w:p>
        </w:tc>
        <w:tc>
          <w:tcPr>
            <w:tcW w:w="4533" w:type="dxa"/>
          </w:tcPr>
          <w:p w14:paraId="5E7CE794" w14:textId="77777777" w:rsidR="008A64DF" w:rsidRPr="00273589" w:rsidRDefault="008A64DF" w:rsidP="00273589">
            <w:pPr>
              <w:keepNext/>
              <w:keepLines/>
              <w:spacing w:before="40" w:after="40"/>
              <w:jc w:val="center"/>
              <w:rPr>
                <w:b/>
                <w:bCs/>
                <w:sz w:val="22"/>
                <w:szCs w:val="22"/>
                <w:lang w:val="es-ES"/>
              </w:rPr>
            </w:pPr>
          </w:p>
        </w:tc>
      </w:tr>
      <w:tr w:rsidR="008A64DF" w:rsidRPr="00B04A9A" w14:paraId="172130A2" w14:textId="77777777" w:rsidTr="00DF0F81">
        <w:tc>
          <w:tcPr>
            <w:tcW w:w="5106" w:type="dxa"/>
          </w:tcPr>
          <w:p w14:paraId="6C2D3754" w14:textId="4ACC5AB2" w:rsidR="00AD4A7A" w:rsidRPr="00B04A9A" w:rsidRDefault="00944A0E" w:rsidP="00F20FBB">
            <w:pPr>
              <w:pStyle w:val="Figure"/>
              <w:rPr>
                <w:noProof/>
                <w:lang w:val="es-ES"/>
              </w:rPr>
            </w:pPr>
            <w:r>
              <w:rPr>
                <w:noProof/>
                <w:lang w:val="es-ES"/>
              </w:rPr>
              <w:drawing>
                <wp:inline distT="0" distB="0" distL="0" distR="0" wp14:anchorId="1CC03BCD" wp14:editId="1BC06ECC">
                  <wp:extent cx="2671200" cy="1418400"/>
                  <wp:effectExtent l="0" t="0" r="0" b="0"/>
                  <wp:docPr id="695998410" name="Picture 695998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2671200" cy="1418400"/>
                          </a:xfrm>
                          <a:prstGeom prst="rect">
                            <a:avLst/>
                          </a:prstGeom>
                          <a:noFill/>
                        </pic:spPr>
                      </pic:pic>
                    </a:graphicData>
                  </a:graphic>
                </wp:inline>
              </w:drawing>
            </w:r>
          </w:p>
        </w:tc>
        <w:tc>
          <w:tcPr>
            <w:tcW w:w="4533" w:type="dxa"/>
          </w:tcPr>
          <w:p w14:paraId="1DB07FBD" w14:textId="7D72677C" w:rsidR="00944A0E" w:rsidRPr="00B04A9A" w:rsidRDefault="00944A0E" w:rsidP="00F20FBB">
            <w:pPr>
              <w:pStyle w:val="Figure"/>
              <w:rPr>
                <w:lang w:val="es-ES"/>
              </w:rPr>
            </w:pPr>
            <w:r>
              <w:rPr>
                <w:noProof/>
                <w:lang w:val="es-ES"/>
              </w:rPr>
              <w:drawing>
                <wp:inline distT="0" distB="0" distL="0" distR="0" wp14:anchorId="28F8ED5F" wp14:editId="361BA35D">
                  <wp:extent cx="2361600" cy="141840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2361600" cy="1418400"/>
                          </a:xfrm>
                          <a:prstGeom prst="rect">
                            <a:avLst/>
                          </a:prstGeom>
                          <a:noFill/>
                        </pic:spPr>
                      </pic:pic>
                    </a:graphicData>
                  </a:graphic>
                </wp:inline>
              </w:drawing>
            </w:r>
          </w:p>
        </w:tc>
      </w:tr>
      <w:tr w:rsidR="008A64DF" w:rsidRPr="00B04A9A" w14:paraId="304A2AD0" w14:textId="77777777" w:rsidTr="00DF0F81">
        <w:tc>
          <w:tcPr>
            <w:tcW w:w="5106" w:type="dxa"/>
          </w:tcPr>
          <w:p w14:paraId="6DDB0D6B" w14:textId="77777777" w:rsidR="008A64DF" w:rsidRPr="00273589" w:rsidRDefault="008A64DF" w:rsidP="00273589">
            <w:pPr>
              <w:keepNext/>
              <w:keepLines/>
              <w:jc w:val="center"/>
              <w:rPr>
                <w:b/>
                <w:bCs/>
                <w:sz w:val="22"/>
                <w:szCs w:val="22"/>
                <w:lang w:val="es-ES"/>
              </w:rPr>
            </w:pPr>
            <w:r w:rsidRPr="00273589">
              <w:rPr>
                <w:b/>
                <w:bCs/>
                <w:sz w:val="22"/>
                <w:szCs w:val="22"/>
                <w:lang w:val="es-ES"/>
              </w:rPr>
              <w:t>Finalidad 3.3</w:t>
            </w:r>
          </w:p>
        </w:tc>
        <w:tc>
          <w:tcPr>
            <w:tcW w:w="4533" w:type="dxa"/>
          </w:tcPr>
          <w:p w14:paraId="6EAAFA1D" w14:textId="77777777" w:rsidR="008A64DF" w:rsidRPr="00273589" w:rsidRDefault="008A64DF" w:rsidP="00273589">
            <w:pPr>
              <w:keepNext/>
              <w:keepLines/>
              <w:jc w:val="center"/>
              <w:rPr>
                <w:b/>
                <w:bCs/>
                <w:sz w:val="22"/>
                <w:szCs w:val="22"/>
                <w:lang w:val="es-ES"/>
              </w:rPr>
            </w:pPr>
            <w:r w:rsidRPr="00273589">
              <w:rPr>
                <w:b/>
                <w:bCs/>
                <w:sz w:val="22"/>
                <w:szCs w:val="22"/>
                <w:lang w:val="es-ES"/>
              </w:rPr>
              <w:t>Finalidad 3.4</w:t>
            </w:r>
          </w:p>
        </w:tc>
      </w:tr>
      <w:tr w:rsidR="008A64DF" w:rsidRPr="00B04A9A" w14:paraId="5217097E" w14:textId="77777777" w:rsidTr="00DF0F81">
        <w:tc>
          <w:tcPr>
            <w:tcW w:w="5106" w:type="dxa"/>
          </w:tcPr>
          <w:p w14:paraId="28594634" w14:textId="1B714D89" w:rsidR="00944A0E" w:rsidRPr="00B04A9A" w:rsidRDefault="00944A0E" w:rsidP="00F20FBB">
            <w:pPr>
              <w:pStyle w:val="Figure"/>
              <w:rPr>
                <w:noProof/>
                <w:lang w:val="es-ES"/>
              </w:rPr>
            </w:pPr>
            <w:r>
              <w:rPr>
                <w:noProof/>
                <w:lang w:val="es-ES"/>
              </w:rPr>
              <w:drawing>
                <wp:inline distT="0" distB="0" distL="0" distR="0" wp14:anchorId="64B8548A" wp14:editId="0E900ED3">
                  <wp:extent cx="2660400" cy="1638000"/>
                  <wp:effectExtent l="0" t="0" r="698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2660400" cy="1638000"/>
                          </a:xfrm>
                          <a:prstGeom prst="rect">
                            <a:avLst/>
                          </a:prstGeom>
                          <a:noFill/>
                        </pic:spPr>
                      </pic:pic>
                    </a:graphicData>
                  </a:graphic>
                </wp:inline>
              </w:drawing>
            </w:r>
          </w:p>
        </w:tc>
        <w:tc>
          <w:tcPr>
            <w:tcW w:w="4533" w:type="dxa"/>
          </w:tcPr>
          <w:p w14:paraId="03E70E2A" w14:textId="032E449D" w:rsidR="008A64DF" w:rsidRPr="00DF0F81" w:rsidRDefault="008A64DF" w:rsidP="00FD3243">
            <w:pPr>
              <w:spacing w:before="40" w:after="40"/>
              <w:jc w:val="center"/>
              <w:rPr>
                <w:noProof/>
                <w:sz w:val="18"/>
                <w:szCs w:val="18"/>
                <w:lang w:val="es-ES"/>
              </w:rPr>
            </w:pPr>
            <w:r w:rsidRPr="00DF0F81">
              <w:rPr>
                <w:noProof/>
                <w:sz w:val="18"/>
                <w:szCs w:val="18"/>
                <w:lang w:val="es-ES"/>
              </w:rPr>
              <w:t>No se dispone de datos</w:t>
            </w:r>
            <w:r w:rsidR="00DF0F81">
              <w:rPr>
                <w:noProof/>
                <w:sz w:val="18"/>
                <w:szCs w:val="18"/>
                <w:lang w:val="es-ES"/>
              </w:rPr>
              <w:t>.</w:t>
            </w:r>
          </w:p>
        </w:tc>
      </w:tr>
      <w:tr w:rsidR="008A64DF" w:rsidRPr="00B04A9A" w14:paraId="37D10329" w14:textId="77777777" w:rsidTr="00DF0F81">
        <w:tc>
          <w:tcPr>
            <w:tcW w:w="5106" w:type="dxa"/>
          </w:tcPr>
          <w:p w14:paraId="5B4494E2" w14:textId="77777777" w:rsidR="008A64DF" w:rsidRPr="00273589" w:rsidRDefault="008A64DF" w:rsidP="00273589">
            <w:pPr>
              <w:keepNext/>
              <w:keepLines/>
              <w:jc w:val="center"/>
              <w:rPr>
                <w:b/>
                <w:bCs/>
                <w:sz w:val="22"/>
                <w:szCs w:val="22"/>
                <w:lang w:val="es-ES"/>
              </w:rPr>
            </w:pPr>
            <w:r w:rsidRPr="00273589">
              <w:rPr>
                <w:b/>
                <w:bCs/>
                <w:sz w:val="22"/>
                <w:szCs w:val="22"/>
                <w:lang w:val="es-ES"/>
              </w:rPr>
              <w:t>Finalidad 3.5</w:t>
            </w:r>
          </w:p>
        </w:tc>
        <w:tc>
          <w:tcPr>
            <w:tcW w:w="4533" w:type="dxa"/>
          </w:tcPr>
          <w:p w14:paraId="21C5AED6" w14:textId="77777777" w:rsidR="008A64DF" w:rsidRPr="00273589" w:rsidRDefault="008A64DF" w:rsidP="00273589">
            <w:pPr>
              <w:keepNext/>
              <w:keepLines/>
              <w:jc w:val="center"/>
              <w:rPr>
                <w:b/>
                <w:bCs/>
                <w:sz w:val="22"/>
                <w:szCs w:val="22"/>
                <w:lang w:val="es-ES"/>
              </w:rPr>
            </w:pPr>
            <w:r w:rsidRPr="00273589">
              <w:rPr>
                <w:b/>
                <w:bCs/>
                <w:sz w:val="22"/>
                <w:szCs w:val="22"/>
                <w:lang w:val="es-ES"/>
              </w:rPr>
              <w:t>Finalidad 4.1</w:t>
            </w:r>
          </w:p>
        </w:tc>
      </w:tr>
      <w:tr w:rsidR="008A64DF" w:rsidRPr="00B04A9A" w14:paraId="74B95BEE" w14:textId="77777777" w:rsidTr="00DF0F81">
        <w:tc>
          <w:tcPr>
            <w:tcW w:w="5106" w:type="dxa"/>
          </w:tcPr>
          <w:p w14:paraId="6873174E" w14:textId="04C8FAF3" w:rsidR="008A64DF" w:rsidRPr="00B04A9A" w:rsidRDefault="008A64DF" w:rsidP="00FD3243">
            <w:pPr>
              <w:jc w:val="center"/>
              <w:rPr>
                <w:noProof/>
                <w:sz w:val="18"/>
                <w:szCs w:val="18"/>
                <w:lang w:val="es-ES"/>
              </w:rPr>
            </w:pPr>
            <w:r w:rsidRPr="008743DF">
              <w:rPr>
                <w:noProof/>
                <w:sz w:val="18"/>
                <w:szCs w:val="18"/>
                <w:lang w:val="es-ES"/>
              </w:rPr>
              <w:t xml:space="preserve">Los datos preliminares para 2020 muestran que </w:t>
            </w:r>
            <w:r w:rsidRPr="0093617A">
              <w:rPr>
                <w:b/>
                <w:bCs/>
                <w:noProof/>
                <w:sz w:val="18"/>
                <w:szCs w:val="18"/>
                <w:lang w:val="es-ES"/>
              </w:rPr>
              <w:t>menos del 25% de los países</w:t>
            </w:r>
            <w:r w:rsidRPr="008743DF">
              <w:rPr>
                <w:noProof/>
                <w:sz w:val="18"/>
                <w:szCs w:val="18"/>
                <w:lang w:val="es-ES"/>
              </w:rPr>
              <w:t xml:space="preserve"> tienen un plan NETP o similar en marcha</w:t>
            </w:r>
          </w:p>
          <w:p w14:paraId="3E471930" w14:textId="77777777" w:rsidR="008A64DF" w:rsidRPr="00B04A9A" w:rsidRDefault="008A64DF" w:rsidP="00FD3243">
            <w:pPr>
              <w:jc w:val="center"/>
              <w:rPr>
                <w:noProof/>
                <w:sz w:val="14"/>
                <w:szCs w:val="14"/>
                <w:lang w:val="es-ES"/>
              </w:rPr>
            </w:pPr>
            <w:r w:rsidRPr="00B04A9A">
              <w:rPr>
                <w:noProof/>
                <w:sz w:val="14"/>
                <w:szCs w:val="14"/>
                <w:lang w:val="es-ES"/>
              </w:rPr>
              <w:t>(</w:t>
            </w:r>
            <w:r>
              <w:rPr>
                <w:noProof/>
                <w:sz w:val="14"/>
                <w:szCs w:val="14"/>
                <w:lang w:val="es-ES"/>
              </w:rPr>
              <w:t>con todos los datos de las Américas recopilados y datos parciales de las Islas del Pacífico y los Estados Árabes</w:t>
            </w:r>
            <w:r w:rsidRPr="00B04A9A">
              <w:rPr>
                <w:noProof/>
                <w:sz w:val="14"/>
                <w:szCs w:val="14"/>
                <w:lang w:val="es-ES"/>
              </w:rPr>
              <w:t>)</w:t>
            </w:r>
          </w:p>
        </w:tc>
        <w:tc>
          <w:tcPr>
            <w:tcW w:w="4533" w:type="dxa"/>
          </w:tcPr>
          <w:p w14:paraId="489E1C88" w14:textId="61FE90A5" w:rsidR="00E8048A" w:rsidRPr="00E8048A" w:rsidRDefault="00DF0F81" w:rsidP="00DF0F81">
            <w:pPr>
              <w:pStyle w:val="Figure"/>
              <w:rPr>
                <w:noProof/>
                <w:lang w:val="es-ES"/>
              </w:rPr>
            </w:pPr>
            <w:r>
              <w:rPr>
                <w:noProof/>
                <w:lang w:val="es-ES"/>
              </w:rPr>
              <w:drawing>
                <wp:inline distT="0" distB="0" distL="0" distR="0" wp14:anchorId="5930FDAF" wp14:editId="4780F598">
                  <wp:extent cx="2275200" cy="1375200"/>
                  <wp:effectExtent l="0" t="0" r="0" b="0"/>
                  <wp:docPr id="505389742" name="Picture 505389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2275200" cy="1375200"/>
                          </a:xfrm>
                          <a:prstGeom prst="rect">
                            <a:avLst/>
                          </a:prstGeom>
                          <a:noFill/>
                        </pic:spPr>
                      </pic:pic>
                    </a:graphicData>
                  </a:graphic>
                </wp:inline>
              </w:drawing>
            </w:r>
          </w:p>
        </w:tc>
      </w:tr>
      <w:tr w:rsidR="004266C4" w:rsidRPr="00B04A9A" w14:paraId="7903534D" w14:textId="77777777" w:rsidTr="00417F72">
        <w:tc>
          <w:tcPr>
            <w:tcW w:w="9639" w:type="dxa"/>
            <w:gridSpan w:val="2"/>
          </w:tcPr>
          <w:p w14:paraId="11620916" w14:textId="173F86E9" w:rsidR="004266C4" w:rsidRPr="00273589" w:rsidRDefault="004266C4" w:rsidP="00273589">
            <w:pPr>
              <w:keepNext/>
              <w:keepLines/>
              <w:spacing w:before="40" w:after="40"/>
              <w:jc w:val="center"/>
              <w:rPr>
                <w:b/>
                <w:bCs/>
                <w:sz w:val="22"/>
                <w:szCs w:val="22"/>
                <w:lang w:val="es-ES"/>
              </w:rPr>
            </w:pPr>
            <w:r w:rsidRPr="00273589">
              <w:rPr>
                <w:b/>
                <w:bCs/>
                <w:sz w:val="22"/>
                <w:szCs w:val="22"/>
                <w:lang w:val="es-ES"/>
              </w:rPr>
              <w:lastRenderedPageBreak/>
              <w:t>Finalidad 5.1</w:t>
            </w:r>
          </w:p>
        </w:tc>
      </w:tr>
      <w:tr w:rsidR="008A64DF" w:rsidRPr="00B04A9A" w14:paraId="7AEFCD71" w14:textId="77777777" w:rsidTr="008A64DF">
        <w:tc>
          <w:tcPr>
            <w:tcW w:w="9639" w:type="dxa"/>
            <w:gridSpan w:val="2"/>
          </w:tcPr>
          <w:p w14:paraId="0F9FA7AA" w14:textId="08DDD81B" w:rsidR="00944A0E" w:rsidRPr="00B04A9A" w:rsidRDefault="00944A0E" w:rsidP="00F20FBB">
            <w:pPr>
              <w:pStyle w:val="Figure"/>
              <w:rPr>
                <w:noProof/>
                <w:lang w:val="es-ES"/>
              </w:rPr>
            </w:pPr>
            <w:r w:rsidRPr="00AF2470">
              <w:rPr>
                <w:noProof/>
              </w:rPr>
              <w:drawing>
                <wp:inline distT="0" distB="0" distL="0" distR="0" wp14:anchorId="41B82D05" wp14:editId="5B64F167">
                  <wp:extent cx="3204000" cy="1296000"/>
                  <wp:effectExtent l="0" t="0" r="0" b="0"/>
                  <wp:docPr id="695998427" name="Picture 695998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1"/>
                          <a:stretch>
                            <a:fillRect/>
                          </a:stretch>
                        </pic:blipFill>
                        <pic:spPr>
                          <a:xfrm>
                            <a:off x="0" y="0"/>
                            <a:ext cx="3204000" cy="1296000"/>
                          </a:xfrm>
                          <a:prstGeom prst="rect">
                            <a:avLst/>
                          </a:prstGeom>
                        </pic:spPr>
                      </pic:pic>
                    </a:graphicData>
                  </a:graphic>
                </wp:inline>
              </w:drawing>
            </w:r>
          </w:p>
        </w:tc>
      </w:tr>
    </w:tbl>
    <w:p w14:paraId="187C56C3" w14:textId="6898B9FB" w:rsidR="008A64DF" w:rsidRDefault="008A64DF" w:rsidP="008A64DF">
      <w:pPr>
        <w:pStyle w:val="Heading2"/>
        <w:rPr>
          <w:lang w:val="es-ES"/>
        </w:rPr>
      </w:pPr>
      <w:bookmarkStart w:id="232" w:name="_Toc41289295"/>
      <w:bookmarkStart w:id="233" w:name="_Toc41289438"/>
      <w:bookmarkStart w:id="234" w:name="_Toc38828372"/>
      <w:bookmarkStart w:id="235" w:name="_Toc37943362"/>
      <w:bookmarkStart w:id="236" w:name="_Toc37861238"/>
      <w:bookmarkStart w:id="237" w:name="_Toc37860478"/>
      <w:bookmarkStart w:id="238" w:name="_Toc97821279"/>
      <w:bookmarkStart w:id="239" w:name="_Toc37943357"/>
      <w:bookmarkStart w:id="240" w:name="_Toc37860473"/>
      <w:bookmarkStart w:id="241" w:name="_Toc37861233"/>
      <w:r>
        <w:rPr>
          <w:lang w:val="es-ES"/>
        </w:rPr>
        <w:t>3.</w:t>
      </w:r>
      <w:r w:rsidR="00E8048A">
        <w:rPr>
          <w:lang w:val="es-ES"/>
        </w:rPr>
        <w:t>3</w:t>
      </w:r>
      <w:r>
        <w:rPr>
          <w:lang w:val="es-ES"/>
        </w:rPr>
        <w:tab/>
      </w:r>
      <w:r w:rsidR="003D70D3">
        <w:rPr>
          <w:lang w:val="es-ES"/>
        </w:rPr>
        <w:t>Resultados</w:t>
      </w:r>
      <w:r>
        <w:rPr>
          <w:lang w:val="es-ES"/>
        </w:rPr>
        <w:t xml:space="preserve"> de los trabajos de la Unión – Objetivos sectoriales e intersectoriales de la UIT</w:t>
      </w:r>
      <w:bookmarkEnd w:id="232"/>
      <w:bookmarkEnd w:id="233"/>
      <w:bookmarkEnd w:id="234"/>
      <w:bookmarkEnd w:id="235"/>
      <w:bookmarkEnd w:id="236"/>
      <w:bookmarkEnd w:id="237"/>
      <w:bookmarkEnd w:id="238"/>
    </w:p>
    <w:p w14:paraId="75193FBE" w14:textId="77777777" w:rsidR="008A64DF" w:rsidRDefault="008A64DF" w:rsidP="008A64DF">
      <w:pPr>
        <w:rPr>
          <w:lang w:val="es-ES"/>
        </w:rPr>
      </w:pPr>
      <w:r>
        <w:rPr>
          <w:lang w:val="es-ES"/>
        </w:rPr>
        <w:t>Véase el Anexo 2.</w:t>
      </w:r>
    </w:p>
    <w:p w14:paraId="64AF521C" w14:textId="38E816A5" w:rsidR="008A64DF" w:rsidRDefault="008A64DF" w:rsidP="008A64DF">
      <w:pPr>
        <w:pStyle w:val="Heading2"/>
        <w:rPr>
          <w:lang w:val="es-ES"/>
        </w:rPr>
      </w:pPr>
      <w:bookmarkStart w:id="242" w:name="_Toc38828373"/>
      <w:bookmarkStart w:id="243" w:name="_Toc41289296"/>
      <w:bookmarkStart w:id="244" w:name="_Toc41289439"/>
      <w:bookmarkStart w:id="245" w:name="_Toc97821280"/>
      <w:r>
        <w:rPr>
          <w:lang w:val="es-ES"/>
        </w:rPr>
        <w:t>3.</w:t>
      </w:r>
      <w:r w:rsidR="00E8048A">
        <w:rPr>
          <w:lang w:val="es-ES"/>
        </w:rPr>
        <w:t>4</w:t>
      </w:r>
      <w:r>
        <w:rPr>
          <w:lang w:val="es-ES"/>
        </w:rPr>
        <w:tab/>
        <w:t>Resultados de los facilitadores</w:t>
      </w:r>
      <w:bookmarkEnd w:id="242"/>
      <w:bookmarkEnd w:id="243"/>
      <w:bookmarkEnd w:id="244"/>
      <w:bookmarkEnd w:id="245"/>
    </w:p>
    <w:p w14:paraId="34EDE034" w14:textId="77777777" w:rsidR="008A64DF" w:rsidRDefault="008A64DF" w:rsidP="008A64DF">
      <w:pPr>
        <w:rPr>
          <w:lang w:val="es-ES"/>
        </w:rPr>
      </w:pPr>
      <w:r>
        <w:rPr>
          <w:lang w:val="es-ES"/>
        </w:rPr>
        <w:t>Véase el Anexo 2.</w:t>
      </w:r>
    </w:p>
    <w:p w14:paraId="24BEF12D" w14:textId="232A677D" w:rsidR="008A64DF" w:rsidRDefault="008A64DF" w:rsidP="008A64DF">
      <w:pPr>
        <w:pStyle w:val="Heading2"/>
        <w:rPr>
          <w:lang w:val="es-ES"/>
        </w:rPr>
      </w:pPr>
      <w:bookmarkStart w:id="246" w:name="_Toc38828374"/>
      <w:bookmarkStart w:id="247" w:name="_Toc37943373"/>
      <w:bookmarkStart w:id="248" w:name="_Toc37861240"/>
      <w:bookmarkStart w:id="249" w:name="_Toc37860480"/>
      <w:bookmarkStart w:id="250" w:name="_Toc41289297"/>
      <w:bookmarkStart w:id="251" w:name="_Toc41289440"/>
      <w:bookmarkStart w:id="252" w:name="_Toc97821281"/>
      <w:r>
        <w:rPr>
          <w:lang w:val="es-ES"/>
        </w:rPr>
        <w:t>3.</w:t>
      </w:r>
      <w:r w:rsidR="00E8048A">
        <w:rPr>
          <w:lang w:val="es-ES"/>
        </w:rPr>
        <w:t>5</w:t>
      </w:r>
      <w:r>
        <w:rPr>
          <w:lang w:val="es-ES"/>
        </w:rPr>
        <w:tab/>
        <w:t xml:space="preserve">Prioridades para </w:t>
      </w:r>
      <w:bookmarkEnd w:id="246"/>
      <w:bookmarkEnd w:id="247"/>
      <w:bookmarkEnd w:id="248"/>
      <w:bookmarkEnd w:id="249"/>
      <w:bookmarkEnd w:id="250"/>
      <w:bookmarkEnd w:id="251"/>
      <w:r>
        <w:rPr>
          <w:lang w:val="es-ES"/>
        </w:rPr>
        <w:t>2022-2023</w:t>
      </w:r>
      <w:bookmarkEnd w:id="252"/>
    </w:p>
    <w:p w14:paraId="4C370D5C" w14:textId="3C8E0785" w:rsidR="008A64DF" w:rsidRDefault="008A64DF" w:rsidP="008A64DF">
      <w:pPr>
        <w:pStyle w:val="enumlev1"/>
        <w:rPr>
          <w:lang w:val="es-ES"/>
        </w:rPr>
      </w:pPr>
      <w:r>
        <w:rPr>
          <w:lang w:val="es-ES"/>
        </w:rPr>
        <w:t>•</w:t>
      </w:r>
      <w:r>
        <w:rPr>
          <w:lang w:val="es-ES"/>
        </w:rPr>
        <w:tab/>
        <w:t>Organización de la PP-22, la AMNT y la CMDT</w:t>
      </w:r>
      <w:r w:rsidR="000A378A">
        <w:rPr>
          <w:lang w:val="es-ES"/>
        </w:rPr>
        <w:t>.</w:t>
      </w:r>
    </w:p>
    <w:p w14:paraId="77085D3B" w14:textId="529E7D52" w:rsidR="008A64DF" w:rsidRDefault="008A64DF" w:rsidP="008A64DF">
      <w:pPr>
        <w:pStyle w:val="enumlev1"/>
        <w:rPr>
          <w:lang w:val="es-ES"/>
        </w:rPr>
      </w:pPr>
      <w:r>
        <w:rPr>
          <w:lang w:val="es-ES"/>
        </w:rPr>
        <w:t>•</w:t>
      </w:r>
      <w:r>
        <w:rPr>
          <w:lang w:val="es-ES"/>
        </w:rPr>
        <w:tab/>
        <w:t>Ejecución de la Agenda Conectar 2030, garantizando su armonización con los ODS (con arreglo al tema del Día Mundial de las Telecomunicaciones y la Sociedad de la Información de 2021 – DMTSI).</w:t>
      </w:r>
    </w:p>
    <w:p w14:paraId="16EDA655" w14:textId="77777777" w:rsidR="008A64DF" w:rsidRDefault="008A64DF" w:rsidP="008A64DF">
      <w:pPr>
        <w:pStyle w:val="enumlev1"/>
        <w:rPr>
          <w:lang w:val="es-ES"/>
        </w:rPr>
      </w:pPr>
      <w:r>
        <w:rPr>
          <w:lang w:val="es-ES"/>
        </w:rPr>
        <w:t>•</w:t>
      </w:r>
      <w:r>
        <w:rPr>
          <w:lang w:val="es-ES"/>
        </w:rPr>
        <w:tab/>
        <w:t>Funcionar como una sola UIT, de manera dinámica, receptiva e innovadora.</w:t>
      </w:r>
    </w:p>
    <w:p w14:paraId="3612D522" w14:textId="4E85BBDC" w:rsidR="008A64DF" w:rsidRDefault="008A64DF" w:rsidP="008A64DF">
      <w:pPr>
        <w:pStyle w:val="enumlev1"/>
        <w:rPr>
          <w:lang w:val="es-ES"/>
        </w:rPr>
      </w:pPr>
      <w:r>
        <w:rPr>
          <w:lang w:val="es-ES"/>
        </w:rPr>
        <w:t>•</w:t>
      </w:r>
      <w:r>
        <w:rPr>
          <w:lang w:val="es-ES"/>
        </w:rPr>
        <w:tab/>
        <w:t xml:space="preserve">Aumentar la eficiencia y la eficacia de la organización, mediante la elaboración de una estrategia de gestión a largo plazo para que la organización mantenga el nivel de rendimiento y relevancia de conocimientos, y el fortaleciendo </w:t>
      </w:r>
      <w:r w:rsidR="000A378A">
        <w:rPr>
          <w:lang w:val="es-ES"/>
        </w:rPr>
        <w:t xml:space="preserve">de </w:t>
      </w:r>
      <w:r>
        <w:rPr>
          <w:lang w:val="es-ES"/>
        </w:rPr>
        <w:t>los marcos de gestión de riesgos y responsabilidad, a fin de permitir la adopción de decisiones fundamentadas y demostrar la incidencia de la labor de la UIT.</w:t>
      </w:r>
    </w:p>
    <w:p w14:paraId="0B87536B" w14:textId="77777777" w:rsidR="008A64DF" w:rsidRDefault="008A64DF" w:rsidP="008A64DF">
      <w:pPr>
        <w:rPr>
          <w:lang w:val="es-ES"/>
        </w:rPr>
      </w:pPr>
      <w:r>
        <w:rPr>
          <w:lang w:val="es-ES"/>
        </w:rPr>
        <w:br w:type="page"/>
      </w:r>
    </w:p>
    <w:p w14:paraId="6197F015" w14:textId="77777777" w:rsidR="008A64DF" w:rsidRDefault="008A64DF" w:rsidP="008A64DF">
      <w:pPr>
        <w:pStyle w:val="AnnexNo"/>
        <w:rPr>
          <w:lang w:val="es-ES"/>
        </w:rPr>
      </w:pPr>
      <w:bookmarkStart w:id="253" w:name="_Toc97821282"/>
      <w:bookmarkStart w:id="254" w:name="_Toc41289298"/>
      <w:bookmarkStart w:id="255" w:name="_Toc41289441"/>
      <w:r>
        <w:rPr>
          <w:lang w:val="es-ES"/>
        </w:rPr>
        <w:lastRenderedPageBreak/>
        <w:t>Anexo 1</w:t>
      </w:r>
      <w:bookmarkEnd w:id="253"/>
    </w:p>
    <w:p w14:paraId="1CE24905" w14:textId="77777777" w:rsidR="008A64DF" w:rsidRDefault="008A64DF" w:rsidP="008A64DF">
      <w:pPr>
        <w:pStyle w:val="Annextitle"/>
        <w:rPr>
          <w:lang w:val="es-ES"/>
        </w:rPr>
      </w:pPr>
      <w:bookmarkStart w:id="256" w:name="_Toc73695045"/>
      <w:bookmarkStart w:id="257" w:name="_Toc97821283"/>
      <w:r>
        <w:rPr>
          <w:lang w:val="es-ES"/>
        </w:rPr>
        <w:t xml:space="preserve">Aplicación de las Resoluciones de la </w:t>
      </w:r>
      <w:bookmarkEnd w:id="254"/>
      <w:bookmarkEnd w:id="255"/>
      <w:r>
        <w:rPr>
          <w:lang w:val="es-ES"/>
        </w:rPr>
        <w:t>Conferencia de Plenipotenciarios</w:t>
      </w:r>
      <w:bookmarkEnd w:id="256"/>
      <w:bookmarkEnd w:id="257"/>
    </w:p>
    <w:tbl>
      <w:tblPr>
        <w:tblStyle w:val="TableGrid"/>
        <w:tblW w:w="5000" w:type="pct"/>
        <w:tblLayout w:type="fixed"/>
        <w:tblLook w:val="04A0" w:firstRow="1" w:lastRow="0" w:firstColumn="1" w:lastColumn="0" w:noHBand="0" w:noVBand="1"/>
      </w:tblPr>
      <w:tblGrid>
        <w:gridCol w:w="9629"/>
      </w:tblGrid>
      <w:tr w:rsidR="008A64DF" w14:paraId="26CA76D0" w14:textId="77777777" w:rsidTr="00A31305">
        <w:trPr>
          <w:tblHeader/>
        </w:trPr>
        <w:tc>
          <w:tcPr>
            <w:tcW w:w="9026" w:type="dxa"/>
            <w:shd w:val="clear" w:color="auto" w:fill="2E74B5"/>
            <w:hideMark/>
          </w:tcPr>
          <w:p w14:paraId="3018142B" w14:textId="77777777" w:rsidR="008A64DF" w:rsidRDefault="008A64DF">
            <w:pPr>
              <w:pStyle w:val="Tablehead"/>
              <w:rPr>
                <w:color w:val="FFFFFF" w:themeColor="background1"/>
                <w:lang w:val="es-ES"/>
              </w:rPr>
            </w:pPr>
            <w:r>
              <w:rPr>
                <w:color w:val="FFFFFF" w:themeColor="background1"/>
                <w:lang w:val="es-ES"/>
              </w:rPr>
              <w:t>Situación de la aplicación</w:t>
            </w:r>
          </w:p>
        </w:tc>
      </w:tr>
      <w:tr w:rsidR="008A64DF" w:rsidRPr="008A64DF" w14:paraId="750850E5" w14:textId="77777777" w:rsidTr="00084D3A">
        <w:tc>
          <w:tcPr>
            <w:tcW w:w="9026" w:type="dxa"/>
            <w:hideMark/>
          </w:tcPr>
          <w:p w14:paraId="403CBE16" w14:textId="77777777" w:rsidR="008A64DF" w:rsidRDefault="008A64DF">
            <w:pPr>
              <w:pStyle w:val="Tabletext"/>
              <w:rPr>
                <w:b/>
                <w:bCs/>
                <w:lang w:val="es-ES"/>
              </w:rPr>
            </w:pPr>
            <w:r>
              <w:rPr>
                <w:b/>
                <w:bCs/>
                <w:lang w:val="es-ES"/>
              </w:rPr>
              <w:t>21 (Rev. Dubái, 2018) Medidas sobre procedimientos alternativos de llamada en las redes internacionales de telecomunicaciones</w:t>
            </w:r>
          </w:p>
          <w:p w14:paraId="7555387E" w14:textId="328440BE" w:rsidR="008A64DF" w:rsidRDefault="008A64DF">
            <w:pPr>
              <w:pStyle w:val="Tabletext"/>
              <w:rPr>
                <w:lang w:val="es-ES"/>
              </w:rPr>
            </w:pPr>
            <w:r>
              <w:rPr>
                <w:lang w:val="es-ES"/>
              </w:rPr>
              <w:t>La CE</w:t>
            </w:r>
            <w:r w:rsidR="000A378A">
              <w:rPr>
                <w:lang w:val="es-ES"/>
              </w:rPr>
              <w:t> </w:t>
            </w:r>
            <w:r>
              <w:rPr>
                <w:lang w:val="es-ES"/>
              </w:rPr>
              <w:t>2 del UIT-T sigue preparando el proyecto de nueva Recomendación UIT-T E.ACP sobre procedimientos alternativos de llamada.</w:t>
            </w:r>
          </w:p>
          <w:p w14:paraId="61652631" w14:textId="77777777" w:rsidR="008A64DF" w:rsidRDefault="008A64DF">
            <w:pPr>
              <w:pStyle w:val="Tabletext"/>
              <w:rPr>
                <w:lang w:val="es-ES"/>
              </w:rPr>
            </w:pPr>
            <w:r>
              <w:rPr>
                <w:lang w:val="es-ES"/>
              </w:rPr>
              <w:t>La CE 3 del UIT-T siguió trabajando sobre procedimientos alternativos de llamada a través de su Cuestión 8/3 en curso. La CE 3 del UIT-T se coordina con la CE 2 sobre el tema de los procedimientos alternativos de llamada.</w:t>
            </w:r>
          </w:p>
          <w:p w14:paraId="00771FB7" w14:textId="246268C6" w:rsidR="008A64DF" w:rsidRDefault="008A64DF">
            <w:pPr>
              <w:pStyle w:val="Tabletext"/>
              <w:rPr>
                <w:lang w:val="es-ES"/>
              </w:rPr>
            </w:pPr>
            <w:r>
              <w:rPr>
                <w:lang w:val="es-ES"/>
              </w:rPr>
              <w:t>La CE</w:t>
            </w:r>
            <w:r w:rsidR="000A378A">
              <w:rPr>
                <w:lang w:val="es-ES"/>
              </w:rPr>
              <w:t> </w:t>
            </w:r>
            <w:r>
              <w:rPr>
                <w:lang w:val="es-ES"/>
              </w:rPr>
              <w:t>12 del UIT-T siguió trabajando sobre la evaluación de la repercusión de los procedimientos alternativos de llamada en la calidad de servicio (QoS) y la calidad de la experiencia (QoE).</w:t>
            </w:r>
          </w:p>
        </w:tc>
      </w:tr>
      <w:tr w:rsidR="008A64DF" w:rsidRPr="008A64DF" w14:paraId="1F7B9D7A" w14:textId="77777777" w:rsidTr="00084D3A">
        <w:tc>
          <w:tcPr>
            <w:tcW w:w="9026" w:type="dxa"/>
            <w:hideMark/>
          </w:tcPr>
          <w:p w14:paraId="5B1461D8" w14:textId="77777777" w:rsidR="008A64DF" w:rsidRDefault="008A64DF">
            <w:pPr>
              <w:pStyle w:val="Tabletext"/>
              <w:rPr>
                <w:b/>
                <w:bCs/>
                <w:lang w:val="es-ES"/>
              </w:rPr>
            </w:pPr>
            <w:r>
              <w:rPr>
                <w:b/>
                <w:bCs/>
                <w:lang w:val="es-ES"/>
              </w:rPr>
              <w:t>30 (Rev. Dubái, 2018) Medidas especiales en favor de los países menos adelantados, los pequeños Estados insulares en desarrollo, los países en desarrollo sin litoral y los países con economías en transición</w:t>
            </w:r>
          </w:p>
          <w:p w14:paraId="37FA7C34" w14:textId="27177B78" w:rsidR="008A64DF" w:rsidRDefault="009315D8" w:rsidP="009315D8">
            <w:pPr>
              <w:pStyle w:val="Tabletext"/>
              <w:rPr>
                <w:lang w:val="es-ES"/>
              </w:rPr>
            </w:pPr>
            <w:r w:rsidRPr="009315D8">
              <w:t xml:space="preserve">Prestaciones de asistencia a los PMA, los PEID y los PDSL en curso a través de las actividades del Plan Operacional, proyectos y asistencia </w:t>
            </w:r>
            <w:r w:rsidRPr="009315D8">
              <w:rPr>
                <w:i/>
              </w:rPr>
              <w:t>ad hoc</w:t>
            </w:r>
            <w:r w:rsidRPr="009315D8">
              <w:t>. Se han elaborado publicaciones específicamente enfocadas a esos países con los organismos de la familia de las Naciones Unidas durante el periodo examinado. La labor se rige por el Plan Estratégico y el Plan de Acción del UIT</w:t>
            </w:r>
            <w:r w:rsidRPr="009315D8">
              <w:noBreakHyphen/>
              <w:t>D adoptados en la CMDT-17</w:t>
            </w:r>
            <w:r w:rsidR="008A64DF">
              <w:rPr>
                <w:lang w:val="es-ES"/>
              </w:rPr>
              <w:t>.</w:t>
            </w:r>
          </w:p>
        </w:tc>
      </w:tr>
      <w:tr w:rsidR="008A64DF" w:rsidRPr="008A64DF" w14:paraId="342E4324" w14:textId="77777777" w:rsidTr="00084D3A">
        <w:tc>
          <w:tcPr>
            <w:tcW w:w="9026" w:type="dxa"/>
            <w:hideMark/>
          </w:tcPr>
          <w:p w14:paraId="645508D7" w14:textId="77777777" w:rsidR="008A64DF" w:rsidRDefault="008A64DF">
            <w:pPr>
              <w:pStyle w:val="Tabletext"/>
              <w:rPr>
                <w:b/>
                <w:bCs/>
                <w:lang w:val="es-ES"/>
              </w:rPr>
            </w:pPr>
            <w:r>
              <w:rPr>
                <w:b/>
                <w:bCs/>
                <w:lang w:val="es-ES"/>
              </w:rPr>
              <w:t>34 (Rev. Dubái, 2018) Asistencia y apoyo a países con necesidades especiales para la reconstrucción de su sector de telecomunicaciones</w:t>
            </w:r>
          </w:p>
          <w:p w14:paraId="2D4110CD" w14:textId="012F9F33" w:rsidR="008A64DF" w:rsidRDefault="008A64DF">
            <w:pPr>
              <w:pStyle w:val="Tabletext"/>
              <w:rPr>
                <w:lang w:val="es-ES"/>
              </w:rPr>
            </w:pPr>
            <w:r>
              <w:rPr>
                <w:lang w:val="es-ES"/>
              </w:rPr>
              <w:t xml:space="preserve">Prestaciones de ayuda a los países durante las catástrofes naturales y cuando salen de una catástrofe grave, en curso y realizadas en apoyo de los países afectados (véase la </w:t>
            </w:r>
            <w:hyperlink w:anchor="_1.5_Medio_ambiente" w:history="1">
              <w:r w:rsidRPr="00084CD9">
                <w:rPr>
                  <w:rStyle w:val="Hyperlink"/>
                  <w:lang w:val="es-ES"/>
                </w:rPr>
                <w:t>sección</w:t>
              </w:r>
              <w:r w:rsidR="002B7521" w:rsidRPr="00084CD9">
                <w:rPr>
                  <w:rStyle w:val="Hyperlink"/>
                  <w:lang w:val="es-ES"/>
                </w:rPr>
                <w:t> </w:t>
              </w:r>
              <w:r w:rsidRPr="00084CD9">
                <w:rPr>
                  <w:rStyle w:val="Hyperlink"/>
                  <w:lang w:val="es-ES"/>
                </w:rPr>
                <w:t>1.5</w:t>
              </w:r>
            </w:hyperlink>
            <w:r>
              <w:rPr>
                <w:lang w:val="es-ES"/>
              </w:rPr>
              <w:t xml:space="preserve"> sobre telecomunicaciones de emergencia).</w:t>
            </w:r>
          </w:p>
        </w:tc>
      </w:tr>
      <w:tr w:rsidR="008A64DF" w:rsidRPr="008A64DF" w14:paraId="03D152E4" w14:textId="77777777" w:rsidTr="00084D3A">
        <w:tc>
          <w:tcPr>
            <w:tcW w:w="9026" w:type="dxa"/>
            <w:hideMark/>
          </w:tcPr>
          <w:p w14:paraId="6DD29E88" w14:textId="77777777" w:rsidR="008A64DF" w:rsidRDefault="008A64DF">
            <w:pPr>
              <w:pStyle w:val="Tabletext"/>
              <w:rPr>
                <w:b/>
                <w:bCs/>
                <w:lang w:val="es-ES"/>
              </w:rPr>
            </w:pPr>
            <w:r>
              <w:rPr>
                <w:b/>
                <w:bCs/>
                <w:lang w:val="es-ES"/>
              </w:rPr>
              <w:t>66 (Rev. Dubái, 2018) Documentos y publicaciones de la Unión</w:t>
            </w:r>
          </w:p>
          <w:p w14:paraId="4418BB2C" w14:textId="77777777" w:rsidR="008A64DF" w:rsidRDefault="008A64DF">
            <w:pPr>
              <w:pStyle w:val="Tabletext"/>
              <w:rPr>
                <w:lang w:val="es-ES"/>
              </w:rPr>
            </w:pPr>
            <w:r>
              <w:rPr>
                <w:lang w:val="es-ES"/>
              </w:rPr>
              <w:t>Todas las disposiciones de esta Resolución se han aplicado. No ha habido cambios ni novedades en la cuestión de la recuperación de costes y sus principios básicos. Las disposiciones y principios estipulados en la Resolución 66 siguen siendo válidos y pertinentes.</w:t>
            </w:r>
          </w:p>
        </w:tc>
      </w:tr>
      <w:tr w:rsidR="008A64DF" w:rsidRPr="008A64DF" w14:paraId="495FB202" w14:textId="77777777" w:rsidTr="00084D3A">
        <w:tc>
          <w:tcPr>
            <w:tcW w:w="9026" w:type="dxa"/>
            <w:hideMark/>
          </w:tcPr>
          <w:p w14:paraId="1065A862" w14:textId="77777777" w:rsidR="008A64DF" w:rsidRDefault="008A64DF">
            <w:pPr>
              <w:pStyle w:val="Tabletext"/>
              <w:rPr>
                <w:b/>
                <w:bCs/>
                <w:lang w:val="es-ES"/>
              </w:rPr>
            </w:pPr>
            <w:r>
              <w:rPr>
                <w:b/>
                <w:bCs/>
                <w:lang w:val="es-ES"/>
              </w:rPr>
              <w:t>91 (Rev. Guadalajara, 2010) Recuperación de costes de algunos productos y servicios de la UIT</w:t>
            </w:r>
          </w:p>
          <w:p w14:paraId="26F969E1" w14:textId="6FA73158" w:rsidR="008A64DF" w:rsidRDefault="008A64DF">
            <w:pPr>
              <w:pStyle w:val="Tabletext"/>
              <w:rPr>
                <w:lang w:val="es-ES"/>
              </w:rPr>
            </w:pPr>
            <w:r>
              <w:rPr>
                <w:lang w:val="es-ES"/>
              </w:rPr>
              <w:t xml:space="preserve">Véase el informe del Consejo sobre recuperación de los costos de tramitación de las notificaciones de redes de satélite, Documento </w:t>
            </w:r>
            <w:hyperlink r:id="rId372" w:history="1">
              <w:r>
                <w:rPr>
                  <w:rStyle w:val="Hyperlink"/>
                  <w:lang w:val="es-ES"/>
                </w:rPr>
                <w:t>C20/16</w:t>
              </w:r>
            </w:hyperlink>
            <w:r>
              <w:rPr>
                <w:lang w:val="es-ES"/>
              </w:rPr>
              <w:t xml:space="preserve"> y el </w:t>
            </w:r>
            <w:r w:rsidR="00F05643">
              <w:rPr>
                <w:lang w:val="es-ES"/>
              </w:rPr>
              <w:t xml:space="preserve">Informe </w:t>
            </w:r>
            <w:r>
              <w:rPr>
                <w:lang w:val="es-ES"/>
              </w:rPr>
              <w:t>del Presidente del GTC-RHF al Consejo, Documento </w:t>
            </w:r>
            <w:hyperlink r:id="rId373" w:history="1">
              <w:r>
                <w:rPr>
                  <w:rStyle w:val="Hyperlink"/>
                  <w:lang w:val="es-ES"/>
                </w:rPr>
                <w:t>C20/50</w:t>
              </w:r>
            </w:hyperlink>
            <w:r>
              <w:rPr>
                <w:lang w:val="es-ES"/>
              </w:rPr>
              <w:t>.</w:t>
            </w:r>
          </w:p>
        </w:tc>
      </w:tr>
      <w:tr w:rsidR="008A64DF" w:rsidRPr="008A64DF" w14:paraId="2E7C5020" w14:textId="77777777" w:rsidTr="00084D3A">
        <w:tc>
          <w:tcPr>
            <w:tcW w:w="9026" w:type="dxa"/>
            <w:hideMark/>
          </w:tcPr>
          <w:p w14:paraId="773CC553" w14:textId="77777777" w:rsidR="008A64DF" w:rsidRDefault="008A64DF">
            <w:pPr>
              <w:pStyle w:val="Tabletext"/>
              <w:rPr>
                <w:b/>
                <w:bCs/>
                <w:lang w:val="es-ES"/>
              </w:rPr>
            </w:pPr>
            <w:r>
              <w:rPr>
                <w:b/>
                <w:bCs/>
                <w:lang w:val="es-ES"/>
              </w:rPr>
              <w:t>99 (Rev. Dubái, 2018) Situación jurídica de Palestina en la UIT</w:t>
            </w:r>
          </w:p>
          <w:p w14:paraId="716AEFBE" w14:textId="77777777" w:rsidR="008A64DF" w:rsidRDefault="008A64DF">
            <w:pPr>
              <w:pStyle w:val="Tabletext"/>
              <w:rPr>
                <w:lang w:val="es-ES"/>
              </w:rPr>
            </w:pPr>
            <w:r>
              <w:rPr>
                <w:lang w:val="es-ES"/>
              </w:rPr>
              <w:t>Esta Resolución se aplicó cabalmente y permitió que el observador de Palestina participara en todas las conferencias, asambleas y reuniones organizadas bajo los auspicios de la UIT, en particular en la CMR-19, así como, aprovechando todos los derechos enumerados en la Resolución 99 (Rev. Dubái, 2018). El observador del Estado de Palestina asistió a la reunión extraordinaria del Consejo de 2019.</w:t>
            </w:r>
          </w:p>
        </w:tc>
      </w:tr>
      <w:tr w:rsidR="008A64DF" w:rsidRPr="008A64DF" w14:paraId="7FBCBD50" w14:textId="77777777" w:rsidTr="00084D3A">
        <w:tc>
          <w:tcPr>
            <w:tcW w:w="9026" w:type="dxa"/>
            <w:hideMark/>
          </w:tcPr>
          <w:p w14:paraId="721A9817" w14:textId="77777777" w:rsidR="008A64DF" w:rsidRDefault="008A64DF">
            <w:pPr>
              <w:pStyle w:val="Tabletext"/>
              <w:rPr>
                <w:b/>
                <w:bCs/>
                <w:lang w:val="es-ES"/>
              </w:rPr>
            </w:pPr>
            <w:r>
              <w:rPr>
                <w:b/>
                <w:bCs/>
                <w:lang w:val="es-ES"/>
              </w:rPr>
              <w:t>101 (Rev. Dubái, 2018) Redes basadas en el Protocolo Internet</w:t>
            </w:r>
          </w:p>
          <w:p w14:paraId="01499A9A" w14:textId="7D6EA6A5" w:rsidR="008A64DF" w:rsidRDefault="008A64DF">
            <w:pPr>
              <w:pStyle w:val="Tabletext"/>
              <w:rPr>
                <w:lang w:val="es-ES"/>
              </w:rPr>
            </w:pPr>
            <w:r>
              <w:rPr>
                <w:lang w:val="es-ES"/>
              </w:rPr>
              <w:t xml:space="preserve">Véase el informe al Consejo, Documento </w:t>
            </w:r>
            <w:hyperlink r:id="rId374" w:history="1">
              <w:r>
                <w:rPr>
                  <w:rStyle w:val="Hyperlink"/>
                  <w:lang w:val="es-ES"/>
                </w:rPr>
                <w:t>C20/33</w:t>
              </w:r>
            </w:hyperlink>
            <w:r>
              <w:rPr>
                <w:lang w:val="es-ES"/>
              </w:rPr>
              <w:t xml:space="preserve">, y el </w:t>
            </w:r>
            <w:r w:rsidR="00F05643">
              <w:rPr>
                <w:lang w:val="es-ES"/>
              </w:rPr>
              <w:t xml:space="preserve">Informe </w:t>
            </w:r>
            <w:r>
              <w:rPr>
                <w:lang w:val="es-ES"/>
              </w:rPr>
              <w:t xml:space="preserve">del Presidente del GTC-Internet al Consejo, Documento </w:t>
            </w:r>
            <w:hyperlink r:id="rId375" w:history="1">
              <w:r>
                <w:rPr>
                  <w:rStyle w:val="Hyperlink"/>
                  <w:lang w:val="es-ES"/>
                </w:rPr>
                <w:t>C20/51</w:t>
              </w:r>
            </w:hyperlink>
            <w:r>
              <w:rPr>
                <w:lang w:val="es-ES"/>
              </w:rPr>
              <w:t>.</w:t>
            </w:r>
          </w:p>
        </w:tc>
      </w:tr>
      <w:tr w:rsidR="008A64DF" w:rsidRPr="008A64DF" w14:paraId="56F83156" w14:textId="77777777" w:rsidTr="00D27450">
        <w:trPr>
          <w:cantSplit/>
        </w:trPr>
        <w:tc>
          <w:tcPr>
            <w:tcW w:w="9026" w:type="dxa"/>
            <w:hideMark/>
          </w:tcPr>
          <w:p w14:paraId="06B7AF30" w14:textId="77777777" w:rsidR="008A64DF" w:rsidRDefault="008A64DF">
            <w:pPr>
              <w:pStyle w:val="Tabletext"/>
              <w:rPr>
                <w:b/>
                <w:bCs/>
                <w:lang w:val="es-ES"/>
              </w:rPr>
            </w:pPr>
            <w:r>
              <w:rPr>
                <w:b/>
                <w:bCs/>
                <w:lang w:val="es-ES"/>
              </w:rPr>
              <w:lastRenderedPageBreak/>
              <w:t>119 (Rev. Antalya, 2006) Métodos para mejorar la eficiencia y eficacia de la Junta del Reglamento de Radiocomunicaciones</w:t>
            </w:r>
          </w:p>
          <w:p w14:paraId="4FC86C86" w14:textId="42428050" w:rsidR="008A64DF" w:rsidRDefault="009315D8" w:rsidP="009315D8">
            <w:pPr>
              <w:pStyle w:val="Tabletext"/>
              <w:rPr>
                <w:lang w:val="es-ES"/>
              </w:rPr>
            </w:pPr>
            <w:r w:rsidRPr="009315D8">
              <w:t xml:space="preserve">La Junta realizó su examen periódico de los métodos de trabajo y de los procedimientos internos que figuran en la Parte C de las Reglas de Procedimiento y decidió modificarlos en 2021 durante su 88ª reunión en relación con la tramitación de las contribuciones tardías. Las reuniones 78ª a la 82ª de la RRB se celebraron en 2018 y 2019. Las reuniones 83ª, 84ª y 85ª en 2020 y las reuniones 86ª y 87ª en 2021 se celebraron con formato virtual, mientras que la 88ª reunión celebrada en 2021 se celebró con formato presencial y con participación activa a distancia de algunos miembros de la Junta. El resumen de decisiones y las actas de cada reunión de la Junta se han publicado debidamente en el </w:t>
            </w:r>
            <w:hyperlink r:id="rId376" w:history="1">
              <w:r w:rsidRPr="009315D8">
                <w:rPr>
                  <w:rStyle w:val="Hyperlink"/>
                </w:rPr>
                <w:t>sitio web de la RRB</w:t>
              </w:r>
            </w:hyperlink>
            <w:r w:rsidRPr="009315D8">
              <w:t xml:space="preserve"> dentro de los plazos reglamentarios.</w:t>
            </w:r>
            <w:r w:rsidR="008A64DF">
              <w:rPr>
                <w:lang w:val="es-ES"/>
              </w:rPr>
              <w:t>.</w:t>
            </w:r>
          </w:p>
        </w:tc>
      </w:tr>
      <w:tr w:rsidR="008A64DF" w:rsidRPr="008A64DF" w14:paraId="0F851CE5" w14:textId="77777777" w:rsidTr="00084D3A">
        <w:tc>
          <w:tcPr>
            <w:tcW w:w="9026" w:type="dxa"/>
            <w:hideMark/>
          </w:tcPr>
          <w:p w14:paraId="0A899639" w14:textId="77777777" w:rsidR="008A64DF" w:rsidRDefault="008A64DF">
            <w:pPr>
              <w:pStyle w:val="Tabletext"/>
              <w:rPr>
                <w:b/>
                <w:bCs/>
                <w:lang w:val="es-ES"/>
              </w:rPr>
            </w:pPr>
            <w:r>
              <w:rPr>
                <w:b/>
                <w:bCs/>
                <w:lang w:val="es-ES"/>
              </w:rPr>
              <w:t>125 (Rev. Dubái, 2018) Asistencia y apoyo a Palestina para la reconstrucción de sus redes de telecomunicaciones</w:t>
            </w:r>
          </w:p>
          <w:p w14:paraId="5B54C459" w14:textId="77777777" w:rsidR="008A64DF" w:rsidRDefault="008A64DF">
            <w:pPr>
              <w:pStyle w:val="Tabletext"/>
              <w:ind w:left="720" w:hanging="720"/>
              <w:rPr>
                <w:lang w:val="es-ES"/>
              </w:rPr>
            </w:pPr>
            <w:r>
              <w:rPr>
                <w:lang w:val="es-ES"/>
              </w:rPr>
              <w:t>•</w:t>
            </w:r>
            <w:r>
              <w:rPr>
                <w:lang w:val="es-ES"/>
              </w:rPr>
              <w:tab/>
              <w:t>La UIT había elaborado un modelo de cálculo de costes [BU-LRIC] para los servicios de redes fijas y móviles [voz y datos] para Palestina, así como un marco reglamentario de precios. El informe sobre el modelo de costes, una vez examinado por la UIT y Palestina, ha sido aceptado. Los pasos a seguir acordados incluyen:</w:t>
            </w:r>
          </w:p>
          <w:p w14:paraId="5DFD7AA6" w14:textId="77777777" w:rsidR="008A64DF" w:rsidRDefault="008A64DF">
            <w:pPr>
              <w:pStyle w:val="Tabletext"/>
              <w:ind w:left="1440" w:hanging="720"/>
              <w:rPr>
                <w:lang w:val="es-ES"/>
              </w:rPr>
            </w:pPr>
            <w:r>
              <w:rPr>
                <w:lang w:val="es-ES"/>
              </w:rPr>
              <w:sym w:font="Wingdings" w:char="F0D8"/>
            </w:r>
            <w:r>
              <w:rPr>
                <w:lang w:val="es-ES"/>
              </w:rPr>
              <w:tab/>
              <w:t>Organización de un taller virtual para el equipo del proyecto de Palestina, 9 de abril.</w:t>
            </w:r>
          </w:p>
          <w:p w14:paraId="605716DB" w14:textId="77777777" w:rsidR="008A64DF" w:rsidRDefault="008A64DF">
            <w:pPr>
              <w:pStyle w:val="Tabletext"/>
              <w:ind w:left="720"/>
              <w:rPr>
                <w:lang w:val="es-ES"/>
              </w:rPr>
            </w:pPr>
            <w:r>
              <w:rPr>
                <w:lang w:val="es-ES"/>
              </w:rPr>
              <w:sym w:font="Wingdings" w:char="F0D8"/>
            </w:r>
            <w:r>
              <w:rPr>
                <w:lang w:val="es-ES"/>
              </w:rPr>
              <w:tab/>
              <w:t>Plan A (plan original):</w:t>
            </w:r>
          </w:p>
          <w:p w14:paraId="0814C6A0" w14:textId="2ACECB54" w:rsidR="008A64DF" w:rsidRDefault="008A64DF">
            <w:pPr>
              <w:pStyle w:val="Tabletext"/>
              <w:ind w:left="1872" w:hanging="426"/>
              <w:rPr>
                <w:lang w:val="es-ES"/>
              </w:rPr>
            </w:pPr>
            <w:r>
              <w:rPr>
                <w:lang w:val="es-ES"/>
              </w:rPr>
              <w:t>–</w:t>
            </w:r>
            <w:r>
              <w:rPr>
                <w:lang w:val="es-ES"/>
              </w:rPr>
              <w:tab/>
            </w:r>
            <w:r w:rsidR="00A042BA">
              <w:rPr>
                <w:lang w:val="es-ES"/>
              </w:rPr>
              <w:t>u</w:t>
            </w:r>
            <w:r>
              <w:rPr>
                <w:lang w:val="es-ES"/>
              </w:rPr>
              <w:t>na misión a Ramala para reunirse con los interesados en las TIC de Palestina para explicar la construcción y utilización de los modelos de costos</w:t>
            </w:r>
            <w:r w:rsidR="00A042BA">
              <w:rPr>
                <w:lang w:val="es-ES"/>
              </w:rPr>
              <w:t>;</w:t>
            </w:r>
          </w:p>
          <w:p w14:paraId="20148D4B" w14:textId="74ADC4D3" w:rsidR="008A64DF" w:rsidRDefault="008A64DF">
            <w:pPr>
              <w:pStyle w:val="Tabletext"/>
              <w:ind w:left="1872" w:hanging="426"/>
              <w:rPr>
                <w:lang w:val="es-ES"/>
              </w:rPr>
            </w:pPr>
            <w:r>
              <w:rPr>
                <w:lang w:val="es-ES"/>
              </w:rPr>
              <w:t>–</w:t>
            </w:r>
            <w:r>
              <w:rPr>
                <w:lang w:val="es-ES"/>
              </w:rPr>
              <w:tab/>
            </w:r>
            <w:r w:rsidR="00A042BA">
              <w:rPr>
                <w:lang w:val="es-ES"/>
              </w:rPr>
              <w:t>f</w:t>
            </w:r>
            <w:r>
              <w:rPr>
                <w:lang w:val="es-ES"/>
              </w:rPr>
              <w:t>ormación para el MTIT sobre la mejor manera de utilizar el modelo.</w:t>
            </w:r>
          </w:p>
          <w:p w14:paraId="4F7D2D51" w14:textId="77777777" w:rsidR="008A64DF" w:rsidRDefault="008A64DF">
            <w:pPr>
              <w:pStyle w:val="Tabletext"/>
              <w:ind w:left="720"/>
              <w:rPr>
                <w:lang w:val="es-ES"/>
              </w:rPr>
            </w:pPr>
            <w:r>
              <w:rPr>
                <w:lang w:val="es-ES"/>
              </w:rPr>
              <w:sym w:font="Wingdings" w:char="F0D8"/>
            </w:r>
            <w:r>
              <w:rPr>
                <w:lang w:val="es-ES"/>
              </w:rPr>
              <w:tab/>
              <w:t>Plan B (posible alternativa debido a la COVID-19):</w:t>
            </w:r>
          </w:p>
          <w:p w14:paraId="104069AD" w14:textId="3CE2C2C1" w:rsidR="008A64DF" w:rsidRDefault="008A64DF">
            <w:pPr>
              <w:pStyle w:val="Tabletext"/>
              <w:ind w:left="1872" w:hanging="426"/>
              <w:rPr>
                <w:lang w:val="es-ES"/>
              </w:rPr>
            </w:pPr>
            <w:r>
              <w:rPr>
                <w:lang w:val="es-ES"/>
              </w:rPr>
              <w:t>–</w:t>
            </w:r>
            <w:r>
              <w:rPr>
                <w:lang w:val="es-ES"/>
              </w:rPr>
              <w:tab/>
            </w:r>
            <w:r w:rsidR="00A042BA">
              <w:rPr>
                <w:lang w:val="es-ES"/>
              </w:rPr>
              <w:t>u</w:t>
            </w:r>
            <w:r>
              <w:rPr>
                <w:lang w:val="es-ES"/>
              </w:rPr>
              <w:t>n taller en línea para los interesados;</w:t>
            </w:r>
          </w:p>
          <w:p w14:paraId="1222BEE2" w14:textId="2386D24E" w:rsidR="008A64DF" w:rsidRDefault="008A64DF">
            <w:pPr>
              <w:pStyle w:val="Tabletext"/>
              <w:ind w:left="1872" w:hanging="426"/>
              <w:rPr>
                <w:lang w:val="es-ES"/>
              </w:rPr>
            </w:pPr>
            <w:r>
              <w:rPr>
                <w:lang w:val="es-ES"/>
              </w:rPr>
              <w:t>–</w:t>
            </w:r>
            <w:r>
              <w:rPr>
                <w:lang w:val="es-ES"/>
              </w:rPr>
              <w:tab/>
            </w:r>
            <w:r w:rsidR="00A042BA">
              <w:rPr>
                <w:lang w:val="es-ES"/>
              </w:rPr>
              <w:t>u</w:t>
            </w:r>
            <w:r>
              <w:rPr>
                <w:lang w:val="es-ES"/>
              </w:rPr>
              <w:t>na sesión de formación en línea para el MTIT.</w:t>
            </w:r>
          </w:p>
          <w:p w14:paraId="5A019DF2" w14:textId="77777777" w:rsidR="008A64DF" w:rsidRDefault="008A64DF">
            <w:pPr>
              <w:pStyle w:val="Tabletext"/>
              <w:ind w:left="720" w:hanging="720"/>
              <w:rPr>
                <w:lang w:val="es-ES"/>
              </w:rPr>
            </w:pPr>
            <w:r>
              <w:rPr>
                <w:lang w:val="es-ES"/>
              </w:rPr>
              <w:t>•</w:t>
            </w:r>
            <w:r>
              <w:rPr>
                <w:lang w:val="es-ES"/>
              </w:rPr>
              <w:tab/>
              <w:t>Proyecto sobre "aplicación de los servicios de EIII y capacidades conexas", que llegó a su término a finales de 2019, se prestó asistencia al Estado de Palestina en la creación y el despliegue de las capacidades técnicas y la capacitación conexa necesarias para la creación de EIII en Palestina.</w:t>
            </w:r>
          </w:p>
          <w:p w14:paraId="0B152F73" w14:textId="77777777" w:rsidR="008A64DF" w:rsidRDefault="008A64DF">
            <w:pPr>
              <w:pStyle w:val="Tabletext"/>
              <w:ind w:left="720" w:hanging="720"/>
              <w:rPr>
                <w:lang w:val="es-ES"/>
              </w:rPr>
            </w:pPr>
            <w:r>
              <w:rPr>
                <w:lang w:val="es-ES"/>
              </w:rPr>
              <w:t>•</w:t>
            </w:r>
            <w:r>
              <w:rPr>
                <w:lang w:val="es-ES"/>
              </w:rPr>
              <w:tab/>
              <w:t xml:space="preserve">En el marco del proyecto </w:t>
            </w:r>
            <w:proofErr w:type="spellStart"/>
            <w:r w:rsidRPr="00AF6115">
              <w:rPr>
                <w:lang w:val="es-ES"/>
              </w:rPr>
              <w:t>Connect</w:t>
            </w:r>
            <w:proofErr w:type="spellEnd"/>
            <w:r w:rsidRPr="00AF6115">
              <w:rPr>
                <w:lang w:val="es-ES"/>
              </w:rPr>
              <w:t xml:space="preserve"> a </w:t>
            </w:r>
            <w:proofErr w:type="spellStart"/>
            <w:r w:rsidRPr="00AF6115">
              <w:rPr>
                <w:lang w:val="es-ES"/>
              </w:rPr>
              <w:t>School</w:t>
            </w:r>
            <w:proofErr w:type="spellEnd"/>
            <w:r>
              <w:rPr>
                <w:lang w:val="es-ES"/>
              </w:rPr>
              <w:t>, se equipó a otras 15 escuelas y se las conectó a Internet durante el periodo 2018-2019.</w:t>
            </w:r>
          </w:p>
          <w:p w14:paraId="46C9FCC9" w14:textId="30E3DDC8" w:rsidR="008A64DF" w:rsidRDefault="008A64DF">
            <w:pPr>
              <w:pStyle w:val="Tabletext"/>
              <w:ind w:left="720" w:hanging="720"/>
              <w:rPr>
                <w:lang w:val="es-ES"/>
              </w:rPr>
            </w:pPr>
            <w:r>
              <w:rPr>
                <w:lang w:val="es-ES"/>
              </w:rPr>
              <w:t>•</w:t>
            </w:r>
            <w:r>
              <w:rPr>
                <w:lang w:val="es-ES"/>
              </w:rPr>
              <w:tab/>
              <w:t>Ante la imposibilidad de emitir un visado para las visitas de observación de expertos y personal de la UIT, quedó paralizada la asistencia a Palestina destinada a</w:t>
            </w:r>
            <w:r w:rsidR="00A042BA">
              <w:rPr>
                <w:lang w:val="es-ES"/>
              </w:rPr>
              <w:t>l</w:t>
            </w:r>
            <w:r>
              <w:rPr>
                <w:lang w:val="es-ES"/>
              </w:rPr>
              <w:t xml:space="preserve"> establecimiento de una unidad nacional de autentificación electrónica y </w:t>
            </w:r>
            <w:r w:rsidR="00A042BA">
              <w:rPr>
                <w:lang w:val="es-ES"/>
              </w:rPr>
              <w:t xml:space="preserve">el </w:t>
            </w:r>
            <w:r>
              <w:rPr>
                <w:lang w:val="es-ES"/>
              </w:rPr>
              <w:t>desarrollo de una revisión de una política de aprendizaje inteligente.</w:t>
            </w:r>
          </w:p>
          <w:p w14:paraId="4DF372BA" w14:textId="77777777" w:rsidR="008A64DF" w:rsidRDefault="008A64DF">
            <w:pPr>
              <w:pStyle w:val="Tabletext"/>
              <w:ind w:left="720" w:hanging="720"/>
              <w:rPr>
                <w:lang w:val="es-ES"/>
              </w:rPr>
            </w:pPr>
            <w:r>
              <w:rPr>
                <w:lang w:val="es-ES"/>
              </w:rPr>
              <w:t>•</w:t>
            </w:r>
            <w:r>
              <w:rPr>
                <w:lang w:val="es-ES"/>
              </w:rPr>
              <w:tab/>
              <w:t>Se inició la asistencia para realizar un estudio de viabilidad de una estación terrena por satélite. En junio se envió a Palestina el proyecto de descripción de empleo para la asistencia solicitada y aún no se han recibido sus comentarios.</w:t>
            </w:r>
          </w:p>
        </w:tc>
      </w:tr>
      <w:tr w:rsidR="008A64DF" w:rsidRPr="008A64DF" w14:paraId="022DC956" w14:textId="77777777" w:rsidTr="00D27450">
        <w:trPr>
          <w:cantSplit/>
        </w:trPr>
        <w:tc>
          <w:tcPr>
            <w:tcW w:w="9026" w:type="dxa"/>
            <w:hideMark/>
          </w:tcPr>
          <w:p w14:paraId="00B23012" w14:textId="77777777" w:rsidR="008A64DF" w:rsidRDefault="008A64DF">
            <w:pPr>
              <w:pStyle w:val="Tabletext"/>
              <w:rPr>
                <w:b/>
                <w:bCs/>
                <w:lang w:val="es-ES"/>
              </w:rPr>
            </w:pPr>
            <w:r w:rsidRPr="00BF3AEF">
              <w:rPr>
                <w:b/>
                <w:bCs/>
                <w:lang w:val="es-ES"/>
              </w:rPr>
              <w:lastRenderedPageBreak/>
              <w:t>131</w:t>
            </w:r>
            <w:r>
              <w:rPr>
                <w:b/>
                <w:bCs/>
                <w:lang w:val="es-ES"/>
              </w:rPr>
              <w:t xml:space="preserve"> (Rev. Dubái, 2018) Medición de las tecnologías de la información y la comunicación para la construcción de una sociedad de la información integradora e inclusiva</w:t>
            </w:r>
          </w:p>
          <w:p w14:paraId="4EEAE2D4" w14:textId="439638AD" w:rsidR="008A64DF" w:rsidRDefault="008A64DF">
            <w:pPr>
              <w:pStyle w:val="Tabletext"/>
              <w:rPr>
                <w:lang w:val="es-ES"/>
              </w:rPr>
            </w:pPr>
            <w:r>
              <w:rPr>
                <w:lang w:val="es-ES"/>
              </w:rPr>
              <w:t xml:space="preserve">Esta Resolución se encuentra en fase de aplicación. Se han recopilado estadísticas oficiales de los Estados Miembros y se han publicado semestralmente en la </w:t>
            </w:r>
            <w:bookmarkStart w:id="258" w:name="_Hlk95400669"/>
            <w:r w:rsidR="00DF1CE0">
              <w:fldChar w:fldCharType="begin"/>
            </w:r>
            <w:r w:rsidR="00DF1CE0">
              <w:instrText xml:space="preserve"> HYPERLINK "https://www.itu.int/en/ITU-D/Statistics/Pages/publications/wtid.aspx" </w:instrText>
            </w:r>
            <w:r w:rsidR="00DF1CE0">
              <w:fldChar w:fldCharType="separate"/>
            </w:r>
            <w:r>
              <w:rPr>
                <w:rStyle w:val="Hyperlink"/>
                <w:lang w:val="es-ES"/>
              </w:rPr>
              <w:t xml:space="preserve">Base de </w:t>
            </w:r>
            <w:r w:rsidR="00C2195F">
              <w:rPr>
                <w:rStyle w:val="Hyperlink"/>
                <w:lang w:val="es-ES"/>
              </w:rPr>
              <w:t>d</w:t>
            </w:r>
            <w:r>
              <w:rPr>
                <w:rStyle w:val="Hyperlink"/>
                <w:lang w:val="es-ES"/>
              </w:rPr>
              <w:t xml:space="preserve">atos sobre </w:t>
            </w:r>
            <w:r w:rsidR="00C2195F">
              <w:rPr>
                <w:rStyle w:val="Hyperlink"/>
                <w:lang w:val="es-ES"/>
              </w:rPr>
              <w:t>i</w:t>
            </w:r>
            <w:r>
              <w:rPr>
                <w:rStyle w:val="Hyperlink"/>
                <w:lang w:val="es-ES"/>
              </w:rPr>
              <w:t xml:space="preserve">ndicadores de las </w:t>
            </w:r>
            <w:r w:rsidR="00C2195F">
              <w:rPr>
                <w:rStyle w:val="Hyperlink"/>
                <w:lang w:val="es-ES"/>
              </w:rPr>
              <w:t>t</w:t>
            </w:r>
            <w:r>
              <w:rPr>
                <w:rStyle w:val="Hyperlink"/>
                <w:lang w:val="es-ES"/>
              </w:rPr>
              <w:t xml:space="preserve">elecomunicaciones </w:t>
            </w:r>
            <w:r w:rsidR="00C2195F">
              <w:rPr>
                <w:rStyle w:val="Hyperlink"/>
                <w:lang w:val="es-ES"/>
              </w:rPr>
              <w:t>m</w:t>
            </w:r>
            <w:r>
              <w:rPr>
                <w:rStyle w:val="Hyperlink"/>
                <w:lang w:val="es-ES"/>
              </w:rPr>
              <w:t>undiales</w:t>
            </w:r>
            <w:r w:rsidR="00DF1CE0">
              <w:rPr>
                <w:rStyle w:val="Hyperlink"/>
                <w:lang w:val="es-ES"/>
              </w:rPr>
              <w:fldChar w:fldCharType="end"/>
            </w:r>
            <w:bookmarkEnd w:id="258"/>
            <w:r>
              <w:rPr>
                <w:lang w:val="es-ES"/>
              </w:rPr>
              <w:t xml:space="preserve"> y </w:t>
            </w:r>
            <w:hyperlink r:id="rId377" w:history="1">
              <w:r>
                <w:rPr>
                  <w:rStyle w:val="Hyperlink"/>
                  <w:lang w:val="es-ES"/>
                </w:rPr>
                <w:t>en línea</w:t>
              </w:r>
            </w:hyperlink>
            <w:r>
              <w:rPr>
                <w:lang w:val="es-ES"/>
              </w:rPr>
              <w:t xml:space="preserve">. Las estadísticas también se presentaron y analizaron en la serie de publicaciones de </w:t>
            </w:r>
            <w:r>
              <w:rPr>
                <w:i/>
                <w:lang w:val="es-ES"/>
              </w:rPr>
              <w:t>Medición del desarrollo digital</w:t>
            </w:r>
            <w:r>
              <w:rPr>
                <w:lang w:val="es-ES"/>
              </w:rPr>
              <w:t xml:space="preserve">, en particular, </w:t>
            </w:r>
            <w:hyperlink r:id="rId378" w:history="1">
              <w:r>
                <w:rPr>
                  <w:rStyle w:val="Hyperlink"/>
                  <w:i/>
                  <w:lang w:val="es-ES"/>
                </w:rPr>
                <w:t xml:space="preserve">Hechos y </w:t>
              </w:r>
              <w:r w:rsidR="005E5525">
                <w:rPr>
                  <w:rStyle w:val="Hyperlink"/>
                  <w:i/>
                  <w:lang w:val="es-ES"/>
                </w:rPr>
                <w:t>c</w:t>
              </w:r>
              <w:r>
                <w:rPr>
                  <w:rStyle w:val="Hyperlink"/>
                  <w:i/>
                  <w:lang w:val="es-ES"/>
                </w:rPr>
                <w:t>ifras</w:t>
              </w:r>
            </w:hyperlink>
            <w:r>
              <w:rPr>
                <w:lang w:val="es-ES"/>
              </w:rPr>
              <w:t xml:space="preserve"> y </w:t>
            </w:r>
            <w:hyperlink r:id="rId379" w:history="1">
              <w:r>
                <w:rPr>
                  <w:rStyle w:val="Hyperlink"/>
                  <w:i/>
                  <w:lang w:val="es-ES"/>
                </w:rPr>
                <w:t>Tendencias en los precios de las TIC</w:t>
              </w:r>
            </w:hyperlink>
            <w:r>
              <w:rPr>
                <w:lang w:val="es-ES"/>
              </w:rPr>
              <w:t xml:space="preserve">. Otros productos de datos e información son la publicación de </w:t>
            </w:r>
            <w:hyperlink r:id="rId380" w:history="1">
              <w:r>
                <w:rPr>
                  <w:rStyle w:val="Hyperlink"/>
                  <w:i/>
                  <w:lang w:val="es-ES"/>
                </w:rPr>
                <w:t>Connectivity in Least Developed Countries – Status report 2021</w:t>
              </w:r>
            </w:hyperlink>
            <w:r>
              <w:rPr>
                <w:lang w:val="es-ES"/>
              </w:rPr>
              <w:t xml:space="preserve"> (</w:t>
            </w:r>
            <w:r w:rsidRPr="005E5525">
              <w:rPr>
                <w:i/>
                <w:iCs/>
                <w:lang w:val="es-ES"/>
              </w:rPr>
              <w:t>Conectividad en los países menos adelantados – Informe de situación de 2021</w:t>
            </w:r>
            <w:r>
              <w:rPr>
                <w:lang w:val="es-ES"/>
              </w:rPr>
              <w:t xml:space="preserve">) y el </w:t>
            </w:r>
            <w:hyperlink r:id="rId381" w:history="1">
              <w:r>
                <w:rPr>
                  <w:rStyle w:val="Hyperlink"/>
                  <w:lang w:val="es-ES"/>
                </w:rPr>
                <w:t xml:space="preserve">Panel </w:t>
              </w:r>
              <w:r w:rsidR="005E5525">
                <w:rPr>
                  <w:rStyle w:val="Hyperlink"/>
                  <w:lang w:val="es-ES"/>
                </w:rPr>
                <w:t>d</w:t>
              </w:r>
              <w:r>
                <w:rPr>
                  <w:rStyle w:val="Hyperlink"/>
                  <w:lang w:val="es-ES"/>
                </w:rPr>
                <w:t xml:space="preserve">e </w:t>
              </w:r>
              <w:r w:rsidR="005E5525">
                <w:rPr>
                  <w:rStyle w:val="Hyperlink"/>
                  <w:lang w:val="es-ES"/>
                </w:rPr>
                <w:t>i</w:t>
              </w:r>
              <w:r>
                <w:rPr>
                  <w:rStyle w:val="Hyperlink"/>
                  <w:lang w:val="es-ES"/>
                </w:rPr>
                <w:t xml:space="preserve">nformación </w:t>
              </w:r>
              <w:r w:rsidR="005E5525">
                <w:rPr>
                  <w:rStyle w:val="Hyperlink"/>
                  <w:lang w:val="es-ES"/>
                </w:rPr>
                <w:t>s</w:t>
              </w:r>
              <w:r>
                <w:rPr>
                  <w:rStyle w:val="Hyperlink"/>
                  <w:lang w:val="es-ES"/>
                </w:rPr>
                <w:t xml:space="preserve">obre </w:t>
              </w:r>
              <w:r w:rsidR="005E5525">
                <w:rPr>
                  <w:rStyle w:val="Hyperlink"/>
                  <w:lang w:val="es-ES"/>
                </w:rPr>
                <w:t>e</w:t>
              </w:r>
              <w:r>
                <w:rPr>
                  <w:rStyle w:val="Hyperlink"/>
                  <w:lang w:val="es-ES"/>
                </w:rPr>
                <w:t xml:space="preserve">l </w:t>
              </w:r>
              <w:r w:rsidR="005E5525">
                <w:rPr>
                  <w:rStyle w:val="Hyperlink"/>
                  <w:lang w:val="es-ES"/>
                </w:rPr>
                <w:t>d</w:t>
              </w:r>
              <w:r>
                <w:rPr>
                  <w:rStyle w:val="Hyperlink"/>
                  <w:lang w:val="es-ES"/>
                </w:rPr>
                <w:t xml:space="preserve">esarrollo </w:t>
              </w:r>
              <w:r w:rsidR="005E5525">
                <w:rPr>
                  <w:rStyle w:val="Hyperlink"/>
                  <w:lang w:val="es-ES"/>
                </w:rPr>
                <w:t>d</w:t>
              </w:r>
              <w:r>
                <w:rPr>
                  <w:rStyle w:val="Hyperlink"/>
                  <w:lang w:val="es-ES"/>
                </w:rPr>
                <w:t>igital</w:t>
              </w:r>
            </w:hyperlink>
            <w:r>
              <w:rPr>
                <w:lang w:val="es-ES"/>
              </w:rPr>
              <w:t xml:space="preserve"> lanzado en 2021 para proporcionar una visión general del desarrollo digital en todos los Estados Miembros. </w:t>
            </w:r>
          </w:p>
          <w:p w14:paraId="240CB303" w14:textId="0F1946A4" w:rsidR="008A64DF" w:rsidRDefault="008A64DF">
            <w:pPr>
              <w:pStyle w:val="Tabletext"/>
              <w:rPr>
                <w:lang w:val="es-ES"/>
              </w:rPr>
            </w:pPr>
            <w:r>
              <w:rPr>
                <w:lang w:val="es-ES"/>
              </w:rPr>
              <w:t xml:space="preserve">Desde 2018, la UIT ha desarrollado la capacidad de las administraciones en todo el mundo para recopilar datos y elaborar estadísticas TIC que puedan compararse a nivel internacional, mediante talleres en todas las </w:t>
            </w:r>
            <w:r w:rsidR="005E5525">
              <w:rPr>
                <w:lang w:val="es-ES"/>
              </w:rPr>
              <w:t>r</w:t>
            </w:r>
            <w:r>
              <w:rPr>
                <w:lang w:val="es-ES"/>
              </w:rPr>
              <w:t xml:space="preserve">egiones. La edición de 2020 del </w:t>
            </w:r>
            <w:hyperlink r:id="rId382" w:history="1">
              <w:r w:rsidRPr="005E5525">
                <w:rPr>
                  <w:rStyle w:val="Hyperlink"/>
                  <w:i/>
                  <w:iCs/>
                  <w:lang w:val="es-ES"/>
                </w:rPr>
                <w:t>Manual de la UIT para la recopilación de datos administrativos de las telecomunicaciones y de las TIC</w:t>
              </w:r>
            </w:hyperlink>
            <w:r>
              <w:rPr>
                <w:lang w:val="es-ES"/>
              </w:rPr>
              <w:t xml:space="preserve"> y el </w:t>
            </w:r>
            <w:hyperlink r:id="rId383" w:history="1">
              <w:r w:rsidRPr="005E5525">
                <w:rPr>
                  <w:rStyle w:val="Hyperlink"/>
                  <w:i/>
                  <w:iCs/>
                  <w:lang w:val="es-ES"/>
                </w:rPr>
                <w:t>Manual de la UIT para la medición del acceso y utilización de las TIC por los hogares y las personas</w:t>
              </w:r>
            </w:hyperlink>
            <w:r>
              <w:rPr>
                <w:lang w:val="es-ES"/>
              </w:rPr>
              <w:t xml:space="preserve"> se publicaron en 2020. </w:t>
            </w:r>
            <w:r w:rsidRPr="005E5525">
              <w:rPr>
                <w:lang w:val="es-ES"/>
              </w:rPr>
              <w:t>Para</w:t>
            </w:r>
            <w:r>
              <w:rPr>
                <w:lang w:val="es-ES"/>
              </w:rPr>
              <w:t xml:space="preserve"> alcanzar una mayor audiencia y reducir la dependencia de los talleres presenciales durante la pandemia, la UIT lanzó en </w:t>
            </w:r>
            <w:r w:rsidR="005E5525">
              <w:rPr>
                <w:lang w:val="es-ES"/>
              </w:rPr>
              <w:t xml:space="preserve">junio de </w:t>
            </w:r>
            <w:r>
              <w:rPr>
                <w:lang w:val="es-ES"/>
              </w:rPr>
              <w:t xml:space="preserve">2021 su primera formación en línea sobre estadísticas de las TIC. Disponible de manera gratuita en la plataforma de la Academia de la UIT, </w:t>
            </w:r>
            <w:hyperlink r:id="rId384" w:history="1">
              <w:r>
                <w:rPr>
                  <w:rStyle w:val="Hyperlink"/>
                  <w:lang w:val="es-ES"/>
                </w:rPr>
                <w:t>Medición del desarrollo digital: indicadores de las telecomunicaciones/TIC</w:t>
              </w:r>
            </w:hyperlink>
            <w:r>
              <w:rPr>
                <w:lang w:val="es-ES"/>
              </w:rPr>
              <w:t xml:space="preserve"> es la primera parte de un conjunto de tres cursos en línea que se lanzarán durante 2021 y 2022. El </w:t>
            </w:r>
            <w:hyperlink r:id="rId385" w:history="1">
              <w:r>
                <w:rPr>
                  <w:rStyle w:val="Hyperlink"/>
                  <w:lang w:val="es-ES"/>
                </w:rPr>
                <w:t>Grupo de Expertos en indicadores de telecomunicaciones/TIC</w:t>
              </w:r>
            </w:hyperlink>
            <w:r>
              <w:rPr>
                <w:lang w:val="es-ES"/>
              </w:rPr>
              <w:t xml:space="preserve"> (GEIT) y el </w:t>
            </w:r>
            <w:hyperlink r:id="rId386" w:history="1">
              <w:r>
                <w:rPr>
                  <w:rStyle w:val="Hyperlink"/>
                  <w:lang w:val="es-ES"/>
                </w:rPr>
                <w:t>Grupo de Expertos en indicadores de TIC en el hogar</w:t>
              </w:r>
            </w:hyperlink>
            <w:r>
              <w:rPr>
                <w:lang w:val="es-ES"/>
              </w:rPr>
              <w:t xml:space="preserve"> (GEH) siguen definiendo normas internacionales de estadísticas para los indicadores TIC y se reúnen cada año.</w:t>
            </w:r>
          </w:p>
          <w:p w14:paraId="163C50C9" w14:textId="248E23EC" w:rsidR="008A64DF" w:rsidRDefault="008A64DF">
            <w:pPr>
              <w:pStyle w:val="Tabletext"/>
              <w:rPr>
                <w:lang w:val="es-ES"/>
              </w:rPr>
            </w:pPr>
            <w:r>
              <w:rPr>
                <w:lang w:val="es-ES"/>
              </w:rPr>
              <w:t xml:space="preserve">La </w:t>
            </w:r>
            <w:hyperlink r:id="rId387" w:history="1">
              <w:r>
                <w:rPr>
                  <w:rStyle w:val="Hyperlink"/>
                  <w:lang w:val="es-ES"/>
                </w:rPr>
                <w:t>17ª edición</w:t>
              </w:r>
            </w:hyperlink>
            <w:r>
              <w:rPr>
                <w:lang w:val="es-ES"/>
              </w:rPr>
              <w:t xml:space="preserve"> del </w:t>
            </w:r>
            <w:r w:rsidR="005E5525">
              <w:rPr>
                <w:lang w:val="es-ES"/>
              </w:rPr>
              <w:t>"</w:t>
            </w:r>
            <w:r>
              <w:rPr>
                <w:lang w:val="es-ES"/>
              </w:rPr>
              <w:t>Simposio Mundial sobre Indicadores de Telecomunicaciones/TIC</w:t>
            </w:r>
            <w:r w:rsidR="005E5525">
              <w:rPr>
                <w:lang w:val="es-ES"/>
              </w:rPr>
              <w:t>"</w:t>
            </w:r>
            <w:r>
              <w:rPr>
                <w:lang w:val="es-ES"/>
              </w:rPr>
              <w:t>, el principal foro mundial para debatir las últimas tendencias en estadísticas de TIC</w:t>
            </w:r>
            <w:r w:rsidR="005923F2">
              <w:rPr>
                <w:lang w:val="es-ES"/>
              </w:rPr>
              <w:t>,</w:t>
            </w:r>
            <w:r>
              <w:rPr>
                <w:lang w:val="es-ES"/>
              </w:rPr>
              <w:t xml:space="preserve"> se celebró en diciembre de 2020 bajo el lema "Hacia una sociedad digital inclusiva".</w:t>
            </w:r>
          </w:p>
          <w:p w14:paraId="22F3E891" w14:textId="7997CDB5" w:rsidR="008A64DF" w:rsidRDefault="008A64DF" w:rsidP="00C12B29">
            <w:pPr>
              <w:pStyle w:val="Tabletext"/>
              <w:rPr>
                <w:lang w:val="es-ES"/>
              </w:rPr>
            </w:pPr>
            <w:r>
              <w:rPr>
                <w:lang w:val="es-ES"/>
              </w:rPr>
              <w:t xml:space="preserve">La UIT contribuye activamente al avance en la agenda de las estadísticas dentro del sistema de las Naciones Unidas, a través de varias </w:t>
            </w:r>
            <w:hyperlink r:id="rId388" w:history="1">
              <w:r>
                <w:rPr>
                  <w:rStyle w:val="Hyperlink"/>
                  <w:lang w:val="es-ES"/>
                </w:rPr>
                <w:t>asociaciones</w:t>
              </w:r>
            </w:hyperlink>
            <w:r>
              <w:rPr>
                <w:lang w:val="es-ES"/>
              </w:rPr>
              <w:t xml:space="preserve"> estratégicas.</w:t>
            </w:r>
          </w:p>
        </w:tc>
      </w:tr>
      <w:tr w:rsidR="008A64DF" w:rsidRPr="008A64DF" w14:paraId="08D8AD5E" w14:textId="77777777" w:rsidTr="00084D3A">
        <w:tc>
          <w:tcPr>
            <w:tcW w:w="9026" w:type="dxa"/>
            <w:hideMark/>
          </w:tcPr>
          <w:p w14:paraId="3191A6BC" w14:textId="77777777" w:rsidR="008A64DF" w:rsidRDefault="008A64DF">
            <w:pPr>
              <w:pStyle w:val="Tabletext"/>
              <w:rPr>
                <w:b/>
                <w:bCs/>
                <w:lang w:val="es-ES"/>
              </w:rPr>
            </w:pPr>
            <w:r w:rsidRPr="00D84DEA">
              <w:rPr>
                <w:b/>
                <w:bCs/>
                <w:lang w:val="es-ES"/>
              </w:rPr>
              <w:t>135</w:t>
            </w:r>
            <w:r>
              <w:rPr>
                <w:b/>
                <w:bCs/>
                <w:lang w:val="es-ES"/>
              </w:rPr>
              <w:t xml:space="preserve"> (Rev. Dubái, 2018) Función de la UIT en el desarrollo duradero y sostenible de las telecomunicaciones/tecnologías de la información y la comunicación, en la prestación de asistencia y asesoramiento técnicos a los países en desarrollo y en la ejecución de proyectos nacionales, regionales e interregionales pertinentes</w:t>
            </w:r>
          </w:p>
          <w:p w14:paraId="3BB64082" w14:textId="1C00D109" w:rsidR="008A64DF" w:rsidRDefault="008A64DF">
            <w:pPr>
              <w:pStyle w:val="Tabletext"/>
              <w:rPr>
                <w:rFonts w:eastAsia="Calibri" w:cs="Calibri"/>
                <w:szCs w:val="22"/>
                <w:lang w:val="es-ES"/>
              </w:rPr>
            </w:pPr>
            <w:r>
              <w:rPr>
                <w:lang w:val="es-ES"/>
              </w:rPr>
              <w:t xml:space="preserve">La BDT actualizó los mapas de banda ancha de la UIT con información proporcionada por las administraciones, los reguladores, los operadores y las fuentes públicas (puede consultarse </w:t>
            </w:r>
            <w:hyperlink r:id="rId389" w:history="1">
              <w:r>
                <w:rPr>
                  <w:rStyle w:val="Hyperlink"/>
                  <w:lang w:val="es-ES"/>
                </w:rPr>
                <w:t>en línea</w:t>
              </w:r>
            </w:hyperlink>
            <w:r>
              <w:rPr>
                <w:lang w:val="es-ES"/>
              </w:rPr>
              <w:t>). En</w:t>
            </w:r>
            <w:r w:rsidR="00212EE6">
              <w:rPr>
                <w:lang w:val="es-ES"/>
              </w:rPr>
              <w:t> </w:t>
            </w:r>
            <w:r>
              <w:rPr>
                <w:lang w:val="es-ES"/>
              </w:rPr>
              <w:t xml:space="preserve">2019, el </w:t>
            </w:r>
            <w:r w:rsidR="00AC2DC9">
              <w:rPr>
                <w:lang w:val="es-ES"/>
              </w:rPr>
              <w:t>m</w:t>
            </w:r>
            <w:r>
              <w:rPr>
                <w:lang w:val="es-ES"/>
              </w:rPr>
              <w:t>apa presentaba información sobre la infraestructura de 520 redes de operadores y 21 806</w:t>
            </w:r>
            <w:r w:rsidR="00212EE6">
              <w:rPr>
                <w:lang w:val="es-ES"/>
              </w:rPr>
              <w:t> </w:t>
            </w:r>
            <w:r>
              <w:rPr>
                <w:lang w:val="es-ES"/>
              </w:rPr>
              <w:t>nodos en todo el mundo.</w:t>
            </w:r>
            <w:r w:rsidRPr="00C12B29">
              <w:rPr>
                <w:rFonts w:eastAsia="Calibri" w:cs="Calibri"/>
                <w:szCs w:val="22"/>
                <w:lang w:val="es-ES"/>
              </w:rPr>
              <w:t xml:space="preserve"> </w:t>
            </w:r>
            <w:r>
              <w:rPr>
                <w:rFonts w:eastAsia="Calibri" w:cs="Calibri"/>
                <w:szCs w:val="22"/>
                <w:lang w:val="es-ES"/>
              </w:rPr>
              <w:t xml:space="preserve">En 2021, en el </w:t>
            </w:r>
            <w:r w:rsidR="00AC2DC9">
              <w:rPr>
                <w:rFonts w:eastAsia="Calibri" w:cs="Calibri"/>
                <w:szCs w:val="22"/>
                <w:lang w:val="es-ES"/>
              </w:rPr>
              <w:t>m</w:t>
            </w:r>
            <w:r>
              <w:rPr>
                <w:rFonts w:eastAsia="Calibri" w:cs="Calibri"/>
                <w:szCs w:val="22"/>
                <w:lang w:val="es-ES"/>
              </w:rPr>
              <w:t>apa están representados más de 20 millones de kilómetros de fibra terrestre (a partir de la investigación de la UIT), superpuesta con otros datos relevantes de infraestructuras de las TIC (como cables submarinos y estaciones terrenas de satélites). Un v</w:t>
            </w:r>
            <w:r w:rsidR="00212EE6">
              <w:rPr>
                <w:rFonts w:eastAsia="Calibri" w:cs="Calibri"/>
                <w:szCs w:val="22"/>
                <w:lang w:val="es-ES"/>
              </w:rPr>
              <w:t>í</w:t>
            </w:r>
            <w:r>
              <w:rPr>
                <w:rFonts w:eastAsia="Calibri" w:cs="Calibri"/>
                <w:szCs w:val="22"/>
                <w:lang w:val="es-ES"/>
              </w:rPr>
              <w:t xml:space="preserve">deo de comunicación, </w:t>
            </w:r>
            <w:r w:rsidR="00212EE6">
              <w:rPr>
                <w:rFonts w:eastAsia="Calibri" w:cs="Calibri"/>
                <w:szCs w:val="22"/>
                <w:lang w:val="es-ES"/>
              </w:rPr>
              <w:t>"</w:t>
            </w:r>
            <w:r>
              <w:rPr>
                <w:rFonts w:eastAsia="Calibri" w:cs="Calibri"/>
                <w:szCs w:val="22"/>
                <w:lang w:val="es-ES"/>
              </w:rPr>
              <w:t>¿Por qué los mapas de banda ancha son fundamentales para la conectividad universal?</w:t>
            </w:r>
            <w:r w:rsidR="00212EE6">
              <w:rPr>
                <w:rFonts w:eastAsia="Calibri" w:cs="Calibri"/>
                <w:szCs w:val="22"/>
                <w:lang w:val="es-ES"/>
              </w:rPr>
              <w:t>"</w:t>
            </w:r>
            <w:r>
              <w:rPr>
                <w:rFonts w:eastAsia="Calibri" w:cs="Calibri"/>
                <w:szCs w:val="22"/>
                <w:lang w:val="es-ES"/>
              </w:rPr>
              <w:t>, destaca la importancia de las asociaciones regionales de reglamentación para la elaboración de los mapas y su utilización en los proyectos de la UIT en materia de conectividad con otros socios (por ejemplo, la conectividad Giga-school) (</w:t>
            </w:r>
            <w:hyperlink r:id="rId390" w:history="1">
              <w:r>
                <w:rPr>
                  <w:rStyle w:val="Hyperlink"/>
                  <w:rFonts w:eastAsia="Calibri" w:cs="Calibri"/>
                  <w:szCs w:val="22"/>
                  <w:lang w:val="es-ES"/>
                </w:rPr>
                <w:t>vídeo</w:t>
              </w:r>
            </w:hyperlink>
            <w:r>
              <w:rPr>
                <w:rFonts w:eastAsia="Calibri" w:cs="Calibri"/>
                <w:szCs w:val="22"/>
                <w:lang w:val="es-ES"/>
              </w:rPr>
              <w:t>).</w:t>
            </w:r>
          </w:p>
          <w:p w14:paraId="59D58D46" w14:textId="1D3679D4" w:rsidR="008A64DF" w:rsidRDefault="008A64DF">
            <w:pPr>
              <w:pStyle w:val="Tabletext"/>
              <w:rPr>
                <w:lang w:val="es-ES"/>
              </w:rPr>
            </w:pPr>
            <w:r>
              <w:rPr>
                <w:lang w:val="es-ES"/>
              </w:rPr>
              <w:t>La investigación y representación de los enlaces de transmisión ha alcanzado 3 720 687. Además, se han adoptado las siguientes medidas:</w:t>
            </w:r>
          </w:p>
          <w:p w14:paraId="70998C4B" w14:textId="5DBAB95F" w:rsidR="008A64DF" w:rsidRDefault="008A64DF">
            <w:pPr>
              <w:pStyle w:val="Tabletext"/>
              <w:ind w:left="720" w:hanging="720"/>
              <w:rPr>
                <w:lang w:val="es-ES"/>
              </w:rPr>
            </w:pPr>
            <w:r>
              <w:rPr>
                <w:lang w:val="es-ES"/>
              </w:rPr>
              <w:t>•</w:t>
            </w:r>
            <w:r>
              <w:rPr>
                <w:lang w:val="es-ES"/>
              </w:rPr>
              <w:tab/>
              <w:t xml:space="preserve">El </w:t>
            </w:r>
            <w:hyperlink r:id="rId391" w:history="1">
              <w:r w:rsidRPr="00851D31">
                <w:rPr>
                  <w:rStyle w:val="Hyperlink"/>
                  <w:i/>
                  <w:iCs/>
                  <w:lang w:val="es-ES"/>
                </w:rPr>
                <w:t>Conjunto de herramientas de la UIT para la planificación de negocio de la banda ancha</w:t>
              </w:r>
            </w:hyperlink>
            <w:r>
              <w:rPr>
                <w:lang w:val="es-ES"/>
              </w:rPr>
              <w:t xml:space="preserve"> (2019) ofrece una metodología práctica para realizar una evaluación económica de la sostenibilidad de los planes de despliegues e instalación de infraestructura propuestos. En 2020 y 2021 se ofrecieron a través de la Academia de la UIT una serie de eventos de capacitación con lecciones </w:t>
            </w:r>
            <w:r>
              <w:rPr>
                <w:lang w:val="es-ES"/>
              </w:rPr>
              <w:lastRenderedPageBreak/>
              <w:t xml:space="preserve">prácticas sobre la utilización de las herramientas para las Regiones de </w:t>
            </w:r>
            <w:hyperlink r:id="rId392" w:history="1">
              <w:r>
                <w:rPr>
                  <w:rStyle w:val="Hyperlink"/>
                  <w:lang w:val="es-ES"/>
                </w:rPr>
                <w:t>AMS</w:t>
              </w:r>
            </w:hyperlink>
            <w:r>
              <w:rPr>
                <w:lang w:val="es-ES"/>
              </w:rPr>
              <w:t xml:space="preserve">, </w:t>
            </w:r>
            <w:hyperlink r:id="rId393" w:history="1">
              <w:r>
                <w:rPr>
                  <w:rStyle w:val="Hyperlink"/>
                  <w:lang w:val="es-ES"/>
                </w:rPr>
                <w:t>EUR</w:t>
              </w:r>
            </w:hyperlink>
            <w:r>
              <w:rPr>
                <w:lang w:val="es-ES"/>
              </w:rPr>
              <w:t xml:space="preserve"> y </w:t>
            </w:r>
            <w:hyperlink r:id="rId394" w:history="1">
              <w:r>
                <w:rPr>
                  <w:rStyle w:val="Hyperlink"/>
                  <w:lang w:val="es-ES"/>
                </w:rPr>
                <w:t>AFR</w:t>
              </w:r>
            </w:hyperlink>
            <w:r>
              <w:rPr>
                <w:lang w:val="es-ES"/>
              </w:rPr>
              <w:t>. En 2021, se actualizará el Conjunto de herramientas para incluir orientaciones sobre el despliegue de las redes de 5G.</w:t>
            </w:r>
          </w:p>
          <w:p w14:paraId="4DA81F98" w14:textId="54E38E02" w:rsidR="008A64DF" w:rsidRDefault="008A64DF">
            <w:pPr>
              <w:pStyle w:val="Tabletext"/>
              <w:ind w:left="720" w:hanging="720"/>
              <w:rPr>
                <w:lang w:val="es-ES"/>
              </w:rPr>
            </w:pPr>
            <w:r>
              <w:rPr>
                <w:lang w:val="es-ES"/>
              </w:rPr>
              <w:t>•</w:t>
            </w:r>
            <w:r>
              <w:rPr>
                <w:lang w:val="es-ES"/>
              </w:rPr>
              <w:tab/>
              <w:t>Se prepararon estudios de evaluación para la CEDEAO sobre conformidad e interoperabilidad y</w:t>
            </w:r>
            <w:r w:rsidR="00D84DEA">
              <w:rPr>
                <w:lang w:val="es-ES"/>
              </w:rPr>
              <w:t> </w:t>
            </w:r>
            <w:r>
              <w:rPr>
                <w:lang w:val="es-ES"/>
              </w:rPr>
              <w:t>CEM.</w:t>
            </w:r>
          </w:p>
          <w:p w14:paraId="45D0D7EB" w14:textId="77777777" w:rsidR="008A64DF" w:rsidRDefault="008A64DF">
            <w:pPr>
              <w:pStyle w:val="Tabletext"/>
              <w:ind w:left="720" w:hanging="720"/>
              <w:rPr>
                <w:lang w:val="es-ES"/>
              </w:rPr>
            </w:pPr>
            <w:r>
              <w:rPr>
                <w:lang w:val="es-ES"/>
              </w:rPr>
              <w:t>•</w:t>
            </w:r>
            <w:r>
              <w:rPr>
                <w:lang w:val="es-ES"/>
              </w:rPr>
              <w:tab/>
              <w:t xml:space="preserve">Se elaboró la </w:t>
            </w:r>
            <w:hyperlink r:id="rId395" w:history="1">
              <w:r>
                <w:rPr>
                  <w:rStyle w:val="Hyperlink"/>
                  <w:lang w:val="es-ES"/>
                </w:rPr>
                <w:t>Guía de soluciones para la conectividad de último kilómetro</w:t>
              </w:r>
            </w:hyperlink>
            <w:r>
              <w:rPr>
                <w:lang w:val="es-ES"/>
              </w:rPr>
              <w:t xml:space="preserve"> de la UIT para ayudar a acelerar las acciones que abordan los problemas de conectividad a Internet en el último kilómetro en casos donde no se dispone de infraestructura de red, con vistas a fomentar una prestación del servicio más asequible. La BDT está elaborando un conjunto de recursos para que los Estados Miembros puedan responder a los retos de conectividad en el último kilómetro, incluida una base de datos de estudios de casos (</w:t>
            </w:r>
            <w:hyperlink r:id="rId396" w:history="1">
              <w:r>
                <w:rPr>
                  <w:rStyle w:val="Hyperlink"/>
                  <w:lang w:val="es-ES"/>
                </w:rPr>
                <w:t>Base de datos de estudios de casos de conectividad del último kilómetro</w:t>
              </w:r>
            </w:hyperlink>
            <w:r>
              <w:rPr>
                <w:lang w:val="es-ES"/>
              </w:rPr>
              <w:t>), cursos de capacitación y herramientas interactivas de diagnóstico y toma de decisiones para la conectividad en el último kilómetro.</w:t>
            </w:r>
          </w:p>
          <w:p w14:paraId="77F83A12" w14:textId="4B9E7428" w:rsidR="008A64DF" w:rsidRDefault="008A64DF">
            <w:pPr>
              <w:pStyle w:val="Tabletext"/>
              <w:ind w:left="720" w:hanging="720"/>
              <w:rPr>
                <w:lang w:val="es-ES"/>
              </w:rPr>
            </w:pPr>
            <w:r>
              <w:rPr>
                <w:lang w:val="es-ES"/>
              </w:rPr>
              <w:t>•</w:t>
            </w:r>
            <w:r>
              <w:rPr>
                <w:lang w:val="es-ES"/>
              </w:rPr>
              <w:tab/>
              <w:t>Del 5 al 16 de julio de 2021, se celebró</w:t>
            </w:r>
            <w:r w:rsidRPr="00D84DEA">
              <w:rPr>
                <w:lang w:val="es-ES"/>
              </w:rPr>
              <w:t xml:space="preserve"> </w:t>
            </w:r>
            <w:hyperlink r:id="rId397" w:history="1">
              <w:r w:rsidR="00D84DEA" w:rsidRPr="00D84DEA">
                <w:rPr>
                  <w:rStyle w:val="Hyperlink"/>
                  <w:iCs/>
                  <w:lang w:val="es-ES"/>
                </w:rPr>
                <w:t>Tecnologías incipientes para la conectividad</w:t>
              </w:r>
              <w:r w:rsidRPr="00D84DEA">
                <w:rPr>
                  <w:rStyle w:val="Hyperlink"/>
                  <w:iCs/>
                  <w:lang w:val="es-ES"/>
                </w:rPr>
                <w:t xml:space="preserve"> 2021</w:t>
              </w:r>
              <w:r w:rsidRPr="00D84DEA">
                <w:rPr>
                  <w:rStyle w:val="Hyperlink"/>
                  <w:lang w:val="es-ES"/>
                </w:rPr>
                <w:t xml:space="preserve"> de la</w:t>
              </w:r>
              <w:r w:rsidR="00BF3AEF">
                <w:rPr>
                  <w:rStyle w:val="Hyperlink"/>
                  <w:lang w:val="es-ES"/>
                </w:rPr>
                <w:t> </w:t>
              </w:r>
              <w:r w:rsidRPr="00D84DEA">
                <w:rPr>
                  <w:rStyle w:val="Hyperlink"/>
                  <w:lang w:val="es-ES"/>
                </w:rPr>
                <w:t>UIT</w:t>
              </w:r>
            </w:hyperlink>
            <w:r>
              <w:rPr>
                <w:lang w:val="es-ES"/>
              </w:rPr>
              <w:t>, que contó con unas 25 sesiones y un total de 595</w:t>
            </w:r>
            <w:r w:rsidR="00D84DEA">
              <w:rPr>
                <w:lang w:val="es-ES"/>
              </w:rPr>
              <w:t> </w:t>
            </w:r>
            <w:r>
              <w:rPr>
                <w:lang w:val="es-ES"/>
              </w:rPr>
              <w:t>participantes presentes. Intervinieron cerca de 154</w:t>
            </w:r>
            <w:r w:rsidR="00212EE6">
              <w:rPr>
                <w:lang w:val="es-ES"/>
              </w:rPr>
              <w:t> </w:t>
            </w:r>
            <w:r>
              <w:rPr>
                <w:lang w:val="es-ES"/>
              </w:rPr>
              <w:t xml:space="preserve">oradores. Además, se realizaron actividades de capacitación, con la impartición de </w:t>
            </w:r>
            <w:r w:rsidR="00212EE6">
              <w:rPr>
                <w:lang w:val="es-ES"/>
              </w:rPr>
              <w:t>cinco </w:t>
            </w:r>
            <w:r>
              <w:rPr>
                <w:lang w:val="es-ES"/>
              </w:rPr>
              <w:t xml:space="preserve">cursos de formación. Puede accederse a las intervenciones, grabaciones e informes en el </w:t>
            </w:r>
            <w:hyperlink r:id="rId398" w:history="1">
              <w:r>
                <w:rPr>
                  <w:rStyle w:val="Hyperlink"/>
                  <w:lang w:val="es-ES"/>
                </w:rPr>
                <w:t>sitio web</w:t>
              </w:r>
            </w:hyperlink>
            <w:r>
              <w:rPr>
                <w:lang w:val="es-ES"/>
              </w:rPr>
              <w:t>.</w:t>
            </w:r>
            <w:r>
              <w:rPr>
                <w:rFonts w:eastAsiaTheme="minorEastAsia" w:cs="AvenirNext LT Pro Light"/>
                <w:color w:val="000000"/>
                <w:szCs w:val="22"/>
                <w:lang w:val="es-ES" w:eastAsia="zh-CN"/>
              </w:rPr>
              <w:t xml:space="preserve"> En el evento, se promovió el despliegue a gran escala de las tecnologías </w:t>
            </w:r>
            <w:r w:rsidR="00EE5736">
              <w:rPr>
                <w:rFonts w:eastAsiaTheme="minorEastAsia" w:cs="AvenirNext LT Pro Light"/>
                <w:color w:val="000000"/>
                <w:szCs w:val="22"/>
                <w:lang w:val="es-ES" w:eastAsia="zh-CN"/>
              </w:rPr>
              <w:t>incipientes</w:t>
            </w:r>
            <w:r>
              <w:rPr>
                <w:rFonts w:eastAsiaTheme="minorEastAsia" w:cs="AvenirNext LT Pro Light"/>
                <w:color w:val="000000"/>
                <w:szCs w:val="22"/>
                <w:lang w:val="es-ES" w:eastAsia="zh-CN"/>
              </w:rPr>
              <w:t xml:space="preserve"> para contribuir a la consecución de los Objetivos de Desarrollo Sostenible (ODS).</w:t>
            </w:r>
            <w:r>
              <w:rPr>
                <w:lang w:val="es-ES"/>
              </w:rPr>
              <w:t xml:space="preserve"> El evento se centró en los países menos adelantados (PMA), los países en desarrollo sin litoral (PDSL) y los pequeños Estados insulares en desarrollo (PEID), y estuvo enfocado en el ODS</w:t>
            </w:r>
            <w:r w:rsidR="00D84DEA">
              <w:rPr>
                <w:lang w:val="es-ES"/>
              </w:rPr>
              <w:t> </w:t>
            </w:r>
            <w:r>
              <w:rPr>
                <w:lang w:val="es-ES"/>
              </w:rPr>
              <w:t>4 (Educación de calidad), el ODS</w:t>
            </w:r>
            <w:r w:rsidR="00D84DEA">
              <w:rPr>
                <w:lang w:val="es-ES"/>
              </w:rPr>
              <w:t> </w:t>
            </w:r>
            <w:r>
              <w:rPr>
                <w:lang w:val="es-ES"/>
              </w:rPr>
              <w:t>9 (Industria, innovación e infraestructura), el ODS</w:t>
            </w:r>
            <w:r w:rsidR="00D84DEA">
              <w:rPr>
                <w:lang w:val="es-ES"/>
              </w:rPr>
              <w:t> </w:t>
            </w:r>
            <w:r>
              <w:rPr>
                <w:lang w:val="es-ES"/>
              </w:rPr>
              <w:t>11 (Ciudades y comunidades sostenibles) y el ODS</w:t>
            </w:r>
            <w:r w:rsidR="00D84DEA">
              <w:rPr>
                <w:lang w:val="es-ES"/>
              </w:rPr>
              <w:t> </w:t>
            </w:r>
            <w:r>
              <w:rPr>
                <w:lang w:val="es-ES"/>
              </w:rPr>
              <w:t>17 (Asociaciones para los Objetivos).</w:t>
            </w:r>
          </w:p>
        </w:tc>
      </w:tr>
      <w:tr w:rsidR="008A64DF" w:rsidRPr="008A64DF" w14:paraId="0389BBD1" w14:textId="77777777" w:rsidTr="00084D3A">
        <w:tc>
          <w:tcPr>
            <w:tcW w:w="9026" w:type="dxa"/>
            <w:hideMark/>
          </w:tcPr>
          <w:p w14:paraId="7B7FA71E" w14:textId="77777777" w:rsidR="008A64DF" w:rsidRDefault="008A64DF">
            <w:pPr>
              <w:pStyle w:val="Tabletext"/>
              <w:rPr>
                <w:b/>
                <w:bCs/>
                <w:lang w:val="es-ES"/>
              </w:rPr>
            </w:pPr>
            <w:r w:rsidRPr="00AC2DC9">
              <w:rPr>
                <w:b/>
                <w:bCs/>
                <w:lang w:val="es-ES"/>
              </w:rPr>
              <w:lastRenderedPageBreak/>
              <w:t>139</w:t>
            </w:r>
            <w:r>
              <w:rPr>
                <w:b/>
                <w:bCs/>
                <w:lang w:val="es-ES"/>
              </w:rPr>
              <w:t xml:space="preserve"> (Rev. Dubái, 2018) Utilización de las telecomunicaciones/tecnologías de la información y la comunicación para reducir la brecha digital y crear una sociedad de la información inclusiva</w:t>
            </w:r>
          </w:p>
          <w:p w14:paraId="6B3B1E09" w14:textId="6CDF835A" w:rsidR="008A64DF" w:rsidRDefault="008A64DF">
            <w:pPr>
              <w:pStyle w:val="Tabletext"/>
              <w:rPr>
                <w:lang w:val="es-ES"/>
              </w:rPr>
            </w:pPr>
            <w:r>
              <w:rPr>
                <w:lang w:val="es-ES"/>
              </w:rPr>
              <w:t xml:space="preserve">Los </w:t>
            </w:r>
            <w:hyperlink r:id="rId399" w:history="1">
              <w:r w:rsidR="00AC2DC9">
                <w:rPr>
                  <w:rStyle w:val="Hyperlink"/>
                  <w:lang w:val="es-ES"/>
                </w:rPr>
                <w:t>m</w:t>
              </w:r>
              <w:r>
                <w:rPr>
                  <w:rStyle w:val="Hyperlink"/>
                  <w:lang w:val="es-ES"/>
                </w:rPr>
                <w:t>apas de banda ancha de la UIT</w:t>
              </w:r>
            </w:hyperlink>
            <w:r>
              <w:rPr>
                <w:lang w:val="es-ES"/>
              </w:rPr>
              <w:t xml:space="preserve"> se han mejorado haciendo un inventario de la conectividad en el mundo y fomentando la comprensión y las oportunidades de inversión en infraestructura de red. La versión pública del mapa interactivo está disponible </w:t>
            </w:r>
            <w:hyperlink r:id="rId400" w:history="1">
              <w:r>
                <w:rPr>
                  <w:rStyle w:val="Hyperlink"/>
                  <w:lang w:val="es-ES"/>
                </w:rPr>
                <w:t>en línea</w:t>
              </w:r>
            </w:hyperlink>
            <w:r>
              <w:rPr>
                <w:lang w:val="es-ES"/>
              </w:rPr>
              <w:t xml:space="preserve">. En 2019, los mapas de banda ancha dieron soporte a otras iniciativas mundiales como Giga (véase la </w:t>
            </w:r>
            <w:bookmarkStart w:id="259" w:name="_Hlk72165958"/>
            <w:r w:rsidR="00084CD9" w:rsidRPr="00084CD9">
              <w:rPr>
                <w:lang w:val="es-ES"/>
              </w:rPr>
              <w:fldChar w:fldCharType="begin"/>
            </w:r>
            <w:r w:rsidR="00084CD9" w:rsidRPr="00084CD9">
              <w:rPr>
                <w:lang w:val="es-ES"/>
              </w:rPr>
              <w:instrText xml:space="preserve"> HYPERLINK  \l "_1.9_Alianzas_estratégicas" </w:instrText>
            </w:r>
            <w:r w:rsidR="00084CD9" w:rsidRPr="00084CD9">
              <w:rPr>
                <w:lang w:val="es-ES"/>
              </w:rPr>
              <w:fldChar w:fldCharType="separate"/>
            </w:r>
            <w:r w:rsidRPr="00084CD9">
              <w:rPr>
                <w:rStyle w:val="Hyperlink"/>
                <w:lang w:val="es-ES"/>
              </w:rPr>
              <w:t>sección 1.9</w:t>
            </w:r>
            <w:bookmarkEnd w:id="259"/>
            <w:r w:rsidR="00084CD9" w:rsidRPr="00084CD9">
              <w:rPr>
                <w:lang w:val="es-ES"/>
              </w:rPr>
              <w:fldChar w:fldCharType="end"/>
            </w:r>
            <w:r>
              <w:rPr>
                <w:lang w:val="es-ES"/>
              </w:rPr>
              <w:t>), el FIGI</w:t>
            </w:r>
            <w:r>
              <w:rPr>
                <w:lang w:val="es-ES"/>
              </w:rPr>
              <w:noBreakHyphen/>
              <w:t>México y el mapa de comunicaciones de emergencia. En 2021, los mapas de banda ancha dieron soporte a iniciativas mundiales que se basaron en los datos geoespaciales de infraestructura de TIC utilizados para la planificación de los despliegues de red para la conexión de puntos de interés como escuelas (Ministerio de Relaciones Exteriores, del Commonwealth y de Desarrollo (FCDO) y Giga), inclusión digital (</w:t>
            </w:r>
            <w:hyperlink r:id="rId401" w:history="1">
              <w:r>
                <w:rPr>
                  <w:rStyle w:val="Hyperlink"/>
                  <w:lang w:val="es-ES"/>
                </w:rPr>
                <w:t>FIGI</w:t>
              </w:r>
              <w:r w:rsidR="00AC2DC9">
                <w:rPr>
                  <w:rStyle w:val="Hyperlink"/>
                  <w:lang w:val="es-ES"/>
                </w:rPr>
                <w:noBreakHyphen/>
              </w:r>
              <w:r>
                <w:rPr>
                  <w:rStyle w:val="Hyperlink"/>
                  <w:lang w:val="es-ES"/>
                </w:rPr>
                <w:t>México</w:t>
              </w:r>
            </w:hyperlink>
            <w:r>
              <w:rPr>
                <w:lang w:val="es-ES"/>
              </w:rPr>
              <w:t>), resiliencia de red (Connect2Recover (C2R)) y operaciones de socorro (Mapa de conectividad en caso de catástrofe (DCM))</w:t>
            </w:r>
            <w:r w:rsidR="00AC2DC9">
              <w:rPr>
                <w:lang w:val="es-ES"/>
              </w:rPr>
              <w:t>.</w:t>
            </w:r>
          </w:p>
          <w:p w14:paraId="55FC2E16" w14:textId="77777777" w:rsidR="008A64DF" w:rsidRDefault="008A64DF">
            <w:pPr>
              <w:pStyle w:val="Tabletext"/>
              <w:rPr>
                <w:lang w:val="es-ES"/>
              </w:rPr>
            </w:pPr>
            <w:r>
              <w:rPr>
                <w:lang w:val="es-ES"/>
              </w:rPr>
              <w:t>Otros desarrollos incluyen la estimación del despliegue de la red basada en un modelo de la Iniciativa Regional de la UIT, así como una interfaz gráfica mejorada y una alianza para el mapa de oportunidades de inversión para Europa oriental.</w:t>
            </w:r>
          </w:p>
          <w:p w14:paraId="4680F4B5" w14:textId="77777777" w:rsidR="008A64DF" w:rsidRDefault="008A64DF">
            <w:pPr>
              <w:pStyle w:val="Tabletext"/>
              <w:rPr>
                <w:lang w:val="es-ES"/>
              </w:rPr>
            </w:pPr>
            <w:r>
              <w:rPr>
                <w:lang w:val="es-ES"/>
              </w:rPr>
              <w:t>En Burundi se ha instalado la red WiMax de banda ancha y ya está operativa: 437 escuelas, hospitales y particulares están conectados y se benefician de operaciones de banda ancha desde diciembre de 2019.</w:t>
            </w:r>
          </w:p>
          <w:p w14:paraId="5C38A11D" w14:textId="77777777" w:rsidR="008A64DF" w:rsidRDefault="008A64DF">
            <w:pPr>
              <w:pStyle w:val="Tabletext"/>
              <w:rPr>
                <w:lang w:val="es-ES"/>
              </w:rPr>
            </w:pPr>
            <w:r>
              <w:rPr>
                <w:lang w:val="es-ES"/>
              </w:rPr>
              <w:t>En Djibouti se ha instalado la red WiMax móvil 4G de banda ancha y ya está operativa: escuelas (48), hospitales (45) y/o ministerios/instituciones gubernamentales (23) están conectados y se benefician del funcionamiento de la banda ancha desde diciembre de 2019. En el Reino de Eswatini se ha instalado la red móvil de banda ancha 4G LTE y ya está operativa en 20 localidades de zonas rurales del Reino de Eswatini.</w:t>
            </w:r>
          </w:p>
        </w:tc>
      </w:tr>
      <w:tr w:rsidR="00951A25" w:rsidRPr="008A64DF" w14:paraId="50E65275" w14:textId="77777777" w:rsidTr="00084D3A">
        <w:tc>
          <w:tcPr>
            <w:tcW w:w="9026" w:type="dxa"/>
          </w:tcPr>
          <w:p w14:paraId="31447C66" w14:textId="0C787A75" w:rsidR="00951A25" w:rsidRPr="00D5601F" w:rsidRDefault="00951A25" w:rsidP="00951A25">
            <w:pPr>
              <w:pStyle w:val="Tabletext"/>
              <w:rPr>
                <w:b/>
                <w:bCs/>
                <w:lang w:val="es-ES"/>
              </w:rPr>
            </w:pPr>
            <w:r w:rsidRPr="00D5601F">
              <w:rPr>
                <w:b/>
                <w:bCs/>
                <w:lang w:val="es-ES"/>
              </w:rPr>
              <w:lastRenderedPageBreak/>
              <w:t>140 (Rev. Dubái, 2018) Función de la UIT en la aplicación de los resultados de la Cumbre Mundial sobre la Sociedad de la Información y de la Agenda 2030 para el Desarrollo Sostenible, así como en sus procesos de seguimiento y revisión</w:t>
            </w:r>
          </w:p>
          <w:p w14:paraId="2B652694" w14:textId="794872F2" w:rsidR="00951A25" w:rsidRPr="00951A25" w:rsidRDefault="00951A25" w:rsidP="00951A25">
            <w:pPr>
              <w:pStyle w:val="Tabletext"/>
              <w:rPr>
                <w:lang w:val="es-ES"/>
              </w:rPr>
            </w:pPr>
            <w:r w:rsidRPr="00951A25">
              <w:rPr>
                <w:lang w:val="es-ES"/>
              </w:rPr>
              <w:t xml:space="preserve">La coordinación y aplicación de los resultados de la Cumbre Mundial sobre la Sociedad de la Información (CMSI) siguen constituyendo una de las prioridades del Secretario General de la Unión Internacional de Telecomunicaciones (UIT). La visión de la Unión definida en el Plan Estratégico de la UIT para 2020-2023, es </w:t>
            </w:r>
            <w:r w:rsidR="00C81CF7">
              <w:rPr>
                <w:lang w:val="es-ES"/>
              </w:rPr>
              <w:t>"</w:t>
            </w:r>
            <w:r w:rsidRPr="00951A25">
              <w:rPr>
                <w:lang w:val="es-ES"/>
              </w:rPr>
              <w:t>una sociedad de la información propiciada por el mundo interconectado en el que las telecomunicaciones/tecnologías de la información y la comunicación faciliten y aceleren el crecimiento y el desarrollo socioeconómicos y ecológicamente sostenibles de manera universal", en consonancia con los documentos relativos a los resultados de la CMSI.</w:t>
            </w:r>
          </w:p>
          <w:p w14:paraId="6285C737" w14:textId="367D0612" w:rsidR="00951A25" w:rsidRPr="00951A25" w:rsidRDefault="00951A25" w:rsidP="00951A25">
            <w:pPr>
              <w:pStyle w:val="Tabletext"/>
              <w:rPr>
                <w:lang w:val="es-ES"/>
              </w:rPr>
            </w:pPr>
            <w:r w:rsidRPr="00951A25">
              <w:rPr>
                <w:lang w:val="es-ES"/>
              </w:rPr>
              <w:t xml:space="preserve">Los Objetivos Estratégicos de la Unión (crecimiento, inclusión, sostenibilidad, innovación y asociación) refrendan la función de la UIT de propiciar avances en la aplicación de las </w:t>
            </w:r>
            <w:r w:rsidR="0046483E">
              <w:rPr>
                <w:lang w:val="es-ES"/>
              </w:rPr>
              <w:t>l</w:t>
            </w:r>
            <w:r w:rsidRPr="00951A25">
              <w:rPr>
                <w:lang w:val="es-ES"/>
              </w:rPr>
              <w:t xml:space="preserve">íneas de </w:t>
            </w:r>
            <w:r w:rsidR="0046483E">
              <w:rPr>
                <w:lang w:val="es-ES"/>
              </w:rPr>
              <w:t>a</w:t>
            </w:r>
            <w:r w:rsidRPr="00951A25">
              <w:rPr>
                <w:lang w:val="es-ES"/>
              </w:rPr>
              <w:t xml:space="preserve">cción de la CMSI y la Agenda 2030 para el Desarrollo Sostenible. A través de esos objetivos, la Unión procura contribuir al desarrollo de un entorno que sea propicio para la innovación, en el que los avances en materia de nuevas tecnologías constituyan un motor fundamental para la aplicación y el cumplimiento de las </w:t>
            </w:r>
            <w:r w:rsidR="0046483E">
              <w:rPr>
                <w:lang w:val="es-ES"/>
              </w:rPr>
              <w:t>l</w:t>
            </w:r>
            <w:r w:rsidRPr="00951A25">
              <w:rPr>
                <w:lang w:val="es-ES"/>
              </w:rPr>
              <w:t xml:space="preserve">íneas de </w:t>
            </w:r>
            <w:r w:rsidR="0046483E">
              <w:rPr>
                <w:lang w:val="es-ES"/>
              </w:rPr>
              <w:t>a</w:t>
            </w:r>
            <w:r w:rsidRPr="00951A25">
              <w:rPr>
                <w:lang w:val="es-ES"/>
              </w:rPr>
              <w:t>cción de la CMSI y la Agenda 2030 para el Desarrollo Sostenible. La Unión también reconoce la necesidad de contribuir a asociaciones a escala mundial para fortalecer el papel que desempeñan las tecnologías de la información y la comunicación (TIC) a tenor de ese mismo objetivo.</w:t>
            </w:r>
          </w:p>
          <w:p w14:paraId="413885D0" w14:textId="6A87665F" w:rsidR="00951A25" w:rsidRPr="00951A25" w:rsidRDefault="00951A25" w:rsidP="00951A25">
            <w:pPr>
              <w:pStyle w:val="Tabletext"/>
              <w:rPr>
                <w:lang w:val="es-ES"/>
              </w:rPr>
            </w:pPr>
            <w:r w:rsidRPr="00951A25">
              <w:rPr>
                <w:lang w:val="es-ES"/>
              </w:rPr>
              <w:t xml:space="preserve">En el </w:t>
            </w:r>
            <w:hyperlink r:id="rId402" w:history="1">
              <w:r w:rsidRPr="00AB44A8">
                <w:rPr>
                  <w:rStyle w:val="Hyperlink"/>
                  <w:lang w:val="es-ES"/>
                </w:rPr>
                <w:t>Resolución 71 (Rev. Dubái, 2018)</w:t>
              </w:r>
            </w:hyperlink>
            <w:r w:rsidRPr="00951A25">
              <w:rPr>
                <w:lang w:val="es-ES"/>
              </w:rPr>
              <w:t xml:space="preserve"> sobre el Plan Estratégico de la UIT para 2020-2023, los Estados Miembros subrayaron la necesidad de contribuir a los esfuerzos desplegados a escala mundial para alcanzar los ODS, en consonancia con el Proceso de la CMSI. Los objetivos sectoriales, en particular los objetivos y productos de la BDT (</w:t>
            </w:r>
            <w:hyperlink r:id="rId403" w:history="1">
              <w:r w:rsidRPr="00AB44A8">
                <w:rPr>
                  <w:rStyle w:val="Hyperlink"/>
                  <w:lang w:val="es-ES"/>
                </w:rPr>
                <w:t xml:space="preserve">Resolución 30 </w:t>
              </w:r>
              <w:r w:rsidR="00C81CF7" w:rsidRPr="00AB44A8">
                <w:rPr>
                  <w:rStyle w:val="Hyperlink"/>
                  <w:lang w:val="es-ES"/>
                </w:rPr>
                <w:t xml:space="preserve">(Rev. Buenos Aires, 2017) </w:t>
              </w:r>
              <w:r w:rsidRPr="00AB44A8">
                <w:rPr>
                  <w:rStyle w:val="Hyperlink"/>
                  <w:lang w:val="es-ES"/>
                </w:rPr>
                <w:t>de la CMDT</w:t>
              </w:r>
              <w:r w:rsidR="00C81CF7" w:rsidRPr="00AB44A8">
                <w:rPr>
                  <w:rStyle w:val="Hyperlink"/>
                  <w:lang w:val="es-ES"/>
                </w:rPr>
                <w:t>-</w:t>
              </w:r>
              <w:r w:rsidRPr="00AB44A8">
                <w:rPr>
                  <w:rStyle w:val="Hyperlink"/>
                  <w:lang w:val="es-ES"/>
                </w:rPr>
                <w:t>17</w:t>
              </w:r>
            </w:hyperlink>
            <w:r w:rsidR="00C81CF7">
              <w:rPr>
                <w:lang w:val="es-ES"/>
              </w:rPr>
              <w:t>)</w:t>
            </w:r>
            <w:r w:rsidRPr="00951A25">
              <w:rPr>
                <w:lang w:val="es-ES"/>
              </w:rPr>
              <w:t xml:space="preserve"> y de la TSB (</w:t>
            </w:r>
            <w:hyperlink r:id="rId404" w:history="1">
              <w:r w:rsidRPr="00AB44A8">
                <w:rPr>
                  <w:rStyle w:val="Hyperlink"/>
                  <w:lang w:val="es-ES"/>
                </w:rPr>
                <w:t xml:space="preserve">Resolución 75 </w:t>
              </w:r>
              <w:r w:rsidR="00C81CF7" w:rsidRPr="00AB44A8">
                <w:rPr>
                  <w:rStyle w:val="Hyperlink"/>
                  <w:lang w:val="es-ES"/>
                </w:rPr>
                <w:t xml:space="preserve">(Rev. Hammamet, 2016) </w:t>
              </w:r>
              <w:r w:rsidRPr="00AB44A8">
                <w:rPr>
                  <w:rStyle w:val="Hyperlink"/>
                  <w:lang w:val="es-ES"/>
                </w:rPr>
                <w:t>de la AMNT-16</w:t>
              </w:r>
            </w:hyperlink>
            <w:r w:rsidR="00C81CF7">
              <w:rPr>
                <w:lang w:val="es-ES"/>
              </w:rPr>
              <w:t>)</w:t>
            </w:r>
            <w:r w:rsidRPr="00951A25">
              <w:rPr>
                <w:lang w:val="es-ES"/>
              </w:rPr>
              <w:t xml:space="preserve">, así como los objetivos intersectoriales, también guardan una estrecha relación con las </w:t>
            </w:r>
            <w:r w:rsidR="0046483E">
              <w:rPr>
                <w:lang w:val="es-ES"/>
              </w:rPr>
              <w:t>l</w:t>
            </w:r>
            <w:r w:rsidRPr="00951A25">
              <w:rPr>
                <w:lang w:val="es-ES"/>
              </w:rPr>
              <w:t xml:space="preserve">íneas de </w:t>
            </w:r>
            <w:r w:rsidR="0046483E">
              <w:rPr>
                <w:lang w:val="es-ES"/>
              </w:rPr>
              <w:t>a</w:t>
            </w:r>
            <w:r w:rsidRPr="00951A25">
              <w:rPr>
                <w:lang w:val="es-ES"/>
              </w:rPr>
              <w:t>cción de la CMSI y la Agenda 2030 para el Desarrollo Sostenible. El proyecto de hoja de ruta de las acciones de la UIT relacionadas con los ODS se presentó en la 38ª reunión del GTC-CMSI+ODS en enero de 2022 (</w:t>
            </w:r>
            <w:hyperlink r:id="rId405" w:history="1">
              <w:r w:rsidRPr="00AB44A8">
                <w:rPr>
                  <w:rStyle w:val="Hyperlink"/>
                  <w:lang w:val="es-ES"/>
                </w:rPr>
                <w:t>CWG-WSIS&amp;SDG-38/14</w:t>
              </w:r>
            </w:hyperlink>
            <w:r w:rsidRPr="00951A25">
              <w:rPr>
                <w:lang w:val="es-ES"/>
              </w:rPr>
              <w:t>).</w:t>
            </w:r>
          </w:p>
          <w:p w14:paraId="30724791" w14:textId="537D6107" w:rsidR="00951A25" w:rsidRPr="00951A25" w:rsidRDefault="00951A25" w:rsidP="00951A25">
            <w:pPr>
              <w:pStyle w:val="Tabletext"/>
              <w:rPr>
                <w:lang w:val="es-ES"/>
              </w:rPr>
            </w:pPr>
            <w:r w:rsidRPr="00951A25">
              <w:rPr>
                <w:lang w:val="es-ES"/>
              </w:rPr>
              <w:t xml:space="preserve">La UIT desempeña un papel facilitador de primer orden en el proceso de aplicación de la CMSI, en colaboración con más de 30 organismos de las Naciones Unidas, para aplicar las </w:t>
            </w:r>
            <w:r w:rsidR="0046483E" w:rsidRPr="00951A25">
              <w:rPr>
                <w:lang w:val="es-ES"/>
              </w:rPr>
              <w:t>l</w:t>
            </w:r>
            <w:r w:rsidRPr="00951A25">
              <w:rPr>
                <w:lang w:val="es-ES"/>
              </w:rPr>
              <w:t xml:space="preserve">íneas de </w:t>
            </w:r>
            <w:r w:rsidR="0046483E" w:rsidRPr="00951A25">
              <w:rPr>
                <w:lang w:val="es-ES"/>
              </w:rPr>
              <w:t>a</w:t>
            </w:r>
            <w:r w:rsidRPr="00951A25">
              <w:rPr>
                <w:lang w:val="es-ES"/>
              </w:rPr>
              <w:t>cción de la</w:t>
            </w:r>
            <w:r w:rsidR="0046483E">
              <w:rPr>
                <w:lang w:val="es-ES"/>
              </w:rPr>
              <w:t> </w:t>
            </w:r>
            <w:r w:rsidRPr="00951A25">
              <w:rPr>
                <w:lang w:val="es-ES"/>
              </w:rPr>
              <w:t xml:space="preserve">CMSI a fin de alcanzar los Objetivos de Desarrollo Sostenible, con el objetivo y el compromiso comunes de forjar sociedades de la información y del conocimiento inclusivas y orientadas al desarrollo. De conformidad con la </w:t>
            </w:r>
            <w:hyperlink r:id="rId406" w:history="1">
              <w:r w:rsidRPr="00AB44A8">
                <w:rPr>
                  <w:rStyle w:val="Hyperlink"/>
                  <w:lang w:val="es-ES"/>
                </w:rPr>
                <w:t>Resolución 1332 (modificada en 2019)</w:t>
              </w:r>
            </w:hyperlink>
            <w:r w:rsidRPr="00951A25">
              <w:rPr>
                <w:lang w:val="es-ES"/>
              </w:rPr>
              <w:t>, los miembros de la UIT resolvieron utilizar el marco de la CMSI como elemento fundamental a través del cual la UIT facilita el aprovechamiento de las</w:t>
            </w:r>
            <w:r w:rsidR="0046483E">
              <w:rPr>
                <w:lang w:val="es-ES"/>
              </w:rPr>
              <w:t> </w:t>
            </w:r>
            <w:r w:rsidRPr="00951A25">
              <w:rPr>
                <w:lang w:val="es-ES"/>
              </w:rPr>
              <w:t>TIC para alcanzar los objetivos de la Agenda 2030, con arreglo al mandato de la UIT.</w:t>
            </w:r>
          </w:p>
          <w:p w14:paraId="2B3058B3" w14:textId="3436AB0E" w:rsidR="00951A25" w:rsidRPr="00951A25" w:rsidRDefault="00951A25" w:rsidP="00951A25">
            <w:pPr>
              <w:pStyle w:val="Tabletext"/>
              <w:rPr>
                <w:lang w:val="es-ES"/>
              </w:rPr>
            </w:pPr>
            <w:r w:rsidRPr="00951A25">
              <w:rPr>
                <w:lang w:val="es-ES"/>
              </w:rPr>
              <w:t xml:space="preserve">De conformidad con la </w:t>
            </w:r>
            <w:hyperlink r:id="rId407" w:history="1">
              <w:r w:rsidRPr="00AB44A8">
                <w:rPr>
                  <w:rStyle w:val="Hyperlink"/>
                  <w:lang w:val="es-ES"/>
                </w:rPr>
                <w:t>Resolución 1332 (modificada en 2019)</w:t>
              </w:r>
            </w:hyperlink>
            <w:r w:rsidRPr="00951A25">
              <w:rPr>
                <w:lang w:val="es-ES"/>
              </w:rPr>
              <w:t xml:space="preserve">, la UIT elabora informes anuales en el marco de la </w:t>
            </w:r>
            <w:r w:rsidRPr="0046483E">
              <w:rPr>
                <w:i/>
                <w:iCs/>
                <w:lang w:val="es-ES"/>
              </w:rPr>
              <w:t>Contribución de la UIT a la aplicación de los resultados de la CMSI</w:t>
            </w:r>
            <w:r w:rsidRPr="00951A25">
              <w:rPr>
                <w:lang w:val="es-ES"/>
              </w:rPr>
              <w:t xml:space="preserve">, a fin de proporcionar una visión general de las actividades y los proyectos de la UIT realizados en relación con la aplicación de los resultados de la CMSI, que guardan relación asimismo con la Agenda 2030 para el Desarrollo Sostenible. Los informes anuales están disponibles </w:t>
            </w:r>
            <w:hyperlink r:id="rId408" w:history="1">
              <w:r w:rsidRPr="0046483E">
                <w:rPr>
                  <w:rStyle w:val="Hyperlink"/>
                  <w:lang w:val="es-ES"/>
                </w:rPr>
                <w:t>aquí</w:t>
              </w:r>
            </w:hyperlink>
            <w:r w:rsidRPr="00951A25">
              <w:rPr>
                <w:lang w:val="es-ES"/>
              </w:rPr>
              <w:t>.</w:t>
            </w:r>
          </w:p>
          <w:p w14:paraId="54620F00" w14:textId="6798C4A1" w:rsidR="00951A25" w:rsidRPr="00951A25" w:rsidRDefault="00951A25" w:rsidP="00951A25">
            <w:pPr>
              <w:pStyle w:val="Tabletext"/>
              <w:rPr>
                <w:lang w:val="es-ES"/>
              </w:rPr>
            </w:pPr>
            <w:r w:rsidRPr="00951A25">
              <w:rPr>
                <w:lang w:val="es-ES"/>
              </w:rPr>
              <w:t xml:space="preserve">Las </w:t>
            </w:r>
            <w:hyperlink r:id="rId409" w:history="1">
              <w:r w:rsidR="00A31305" w:rsidRPr="00AB44A8">
                <w:rPr>
                  <w:rStyle w:val="Hyperlink"/>
                  <w:i/>
                  <w:iCs/>
                  <w:lang w:val="es-ES"/>
                </w:rPr>
                <w:t>h</w:t>
              </w:r>
              <w:r w:rsidRPr="00AB44A8">
                <w:rPr>
                  <w:rStyle w:val="Hyperlink"/>
                  <w:i/>
                  <w:iCs/>
                  <w:lang w:val="es-ES"/>
                </w:rPr>
                <w:t>ojas de ruta C2, C4, C5 y C6</w:t>
              </w:r>
            </w:hyperlink>
            <w:r w:rsidRPr="00951A25">
              <w:rPr>
                <w:lang w:val="es-ES"/>
              </w:rPr>
              <w:t xml:space="preserve"> de la UIT ofrecen una amplia visión y una visión pormenorizada de las actividades previstas en el marco del mandato de la Unión. La UIT es el principal facilitador y ejecutor de las </w:t>
            </w:r>
            <w:r w:rsidR="00A31305" w:rsidRPr="00951A25">
              <w:rPr>
                <w:lang w:val="es-ES"/>
              </w:rPr>
              <w:t>l</w:t>
            </w:r>
            <w:r w:rsidRPr="00951A25">
              <w:rPr>
                <w:lang w:val="es-ES"/>
              </w:rPr>
              <w:t xml:space="preserve">íneas de acción C2 (Infraestructura de información y comunicación), C5 (Ciberseguridad) y C6 (Entorno habilitador) de la CMSI. Por otro lado, la UIT ha desempeñado la función de facilitador y ejecutor de la </w:t>
            </w:r>
            <w:r w:rsidR="00A31305" w:rsidRPr="00951A25">
              <w:rPr>
                <w:lang w:val="es-ES"/>
              </w:rPr>
              <w:t xml:space="preserve">línea </w:t>
            </w:r>
            <w:r w:rsidRPr="00951A25">
              <w:rPr>
                <w:lang w:val="es-ES"/>
              </w:rPr>
              <w:t xml:space="preserve">de </w:t>
            </w:r>
            <w:r w:rsidR="00A31305" w:rsidRPr="00951A25">
              <w:rPr>
                <w:lang w:val="es-ES"/>
              </w:rPr>
              <w:t xml:space="preserve">acción </w:t>
            </w:r>
            <w:r w:rsidRPr="00951A25">
              <w:rPr>
                <w:lang w:val="es-ES"/>
              </w:rPr>
              <w:t xml:space="preserve">C4 (Creación de capacidad) de la CMSI. La próxima edición de las citadas hojas de ruta incorporará las actividades de la UIT sobre ejecución de la </w:t>
            </w:r>
            <w:r w:rsidR="00A31305" w:rsidRPr="00951A25">
              <w:rPr>
                <w:lang w:val="es-ES"/>
              </w:rPr>
              <w:t xml:space="preserve">línea </w:t>
            </w:r>
            <w:r w:rsidRPr="00951A25">
              <w:rPr>
                <w:lang w:val="es-ES"/>
              </w:rPr>
              <w:t xml:space="preserve">de </w:t>
            </w:r>
            <w:r w:rsidR="00A31305" w:rsidRPr="00951A25">
              <w:rPr>
                <w:lang w:val="es-ES"/>
              </w:rPr>
              <w:t xml:space="preserve">acción </w:t>
            </w:r>
            <w:r w:rsidRPr="00951A25">
              <w:rPr>
                <w:lang w:val="es-ES"/>
              </w:rPr>
              <w:t xml:space="preserve">C4 de la CMSI y se redactará de acuerdo con la plantilla aprobada en la </w:t>
            </w:r>
            <w:hyperlink r:id="rId410" w:history="1">
              <w:r w:rsidRPr="00AB44A8">
                <w:rPr>
                  <w:rStyle w:val="Hyperlink"/>
                  <w:lang w:val="es-ES"/>
                </w:rPr>
                <w:t>36ª reunión del GTC-CMSI+ODS</w:t>
              </w:r>
            </w:hyperlink>
            <w:r w:rsidRPr="00951A25">
              <w:rPr>
                <w:lang w:val="es-ES"/>
              </w:rPr>
              <w:t xml:space="preserve"> en enero de</w:t>
            </w:r>
            <w:r w:rsidR="00A31305">
              <w:rPr>
                <w:lang w:val="es-ES"/>
              </w:rPr>
              <w:t> </w:t>
            </w:r>
            <w:r w:rsidRPr="00951A25">
              <w:rPr>
                <w:lang w:val="es-ES"/>
              </w:rPr>
              <w:t>2021. Esa versión se elaborará en consonancia con el Plan Estratégico de la Unión para 2024-2027, incluidos los resultados de la AMNT-20 y la CMDT-21.</w:t>
            </w:r>
          </w:p>
        </w:tc>
      </w:tr>
      <w:tr w:rsidR="008A64DF" w:rsidRPr="008A64DF" w14:paraId="287CAA23" w14:textId="77777777" w:rsidTr="00084D3A">
        <w:tc>
          <w:tcPr>
            <w:tcW w:w="9026" w:type="dxa"/>
            <w:hideMark/>
          </w:tcPr>
          <w:p w14:paraId="55F6F214" w14:textId="77777777" w:rsidR="008A64DF" w:rsidRDefault="008A64DF">
            <w:pPr>
              <w:pStyle w:val="Tabletext"/>
              <w:rPr>
                <w:b/>
                <w:bCs/>
                <w:lang w:val="es-ES"/>
              </w:rPr>
            </w:pPr>
            <w:bookmarkStart w:id="260" w:name="_Hlk40960129"/>
            <w:r w:rsidRPr="006B596F">
              <w:rPr>
                <w:b/>
                <w:bCs/>
                <w:lang w:val="es-ES"/>
              </w:rPr>
              <w:lastRenderedPageBreak/>
              <w:t>151</w:t>
            </w:r>
            <w:r>
              <w:rPr>
                <w:b/>
                <w:bCs/>
                <w:lang w:val="es-ES"/>
              </w:rPr>
              <w:t xml:space="preserve"> (Rev. Dubái, 2018) Aplicación de la gestión basada en los resultados en la UIT</w:t>
            </w:r>
          </w:p>
          <w:p w14:paraId="7DB1C918" w14:textId="6D09C0F8" w:rsidR="008A64DF" w:rsidRDefault="008A64DF">
            <w:pPr>
              <w:pStyle w:val="Tabletext"/>
              <w:rPr>
                <w:lang w:val="es-ES"/>
              </w:rPr>
            </w:pPr>
            <w:r>
              <w:rPr>
                <w:lang w:val="es-ES"/>
              </w:rPr>
              <w:t>Véase el Plan Operacional cuadrienal renovable de la Unión para 2021-2024 en</w:t>
            </w:r>
            <w:r w:rsidR="00233C46">
              <w:rPr>
                <w:lang w:val="es-ES"/>
              </w:rPr>
              <w:t xml:space="preserve"> este</w:t>
            </w:r>
            <w:r>
              <w:rPr>
                <w:lang w:val="es-ES"/>
              </w:rPr>
              <w:t xml:space="preserve"> </w:t>
            </w:r>
            <w:hyperlink r:id="rId411" w:history="1">
              <w:r w:rsidR="00233C46">
                <w:rPr>
                  <w:rStyle w:val="Hyperlink"/>
                  <w:lang w:val="es-ES"/>
                </w:rPr>
                <w:t>enlace</w:t>
              </w:r>
            </w:hyperlink>
            <w:r>
              <w:rPr>
                <w:lang w:val="es-ES"/>
              </w:rPr>
              <w:t xml:space="preserve"> y la </w:t>
            </w:r>
            <w:hyperlink w:anchor="_3_Aplicación_del" w:history="1">
              <w:r w:rsidRPr="001B1357">
                <w:rPr>
                  <w:rStyle w:val="Hyperlink"/>
                  <w:lang w:val="es-ES"/>
                </w:rPr>
                <w:t>sección 3</w:t>
              </w:r>
            </w:hyperlink>
            <w:r>
              <w:rPr>
                <w:lang w:val="es-ES"/>
              </w:rPr>
              <w:t>. Los presupuestos para 2020-2021 y 2022-2023 adoptado</w:t>
            </w:r>
            <w:r w:rsidR="006B596F">
              <w:rPr>
                <w:lang w:val="es-ES"/>
              </w:rPr>
              <w:t>s</w:t>
            </w:r>
            <w:r>
              <w:rPr>
                <w:lang w:val="es-ES"/>
              </w:rPr>
              <w:t xml:space="preserve"> por el Consejo en 2019 y 2021 observan los principios de la gestión basada en los resultados.</w:t>
            </w:r>
          </w:p>
        </w:tc>
        <w:bookmarkEnd w:id="260"/>
      </w:tr>
      <w:tr w:rsidR="008A64DF" w:rsidRPr="008A64DF" w14:paraId="2BA4960B" w14:textId="77777777" w:rsidTr="00084D3A">
        <w:tc>
          <w:tcPr>
            <w:tcW w:w="9026" w:type="dxa"/>
            <w:hideMark/>
          </w:tcPr>
          <w:p w14:paraId="5197C37A" w14:textId="77777777" w:rsidR="008A64DF" w:rsidRDefault="008A64DF">
            <w:pPr>
              <w:pStyle w:val="Tabletext"/>
              <w:rPr>
                <w:b/>
                <w:bCs/>
                <w:lang w:val="es-ES"/>
              </w:rPr>
            </w:pPr>
            <w:r>
              <w:rPr>
                <w:b/>
                <w:bCs/>
                <w:lang w:val="es-ES"/>
              </w:rPr>
              <w:t>154 (Rev. Dubái, 2018) Utilización de los seis idiomas oficiales de la Unión en igualdad de condiciones</w:t>
            </w:r>
          </w:p>
          <w:p w14:paraId="4632F317" w14:textId="49FD47D8" w:rsidR="008A64DF" w:rsidRDefault="008A64DF" w:rsidP="00951A25">
            <w:pPr>
              <w:pStyle w:val="Tabletext"/>
              <w:rPr>
                <w:lang w:val="es-ES"/>
              </w:rPr>
            </w:pPr>
            <w:r>
              <w:rPr>
                <w:lang w:val="es-ES"/>
              </w:rPr>
              <w:t xml:space="preserve">Véase el </w:t>
            </w:r>
            <w:r w:rsidR="00F05643">
              <w:rPr>
                <w:lang w:val="es-ES"/>
              </w:rPr>
              <w:t xml:space="preserve">Informe </w:t>
            </w:r>
            <w:r>
              <w:rPr>
                <w:lang w:val="es-ES"/>
              </w:rPr>
              <w:t xml:space="preserve">del Presidente del GTC-Idiomas al Consejo, Documento </w:t>
            </w:r>
            <w:r w:rsidR="00951A25" w:rsidRPr="00A31305">
              <w:t>C22/12</w:t>
            </w:r>
            <w:r w:rsidR="00951A25" w:rsidRPr="00951A25">
              <w:rPr>
                <w:sz w:val="24"/>
              </w:rPr>
              <w:t xml:space="preserve"> </w:t>
            </w:r>
            <w:r w:rsidR="00951A25" w:rsidRPr="00A31305">
              <w:t>y el informe cuadrienal del GTC-Idiomas, D</w:t>
            </w:r>
            <w:r w:rsidR="00951A25" w:rsidRPr="00D5601F">
              <w:t>ocument</w:t>
            </w:r>
            <w:r w:rsidR="00951A25" w:rsidRPr="00A31305">
              <w:t>o</w:t>
            </w:r>
            <w:r w:rsidR="00951A25" w:rsidRPr="00D5601F">
              <w:t xml:space="preserve"> C22/55</w:t>
            </w:r>
            <w:r w:rsidRPr="00A31305">
              <w:t>.</w:t>
            </w:r>
          </w:p>
        </w:tc>
      </w:tr>
      <w:tr w:rsidR="008A64DF" w:rsidRPr="008A64DF" w14:paraId="6576C379" w14:textId="77777777" w:rsidTr="00084D3A">
        <w:tc>
          <w:tcPr>
            <w:tcW w:w="9026" w:type="dxa"/>
            <w:hideMark/>
          </w:tcPr>
          <w:p w14:paraId="641CF1EB" w14:textId="44247FB2" w:rsidR="008A64DF" w:rsidRDefault="008A64DF">
            <w:pPr>
              <w:pStyle w:val="Tabletext"/>
              <w:keepNext/>
              <w:keepLines/>
              <w:rPr>
                <w:b/>
                <w:bCs/>
                <w:lang w:val="es-ES"/>
              </w:rPr>
            </w:pPr>
            <w:r w:rsidRPr="00137A8E">
              <w:rPr>
                <w:b/>
                <w:bCs/>
                <w:lang w:val="es-ES"/>
              </w:rPr>
              <w:t>157</w:t>
            </w:r>
            <w:r>
              <w:rPr>
                <w:b/>
                <w:bCs/>
                <w:lang w:val="es-ES"/>
              </w:rPr>
              <w:t xml:space="preserve"> (Rev. Dubái, 2018) Fortalecimiento de las funciones de ejecución y de supervisión de proyectos en la</w:t>
            </w:r>
            <w:r w:rsidR="00C852A0">
              <w:rPr>
                <w:b/>
                <w:bCs/>
                <w:lang w:val="es-ES"/>
              </w:rPr>
              <w:t> </w:t>
            </w:r>
            <w:r>
              <w:rPr>
                <w:b/>
                <w:bCs/>
                <w:lang w:val="es-ES"/>
              </w:rPr>
              <w:t>UIT</w:t>
            </w:r>
          </w:p>
          <w:p w14:paraId="4579C0FA" w14:textId="0498F95F" w:rsidR="008A64DF" w:rsidRDefault="008A64DF">
            <w:pPr>
              <w:pStyle w:val="Tabletext"/>
              <w:rPr>
                <w:lang w:val="es-ES"/>
              </w:rPr>
            </w:pPr>
            <w:r>
              <w:rPr>
                <w:lang w:val="es-ES"/>
              </w:rPr>
              <w:t xml:space="preserve">Con su cartera de proyectos, la UIT está influyendo en el avance del desarrollo digital y en la promoción y el despliegue de soluciones de TIC innovadoras para dar soporte a un desarrollo sostenible. Los Estados Miembros de la UIT están actuando cada vez más con la UIT para dar soporte a sus actividades en pro de la inclusión digital, de la modernización de sus infraestructuras digitales y su reglamentación, y de la adaptación a las prácticas </w:t>
            </w:r>
            <w:r w:rsidR="00DC0597">
              <w:rPr>
                <w:lang w:val="es-ES"/>
              </w:rPr>
              <w:t>idóneas</w:t>
            </w:r>
            <w:r>
              <w:rPr>
                <w:lang w:val="es-ES"/>
              </w:rPr>
              <w:t xml:space="preserve"> internacionales en la utilización de los servicios y aplicaciones digitales.</w:t>
            </w:r>
          </w:p>
          <w:p w14:paraId="6AED1348" w14:textId="6BFD0BC4" w:rsidR="008A64DF" w:rsidRDefault="008A64DF">
            <w:pPr>
              <w:pStyle w:val="Tabletext"/>
              <w:rPr>
                <w:lang w:val="es-ES"/>
              </w:rPr>
            </w:pPr>
            <w:r>
              <w:rPr>
                <w:lang w:val="es-ES"/>
              </w:rPr>
              <w:t>En 2021 la UIT suscribió 28 nuevos proyectos por más de 14</w:t>
            </w:r>
            <w:r w:rsidR="00233C46">
              <w:rPr>
                <w:lang w:val="es-ES"/>
              </w:rPr>
              <w:t> </w:t>
            </w:r>
            <w:r>
              <w:rPr>
                <w:lang w:val="es-ES"/>
              </w:rPr>
              <w:t>millones</w:t>
            </w:r>
            <w:r w:rsidR="00233C46">
              <w:rPr>
                <w:lang w:val="es-ES"/>
              </w:rPr>
              <w:t> </w:t>
            </w:r>
            <w:r>
              <w:rPr>
                <w:lang w:val="es-ES"/>
              </w:rPr>
              <w:t>CHF de fondos, con lo que su cartera de proyectos en curso aumentó hasta 75, llevados a cabo en colaboración con una amplia gama de asociados.</w:t>
            </w:r>
          </w:p>
          <w:p w14:paraId="2409908B" w14:textId="61542E10" w:rsidR="008A64DF" w:rsidRDefault="008A64DF">
            <w:pPr>
              <w:pStyle w:val="Tabletext"/>
              <w:rPr>
                <w:lang w:val="es-ES"/>
              </w:rPr>
            </w:pPr>
            <w:r>
              <w:rPr>
                <w:lang w:val="es-ES"/>
              </w:rPr>
              <w:t>La UIT ha seguido mejorando sus prácticas de gestión de proyectos gracias a inversiones adicionales en herramientas, metodologías, directrices, plantillas, normas y desarrollos de base de datos. La labor de mejora de los conocimientos en materia de gestión de proyectos iniciada en 2019 para toda la UIT se ha fortalecido especialmente con la organización de un programa de certificación en línea dirigido a 75</w:t>
            </w:r>
            <w:r w:rsidR="00233C46">
              <w:rPr>
                <w:lang w:val="es-ES"/>
              </w:rPr>
              <w:t> </w:t>
            </w:r>
            <w:r>
              <w:rPr>
                <w:lang w:val="es-ES"/>
              </w:rPr>
              <w:t>miembros del personal de la UIT. Esta labor ha incluido la presentación de un nuevo manual de gestión de proyectos, la creación de la Junta de proyectos, la creación de una comunidad interna de prácticas para los gestores de proyectos, el fortalecimiento de la función de supervisión de proyectos y la introducción de nuevos cuadros de gestión de proyectos para los directivos de la UIT.</w:t>
            </w:r>
          </w:p>
          <w:p w14:paraId="1DFAE0D1" w14:textId="77777777" w:rsidR="008A64DF" w:rsidRDefault="008A64DF">
            <w:pPr>
              <w:pStyle w:val="Tabletext"/>
              <w:rPr>
                <w:lang w:val="es-ES"/>
              </w:rPr>
            </w:pPr>
            <w:r>
              <w:rPr>
                <w:lang w:val="es-ES"/>
              </w:rPr>
              <w:t xml:space="preserve">Se han introducido mejoras en el </w:t>
            </w:r>
            <w:hyperlink r:id="rId412" w:history="1">
              <w:r>
                <w:rPr>
                  <w:rStyle w:val="Hyperlink"/>
                  <w:lang w:val="es-ES"/>
                </w:rPr>
                <w:t>sitio web</w:t>
              </w:r>
            </w:hyperlink>
            <w:r>
              <w:rPr>
                <w:lang w:val="es-ES"/>
              </w:rPr>
              <w:t xml:space="preserve"> de los proyectos de la UIT para visualizar dinámicamente el estado global de los proyectos de la BDT en un momento determinado. Ya es posible consultar estudios de casos prácticos de proyectos, vídeos e informes de evaluación de proyectos ejecutados, y facilita y mejora el intercambio de experiencias y de las enseñanzas extraídas.</w:t>
            </w:r>
          </w:p>
          <w:p w14:paraId="3C8F6DDE" w14:textId="77777777" w:rsidR="008A64DF" w:rsidRDefault="008A64DF">
            <w:pPr>
              <w:pStyle w:val="Tabletext"/>
              <w:rPr>
                <w:lang w:val="es-ES"/>
              </w:rPr>
            </w:pPr>
            <w:r>
              <w:rPr>
                <w:lang w:val="es-ES"/>
              </w:rPr>
              <w:t>Se prevé que estas medidas contribuyan a que la UIT avance hacia la adopción de un planteamiento de cartera para la gestión de los proyectos. Esto facilitará la contabilidad para el logro de los resultados de los proyectos y de su repercusión.</w:t>
            </w:r>
          </w:p>
        </w:tc>
      </w:tr>
      <w:tr w:rsidR="008A64DF" w:rsidRPr="008A64DF" w14:paraId="66699C2A" w14:textId="77777777" w:rsidTr="00084D3A">
        <w:tc>
          <w:tcPr>
            <w:tcW w:w="9026" w:type="dxa"/>
            <w:hideMark/>
          </w:tcPr>
          <w:p w14:paraId="1835F365" w14:textId="77777777" w:rsidR="008A64DF" w:rsidRDefault="008A64DF">
            <w:pPr>
              <w:pStyle w:val="Tabletext"/>
              <w:rPr>
                <w:b/>
                <w:bCs/>
                <w:lang w:val="es-ES"/>
              </w:rPr>
            </w:pPr>
            <w:r w:rsidRPr="00137A8E">
              <w:rPr>
                <w:b/>
                <w:bCs/>
                <w:lang w:val="es-ES"/>
              </w:rPr>
              <w:t>160</w:t>
            </w:r>
            <w:r>
              <w:rPr>
                <w:b/>
                <w:bCs/>
                <w:lang w:val="es-ES"/>
              </w:rPr>
              <w:t xml:space="preserve"> (Rev. Dubái, 2018) Asistencia a Somalia</w:t>
            </w:r>
          </w:p>
          <w:p w14:paraId="68C71586" w14:textId="77777777" w:rsidR="008A64DF" w:rsidRDefault="008A64DF">
            <w:pPr>
              <w:pStyle w:val="Tabletext"/>
              <w:rPr>
                <w:lang w:val="es-ES"/>
              </w:rPr>
            </w:pPr>
            <w:r>
              <w:rPr>
                <w:lang w:val="es-ES"/>
              </w:rPr>
              <w:t>La UIT y Somalia ha firmado un FCA y se ha elaborado el correspondiente Plan de Acción del Programa (PAP).</w:t>
            </w:r>
          </w:p>
          <w:p w14:paraId="3891997C" w14:textId="77777777" w:rsidR="008A64DF" w:rsidRDefault="008A64DF">
            <w:pPr>
              <w:pStyle w:val="Tabletext"/>
              <w:rPr>
                <w:lang w:val="es-ES"/>
              </w:rPr>
            </w:pPr>
            <w:r>
              <w:rPr>
                <w:lang w:val="es-ES"/>
              </w:rPr>
              <w:t>La ejecución comenzó de acuerdo con las principales prioridades identificadas por Somalia.</w:t>
            </w:r>
          </w:p>
          <w:p w14:paraId="44BA01CA" w14:textId="77777777" w:rsidR="008A64DF" w:rsidRDefault="008A64DF">
            <w:pPr>
              <w:pStyle w:val="Tabletext"/>
              <w:ind w:left="720" w:hanging="720"/>
              <w:rPr>
                <w:lang w:val="es-ES"/>
              </w:rPr>
            </w:pPr>
            <w:r>
              <w:rPr>
                <w:lang w:val="es-ES"/>
              </w:rPr>
              <w:t>•</w:t>
            </w:r>
            <w:r>
              <w:rPr>
                <w:lang w:val="es-ES"/>
              </w:rPr>
              <w:tab/>
              <w:t>Se ha prestado asistencia a Somalia y se ha elaborado una política y estrategia nacional en materia de TIC (2019-2024). En el informe se expone la política y estrategia nacional en materia de TIC para el quinquenio 2019-2024, que proporciona el marco necesario para aprovechar los beneficios de las TIC en pro del desarrollo social y económico.</w:t>
            </w:r>
          </w:p>
          <w:p w14:paraId="2EE370C2" w14:textId="77777777" w:rsidR="008A64DF" w:rsidRDefault="008A64DF">
            <w:pPr>
              <w:pStyle w:val="Tabletext"/>
              <w:rPr>
                <w:lang w:val="es-ES"/>
              </w:rPr>
            </w:pPr>
            <w:r>
              <w:rPr>
                <w:lang w:val="es-ES"/>
              </w:rPr>
              <w:t>•</w:t>
            </w:r>
            <w:r>
              <w:rPr>
                <w:lang w:val="es-ES"/>
              </w:rPr>
              <w:tab/>
              <w:t>El SMS4DC para mejorar la utilización y la gestión del espectro (se proporcionan cinco claves).</w:t>
            </w:r>
          </w:p>
        </w:tc>
      </w:tr>
      <w:tr w:rsidR="008A64DF" w:rsidRPr="008A64DF" w14:paraId="7486F0D9" w14:textId="77777777" w:rsidTr="00546D24">
        <w:trPr>
          <w:cantSplit/>
        </w:trPr>
        <w:tc>
          <w:tcPr>
            <w:tcW w:w="9026" w:type="dxa"/>
            <w:hideMark/>
          </w:tcPr>
          <w:p w14:paraId="7C98E15A" w14:textId="77777777" w:rsidR="008A64DF" w:rsidRDefault="008A64DF">
            <w:pPr>
              <w:pStyle w:val="Tabletext"/>
              <w:rPr>
                <w:b/>
                <w:bCs/>
                <w:lang w:val="es-ES"/>
              </w:rPr>
            </w:pPr>
            <w:r w:rsidRPr="00137A8E">
              <w:rPr>
                <w:b/>
                <w:bCs/>
                <w:lang w:val="es-ES"/>
              </w:rPr>
              <w:lastRenderedPageBreak/>
              <w:t>161</w:t>
            </w:r>
            <w:r>
              <w:rPr>
                <w:b/>
                <w:bCs/>
                <w:lang w:val="es-ES"/>
              </w:rPr>
              <w:t xml:space="preserve"> (Antalya, 2006) Asistencia y apoyo a la República Democrática del Congo para la reconstrucción de su red de telecomunicaciones</w:t>
            </w:r>
          </w:p>
          <w:p w14:paraId="100A41B2" w14:textId="105C5ED0" w:rsidR="008A64DF" w:rsidRDefault="008A64DF">
            <w:pPr>
              <w:pStyle w:val="Tabletext"/>
              <w:rPr>
                <w:lang w:val="es-ES"/>
              </w:rPr>
            </w:pPr>
            <w:r>
              <w:rPr>
                <w:lang w:val="es-ES"/>
              </w:rPr>
              <w:t xml:space="preserve">Una vez concluido satisfactoriamente el </w:t>
            </w:r>
            <w:r w:rsidR="00137A8E">
              <w:rPr>
                <w:lang w:val="es-ES"/>
              </w:rPr>
              <w:t>p</w:t>
            </w:r>
            <w:r>
              <w:rPr>
                <w:lang w:val="es-ES"/>
              </w:rPr>
              <w:t xml:space="preserve">royecto del Plan </w:t>
            </w:r>
            <w:r w:rsidR="00137A8E">
              <w:rPr>
                <w:lang w:val="es-ES"/>
              </w:rPr>
              <w:t>g</w:t>
            </w:r>
            <w:r>
              <w:rPr>
                <w:lang w:val="es-ES"/>
              </w:rPr>
              <w:t xml:space="preserve">eneral de </w:t>
            </w:r>
            <w:r w:rsidR="00137A8E">
              <w:rPr>
                <w:lang w:val="es-ES"/>
              </w:rPr>
              <w:t>a</w:t>
            </w:r>
            <w:r>
              <w:rPr>
                <w:lang w:val="es-ES"/>
              </w:rPr>
              <w:t xml:space="preserve">cceso a la </w:t>
            </w:r>
            <w:r w:rsidR="00137A8E">
              <w:rPr>
                <w:lang w:val="es-ES"/>
              </w:rPr>
              <w:t>b</w:t>
            </w:r>
            <w:r>
              <w:rPr>
                <w:lang w:val="es-ES"/>
              </w:rPr>
              <w:t xml:space="preserve">anda </w:t>
            </w:r>
            <w:r w:rsidR="00137A8E">
              <w:rPr>
                <w:lang w:val="es-ES"/>
              </w:rPr>
              <w:t>a</w:t>
            </w:r>
            <w:r>
              <w:rPr>
                <w:lang w:val="es-ES"/>
              </w:rPr>
              <w:t>ncha de la UIT con el soporte del Ministerio de Ciencia, TIC y Planificación Futura (MSIP) de la República de Corea, se ha preparado un proyecto para implantar una red inalámbrica de banda ancha en Kinshasa, la ciudad con mayor densidad de población de la República Democrática del Congo. La propuesta sigue pendiente de aprobación por el Gobierno de la RDC.</w:t>
            </w:r>
          </w:p>
        </w:tc>
      </w:tr>
      <w:tr w:rsidR="008A64DF" w:rsidRPr="008A64DF" w14:paraId="4668303A" w14:textId="77777777" w:rsidTr="00084D3A">
        <w:tc>
          <w:tcPr>
            <w:tcW w:w="9026" w:type="dxa"/>
            <w:hideMark/>
          </w:tcPr>
          <w:p w14:paraId="77D2B4F5" w14:textId="77777777" w:rsidR="008A64DF" w:rsidRDefault="008A64DF" w:rsidP="00137A8E">
            <w:pPr>
              <w:pStyle w:val="Tabletext"/>
              <w:keepNext/>
              <w:keepLines/>
              <w:rPr>
                <w:b/>
                <w:bCs/>
                <w:lang w:val="es-ES"/>
              </w:rPr>
            </w:pPr>
            <w:r>
              <w:rPr>
                <w:b/>
                <w:bCs/>
                <w:lang w:val="es-ES"/>
              </w:rPr>
              <w:t>162 (Rev. Busán, 2014) Comité Asesor Independiente sobre la Gestión</w:t>
            </w:r>
          </w:p>
          <w:p w14:paraId="69750C38" w14:textId="74356400" w:rsidR="008A64DF" w:rsidRDefault="008A64DF" w:rsidP="00137A8E">
            <w:pPr>
              <w:pStyle w:val="Tabletext"/>
              <w:keepNext/>
              <w:keepLines/>
              <w:rPr>
                <w:lang w:val="es-ES"/>
              </w:rPr>
            </w:pPr>
            <w:r>
              <w:rPr>
                <w:lang w:val="es-ES"/>
              </w:rPr>
              <w:t xml:space="preserve">El Comité Asesor Independiente sobre la Gestión (CAIG) ha seguido actuando como órgano subsidiario del Consejo de la UIT, actuando en su capacidad de asesor experto y ayudando al Consejo y el Secretario General a cumplir sus responsabilidades de gobierno, que incluyen la efectividad de los sistemas de control internos de la UIT, la gestión de riesgos y los procesos de gobernanza. El Comité presentó los </w:t>
            </w:r>
            <w:r w:rsidR="00137A8E">
              <w:rPr>
                <w:lang w:val="es-ES"/>
              </w:rPr>
              <w:t>i</w:t>
            </w:r>
            <w:r>
              <w:rPr>
                <w:lang w:val="es-ES"/>
              </w:rPr>
              <w:t xml:space="preserve">nformes anuales con sus recomendaciones a las reuniones del Consejo o en las </w:t>
            </w:r>
            <w:r w:rsidR="00137A8E">
              <w:rPr>
                <w:lang w:val="es-ES"/>
              </w:rPr>
              <w:t>c</w:t>
            </w:r>
            <w:r>
              <w:rPr>
                <w:lang w:val="es-ES"/>
              </w:rPr>
              <w:t xml:space="preserve">onsultas </w:t>
            </w:r>
            <w:r w:rsidR="00137A8E">
              <w:rPr>
                <w:lang w:val="es-ES"/>
              </w:rPr>
              <w:t>v</w:t>
            </w:r>
            <w:r>
              <w:rPr>
                <w:lang w:val="es-ES"/>
              </w:rPr>
              <w:t>irtuales (véa</w:t>
            </w:r>
            <w:r w:rsidR="00137A8E">
              <w:rPr>
                <w:lang w:val="es-ES"/>
              </w:rPr>
              <w:t>n</w:t>
            </w:r>
            <w:r>
              <w:rPr>
                <w:lang w:val="es-ES"/>
              </w:rPr>
              <w:t xml:space="preserve">se los documentos: </w:t>
            </w:r>
            <w:hyperlink r:id="rId413" w:tgtFrame="_blank" w:tooltip="https://www.itu.int/md/s19-cl-c-0022/en" w:history="1">
              <w:r>
                <w:rPr>
                  <w:rStyle w:val="Hyperlink"/>
                  <w:lang w:val="es-ES"/>
                </w:rPr>
                <w:t>C19/22</w:t>
              </w:r>
            </w:hyperlink>
            <w:r>
              <w:rPr>
                <w:lang w:val="es-ES"/>
              </w:rPr>
              <w:t>,</w:t>
            </w:r>
            <w:r w:rsidR="00137A8E">
              <w:rPr>
                <w:lang w:val="es-ES"/>
              </w:rPr>
              <w:t xml:space="preserve"> </w:t>
            </w:r>
            <w:hyperlink r:id="rId414" w:tgtFrame="_blank" w:tooltip="https://www.itu.int/md/s20-cl-c-0022/en" w:history="1">
              <w:r>
                <w:rPr>
                  <w:rStyle w:val="Hyperlink"/>
                  <w:lang w:val="es-ES"/>
                </w:rPr>
                <w:t>C20/22</w:t>
              </w:r>
            </w:hyperlink>
            <w:r>
              <w:rPr>
                <w:lang w:val="es-ES"/>
              </w:rPr>
              <w:t>,</w:t>
            </w:r>
            <w:r w:rsidR="00137A8E">
              <w:rPr>
                <w:lang w:val="es-ES"/>
              </w:rPr>
              <w:t xml:space="preserve"> </w:t>
            </w:r>
            <w:hyperlink r:id="rId415" w:tgtFrame="_blank" w:tooltip="https://www.itu.int/md/s21-cl-c-0022/en" w:history="1">
              <w:r>
                <w:rPr>
                  <w:rStyle w:val="Hyperlink"/>
                  <w:lang w:val="es-ES"/>
                </w:rPr>
                <w:t>C21/22</w:t>
              </w:r>
            </w:hyperlink>
            <w:r>
              <w:rPr>
                <w:lang w:val="es-ES"/>
              </w:rPr>
              <w:t xml:space="preserve">). Todos los </w:t>
            </w:r>
            <w:r w:rsidR="00137A8E">
              <w:rPr>
                <w:lang w:val="es-ES"/>
              </w:rPr>
              <w:t>i</w:t>
            </w:r>
            <w:r>
              <w:rPr>
                <w:lang w:val="es-ES"/>
              </w:rPr>
              <w:t xml:space="preserve">nformes del CAIG y los documentos pertinentes están disponibles en el </w:t>
            </w:r>
            <w:hyperlink r:id="rId416" w:tgtFrame="_blank" w:tooltip="http://www.itu.int/imac" w:history="1">
              <w:r>
                <w:rPr>
                  <w:rStyle w:val="Hyperlink"/>
                  <w:lang w:val="es-ES"/>
                </w:rPr>
                <w:t>sitio web público</w:t>
              </w:r>
            </w:hyperlink>
            <w:r>
              <w:rPr>
                <w:lang w:val="es-ES"/>
              </w:rPr>
              <w:t xml:space="preserve"> del CAIG.</w:t>
            </w:r>
          </w:p>
          <w:p w14:paraId="4A62ABDE" w14:textId="77777777" w:rsidR="008A64DF" w:rsidRDefault="008A64DF">
            <w:pPr>
              <w:pStyle w:val="Tabletext"/>
              <w:rPr>
                <w:lang w:val="es-ES"/>
              </w:rPr>
            </w:pPr>
            <w:r>
              <w:rPr>
                <w:lang w:val="es-ES"/>
              </w:rPr>
              <w:t xml:space="preserve">Se nombraron en la Sesión del Consejo de 2019 los nuevos miembros del CAIG que iniciaron su mandato el 1 de enero de 2020 (la </w:t>
            </w:r>
            <w:hyperlink r:id="rId417" w:history="1">
              <w:r>
                <w:rPr>
                  <w:rStyle w:val="Hyperlink"/>
                  <w:lang w:val="es-ES"/>
                </w:rPr>
                <w:t>nueva composición del Comité</w:t>
              </w:r>
            </w:hyperlink>
            <w:r>
              <w:rPr>
                <w:lang w:val="es-ES"/>
              </w:rPr>
              <w:t xml:space="preserve"> también puede consultarse en el sitio web del CAIG).</w:t>
            </w:r>
          </w:p>
        </w:tc>
      </w:tr>
      <w:tr w:rsidR="008A64DF" w:rsidRPr="008A64DF" w14:paraId="6883A326" w14:textId="77777777" w:rsidTr="00084D3A">
        <w:tc>
          <w:tcPr>
            <w:tcW w:w="9026" w:type="dxa"/>
            <w:hideMark/>
          </w:tcPr>
          <w:p w14:paraId="260EECF9" w14:textId="77777777" w:rsidR="008A64DF" w:rsidRDefault="008A64DF">
            <w:pPr>
              <w:pStyle w:val="Tabletext"/>
              <w:rPr>
                <w:b/>
                <w:bCs/>
                <w:lang w:val="es-ES"/>
              </w:rPr>
            </w:pPr>
            <w:bookmarkStart w:id="261" w:name="_Hlk38534824"/>
            <w:r>
              <w:rPr>
                <w:b/>
                <w:bCs/>
                <w:lang w:val="es-ES"/>
              </w:rPr>
              <w:t>165 (Rev. Dubái, 2018) Plazos de presentación de propuestas y procedimientos para la inscripción de participantes en las conferencias y asambleas de la Unión</w:t>
            </w:r>
          </w:p>
          <w:p w14:paraId="25A5E65F" w14:textId="77777777" w:rsidR="008A64DF" w:rsidRDefault="008A64DF">
            <w:pPr>
              <w:pStyle w:val="Tabletext"/>
              <w:rPr>
                <w:lang w:val="es-ES"/>
              </w:rPr>
            </w:pPr>
            <w:r>
              <w:rPr>
                <w:lang w:val="es-ES"/>
              </w:rPr>
              <w:t>La revisión de esta Resolución se puso en práctica en la CMR-19, en la que se estableció el plazo de presentación de contribuciones para el 30 de septiembre de 2019. Esto no sólo ha garantizado la traducción en los tiempos oportunos de todas las contribuciones presentadas, sino que también ha reducido considerablemente las horas extraordinarias durante la conferencia. También ha tenido repercusiones positivas tanto en el presupuesto de la Conferencia como en el de C&amp;P.</w:t>
            </w:r>
            <w:bookmarkEnd w:id="261"/>
          </w:p>
        </w:tc>
      </w:tr>
      <w:tr w:rsidR="008A64DF" w:rsidRPr="008A64DF" w14:paraId="29203C46" w14:textId="77777777" w:rsidTr="00084D3A">
        <w:tc>
          <w:tcPr>
            <w:tcW w:w="9026" w:type="dxa"/>
            <w:hideMark/>
          </w:tcPr>
          <w:p w14:paraId="1D16E470" w14:textId="77777777" w:rsidR="008A64DF" w:rsidRDefault="008A64DF">
            <w:pPr>
              <w:pStyle w:val="Tabletext"/>
              <w:rPr>
                <w:b/>
                <w:bCs/>
                <w:lang w:val="es-ES"/>
              </w:rPr>
            </w:pPr>
            <w:r>
              <w:rPr>
                <w:b/>
                <w:bCs/>
                <w:lang w:val="es-ES"/>
              </w:rPr>
              <w:t>167 (Rev. Dubái, 2018) Fortalecimiento y fomento de las capacidades de la UIT para celebrar reuniones electrónicas y medios para avanzar la labor de la Unión</w:t>
            </w:r>
          </w:p>
          <w:p w14:paraId="12466B4A" w14:textId="508FFB20" w:rsidR="008A64DF" w:rsidRDefault="008A64DF">
            <w:pPr>
              <w:pStyle w:val="Tabletext"/>
              <w:rPr>
                <w:lang w:val="es-ES"/>
              </w:rPr>
            </w:pPr>
            <w:r>
              <w:rPr>
                <w:lang w:val="es-ES"/>
              </w:rPr>
              <w:t xml:space="preserve">El Grupo Especial de la Secretaría sobre Participación a Distancia (GEPR) se constituyó en abril de 2020 con la misión de identificar las </w:t>
            </w:r>
            <w:bookmarkStart w:id="262" w:name="_Hlk95738211"/>
            <w:r w:rsidRPr="00DC0597">
              <w:rPr>
                <w:lang w:val="es-ES"/>
              </w:rPr>
              <w:t xml:space="preserve">prácticas </w:t>
            </w:r>
            <w:r w:rsidR="00DC0597">
              <w:rPr>
                <w:lang w:val="es-ES"/>
              </w:rPr>
              <w:t>idóneas</w:t>
            </w:r>
            <w:r>
              <w:rPr>
                <w:lang w:val="es-ES"/>
              </w:rPr>
              <w:t xml:space="preserve"> </w:t>
            </w:r>
            <w:bookmarkEnd w:id="262"/>
            <w:r>
              <w:rPr>
                <w:lang w:val="es-ES"/>
              </w:rPr>
              <w:t xml:space="preserve">para preparar y organizar reuniones por medios electrónicos. Todas las reuniones de la UIT son totalmente virtuales desde el 16 de marzo de 2020, entre ellas las reuniones estatutarias que exigen interpretación en seis idiomas, acreditación, autenticación y control de acceso. La UIT dirigió la reunión virtual con el Grupo de Trabajo de Interpretación de la Junta de los Jefes Ejecutivos del Sistema de las Naciones Unidas para la Coordinación (JJE). En mayo de 2020, se publicaron las </w:t>
            </w:r>
            <w:r w:rsidR="00137A8E">
              <w:rPr>
                <w:lang w:val="es-ES"/>
              </w:rPr>
              <w:t>"</w:t>
            </w:r>
            <w:r>
              <w:rPr>
                <w:lang w:val="es-ES"/>
              </w:rPr>
              <w:t xml:space="preserve">Directrices y prácticas </w:t>
            </w:r>
            <w:r w:rsidR="00DC0597">
              <w:rPr>
                <w:lang w:val="es-ES"/>
              </w:rPr>
              <w:t>idóneas</w:t>
            </w:r>
            <w:r>
              <w:rPr>
                <w:lang w:val="es-ES"/>
              </w:rPr>
              <w:t xml:space="preserve"> para los eventos virtuales y la participación a distancia" y se remitió a todas las organizaciones participantes y otros organismos internacionales. Como ninguna de las plataformas de conferencias por la web soporta todos los requisitos funcionales de las reuniones de la UIT, la Unión trabaja actualmente con cinco plataformas, y selecciona para cada reunión la más adecuada en función de los requisitos de ésta.</w:t>
            </w:r>
          </w:p>
          <w:p w14:paraId="328EBE1D" w14:textId="7487F6AF" w:rsidR="008A64DF" w:rsidRDefault="008A64DF">
            <w:pPr>
              <w:pStyle w:val="Tabletext"/>
              <w:rPr>
                <w:lang w:val="es-ES"/>
              </w:rPr>
            </w:pPr>
            <w:r>
              <w:rPr>
                <w:lang w:val="es-ES"/>
              </w:rPr>
              <w:t xml:space="preserve">Véase el informe al Consejo (Documento </w:t>
            </w:r>
            <w:hyperlink r:id="rId418" w:history="1">
              <w:r>
                <w:rPr>
                  <w:rStyle w:val="Hyperlink"/>
                  <w:lang w:val="es-ES"/>
                </w:rPr>
                <w:t>C20/53</w:t>
              </w:r>
            </w:hyperlink>
            <w:r>
              <w:rPr>
                <w:lang w:val="es-ES"/>
              </w:rPr>
              <w:t xml:space="preserve">); véase también la </w:t>
            </w:r>
            <w:hyperlink w:anchor="_1.8_Actividades/respuestas_relacion" w:history="1">
              <w:r w:rsidRPr="00AF08F6">
                <w:rPr>
                  <w:rStyle w:val="Hyperlink"/>
                  <w:lang w:val="es-ES"/>
                </w:rPr>
                <w:t>sección 1.8</w:t>
              </w:r>
            </w:hyperlink>
            <w:r>
              <w:rPr>
                <w:lang w:val="es-ES"/>
              </w:rPr>
              <w:t xml:space="preserve"> sobre actividades/respuestas relacionadas con la COVID-19.</w:t>
            </w:r>
          </w:p>
        </w:tc>
      </w:tr>
      <w:tr w:rsidR="008A64DF" w:rsidRPr="008A64DF" w14:paraId="3EFCB443" w14:textId="77777777" w:rsidTr="00546D24">
        <w:trPr>
          <w:cantSplit/>
        </w:trPr>
        <w:tc>
          <w:tcPr>
            <w:tcW w:w="9026" w:type="dxa"/>
            <w:hideMark/>
          </w:tcPr>
          <w:p w14:paraId="54B505D2" w14:textId="77777777" w:rsidR="008A64DF" w:rsidRDefault="008A64DF">
            <w:pPr>
              <w:pStyle w:val="Tabletext"/>
              <w:rPr>
                <w:b/>
                <w:bCs/>
                <w:lang w:val="es-ES"/>
              </w:rPr>
            </w:pPr>
            <w:r w:rsidRPr="00BC204E">
              <w:rPr>
                <w:b/>
                <w:bCs/>
                <w:lang w:val="es-ES"/>
              </w:rPr>
              <w:lastRenderedPageBreak/>
              <w:t>173</w:t>
            </w:r>
            <w:r>
              <w:rPr>
                <w:b/>
                <w:bCs/>
                <w:lang w:val="es-ES"/>
              </w:rPr>
              <w:t xml:space="preserve"> (Rev. Guadalajara, 2010) Piratería y ataques contra redes telefónicas fijas y celulares de Líbano</w:t>
            </w:r>
          </w:p>
          <w:p w14:paraId="3FAD3290" w14:textId="77777777" w:rsidR="008A64DF" w:rsidRDefault="008A64DF">
            <w:pPr>
              <w:pStyle w:val="Tabletext"/>
              <w:rPr>
                <w:lang w:val="es-ES"/>
              </w:rPr>
            </w:pPr>
            <w:r>
              <w:rPr>
                <w:lang w:val="es-ES"/>
              </w:rPr>
              <w:t>Una vez concluida la asistencia prestada al Líbano para evaluar el grado de preparación a los efectos de crear en el país un equipo de intervención en caso de incidentes informáticos (EIII), se firmó en 2014 un proyecto para ayudar al Líbano a establecer su EIII nacional, en virtud del cual Líbano se comprometió a financiar parte de este proyecto y la UIT/ARO a obtener los fondos restantes para el proyecto. La ejecución se ha llevado a buen término y el proyecto ha concluido a petición del Líbano.</w:t>
            </w:r>
          </w:p>
          <w:p w14:paraId="7279A004" w14:textId="77777777" w:rsidR="008A64DF" w:rsidRDefault="008A64DF">
            <w:pPr>
              <w:pStyle w:val="Tabletext"/>
              <w:rPr>
                <w:lang w:val="es-ES"/>
              </w:rPr>
            </w:pPr>
            <w:r>
              <w:rPr>
                <w:lang w:val="es-ES"/>
              </w:rPr>
              <w:t>Se ha prestado asistencia sobre aspectos relacionados con el espectro, como la notificación y coordinación de frecuencias, los exámenes técnicos, la transición a la radiodifusión digital, el dividendo digital y la asignación de espectro y la concesión de licencias.</w:t>
            </w:r>
          </w:p>
        </w:tc>
      </w:tr>
      <w:tr w:rsidR="008A64DF" w:rsidRPr="008A64DF" w14:paraId="686FF752" w14:textId="77777777" w:rsidTr="00084D3A">
        <w:tc>
          <w:tcPr>
            <w:tcW w:w="9026" w:type="dxa"/>
            <w:hideMark/>
          </w:tcPr>
          <w:p w14:paraId="7F9C3D16" w14:textId="77777777" w:rsidR="008A64DF" w:rsidRDefault="008A64DF">
            <w:pPr>
              <w:pStyle w:val="Tabletext"/>
              <w:rPr>
                <w:b/>
                <w:bCs/>
                <w:lang w:val="es-ES"/>
              </w:rPr>
            </w:pPr>
            <w:r>
              <w:rPr>
                <w:b/>
                <w:bCs/>
                <w:lang w:val="es-ES"/>
              </w:rPr>
              <w:t>175 (Rev. Dubái, 2018) Accesibilidad de las telecomunicaciones/tecnologías de la información y la comunicación (TIC) para las personas con ‎discapacidad y personas con necesidades especiales</w:t>
            </w:r>
          </w:p>
          <w:p w14:paraId="27E07186" w14:textId="14EDA9B0" w:rsidR="008A64DF" w:rsidRDefault="008A64DF">
            <w:pPr>
              <w:pStyle w:val="Tabletext"/>
              <w:rPr>
                <w:lang w:val="es-ES"/>
              </w:rPr>
            </w:pPr>
            <w:r>
              <w:rPr>
                <w:lang w:val="es-ES"/>
              </w:rPr>
              <w:t xml:space="preserve">Véase la </w:t>
            </w:r>
            <w:hyperlink w:anchor="_1.7_Inclusión_digital:" w:history="1">
              <w:r w:rsidRPr="00084CD9">
                <w:rPr>
                  <w:rStyle w:val="Hyperlink"/>
                  <w:lang w:val="es-ES"/>
                </w:rPr>
                <w:t>sección 1.7</w:t>
              </w:r>
            </w:hyperlink>
            <w:r>
              <w:rPr>
                <w:lang w:val="es-ES"/>
              </w:rPr>
              <w:t xml:space="preserve"> – Inclusión </w:t>
            </w:r>
            <w:r w:rsidR="00BC204E">
              <w:rPr>
                <w:lang w:val="es-ES"/>
              </w:rPr>
              <w:t>d</w:t>
            </w:r>
            <w:r>
              <w:rPr>
                <w:lang w:val="es-ES"/>
              </w:rPr>
              <w:t>igital</w:t>
            </w:r>
            <w:r w:rsidR="00BC204E">
              <w:rPr>
                <w:lang w:val="es-ES"/>
              </w:rPr>
              <w:t>.</w:t>
            </w:r>
          </w:p>
        </w:tc>
      </w:tr>
      <w:tr w:rsidR="008A64DF" w:rsidRPr="008A64DF" w14:paraId="29E40C9E" w14:textId="77777777" w:rsidTr="00546D24">
        <w:tc>
          <w:tcPr>
            <w:tcW w:w="9026" w:type="dxa"/>
            <w:hideMark/>
          </w:tcPr>
          <w:p w14:paraId="2A6FF63B" w14:textId="77777777" w:rsidR="008A64DF" w:rsidRDefault="008A64DF" w:rsidP="00546D24">
            <w:pPr>
              <w:pStyle w:val="Tabletext"/>
              <w:rPr>
                <w:b/>
                <w:bCs/>
                <w:lang w:val="es-ES"/>
              </w:rPr>
            </w:pPr>
            <w:r>
              <w:rPr>
                <w:b/>
                <w:bCs/>
                <w:lang w:val="es-ES"/>
              </w:rPr>
              <w:t>176 (Rev. Dubái, 2018) Problemas de la medición y evaluación de la exposición de las personas a los campos electromagnéticos</w:t>
            </w:r>
          </w:p>
          <w:p w14:paraId="24460F6D" w14:textId="1E075EBB" w:rsidR="008A64DF" w:rsidRDefault="008A64DF">
            <w:pPr>
              <w:pStyle w:val="Tabletext"/>
              <w:rPr>
                <w:lang w:val="es-ES"/>
              </w:rPr>
            </w:pPr>
            <w:r>
              <w:rPr>
                <w:lang w:val="es-ES"/>
              </w:rPr>
              <w:t>La CE</w:t>
            </w:r>
            <w:r w:rsidR="00BC204E">
              <w:rPr>
                <w:lang w:val="es-ES"/>
              </w:rPr>
              <w:t> </w:t>
            </w:r>
            <w:r>
              <w:rPr>
                <w:lang w:val="es-ES"/>
              </w:rPr>
              <w:t xml:space="preserve">5 del UIT-T sobre "Medio ambiente, cambio climático y economía circular" es la Comisión de Estudio rectora del UIT-T sobre estudios de compatibilidad electromagnética, protección contra los rayos y los efectos electromagnéticos. La CE 5 del UIT-T ha revisado las Recomendaciones </w:t>
            </w:r>
            <w:hyperlink r:id="rId419" w:history="1">
              <w:r>
                <w:rPr>
                  <w:rStyle w:val="Hyperlink"/>
                  <w:lang w:val="es-ES"/>
                </w:rPr>
                <w:t xml:space="preserve">UIT-T K.52 </w:t>
              </w:r>
              <w:r w:rsidR="00BC204E">
                <w:rPr>
                  <w:rStyle w:val="Hyperlink"/>
                  <w:lang w:val="es-ES"/>
                </w:rPr>
                <w:t>"</w:t>
              </w:r>
              <w:r>
                <w:rPr>
                  <w:rStyle w:val="Hyperlink"/>
                  <w:lang w:val="es-ES"/>
                </w:rPr>
                <w:t>Orientación sobre el cumplimiento de los límites de exposición de las personas a los campos electromagnéticos</w:t>
              </w:r>
              <w:r w:rsidR="00BC204E">
                <w:rPr>
                  <w:rStyle w:val="Hyperlink"/>
                  <w:lang w:val="es-ES"/>
                </w:rPr>
                <w:t>"</w:t>
              </w:r>
            </w:hyperlink>
            <w:r>
              <w:rPr>
                <w:lang w:val="es-ES"/>
              </w:rPr>
              <w:t xml:space="preserve">, </w:t>
            </w:r>
            <w:hyperlink r:id="rId420" w:history="1">
              <w:r>
                <w:rPr>
                  <w:rStyle w:val="Hyperlink"/>
                  <w:lang w:val="es-ES"/>
                </w:rPr>
                <w:t xml:space="preserve">UIT-T K.83 </w:t>
              </w:r>
              <w:r w:rsidR="00BC204E">
                <w:rPr>
                  <w:rStyle w:val="Hyperlink"/>
                  <w:lang w:val="es-ES"/>
                </w:rPr>
                <w:t>"</w:t>
              </w:r>
              <w:r>
                <w:rPr>
                  <w:rStyle w:val="Hyperlink"/>
                  <w:lang w:val="es-ES"/>
                </w:rPr>
                <w:t>Supervisión de los niveles de intensidad del campo electromagnético</w:t>
              </w:r>
              <w:r w:rsidR="00BC204E">
                <w:rPr>
                  <w:rStyle w:val="Hyperlink"/>
                  <w:lang w:val="es-ES"/>
                </w:rPr>
                <w:t>"</w:t>
              </w:r>
            </w:hyperlink>
            <w:r>
              <w:rPr>
                <w:lang w:val="es-ES"/>
              </w:rPr>
              <w:t xml:space="preserve">, </w:t>
            </w:r>
            <w:hyperlink r:id="rId421" w:history="1">
              <w:r>
                <w:rPr>
                  <w:rStyle w:val="Hyperlink"/>
                  <w:lang w:val="es-ES"/>
                </w:rPr>
                <w:t>UIT-T K.70 "Técnicas para limitar la exposición humana a los campos electromagnéticos en cercanías a estaciones de radiocomunicaciones"</w:t>
              </w:r>
            </w:hyperlink>
            <w:r>
              <w:rPr>
                <w:lang w:val="es-ES"/>
              </w:rPr>
              <w:t xml:space="preserve">, </w:t>
            </w:r>
            <w:hyperlink r:id="rId422" w:history="1">
              <w:r>
                <w:rPr>
                  <w:rStyle w:val="Hyperlink"/>
                  <w:lang w:val="es-ES"/>
                </w:rPr>
                <w:t xml:space="preserve">UIT-T K.91 </w:t>
              </w:r>
              <w:r w:rsidR="00BC204E">
                <w:rPr>
                  <w:rStyle w:val="Hyperlink"/>
                  <w:lang w:val="es-ES"/>
                </w:rPr>
                <w:t>"</w:t>
              </w:r>
              <w:r>
                <w:rPr>
                  <w:rStyle w:val="Hyperlink"/>
                  <w:lang w:val="es-ES"/>
                </w:rPr>
                <w:t>Orientación para la valoración, la evaluación y el seguimiento de la exposición humana a los campos electromagnéticos de las radiofrecuencias</w:t>
              </w:r>
              <w:r w:rsidR="00BC204E">
                <w:rPr>
                  <w:rStyle w:val="Hyperlink"/>
                  <w:lang w:val="es-ES"/>
                </w:rPr>
                <w:t>"</w:t>
              </w:r>
            </w:hyperlink>
            <w:r>
              <w:rPr>
                <w:lang w:val="es-ES"/>
              </w:rPr>
              <w:t xml:space="preserve"> y </w:t>
            </w:r>
            <w:hyperlink r:id="rId423" w:history="1">
              <w:r>
                <w:rPr>
                  <w:rStyle w:val="Hyperlink"/>
                  <w:lang w:val="es-ES"/>
                </w:rPr>
                <w:t>UIT</w:t>
              </w:r>
              <w:r w:rsidR="00BC204E">
                <w:rPr>
                  <w:rStyle w:val="Hyperlink"/>
                  <w:lang w:val="es-ES"/>
                </w:rPr>
                <w:noBreakHyphen/>
              </w:r>
              <w:r>
                <w:rPr>
                  <w:rStyle w:val="Hyperlink"/>
                  <w:lang w:val="es-ES"/>
                </w:rPr>
                <w:t>T</w:t>
              </w:r>
              <w:r w:rsidR="00BC204E">
                <w:rPr>
                  <w:rStyle w:val="Hyperlink"/>
                  <w:lang w:val="es-ES"/>
                </w:rPr>
                <w:t> </w:t>
              </w:r>
              <w:r>
                <w:rPr>
                  <w:rStyle w:val="Hyperlink"/>
                  <w:lang w:val="es-ES"/>
                </w:rPr>
                <w:t xml:space="preserve">K.100 "Medición de </w:t>
              </w:r>
              <w:r w:rsidR="00BC204E">
                <w:rPr>
                  <w:rStyle w:val="Hyperlink"/>
                  <w:lang w:val="es-ES"/>
                </w:rPr>
                <w:t xml:space="preserve">los </w:t>
              </w:r>
              <w:r>
                <w:rPr>
                  <w:rStyle w:val="Hyperlink"/>
                  <w:lang w:val="es-ES"/>
                </w:rPr>
                <w:t xml:space="preserve">campos electromagnéticos de radiofrecuencia para determinar </w:t>
              </w:r>
              <w:r w:rsidR="00BC204E" w:rsidRPr="00BC204E">
                <w:rPr>
                  <w:rStyle w:val="Hyperlink"/>
                  <w:lang w:val="es-ES"/>
                </w:rPr>
                <w:t>el cumplimiento</w:t>
              </w:r>
              <w:r>
                <w:rPr>
                  <w:rStyle w:val="Hyperlink"/>
                  <w:lang w:val="es-ES"/>
                </w:rPr>
                <w:t xml:space="preserve"> de los límites de exposición cuando se pone en servicio una estación de base"</w:t>
              </w:r>
            </w:hyperlink>
            <w:r>
              <w:rPr>
                <w:lang w:val="es-ES"/>
              </w:rPr>
              <w:t xml:space="preserve">. La UIT también aprobó la Recomendación </w:t>
            </w:r>
            <w:hyperlink r:id="rId424" w:history="1">
              <w:r>
                <w:rPr>
                  <w:rStyle w:val="Hyperlink"/>
                  <w:lang w:val="es-ES"/>
                </w:rPr>
                <w:t>UIT-T K.145 "Evaluación y gestión del cumplimiento de los límites de exposición a los campos electromagnéticos de radiofrecuencia para los trabajadores en los emplazamientos e instalaciones de radiocomunicaciones"</w:t>
              </w:r>
            </w:hyperlink>
            <w:r>
              <w:rPr>
                <w:lang w:val="es-ES"/>
              </w:rPr>
              <w:t xml:space="preserve"> que incluye orientaciones para la protección de los trabajadores contra la exposición a los campos electromagnéticos de las radiofrecuencias (CEM</w:t>
            </w:r>
            <w:r>
              <w:rPr>
                <w:lang w:val="es-ES"/>
              </w:rPr>
              <w:noBreakHyphen/>
              <w:t>RF) en los entornos laborales y contiene unas orientaciones generales mínimas en materia de seguridad RF para los trabajadores de telecomunicaciones de todo el mundo. Además, la CE</w:t>
            </w:r>
            <w:r w:rsidR="009847C3">
              <w:rPr>
                <w:lang w:val="es-ES"/>
              </w:rPr>
              <w:t> </w:t>
            </w:r>
            <w:r>
              <w:rPr>
                <w:lang w:val="es-ES"/>
              </w:rPr>
              <w:t xml:space="preserve">5 del UIT-T revisó el </w:t>
            </w:r>
            <w:hyperlink r:id="rId425" w:history="1">
              <w:r>
                <w:rPr>
                  <w:rStyle w:val="Hyperlink"/>
                  <w:lang w:val="es-ES"/>
                </w:rPr>
                <w:t>Suplemento 14 a las Recomendaciones de la serie K del UIT-T sobre las repercusiones de imponer los límites de exposición a los CEM-RF más estrictos que los previstos en las directrices ICNIRP o en IEEE sobre la instalación de redes móviles 4G y 5G</w:t>
              </w:r>
            </w:hyperlink>
            <w:r>
              <w:rPr>
                <w:lang w:val="es-ES"/>
              </w:rPr>
              <w:t xml:space="preserve">, a fin de incluir un nuevo capítulo que compara los resultados de las mediciones entre países con diferentes límites de exposición. La CE 5 también revisó el </w:t>
            </w:r>
            <w:hyperlink r:id="rId426" w:history="1">
              <w:r>
                <w:rPr>
                  <w:rStyle w:val="Hyperlink"/>
                  <w:lang w:val="es-ES"/>
                </w:rPr>
                <w:t>UIT-T K</w:t>
              </w:r>
              <w:r w:rsidR="009847C3">
                <w:rPr>
                  <w:rStyle w:val="Hyperlink"/>
                  <w:lang w:val="es-ES"/>
                </w:rPr>
                <w:t>.</w:t>
              </w:r>
              <w:r>
                <w:rPr>
                  <w:rStyle w:val="Hyperlink"/>
                  <w:lang w:val="es-ES"/>
                </w:rPr>
                <w:t>Supl.9</w:t>
              </w:r>
            </w:hyperlink>
            <w:r>
              <w:rPr>
                <w:lang w:val="es-ES"/>
              </w:rPr>
              <w:t xml:space="preserve"> sobre la tecnología 5G y la exposición humana a los CEM</w:t>
            </w:r>
            <w:r>
              <w:rPr>
                <w:lang w:val="es-ES"/>
              </w:rPr>
              <w:noBreakHyphen/>
              <w:t xml:space="preserve">RF y el </w:t>
            </w:r>
            <w:hyperlink r:id="rId427" w:history="1">
              <w:r>
                <w:rPr>
                  <w:rStyle w:val="Hyperlink"/>
                  <w:lang w:val="es-ES"/>
                </w:rPr>
                <w:t>UIT-T K</w:t>
              </w:r>
              <w:r w:rsidR="009847C3">
                <w:rPr>
                  <w:rStyle w:val="Hyperlink"/>
                  <w:lang w:val="es-ES"/>
                </w:rPr>
                <w:t>.</w:t>
              </w:r>
              <w:r>
                <w:rPr>
                  <w:rStyle w:val="Hyperlink"/>
                  <w:lang w:val="es-ES"/>
                </w:rPr>
                <w:t>Supl.16</w:t>
              </w:r>
            </w:hyperlink>
            <w:r>
              <w:rPr>
                <w:lang w:val="es-ES"/>
              </w:rPr>
              <w:t xml:space="preserve"> sobre la evaluación de la conformidad de campos electromagnéticos para las redes inalámbricas 5G. Se han elaborado dos nuevos Suplementos, </w:t>
            </w:r>
            <w:hyperlink r:id="rId428" w:history="1">
              <w:r>
                <w:rPr>
                  <w:rStyle w:val="Hyperlink"/>
                  <w:lang w:val="es-ES"/>
                </w:rPr>
                <w:t>UIT-T K</w:t>
              </w:r>
              <w:r w:rsidR="009847C3">
                <w:rPr>
                  <w:rStyle w:val="Hyperlink"/>
                  <w:lang w:val="es-ES"/>
                </w:rPr>
                <w:t>.</w:t>
              </w:r>
              <w:r>
                <w:rPr>
                  <w:rStyle w:val="Hyperlink"/>
                  <w:lang w:val="es-ES"/>
                </w:rPr>
                <w:t>Supl.19</w:t>
              </w:r>
            </w:hyperlink>
            <w:r>
              <w:rPr>
                <w:lang w:val="es-ES"/>
              </w:rPr>
              <w:t xml:space="preserve"> sobre la intensidad de los campos electromagnéticos en el interior de los trenes del metro y </w:t>
            </w:r>
            <w:hyperlink r:id="rId429" w:history="1">
              <w:r>
                <w:rPr>
                  <w:rStyle w:val="Hyperlink"/>
                  <w:lang w:val="es-ES"/>
                </w:rPr>
                <w:t>UIT-T K Supl.20</w:t>
              </w:r>
            </w:hyperlink>
            <w:r>
              <w:rPr>
                <w:lang w:val="es-ES"/>
              </w:rPr>
              <w:t xml:space="preserve"> sobre la evaluación de la exposición a las frecuencias radioeléctricas en la proximidad de las estaciones de base subterráneas. La CE 5 del UIT-T revisó el </w:t>
            </w:r>
            <w:hyperlink r:id="rId430" w:history="1">
              <w:r>
                <w:rPr>
                  <w:rStyle w:val="Hyperlink"/>
                  <w:lang w:val="es-ES"/>
                </w:rPr>
                <w:t>Suplemento 1 a la UIT-T K.91 que contiene la Guía sobre los campos electromagnéticos y la salud</w:t>
              </w:r>
            </w:hyperlink>
            <w:r>
              <w:rPr>
                <w:lang w:val="es-ES"/>
              </w:rPr>
              <w:t xml:space="preserve"> para incluir las actualizaciones sobre la ICNIRP y las directrices de la OMS, y contemplar algunos aspectos relacionados con la 5G. Se revisaron las versiones móviles y de la web de la </w:t>
            </w:r>
            <w:hyperlink r:id="rId431" w:history="1">
              <w:r>
                <w:rPr>
                  <w:rStyle w:val="Hyperlink"/>
                  <w:lang w:val="es-ES"/>
                </w:rPr>
                <w:t>Guía sobre campos electromagnéticos</w:t>
              </w:r>
            </w:hyperlink>
            <w:r>
              <w:rPr>
                <w:lang w:val="es-ES"/>
              </w:rPr>
              <w:t xml:space="preserve"> para incluir nuevas actualizaciones. La nueva versión de la aplicación móvil se lanzó durante el </w:t>
            </w:r>
            <w:hyperlink r:id="rId432" w:history="1">
              <w:r>
                <w:rPr>
                  <w:rStyle w:val="Hyperlink"/>
                  <w:lang w:val="es-ES"/>
                </w:rPr>
                <w:t xml:space="preserve">Foro virtual sobre </w:t>
              </w:r>
              <w:r w:rsidR="00992A4F">
                <w:rPr>
                  <w:rStyle w:val="Hyperlink"/>
                  <w:lang w:val="es-ES"/>
                </w:rPr>
                <w:t>e</w:t>
              </w:r>
              <w:r>
                <w:rPr>
                  <w:rStyle w:val="Hyperlink"/>
                  <w:lang w:val="es-ES"/>
                </w:rPr>
                <w:t>xposición de las personas a los campos electromagnéticos (CEM) de las tecnologías digitales</w:t>
              </w:r>
            </w:hyperlink>
            <w:r>
              <w:rPr>
                <w:lang w:val="es-ES"/>
              </w:rPr>
              <w:t xml:space="preserve"> celebrado el 10 de mayo de 2021.</w:t>
            </w:r>
          </w:p>
          <w:p w14:paraId="2ECA81D8" w14:textId="77777777" w:rsidR="008A64DF" w:rsidRDefault="008A64DF">
            <w:pPr>
              <w:pStyle w:val="Tabletext"/>
              <w:rPr>
                <w:lang w:val="es-ES"/>
              </w:rPr>
            </w:pPr>
            <w:r>
              <w:rPr>
                <w:lang w:val="es-ES"/>
              </w:rPr>
              <w:lastRenderedPageBreak/>
              <w:t>Representantes de la UIT acuden con regularidad a las reuniones de la OMS sobre CEM. Asimismo, representantes de la OMS participan regularmente en reuniones y talleres sobre los CEM, organizados por la UIT.</w:t>
            </w:r>
          </w:p>
        </w:tc>
      </w:tr>
      <w:tr w:rsidR="008A64DF" w:rsidRPr="008A64DF" w14:paraId="23A35088" w14:textId="77777777" w:rsidTr="00084D3A">
        <w:tc>
          <w:tcPr>
            <w:tcW w:w="9026" w:type="dxa"/>
            <w:hideMark/>
          </w:tcPr>
          <w:p w14:paraId="2CC4D860" w14:textId="0EBAF4F4" w:rsidR="008A64DF" w:rsidRDefault="008A64DF" w:rsidP="00B6637F">
            <w:pPr>
              <w:pStyle w:val="Tabletext"/>
              <w:rPr>
                <w:b/>
                <w:bCs/>
                <w:lang w:val="es-ES"/>
              </w:rPr>
            </w:pPr>
            <w:r w:rsidRPr="00E15781">
              <w:rPr>
                <w:b/>
                <w:bCs/>
                <w:lang w:val="es-ES"/>
              </w:rPr>
              <w:lastRenderedPageBreak/>
              <w:t>177</w:t>
            </w:r>
            <w:r>
              <w:rPr>
                <w:b/>
                <w:bCs/>
                <w:lang w:val="es-ES"/>
              </w:rPr>
              <w:t xml:space="preserve"> (Rev. Dubái, 2018) Conformidad e interoperabilidad [también Res.</w:t>
            </w:r>
            <w:r w:rsidR="00B6637F">
              <w:rPr>
                <w:b/>
                <w:bCs/>
                <w:lang w:val="es-ES"/>
              </w:rPr>
              <w:t> </w:t>
            </w:r>
            <w:r>
              <w:rPr>
                <w:b/>
                <w:bCs/>
                <w:lang w:val="es-ES"/>
              </w:rPr>
              <w:t>76 de la AMTN y Res.</w:t>
            </w:r>
            <w:r w:rsidR="00B6637F">
              <w:rPr>
                <w:b/>
                <w:bCs/>
                <w:lang w:val="es-ES"/>
              </w:rPr>
              <w:t> </w:t>
            </w:r>
            <w:r>
              <w:rPr>
                <w:b/>
                <w:bCs/>
                <w:lang w:val="es-ES"/>
              </w:rPr>
              <w:t>47 de la</w:t>
            </w:r>
            <w:r w:rsidR="00B6637F">
              <w:rPr>
                <w:b/>
                <w:bCs/>
                <w:lang w:val="es-ES"/>
              </w:rPr>
              <w:t> </w:t>
            </w:r>
            <w:r>
              <w:rPr>
                <w:b/>
                <w:bCs/>
                <w:lang w:val="es-ES"/>
              </w:rPr>
              <w:t>CMDT]</w:t>
            </w:r>
          </w:p>
          <w:p w14:paraId="16AD9F96" w14:textId="6F64EA4B" w:rsidR="008A64DF" w:rsidRDefault="008A64DF">
            <w:pPr>
              <w:pStyle w:val="Tabletext"/>
              <w:rPr>
                <w:lang w:val="es-ES"/>
              </w:rPr>
            </w:pPr>
            <w:r>
              <w:rPr>
                <w:lang w:val="es-ES"/>
              </w:rPr>
              <w:t xml:space="preserve">Se lograron progresos en la aplicación del Programa de </w:t>
            </w:r>
            <w:r w:rsidR="00177ED4">
              <w:rPr>
                <w:lang w:val="es-ES"/>
              </w:rPr>
              <w:t>c</w:t>
            </w:r>
            <w:r>
              <w:rPr>
                <w:lang w:val="es-ES"/>
              </w:rPr>
              <w:t xml:space="preserve">onformidad e </w:t>
            </w:r>
            <w:r w:rsidR="00177ED4">
              <w:rPr>
                <w:lang w:val="es-ES"/>
              </w:rPr>
              <w:t>i</w:t>
            </w:r>
            <w:r>
              <w:rPr>
                <w:lang w:val="es-ES"/>
              </w:rPr>
              <w:t>nteroperabilidad (C+I) de la UIT, en particular:</w:t>
            </w:r>
          </w:p>
          <w:p w14:paraId="1DD006A0" w14:textId="6D86E961" w:rsidR="008A64DF" w:rsidRDefault="008A64DF">
            <w:pPr>
              <w:pStyle w:val="Tabletext"/>
              <w:ind w:left="720" w:hanging="720"/>
              <w:rPr>
                <w:lang w:val="es-ES"/>
              </w:rPr>
            </w:pPr>
            <w:r>
              <w:rPr>
                <w:lang w:val="es-ES"/>
              </w:rPr>
              <w:t>•</w:t>
            </w:r>
            <w:r>
              <w:rPr>
                <w:lang w:val="es-ES"/>
              </w:rPr>
              <w:tab/>
              <w:t>La TSB mantiene la "</w:t>
            </w:r>
            <w:hyperlink r:id="rId433" w:history="1">
              <w:r>
                <w:rPr>
                  <w:rStyle w:val="Hyperlink"/>
                  <w:lang w:val="es-ES"/>
                </w:rPr>
                <w:t>Base de datos de conformidad de productos de TIC</w:t>
              </w:r>
            </w:hyperlink>
            <w:r>
              <w:rPr>
                <w:lang w:val="es-ES"/>
              </w:rPr>
              <w:t>" que permite a la industria dar a conocer la conformidad de los productos y servicios de TIC con Recomendaciones</w:t>
            </w:r>
            <w:r w:rsidR="00B6637F">
              <w:rPr>
                <w:lang w:val="es-ES"/>
              </w:rPr>
              <w:t> </w:t>
            </w:r>
            <w:r>
              <w:rPr>
                <w:lang w:val="es-ES"/>
              </w:rPr>
              <w:t>UIT-T. Al mes de noviembre de 2020, la base de datos contiene cinco</w:t>
            </w:r>
            <w:r w:rsidR="00B6637F">
              <w:rPr>
                <w:lang w:val="es-ES"/>
              </w:rPr>
              <w:t> </w:t>
            </w:r>
            <w:r>
              <w:rPr>
                <w:lang w:val="es-ES"/>
              </w:rPr>
              <w:t>categorías de productos de TIC con más de 500 entradas.</w:t>
            </w:r>
          </w:p>
          <w:p w14:paraId="509AE664" w14:textId="7A2179E6" w:rsidR="008A64DF" w:rsidRDefault="008A64DF">
            <w:pPr>
              <w:pStyle w:val="Tabletext"/>
              <w:ind w:left="720" w:hanging="720"/>
              <w:rPr>
                <w:lang w:val="es-ES"/>
              </w:rPr>
            </w:pPr>
            <w:r>
              <w:rPr>
                <w:lang w:val="es-ES"/>
              </w:rPr>
              <w:t>•</w:t>
            </w:r>
            <w:r>
              <w:rPr>
                <w:lang w:val="es-ES"/>
              </w:rPr>
              <w:tab/>
              <w:t>La CE</w:t>
            </w:r>
            <w:r w:rsidR="00B6637F">
              <w:rPr>
                <w:lang w:val="es-ES"/>
              </w:rPr>
              <w:t> </w:t>
            </w:r>
            <w:r>
              <w:rPr>
                <w:lang w:val="es-ES"/>
              </w:rPr>
              <w:t>11 del UIT-T actualiza regularmente la lista de las Recomendaciones del UIT-T adecuadas para pruebas de C+I en base a las contribuciones de todas las CE del UIT-T.</w:t>
            </w:r>
          </w:p>
          <w:p w14:paraId="618561FE" w14:textId="6502700E" w:rsidR="008A64DF" w:rsidRDefault="008A64DF" w:rsidP="00B6637F">
            <w:pPr>
              <w:pStyle w:val="Tabletext"/>
              <w:keepNext/>
              <w:keepLines/>
              <w:ind w:left="720" w:hanging="720"/>
              <w:rPr>
                <w:lang w:val="es-ES"/>
              </w:rPr>
            </w:pPr>
            <w:r>
              <w:rPr>
                <w:lang w:val="es-ES"/>
              </w:rPr>
              <w:t>•</w:t>
            </w:r>
            <w:r>
              <w:rPr>
                <w:lang w:val="es-ES"/>
              </w:rPr>
              <w:tab/>
              <w:t>La UIT organizó varios talleres sobre C+I, incluidos dos talleres regionales de la Comisión de Estudio</w:t>
            </w:r>
            <w:r w:rsidR="00B6637F">
              <w:rPr>
                <w:lang w:val="es-ES"/>
              </w:rPr>
              <w:t> </w:t>
            </w:r>
            <w:r>
              <w:rPr>
                <w:lang w:val="es-ES"/>
              </w:rPr>
              <w:t xml:space="preserve">11 del UIT-T para África sobre </w:t>
            </w:r>
            <w:r w:rsidR="00B6637F">
              <w:rPr>
                <w:lang w:val="es-ES"/>
              </w:rPr>
              <w:t>"</w:t>
            </w:r>
            <w:r w:rsidRPr="001B1357">
              <w:rPr>
                <w:lang w:val="es-ES"/>
              </w:rPr>
              <w:t>D</w:t>
            </w:r>
            <w:r>
              <w:rPr>
                <w:lang w:val="es-ES"/>
              </w:rPr>
              <w:t>ispositivos de TIC falsificados, retos en materia de pruebas de conformidad e interoperabilidad en África</w:t>
            </w:r>
            <w:r w:rsidR="00B6637F">
              <w:rPr>
                <w:lang w:val="es-ES"/>
              </w:rPr>
              <w:t>"</w:t>
            </w:r>
            <w:r>
              <w:rPr>
                <w:lang w:val="es-ES"/>
              </w:rPr>
              <w:t xml:space="preserve"> (</w:t>
            </w:r>
            <w:hyperlink r:id="rId434" w:history="1">
              <w:r>
                <w:rPr>
                  <w:rStyle w:val="Hyperlink"/>
                  <w:lang w:val="es-ES"/>
                </w:rPr>
                <w:t>2018</w:t>
              </w:r>
            </w:hyperlink>
            <w:r>
              <w:rPr>
                <w:lang w:val="es-ES"/>
              </w:rPr>
              <w:t xml:space="preserve"> y </w:t>
            </w:r>
            <w:hyperlink r:id="rId435" w:history="1">
              <w:r>
                <w:rPr>
                  <w:rStyle w:val="Hyperlink"/>
                  <w:lang w:val="es-ES"/>
                </w:rPr>
                <w:t>2019</w:t>
              </w:r>
            </w:hyperlink>
            <w:r>
              <w:rPr>
                <w:lang w:val="es-ES"/>
              </w:rPr>
              <w:t xml:space="preserve">, Túnez </w:t>
            </w:r>
            <w:r w:rsidR="00B6637F">
              <w:rPr>
                <w:lang w:val="es-ES"/>
              </w:rPr>
              <w:t>(</w:t>
            </w:r>
            <w:r>
              <w:rPr>
                <w:lang w:val="es-ES"/>
              </w:rPr>
              <w:t>Túnez</w:t>
            </w:r>
            <w:r w:rsidR="00B6637F">
              <w:rPr>
                <w:lang w:val="es-ES"/>
              </w:rPr>
              <w:t>)</w:t>
            </w:r>
            <w:r>
              <w:rPr>
                <w:lang w:val="es-ES"/>
              </w:rPr>
              <w:t xml:space="preserve">) y un Foro sobre </w:t>
            </w:r>
            <w:r w:rsidR="00B6637F">
              <w:rPr>
                <w:lang w:val="es-ES"/>
              </w:rPr>
              <w:t>"</w:t>
            </w:r>
            <w:r w:rsidRPr="001B1357">
              <w:rPr>
                <w:lang w:val="es-ES"/>
              </w:rPr>
              <w:t>R</w:t>
            </w:r>
            <w:r>
              <w:rPr>
                <w:lang w:val="es-ES"/>
              </w:rPr>
              <w:t xml:space="preserve">edes futuras, conformidad </w:t>
            </w:r>
            <w:r w:rsidR="00B6637F" w:rsidRPr="00B6637F">
              <w:rPr>
                <w:lang w:val="es-ES"/>
              </w:rPr>
              <w:t>e interoperabilidad</w:t>
            </w:r>
            <w:r>
              <w:rPr>
                <w:lang w:val="es-ES"/>
              </w:rPr>
              <w:t xml:space="preserve"> (C+I)</w:t>
            </w:r>
            <w:r w:rsidR="00B6637F">
              <w:rPr>
                <w:lang w:val="es-ES"/>
              </w:rPr>
              <w:t>"</w:t>
            </w:r>
            <w:r>
              <w:rPr>
                <w:lang w:val="es-ES"/>
              </w:rPr>
              <w:t xml:space="preserve"> (</w:t>
            </w:r>
            <w:hyperlink r:id="rId436" w:history="1">
              <w:r>
                <w:rPr>
                  <w:rStyle w:val="Hyperlink"/>
                  <w:lang w:val="es-ES"/>
                </w:rPr>
                <w:t>2021</w:t>
              </w:r>
            </w:hyperlink>
            <w:r>
              <w:rPr>
                <w:lang w:val="es-ES"/>
              </w:rPr>
              <w:t xml:space="preserve">, San Petersburgo </w:t>
            </w:r>
            <w:r w:rsidR="00B6637F">
              <w:rPr>
                <w:lang w:val="es-ES"/>
              </w:rPr>
              <w:t>(</w:t>
            </w:r>
            <w:r>
              <w:rPr>
                <w:lang w:val="es-ES"/>
              </w:rPr>
              <w:t>Rusia</w:t>
            </w:r>
            <w:r w:rsidR="00B6637F">
              <w:rPr>
                <w:lang w:val="es-ES"/>
              </w:rPr>
              <w:t>)</w:t>
            </w:r>
            <w:r>
              <w:rPr>
                <w:lang w:val="es-ES"/>
              </w:rPr>
              <w:t>).</w:t>
            </w:r>
          </w:p>
          <w:p w14:paraId="550D3B0B" w14:textId="15F1DCB1" w:rsidR="008A64DF" w:rsidRDefault="008A64DF">
            <w:pPr>
              <w:pStyle w:val="Tabletext"/>
              <w:ind w:left="697" w:hanging="697"/>
              <w:rPr>
                <w:lang w:val="es-ES"/>
              </w:rPr>
            </w:pPr>
            <w:r>
              <w:rPr>
                <w:lang w:val="es-ES"/>
              </w:rPr>
              <w:t>•</w:t>
            </w:r>
            <w:r>
              <w:rPr>
                <w:lang w:val="es-ES"/>
              </w:rPr>
              <w:tab/>
              <w:t>La TSB facilita la implementación del procedimiento de reconocimiento de los laboratorios de prueba de la UIT para Recomendaciones del UIT-T. El Informe del CASC (</w:t>
            </w:r>
            <w:hyperlink r:id="rId437" w:history="1">
              <w:r>
                <w:rPr>
                  <w:rStyle w:val="Hyperlink"/>
                  <w:lang w:val="es-ES"/>
                </w:rPr>
                <w:t>SG11-RG42</w:t>
              </w:r>
            </w:hyperlink>
            <w:r>
              <w:rPr>
                <w:lang w:val="es-ES"/>
              </w:rPr>
              <w:t>, Anexo 6) contiene más información.</w:t>
            </w:r>
          </w:p>
          <w:p w14:paraId="779EF2CE" w14:textId="77777777" w:rsidR="008A64DF" w:rsidRDefault="008A64DF">
            <w:pPr>
              <w:pStyle w:val="Tabletext"/>
              <w:rPr>
                <w:lang w:val="es-ES"/>
              </w:rPr>
            </w:pPr>
            <w:r>
              <w:rPr>
                <w:lang w:val="es-ES"/>
              </w:rPr>
              <w:t>•</w:t>
            </w:r>
            <w:r>
              <w:rPr>
                <w:lang w:val="es-ES"/>
              </w:rPr>
              <w:tab/>
              <w:t>Pilar 3 del Programa de C+I de la UIT – Capacitación:</w:t>
            </w:r>
          </w:p>
          <w:p w14:paraId="27D5B290" w14:textId="4D2E2450" w:rsidR="008A64DF" w:rsidRDefault="008A64DF">
            <w:pPr>
              <w:pStyle w:val="Tabletext"/>
              <w:ind w:left="1440" w:hanging="720"/>
              <w:rPr>
                <w:lang w:val="es-ES"/>
              </w:rPr>
            </w:pPr>
            <w:r>
              <w:rPr>
                <w:lang w:val="es-ES"/>
              </w:rPr>
              <w:t>–</w:t>
            </w:r>
            <w:r>
              <w:rPr>
                <w:lang w:val="es-ES"/>
              </w:rPr>
              <w:tab/>
              <w:t xml:space="preserve">Actividades de </w:t>
            </w:r>
            <w:hyperlink r:id="rId438" w:history="1">
              <w:r>
                <w:rPr>
                  <w:rStyle w:val="Hyperlink"/>
                  <w:lang w:val="es-ES"/>
                </w:rPr>
                <w:t>capacitación</w:t>
              </w:r>
            </w:hyperlink>
            <w:r>
              <w:rPr>
                <w:lang w:val="es-ES"/>
              </w:rPr>
              <w:t xml:space="preserve"> en el empleo realizadas sobre marcos de C+I y diferentes dominios de pruebas (por ejemplo, IoT, 5G, marcos de C+I), realizadas en colaboración con laboratorios asociados y Centros de Excelencia.</w:t>
            </w:r>
          </w:p>
          <w:p w14:paraId="4C2FFD2D" w14:textId="6BA7C968" w:rsidR="008A64DF" w:rsidRDefault="00177ED4" w:rsidP="00177ED4">
            <w:pPr>
              <w:pStyle w:val="Tabletext"/>
              <w:ind w:left="1440" w:hanging="720"/>
              <w:rPr>
                <w:rFonts w:cs="Calibri"/>
                <w:lang w:val="es-ES"/>
              </w:rPr>
            </w:pPr>
            <w:r>
              <w:rPr>
                <w:rFonts w:cs="Calibri"/>
                <w:lang w:val="es-ES"/>
              </w:rPr>
              <w:tab/>
            </w:r>
            <w:r w:rsidR="008A64DF">
              <w:rPr>
                <w:rFonts w:cs="Calibri"/>
                <w:lang w:val="es-ES"/>
              </w:rPr>
              <w:t>En 2021, se ofrecieron las siguientes actividades virtuales de formación a través de la plataforma de enseñanza de la Academia de la UIT:</w:t>
            </w:r>
          </w:p>
          <w:p w14:paraId="68109065" w14:textId="140D119E" w:rsidR="008A64DF" w:rsidRDefault="008A64DF" w:rsidP="000C16E5">
            <w:pPr>
              <w:pStyle w:val="Tabletext"/>
              <w:ind w:left="2160" w:hanging="720"/>
              <w:rPr>
                <w:lang w:val="es-ES"/>
              </w:rPr>
            </w:pPr>
            <w:r>
              <w:rPr>
                <w:lang w:val="es-ES"/>
              </w:rPr>
              <w:t>•</w:t>
            </w:r>
            <w:r>
              <w:rPr>
                <w:lang w:val="es-ES"/>
              </w:rPr>
              <w:tab/>
            </w:r>
            <w:hyperlink r:id="rId439" w:history="1">
              <w:r>
                <w:rPr>
                  <w:rStyle w:val="Hyperlink"/>
                  <w:lang w:val="es-ES"/>
                </w:rPr>
                <w:t>Conformidad e interoperabilidad para la Región de África</w:t>
              </w:r>
            </w:hyperlink>
            <w:r w:rsidR="000C16E5" w:rsidRPr="000C16E5">
              <w:t>;</w:t>
            </w:r>
          </w:p>
          <w:p w14:paraId="5E8065DB" w14:textId="03FEFC96" w:rsidR="008A64DF" w:rsidRDefault="008A64DF" w:rsidP="000C16E5">
            <w:pPr>
              <w:pStyle w:val="Tabletext"/>
              <w:ind w:left="2160" w:hanging="720"/>
              <w:rPr>
                <w:lang w:val="es-ES"/>
              </w:rPr>
            </w:pPr>
            <w:r>
              <w:rPr>
                <w:lang w:val="es-ES"/>
              </w:rPr>
              <w:t>•</w:t>
            </w:r>
            <w:r>
              <w:rPr>
                <w:lang w:val="es-ES"/>
              </w:rPr>
              <w:tab/>
            </w:r>
            <w:hyperlink r:id="rId440" w:history="1">
              <w:r>
                <w:rPr>
                  <w:rStyle w:val="Hyperlink"/>
                  <w:lang w:val="es-ES"/>
                </w:rPr>
                <w:t>Conformidad e interoperabilidad relacionadas con la 5G</w:t>
              </w:r>
            </w:hyperlink>
            <w:r w:rsidR="000C16E5" w:rsidRPr="000C16E5">
              <w:t>;</w:t>
            </w:r>
          </w:p>
          <w:p w14:paraId="7ED0635D" w14:textId="595ED9BB" w:rsidR="008A64DF" w:rsidRDefault="008A64DF" w:rsidP="000C16E5">
            <w:pPr>
              <w:pStyle w:val="Tabletext"/>
              <w:ind w:left="2160" w:hanging="720"/>
              <w:rPr>
                <w:lang w:val="es-ES"/>
              </w:rPr>
            </w:pPr>
            <w:r>
              <w:rPr>
                <w:lang w:val="es-ES"/>
              </w:rPr>
              <w:t>•</w:t>
            </w:r>
            <w:r>
              <w:rPr>
                <w:lang w:val="es-ES"/>
              </w:rPr>
              <w:tab/>
            </w:r>
            <w:hyperlink r:id="rId441" w:history="1">
              <w:r w:rsidR="000C16E5">
                <w:rPr>
                  <w:rStyle w:val="Hyperlink"/>
                  <w:lang w:val="es-ES"/>
                </w:rPr>
                <w:t>Formación para la preparación de las empresas incipientes en el despliegue de IoT: pruebas de preconformidad</w:t>
              </w:r>
            </w:hyperlink>
            <w:r w:rsidR="000C16E5" w:rsidRPr="000C16E5">
              <w:t>.</w:t>
            </w:r>
          </w:p>
          <w:p w14:paraId="1B80DAB4" w14:textId="4413BA1F" w:rsidR="008A64DF" w:rsidRDefault="008A64DF" w:rsidP="000C16E5">
            <w:pPr>
              <w:pStyle w:val="Tabletext"/>
              <w:ind w:left="1440" w:hanging="720"/>
              <w:rPr>
                <w:lang w:val="es-ES"/>
              </w:rPr>
            </w:pPr>
            <w:r>
              <w:rPr>
                <w:rFonts w:cs="Calibri"/>
                <w:lang w:val="es-ES"/>
              </w:rPr>
              <w:tab/>
              <w:t xml:space="preserve">Información adicional disponible en </w:t>
            </w:r>
            <w:hyperlink r:id="rId442" w:history="1">
              <w:r>
                <w:rPr>
                  <w:rStyle w:val="Hyperlink"/>
                  <w:rFonts w:cs="Calibri"/>
                  <w:lang w:val="es-ES"/>
                </w:rPr>
                <w:t>https://itu.int/go/ci_training</w:t>
              </w:r>
            </w:hyperlink>
            <w:r>
              <w:rPr>
                <w:rFonts w:cs="Calibri"/>
                <w:lang w:val="es-ES"/>
              </w:rPr>
              <w:t>.</w:t>
            </w:r>
          </w:p>
          <w:p w14:paraId="3952DEDE" w14:textId="720709F0" w:rsidR="008A64DF" w:rsidRDefault="008A64DF">
            <w:pPr>
              <w:pStyle w:val="Tabletext"/>
              <w:ind w:left="1440" w:hanging="720"/>
              <w:rPr>
                <w:lang w:val="es-ES"/>
              </w:rPr>
            </w:pPr>
            <w:r>
              <w:rPr>
                <w:lang w:val="es-ES"/>
              </w:rPr>
              <w:t>–</w:t>
            </w:r>
            <w:r>
              <w:rPr>
                <w:lang w:val="es-ES"/>
              </w:rPr>
              <w:tab/>
              <w:t>El desarrollo del programa de formación en materia de conformidad e interoperabilidad (CITP) se basa en el material didáctico producido en anteriores eventos de formación en</w:t>
            </w:r>
            <w:r w:rsidR="000C16E5">
              <w:rPr>
                <w:lang w:val="es-ES"/>
              </w:rPr>
              <w:t> </w:t>
            </w:r>
            <w:r>
              <w:rPr>
                <w:lang w:val="es-ES"/>
              </w:rPr>
              <w:t>C+I, tiene en cuenta las enseñanzas de las publicaciones de la UIT sobre C+I (por ejemplo, los Informes sobre la Cuestión 4/2 de dos periodos de estudios), así como en Directrices y Recomendaciones publicadas de la UIT (</w:t>
            </w:r>
            <w:hyperlink r:id="rId443" w:history="1">
              <w:r>
                <w:rPr>
                  <w:rStyle w:val="Hyperlink"/>
                  <w:lang w:val="es-ES"/>
                </w:rPr>
                <w:t>https://itu.int/go/ci_guidelines</w:t>
              </w:r>
            </w:hyperlink>
            <w:r>
              <w:rPr>
                <w:lang w:val="es-ES"/>
              </w:rPr>
              <w:t>), y se ajusta al mecanismo de garantía de calidad de la Academia de la UIT (material didáctico de alto nivel preparado por expertos en la materia y un proceso de revisión mutua).</w:t>
            </w:r>
          </w:p>
          <w:p w14:paraId="3B3CBC52" w14:textId="77777777" w:rsidR="008A64DF" w:rsidRDefault="008A64DF" w:rsidP="00503351">
            <w:pPr>
              <w:pStyle w:val="Tabletext"/>
              <w:rPr>
                <w:lang w:val="es-ES"/>
              </w:rPr>
            </w:pPr>
            <w:r>
              <w:rPr>
                <w:lang w:val="es-ES"/>
              </w:rPr>
              <w:t>•</w:t>
            </w:r>
            <w:r>
              <w:rPr>
                <w:lang w:val="es-ES"/>
              </w:rPr>
              <w:tab/>
              <w:t>Pilar 4 del Programa de C+I de la UIT – Asistencia a los países en desarrollo:</w:t>
            </w:r>
          </w:p>
          <w:p w14:paraId="24116F2E" w14:textId="48DCA3E0" w:rsidR="008A64DF" w:rsidRDefault="008A64DF">
            <w:pPr>
              <w:pStyle w:val="Tabletext"/>
              <w:ind w:left="1507" w:hanging="810"/>
              <w:rPr>
                <w:lang w:val="es-ES"/>
              </w:rPr>
            </w:pPr>
            <w:r>
              <w:rPr>
                <w:lang w:val="es-ES"/>
              </w:rPr>
              <w:t>–</w:t>
            </w:r>
            <w:r>
              <w:rPr>
                <w:lang w:val="es-ES"/>
              </w:rPr>
              <w:tab/>
              <w:t xml:space="preserve">Se realizaron en la región de la CEDEAO una serie de </w:t>
            </w:r>
            <w:hyperlink r:id="rId444" w:history="1">
              <w:r>
                <w:rPr>
                  <w:rStyle w:val="Hyperlink"/>
                  <w:lang w:val="es-ES"/>
                </w:rPr>
                <w:t>estudios de evaluación</w:t>
              </w:r>
            </w:hyperlink>
            <w:r>
              <w:rPr>
                <w:lang w:val="es-ES"/>
              </w:rPr>
              <w:t xml:space="preserve"> de C+I destinados a fomentar la colaboración regional con el fin de establecer programas de</w:t>
            </w:r>
            <w:r w:rsidR="00503351">
              <w:rPr>
                <w:lang w:val="es-ES"/>
              </w:rPr>
              <w:t> </w:t>
            </w:r>
            <w:r>
              <w:rPr>
                <w:lang w:val="es-ES"/>
              </w:rPr>
              <w:t>C+I armonizados.</w:t>
            </w:r>
            <w:r>
              <w:rPr>
                <w:rFonts w:eastAsia="PMingLiU" w:cs="Calibri"/>
                <w:color w:val="000000"/>
                <w:szCs w:val="22"/>
                <w:lang w:val="es-ES"/>
              </w:rPr>
              <w:t xml:space="preserve"> </w:t>
            </w:r>
            <w:r>
              <w:rPr>
                <w:lang w:val="es-ES"/>
              </w:rPr>
              <w:t xml:space="preserve">Los </w:t>
            </w:r>
            <w:r w:rsidR="00503351">
              <w:rPr>
                <w:lang w:val="es-ES"/>
              </w:rPr>
              <w:t>i</w:t>
            </w:r>
            <w:r>
              <w:rPr>
                <w:lang w:val="es-ES"/>
              </w:rPr>
              <w:t xml:space="preserve">nformes están disponibles en la </w:t>
            </w:r>
            <w:hyperlink r:id="rId445" w:history="1">
              <w:r>
                <w:rPr>
                  <w:rStyle w:val="Hyperlink"/>
                  <w:lang w:val="es-ES"/>
                </w:rPr>
                <w:t>página web</w:t>
              </w:r>
            </w:hyperlink>
            <w:r>
              <w:rPr>
                <w:lang w:val="es-ES"/>
              </w:rPr>
              <w:t>.</w:t>
            </w:r>
          </w:p>
          <w:p w14:paraId="4BE305F0" w14:textId="0A10DEC2" w:rsidR="008A64DF" w:rsidRDefault="008A64DF">
            <w:pPr>
              <w:pStyle w:val="Tabletext"/>
              <w:ind w:left="1507" w:hanging="810"/>
              <w:rPr>
                <w:lang w:val="es-ES"/>
              </w:rPr>
            </w:pPr>
            <w:r>
              <w:rPr>
                <w:lang w:val="es-ES"/>
              </w:rPr>
              <w:lastRenderedPageBreak/>
              <w:t>–</w:t>
            </w:r>
            <w:r>
              <w:rPr>
                <w:lang w:val="es-ES"/>
              </w:rPr>
              <w:tab/>
            </w:r>
            <w:hyperlink r:id="rId446" w:history="1">
              <w:r>
                <w:rPr>
                  <w:rStyle w:val="Hyperlink"/>
                  <w:lang w:val="es-ES"/>
                </w:rPr>
                <w:t>Cuestión 4</w:t>
              </w:r>
            </w:hyperlink>
            <w:r>
              <w:rPr>
                <w:lang w:val="es-ES"/>
              </w:rPr>
              <w:t xml:space="preserve"> de la Comisión de Estudio 2 </w:t>
            </w:r>
            <w:r w:rsidR="000F6BC6">
              <w:rPr>
                <w:lang w:val="es-ES"/>
              </w:rPr>
              <w:t xml:space="preserve">(C4/2) </w:t>
            </w:r>
            <w:r>
              <w:rPr>
                <w:lang w:val="es-ES"/>
              </w:rPr>
              <w:t xml:space="preserve">del UIT-D: </w:t>
            </w:r>
            <w:r w:rsidR="00E15781">
              <w:rPr>
                <w:lang w:val="es-ES"/>
              </w:rPr>
              <w:t>e</w:t>
            </w:r>
            <w:r>
              <w:rPr>
                <w:lang w:val="es-ES"/>
              </w:rPr>
              <w:t xml:space="preserve">l grupo finalizó su Informe final </w:t>
            </w:r>
            <w:r>
              <w:rPr>
                <w:color w:val="000000"/>
                <w:lang w:val="es-ES"/>
              </w:rPr>
              <w:t>(</w:t>
            </w:r>
            <w:hyperlink r:id="rId447" w:history="1">
              <w:r>
                <w:rPr>
                  <w:rStyle w:val="Hyperlink"/>
                  <w:lang w:val="es-ES"/>
                </w:rPr>
                <w:t>enlace</w:t>
              </w:r>
            </w:hyperlink>
            <w:r>
              <w:rPr>
                <w:color w:val="000000"/>
                <w:lang w:val="es-ES"/>
              </w:rPr>
              <w:t xml:space="preserve">). </w:t>
            </w:r>
            <w:r>
              <w:rPr>
                <w:lang w:val="es-ES"/>
              </w:rPr>
              <w:t xml:space="preserve">Se ha producido un vídeo para informar sobre el trabajo de dicha Cuestión </w:t>
            </w:r>
            <w:r>
              <w:rPr>
                <w:color w:val="000000"/>
                <w:lang w:val="es-ES"/>
              </w:rPr>
              <w:t>(</w:t>
            </w:r>
            <w:hyperlink r:id="rId448" w:history="1">
              <w:r>
                <w:rPr>
                  <w:rStyle w:val="Hyperlink"/>
                  <w:lang w:val="es-ES"/>
                </w:rPr>
                <w:t>enlace</w:t>
              </w:r>
            </w:hyperlink>
            <w:r>
              <w:rPr>
                <w:color w:val="000000"/>
                <w:lang w:val="es-ES"/>
              </w:rPr>
              <w:t>)</w:t>
            </w:r>
            <w:r>
              <w:rPr>
                <w:lang w:val="es-ES"/>
              </w:rPr>
              <w:t xml:space="preserve">. Para más información sobre la C4/2, véase </w:t>
            </w:r>
            <w:hyperlink r:id="rId449" w:history="1">
              <w:r w:rsidR="00487209" w:rsidRPr="00C93F18">
                <w:rPr>
                  <w:rStyle w:val="Hyperlink"/>
                  <w:lang w:val="es-ES"/>
                </w:rPr>
                <w:t>https://itu.int/go/Q4/2</w:t>
              </w:r>
            </w:hyperlink>
            <w:r>
              <w:rPr>
                <w:lang w:val="es-ES"/>
              </w:rPr>
              <w:t>.</w:t>
            </w:r>
          </w:p>
          <w:p w14:paraId="5F6793F0" w14:textId="16F1BD9C" w:rsidR="008A64DF" w:rsidRDefault="008A64DF">
            <w:pPr>
              <w:pStyle w:val="Tabletext"/>
              <w:ind w:left="1507" w:hanging="810"/>
              <w:rPr>
                <w:lang w:val="es-ES"/>
              </w:rPr>
            </w:pPr>
            <w:r>
              <w:rPr>
                <w:lang w:val="es-ES"/>
              </w:rPr>
              <w:t>–</w:t>
            </w:r>
            <w:r>
              <w:rPr>
                <w:rFonts w:cs="Calibri"/>
                <w:lang w:val="es-ES"/>
              </w:rPr>
              <w:tab/>
              <w:t>En</w:t>
            </w:r>
            <w:r w:rsidR="00E15781">
              <w:rPr>
                <w:rFonts w:cs="Calibri"/>
                <w:lang w:val="es-ES"/>
              </w:rPr>
              <w:t xml:space="preserve"> </w:t>
            </w:r>
            <w:r>
              <w:rPr>
                <w:rFonts w:cs="Calibri"/>
                <w:lang w:val="es-ES"/>
              </w:rPr>
              <w:t>2021, se ha prestado asistencia para el establecimiento de un marco de C+I en Sudán del Sur.</w:t>
            </w:r>
          </w:p>
        </w:tc>
      </w:tr>
      <w:tr w:rsidR="008A64DF" w:rsidRPr="008A64DF" w14:paraId="44623E0B" w14:textId="77777777" w:rsidTr="00084D3A">
        <w:tc>
          <w:tcPr>
            <w:tcW w:w="9026" w:type="dxa"/>
            <w:hideMark/>
          </w:tcPr>
          <w:p w14:paraId="4B552BED" w14:textId="77777777" w:rsidR="008A64DF" w:rsidRDefault="008A64DF">
            <w:pPr>
              <w:pStyle w:val="Tabletext"/>
              <w:rPr>
                <w:b/>
                <w:bCs/>
                <w:lang w:val="es-ES"/>
              </w:rPr>
            </w:pPr>
            <w:r w:rsidRPr="00487209">
              <w:rPr>
                <w:b/>
                <w:bCs/>
                <w:lang w:val="es-ES"/>
              </w:rPr>
              <w:lastRenderedPageBreak/>
              <w:t>179</w:t>
            </w:r>
            <w:r>
              <w:rPr>
                <w:b/>
                <w:bCs/>
                <w:lang w:val="es-ES"/>
              </w:rPr>
              <w:t xml:space="preserve"> (Rev. Dubái, 2018) Función de la UIT en la protección de la infancia en línea</w:t>
            </w:r>
          </w:p>
          <w:p w14:paraId="1D82F79F" w14:textId="4939D3C6" w:rsidR="008A64DF" w:rsidRDefault="008A64DF">
            <w:pPr>
              <w:pStyle w:val="Tabletext"/>
              <w:rPr>
                <w:lang w:val="es-ES"/>
              </w:rPr>
            </w:pPr>
            <w:r>
              <w:rPr>
                <w:lang w:val="es-ES"/>
              </w:rPr>
              <w:t>Véase el Informe del Presidente del GTC-PIeL al Consejo en</w:t>
            </w:r>
            <w:r w:rsidR="00487209">
              <w:rPr>
                <w:lang w:val="es-ES"/>
              </w:rPr>
              <w:t xml:space="preserve"> este</w:t>
            </w:r>
            <w:r>
              <w:rPr>
                <w:lang w:val="es-ES"/>
              </w:rPr>
              <w:t xml:space="preserve"> </w:t>
            </w:r>
            <w:hyperlink r:id="rId450" w:history="1">
              <w:r w:rsidR="00487209">
                <w:rPr>
                  <w:rStyle w:val="Hyperlink"/>
                  <w:lang w:val="es-ES"/>
                </w:rPr>
                <w:t>enlace</w:t>
              </w:r>
            </w:hyperlink>
            <w:r>
              <w:rPr>
                <w:lang w:val="es-ES"/>
              </w:rPr>
              <w:t xml:space="preserve"> y la </w:t>
            </w:r>
            <w:hyperlink w:anchor="_Toc37943340" w:history="1">
              <w:r w:rsidRPr="00AF08F6">
                <w:rPr>
                  <w:rStyle w:val="Hyperlink"/>
                  <w:lang w:val="es-ES"/>
                </w:rPr>
                <w:t>sección 1.6</w:t>
              </w:r>
            </w:hyperlink>
            <w:r>
              <w:rPr>
                <w:lang w:val="es-ES"/>
              </w:rPr>
              <w:t>.</w:t>
            </w:r>
          </w:p>
        </w:tc>
      </w:tr>
      <w:tr w:rsidR="008A64DF" w:rsidRPr="008A64DF" w14:paraId="01A204F6" w14:textId="77777777" w:rsidTr="00084D3A">
        <w:tc>
          <w:tcPr>
            <w:tcW w:w="9026" w:type="dxa"/>
            <w:hideMark/>
          </w:tcPr>
          <w:p w14:paraId="07F2F714" w14:textId="77777777" w:rsidR="008A64DF" w:rsidRDefault="008A64DF">
            <w:pPr>
              <w:pStyle w:val="Tabletext"/>
              <w:rPr>
                <w:b/>
                <w:bCs/>
                <w:lang w:val="es-ES"/>
              </w:rPr>
            </w:pPr>
            <w:r w:rsidRPr="004F5C43">
              <w:rPr>
                <w:b/>
                <w:bCs/>
                <w:lang w:val="es-ES"/>
              </w:rPr>
              <w:t>182</w:t>
            </w:r>
            <w:r>
              <w:rPr>
                <w:b/>
                <w:bCs/>
                <w:lang w:val="es-ES"/>
              </w:rPr>
              <w:t xml:space="preserve"> (Rev. Busán, 2014) El papel de las telecomunicaciones/tecnologías de la información y la comunicación en el cambio climático y la protección del medio ambiente</w:t>
            </w:r>
          </w:p>
          <w:p w14:paraId="0EFD6DE5" w14:textId="7D62A469" w:rsidR="008A64DF" w:rsidRDefault="008A64DF">
            <w:pPr>
              <w:pStyle w:val="Tabletext"/>
              <w:rPr>
                <w:lang w:val="es-ES"/>
              </w:rPr>
            </w:pPr>
            <w:r>
              <w:rPr>
                <w:lang w:val="es-ES"/>
              </w:rPr>
              <w:t xml:space="preserve">La </w:t>
            </w:r>
            <w:hyperlink w:anchor="_1.5_Medio_ambiente" w:history="1">
              <w:r w:rsidRPr="00AF08F6">
                <w:rPr>
                  <w:rStyle w:val="Hyperlink"/>
                  <w:lang w:val="es-ES"/>
                </w:rPr>
                <w:t>sección 1.5</w:t>
              </w:r>
            </w:hyperlink>
            <w:r w:rsidRPr="002B7521">
              <w:t xml:space="preserve"> </w:t>
            </w:r>
            <w:r>
              <w:rPr>
                <w:lang w:val="es-ES"/>
              </w:rPr>
              <w:t>(</w:t>
            </w:r>
            <w:r w:rsidR="006714CC">
              <w:rPr>
                <w:lang w:val="es-ES"/>
              </w:rPr>
              <w:t>"</w:t>
            </w:r>
            <w:r>
              <w:rPr>
                <w:lang w:val="es-ES"/>
              </w:rPr>
              <w:t>Medio ambiente y ciudades y comunidades inteligentes y sostenibles</w:t>
            </w:r>
            <w:r w:rsidR="006714CC">
              <w:rPr>
                <w:lang w:val="es-ES"/>
              </w:rPr>
              <w:t>"</w:t>
            </w:r>
            <w:r>
              <w:rPr>
                <w:lang w:val="es-ES"/>
              </w:rPr>
              <w:t>) resume el trabajo llevado a cabo por la UIT en materia de cambio climático y protección del medio ambiente.</w:t>
            </w:r>
          </w:p>
          <w:p w14:paraId="2B6DA370" w14:textId="77777777" w:rsidR="008A64DF" w:rsidRDefault="008A64DF">
            <w:pPr>
              <w:pStyle w:val="Tabletext"/>
              <w:rPr>
                <w:lang w:val="es-ES"/>
              </w:rPr>
            </w:pPr>
            <w:r>
              <w:rPr>
                <w:lang w:val="es-ES"/>
              </w:rPr>
              <w:t>La CE 5 del UIT-T sobre "Medio ambiente, cambio climático y economía circular" es la Comisión de Estudio rectora sobre las TIC relacionadas con el medio ambiente, el cambio climático, la eficiencia energética, la energía limpia y la economía circular, incluidos los residuos electrónicos.</w:t>
            </w:r>
          </w:p>
          <w:p w14:paraId="2823D0D6" w14:textId="06457212" w:rsidR="008A64DF" w:rsidRDefault="008A64DF">
            <w:pPr>
              <w:pStyle w:val="Tabletext"/>
              <w:rPr>
                <w:lang w:val="es-ES"/>
              </w:rPr>
            </w:pPr>
            <w:r>
              <w:rPr>
                <w:lang w:val="es-ES"/>
              </w:rPr>
              <w:t xml:space="preserve">En la </w:t>
            </w:r>
            <w:hyperlink w:anchor="Section_1_3" w:history="1">
              <w:r w:rsidRPr="00AF08F6">
                <w:rPr>
                  <w:rStyle w:val="Hyperlink"/>
                  <w:lang w:val="es-ES"/>
                </w:rPr>
                <w:t>sección 1.3</w:t>
              </w:r>
            </w:hyperlink>
            <w:r>
              <w:rPr>
                <w:lang w:val="es-ES"/>
              </w:rPr>
              <w:t xml:space="preserve"> se dan detalles sobre las recomendaciones relacionadas con el cambio climático aprobadas durante este periodo.</w:t>
            </w:r>
          </w:p>
          <w:p w14:paraId="010F70B9" w14:textId="2CFE8CD9" w:rsidR="008A64DF" w:rsidRDefault="008A64DF">
            <w:pPr>
              <w:pStyle w:val="Tabletext"/>
              <w:rPr>
                <w:lang w:val="es-ES"/>
              </w:rPr>
            </w:pPr>
            <w:r>
              <w:rPr>
                <w:lang w:val="es-ES"/>
              </w:rPr>
              <w:t xml:space="preserve">El Día Mundial de la Normalización 2020 estuvo dedicado a </w:t>
            </w:r>
            <w:hyperlink r:id="rId451" w:history="1">
              <w:r w:rsidR="00DE5A12">
                <w:rPr>
                  <w:rStyle w:val="Hyperlink"/>
                  <w:lang w:val="es-ES"/>
                </w:rPr>
                <w:t>p</w:t>
              </w:r>
              <w:r>
                <w:rPr>
                  <w:rStyle w:val="Hyperlink"/>
                  <w:lang w:val="es-ES"/>
                </w:rPr>
                <w:t xml:space="preserve">roteger el </w:t>
              </w:r>
              <w:r w:rsidR="00DE5A12">
                <w:rPr>
                  <w:rStyle w:val="Hyperlink"/>
                  <w:lang w:val="es-ES"/>
                </w:rPr>
                <w:t>p</w:t>
              </w:r>
              <w:r>
                <w:rPr>
                  <w:rStyle w:val="Hyperlink"/>
                  <w:lang w:val="es-ES"/>
                </w:rPr>
                <w:t xml:space="preserve">laneta con </w:t>
              </w:r>
              <w:r w:rsidR="00DE5A12">
                <w:rPr>
                  <w:rStyle w:val="Hyperlink"/>
                  <w:lang w:val="es-ES"/>
                </w:rPr>
                <w:t>n</w:t>
              </w:r>
              <w:r>
                <w:rPr>
                  <w:rStyle w:val="Hyperlink"/>
                  <w:lang w:val="es-ES"/>
                </w:rPr>
                <w:t>ormas</w:t>
              </w:r>
            </w:hyperlink>
            <w:r>
              <w:rPr>
                <w:lang w:val="es-ES"/>
              </w:rPr>
              <w:t>.</w:t>
            </w:r>
          </w:p>
          <w:p w14:paraId="4864078E" w14:textId="77777777" w:rsidR="008A64DF" w:rsidRDefault="008A64DF">
            <w:pPr>
              <w:pStyle w:val="Tabletext"/>
              <w:rPr>
                <w:lang w:val="es-ES"/>
              </w:rPr>
            </w:pPr>
            <w:r>
              <w:rPr>
                <w:lang w:val="es-ES"/>
              </w:rPr>
              <w:t>La CE 5 del UIT-T organizó los siguientes eventos:</w:t>
            </w:r>
          </w:p>
          <w:p w14:paraId="40829BB8" w14:textId="0ACC364C" w:rsidR="008A64DF" w:rsidRDefault="008A64DF">
            <w:pPr>
              <w:pStyle w:val="Tabletext"/>
              <w:ind w:left="720" w:hanging="720"/>
              <w:rPr>
                <w:lang w:val="es-ES"/>
              </w:rPr>
            </w:pPr>
            <w:r>
              <w:rPr>
                <w:lang w:val="es-ES"/>
              </w:rPr>
              <w:t>•</w:t>
            </w:r>
            <w:r>
              <w:rPr>
                <w:lang w:val="es-ES"/>
              </w:rPr>
              <w:tab/>
            </w:r>
            <w:hyperlink r:id="rId452" w:tgtFrame="_blank" w:history="1">
              <w:r>
                <w:rPr>
                  <w:rStyle w:val="Hyperlink"/>
                  <w:lang w:val="es-ES"/>
                </w:rPr>
                <w:t xml:space="preserve">Diálogos sobre </w:t>
              </w:r>
              <w:r w:rsidR="00DE5A12">
                <w:rPr>
                  <w:rStyle w:val="Hyperlink"/>
                  <w:lang w:val="es-ES"/>
                </w:rPr>
                <w:t>t</w:t>
              </w:r>
              <w:r>
                <w:rPr>
                  <w:rStyle w:val="Hyperlink"/>
                  <w:lang w:val="es-ES"/>
                </w:rPr>
                <w:t xml:space="preserve">ransformación </w:t>
              </w:r>
              <w:r w:rsidR="00DE5A12">
                <w:rPr>
                  <w:rStyle w:val="Hyperlink"/>
                  <w:lang w:val="es-ES"/>
                </w:rPr>
                <w:t>d</w:t>
              </w:r>
              <w:r>
                <w:rPr>
                  <w:rStyle w:val="Hyperlink"/>
                  <w:lang w:val="es-ES"/>
                </w:rPr>
                <w:t xml:space="preserve">igital </w:t>
              </w:r>
              <w:r w:rsidR="00DE5A12">
                <w:rPr>
                  <w:rStyle w:val="Hyperlink"/>
                  <w:lang w:val="es-ES"/>
                </w:rPr>
                <w:t>s</w:t>
              </w:r>
              <w:r>
                <w:rPr>
                  <w:rStyle w:val="Hyperlink"/>
                  <w:lang w:val="es-ES"/>
                </w:rPr>
                <w:t>ostenible</w:t>
              </w:r>
            </w:hyperlink>
            <w:r>
              <w:rPr>
                <w:lang w:val="es-ES"/>
              </w:rPr>
              <w:t>, virtual, del 28 al 30 de septiembre de 2021;</w:t>
            </w:r>
          </w:p>
          <w:p w14:paraId="6D9CAB92" w14:textId="1D829844" w:rsidR="008A64DF" w:rsidRDefault="008A64DF">
            <w:pPr>
              <w:pStyle w:val="Tabletext"/>
              <w:ind w:left="720" w:hanging="720"/>
              <w:rPr>
                <w:lang w:val="es-ES"/>
              </w:rPr>
            </w:pPr>
            <w:r>
              <w:rPr>
                <w:lang w:val="es-ES"/>
              </w:rPr>
              <w:t>•</w:t>
            </w:r>
            <w:r>
              <w:rPr>
                <w:lang w:val="es-ES"/>
              </w:rPr>
              <w:tab/>
            </w:r>
            <w:hyperlink r:id="rId453" w:tgtFrame="_blank" w:history="1">
              <w:r w:rsidRPr="001B1357">
                <w:rPr>
                  <w:rStyle w:val="Hyperlink"/>
                  <w:lang w:val="es-ES"/>
                </w:rPr>
                <w:t>Transformación</w:t>
              </w:r>
              <w:r>
                <w:rPr>
                  <w:rStyle w:val="Hyperlink"/>
                  <w:lang w:val="es-ES"/>
                </w:rPr>
                <w:t xml:space="preserve"> </w:t>
              </w:r>
              <w:r w:rsidR="00DE5A12">
                <w:rPr>
                  <w:rStyle w:val="Hyperlink"/>
                  <w:lang w:val="es-ES"/>
                </w:rPr>
                <w:t>d</w:t>
              </w:r>
              <w:r>
                <w:rPr>
                  <w:rStyle w:val="Hyperlink"/>
                  <w:lang w:val="es-ES"/>
                </w:rPr>
                <w:t xml:space="preserve">igital </w:t>
              </w:r>
              <w:r w:rsidR="00DE5A12">
                <w:rPr>
                  <w:rStyle w:val="Hyperlink"/>
                  <w:lang w:val="es-ES"/>
                </w:rPr>
                <w:t>s</w:t>
              </w:r>
              <w:r>
                <w:rPr>
                  <w:rStyle w:val="Hyperlink"/>
                  <w:lang w:val="es-ES"/>
                </w:rPr>
                <w:t>ostenible en América Latina</w:t>
              </w:r>
            </w:hyperlink>
            <w:r>
              <w:rPr>
                <w:lang w:val="es-ES"/>
              </w:rPr>
              <w:t>, virtual, 30 de septiembre de 2021;</w:t>
            </w:r>
          </w:p>
          <w:p w14:paraId="2E6EF60D" w14:textId="6C11B437" w:rsidR="008A64DF" w:rsidRDefault="008A64DF">
            <w:pPr>
              <w:pStyle w:val="Tabletext"/>
              <w:ind w:left="720" w:hanging="720"/>
              <w:rPr>
                <w:lang w:val="es-ES"/>
              </w:rPr>
            </w:pPr>
            <w:r>
              <w:rPr>
                <w:lang w:val="es-ES"/>
              </w:rPr>
              <w:t>•</w:t>
            </w:r>
            <w:r>
              <w:rPr>
                <w:lang w:val="es-ES"/>
              </w:rPr>
              <w:tab/>
            </w:r>
            <w:hyperlink r:id="rId454" w:tgtFrame="_blank" w:history="1">
              <w:r>
                <w:rPr>
                  <w:rStyle w:val="Hyperlink"/>
                  <w:lang w:val="es-ES"/>
                </w:rPr>
                <w:t xml:space="preserve">Transformación </w:t>
              </w:r>
              <w:r w:rsidR="00DE5A12">
                <w:rPr>
                  <w:rStyle w:val="Hyperlink"/>
                  <w:lang w:val="es-ES"/>
                </w:rPr>
                <w:t>d</w:t>
              </w:r>
              <w:r>
                <w:rPr>
                  <w:rStyle w:val="Hyperlink"/>
                  <w:lang w:val="es-ES"/>
                </w:rPr>
                <w:t xml:space="preserve">igital </w:t>
              </w:r>
              <w:r w:rsidR="00DE5A12">
                <w:rPr>
                  <w:rStyle w:val="Hyperlink"/>
                  <w:lang w:val="es-ES"/>
                </w:rPr>
                <w:t>s</w:t>
              </w:r>
              <w:r>
                <w:rPr>
                  <w:rStyle w:val="Hyperlink"/>
                  <w:lang w:val="es-ES"/>
                </w:rPr>
                <w:t>ostenible en la Región Árabe</w:t>
              </w:r>
            </w:hyperlink>
            <w:r>
              <w:rPr>
                <w:lang w:val="es-ES"/>
              </w:rPr>
              <w:t>, virtual, 29 de septiembre de 2021;</w:t>
            </w:r>
          </w:p>
          <w:p w14:paraId="71E22DDB" w14:textId="50C9B6D2" w:rsidR="008A64DF" w:rsidRDefault="008A64DF">
            <w:pPr>
              <w:pStyle w:val="Tabletext"/>
              <w:ind w:left="720" w:hanging="720"/>
              <w:rPr>
                <w:lang w:val="es-ES"/>
              </w:rPr>
            </w:pPr>
            <w:r>
              <w:rPr>
                <w:lang w:val="es-ES"/>
              </w:rPr>
              <w:t>•</w:t>
            </w:r>
            <w:r>
              <w:rPr>
                <w:lang w:val="es-ES"/>
              </w:rPr>
              <w:tab/>
            </w:r>
            <w:hyperlink r:id="rId455" w:tgtFrame="_blank" w:history="1">
              <w:r>
                <w:rPr>
                  <w:rStyle w:val="Hyperlink"/>
                  <w:lang w:val="es-ES"/>
                </w:rPr>
                <w:t xml:space="preserve">Transformación </w:t>
              </w:r>
              <w:r w:rsidR="00DE5A12">
                <w:rPr>
                  <w:rStyle w:val="Hyperlink"/>
                  <w:lang w:val="es-ES"/>
                </w:rPr>
                <w:t>d</w:t>
              </w:r>
              <w:r>
                <w:rPr>
                  <w:rStyle w:val="Hyperlink"/>
                  <w:lang w:val="es-ES"/>
                </w:rPr>
                <w:t>igital sostenible en África</w:t>
              </w:r>
            </w:hyperlink>
            <w:r>
              <w:rPr>
                <w:lang w:val="es-ES"/>
              </w:rPr>
              <w:t>, virtual, 28 de septiembre de 2021;</w:t>
            </w:r>
          </w:p>
          <w:p w14:paraId="0D06224C" w14:textId="527BA78A" w:rsidR="008A64DF" w:rsidRDefault="008A64DF">
            <w:pPr>
              <w:pStyle w:val="Tabletext"/>
              <w:ind w:left="720" w:hanging="720"/>
              <w:rPr>
                <w:lang w:val="es-ES"/>
              </w:rPr>
            </w:pPr>
            <w:r>
              <w:rPr>
                <w:lang w:val="es-ES"/>
              </w:rPr>
              <w:t>•</w:t>
            </w:r>
            <w:r>
              <w:rPr>
                <w:lang w:val="es-ES"/>
              </w:rPr>
              <w:tab/>
            </w:r>
            <w:hyperlink r:id="rId456" w:history="1">
              <w:r w:rsidR="00F14633">
                <w:rPr>
                  <w:rStyle w:val="Hyperlink"/>
                  <w:lang w:val="es-ES"/>
                </w:rPr>
                <w:t>Diálogo</w:t>
              </w:r>
              <w:r w:rsidR="00F14633" w:rsidRPr="001B1357">
                <w:rPr>
                  <w:rStyle w:val="Hyperlink"/>
                  <w:lang w:val="es-ES"/>
                </w:rPr>
                <w:t>s</w:t>
              </w:r>
              <w:r w:rsidR="00F14633">
                <w:rPr>
                  <w:rStyle w:val="Hyperlink"/>
                  <w:lang w:val="es-ES"/>
                </w:rPr>
                <w:t xml:space="preserve"> sobre transformación digital sostenible en Asia-Pacífico</w:t>
              </w:r>
            </w:hyperlink>
            <w:r>
              <w:rPr>
                <w:lang w:val="es-ES"/>
              </w:rPr>
              <w:t>, virtual, 19 de octubre de 2021;</w:t>
            </w:r>
          </w:p>
          <w:p w14:paraId="3F5E7B47" w14:textId="103356DA" w:rsidR="008A64DF" w:rsidRDefault="008A64DF">
            <w:pPr>
              <w:pStyle w:val="Tabletext"/>
              <w:ind w:left="720" w:hanging="720"/>
              <w:rPr>
                <w:lang w:val="es-ES"/>
              </w:rPr>
            </w:pPr>
            <w:r>
              <w:rPr>
                <w:lang w:val="es-ES"/>
              </w:rPr>
              <w:t>•</w:t>
            </w:r>
            <w:r>
              <w:rPr>
                <w:lang w:val="es-ES"/>
              </w:rPr>
              <w:tab/>
            </w:r>
            <w:hyperlink r:id="rId457" w:history="1">
              <w:r>
                <w:rPr>
                  <w:rStyle w:val="Hyperlink"/>
                  <w:lang w:val="es-ES"/>
                </w:rPr>
                <w:t xml:space="preserve">Sesión de la semana de las tecnologías </w:t>
              </w:r>
              <w:r w:rsidR="00EE5736">
                <w:rPr>
                  <w:rStyle w:val="Hyperlink"/>
                  <w:lang w:val="es-ES"/>
                </w:rPr>
                <w:t>incipientes</w:t>
              </w:r>
              <w:r>
                <w:rPr>
                  <w:rStyle w:val="Hyperlink"/>
                  <w:lang w:val="es-ES"/>
                </w:rPr>
                <w:t xml:space="preserve"> 2021: Hacia una transformación digital sostenible y cero emisiones netas con las tecnologías </w:t>
              </w:r>
              <w:r w:rsidR="00EE5736">
                <w:rPr>
                  <w:rStyle w:val="Hyperlink"/>
                  <w:lang w:val="es-ES"/>
                </w:rPr>
                <w:t>incipientes</w:t>
              </w:r>
            </w:hyperlink>
            <w:r>
              <w:rPr>
                <w:lang w:val="es-ES"/>
              </w:rPr>
              <w:t>, virtual, 8 de julio de 2021;</w:t>
            </w:r>
          </w:p>
          <w:p w14:paraId="26AC1914" w14:textId="77777777" w:rsidR="008A64DF" w:rsidRDefault="008A64DF">
            <w:pPr>
              <w:pStyle w:val="Tabletext"/>
              <w:ind w:left="720" w:hanging="720"/>
              <w:rPr>
                <w:lang w:val="es-ES"/>
              </w:rPr>
            </w:pPr>
            <w:r>
              <w:rPr>
                <w:lang w:val="es-ES"/>
              </w:rPr>
              <w:t>•</w:t>
            </w:r>
            <w:r>
              <w:rPr>
                <w:lang w:val="es-ES"/>
              </w:rPr>
              <w:tab/>
            </w:r>
            <w:hyperlink r:id="rId458" w:tgtFrame="_blank" w:history="1">
              <w:r>
                <w:rPr>
                  <w:rStyle w:val="Hyperlink"/>
                  <w:lang w:val="es-ES"/>
                </w:rPr>
                <w:t>Evento paralelo del Foro de la energía de Viena (VEF): Liberar el potencial de las tecnologías digitales para una transición energética sostenible</w:t>
              </w:r>
            </w:hyperlink>
            <w:r>
              <w:rPr>
                <w:lang w:val="es-ES"/>
              </w:rPr>
              <w:t>, virtual, 6 de julio de 2021;</w:t>
            </w:r>
          </w:p>
          <w:p w14:paraId="334AD647" w14:textId="59FAFAC4" w:rsidR="008A64DF" w:rsidRDefault="008A64DF">
            <w:pPr>
              <w:pStyle w:val="Tabletext"/>
              <w:ind w:left="720" w:hanging="720"/>
              <w:rPr>
                <w:lang w:val="es-ES"/>
              </w:rPr>
            </w:pPr>
            <w:r>
              <w:rPr>
                <w:lang w:val="es-ES"/>
              </w:rPr>
              <w:t>•</w:t>
            </w:r>
            <w:r>
              <w:rPr>
                <w:lang w:val="es-ES"/>
              </w:rPr>
              <w:tab/>
            </w:r>
            <w:hyperlink r:id="rId459" w:tgtFrame="_blank" w:history="1">
              <w:r>
                <w:rPr>
                  <w:rStyle w:val="Hyperlink"/>
                  <w:lang w:val="es-ES"/>
                </w:rPr>
                <w:t>Evento paralelo: Normas internacionales y soluciones sostenibles, innovadoras y verdes de energía para llevar la conectividad de banda ancha de Internet a las zonas rurales y remotas</w:t>
              </w:r>
            </w:hyperlink>
            <w:r>
              <w:rPr>
                <w:lang w:val="es-ES"/>
              </w:rPr>
              <w:t>, virtual, 22 de junio de 2021;</w:t>
            </w:r>
          </w:p>
          <w:p w14:paraId="590B3C9B" w14:textId="77777777" w:rsidR="008A64DF" w:rsidRDefault="008A64DF">
            <w:pPr>
              <w:pStyle w:val="Tabletext"/>
              <w:ind w:left="720" w:hanging="720"/>
              <w:rPr>
                <w:lang w:val="es-ES"/>
              </w:rPr>
            </w:pPr>
            <w:r>
              <w:rPr>
                <w:lang w:val="es-ES"/>
              </w:rPr>
              <w:t>•</w:t>
            </w:r>
            <w:r>
              <w:rPr>
                <w:lang w:val="es-ES"/>
              </w:rPr>
              <w:tab/>
            </w:r>
            <w:hyperlink r:id="rId460" w:tgtFrame="_blank" w:history="1">
              <w:r>
                <w:rPr>
                  <w:rStyle w:val="Hyperlink"/>
                  <w:lang w:val="es-ES"/>
                </w:rPr>
                <w:t xml:space="preserve">Foro virtual sobre </w:t>
              </w:r>
              <w:r w:rsidRPr="001B1357">
                <w:rPr>
                  <w:rStyle w:val="Hyperlink"/>
                  <w:lang w:val="es-ES"/>
                </w:rPr>
                <w:t>E</w:t>
              </w:r>
              <w:r>
                <w:rPr>
                  <w:rStyle w:val="Hyperlink"/>
                  <w:lang w:val="es-ES"/>
                </w:rPr>
                <w:t>xposición de las personas a los campos electromagnéticos (CEM) de las tecnologías digitales</w:t>
              </w:r>
            </w:hyperlink>
            <w:r>
              <w:rPr>
                <w:lang w:val="es-ES"/>
              </w:rPr>
              <w:t>, virtual, 10 de mayo de 2021;</w:t>
            </w:r>
          </w:p>
          <w:p w14:paraId="1F20E5D8" w14:textId="37755BBA" w:rsidR="008A64DF" w:rsidRDefault="008A64DF">
            <w:pPr>
              <w:pStyle w:val="Tabletext"/>
              <w:ind w:left="720" w:hanging="720"/>
              <w:rPr>
                <w:lang w:val="es-ES"/>
              </w:rPr>
            </w:pPr>
            <w:r>
              <w:rPr>
                <w:lang w:val="es-ES"/>
              </w:rPr>
              <w:t>•</w:t>
            </w:r>
            <w:r>
              <w:rPr>
                <w:lang w:val="es-ES"/>
              </w:rPr>
              <w:tab/>
            </w:r>
            <w:hyperlink r:id="rId461" w:history="1">
              <w:r>
                <w:rPr>
                  <w:rStyle w:val="Hyperlink"/>
                  <w:lang w:val="es-ES"/>
                </w:rPr>
                <w:t xml:space="preserve">Sesión virtual sobre </w:t>
              </w:r>
              <w:r w:rsidRPr="001B1357">
                <w:rPr>
                  <w:rStyle w:val="Hyperlink"/>
                  <w:lang w:val="es-ES"/>
                </w:rPr>
                <w:t>"</w:t>
              </w:r>
              <w:r>
                <w:rPr>
                  <w:rStyle w:val="Hyperlink"/>
                  <w:lang w:val="es-ES"/>
                </w:rPr>
                <w:t>Utilizar las normas internacionales para construir ciudades inteligentes y sostenibles y hacer frente al cambio climático, los residuos electrónicos y las pérdidas de la naturaleza</w:t>
              </w:r>
              <w:r w:rsidRPr="001B1357">
                <w:rPr>
                  <w:rStyle w:val="Hyperlink"/>
                  <w:lang w:val="es-ES"/>
                </w:rPr>
                <w:t>"</w:t>
              </w:r>
            </w:hyperlink>
            <w:r>
              <w:rPr>
                <w:lang w:val="es-ES"/>
              </w:rPr>
              <w:t>, 15 de octubre de 2020;</w:t>
            </w:r>
          </w:p>
          <w:p w14:paraId="4C1E59A6" w14:textId="4BB1553D" w:rsidR="008A64DF" w:rsidRDefault="008A64DF">
            <w:pPr>
              <w:pStyle w:val="Tabletext"/>
              <w:rPr>
                <w:lang w:val="es-ES"/>
              </w:rPr>
            </w:pPr>
            <w:r>
              <w:rPr>
                <w:lang w:val="es-ES"/>
              </w:rPr>
              <w:t>•</w:t>
            </w:r>
            <w:r>
              <w:rPr>
                <w:lang w:val="es-ES"/>
              </w:rPr>
              <w:tab/>
            </w:r>
            <w:hyperlink r:id="rId462" w:history="1">
              <w:r w:rsidR="00F14633">
                <w:rPr>
                  <w:rStyle w:val="Hyperlink"/>
                  <w:lang w:val="es-ES"/>
                </w:rPr>
                <w:t>9ª Semana de las Normas Verdes</w:t>
              </w:r>
            </w:hyperlink>
            <w:r>
              <w:rPr>
                <w:lang w:val="es-ES"/>
              </w:rPr>
              <w:t>, 1-4 de octubre de 2019, Valencia (España);</w:t>
            </w:r>
          </w:p>
          <w:p w14:paraId="43620866" w14:textId="77777777" w:rsidR="008A64DF" w:rsidRDefault="008A64DF">
            <w:pPr>
              <w:pStyle w:val="Tabletext"/>
              <w:ind w:left="720" w:hanging="720"/>
              <w:rPr>
                <w:lang w:val="es-ES"/>
              </w:rPr>
            </w:pPr>
            <w:r>
              <w:rPr>
                <w:lang w:val="es-ES"/>
              </w:rPr>
              <w:t>•</w:t>
            </w:r>
            <w:r>
              <w:rPr>
                <w:lang w:val="es-ES"/>
              </w:rPr>
              <w:tab/>
              <w:t xml:space="preserve">ITU Telecom World: sesión sobre </w:t>
            </w:r>
            <w:r w:rsidRPr="001B1357">
              <w:rPr>
                <w:lang w:val="es-ES"/>
              </w:rPr>
              <w:t>"</w:t>
            </w:r>
            <w:proofErr w:type="spellStart"/>
            <w:r w:rsidR="00AF6115">
              <w:fldChar w:fldCharType="begin"/>
            </w:r>
            <w:r w:rsidR="00AF6115">
              <w:instrText xml:space="preserve"> HYPERLINK "https://telecomworld.itu.int/2019-event/forum/" </w:instrText>
            </w:r>
            <w:r w:rsidR="00AF6115">
              <w:fldChar w:fldCharType="separate"/>
            </w:r>
            <w:r w:rsidRPr="00AF6115">
              <w:rPr>
                <w:rStyle w:val="Hyperlink"/>
                <w:lang w:val="es-ES"/>
              </w:rPr>
              <w:t>Strategies</w:t>
            </w:r>
            <w:proofErr w:type="spellEnd"/>
            <w:r w:rsidRPr="00AF6115">
              <w:rPr>
                <w:rStyle w:val="Hyperlink"/>
                <w:lang w:val="es-ES"/>
              </w:rPr>
              <w:t xml:space="preserve"> to </w:t>
            </w:r>
            <w:proofErr w:type="spellStart"/>
            <w:r w:rsidRPr="00AF6115">
              <w:rPr>
                <w:rStyle w:val="Hyperlink"/>
                <w:lang w:val="es-ES"/>
              </w:rPr>
              <w:t>boost</w:t>
            </w:r>
            <w:proofErr w:type="spellEnd"/>
            <w:r w:rsidRPr="00AF6115">
              <w:rPr>
                <w:rStyle w:val="Hyperlink"/>
                <w:lang w:val="es-ES"/>
              </w:rPr>
              <w:t xml:space="preserve"> </w:t>
            </w:r>
            <w:proofErr w:type="spellStart"/>
            <w:r w:rsidRPr="00AF6115">
              <w:rPr>
                <w:rStyle w:val="Hyperlink"/>
                <w:lang w:val="es-ES"/>
              </w:rPr>
              <w:t>climate</w:t>
            </w:r>
            <w:proofErr w:type="spellEnd"/>
            <w:r w:rsidRPr="00AF6115">
              <w:rPr>
                <w:rStyle w:val="Hyperlink"/>
                <w:lang w:val="es-ES"/>
              </w:rPr>
              <w:t xml:space="preserve"> </w:t>
            </w:r>
            <w:proofErr w:type="spellStart"/>
            <w:r w:rsidRPr="00AF6115">
              <w:rPr>
                <w:rStyle w:val="Hyperlink"/>
                <w:lang w:val="es-ES"/>
              </w:rPr>
              <w:t>action</w:t>
            </w:r>
            <w:proofErr w:type="spellEnd"/>
            <w:r w:rsidRPr="00AF6115">
              <w:rPr>
                <w:rStyle w:val="Hyperlink"/>
                <w:lang w:val="es-ES"/>
              </w:rPr>
              <w:t xml:space="preserve"> in the ICT sector</w:t>
            </w:r>
            <w:r w:rsidR="00AF6115">
              <w:rPr>
                <w:rStyle w:val="Hyperlink"/>
                <w:lang w:val="en-US"/>
              </w:rPr>
              <w:fldChar w:fldCharType="end"/>
            </w:r>
            <w:r w:rsidRPr="001B1357">
              <w:rPr>
                <w:lang w:val="es-ES"/>
              </w:rPr>
              <w:t>"</w:t>
            </w:r>
            <w:r>
              <w:rPr>
                <w:lang w:val="es-ES"/>
              </w:rPr>
              <w:t xml:space="preserve"> (Estrategias para impulsar la acción climática en el sector de las TIC), 11 de septiembre de 2019, Budapest (Hungría);</w:t>
            </w:r>
          </w:p>
          <w:p w14:paraId="22E91BC1" w14:textId="77777777" w:rsidR="008A64DF" w:rsidRDefault="008A64DF">
            <w:pPr>
              <w:pStyle w:val="Tabletext"/>
              <w:ind w:left="720" w:hanging="720"/>
              <w:rPr>
                <w:lang w:val="es-ES"/>
              </w:rPr>
            </w:pPr>
            <w:r>
              <w:rPr>
                <w:lang w:val="es-ES"/>
              </w:rPr>
              <w:t>•</w:t>
            </w:r>
            <w:r>
              <w:rPr>
                <w:lang w:val="es-ES"/>
              </w:rPr>
              <w:tab/>
              <w:t xml:space="preserve">ITU Telecom </w:t>
            </w:r>
            <w:proofErr w:type="spellStart"/>
            <w:r>
              <w:rPr>
                <w:lang w:val="es-ES"/>
              </w:rPr>
              <w:t>World</w:t>
            </w:r>
            <w:proofErr w:type="spellEnd"/>
            <w:r>
              <w:rPr>
                <w:lang w:val="es-ES"/>
              </w:rPr>
              <w:t>: sesión sobre "</w:t>
            </w:r>
            <w:hyperlink r:id="rId463" w:history="1">
              <w:r w:rsidRPr="00AF6115">
                <w:rPr>
                  <w:rStyle w:val="Hyperlink"/>
                  <w:lang w:val="fr-FR"/>
                </w:rPr>
                <w:t xml:space="preserve">Frontier technologies for </w:t>
              </w:r>
              <w:proofErr w:type="spellStart"/>
              <w:r w:rsidRPr="00AF6115">
                <w:rPr>
                  <w:rStyle w:val="Hyperlink"/>
                  <w:lang w:val="fr-FR"/>
                </w:rPr>
                <w:t>climate</w:t>
              </w:r>
              <w:proofErr w:type="spellEnd"/>
              <w:r w:rsidRPr="00AF6115">
                <w:rPr>
                  <w:rStyle w:val="Hyperlink"/>
                  <w:lang w:val="fr-FR"/>
                </w:rPr>
                <w:t xml:space="preserve"> change</w:t>
              </w:r>
            </w:hyperlink>
            <w:r>
              <w:rPr>
                <w:lang w:val="es-ES"/>
              </w:rPr>
              <w:t>" (Tecnologías de vanguardia contra el cambio climático), 11 de septiembre de 2019, Budapest (Hungría);</w:t>
            </w:r>
          </w:p>
          <w:p w14:paraId="63DA87C3" w14:textId="77777777" w:rsidR="008A64DF" w:rsidRDefault="008A64DF">
            <w:pPr>
              <w:pStyle w:val="Tabletext"/>
              <w:ind w:left="720" w:hanging="720"/>
              <w:rPr>
                <w:lang w:val="es-ES"/>
              </w:rPr>
            </w:pPr>
            <w:r>
              <w:rPr>
                <w:lang w:val="es-ES"/>
              </w:rPr>
              <w:t>•</w:t>
            </w:r>
            <w:r>
              <w:rPr>
                <w:lang w:val="es-ES"/>
              </w:rPr>
              <w:tab/>
              <w:t>Evento paralelo del Foro HLPF: "</w:t>
            </w:r>
            <w:proofErr w:type="spellStart"/>
            <w:r w:rsidR="00AF6115">
              <w:fldChar w:fldCharType="begin"/>
            </w:r>
            <w:r w:rsidR="00AF6115">
              <w:instrText xml:space="preserve"> HYPERLINK "https://www.itu.int/en/ITU-T/climatechange/Pages/20190709.aspx" </w:instrText>
            </w:r>
            <w:r w:rsidR="00AF6115">
              <w:fldChar w:fldCharType="separate"/>
            </w:r>
            <w:r w:rsidRPr="00AF6115">
              <w:rPr>
                <w:rStyle w:val="Hyperlink"/>
                <w:lang w:val="es-ES"/>
              </w:rPr>
              <w:t>Harnessing</w:t>
            </w:r>
            <w:proofErr w:type="spellEnd"/>
            <w:r w:rsidRPr="00AF6115">
              <w:rPr>
                <w:rStyle w:val="Hyperlink"/>
                <w:lang w:val="es-ES"/>
              </w:rPr>
              <w:t xml:space="preserve"> </w:t>
            </w:r>
            <w:proofErr w:type="spellStart"/>
            <w:r w:rsidRPr="00AF6115">
              <w:rPr>
                <w:rStyle w:val="Hyperlink"/>
                <w:lang w:val="es-ES"/>
              </w:rPr>
              <w:t>Frontier</w:t>
            </w:r>
            <w:proofErr w:type="spellEnd"/>
            <w:r w:rsidRPr="00AF6115">
              <w:rPr>
                <w:rStyle w:val="Hyperlink"/>
                <w:lang w:val="es-ES"/>
              </w:rPr>
              <w:t xml:space="preserve"> Technologies </w:t>
            </w:r>
            <w:proofErr w:type="spellStart"/>
            <w:r w:rsidRPr="00AF6115">
              <w:rPr>
                <w:rStyle w:val="Hyperlink"/>
                <w:lang w:val="es-ES"/>
              </w:rPr>
              <w:t>for</w:t>
            </w:r>
            <w:proofErr w:type="spellEnd"/>
            <w:r w:rsidRPr="00AF6115">
              <w:rPr>
                <w:rStyle w:val="Hyperlink"/>
                <w:lang w:val="es-ES"/>
              </w:rPr>
              <w:t xml:space="preserve"> </w:t>
            </w:r>
            <w:proofErr w:type="spellStart"/>
            <w:r w:rsidRPr="00AF6115">
              <w:rPr>
                <w:rStyle w:val="Hyperlink"/>
                <w:lang w:val="es-ES"/>
              </w:rPr>
              <w:t>Accelerating</w:t>
            </w:r>
            <w:proofErr w:type="spellEnd"/>
            <w:r w:rsidRPr="00AF6115">
              <w:rPr>
                <w:rStyle w:val="Hyperlink"/>
                <w:lang w:val="es-ES"/>
              </w:rPr>
              <w:t xml:space="preserve"> </w:t>
            </w:r>
            <w:proofErr w:type="spellStart"/>
            <w:r w:rsidRPr="00AF6115">
              <w:rPr>
                <w:rStyle w:val="Hyperlink"/>
                <w:lang w:val="es-ES"/>
              </w:rPr>
              <w:t>Climate</w:t>
            </w:r>
            <w:proofErr w:type="spellEnd"/>
            <w:r w:rsidRPr="00AF6115">
              <w:rPr>
                <w:rStyle w:val="Hyperlink"/>
                <w:lang w:val="es-ES"/>
              </w:rPr>
              <w:t xml:space="preserve"> </w:t>
            </w:r>
            <w:proofErr w:type="spellStart"/>
            <w:r w:rsidRPr="00AF6115">
              <w:rPr>
                <w:rStyle w:val="Hyperlink"/>
                <w:lang w:val="es-ES"/>
              </w:rPr>
              <w:t>Actions</w:t>
            </w:r>
            <w:proofErr w:type="spellEnd"/>
            <w:r w:rsidRPr="00AF6115">
              <w:rPr>
                <w:rStyle w:val="Hyperlink"/>
                <w:lang w:val="es-ES"/>
              </w:rPr>
              <w:t xml:space="preserve"> and the </w:t>
            </w:r>
            <w:proofErr w:type="spellStart"/>
            <w:r w:rsidRPr="00AF6115">
              <w:rPr>
                <w:rStyle w:val="Hyperlink"/>
                <w:lang w:val="es-ES"/>
              </w:rPr>
              <w:t>SDGs</w:t>
            </w:r>
            <w:proofErr w:type="spellEnd"/>
            <w:r w:rsidR="00AF6115">
              <w:rPr>
                <w:rStyle w:val="Hyperlink"/>
                <w:lang w:val="en-US"/>
              </w:rPr>
              <w:fldChar w:fldCharType="end"/>
            </w:r>
            <w:r>
              <w:rPr>
                <w:lang w:val="es-ES"/>
              </w:rPr>
              <w:t>" (Aprovechar las tecnologías de vanguardia para acelerar las acciones climáticas y los ODS), 9 de julio de 2019, Nueva York, Sede de Naciones Unidas;</w:t>
            </w:r>
          </w:p>
          <w:p w14:paraId="51973D13" w14:textId="4C69A0B7" w:rsidR="008A64DF" w:rsidRDefault="008A64DF">
            <w:pPr>
              <w:pStyle w:val="Tabletext"/>
              <w:ind w:left="720" w:hanging="720"/>
              <w:rPr>
                <w:lang w:val="es-ES"/>
              </w:rPr>
            </w:pPr>
            <w:r>
              <w:rPr>
                <w:lang w:val="es-ES"/>
              </w:rPr>
              <w:lastRenderedPageBreak/>
              <w:t>•</w:t>
            </w:r>
            <w:r>
              <w:rPr>
                <w:lang w:val="es-ES"/>
              </w:rPr>
              <w:tab/>
            </w:r>
            <w:hyperlink r:id="rId464" w:history="1">
              <w:r w:rsidRPr="00AF6115">
                <w:rPr>
                  <w:rStyle w:val="Hyperlink"/>
                  <w:lang w:val="fr-FR"/>
                </w:rPr>
                <w:t xml:space="preserve">Smart </w:t>
              </w:r>
              <w:proofErr w:type="spellStart"/>
              <w:r w:rsidRPr="00AF6115">
                <w:rPr>
                  <w:rStyle w:val="Hyperlink"/>
                  <w:lang w:val="fr-FR"/>
                </w:rPr>
                <w:t>Environment</w:t>
              </w:r>
              <w:proofErr w:type="spellEnd"/>
              <w:r w:rsidRPr="00AF6115">
                <w:rPr>
                  <w:rStyle w:val="Hyperlink"/>
                  <w:lang w:val="fr-FR"/>
                </w:rPr>
                <w:t xml:space="preserve"> Panel on GHG </w:t>
              </w:r>
              <w:proofErr w:type="spellStart"/>
              <w:r w:rsidRPr="00AF6115">
                <w:rPr>
                  <w:rStyle w:val="Hyperlink"/>
                  <w:lang w:val="fr-FR"/>
                </w:rPr>
                <w:t>emissions</w:t>
              </w:r>
              <w:proofErr w:type="spellEnd"/>
              <w:r w:rsidRPr="00AF6115">
                <w:rPr>
                  <w:rStyle w:val="Hyperlink"/>
                  <w:lang w:val="fr-FR"/>
                </w:rPr>
                <w:t xml:space="preserve"> </w:t>
              </w:r>
              <w:proofErr w:type="spellStart"/>
              <w:r w:rsidRPr="00AF6115">
                <w:rPr>
                  <w:rStyle w:val="Hyperlink"/>
                  <w:lang w:val="fr-FR"/>
                </w:rPr>
                <w:t>trajectories</w:t>
              </w:r>
              <w:proofErr w:type="spellEnd"/>
              <w:r w:rsidRPr="00AF6115">
                <w:rPr>
                  <w:rStyle w:val="Hyperlink"/>
                  <w:lang w:val="fr-FR"/>
                </w:rPr>
                <w:t xml:space="preserve"> for the ICT </w:t>
              </w:r>
              <w:proofErr w:type="spellStart"/>
              <w:r w:rsidRPr="00AF6115">
                <w:rPr>
                  <w:rStyle w:val="Hyperlink"/>
                  <w:lang w:val="fr-FR"/>
                </w:rPr>
                <w:t>sector</w:t>
              </w:r>
              <w:proofErr w:type="spellEnd"/>
            </w:hyperlink>
            <w:r>
              <w:rPr>
                <w:lang w:val="es-ES"/>
              </w:rPr>
              <w:t xml:space="preserve"> (Panel de Medio Ambiente Inteligente sobre las trayectorias de las emisiones de los GEI en el sector de las TIC), 15</w:t>
            </w:r>
            <w:r w:rsidR="00EF6125">
              <w:rPr>
                <w:lang w:val="es-ES"/>
              </w:rPr>
              <w:t> </w:t>
            </w:r>
            <w:r>
              <w:rPr>
                <w:lang w:val="es-ES"/>
              </w:rPr>
              <w:t>de mayo de 2019, Ginebra (Suiza);</w:t>
            </w:r>
          </w:p>
          <w:p w14:paraId="320ED7B2" w14:textId="5B8BE4B9" w:rsidR="008A64DF" w:rsidRDefault="008A64DF">
            <w:pPr>
              <w:pStyle w:val="Tabletext"/>
              <w:ind w:left="720" w:hanging="720"/>
              <w:rPr>
                <w:lang w:val="es-ES"/>
              </w:rPr>
            </w:pPr>
            <w:r>
              <w:rPr>
                <w:lang w:val="es-ES"/>
              </w:rPr>
              <w:t>•</w:t>
            </w:r>
            <w:r>
              <w:rPr>
                <w:lang w:val="es-ES"/>
              </w:rPr>
              <w:tab/>
            </w:r>
            <w:hyperlink r:id="rId465" w:history="1">
              <w:r>
                <w:rPr>
                  <w:rStyle w:val="Hyperlink"/>
                  <w:lang w:val="es-ES"/>
                </w:rPr>
                <w:t>13</w:t>
              </w:r>
              <w:r w:rsidR="004F5C43" w:rsidRPr="004F5C43">
                <w:rPr>
                  <w:rStyle w:val="Hyperlink"/>
                  <w:vertAlign w:val="superscript"/>
                  <w:lang w:val="es-ES"/>
                </w:rPr>
                <w:t>er</w:t>
              </w:r>
              <w:r>
                <w:rPr>
                  <w:rStyle w:val="Hyperlink"/>
                  <w:lang w:val="es-ES"/>
                </w:rPr>
                <w:t xml:space="preserve"> Simposio sobre las TIC, el medio ambiente y el cambio climático</w:t>
              </w:r>
            </w:hyperlink>
            <w:r>
              <w:rPr>
                <w:lang w:val="es-ES"/>
              </w:rPr>
              <w:t>, 13 de mayo de 2019, Ginebra (Suiza);</w:t>
            </w:r>
          </w:p>
          <w:p w14:paraId="7E75A0AD" w14:textId="4F317946" w:rsidR="008A64DF" w:rsidRDefault="008A64DF">
            <w:pPr>
              <w:pStyle w:val="Tabletext"/>
              <w:ind w:left="720" w:hanging="720"/>
              <w:rPr>
                <w:lang w:val="es-ES"/>
              </w:rPr>
            </w:pPr>
            <w:r>
              <w:rPr>
                <w:lang w:val="es-ES"/>
              </w:rPr>
              <w:t>•</w:t>
            </w:r>
            <w:r>
              <w:rPr>
                <w:lang w:val="es-ES"/>
              </w:rPr>
              <w:tab/>
            </w:r>
            <w:r w:rsidR="004F5C43" w:rsidRPr="004F5C43">
              <w:rPr>
                <w:lang w:val="es-ES"/>
              </w:rPr>
              <w:t xml:space="preserve">Evento paralelo del Foro CTI: </w:t>
            </w:r>
            <w:r w:rsidR="004F5C43">
              <w:rPr>
                <w:lang w:val="es-ES"/>
              </w:rPr>
              <w:t>"</w:t>
            </w:r>
            <w:proofErr w:type="spellStart"/>
            <w:r w:rsidR="00AF6115">
              <w:fldChar w:fldCharType="begin"/>
            </w:r>
            <w:r w:rsidR="00AF6115">
              <w:instrText xml:space="preserve"> HYPERLINK "https://www.itu.int/en/ITU-T/studygroups/2017-2020/05/Pages/event-20190514.aspx" </w:instrText>
            </w:r>
            <w:r w:rsidR="00AF6115">
              <w:fldChar w:fldCharType="separate"/>
            </w:r>
            <w:r w:rsidR="004F5C43" w:rsidRPr="00AF6115">
              <w:rPr>
                <w:rStyle w:val="Hyperlink"/>
                <w:lang w:val="es-ES"/>
              </w:rPr>
              <w:t>Frontier</w:t>
            </w:r>
            <w:proofErr w:type="spellEnd"/>
            <w:r w:rsidR="004F5C43" w:rsidRPr="00AF6115">
              <w:rPr>
                <w:rStyle w:val="Hyperlink"/>
                <w:lang w:val="es-ES"/>
              </w:rPr>
              <w:t xml:space="preserve"> Technologies to </w:t>
            </w:r>
            <w:proofErr w:type="spellStart"/>
            <w:r w:rsidR="004F5C43" w:rsidRPr="00AF6115">
              <w:rPr>
                <w:rStyle w:val="Hyperlink"/>
                <w:lang w:val="es-ES"/>
              </w:rPr>
              <w:t>Protect</w:t>
            </w:r>
            <w:proofErr w:type="spellEnd"/>
            <w:r w:rsidR="004F5C43" w:rsidRPr="00AF6115">
              <w:rPr>
                <w:rStyle w:val="Hyperlink"/>
                <w:lang w:val="es-ES"/>
              </w:rPr>
              <w:t xml:space="preserve"> the </w:t>
            </w:r>
            <w:proofErr w:type="spellStart"/>
            <w:r w:rsidR="004F5C43" w:rsidRPr="00AF6115">
              <w:rPr>
                <w:rStyle w:val="Hyperlink"/>
                <w:lang w:val="es-ES"/>
              </w:rPr>
              <w:t>Environment</w:t>
            </w:r>
            <w:proofErr w:type="spellEnd"/>
            <w:r w:rsidR="004F5C43" w:rsidRPr="00AF6115">
              <w:rPr>
                <w:rStyle w:val="Hyperlink"/>
                <w:lang w:val="es-ES"/>
              </w:rPr>
              <w:t xml:space="preserve"> and </w:t>
            </w:r>
            <w:proofErr w:type="spellStart"/>
            <w:r w:rsidR="004F5C43" w:rsidRPr="00AF6115">
              <w:rPr>
                <w:rStyle w:val="Hyperlink"/>
                <w:lang w:val="es-ES"/>
              </w:rPr>
              <w:t>Tackle</w:t>
            </w:r>
            <w:proofErr w:type="spellEnd"/>
            <w:r w:rsidR="004F5C43" w:rsidRPr="00AF6115">
              <w:rPr>
                <w:rStyle w:val="Hyperlink"/>
                <w:lang w:val="es-ES"/>
              </w:rPr>
              <w:t xml:space="preserve"> </w:t>
            </w:r>
            <w:proofErr w:type="spellStart"/>
            <w:r w:rsidR="004F5C43" w:rsidRPr="00AF6115">
              <w:rPr>
                <w:rStyle w:val="Hyperlink"/>
                <w:lang w:val="es-ES"/>
              </w:rPr>
              <w:t>Climate</w:t>
            </w:r>
            <w:proofErr w:type="spellEnd"/>
            <w:r w:rsidR="004F5C43" w:rsidRPr="00AF6115">
              <w:rPr>
                <w:rStyle w:val="Hyperlink"/>
                <w:lang w:val="es-ES"/>
              </w:rPr>
              <w:t xml:space="preserve"> Change</w:t>
            </w:r>
            <w:r w:rsidR="00AF6115">
              <w:rPr>
                <w:rStyle w:val="Hyperlink"/>
                <w:lang w:val="en-US"/>
              </w:rPr>
              <w:fldChar w:fldCharType="end"/>
            </w:r>
            <w:r w:rsidR="004F5C43">
              <w:t xml:space="preserve">" </w:t>
            </w:r>
            <w:r>
              <w:t>(</w:t>
            </w:r>
            <w:r>
              <w:rPr>
                <w:lang w:val="es-ES"/>
              </w:rPr>
              <w:t>Tecnologías de vanguardia para proteger el medio ambiente y hacer frente al cambio climático), 14 de mayo de 2019, Nueva York, Sede de Naciones Unidas.</w:t>
            </w:r>
          </w:p>
        </w:tc>
      </w:tr>
      <w:tr w:rsidR="008A64DF" w14:paraId="6055444F" w14:textId="77777777" w:rsidTr="00084D3A">
        <w:tc>
          <w:tcPr>
            <w:tcW w:w="9026" w:type="dxa"/>
            <w:hideMark/>
          </w:tcPr>
          <w:p w14:paraId="3FA50B70" w14:textId="77777777" w:rsidR="008A64DF" w:rsidRDefault="008A64DF">
            <w:pPr>
              <w:pStyle w:val="Tabletext"/>
              <w:rPr>
                <w:b/>
                <w:bCs/>
                <w:lang w:val="es-ES"/>
              </w:rPr>
            </w:pPr>
            <w:r>
              <w:rPr>
                <w:b/>
                <w:bCs/>
                <w:lang w:val="es-ES"/>
              </w:rPr>
              <w:lastRenderedPageBreak/>
              <w:t>184 (Guadalajara, 2010) Facilitación de iniciativas de integración digital de los pueblos indígenas</w:t>
            </w:r>
          </w:p>
          <w:p w14:paraId="39B498C3" w14:textId="50A5E759" w:rsidR="008A64DF" w:rsidRDefault="008A64DF">
            <w:pPr>
              <w:pStyle w:val="Tabletext"/>
              <w:rPr>
                <w:lang w:val="es-ES"/>
              </w:rPr>
            </w:pPr>
            <w:r>
              <w:rPr>
                <w:lang w:val="es-ES"/>
              </w:rPr>
              <w:t xml:space="preserve">Véase la </w:t>
            </w:r>
            <w:hyperlink w:anchor="_1.7_Inclusión_digital:" w:history="1">
              <w:r w:rsidRPr="00084CD9">
                <w:rPr>
                  <w:rStyle w:val="Hyperlink"/>
                  <w:lang w:val="es-ES"/>
                </w:rPr>
                <w:t>sección 1.7</w:t>
              </w:r>
            </w:hyperlink>
            <w:r>
              <w:rPr>
                <w:lang w:val="es-ES"/>
              </w:rPr>
              <w:t>.</w:t>
            </w:r>
          </w:p>
        </w:tc>
      </w:tr>
      <w:tr w:rsidR="008A64DF" w14:paraId="7742FFC3" w14:textId="77777777" w:rsidTr="00084D3A">
        <w:tc>
          <w:tcPr>
            <w:tcW w:w="9026" w:type="dxa"/>
            <w:hideMark/>
          </w:tcPr>
          <w:p w14:paraId="422A71E0" w14:textId="77777777" w:rsidR="008A64DF" w:rsidRDefault="008A64DF">
            <w:pPr>
              <w:pStyle w:val="Tabletext"/>
              <w:rPr>
                <w:b/>
                <w:bCs/>
                <w:lang w:val="es-ES"/>
              </w:rPr>
            </w:pPr>
            <w:r>
              <w:rPr>
                <w:b/>
                <w:bCs/>
                <w:lang w:val="es-ES"/>
              </w:rPr>
              <w:t>186 (Rev. Dubái, 2018) Fortalecimiento del papel de la UIT respecto de las medidas de transparencia y fomento de la confianza en las actividades relativas al espacio ultraterrestre</w:t>
            </w:r>
          </w:p>
          <w:p w14:paraId="715F7CC8" w14:textId="493BCC98" w:rsidR="008A64DF" w:rsidRDefault="008A64DF">
            <w:pPr>
              <w:pStyle w:val="Tabletext"/>
              <w:rPr>
                <w:lang w:val="es-ES"/>
              </w:rPr>
            </w:pPr>
            <w:r>
              <w:rPr>
                <w:lang w:val="es-ES"/>
              </w:rPr>
              <w:t xml:space="preserve">Véase la </w:t>
            </w:r>
            <w:hyperlink w:anchor="_1.9_Alianzas_estratégicas" w:history="1">
              <w:r w:rsidRPr="00084CD9">
                <w:rPr>
                  <w:rStyle w:val="Hyperlink"/>
                  <w:lang w:val="es-ES"/>
                </w:rPr>
                <w:t>sección 1.9</w:t>
              </w:r>
            </w:hyperlink>
            <w:r>
              <w:rPr>
                <w:lang w:val="es-ES"/>
              </w:rPr>
              <w:t>.</w:t>
            </w:r>
          </w:p>
        </w:tc>
      </w:tr>
      <w:tr w:rsidR="008A64DF" w:rsidRPr="008A64DF" w14:paraId="35F95C14" w14:textId="77777777" w:rsidTr="00084D3A">
        <w:tc>
          <w:tcPr>
            <w:tcW w:w="9026" w:type="dxa"/>
            <w:hideMark/>
          </w:tcPr>
          <w:p w14:paraId="605AC676" w14:textId="77777777" w:rsidR="008A64DF" w:rsidRDefault="008A64DF">
            <w:pPr>
              <w:pStyle w:val="Tabletext"/>
              <w:rPr>
                <w:b/>
                <w:bCs/>
                <w:lang w:val="es-ES"/>
              </w:rPr>
            </w:pPr>
            <w:r w:rsidRPr="000F6BC6">
              <w:rPr>
                <w:b/>
                <w:bCs/>
                <w:lang w:val="es-ES"/>
              </w:rPr>
              <w:t>188</w:t>
            </w:r>
            <w:r>
              <w:rPr>
                <w:b/>
                <w:bCs/>
                <w:lang w:val="es-ES"/>
              </w:rPr>
              <w:t xml:space="preserve"> (Rev. Dubái, 2018) Lucha contra la falsificación de dispositivos de telecomunicaciones/tecnologías de la información y la comunicación</w:t>
            </w:r>
          </w:p>
          <w:p w14:paraId="157C88FE" w14:textId="0BB040CA" w:rsidR="008A64DF" w:rsidRDefault="008A64DF">
            <w:pPr>
              <w:pStyle w:val="Tabletext"/>
              <w:rPr>
                <w:lang w:val="es-ES"/>
              </w:rPr>
            </w:pPr>
            <w:r>
              <w:rPr>
                <w:lang w:val="es-ES"/>
              </w:rPr>
              <w:t xml:space="preserve">La UIT organizó varios talleres sobre la lucha contra la falsificación de dispositivos TIC en el periodo considerado: </w:t>
            </w:r>
            <w:hyperlink r:id="rId466" w:history="1">
              <w:r>
                <w:rPr>
                  <w:rStyle w:val="Hyperlink"/>
                  <w:lang w:val="es-ES"/>
                </w:rPr>
                <w:t>Túnez, abril de 2018</w:t>
              </w:r>
            </w:hyperlink>
            <w:r>
              <w:rPr>
                <w:lang w:val="es-ES"/>
              </w:rPr>
              <w:t xml:space="preserve">; </w:t>
            </w:r>
            <w:hyperlink r:id="rId467" w:history="1">
              <w:r>
                <w:rPr>
                  <w:rStyle w:val="Hyperlink"/>
                  <w:lang w:val="es-ES"/>
                </w:rPr>
                <w:t>Ginebra, julio de 2018</w:t>
              </w:r>
            </w:hyperlink>
            <w:r>
              <w:rPr>
                <w:lang w:val="es-ES"/>
              </w:rPr>
              <w:t xml:space="preserve">; </w:t>
            </w:r>
            <w:hyperlink r:id="rId468" w:history="1">
              <w:r>
                <w:rPr>
                  <w:rStyle w:val="Hyperlink"/>
                  <w:lang w:val="es-ES"/>
                </w:rPr>
                <w:t>Túnez, septiembre de 2019</w:t>
              </w:r>
            </w:hyperlink>
            <w:r>
              <w:rPr>
                <w:lang w:val="es-ES"/>
              </w:rPr>
              <w:t xml:space="preserve">; </w:t>
            </w:r>
            <w:hyperlink r:id="rId469" w:history="1">
              <w:r>
                <w:rPr>
                  <w:rStyle w:val="Hyperlink"/>
                  <w:lang w:val="es-ES"/>
                </w:rPr>
                <w:t>seminario virtual, mayo de 2021</w:t>
              </w:r>
            </w:hyperlink>
            <w:r>
              <w:rPr>
                <w:lang w:val="es-ES"/>
              </w:rPr>
              <w:t>. Los eventos se celebraron junto con las reuniones de la CE</w:t>
            </w:r>
            <w:r w:rsidR="00BD0095">
              <w:rPr>
                <w:lang w:val="es-ES"/>
              </w:rPr>
              <w:t> </w:t>
            </w:r>
            <w:r>
              <w:rPr>
                <w:lang w:val="es-ES"/>
              </w:rPr>
              <w:t>11 del UIT-T y de sus grupos regionales.</w:t>
            </w:r>
          </w:p>
          <w:p w14:paraId="65A02FDE" w14:textId="2FCCD900" w:rsidR="008A64DF" w:rsidRDefault="008A64DF">
            <w:pPr>
              <w:pStyle w:val="Tabletext"/>
              <w:rPr>
                <w:lang w:val="es-ES"/>
              </w:rPr>
            </w:pPr>
            <w:r>
              <w:rPr>
                <w:lang w:val="es-ES"/>
              </w:rPr>
              <w:t xml:space="preserve">En marzo de 2019, la UIT aprobó la </w:t>
            </w:r>
            <w:hyperlink r:id="rId470" w:history="1">
              <w:r>
                <w:rPr>
                  <w:rStyle w:val="Hyperlink"/>
                  <w:lang w:val="es-ES"/>
                </w:rPr>
                <w:t>Recomendación UIT-T Q.5050 "Solución marco para contrarrestar la falsificación de dispositivos TIC"</w:t>
              </w:r>
            </w:hyperlink>
            <w:r>
              <w:rPr>
                <w:lang w:val="es-ES"/>
              </w:rPr>
              <w:t>, que contiene un marco de referencia y requisitos.</w:t>
            </w:r>
          </w:p>
          <w:p w14:paraId="4D594F4F" w14:textId="5378E28B" w:rsidR="008A64DF" w:rsidRDefault="008A64DF">
            <w:pPr>
              <w:pStyle w:val="Tabletext"/>
              <w:rPr>
                <w:lang w:val="es-ES"/>
              </w:rPr>
            </w:pPr>
            <w:r>
              <w:rPr>
                <w:lang w:val="es-ES"/>
              </w:rPr>
              <w:t xml:space="preserve">Después de su reunión en septiembre de 2019, el GRCE11-AFR consideró que era necesario iniciar un amplio debate en la </w:t>
            </w:r>
            <w:r w:rsidR="00BD0095">
              <w:rPr>
                <w:lang w:val="es-ES"/>
              </w:rPr>
              <w:t>r</w:t>
            </w:r>
            <w:r>
              <w:rPr>
                <w:lang w:val="es-ES"/>
              </w:rPr>
              <w:t>egión con el fin de poner en marcha estrategias para contrarrestar la falsificación de dispositivos móviles y el fraude.</w:t>
            </w:r>
          </w:p>
          <w:p w14:paraId="7644669B" w14:textId="02EF66A1" w:rsidR="008A64DF" w:rsidRDefault="008A64DF">
            <w:pPr>
              <w:pStyle w:val="Tabletext"/>
              <w:rPr>
                <w:lang w:val="es-ES"/>
              </w:rPr>
            </w:pPr>
            <w:r>
              <w:rPr>
                <w:lang w:val="es-ES"/>
              </w:rPr>
              <w:t>En julio de 2020, de conformidad con la decisión del Consejo (</w:t>
            </w:r>
            <w:hyperlink r:id="rId471" w:history="1">
              <w:r>
                <w:rPr>
                  <w:rStyle w:val="Hyperlink"/>
                  <w:lang w:val="es-ES"/>
                </w:rPr>
                <w:t>C18/107</w:t>
              </w:r>
            </w:hyperlink>
            <w:r>
              <w:rPr>
                <w:lang w:val="es-ES"/>
              </w:rPr>
              <w:t xml:space="preserve">, cláusula 2), la UIT publicó el </w:t>
            </w:r>
            <w:hyperlink r:id="rId472" w:history="1">
              <w:r>
                <w:rPr>
                  <w:rStyle w:val="Hyperlink"/>
                  <w:lang w:val="es-ES"/>
                </w:rPr>
                <w:t>Informe técnico TR-RLB-IMEI, "Fiabilidad del identificador IMEI"</w:t>
              </w:r>
            </w:hyperlink>
            <w:r>
              <w:rPr>
                <w:lang w:val="es-ES"/>
              </w:rPr>
              <w:t>. Este informe contiene información sobre las principales vulnerabilidades frente a la reprogramación de los IMEI en los dispositivos móviles, los problemas que plantea impedir que el IMEI sea reprogramable, y los efectos de la manipulación del</w:t>
            </w:r>
            <w:r w:rsidR="00BD0095">
              <w:rPr>
                <w:lang w:val="es-ES"/>
              </w:rPr>
              <w:t> </w:t>
            </w:r>
            <w:r>
              <w:rPr>
                <w:lang w:val="es-ES"/>
              </w:rPr>
              <w:t>IMEI sobre los usuarios móviles, los propietarios de marcas, los fabricantes, los proveedores de servicios, los organismos reguladores, los gobiernos, las autoridades de policía y la seguridad nacional.</w:t>
            </w:r>
          </w:p>
          <w:p w14:paraId="39215181" w14:textId="0EB0D6FE" w:rsidR="008A64DF" w:rsidRDefault="008A64DF">
            <w:pPr>
              <w:pStyle w:val="Tabletext"/>
              <w:rPr>
                <w:lang w:val="es-ES"/>
              </w:rPr>
            </w:pPr>
            <w:r>
              <w:rPr>
                <w:lang w:val="es-ES"/>
              </w:rPr>
              <w:t xml:space="preserve">En septiembre de 2020, la UIT aprobó la </w:t>
            </w:r>
            <w:hyperlink r:id="rId473" w:history="1">
              <w:r>
                <w:rPr>
                  <w:rStyle w:val="Hyperlink"/>
                  <w:lang w:val="es-ES"/>
                </w:rPr>
                <w:t xml:space="preserve">Recomendación UIT-T Q.5052 </w:t>
              </w:r>
              <w:r w:rsidR="00BD0095">
                <w:rPr>
                  <w:rStyle w:val="Hyperlink"/>
                  <w:lang w:val="es-ES"/>
                </w:rPr>
                <w:t>"</w:t>
              </w:r>
              <w:r>
                <w:rPr>
                  <w:rStyle w:val="Hyperlink"/>
                  <w:lang w:val="es-ES"/>
                </w:rPr>
                <w:t>Tratamiento de los dispositivos móviles con un identificador exclusivo duplicado</w:t>
              </w:r>
              <w:r w:rsidR="00BD0095">
                <w:rPr>
                  <w:rStyle w:val="Hyperlink"/>
                  <w:lang w:val="es-ES"/>
                </w:rPr>
                <w:t>"</w:t>
              </w:r>
            </w:hyperlink>
            <w:r>
              <w:rPr>
                <w:lang w:val="es-ES"/>
              </w:rPr>
              <w:t>, que identifica retos y propone mecanismos para la detección de los dispositivos móviles con identificadores duplicados que funcionan en las redes de los operadores.</w:t>
            </w:r>
          </w:p>
          <w:p w14:paraId="4E408BD1" w14:textId="78055FB2" w:rsidR="008A64DF" w:rsidRDefault="008A64DF">
            <w:pPr>
              <w:pStyle w:val="Tabletext"/>
              <w:rPr>
                <w:lang w:val="es-ES"/>
              </w:rPr>
            </w:pPr>
            <w:r>
              <w:rPr>
                <w:lang w:val="es-ES"/>
              </w:rPr>
              <w:t xml:space="preserve">En enero de 2021, la UIT aprobó la </w:t>
            </w:r>
            <w:hyperlink r:id="rId474" w:history="1">
              <w:r>
                <w:rPr>
                  <w:rStyle w:val="Hyperlink"/>
                  <w:lang w:val="es-ES"/>
                </w:rPr>
                <w:t>Recomendación UIT-T Q.5053 "Interfaz de auditoría de listas de acceso de dispositivos móviles"</w:t>
              </w:r>
            </w:hyperlink>
            <w:r>
              <w:rPr>
                <w:lang w:val="es-ES"/>
              </w:rPr>
              <w:t xml:space="preserve">, que define las metodologías e interfaces entre un </w:t>
            </w:r>
            <w:bookmarkStart w:id="263" w:name="_Hlk72221985"/>
            <w:r>
              <w:rPr>
                <w:lang w:val="es-ES"/>
              </w:rPr>
              <w:t xml:space="preserve">sistema de auditoría de listas de acceso de dispositivos móviles </w:t>
            </w:r>
            <w:bookmarkEnd w:id="263"/>
            <w:r w:rsidRPr="00BB6EA3">
              <w:rPr>
                <w:lang w:val="es-ES"/>
              </w:rPr>
              <w:t>(MDALAS)</w:t>
            </w:r>
            <w:r>
              <w:rPr>
                <w:lang w:val="es-ES"/>
              </w:rPr>
              <w:t xml:space="preserve"> y los registros de identidad de equipos </w:t>
            </w:r>
            <w:r w:rsidRPr="00BB6EA3">
              <w:rPr>
                <w:lang w:val="es-ES"/>
              </w:rPr>
              <w:t>(EIR)</w:t>
            </w:r>
            <w:r>
              <w:rPr>
                <w:lang w:val="es-ES"/>
              </w:rPr>
              <w:t xml:space="preserve"> de los operadores de redes móviles con el fin de auditar y corregir si los operadores de redes móviles están cumpliendo los requisitos definidos para una lista de acceso de los dispositivos móviles. </w:t>
            </w:r>
          </w:p>
          <w:p w14:paraId="1D40B57B" w14:textId="5A5933B2" w:rsidR="008A64DF" w:rsidRDefault="008A64DF">
            <w:pPr>
              <w:pStyle w:val="Tabletext"/>
              <w:rPr>
                <w:lang w:val="es-ES"/>
              </w:rPr>
            </w:pPr>
            <w:r>
              <w:rPr>
                <w:lang w:val="es-ES"/>
              </w:rPr>
              <w:t xml:space="preserve">En marzo de 2021, la UIT publicó el </w:t>
            </w:r>
            <w:hyperlink r:id="rId475" w:history="1">
              <w:r>
                <w:rPr>
                  <w:rStyle w:val="Hyperlink"/>
                  <w:lang w:val="es-ES"/>
                </w:rPr>
                <w:t xml:space="preserve">Suplemento 73 </w:t>
              </w:r>
              <w:r w:rsidR="00BD0095">
                <w:rPr>
                  <w:rStyle w:val="Hyperlink"/>
                  <w:lang w:val="es-ES"/>
                </w:rPr>
                <w:t>"</w:t>
              </w:r>
              <w:r>
                <w:rPr>
                  <w:rStyle w:val="Hyperlink"/>
                  <w:lang w:val="es-ES"/>
                </w:rPr>
                <w:t>Directrices para la implementación de sistemas de restricción o de autorización para el tratamiento de los dispositivos móviles falsificados, robados o ilegales</w:t>
              </w:r>
              <w:r w:rsidR="00BD0095">
                <w:rPr>
                  <w:rStyle w:val="Hyperlink"/>
                  <w:lang w:val="es-ES"/>
                </w:rPr>
                <w:t>"</w:t>
              </w:r>
            </w:hyperlink>
            <w:r>
              <w:rPr>
                <w:lang w:val="es-ES"/>
              </w:rPr>
              <w:t xml:space="preserve"> y el </w:t>
            </w:r>
            <w:hyperlink r:id="rId476" w:history="1">
              <w:r>
                <w:rPr>
                  <w:rStyle w:val="Hyperlink"/>
                  <w:lang w:val="es-ES"/>
                </w:rPr>
                <w:t xml:space="preserve">Suplemento 74 </w:t>
              </w:r>
              <w:r w:rsidR="00BD0095">
                <w:rPr>
                  <w:rStyle w:val="Hyperlink"/>
                  <w:lang w:val="es-ES"/>
                </w:rPr>
                <w:t>"</w:t>
              </w:r>
              <w:r>
                <w:rPr>
                  <w:rStyle w:val="Hyperlink"/>
                  <w:lang w:val="es-ES"/>
                </w:rPr>
                <w:t xml:space="preserve">Plan de la serie Q.5050 </w:t>
              </w:r>
              <w:r w:rsidR="007646F4" w:rsidRPr="007646F4">
                <w:rPr>
                  <w:rStyle w:val="Hyperlink"/>
                  <w:lang w:val="es-ES"/>
                </w:rPr>
                <w:t>–</w:t>
              </w:r>
              <w:r>
                <w:rPr>
                  <w:rStyle w:val="Hyperlink"/>
                  <w:lang w:val="es-ES"/>
                </w:rPr>
                <w:t xml:space="preserve"> Lucha contra la falsificación y el robo de dispositivos TIC</w:t>
              </w:r>
              <w:r w:rsidR="00BD0095">
                <w:rPr>
                  <w:rStyle w:val="Hyperlink"/>
                  <w:lang w:val="es-ES"/>
                </w:rPr>
                <w:t>"</w:t>
              </w:r>
            </w:hyperlink>
            <w:r>
              <w:rPr>
                <w:lang w:val="es-ES"/>
              </w:rPr>
              <w:t xml:space="preserve"> de la serie Q del UIT-T.</w:t>
            </w:r>
          </w:p>
          <w:p w14:paraId="567F0061" w14:textId="4DAD07A4" w:rsidR="008A64DF" w:rsidRDefault="008A64DF">
            <w:pPr>
              <w:pStyle w:val="Tabletext"/>
              <w:rPr>
                <w:rFonts w:eastAsia="Calibri"/>
                <w:lang w:val="es-ES"/>
              </w:rPr>
            </w:pPr>
            <w:r>
              <w:rPr>
                <w:lang w:val="es-ES"/>
              </w:rPr>
              <w:lastRenderedPageBreak/>
              <w:t>La CE</w:t>
            </w:r>
            <w:r w:rsidR="00BD0095">
              <w:rPr>
                <w:lang w:val="es-ES"/>
              </w:rPr>
              <w:t> </w:t>
            </w:r>
            <w:r>
              <w:rPr>
                <w:lang w:val="es-ES"/>
              </w:rPr>
              <w:t xml:space="preserve">11 del UIT-T </w:t>
            </w:r>
            <w:hyperlink r:id="rId477" w:history="1">
              <w:r>
                <w:rPr>
                  <w:rStyle w:val="Hyperlink"/>
                  <w:rFonts w:eastAsia="Calibri"/>
                  <w:lang w:val="es-ES"/>
                </w:rPr>
                <w:t>sigue elaborando</w:t>
              </w:r>
            </w:hyperlink>
            <w:r>
              <w:rPr>
                <w:rFonts w:eastAsia="Calibri"/>
                <w:lang w:val="es-ES"/>
              </w:rPr>
              <w:t xml:space="preserve"> suplementos y orientaciones sobre esta cuestión, incluido un nuevo Informe </w:t>
            </w:r>
            <w:r w:rsidR="00BD0095">
              <w:rPr>
                <w:rFonts w:eastAsia="Calibri"/>
                <w:lang w:val="es-ES"/>
              </w:rPr>
              <w:t>t</w:t>
            </w:r>
            <w:r>
              <w:rPr>
                <w:rFonts w:eastAsia="Calibri"/>
                <w:lang w:val="es-ES"/>
              </w:rPr>
              <w:t>écnico sobre casos prácticos en materia de lucha contra la apropiación indebida de contenidos multimedios.</w:t>
            </w:r>
          </w:p>
          <w:p w14:paraId="613E7B21" w14:textId="77777777" w:rsidR="008A64DF" w:rsidRDefault="008A64DF">
            <w:pPr>
              <w:pStyle w:val="Tabletext"/>
              <w:rPr>
                <w:lang w:val="es-ES"/>
              </w:rPr>
            </w:pPr>
            <w:r>
              <w:rPr>
                <w:lang w:val="es-ES"/>
              </w:rPr>
              <w:t>Cuestión 4/2 del UIT-D y trabajos relacionados de la BDT:</w:t>
            </w:r>
          </w:p>
          <w:p w14:paraId="35067E6D" w14:textId="66159758" w:rsidR="008A64DF" w:rsidRDefault="008A64DF" w:rsidP="000F6BC6">
            <w:pPr>
              <w:pStyle w:val="Tabletext"/>
              <w:ind w:left="720" w:hanging="720"/>
              <w:rPr>
                <w:lang w:val="es-ES"/>
              </w:rPr>
            </w:pPr>
            <w:r>
              <w:rPr>
                <w:lang w:val="es-ES"/>
              </w:rPr>
              <w:t>•</w:t>
            </w:r>
            <w:r>
              <w:rPr>
                <w:lang w:val="es-ES"/>
              </w:rPr>
              <w:tab/>
              <w:t>En la encuesta mundial de la UIT sobre reglamentación de las telecomunicaciones/TIC y prácticas reglamentarias, hay cinco preguntas relacionadas con la distribución y utilización de TIC falsificadas. Las series de datos que se presentan incluyen: 1) responsabilidades de los reguladores de telecomunicaciones/TIC en relación con la falsificación de las TIC; 2) tipos de TIC falsificadas supervisadas por el regulador de telecomunicaciones/TIC; 3) políticas/legislaciones/reglamentaciones adoptadas en relación con la falsificación de las TIC; 4)</w:t>
            </w:r>
            <w:r w:rsidR="000F6BC6">
              <w:rPr>
                <w:lang w:val="es-ES"/>
              </w:rPr>
              <w:t> </w:t>
            </w:r>
            <w:r>
              <w:rPr>
                <w:lang w:val="es-ES"/>
              </w:rPr>
              <w:t>áreas abarcadas en los reglamentos sobre falsificación de las TIC; 5) planes para adoptar un marco reglamentario para la falsificación de las TIC.</w:t>
            </w:r>
          </w:p>
          <w:p w14:paraId="552CE27B" w14:textId="4C6575E0" w:rsidR="008A64DF" w:rsidRDefault="008A64DF">
            <w:pPr>
              <w:pStyle w:val="Tabletext"/>
              <w:ind w:left="720" w:hanging="720"/>
              <w:rPr>
                <w:lang w:val="es-ES"/>
              </w:rPr>
            </w:pPr>
            <w:r>
              <w:rPr>
                <w:lang w:val="es-ES"/>
              </w:rPr>
              <w:t>•</w:t>
            </w:r>
            <w:r>
              <w:rPr>
                <w:lang w:val="es-ES"/>
              </w:rPr>
              <w:tab/>
            </w:r>
            <w:hyperlink r:id="rId478" w:history="1">
              <w:r w:rsidRPr="000F6BC6">
                <w:rPr>
                  <w:rStyle w:val="Hyperlink"/>
                </w:rPr>
                <w:t>Cuestión 4</w:t>
              </w:r>
            </w:hyperlink>
            <w:r w:rsidRPr="000F6BC6">
              <w:rPr>
                <w:lang w:val="es-ES"/>
              </w:rPr>
              <w:t xml:space="preserve"> de la Comisión de Estudio 2 (C4/2) del UIT-D (véase el </w:t>
            </w:r>
            <w:r w:rsidRPr="00BB6EA3">
              <w:rPr>
                <w:lang w:val="es-ES"/>
              </w:rPr>
              <w:t>apartado</w:t>
            </w:r>
            <w:r w:rsidRPr="000F6BC6">
              <w:rPr>
                <w:lang w:val="es-ES"/>
              </w:rPr>
              <w:t xml:space="preserve"> 177 (Rev. Dubái, 2018) anterior para más detalles).</w:t>
            </w:r>
          </w:p>
        </w:tc>
      </w:tr>
      <w:tr w:rsidR="008A64DF" w:rsidRPr="008A64DF" w14:paraId="19D3E6C8" w14:textId="77777777" w:rsidTr="00084D3A">
        <w:tc>
          <w:tcPr>
            <w:tcW w:w="9026" w:type="dxa"/>
            <w:hideMark/>
          </w:tcPr>
          <w:p w14:paraId="3A4E4B79" w14:textId="77777777" w:rsidR="008A64DF" w:rsidRDefault="008A64DF" w:rsidP="004266C4">
            <w:pPr>
              <w:pStyle w:val="Tabletext"/>
              <w:keepNext/>
              <w:keepLines/>
              <w:rPr>
                <w:b/>
                <w:bCs/>
                <w:lang w:val="es-ES"/>
              </w:rPr>
            </w:pPr>
            <w:bookmarkStart w:id="264" w:name="_Hlk40970144"/>
            <w:r w:rsidRPr="002E050B">
              <w:rPr>
                <w:b/>
                <w:bCs/>
                <w:lang w:val="es-ES"/>
              </w:rPr>
              <w:lastRenderedPageBreak/>
              <w:t>190</w:t>
            </w:r>
            <w:r>
              <w:rPr>
                <w:b/>
                <w:bCs/>
                <w:lang w:val="es-ES"/>
              </w:rPr>
              <w:t xml:space="preserve"> (Busán, 2014) Lucha contra la apropiación y uso indebidos de recursos internacionales de numeración para las telecomunicaciones</w:t>
            </w:r>
          </w:p>
          <w:p w14:paraId="68B2437C" w14:textId="3C207E21" w:rsidR="008A64DF" w:rsidRDefault="008A64DF">
            <w:pPr>
              <w:pStyle w:val="Tabletext"/>
              <w:rPr>
                <w:lang w:val="es-ES"/>
              </w:rPr>
            </w:pPr>
            <w:bookmarkStart w:id="265" w:name="lt_pId1303"/>
            <w:r>
              <w:rPr>
                <w:lang w:val="es-ES"/>
              </w:rPr>
              <w:t xml:space="preserve">La UIT publicó la </w:t>
            </w:r>
            <w:hyperlink r:id="rId479" w:history="1">
              <w:r>
                <w:rPr>
                  <w:rStyle w:val="Hyperlink"/>
                  <w:lang w:val="es-ES"/>
                </w:rPr>
                <w:t>Recomendación UIT-T E.156, "Directrices para la actuación del UIT-T cuando se le notifique una utilización indebida de recursos de numeración E.164</w:t>
              </w:r>
              <w:r w:rsidR="000F6BC6">
                <w:rPr>
                  <w:rStyle w:val="Hyperlink"/>
                  <w:lang w:val="es-ES"/>
                </w:rPr>
                <w:t>"</w:t>
              </w:r>
            </w:hyperlink>
            <w:r>
              <w:rPr>
                <w:lang w:val="es-ES"/>
              </w:rPr>
              <w:t xml:space="preserve"> (revisada, junio de 2020) y el Informe </w:t>
            </w:r>
            <w:r w:rsidR="000F6BC6">
              <w:rPr>
                <w:lang w:val="es-ES"/>
              </w:rPr>
              <w:t>t</w:t>
            </w:r>
            <w:r>
              <w:rPr>
                <w:lang w:val="es-ES"/>
              </w:rPr>
              <w:t xml:space="preserve">écnico TR.EENM </w:t>
            </w:r>
            <w:r w:rsidR="000F6BC6">
              <w:rPr>
                <w:lang w:val="es-ES"/>
              </w:rPr>
              <w:t>"</w:t>
            </w:r>
            <w:hyperlink r:id="rId480" w:history="1">
              <w:r>
                <w:rPr>
                  <w:rStyle w:val="Hyperlink"/>
                  <w:lang w:val="es-ES"/>
                </w:rPr>
                <w:t>Directrices para la administración eficaz y eficiente de recursos de numeración nacional</w:t>
              </w:r>
            </w:hyperlink>
            <w:r w:rsidR="000F6BC6">
              <w:rPr>
                <w:lang w:val="es-ES"/>
              </w:rPr>
              <w:t>"</w:t>
            </w:r>
            <w:r>
              <w:rPr>
                <w:lang w:val="es-ES"/>
              </w:rPr>
              <w:t xml:space="preserve"> (junio de 2021).</w:t>
            </w:r>
            <w:bookmarkEnd w:id="264"/>
            <w:bookmarkEnd w:id="265"/>
          </w:p>
        </w:tc>
      </w:tr>
      <w:tr w:rsidR="008A64DF" w:rsidRPr="008A64DF" w14:paraId="2FDFFA0D" w14:textId="77777777" w:rsidTr="00C65FC1">
        <w:trPr>
          <w:cantSplit/>
        </w:trPr>
        <w:tc>
          <w:tcPr>
            <w:tcW w:w="9026" w:type="dxa"/>
            <w:hideMark/>
          </w:tcPr>
          <w:p w14:paraId="71494E5C" w14:textId="77777777" w:rsidR="008A64DF" w:rsidRDefault="008A64DF">
            <w:pPr>
              <w:pStyle w:val="Tabletext"/>
              <w:rPr>
                <w:b/>
                <w:bCs/>
                <w:lang w:val="es-ES"/>
              </w:rPr>
            </w:pPr>
            <w:r>
              <w:rPr>
                <w:b/>
                <w:bCs/>
                <w:lang w:val="es-ES"/>
              </w:rPr>
              <w:t>193 (Busán, 2014) Apoyo y asistencia a Iraq para que reconstruya su sector de las telecomunicaciones</w:t>
            </w:r>
          </w:p>
          <w:p w14:paraId="2450191C" w14:textId="77777777" w:rsidR="008A64DF" w:rsidRDefault="008A64DF">
            <w:pPr>
              <w:pStyle w:val="Tabletext"/>
              <w:rPr>
                <w:lang w:val="es-ES"/>
              </w:rPr>
            </w:pPr>
            <w:r>
              <w:rPr>
                <w:lang w:val="es-ES"/>
              </w:rPr>
              <w:t>A petición de Iraq, se ha fomentado la asistencia sobre la recién aprobada Resolución 211. En los últimos años no fue posible prestar asistencia para la reconstrucción efectiva de la infraestructura debido a problemas de seguridad en el terreno.</w:t>
            </w:r>
          </w:p>
        </w:tc>
      </w:tr>
      <w:tr w:rsidR="008A64DF" w:rsidRPr="008A64DF" w14:paraId="762B8FB6" w14:textId="77777777" w:rsidTr="00084D3A">
        <w:tc>
          <w:tcPr>
            <w:tcW w:w="9026" w:type="dxa"/>
            <w:hideMark/>
          </w:tcPr>
          <w:p w14:paraId="3E888503" w14:textId="77777777" w:rsidR="008A64DF" w:rsidRDefault="008A64DF">
            <w:pPr>
              <w:pStyle w:val="Tabletext"/>
              <w:rPr>
                <w:b/>
                <w:bCs/>
                <w:lang w:val="es-ES"/>
              </w:rPr>
            </w:pPr>
            <w:bookmarkStart w:id="266" w:name="Resolution_197"/>
            <w:r>
              <w:rPr>
                <w:b/>
                <w:bCs/>
                <w:lang w:val="es-ES"/>
              </w:rPr>
              <w:t>19</w:t>
            </w:r>
            <w:bookmarkEnd w:id="266"/>
            <w:r>
              <w:rPr>
                <w:b/>
                <w:bCs/>
                <w:lang w:val="es-ES"/>
              </w:rPr>
              <w:t>7 (Rev. Dubái, 2018) Facilitación de la Internet de las cosas y las ciudades y comunidades inteligentes y sostenibles</w:t>
            </w:r>
          </w:p>
          <w:p w14:paraId="16639816" w14:textId="4A1013F0" w:rsidR="008A64DF" w:rsidRDefault="008A64DF">
            <w:pPr>
              <w:pStyle w:val="Tabletext"/>
              <w:rPr>
                <w:lang w:val="es-ES"/>
              </w:rPr>
            </w:pPr>
            <w:r>
              <w:rPr>
                <w:lang w:val="es-ES"/>
              </w:rPr>
              <w:t xml:space="preserve">La </w:t>
            </w:r>
            <w:hyperlink r:id="rId481" w:history="1">
              <w:r>
                <w:rPr>
                  <w:rStyle w:val="Hyperlink"/>
                  <w:lang w:val="es-ES"/>
                </w:rPr>
                <w:t>Comisión de Estudio 20 del UIT-T</w:t>
              </w:r>
            </w:hyperlink>
            <w:r>
              <w:rPr>
                <w:lang w:val="es-ES"/>
              </w:rPr>
              <w:t xml:space="preserve"> ha elaborado, desde 2018, una serie de Recomendaciones y otros productos (véase en este</w:t>
            </w:r>
            <w:r>
              <w:rPr>
                <w:rFonts w:eastAsia="Calibri" w:cs="Calibri"/>
                <w:szCs w:val="22"/>
                <w:lang w:val="es-ES"/>
              </w:rPr>
              <w:t xml:space="preserve"> </w:t>
            </w:r>
            <w:hyperlink r:id="rId482" w:history="1">
              <w:r>
                <w:rPr>
                  <w:rStyle w:val="Hyperlink"/>
                  <w:rFonts w:eastAsia="Calibri" w:cs="Calibri"/>
                  <w:szCs w:val="22"/>
                  <w:lang w:val="es-ES"/>
                </w:rPr>
                <w:t>enlace</w:t>
              </w:r>
            </w:hyperlink>
            <w:r>
              <w:rPr>
                <w:rFonts w:eastAsia="Calibri" w:cs="Calibri"/>
                <w:szCs w:val="22"/>
                <w:lang w:val="es-ES"/>
              </w:rPr>
              <w:t>).</w:t>
            </w:r>
          </w:p>
          <w:p w14:paraId="05CE4F39" w14:textId="2650B0D7" w:rsidR="008A64DF" w:rsidRDefault="008A64DF">
            <w:pPr>
              <w:pStyle w:val="Tabletext"/>
              <w:rPr>
                <w:lang w:val="es-ES"/>
              </w:rPr>
            </w:pPr>
            <w:r>
              <w:rPr>
                <w:lang w:val="es-ES"/>
              </w:rPr>
              <w:t xml:space="preserve">La </w:t>
            </w:r>
            <w:hyperlink w:anchor="Section_1_5" w:history="1">
              <w:r w:rsidRPr="00AF08F6">
                <w:rPr>
                  <w:rStyle w:val="Hyperlink"/>
                  <w:lang w:val="es-ES"/>
                </w:rPr>
                <w:t>sección 1.5</w:t>
              </w:r>
            </w:hyperlink>
            <w:r w:rsidR="00CE1EF5" w:rsidRPr="00CE1EF5">
              <w:t xml:space="preserve"> </w:t>
            </w:r>
            <w:r>
              <w:rPr>
                <w:lang w:val="es-ES"/>
              </w:rPr>
              <w:t>(</w:t>
            </w:r>
            <w:r w:rsidR="00CE1EF5">
              <w:rPr>
                <w:lang w:val="es-ES"/>
              </w:rPr>
              <w:t>"</w:t>
            </w:r>
            <w:r>
              <w:rPr>
                <w:lang w:val="es-ES"/>
              </w:rPr>
              <w:t>Medio ambiente y ciudades y comunidades inteligentes y sostenibles</w:t>
            </w:r>
            <w:r w:rsidR="00CE1EF5">
              <w:rPr>
                <w:lang w:val="es-ES"/>
              </w:rPr>
              <w:t>"</w:t>
            </w:r>
            <w:r>
              <w:rPr>
                <w:lang w:val="es-ES"/>
              </w:rPr>
              <w:t>) resume el trabajo llevado a cabo por la UIT en esos temas.</w:t>
            </w:r>
          </w:p>
          <w:p w14:paraId="56C1FF45" w14:textId="30E2D140" w:rsidR="008A64DF" w:rsidRDefault="008A64DF">
            <w:pPr>
              <w:pStyle w:val="Tabletext"/>
              <w:rPr>
                <w:lang w:val="es-ES"/>
              </w:rPr>
            </w:pPr>
            <w:r>
              <w:rPr>
                <w:lang w:val="es-ES"/>
              </w:rPr>
              <w:t xml:space="preserve">En octubre de 2019, las Recomendaciones </w:t>
            </w:r>
            <w:hyperlink r:id="rId483" w:history="1">
              <w:r>
                <w:rPr>
                  <w:rStyle w:val="Hyperlink"/>
                  <w:lang w:val="es-ES"/>
                </w:rPr>
                <w:t>UIT-T Y.4200</w:t>
              </w:r>
            </w:hyperlink>
            <w:r>
              <w:rPr>
                <w:lang w:val="es-ES"/>
              </w:rPr>
              <w:t xml:space="preserve"> y </w:t>
            </w:r>
            <w:hyperlink r:id="rId484" w:history="1">
              <w:r>
                <w:rPr>
                  <w:rStyle w:val="Hyperlink"/>
                  <w:lang w:val="es-ES"/>
                </w:rPr>
                <w:t>UIT-T Y.4201</w:t>
              </w:r>
            </w:hyperlink>
            <w:r>
              <w:rPr>
                <w:lang w:val="es-ES"/>
              </w:rPr>
              <w:t xml:space="preserve"> fueron designadas finalistas de los Premios Catalizador 2019 del Consejo de la Electrónica Verde.</w:t>
            </w:r>
          </w:p>
          <w:p w14:paraId="6B6AD16E" w14:textId="50B14215" w:rsidR="008A64DF" w:rsidRDefault="008A64DF">
            <w:pPr>
              <w:pStyle w:val="Tabletext"/>
              <w:rPr>
                <w:lang w:val="es-ES"/>
              </w:rPr>
            </w:pPr>
            <w:r>
              <w:rPr>
                <w:lang w:val="es-ES"/>
              </w:rPr>
              <w:t>Se creó el Grupo de Tareas Conjunto CEI-ISO-UIT sobre ciudades inteligentes (J-SCTF) para crear sinergias en los trabajos en curso del UIT-T, la CEI y la ISO con el fin de maximizar los esfuerzos en la identificación de nuevas esferas de cooperación y elaborar una visión global sobre las ciudades y las comunidades inteligentes, teniendo en cuenta el alcance, las esferas de trabajo y los conocimientos especializados del</w:t>
            </w:r>
            <w:r w:rsidR="00CE1EF5">
              <w:rPr>
                <w:lang w:val="es-ES"/>
              </w:rPr>
              <w:t> </w:t>
            </w:r>
            <w:r>
              <w:rPr>
                <w:lang w:val="es-ES"/>
              </w:rPr>
              <w:t xml:space="preserve">UIT-T, la CEI y la ISO para promover el desarrollo de las ciudades y comunidades inteligentes. La primera reunión del J-SCTF se celebró virtualmente el 7 de octubre de 2020. Desde entonces, se han celebrado reuniones del J-SCTF el 24 de febrero de 2021, el </w:t>
            </w:r>
            <w:hyperlink r:id="rId485" w:history="1">
              <w:r>
                <w:rPr>
                  <w:rStyle w:val="Hyperlink"/>
                  <w:lang w:val="es-ES"/>
                </w:rPr>
                <w:t>21 de junio de 2021</w:t>
              </w:r>
            </w:hyperlink>
            <w:r>
              <w:rPr>
                <w:lang w:val="es-ES"/>
              </w:rPr>
              <w:t>, el 27 y 29 de septiembre de 2021 y el 7 de octubre de 2021.</w:t>
            </w:r>
          </w:p>
          <w:p w14:paraId="7BF16138" w14:textId="526DE6B7" w:rsidR="008A64DF" w:rsidRDefault="008A64DF">
            <w:pPr>
              <w:pStyle w:val="Tabletext"/>
              <w:rPr>
                <w:lang w:val="es-ES"/>
              </w:rPr>
            </w:pPr>
            <w:r>
              <w:rPr>
                <w:lang w:val="es-ES"/>
              </w:rPr>
              <w:t>La lista de los simposios y los eventos de la UIT sobre cambio climático, Internet de las cosas, tecnologías de vanguardia y ciudades inteligentes sostenibles puede verse en</w:t>
            </w:r>
            <w:r w:rsidR="00C65FC1">
              <w:rPr>
                <w:lang w:val="es-ES"/>
              </w:rPr>
              <w:t xml:space="preserve"> este</w:t>
            </w:r>
            <w:r>
              <w:rPr>
                <w:lang w:val="es-ES"/>
              </w:rPr>
              <w:t xml:space="preserve"> </w:t>
            </w:r>
            <w:hyperlink r:id="rId486" w:history="1">
              <w:r w:rsidR="00C65FC1">
                <w:rPr>
                  <w:rStyle w:val="Hyperlink"/>
                  <w:lang w:val="es-ES"/>
                </w:rPr>
                <w:t>enlace</w:t>
              </w:r>
            </w:hyperlink>
            <w:r>
              <w:rPr>
                <w:lang w:val="es-ES"/>
              </w:rPr>
              <w:t>.</w:t>
            </w:r>
          </w:p>
        </w:tc>
      </w:tr>
      <w:tr w:rsidR="008A64DF" w14:paraId="4EF77CD7" w14:textId="77777777" w:rsidTr="00084D3A">
        <w:tc>
          <w:tcPr>
            <w:tcW w:w="9026" w:type="dxa"/>
            <w:hideMark/>
          </w:tcPr>
          <w:p w14:paraId="00352864" w14:textId="77777777" w:rsidR="008A64DF" w:rsidRDefault="008A64DF" w:rsidP="00546D24">
            <w:pPr>
              <w:pStyle w:val="Tabletext"/>
              <w:keepNext/>
              <w:keepLines/>
              <w:rPr>
                <w:b/>
                <w:bCs/>
                <w:lang w:val="es-ES"/>
              </w:rPr>
            </w:pPr>
            <w:r w:rsidRPr="00084D3A">
              <w:rPr>
                <w:b/>
                <w:bCs/>
                <w:lang w:val="es-ES"/>
              </w:rPr>
              <w:lastRenderedPageBreak/>
              <w:t>198</w:t>
            </w:r>
            <w:r>
              <w:rPr>
                <w:b/>
                <w:bCs/>
                <w:lang w:val="es-ES"/>
              </w:rPr>
              <w:t xml:space="preserve"> (Rev. Dubái, 2018) Empoderamiento de la juventud a través de las telecomunicaciones y las tecnologías de la información y de la comunicación</w:t>
            </w:r>
          </w:p>
          <w:p w14:paraId="125B2DC4" w14:textId="5400ABC3" w:rsidR="008A64DF" w:rsidRDefault="008A64DF">
            <w:pPr>
              <w:pStyle w:val="Tabletext"/>
              <w:rPr>
                <w:lang w:val="es-ES"/>
              </w:rPr>
            </w:pPr>
            <w:r>
              <w:rPr>
                <w:lang w:val="es-ES"/>
              </w:rPr>
              <w:t xml:space="preserve">Véase la </w:t>
            </w:r>
            <w:hyperlink w:anchor="_1.7_Inclusión_digital:" w:history="1">
              <w:r w:rsidRPr="00084CD9">
                <w:rPr>
                  <w:rStyle w:val="Hyperlink"/>
                  <w:lang w:val="es-ES"/>
                </w:rPr>
                <w:t>sección 1.7</w:t>
              </w:r>
            </w:hyperlink>
            <w:r>
              <w:rPr>
                <w:lang w:val="es-ES"/>
              </w:rPr>
              <w:t>.</w:t>
            </w:r>
          </w:p>
        </w:tc>
      </w:tr>
      <w:tr w:rsidR="008A64DF" w:rsidRPr="008A64DF" w14:paraId="23418E9C" w14:textId="77777777" w:rsidTr="00084D3A">
        <w:tc>
          <w:tcPr>
            <w:tcW w:w="9026" w:type="dxa"/>
            <w:hideMark/>
          </w:tcPr>
          <w:p w14:paraId="077D14A3" w14:textId="77777777" w:rsidR="008A64DF" w:rsidRDefault="008A64DF">
            <w:pPr>
              <w:pStyle w:val="Tabletext"/>
              <w:rPr>
                <w:b/>
                <w:bCs/>
                <w:lang w:val="es-ES"/>
              </w:rPr>
            </w:pPr>
            <w:r>
              <w:rPr>
                <w:b/>
                <w:bCs/>
                <w:lang w:val="es-ES"/>
              </w:rPr>
              <w:t>200 (Rev. Dubái, 2018) Agenda Conectar 2030 de las telecomunicaciones/tecnologías de la información y la comunicación mundiales, incluida la banda ancha, para el desarrollo sostenible</w:t>
            </w:r>
          </w:p>
          <w:p w14:paraId="648D76AC" w14:textId="1DFB4CDB" w:rsidR="008A64DF" w:rsidRDefault="008A64DF">
            <w:pPr>
              <w:pStyle w:val="Tabletext"/>
              <w:rPr>
                <w:lang w:val="es-ES"/>
              </w:rPr>
            </w:pPr>
            <w:r>
              <w:rPr>
                <w:lang w:val="es-ES"/>
              </w:rPr>
              <w:t xml:space="preserve">Este Informe puede considerarse como un informe sobre la implementación de la Agenda Conectar 2030 (véase la </w:t>
            </w:r>
            <w:hyperlink w:anchor="_3_Aplicación_del" w:history="1">
              <w:r w:rsidRPr="001F44FC">
                <w:rPr>
                  <w:rStyle w:val="Hyperlink"/>
                  <w:lang w:val="es-ES"/>
                </w:rPr>
                <w:t>sección 3</w:t>
              </w:r>
            </w:hyperlink>
            <w:r>
              <w:rPr>
                <w:lang w:val="es-ES"/>
              </w:rPr>
              <w:t>).</w:t>
            </w:r>
          </w:p>
          <w:p w14:paraId="220E8CF0" w14:textId="22743707" w:rsidR="008A64DF" w:rsidRDefault="008A64DF">
            <w:pPr>
              <w:pStyle w:val="Tabletext"/>
              <w:rPr>
                <w:lang w:val="es-ES"/>
              </w:rPr>
            </w:pPr>
            <w:r>
              <w:rPr>
                <w:lang w:val="es-ES"/>
              </w:rPr>
              <w:t>La UIT también ha creado el micrositio de la Agenda Conectar 2030, que se presentó con ocasión del</w:t>
            </w:r>
            <w:r w:rsidR="00AF08F6">
              <w:rPr>
                <w:lang w:val="es-ES"/>
              </w:rPr>
              <w:t> </w:t>
            </w:r>
            <w:r>
              <w:rPr>
                <w:lang w:val="es-ES"/>
              </w:rPr>
              <w:t>DMTSI 2020.</w:t>
            </w:r>
          </w:p>
        </w:tc>
      </w:tr>
      <w:tr w:rsidR="008A64DF" w:rsidRPr="008A64DF" w14:paraId="084DBD80" w14:textId="77777777" w:rsidTr="00084D3A">
        <w:tc>
          <w:tcPr>
            <w:tcW w:w="9026" w:type="dxa"/>
          </w:tcPr>
          <w:p w14:paraId="2508ABB9" w14:textId="77777777" w:rsidR="008A64DF" w:rsidRDefault="008A64DF">
            <w:pPr>
              <w:pStyle w:val="Tabletext"/>
              <w:rPr>
                <w:b/>
                <w:bCs/>
                <w:lang w:val="es-ES"/>
              </w:rPr>
            </w:pPr>
            <w:bookmarkStart w:id="267" w:name="Resolution_204"/>
            <w:bookmarkEnd w:id="267"/>
            <w:r w:rsidRPr="00C65FC1">
              <w:rPr>
                <w:b/>
                <w:bCs/>
                <w:lang w:val="es-ES"/>
              </w:rPr>
              <w:t>204</w:t>
            </w:r>
            <w:r>
              <w:rPr>
                <w:b/>
                <w:bCs/>
                <w:lang w:val="es-ES"/>
              </w:rPr>
              <w:t xml:space="preserve"> (Rev. Dubái, 2018) Utilización de las tecnologías de la información y la comunicación para reducir la brecha de inclusión financiera</w:t>
            </w:r>
          </w:p>
          <w:p w14:paraId="58B0A2C2" w14:textId="77777777" w:rsidR="008A64DF" w:rsidRDefault="008A64DF">
            <w:pPr>
              <w:pStyle w:val="Tabletext"/>
              <w:rPr>
                <w:lang w:val="es-ES"/>
              </w:rPr>
            </w:pPr>
            <w:r>
              <w:rPr>
                <w:lang w:val="es-ES"/>
              </w:rPr>
              <w:t xml:space="preserve">De conformidad con la </w:t>
            </w:r>
            <w:hyperlink r:id="rId487" w:history="1">
              <w:r>
                <w:rPr>
                  <w:rStyle w:val="Hyperlink"/>
                  <w:lang w:val="es-ES"/>
                </w:rPr>
                <w:t>Resolución 89</w:t>
              </w:r>
            </w:hyperlink>
            <w:r>
              <w:rPr>
                <w:lang w:val="es-ES"/>
              </w:rPr>
              <w:t xml:space="preserve"> de la AMNT-16, la UIT lleva a cabo varias actividades encaminadas a mejorar la utilización de las TIC para reducir la brecha de inclusión financiera, a través de:</w:t>
            </w:r>
          </w:p>
          <w:p w14:paraId="0B60E26B" w14:textId="77777777" w:rsidR="008A64DF" w:rsidRDefault="008A64DF">
            <w:pPr>
              <w:pStyle w:val="Tabletext"/>
              <w:rPr>
                <w:lang w:val="es-ES"/>
              </w:rPr>
            </w:pPr>
            <w:r>
              <w:rPr>
                <w:lang w:val="es-ES"/>
              </w:rPr>
              <w:t>•</w:t>
            </w:r>
            <w:r>
              <w:rPr>
                <w:lang w:val="es-ES"/>
              </w:rPr>
              <w:tab/>
              <w:t>la Iniciativa Mundial de Inclusión Financiera (FIGI);</w:t>
            </w:r>
          </w:p>
          <w:p w14:paraId="1EDAD29A" w14:textId="77777777" w:rsidR="008A64DF" w:rsidRDefault="008A64DF">
            <w:pPr>
              <w:pStyle w:val="Tabletext"/>
              <w:rPr>
                <w:lang w:val="es-ES"/>
              </w:rPr>
            </w:pPr>
            <w:r>
              <w:rPr>
                <w:lang w:val="es-ES"/>
              </w:rPr>
              <w:t>•</w:t>
            </w:r>
            <w:r>
              <w:rPr>
                <w:lang w:val="es-ES"/>
              </w:rPr>
              <w:tab/>
              <w:t>el programa de trabajo de las Comisiones de Estudio y los Grupos Temáticos del UIT-T;</w:t>
            </w:r>
          </w:p>
          <w:p w14:paraId="4BCE2C78" w14:textId="77777777" w:rsidR="008A64DF" w:rsidRDefault="008A64DF">
            <w:pPr>
              <w:pStyle w:val="Tabletext"/>
              <w:rPr>
                <w:lang w:val="es-ES"/>
              </w:rPr>
            </w:pPr>
            <w:r>
              <w:rPr>
                <w:lang w:val="es-ES"/>
              </w:rPr>
              <w:t>•</w:t>
            </w:r>
            <w:r>
              <w:rPr>
                <w:lang w:val="es-ES"/>
              </w:rPr>
              <w:tab/>
              <w:t>los seminarios web sobre perspectivas de los servicios financieros digitales durante la COVID-19;</w:t>
            </w:r>
          </w:p>
          <w:p w14:paraId="3F8CDF38" w14:textId="77777777" w:rsidR="008A64DF" w:rsidRDefault="008A64DF">
            <w:pPr>
              <w:pStyle w:val="Tabletext"/>
              <w:rPr>
                <w:lang w:val="es-ES"/>
              </w:rPr>
            </w:pPr>
            <w:r>
              <w:rPr>
                <w:lang w:val="es-ES"/>
              </w:rPr>
              <w:t>•</w:t>
            </w:r>
            <w:r>
              <w:rPr>
                <w:lang w:val="es-ES"/>
              </w:rPr>
              <w:tab/>
              <w:t>el programa de políticas y reglamentaciones del UIT-D.</w:t>
            </w:r>
          </w:p>
          <w:p w14:paraId="1A5C4934" w14:textId="77777777" w:rsidR="008A64DF" w:rsidRDefault="008A64DF">
            <w:pPr>
              <w:pStyle w:val="Tabletext"/>
              <w:rPr>
                <w:b/>
                <w:bCs/>
                <w:lang w:val="es-ES"/>
              </w:rPr>
            </w:pPr>
            <w:bookmarkStart w:id="268" w:name="_Hlk73628979"/>
            <w:r>
              <w:rPr>
                <w:b/>
                <w:bCs/>
                <w:lang w:val="es-ES"/>
              </w:rPr>
              <w:t>Iniciativa Mundial de Inclusión Financiera (FIGI)</w:t>
            </w:r>
            <w:bookmarkEnd w:id="268"/>
          </w:p>
          <w:p w14:paraId="61710BE8" w14:textId="53E55AB3" w:rsidR="008A64DF" w:rsidRDefault="008A64DF">
            <w:pPr>
              <w:pStyle w:val="Tabletext"/>
              <w:rPr>
                <w:lang w:val="es-ES"/>
              </w:rPr>
            </w:pPr>
            <w:r>
              <w:rPr>
                <w:lang w:val="es-ES"/>
              </w:rPr>
              <w:t>La FIGI, creada en 2017, está dirigida conjuntamente por la UIT, el Grupo del Banco Mundial y el Comité de Pagos e Infraestructuras de Mercado, con el apoyo de la Fundación Bill y Melinda Gates. La FIGI financia las implementaciones nacionales en tres países, a saber, China, Egipto y México, y tiene tres grupos de trabajo: 1) Aceptación de pagos electrónicos, 2) Grupo de Trabajo sobre identificación digital, dirigido por el Banco Mundial, y 3) Grupo de Trabajo sobre seguridad, infraestructura y confianza (GT</w:t>
            </w:r>
            <w:r w:rsidR="0099145F">
              <w:rPr>
                <w:lang w:val="es-ES"/>
              </w:rPr>
              <w:t> </w:t>
            </w:r>
            <w:r>
              <w:rPr>
                <w:lang w:val="es-ES"/>
              </w:rPr>
              <w:t>SIT), dirigido por la UIT.</w:t>
            </w:r>
          </w:p>
          <w:p w14:paraId="48E2B014" w14:textId="77777777" w:rsidR="008A64DF" w:rsidRDefault="008A64DF">
            <w:pPr>
              <w:pStyle w:val="Tabletext"/>
              <w:keepNext/>
              <w:keepLines/>
              <w:rPr>
                <w:lang w:val="es-ES"/>
              </w:rPr>
            </w:pPr>
            <w:r>
              <w:rPr>
                <w:lang w:val="es-ES"/>
              </w:rPr>
              <w:t>Durante el periodo considerado, la UIT realizó las siguientes actividades en el marco de la FIGI:</w:t>
            </w:r>
          </w:p>
          <w:p w14:paraId="3B89BF37" w14:textId="37B31925" w:rsidR="008A64DF" w:rsidRDefault="00084D3A" w:rsidP="00084D3A">
            <w:pPr>
              <w:pStyle w:val="Tabletext"/>
              <w:ind w:left="720" w:hanging="720"/>
              <w:rPr>
                <w:rFonts w:eastAsia="Calibri" w:cs="Calibri"/>
                <w:lang w:val="es-ES"/>
              </w:rPr>
            </w:pPr>
            <w:r w:rsidRPr="00084D3A">
              <w:rPr>
                <w:lang w:val="es-ES"/>
              </w:rPr>
              <w:t>•</w:t>
            </w:r>
            <w:r>
              <w:rPr>
                <w:lang w:val="es-ES"/>
              </w:rPr>
              <w:tab/>
            </w:r>
            <w:r w:rsidR="008A64DF">
              <w:rPr>
                <w:lang w:val="es-ES"/>
              </w:rPr>
              <w:t xml:space="preserve">Organizó la </w:t>
            </w:r>
            <w:hyperlink r:id="rId488" w:history="1">
              <w:r w:rsidR="008A64DF">
                <w:rPr>
                  <w:rStyle w:val="Hyperlink"/>
                  <w:szCs w:val="22"/>
                  <w:lang w:val="es-ES"/>
                </w:rPr>
                <w:t>segunda edición del Simposio de la FIGI</w:t>
              </w:r>
            </w:hyperlink>
            <w:r w:rsidR="008A64DF">
              <w:rPr>
                <w:lang w:val="es-ES"/>
              </w:rPr>
              <w:t>, en El Cairo (Egipto) del 21 al 24 de enero de</w:t>
            </w:r>
            <w:r w:rsidR="0099145F">
              <w:rPr>
                <w:lang w:val="es-ES"/>
              </w:rPr>
              <w:t> </w:t>
            </w:r>
            <w:r w:rsidR="008A64DF">
              <w:rPr>
                <w:lang w:val="es-ES"/>
              </w:rPr>
              <w:t>2019, incluido un hackatón.</w:t>
            </w:r>
          </w:p>
          <w:p w14:paraId="1F7B1D00" w14:textId="2164F272" w:rsidR="00084D3A" w:rsidRPr="00084D3A" w:rsidRDefault="00084D3A" w:rsidP="00084D3A">
            <w:pPr>
              <w:pStyle w:val="Tabletext"/>
              <w:ind w:left="720" w:hanging="720"/>
              <w:rPr>
                <w:lang w:val="es-ES"/>
              </w:rPr>
            </w:pPr>
            <w:r w:rsidRPr="00084D3A">
              <w:rPr>
                <w:lang w:val="es-ES"/>
              </w:rPr>
              <w:t>•</w:t>
            </w:r>
            <w:r>
              <w:rPr>
                <w:lang w:val="es-ES"/>
              </w:rPr>
              <w:tab/>
            </w:r>
            <w:r w:rsidRPr="00084D3A">
              <w:rPr>
                <w:lang w:val="es-ES"/>
              </w:rPr>
              <w:t xml:space="preserve">Organizó </w:t>
            </w:r>
            <w:r w:rsidR="0099145F">
              <w:rPr>
                <w:lang w:val="es-ES"/>
              </w:rPr>
              <w:t>el</w:t>
            </w:r>
            <w:r w:rsidRPr="00084D3A">
              <w:rPr>
                <w:lang w:val="es-ES"/>
              </w:rPr>
              <w:t xml:space="preserve"> </w:t>
            </w:r>
            <w:hyperlink r:id="rId489" w:history="1">
              <w:r w:rsidRPr="00084D3A">
                <w:rPr>
                  <w:rStyle w:val="Hyperlink"/>
                  <w:lang w:val="es-ES"/>
                </w:rPr>
                <w:t>Simposio virtual de la FIGI</w:t>
              </w:r>
            </w:hyperlink>
            <w:r w:rsidRPr="00084D3A">
              <w:rPr>
                <w:lang w:val="es-ES"/>
              </w:rPr>
              <w:t xml:space="preserve"> de</w:t>
            </w:r>
            <w:r w:rsidR="0099145F">
              <w:rPr>
                <w:lang w:val="es-ES"/>
              </w:rPr>
              <w:t>l</w:t>
            </w:r>
            <w:r w:rsidRPr="00084D3A">
              <w:rPr>
                <w:lang w:val="es-ES"/>
              </w:rPr>
              <w:t xml:space="preserve"> 18 de mayo al 24 de junio de 2021.</w:t>
            </w:r>
          </w:p>
          <w:p w14:paraId="76E2E65C" w14:textId="16D42E4D" w:rsidR="008A64DF" w:rsidRDefault="0099145F" w:rsidP="0099145F">
            <w:pPr>
              <w:pStyle w:val="Tabletext"/>
              <w:ind w:left="720" w:hanging="720"/>
              <w:rPr>
                <w:lang w:val="es-ES"/>
              </w:rPr>
            </w:pPr>
            <w:r w:rsidRPr="00084D3A">
              <w:rPr>
                <w:lang w:val="es-ES"/>
              </w:rPr>
              <w:t>•</w:t>
            </w:r>
            <w:r>
              <w:rPr>
                <w:lang w:val="es-ES"/>
              </w:rPr>
              <w:tab/>
            </w:r>
            <w:r w:rsidR="008A64DF">
              <w:rPr>
                <w:lang w:val="es-ES"/>
              </w:rPr>
              <w:t xml:space="preserve">El </w:t>
            </w:r>
            <w:hyperlink r:id="rId490" w:history="1">
              <w:r w:rsidR="008A64DF">
                <w:rPr>
                  <w:rStyle w:val="Hyperlink"/>
                  <w:lang w:val="es-ES"/>
                </w:rPr>
                <w:t>GT SIT de la FIGI</w:t>
              </w:r>
            </w:hyperlink>
            <w:r w:rsidR="008A64DF">
              <w:rPr>
                <w:lang w:val="es-ES"/>
              </w:rPr>
              <w:t xml:space="preserve"> elaboró </w:t>
            </w:r>
            <w:hyperlink r:id="rId491" w:history="1">
              <w:r w:rsidR="008A64DF">
                <w:rPr>
                  <w:rStyle w:val="Hyperlink"/>
                  <w:lang w:val="es-ES"/>
                </w:rPr>
                <w:t>17 informes técnicos</w:t>
              </w:r>
            </w:hyperlink>
            <w:r w:rsidR="008A64DF">
              <w:rPr>
                <w:lang w:val="es-ES"/>
              </w:rPr>
              <w:t xml:space="preserve"> que se distribuyeron a las Comisiones de Estudio del UIT-T para que los incorporaran a su labor de normalización.</w:t>
            </w:r>
          </w:p>
          <w:p w14:paraId="79AC4E08" w14:textId="0AA4B003" w:rsidR="008A64DF" w:rsidRDefault="008A64DF">
            <w:pPr>
              <w:pStyle w:val="Tabletext"/>
              <w:ind w:left="720" w:hanging="720"/>
              <w:rPr>
                <w:lang w:val="es-ES"/>
              </w:rPr>
            </w:pPr>
            <w:r w:rsidRPr="0099145F">
              <w:rPr>
                <w:lang w:val="es-ES"/>
              </w:rPr>
              <w:t>•</w:t>
            </w:r>
            <w:r>
              <w:rPr>
                <w:lang w:val="es-ES"/>
              </w:rPr>
              <w:tab/>
              <w:t xml:space="preserve">Se desarrolló una metodología normalizada para las pruebas de las aplicaciones de pagos móviles en entornos USSD, STK y Android, en base a los </w:t>
            </w:r>
            <w:r w:rsidR="0099145F">
              <w:rPr>
                <w:lang w:val="es-ES"/>
              </w:rPr>
              <w:t>diez</w:t>
            </w:r>
            <w:r>
              <w:rPr>
                <w:lang w:val="es-ES"/>
              </w:rPr>
              <w:t xml:space="preserve"> mayores riesgos de seguridad de</w:t>
            </w:r>
            <w:r w:rsidR="0099145F">
              <w:rPr>
                <w:lang w:val="es-ES"/>
              </w:rPr>
              <w:t> </w:t>
            </w:r>
            <w:r>
              <w:rPr>
                <w:lang w:val="es-ES"/>
              </w:rPr>
              <w:t>OWASP Mobile, que ha sido adoptada por el laboratorio de seguridad de los SFD creado por la</w:t>
            </w:r>
            <w:r w:rsidR="0099145F">
              <w:rPr>
                <w:lang w:val="es-ES"/>
              </w:rPr>
              <w:t> </w:t>
            </w:r>
            <w:r>
              <w:rPr>
                <w:lang w:val="es-ES"/>
              </w:rPr>
              <w:t>UIT en el marco de FIGI para la realización de autorías de seguridad en las aplicaciones de pagos móviles.</w:t>
            </w:r>
          </w:p>
          <w:p w14:paraId="623A776C" w14:textId="77777777" w:rsidR="008A64DF" w:rsidRDefault="008A64DF">
            <w:pPr>
              <w:pStyle w:val="Tabletext"/>
              <w:ind w:left="720" w:hanging="720"/>
              <w:rPr>
                <w:lang w:val="es-ES"/>
              </w:rPr>
            </w:pPr>
            <w:r w:rsidRPr="0099145F">
              <w:rPr>
                <w:lang w:val="es-ES"/>
              </w:rPr>
              <w:t>•</w:t>
            </w:r>
            <w:r>
              <w:rPr>
                <w:lang w:val="es-ES"/>
              </w:rPr>
              <w:tab/>
              <w:t>Auditoría de seguridad de aplicaciones SFD móviles en Zambia, realizada por el laboratorio de seguridad de los SFD en junio de 2021 a raíz de una solicitud de ZICTA.</w:t>
            </w:r>
          </w:p>
          <w:p w14:paraId="78046770" w14:textId="145F932D" w:rsidR="008A64DF" w:rsidRDefault="008A64DF">
            <w:pPr>
              <w:pStyle w:val="Tabletext"/>
              <w:ind w:left="720" w:hanging="720"/>
              <w:rPr>
                <w:lang w:val="es-ES"/>
              </w:rPr>
            </w:pPr>
            <w:r w:rsidRPr="006F6D61">
              <w:rPr>
                <w:lang w:val="es-ES"/>
              </w:rPr>
              <w:t>•</w:t>
            </w:r>
            <w:r>
              <w:rPr>
                <w:lang w:val="es-ES"/>
              </w:rPr>
              <w:tab/>
              <w:t>Se está promocionando el laboratorio de seguridad de los SFD para los países en desarrollo y los países de renta baja en las Regiones de África, América Latina y Asia</w:t>
            </w:r>
            <w:r w:rsidR="006F6D61">
              <w:rPr>
                <w:lang w:val="es-ES"/>
              </w:rPr>
              <w:noBreakHyphen/>
            </w:r>
            <w:r>
              <w:rPr>
                <w:lang w:val="es-ES"/>
              </w:rPr>
              <w:t>Pacífico con el apoyo de las Oficinas Regionales de la UIT para informar sobre las prácticas idóneas en el ámbito de la seguridad de los servicios financieros digitales y su aplicación a través el laboratorio de seguridad.</w:t>
            </w:r>
          </w:p>
          <w:p w14:paraId="5C012188" w14:textId="0EB3B26A" w:rsidR="008A64DF" w:rsidRDefault="008A64DF">
            <w:pPr>
              <w:pStyle w:val="Tabletext"/>
              <w:ind w:left="720" w:hanging="720"/>
              <w:rPr>
                <w:lang w:val="es-ES"/>
              </w:rPr>
            </w:pPr>
            <w:r w:rsidRPr="006F6D61">
              <w:rPr>
                <w:lang w:val="es-ES"/>
              </w:rPr>
              <w:t>•</w:t>
            </w:r>
            <w:r>
              <w:rPr>
                <w:lang w:val="es-ES"/>
              </w:rPr>
              <w:tab/>
              <w:t>Organizados talleres prácticos de seguridad de la FIGI (</w:t>
            </w:r>
            <w:hyperlink r:id="rId492" w:history="1">
              <w:r>
                <w:rPr>
                  <w:rStyle w:val="Hyperlink"/>
                  <w:lang w:val="es-ES"/>
                </w:rPr>
                <w:t>diciembre de 2019</w:t>
              </w:r>
            </w:hyperlink>
            <w:r>
              <w:rPr>
                <w:lang w:val="es-ES"/>
              </w:rPr>
              <w:t xml:space="preserve"> (Ginebra), noviembre de 2020 (virtual, centrado regionalmente en Egipto y México), diciembre de 2020 (virtual, </w:t>
            </w:r>
            <w:r>
              <w:rPr>
                <w:lang w:val="es-ES"/>
              </w:rPr>
              <w:lastRenderedPageBreak/>
              <w:t xml:space="preserve">centrado en Indonesia), y en </w:t>
            </w:r>
            <w:hyperlink r:id="rId493" w:history="1">
              <w:r>
                <w:rPr>
                  <w:rStyle w:val="Hyperlink"/>
                  <w:lang w:val="es-ES"/>
                </w:rPr>
                <w:t>octubre y noviembre de 2021</w:t>
              </w:r>
            </w:hyperlink>
            <w:r>
              <w:rPr>
                <w:lang w:val="es-ES"/>
              </w:rPr>
              <w:t xml:space="preserve"> en Uganda, Zimbabwe, Malawi, Eswatini, Nigeria, Túnez, Egipto y Fiji (virtuales, centrados en el laboratorio de seguridad de los</w:t>
            </w:r>
            <w:r w:rsidR="006F6D61">
              <w:rPr>
                <w:lang w:val="es-ES"/>
              </w:rPr>
              <w:t> </w:t>
            </w:r>
            <w:r>
              <w:rPr>
                <w:lang w:val="es-ES"/>
              </w:rPr>
              <w:t>SFD y en la adopción de las recomendaciones de seguridad de la FIGI)).</w:t>
            </w:r>
          </w:p>
          <w:p w14:paraId="32704356" w14:textId="77777777" w:rsidR="008A64DF" w:rsidRDefault="008A64DF" w:rsidP="00546D24">
            <w:pPr>
              <w:pStyle w:val="Tabletext"/>
              <w:keepNext/>
              <w:keepLines/>
              <w:rPr>
                <w:b/>
                <w:bCs/>
                <w:lang w:val="es-ES"/>
              </w:rPr>
            </w:pPr>
            <w:r w:rsidRPr="006F6D61">
              <w:rPr>
                <w:b/>
                <w:bCs/>
                <w:lang w:val="es-ES"/>
              </w:rPr>
              <w:t>Aplicación en los países</w:t>
            </w:r>
          </w:p>
          <w:p w14:paraId="17D4076C" w14:textId="77777777" w:rsidR="008A64DF" w:rsidRDefault="008A64DF">
            <w:pPr>
              <w:pStyle w:val="Tabletext"/>
              <w:rPr>
                <w:lang w:val="es-ES"/>
              </w:rPr>
            </w:pPr>
            <w:r>
              <w:rPr>
                <w:lang w:val="es-ES"/>
              </w:rPr>
              <w:t>La aplicación en los países se concentra en la implementación de los marcos reglamentarios y de políticas propicios para fomentar la inclusión financiera digital, la integración de Recomendaciones UIT-T relativas a los SFD, a los aspectos relacionados con los pagos (PAFI) y los principios del proyecto Level One. Actualmente se están aplicando en México, Egipto y China.</w:t>
            </w:r>
          </w:p>
          <w:p w14:paraId="3C2D7128" w14:textId="77777777" w:rsidR="008A64DF" w:rsidRDefault="008A64DF">
            <w:pPr>
              <w:pStyle w:val="Tabletext"/>
              <w:rPr>
                <w:b/>
                <w:bCs/>
                <w:lang w:val="es-ES"/>
              </w:rPr>
            </w:pPr>
            <w:r>
              <w:rPr>
                <w:b/>
                <w:bCs/>
                <w:lang w:val="es-ES"/>
              </w:rPr>
              <w:t>Actividades de normalización en las Comisiones de Estudio y los Grupos Temáticos del UIT-T relacionadas con los SFD</w:t>
            </w:r>
          </w:p>
          <w:p w14:paraId="365AEAD7" w14:textId="77777777" w:rsidR="008A64DF" w:rsidRDefault="008A64DF">
            <w:pPr>
              <w:pStyle w:val="Tabletext"/>
              <w:rPr>
                <w:b/>
                <w:bCs/>
                <w:lang w:val="es-ES"/>
              </w:rPr>
            </w:pPr>
            <w:r w:rsidRPr="002E0B80">
              <w:rPr>
                <w:b/>
                <w:bCs/>
                <w:lang w:val="es-ES"/>
              </w:rPr>
              <w:t>Comisión de Estudio 3 del UIT-T</w:t>
            </w:r>
          </w:p>
          <w:p w14:paraId="58F015BE" w14:textId="727AF145" w:rsidR="008A64DF" w:rsidRPr="006F6D61" w:rsidRDefault="008A64DF">
            <w:pPr>
              <w:pStyle w:val="Tabletext"/>
            </w:pPr>
            <w:r>
              <w:rPr>
                <w:lang w:val="es-ES"/>
              </w:rPr>
              <w:t xml:space="preserve">En mayo de 2019, la UIT aprobó la </w:t>
            </w:r>
            <w:hyperlink r:id="rId494" w:history="1">
              <w:r>
                <w:rPr>
                  <w:rStyle w:val="Hyperlink"/>
                  <w:lang w:val="es-ES"/>
                </w:rPr>
                <w:t xml:space="preserve">Recomendación UIT-T D.263 </w:t>
              </w:r>
              <w:r w:rsidR="006F6D61">
                <w:rPr>
                  <w:rStyle w:val="Hyperlink"/>
                  <w:lang w:val="es-ES"/>
                </w:rPr>
                <w:t>"</w:t>
              </w:r>
              <w:r>
                <w:rPr>
                  <w:rStyle w:val="Hyperlink"/>
                  <w:lang w:val="es-ES"/>
                </w:rPr>
                <w:t>Costes, tarifas y competencia de los servicios financieros móviles (SFM)</w:t>
              </w:r>
              <w:r w:rsidR="006F6D61">
                <w:rPr>
                  <w:rStyle w:val="Hyperlink"/>
                  <w:lang w:val="es-ES"/>
                </w:rPr>
                <w:t>"</w:t>
              </w:r>
            </w:hyperlink>
            <w:r>
              <w:rPr>
                <w:lang w:val="es-ES"/>
              </w:rPr>
              <w:t xml:space="preserve">. El </w:t>
            </w:r>
            <w:hyperlink r:id="rId495" w:history="1">
              <w:r>
                <w:rPr>
                  <w:rStyle w:val="Hyperlink"/>
                  <w:lang w:val="es-ES"/>
                </w:rPr>
                <w:t xml:space="preserve">Suplemento 4 a las Recomendaciones UIT-T de la </w:t>
              </w:r>
              <w:r w:rsidR="006F6D61">
                <w:rPr>
                  <w:rStyle w:val="Hyperlink"/>
                  <w:lang w:val="es-ES"/>
                </w:rPr>
                <w:t>s</w:t>
              </w:r>
              <w:r>
                <w:rPr>
                  <w:rStyle w:val="Hyperlink"/>
                  <w:lang w:val="es-ES"/>
                </w:rPr>
                <w:t xml:space="preserve">erie D </w:t>
              </w:r>
              <w:r w:rsidR="006F6D61">
                <w:rPr>
                  <w:rStyle w:val="Hyperlink"/>
                  <w:lang w:val="es-ES"/>
                </w:rPr>
                <w:t>"</w:t>
              </w:r>
              <w:r>
                <w:rPr>
                  <w:rStyle w:val="Hyperlink"/>
                  <w:lang w:val="es-ES"/>
                </w:rPr>
                <w:t>Suplemento sobre principios para una mayor adopción y utilización de los servicios financieros móviles (SFM) gracias a mecanismos de protección del consumidor efectivos</w:t>
              </w:r>
              <w:r w:rsidR="006F6D61">
                <w:rPr>
                  <w:rStyle w:val="Hyperlink"/>
                  <w:lang w:val="es-ES"/>
                </w:rPr>
                <w:t>"</w:t>
              </w:r>
            </w:hyperlink>
            <w:r>
              <w:rPr>
                <w:lang w:val="es-ES"/>
              </w:rPr>
              <w:t xml:space="preserve"> se acordó en abril de 2020.</w:t>
            </w:r>
          </w:p>
          <w:p w14:paraId="0D7EF97C" w14:textId="50A0D020" w:rsidR="008A64DF" w:rsidRDefault="008A64DF">
            <w:pPr>
              <w:pStyle w:val="Tabletext"/>
              <w:rPr>
                <w:lang w:val="es-ES"/>
              </w:rPr>
            </w:pPr>
            <w:r>
              <w:rPr>
                <w:lang w:val="es-ES"/>
              </w:rPr>
              <w:t xml:space="preserve">Se aprobó una serie de informes del </w:t>
            </w:r>
            <w:bookmarkStart w:id="269" w:name="_Hlk95486368"/>
            <w:r>
              <w:rPr>
                <w:lang w:val="es-ES"/>
              </w:rPr>
              <w:t xml:space="preserve">Grupo Temático sobre </w:t>
            </w:r>
            <w:r w:rsidR="006F6D61">
              <w:rPr>
                <w:lang w:val="es-ES"/>
              </w:rPr>
              <w:t>s</w:t>
            </w:r>
            <w:r>
              <w:rPr>
                <w:lang w:val="es-ES"/>
              </w:rPr>
              <w:t xml:space="preserve">ervicios </w:t>
            </w:r>
            <w:r w:rsidR="006F6D61">
              <w:rPr>
                <w:lang w:val="es-ES"/>
              </w:rPr>
              <w:t>f</w:t>
            </w:r>
            <w:r>
              <w:rPr>
                <w:lang w:val="es-ES"/>
              </w:rPr>
              <w:t xml:space="preserve">inancieros </w:t>
            </w:r>
            <w:r w:rsidR="006F6D61">
              <w:rPr>
                <w:lang w:val="es-ES"/>
              </w:rPr>
              <w:t>d</w:t>
            </w:r>
            <w:r>
              <w:rPr>
                <w:lang w:val="es-ES"/>
              </w:rPr>
              <w:t>igitales (FG-DFS)</w:t>
            </w:r>
            <w:bookmarkEnd w:id="269"/>
            <w:r>
              <w:rPr>
                <w:lang w:val="es-ES"/>
              </w:rPr>
              <w:t xml:space="preserve"> para su publicación como Informes </w:t>
            </w:r>
            <w:r w:rsidR="006F6D61">
              <w:rPr>
                <w:lang w:val="es-ES"/>
              </w:rPr>
              <w:t>t</w:t>
            </w:r>
            <w:r>
              <w:rPr>
                <w:lang w:val="es-ES"/>
              </w:rPr>
              <w:t>écnicos de la CE 3.</w:t>
            </w:r>
          </w:p>
          <w:p w14:paraId="5B35CD42" w14:textId="77777777" w:rsidR="008A64DF" w:rsidRDefault="008A64DF" w:rsidP="004266C4">
            <w:pPr>
              <w:pStyle w:val="Tabletext"/>
              <w:keepNext/>
              <w:keepLines/>
              <w:rPr>
                <w:b/>
                <w:bCs/>
                <w:lang w:val="es-ES"/>
              </w:rPr>
            </w:pPr>
            <w:r>
              <w:rPr>
                <w:b/>
                <w:bCs/>
                <w:lang w:val="es-ES"/>
              </w:rPr>
              <w:t>Comisión de Estudio 11 del UIT-T</w:t>
            </w:r>
          </w:p>
          <w:p w14:paraId="3A103432" w14:textId="4EAF1970" w:rsidR="008A64DF" w:rsidRDefault="008A64DF">
            <w:pPr>
              <w:pStyle w:val="Tabletext"/>
              <w:rPr>
                <w:lang w:val="es-ES"/>
              </w:rPr>
            </w:pPr>
            <w:r>
              <w:rPr>
                <w:lang w:val="es-ES"/>
              </w:rPr>
              <w:t xml:space="preserve">La UIT publicó el Informe </w:t>
            </w:r>
            <w:r w:rsidR="006F6D61">
              <w:rPr>
                <w:lang w:val="es-ES"/>
              </w:rPr>
              <w:t>t</w:t>
            </w:r>
            <w:r>
              <w:rPr>
                <w:lang w:val="es-ES"/>
              </w:rPr>
              <w:t xml:space="preserve">écnico UIT-T </w:t>
            </w:r>
            <w:hyperlink r:id="rId496" w:history="1">
              <w:r>
                <w:rPr>
                  <w:rStyle w:val="Hyperlink"/>
                  <w:lang w:val="es-ES"/>
                </w:rPr>
                <w:t xml:space="preserve">TR-SS7-DFS </w:t>
              </w:r>
              <w:r w:rsidR="006F6D61">
                <w:rPr>
                  <w:rStyle w:val="Hyperlink"/>
                  <w:lang w:val="es-ES"/>
                </w:rPr>
                <w:t>"</w:t>
              </w:r>
              <w:r>
                <w:rPr>
                  <w:rStyle w:val="Hyperlink"/>
                  <w:lang w:val="es-ES"/>
                </w:rPr>
                <w:t>Vulnerabilidades del SS7 y medidas de mitigación para las transacciones de servicios financieros digitales</w:t>
              </w:r>
              <w:r w:rsidR="006F6D61">
                <w:rPr>
                  <w:rStyle w:val="Hyperlink"/>
                  <w:lang w:val="es-ES"/>
                </w:rPr>
                <w:t>"</w:t>
              </w:r>
            </w:hyperlink>
            <w:r>
              <w:rPr>
                <w:lang w:val="es-ES"/>
              </w:rPr>
              <w:t xml:space="preserve"> (octubre de 2019).</w:t>
            </w:r>
          </w:p>
          <w:p w14:paraId="1AAF2620" w14:textId="5A4521FB" w:rsidR="008A64DF" w:rsidRDefault="008A64DF">
            <w:pPr>
              <w:pStyle w:val="Tabletext"/>
              <w:rPr>
                <w:lang w:val="es-ES"/>
              </w:rPr>
            </w:pPr>
            <w:r>
              <w:rPr>
                <w:lang w:val="es-ES"/>
              </w:rPr>
              <w:t xml:space="preserve">La CE 11 organizó una </w:t>
            </w:r>
            <w:hyperlink r:id="rId497" w:history="1">
              <w:r>
                <w:rPr>
                  <w:rStyle w:val="Hyperlink"/>
                  <w:lang w:val="es-ES"/>
                </w:rPr>
                <w:t>sesión de reflexión</w:t>
              </w:r>
            </w:hyperlink>
            <w:r>
              <w:rPr>
                <w:lang w:val="es-ES"/>
              </w:rPr>
              <w:t xml:space="preserve"> sobre las vulnerabilidades del SS7 y las repercusiones en diferentes industrias, incluidos los servicios financieros digitales</w:t>
            </w:r>
            <w:r>
              <w:rPr>
                <w:rFonts w:eastAsia="Calibri" w:cs="Calibri"/>
                <w:szCs w:val="22"/>
                <w:lang w:val="es-ES"/>
              </w:rPr>
              <w:t xml:space="preserve"> </w:t>
            </w:r>
            <w:r>
              <w:rPr>
                <w:lang w:val="es-ES"/>
              </w:rPr>
              <w:t>(octubre de 2019).</w:t>
            </w:r>
          </w:p>
          <w:p w14:paraId="4C5669CC" w14:textId="2D7BC7DA" w:rsidR="008A64DF" w:rsidRPr="008A64DF" w:rsidRDefault="002E0B80">
            <w:pPr>
              <w:pStyle w:val="Tabletext"/>
              <w:rPr>
                <w:lang w:val="es-ES"/>
              </w:rPr>
            </w:pPr>
            <w:r>
              <w:rPr>
                <w:lang w:val="es-ES"/>
              </w:rPr>
              <w:t>La UIT</w:t>
            </w:r>
            <w:r w:rsidR="008A64DF" w:rsidRPr="00C12B29">
              <w:rPr>
                <w:lang w:val="es-ES"/>
              </w:rPr>
              <w:t xml:space="preserve"> </w:t>
            </w:r>
            <w:r w:rsidR="008A64DF">
              <w:rPr>
                <w:lang w:val="es-ES"/>
              </w:rPr>
              <w:t>aprobó la</w:t>
            </w:r>
            <w:r w:rsidR="008A64DF" w:rsidRPr="00C12B29">
              <w:rPr>
                <w:lang w:val="es-ES"/>
              </w:rPr>
              <w:t xml:space="preserve"> </w:t>
            </w:r>
            <w:hyperlink r:id="rId498" w:history="1">
              <w:r w:rsidR="008A64DF" w:rsidRPr="00C12B29">
                <w:rPr>
                  <w:rStyle w:val="Hyperlink"/>
                  <w:lang w:val="es-ES"/>
                </w:rPr>
                <w:t>Recomenda</w:t>
              </w:r>
              <w:r w:rsidR="008A64DF" w:rsidRPr="008A64DF">
                <w:rPr>
                  <w:rStyle w:val="Hyperlink"/>
                  <w:lang w:val="es-ES"/>
                </w:rPr>
                <w:t>ción UIT-</w:t>
              </w:r>
              <w:r w:rsidR="008A64DF" w:rsidRPr="00C12B29">
                <w:rPr>
                  <w:rStyle w:val="Hyperlink"/>
                  <w:lang w:val="es-ES"/>
                </w:rPr>
                <w:t xml:space="preserve">T Q.3057 </w:t>
              </w:r>
              <w:r>
                <w:rPr>
                  <w:rStyle w:val="Hyperlink"/>
                  <w:lang w:val="es-ES"/>
                </w:rPr>
                <w:t>"</w:t>
              </w:r>
              <w:r w:rsidR="008A64DF" w:rsidRPr="00C12B29">
                <w:rPr>
                  <w:rStyle w:val="Hyperlink"/>
                  <w:lang w:val="es-ES"/>
                </w:rPr>
                <w:t>Requisitos de señalización y arquitectura para la interconexión entre entidades de red fiables</w:t>
              </w:r>
              <w:r>
                <w:rPr>
                  <w:rStyle w:val="Hyperlink"/>
                  <w:lang w:val="es-ES"/>
                </w:rPr>
                <w:t>"</w:t>
              </w:r>
            </w:hyperlink>
            <w:r w:rsidR="008A64DF" w:rsidRPr="00C12B29">
              <w:rPr>
                <w:lang w:val="es-ES"/>
              </w:rPr>
              <w:t xml:space="preserve"> (</w:t>
            </w:r>
            <w:r w:rsidR="008A64DF">
              <w:rPr>
                <w:lang w:val="es-ES"/>
              </w:rPr>
              <w:t>abril de</w:t>
            </w:r>
            <w:r w:rsidR="008A64DF" w:rsidRPr="00C12B29">
              <w:rPr>
                <w:lang w:val="es-ES"/>
              </w:rPr>
              <w:t xml:space="preserve"> 2020). </w:t>
            </w:r>
            <w:r w:rsidR="008A64DF">
              <w:rPr>
                <w:lang w:val="es-ES"/>
              </w:rPr>
              <w:t xml:space="preserve">Se celebró, de manera virtual, un taller sobre </w:t>
            </w:r>
            <w:r>
              <w:rPr>
                <w:lang w:val="es-ES"/>
              </w:rPr>
              <w:t>"</w:t>
            </w:r>
            <w:hyperlink r:id="rId499" w:history="1">
              <w:r w:rsidR="008A64DF" w:rsidRPr="00C12B29">
                <w:rPr>
                  <w:rStyle w:val="Hyperlink"/>
                  <w:lang w:val="es-ES"/>
                </w:rPr>
                <w:t>Mejora de la seguridad de los protocolos de señalización</w:t>
              </w:r>
            </w:hyperlink>
            <w:r>
              <w:rPr>
                <w:lang w:val="es-ES"/>
              </w:rPr>
              <w:t>"</w:t>
            </w:r>
            <w:r w:rsidR="008A64DF">
              <w:rPr>
                <w:lang w:val="es-ES"/>
              </w:rPr>
              <w:t xml:space="preserve"> (</w:t>
            </w:r>
            <w:r w:rsidR="008A64DF" w:rsidRPr="00C12B29">
              <w:rPr>
                <w:lang w:val="es-ES"/>
              </w:rPr>
              <w:t xml:space="preserve">29 </w:t>
            </w:r>
            <w:r w:rsidR="008A64DF">
              <w:rPr>
                <w:lang w:val="es-ES"/>
              </w:rPr>
              <w:t>de noviembre</w:t>
            </w:r>
            <w:r w:rsidR="008A64DF" w:rsidRPr="00C12B29">
              <w:rPr>
                <w:lang w:val="es-ES"/>
              </w:rPr>
              <w:t xml:space="preserve"> </w:t>
            </w:r>
            <w:r>
              <w:rPr>
                <w:lang w:val="es-ES"/>
              </w:rPr>
              <w:t xml:space="preserve">de </w:t>
            </w:r>
            <w:r w:rsidR="008A64DF" w:rsidRPr="00C12B29">
              <w:rPr>
                <w:lang w:val="es-ES"/>
              </w:rPr>
              <w:t>2021</w:t>
            </w:r>
            <w:r w:rsidR="008A64DF">
              <w:rPr>
                <w:lang w:val="es-ES"/>
              </w:rPr>
              <w:t>)</w:t>
            </w:r>
            <w:r w:rsidR="008A64DF" w:rsidRPr="00C12B29">
              <w:rPr>
                <w:lang w:val="es-ES"/>
              </w:rPr>
              <w:t>.</w:t>
            </w:r>
          </w:p>
          <w:p w14:paraId="2A259E96" w14:textId="77777777" w:rsidR="008A64DF" w:rsidRDefault="008A64DF">
            <w:pPr>
              <w:pStyle w:val="Tabletext"/>
              <w:rPr>
                <w:b/>
                <w:bCs/>
                <w:lang w:val="es-ES"/>
              </w:rPr>
            </w:pPr>
            <w:r>
              <w:rPr>
                <w:lang w:val="es-ES"/>
              </w:rPr>
              <w:t xml:space="preserve">Puede consultarse información adicional sobre los trabajos en curso en </w:t>
            </w:r>
            <w:hyperlink r:id="rId500" w:history="1">
              <w:r w:rsidRPr="008A64DF">
                <w:rPr>
                  <w:rStyle w:val="Hyperlink"/>
                  <w:lang w:val="es-ES"/>
                </w:rPr>
                <w:t>este enlace</w:t>
              </w:r>
            </w:hyperlink>
            <w:r w:rsidRPr="00C12B29">
              <w:rPr>
                <w:lang w:val="es-ES"/>
              </w:rPr>
              <w:t>.</w:t>
            </w:r>
          </w:p>
          <w:p w14:paraId="0041B46B" w14:textId="77777777" w:rsidR="008A64DF" w:rsidRDefault="008A64DF" w:rsidP="002E0B80">
            <w:pPr>
              <w:pStyle w:val="Tabletext"/>
              <w:keepNext/>
              <w:keepLines/>
              <w:rPr>
                <w:b/>
                <w:bCs/>
                <w:lang w:val="es-ES"/>
              </w:rPr>
            </w:pPr>
            <w:r>
              <w:rPr>
                <w:b/>
                <w:bCs/>
                <w:lang w:val="es-ES"/>
              </w:rPr>
              <w:t>Comisión de Estudio 12 del UIT-T</w:t>
            </w:r>
          </w:p>
          <w:p w14:paraId="73B30AC4" w14:textId="77777777" w:rsidR="008A64DF" w:rsidRDefault="008A64DF">
            <w:pPr>
              <w:pStyle w:val="Tabletext"/>
              <w:rPr>
                <w:lang w:val="es-ES"/>
              </w:rPr>
            </w:pPr>
            <w:r>
              <w:rPr>
                <w:lang w:val="es-ES"/>
              </w:rPr>
              <w:t>En 2020 se aprobaron dos nuevas Recomendaciones UIT-T sobre servicios financieros digitales:</w:t>
            </w:r>
          </w:p>
          <w:p w14:paraId="36B0ED41" w14:textId="77777777" w:rsidR="008A64DF" w:rsidRDefault="008A64DF">
            <w:pPr>
              <w:pStyle w:val="Tabletext"/>
              <w:ind w:left="720" w:hanging="720"/>
              <w:rPr>
                <w:lang w:val="es-ES"/>
              </w:rPr>
            </w:pPr>
            <w:r>
              <w:rPr>
                <w:lang w:val="es-ES"/>
              </w:rPr>
              <w:t>•</w:t>
            </w:r>
            <w:r>
              <w:rPr>
                <w:lang w:val="es-ES"/>
              </w:rPr>
              <w:tab/>
              <w:t xml:space="preserve">En la </w:t>
            </w:r>
            <w:hyperlink r:id="rId501" w:history="1">
              <w:r>
                <w:rPr>
                  <w:rStyle w:val="Hyperlink"/>
                  <w:lang w:val="es-ES"/>
                </w:rPr>
                <w:t>UIT-T G.1033</w:t>
              </w:r>
            </w:hyperlink>
            <w:r>
              <w:rPr>
                <w:lang w:val="es-ES"/>
              </w:rPr>
              <w:t>, se destacan aspectos importantes relacionados con la calidad del servicio (QoS) y la calidad percibida (QoE) que se han de tomar en consideración en el contexto de los servicios financieros digitales.</w:t>
            </w:r>
          </w:p>
          <w:p w14:paraId="3C8A95A1" w14:textId="77777777" w:rsidR="008A64DF" w:rsidRDefault="008A64DF">
            <w:pPr>
              <w:pStyle w:val="Tabletext"/>
              <w:ind w:left="720" w:hanging="720"/>
              <w:rPr>
                <w:lang w:val="es-ES"/>
              </w:rPr>
            </w:pPr>
            <w:r>
              <w:rPr>
                <w:lang w:val="es-ES"/>
              </w:rPr>
              <w:t>•</w:t>
            </w:r>
            <w:r>
              <w:rPr>
                <w:lang w:val="es-ES"/>
              </w:rPr>
              <w:tab/>
              <w:t xml:space="preserve">En la </w:t>
            </w:r>
            <w:hyperlink r:id="rId502" w:history="1">
              <w:r>
                <w:rPr>
                  <w:rStyle w:val="Hyperlink"/>
                  <w:lang w:val="es-ES"/>
                </w:rPr>
                <w:t>UIT-T P.1502</w:t>
              </w:r>
            </w:hyperlink>
            <w:r>
              <w:rPr>
                <w:lang w:val="es-ES"/>
              </w:rPr>
              <w:t>, se describe una metodología de prueba de la calidad percibida (QoE) de los servicios financieros digitales.</w:t>
            </w:r>
          </w:p>
          <w:p w14:paraId="2B9B121D" w14:textId="77777777" w:rsidR="008A64DF" w:rsidRDefault="008A64DF">
            <w:pPr>
              <w:pStyle w:val="Tabletext"/>
              <w:rPr>
                <w:lang w:val="es-ES"/>
              </w:rPr>
            </w:pPr>
            <w:r>
              <w:rPr>
                <w:lang w:val="es-ES"/>
              </w:rPr>
              <w:t>Estas Recomendaciones se basan en los resultados del Grupo Temático del UIT-T sobre servicios financieros digitales y del Grupo de Trabajo sobre seguridad, infraestructura y confianza de la FIGI.</w:t>
            </w:r>
          </w:p>
          <w:p w14:paraId="7712A717" w14:textId="77777777" w:rsidR="008A64DF" w:rsidRDefault="008A64DF">
            <w:pPr>
              <w:pStyle w:val="Tabletext"/>
              <w:rPr>
                <w:b/>
                <w:bCs/>
                <w:lang w:val="es-ES"/>
              </w:rPr>
            </w:pPr>
            <w:r>
              <w:rPr>
                <w:b/>
                <w:bCs/>
                <w:lang w:val="es-ES"/>
              </w:rPr>
              <w:t>Comisión de Estudio 16 del UIT-T</w:t>
            </w:r>
          </w:p>
          <w:p w14:paraId="21A12547" w14:textId="2344FAF1" w:rsidR="008A64DF" w:rsidRDefault="008A64DF">
            <w:pPr>
              <w:pStyle w:val="Tabletext"/>
              <w:rPr>
                <w:lang w:val="es-ES"/>
              </w:rPr>
            </w:pPr>
            <w:r>
              <w:rPr>
                <w:lang w:val="es-ES"/>
              </w:rPr>
              <w:t xml:space="preserve">La nueva </w:t>
            </w:r>
            <w:hyperlink r:id="rId503" w:history="1">
              <w:r>
                <w:rPr>
                  <w:rStyle w:val="Hyperlink"/>
                  <w:lang w:val="es-ES"/>
                </w:rPr>
                <w:t>Cuestión 22/16</w:t>
              </w:r>
            </w:hyperlink>
            <w:r>
              <w:rPr>
                <w:lang w:val="es-ES"/>
              </w:rPr>
              <w:t xml:space="preserve"> sobre los aspectos relativos a multimedios de las tecnologías de libro mayor distribuido (DLT) y servicios electrónicos prosigue parte de la labor del ya disuelto </w:t>
            </w:r>
            <w:hyperlink r:id="rId504" w:history="1">
              <w:r>
                <w:rPr>
                  <w:rStyle w:val="Hyperlink"/>
                  <w:lang w:val="es-ES"/>
                </w:rPr>
                <w:t>Grupo Temático del</w:t>
              </w:r>
              <w:r w:rsidR="002E0B80">
                <w:rPr>
                  <w:rStyle w:val="Hyperlink"/>
                  <w:lang w:val="es-ES"/>
                </w:rPr>
                <w:t> </w:t>
              </w:r>
              <w:r>
                <w:rPr>
                  <w:rStyle w:val="Hyperlink"/>
                  <w:lang w:val="es-ES"/>
                </w:rPr>
                <w:t>UIT-T sobre tecnologías de libro mayor distribuido</w:t>
              </w:r>
            </w:hyperlink>
            <w:r>
              <w:rPr>
                <w:lang w:val="es-ES"/>
              </w:rPr>
              <w:t>.</w:t>
            </w:r>
          </w:p>
          <w:p w14:paraId="3E1FDB73" w14:textId="77777777" w:rsidR="008A64DF" w:rsidRDefault="008A64DF">
            <w:pPr>
              <w:pStyle w:val="Tabletext"/>
              <w:rPr>
                <w:lang w:val="es-ES"/>
              </w:rPr>
            </w:pPr>
            <w:r>
              <w:rPr>
                <w:lang w:val="es-ES"/>
              </w:rPr>
              <w:t>Entre los temas de interés para los SFD que se están estudiando en la Cuestión 22/16 figuran los servicios empíricos digitales, las facturas digitales y los contratos inteligentes.</w:t>
            </w:r>
          </w:p>
          <w:p w14:paraId="6732AFA1" w14:textId="77777777" w:rsidR="008A64DF" w:rsidRDefault="008A64DF">
            <w:pPr>
              <w:pStyle w:val="Tabletext"/>
              <w:rPr>
                <w:lang w:val="es-ES"/>
              </w:rPr>
            </w:pPr>
            <w:r>
              <w:rPr>
                <w:lang w:val="es-ES"/>
              </w:rPr>
              <w:t xml:space="preserve">Se completaron tres Recomendaciones sobre DLT (originalmente elaboradas por el ahora desaparecido </w:t>
            </w:r>
            <w:hyperlink r:id="rId505" w:history="1">
              <w:r>
                <w:rPr>
                  <w:rStyle w:val="Hyperlink"/>
                  <w:lang w:val="es-ES"/>
                </w:rPr>
                <w:t>FG-DLT</w:t>
              </w:r>
            </w:hyperlink>
            <w:r>
              <w:rPr>
                <w:lang w:val="es-ES"/>
              </w:rPr>
              <w:t>), a saber:</w:t>
            </w:r>
          </w:p>
          <w:p w14:paraId="1E88A010" w14:textId="77777777" w:rsidR="008A64DF" w:rsidRDefault="008A64DF">
            <w:pPr>
              <w:pStyle w:val="Tabletext"/>
              <w:rPr>
                <w:lang w:val="es-ES"/>
              </w:rPr>
            </w:pPr>
            <w:r>
              <w:rPr>
                <w:lang w:val="es-ES"/>
              </w:rPr>
              <w:t>•</w:t>
            </w:r>
            <w:r>
              <w:rPr>
                <w:lang w:val="es-ES"/>
              </w:rPr>
              <w:tab/>
              <w:t xml:space="preserve">UIT-T </w:t>
            </w:r>
            <w:hyperlink r:id="rId506" w:tgtFrame="_blank" w:history="1">
              <w:r>
                <w:rPr>
                  <w:rStyle w:val="Hyperlink"/>
                  <w:lang w:val="es-ES"/>
                </w:rPr>
                <w:t>F.751.0</w:t>
              </w:r>
            </w:hyperlink>
            <w:r>
              <w:rPr>
                <w:lang w:val="es-ES"/>
              </w:rPr>
              <w:t xml:space="preserve"> "Requisitos para los sistemas de libro mayor distribuido";</w:t>
            </w:r>
          </w:p>
          <w:p w14:paraId="7A7140DA" w14:textId="77777777" w:rsidR="008A64DF" w:rsidRDefault="008A64DF">
            <w:pPr>
              <w:pStyle w:val="Tabletext"/>
              <w:rPr>
                <w:lang w:val="es-ES"/>
              </w:rPr>
            </w:pPr>
            <w:r>
              <w:rPr>
                <w:lang w:val="es-ES"/>
              </w:rPr>
              <w:lastRenderedPageBreak/>
              <w:t>•</w:t>
            </w:r>
            <w:r>
              <w:rPr>
                <w:lang w:val="es-ES"/>
              </w:rPr>
              <w:tab/>
              <w:t xml:space="preserve">UIT-T </w:t>
            </w:r>
            <w:hyperlink r:id="rId507" w:tgtFrame="_blank" w:history="1">
              <w:r>
                <w:rPr>
                  <w:rStyle w:val="Hyperlink"/>
                  <w:lang w:val="es-ES"/>
                </w:rPr>
                <w:t>F.751.1</w:t>
              </w:r>
            </w:hyperlink>
            <w:r>
              <w:rPr>
                <w:lang w:val="es-ES"/>
              </w:rPr>
              <w:t xml:space="preserve"> "Criterios de evaluación para las tecnologías de libro mayor distribuido";</w:t>
            </w:r>
          </w:p>
          <w:p w14:paraId="65D1F07E" w14:textId="77777777" w:rsidR="008A64DF" w:rsidRDefault="008A64DF">
            <w:pPr>
              <w:pStyle w:val="Tabletext"/>
              <w:rPr>
                <w:lang w:val="es-ES"/>
              </w:rPr>
            </w:pPr>
            <w:r>
              <w:rPr>
                <w:lang w:val="es-ES"/>
              </w:rPr>
              <w:t>•</w:t>
            </w:r>
            <w:r>
              <w:rPr>
                <w:lang w:val="es-ES"/>
              </w:rPr>
              <w:tab/>
              <w:t xml:space="preserve">UIT-T </w:t>
            </w:r>
            <w:hyperlink r:id="rId508" w:tgtFrame="_blank" w:history="1">
              <w:r>
                <w:rPr>
                  <w:rStyle w:val="Hyperlink"/>
                  <w:lang w:val="es-ES"/>
                </w:rPr>
                <w:t>F.751.2</w:t>
              </w:r>
            </w:hyperlink>
            <w:r>
              <w:rPr>
                <w:lang w:val="es-ES"/>
              </w:rPr>
              <w:t xml:space="preserve"> "Marco de referencia para la tecnología de libro mayor distribuido".</w:t>
            </w:r>
          </w:p>
          <w:p w14:paraId="4203F102" w14:textId="37B48F1A" w:rsidR="008A64DF" w:rsidRDefault="008A64DF">
            <w:pPr>
              <w:pStyle w:val="Tabletext"/>
              <w:rPr>
                <w:lang w:val="es-ES"/>
              </w:rPr>
            </w:pPr>
            <w:r>
              <w:rPr>
                <w:lang w:val="es-ES"/>
              </w:rPr>
              <w:t>Para más información actualizada, véase</w:t>
            </w:r>
            <w:r w:rsidR="00C65FC1">
              <w:rPr>
                <w:lang w:val="es-ES"/>
              </w:rPr>
              <w:t xml:space="preserve"> este</w:t>
            </w:r>
            <w:r>
              <w:rPr>
                <w:lang w:val="es-ES"/>
              </w:rPr>
              <w:t xml:space="preserve"> </w:t>
            </w:r>
            <w:hyperlink r:id="rId509" w:history="1">
              <w:r w:rsidR="00C65FC1">
                <w:rPr>
                  <w:rStyle w:val="Hyperlink"/>
                  <w:lang w:val="es-ES"/>
                </w:rPr>
                <w:t>enlace</w:t>
              </w:r>
            </w:hyperlink>
            <w:r>
              <w:rPr>
                <w:lang w:val="es-ES"/>
              </w:rPr>
              <w:t>.</w:t>
            </w:r>
          </w:p>
          <w:p w14:paraId="2C41AE66" w14:textId="77777777" w:rsidR="008A64DF" w:rsidRDefault="008A64DF" w:rsidP="00546D24">
            <w:pPr>
              <w:pStyle w:val="Tabletext"/>
              <w:keepNext/>
              <w:keepLines/>
              <w:rPr>
                <w:b/>
                <w:bCs/>
                <w:lang w:val="es-ES"/>
              </w:rPr>
            </w:pPr>
            <w:r w:rsidRPr="00AA5730">
              <w:rPr>
                <w:b/>
                <w:bCs/>
                <w:lang w:val="es-ES"/>
              </w:rPr>
              <w:t>Comisión de Estudio 17 del UIT-T</w:t>
            </w:r>
          </w:p>
          <w:p w14:paraId="6ECC3C45" w14:textId="38599BB5" w:rsidR="008A64DF" w:rsidRDefault="008A64DF" w:rsidP="00546D24">
            <w:pPr>
              <w:pStyle w:val="Tabletext"/>
              <w:keepNext/>
              <w:keepLines/>
              <w:rPr>
                <w:lang w:val="es-ES"/>
              </w:rPr>
            </w:pPr>
            <w:r>
              <w:rPr>
                <w:lang w:val="es-ES"/>
              </w:rPr>
              <w:t>La CE</w:t>
            </w:r>
            <w:r w:rsidR="00C65FC1">
              <w:rPr>
                <w:lang w:val="es-ES"/>
              </w:rPr>
              <w:t> </w:t>
            </w:r>
            <w:r>
              <w:rPr>
                <w:lang w:val="es-ES"/>
              </w:rPr>
              <w:t>17 del UIT-T está elaborando especificaciones técnicas y de procedimiento para garantizar que la gestión de la seguridad basada en el riesgo se aplique en cada etapa del ciclo de vida, componente e interfaz de los sistemas y servicios de la tecnología financiera.</w:t>
            </w:r>
          </w:p>
          <w:p w14:paraId="2C310C44" w14:textId="27C92207" w:rsidR="008A64DF" w:rsidRDefault="008A64DF">
            <w:pPr>
              <w:pStyle w:val="Tabletext"/>
              <w:rPr>
                <w:lang w:val="es-ES"/>
              </w:rPr>
            </w:pPr>
            <w:bookmarkStart w:id="270" w:name="_Hlk71618096"/>
            <w:r>
              <w:rPr>
                <w:lang w:val="es-ES"/>
              </w:rPr>
              <w:t>La CE</w:t>
            </w:r>
            <w:r w:rsidR="00C65FC1">
              <w:rPr>
                <w:lang w:val="es-ES"/>
              </w:rPr>
              <w:t> </w:t>
            </w:r>
            <w:r>
              <w:rPr>
                <w:lang w:val="es-ES"/>
              </w:rPr>
              <w:t xml:space="preserve">17 aprobó las Recomendaciones </w:t>
            </w:r>
            <w:hyperlink r:id="rId510" w:history="1">
              <w:r>
                <w:rPr>
                  <w:rStyle w:val="Hyperlink"/>
                  <w:lang w:val="es-ES"/>
                </w:rPr>
                <w:t xml:space="preserve">UIT-T X.1149 </w:t>
              </w:r>
              <w:r w:rsidR="00C65FC1">
                <w:rPr>
                  <w:rStyle w:val="Hyperlink"/>
                  <w:lang w:val="es-ES"/>
                </w:rPr>
                <w:t>"</w:t>
              </w:r>
              <w:r>
                <w:rPr>
                  <w:rStyle w:val="Hyperlink"/>
                  <w:lang w:val="es-ES"/>
                </w:rPr>
                <w:t>Marco de seguridad de una plataforma abierta para servicios de tecnología financiera</w:t>
              </w:r>
              <w:r w:rsidR="00C65FC1">
                <w:rPr>
                  <w:rStyle w:val="Hyperlink"/>
                  <w:lang w:val="es-ES"/>
                </w:rPr>
                <w:t>"</w:t>
              </w:r>
            </w:hyperlink>
            <w:r>
              <w:rPr>
                <w:lang w:val="es-ES"/>
              </w:rPr>
              <w:t xml:space="preserve"> (mayo de 2020) y </w:t>
            </w:r>
            <w:hyperlink r:id="rId511" w:history="1">
              <w:r>
                <w:rPr>
                  <w:rStyle w:val="Hyperlink"/>
                  <w:lang w:val="es-ES"/>
                </w:rPr>
                <w:t xml:space="preserve">UIT-T X.1405 </w:t>
              </w:r>
              <w:r w:rsidR="00AA5730">
                <w:rPr>
                  <w:rStyle w:val="Hyperlink"/>
                  <w:lang w:val="es-ES"/>
                </w:rPr>
                <w:t>"</w:t>
              </w:r>
              <w:r>
                <w:rPr>
                  <w:rStyle w:val="Hyperlink"/>
                  <w:lang w:val="es-ES"/>
                </w:rPr>
                <w:t>Amenazas y requisitos de seguridad para los servicios de pago digitales basados en la tecnología de libro mayor distribuido</w:t>
              </w:r>
              <w:r w:rsidR="00AA5730">
                <w:rPr>
                  <w:rStyle w:val="Hyperlink"/>
                  <w:lang w:val="es-ES"/>
                </w:rPr>
                <w:t>"</w:t>
              </w:r>
            </w:hyperlink>
            <w:r>
              <w:rPr>
                <w:lang w:val="es-ES"/>
              </w:rPr>
              <w:t xml:space="preserve"> (junio de 2021), así como </w:t>
            </w:r>
            <w:hyperlink r:id="rId512" w:history="1">
              <w:r>
                <w:rPr>
                  <w:rStyle w:val="Hyperlink"/>
                  <w:lang w:val="es-ES"/>
                </w:rPr>
                <w:t>varias otras Recomendaciones en el ámbito de la tecnología de libro mayor distribuido</w:t>
              </w:r>
            </w:hyperlink>
            <w:r>
              <w:rPr>
                <w:lang w:val="es-ES"/>
              </w:rPr>
              <w:t>.</w:t>
            </w:r>
          </w:p>
          <w:p w14:paraId="70B06770" w14:textId="77777777" w:rsidR="008A64DF" w:rsidRDefault="008A64DF">
            <w:pPr>
              <w:pStyle w:val="Tabletext"/>
              <w:rPr>
                <w:b/>
                <w:bCs/>
                <w:lang w:val="es-ES"/>
              </w:rPr>
            </w:pPr>
            <w:r>
              <w:rPr>
                <w:b/>
                <w:bCs/>
                <w:lang w:val="es-ES"/>
              </w:rPr>
              <w:t>Iniciativa mundial sobre divisas digitales</w:t>
            </w:r>
          </w:p>
          <w:p w14:paraId="3A7D329E" w14:textId="208C4537" w:rsidR="008A64DF" w:rsidRDefault="008A64DF">
            <w:pPr>
              <w:pStyle w:val="Tabletext"/>
              <w:rPr>
                <w:lang w:val="es-ES"/>
              </w:rPr>
            </w:pPr>
            <w:r>
              <w:rPr>
                <w:lang w:val="es-ES"/>
              </w:rPr>
              <w:t xml:space="preserve">La </w:t>
            </w:r>
            <w:hyperlink r:id="rId513" w:history="1">
              <w:r>
                <w:rPr>
                  <w:rStyle w:val="Hyperlink"/>
                  <w:lang w:val="es-ES"/>
                </w:rPr>
                <w:t>iniciativa mundial sobre divisas digitales</w:t>
              </w:r>
            </w:hyperlink>
            <w:r>
              <w:rPr>
                <w:lang w:val="es-ES"/>
              </w:rPr>
              <w:t>, una colaboración entre la UIT y la Universidad de Stanford, creada en julio de 2020, tiene como objetivos principales:</w:t>
            </w:r>
          </w:p>
          <w:p w14:paraId="700BA5D9" w14:textId="77777777" w:rsidR="008A64DF" w:rsidRDefault="008A64DF">
            <w:pPr>
              <w:pStyle w:val="Tabletext"/>
              <w:ind w:left="720" w:hanging="720"/>
              <w:rPr>
                <w:lang w:val="es-ES"/>
              </w:rPr>
            </w:pPr>
            <w:r>
              <w:rPr>
                <w:lang w:val="es-ES"/>
              </w:rPr>
              <w:t>–</w:t>
            </w:r>
            <w:r>
              <w:rPr>
                <w:lang w:val="es-ES"/>
              </w:rPr>
              <w:tab/>
              <w:t>Realizar más investigaciones sobre la arquitectura técnica, la seguridad, las implicaciones técnicas y los problemas de despliegue provocados por los requisitos normativos y de las políticas para las monedas digitales de los bancos centrales y otras divisas digitales.</w:t>
            </w:r>
          </w:p>
          <w:p w14:paraId="09E6567E" w14:textId="77777777" w:rsidR="008A64DF" w:rsidRDefault="008A64DF" w:rsidP="004266C4">
            <w:pPr>
              <w:pStyle w:val="Tabletext"/>
              <w:keepNext/>
              <w:keepLines/>
              <w:ind w:left="720" w:hanging="720"/>
              <w:rPr>
                <w:lang w:val="es-ES"/>
              </w:rPr>
            </w:pPr>
            <w:r>
              <w:rPr>
                <w:lang w:val="es-ES"/>
              </w:rPr>
              <w:t>–</w:t>
            </w:r>
            <w:r>
              <w:rPr>
                <w:lang w:val="es-ES"/>
              </w:rPr>
              <w:tab/>
              <w:t>Elaborar una serie de métricas para la evaluación de la robustez de las diversas tecnologías de las divisas digitales frente a los requisitos impuestos por las diversas partes interesadas.</w:t>
            </w:r>
          </w:p>
          <w:p w14:paraId="6490DF89" w14:textId="77777777" w:rsidR="008A64DF" w:rsidRDefault="008A64DF">
            <w:pPr>
              <w:pStyle w:val="Tabletext"/>
              <w:rPr>
                <w:lang w:val="es-ES"/>
              </w:rPr>
            </w:pPr>
            <w:r>
              <w:rPr>
                <w:lang w:val="es-ES"/>
              </w:rPr>
              <w:t>–</w:t>
            </w:r>
            <w:r>
              <w:rPr>
                <w:lang w:val="es-ES"/>
              </w:rPr>
              <w:tab/>
              <w:t>Identificar ámbitos de normalización para facilitar la implementación de las divisas digitales.</w:t>
            </w:r>
          </w:p>
          <w:p w14:paraId="24DC7AB7" w14:textId="02906A53" w:rsidR="008A64DF" w:rsidRDefault="008A64DF">
            <w:pPr>
              <w:pStyle w:val="Tabletext"/>
              <w:ind w:left="720" w:hanging="720"/>
              <w:rPr>
                <w:lang w:val="es-ES"/>
              </w:rPr>
            </w:pPr>
            <w:r>
              <w:rPr>
                <w:lang w:val="es-ES"/>
              </w:rPr>
              <w:t>–</w:t>
            </w:r>
            <w:r>
              <w:rPr>
                <w:lang w:val="es-ES"/>
              </w:rPr>
              <w:tab/>
              <w:t xml:space="preserve">Organizar una conferencia anual para informar sobre las prácticas </w:t>
            </w:r>
            <w:r w:rsidR="00DC0597">
              <w:rPr>
                <w:lang w:val="es-ES"/>
              </w:rPr>
              <w:t>idóneas</w:t>
            </w:r>
            <w:r>
              <w:rPr>
                <w:lang w:val="es-ES"/>
              </w:rPr>
              <w:t>, las normas técnicas y las experiencias adquiridas en la implementación de las divisas digitales.</w:t>
            </w:r>
          </w:p>
          <w:p w14:paraId="395C8031" w14:textId="77777777" w:rsidR="008A64DF" w:rsidRDefault="008A64DF">
            <w:pPr>
              <w:pStyle w:val="Tabletext"/>
              <w:rPr>
                <w:lang w:val="es-ES"/>
              </w:rPr>
            </w:pPr>
            <w:r>
              <w:rPr>
                <w:lang w:val="es-ES"/>
              </w:rPr>
              <w:t>Las actividades de la iniciativa mundial sobre divisas digitales se centran en tres pilares principales: la implicación, la utilización innovadora y la normalización. En la primera reunión se constituyeron tres Grupos de Trabajo en el marco del pilar de Normalización, a saber:</w:t>
            </w:r>
          </w:p>
          <w:p w14:paraId="2CAEBD1B" w14:textId="77777777" w:rsidR="008A64DF" w:rsidRDefault="008A64DF">
            <w:pPr>
              <w:pStyle w:val="Tabletext"/>
              <w:rPr>
                <w:lang w:val="es-ES"/>
              </w:rPr>
            </w:pPr>
            <w:r>
              <w:rPr>
                <w:lang w:val="es-ES"/>
              </w:rPr>
              <w:t>–</w:t>
            </w:r>
            <w:r>
              <w:rPr>
                <w:lang w:val="es-ES"/>
              </w:rPr>
              <w:tab/>
              <w:t>Arquitectura, requisitos de interoperabilidad y casos de uso (ARIU);</w:t>
            </w:r>
          </w:p>
          <w:p w14:paraId="46997E77" w14:textId="77777777" w:rsidR="008A64DF" w:rsidRDefault="008A64DF">
            <w:pPr>
              <w:pStyle w:val="Tabletext"/>
              <w:rPr>
                <w:lang w:val="es-ES"/>
              </w:rPr>
            </w:pPr>
            <w:r>
              <w:rPr>
                <w:lang w:val="es-ES"/>
              </w:rPr>
              <w:t>–</w:t>
            </w:r>
            <w:r>
              <w:rPr>
                <w:lang w:val="es-ES"/>
              </w:rPr>
              <w:tab/>
              <w:t>Política y gobernanza (PG);</w:t>
            </w:r>
          </w:p>
          <w:p w14:paraId="099563EA" w14:textId="77777777" w:rsidR="008A64DF" w:rsidRDefault="008A64DF">
            <w:pPr>
              <w:pStyle w:val="Tabletext"/>
              <w:rPr>
                <w:lang w:val="es-ES"/>
              </w:rPr>
            </w:pPr>
            <w:r>
              <w:rPr>
                <w:lang w:val="es-ES"/>
              </w:rPr>
              <w:t>–</w:t>
            </w:r>
            <w:r>
              <w:rPr>
                <w:lang w:val="es-ES"/>
              </w:rPr>
              <w:tab/>
              <w:t>Seguridad y garantías (SG).</w:t>
            </w:r>
          </w:p>
          <w:p w14:paraId="4326C2D4" w14:textId="77777777" w:rsidR="008A64DF" w:rsidRDefault="008A64DF">
            <w:pPr>
              <w:pStyle w:val="Tabletext"/>
              <w:rPr>
                <w:lang w:val="es-ES"/>
              </w:rPr>
            </w:pPr>
            <w:r>
              <w:rPr>
                <w:lang w:val="es-ES"/>
              </w:rPr>
              <w:t>La primera reunión virtual de la iniciativa se celebró en julio de 2020, y los diferentes grupos de trabajo y flujos de trabajo celebraron unas 30 reuniones virtuales a lo largo del periodo entre julio de 2020 y noviembre de 2021.</w:t>
            </w:r>
            <w:bookmarkEnd w:id="270"/>
          </w:p>
          <w:p w14:paraId="410D090C" w14:textId="77777777" w:rsidR="008A64DF" w:rsidRDefault="008A64DF">
            <w:pPr>
              <w:pStyle w:val="Tabletext"/>
              <w:rPr>
                <w:b/>
                <w:bCs/>
                <w:lang w:val="es-ES"/>
              </w:rPr>
            </w:pPr>
            <w:r>
              <w:rPr>
                <w:b/>
                <w:bCs/>
                <w:lang w:val="es-ES"/>
              </w:rPr>
              <w:t>Serie de seminarios web sobre perspectivas de los servicios financieros digitales durante la COVID</w:t>
            </w:r>
            <w:r>
              <w:rPr>
                <w:b/>
                <w:bCs/>
                <w:lang w:val="es-ES"/>
              </w:rPr>
              <w:noBreakHyphen/>
              <w:t>19</w:t>
            </w:r>
          </w:p>
          <w:p w14:paraId="2C20D685" w14:textId="77777777" w:rsidR="008A64DF" w:rsidRDefault="008A64DF">
            <w:pPr>
              <w:pStyle w:val="Tabletext"/>
              <w:rPr>
                <w:lang w:val="es-ES"/>
              </w:rPr>
            </w:pPr>
            <w:r>
              <w:rPr>
                <w:lang w:val="es-ES"/>
              </w:rPr>
              <w:t xml:space="preserve">La TSB organizó la </w:t>
            </w:r>
            <w:hyperlink r:id="rId514" w:history="1">
              <w:r>
                <w:rPr>
                  <w:rStyle w:val="Hyperlink"/>
                  <w:lang w:val="es-ES"/>
                </w:rPr>
                <w:t>serie de seminarios web sobre perspectivas de los SFD</w:t>
              </w:r>
            </w:hyperlink>
            <w:r>
              <w:rPr>
                <w:lang w:val="es-ES"/>
              </w:rPr>
              <w:t xml:space="preserve"> (12 seminarios celebrados desde mayo a diciembre de 2020) con el objetivo de ofrecer perspectivas sobre las aplicaciones innovadoras de los servicios de telecomunicaciones, los pagos digitales y la tecnología financiera en la resolución del problema del distanciamiento social y el confinamiento en respuesta a la pandemia de COVID-19 e intercambiar las experiencias adquiridas.</w:t>
            </w:r>
          </w:p>
          <w:p w14:paraId="02D278E6" w14:textId="77777777" w:rsidR="008A64DF" w:rsidRDefault="008A64DF">
            <w:pPr>
              <w:pStyle w:val="Tabletext"/>
              <w:rPr>
                <w:b/>
                <w:bCs/>
                <w:lang w:val="es-ES"/>
              </w:rPr>
            </w:pPr>
            <w:r>
              <w:rPr>
                <w:b/>
                <w:bCs/>
                <w:lang w:val="es-ES"/>
              </w:rPr>
              <w:t>Programa del UIT-D sobre política y reglamentación</w:t>
            </w:r>
          </w:p>
          <w:p w14:paraId="5F74B518" w14:textId="77777777" w:rsidR="008A64DF" w:rsidRDefault="008A64DF">
            <w:pPr>
              <w:pStyle w:val="Tabletext"/>
              <w:rPr>
                <w:lang w:val="es-ES"/>
              </w:rPr>
            </w:pPr>
            <w:r>
              <w:rPr>
                <w:lang w:val="es-ES"/>
              </w:rPr>
              <w:t>El UIT-D presta asistencia a los países para crear capacidades y orientarlos hacia la inclusión financiera digital, en particular en materia de utilización de las TIC para la inclusión financiera digital.</w:t>
            </w:r>
          </w:p>
          <w:p w14:paraId="1B5433A3" w14:textId="6C7B0FAF" w:rsidR="008A64DF" w:rsidRDefault="008A64DF">
            <w:pPr>
              <w:pStyle w:val="Tabletext"/>
              <w:rPr>
                <w:lang w:val="es-ES"/>
              </w:rPr>
            </w:pPr>
            <w:r>
              <w:rPr>
                <w:lang w:val="es-ES"/>
              </w:rPr>
              <w:t xml:space="preserve">El </w:t>
            </w:r>
            <w:bookmarkStart w:id="271" w:name="_Hlk95488013"/>
            <w:r>
              <w:rPr>
                <w:lang w:val="es-ES"/>
              </w:rPr>
              <w:t xml:space="preserve">Diálogo Mundial sobre la </w:t>
            </w:r>
            <w:r w:rsidR="00AA5730">
              <w:rPr>
                <w:lang w:val="es-ES"/>
              </w:rPr>
              <w:t xml:space="preserve">inclusión financiera digital </w:t>
            </w:r>
            <w:r>
              <w:rPr>
                <w:lang w:val="es-ES"/>
              </w:rPr>
              <w:t>(GDDFI)</w:t>
            </w:r>
            <w:bookmarkEnd w:id="271"/>
            <w:r>
              <w:rPr>
                <w:lang w:val="es-ES"/>
              </w:rPr>
              <w:t xml:space="preserve">, iniciado durante el GSR-16 en 2016, forma parte de las actividades de la UIT para fomentar y reforzar la colaboración en materia de reglamentación entre los reguladores de las TIC y los reguladores de otros sectores, especialmente el sector financiero. El GDDFI reunió a reguladores de telecomunicaciones/TIC y financieros de todo el mundo para establecer un diálogo mundial constructivo sobre cuestiones de actualidad que revisten </w:t>
            </w:r>
            <w:r>
              <w:rPr>
                <w:lang w:val="es-ES"/>
              </w:rPr>
              <w:lastRenderedPageBreak/>
              <w:t>interés para las partes interesadas de ambos sectores. El GDDFI identificó medidas orientativas en materia de políticas, reglamentación y colaboración empresarial para avanzar el programa de inclusión financiera digital mediante la creación de sinergias a nivel nacional, regional y mundial (que puede consultarse en</w:t>
            </w:r>
            <w:r w:rsidR="00AA5730">
              <w:rPr>
                <w:lang w:val="es-ES"/>
              </w:rPr>
              <w:t xml:space="preserve"> este</w:t>
            </w:r>
            <w:r>
              <w:rPr>
                <w:lang w:val="es-ES"/>
              </w:rPr>
              <w:t xml:space="preserve"> </w:t>
            </w:r>
            <w:hyperlink r:id="rId515" w:history="1">
              <w:r w:rsidR="00AA5730">
                <w:rPr>
                  <w:rStyle w:val="Hyperlink"/>
                  <w:lang w:val="es-ES"/>
                </w:rPr>
                <w:t>enlace</w:t>
              </w:r>
            </w:hyperlink>
            <w:r>
              <w:rPr>
                <w:lang w:val="es-ES"/>
              </w:rPr>
              <w:t xml:space="preserve"> y un </w:t>
            </w:r>
            <w:r w:rsidR="00AA5730">
              <w:rPr>
                <w:lang w:val="es-ES"/>
              </w:rPr>
              <w:t>i</w:t>
            </w:r>
            <w:r>
              <w:rPr>
                <w:lang w:val="es-ES"/>
              </w:rPr>
              <w:t xml:space="preserve">nforme en </w:t>
            </w:r>
            <w:hyperlink r:id="rId516" w:history="1">
              <w:r>
                <w:rPr>
                  <w:rStyle w:val="Hyperlink"/>
                  <w:lang w:val="es-ES"/>
                </w:rPr>
                <w:t>este otro</w:t>
              </w:r>
            </w:hyperlink>
            <w:r>
              <w:rPr>
                <w:lang w:val="es-ES"/>
              </w:rPr>
              <w:t>).</w:t>
            </w:r>
          </w:p>
        </w:tc>
      </w:tr>
      <w:tr w:rsidR="008A64DF" w:rsidRPr="008A64DF" w14:paraId="4BF23DCB" w14:textId="77777777" w:rsidTr="00084D3A">
        <w:tc>
          <w:tcPr>
            <w:tcW w:w="9026" w:type="dxa"/>
            <w:hideMark/>
          </w:tcPr>
          <w:p w14:paraId="296B7D57" w14:textId="77777777" w:rsidR="008A64DF" w:rsidRDefault="008A64DF">
            <w:pPr>
              <w:pStyle w:val="Tabletext"/>
              <w:rPr>
                <w:b/>
                <w:bCs/>
                <w:lang w:val="es-ES"/>
              </w:rPr>
            </w:pPr>
            <w:r w:rsidRPr="00C806A4">
              <w:rPr>
                <w:b/>
                <w:bCs/>
                <w:lang w:val="es-ES"/>
              </w:rPr>
              <w:lastRenderedPageBreak/>
              <w:t>206</w:t>
            </w:r>
            <w:r>
              <w:rPr>
                <w:b/>
                <w:bCs/>
                <w:lang w:val="es-ES"/>
              </w:rPr>
              <w:t xml:space="preserve"> (Dubái, 2018) OTT</w:t>
            </w:r>
          </w:p>
          <w:p w14:paraId="1BB44208" w14:textId="2024C854" w:rsidR="008A64DF" w:rsidRDefault="008A64DF">
            <w:pPr>
              <w:pStyle w:val="Tabletext"/>
              <w:rPr>
                <w:lang w:val="es-ES"/>
              </w:rPr>
            </w:pPr>
            <w:r>
              <w:rPr>
                <w:lang w:val="es-ES"/>
              </w:rPr>
              <w:t xml:space="preserve">La UIT aprobó la </w:t>
            </w:r>
            <w:hyperlink r:id="rId517" w:history="1">
              <w:r>
                <w:rPr>
                  <w:rStyle w:val="Hyperlink"/>
                  <w:lang w:val="es-ES"/>
                </w:rPr>
                <w:t>Recomendación UIT-T D.1101</w:t>
              </w:r>
              <w:r w:rsidRPr="00640ED3">
                <w:rPr>
                  <w:rStyle w:val="Hyperlink"/>
                  <w:lang w:val="es-ES"/>
                </w:rPr>
                <w:t>,</w:t>
              </w:r>
              <w:r>
                <w:rPr>
                  <w:rStyle w:val="Hyperlink"/>
                  <w:lang w:val="es-ES"/>
                </w:rPr>
                <w:t xml:space="preserve"> "Entorno propicio para los acuerdos comerciales voluntarios entre los operadores de redes de telecomunicaciones y los proveedores de aplicaciones de</w:t>
              </w:r>
              <w:r w:rsidR="004734F3">
                <w:rPr>
                  <w:rStyle w:val="Hyperlink"/>
                  <w:lang w:val="es-ES"/>
                </w:rPr>
                <w:t> </w:t>
              </w:r>
              <w:r>
                <w:rPr>
                  <w:rStyle w:val="Hyperlink"/>
                  <w:lang w:val="es-ES"/>
                </w:rPr>
                <w:t>OTT"</w:t>
              </w:r>
            </w:hyperlink>
            <w:r>
              <w:rPr>
                <w:lang w:val="es-ES"/>
              </w:rPr>
              <w:t xml:space="preserve"> (agosto de 2020)</w:t>
            </w:r>
            <w:r w:rsidR="00C806A4">
              <w:rPr>
                <w:lang w:val="es-ES"/>
              </w:rPr>
              <w:t>,</w:t>
            </w:r>
            <w:r>
              <w:rPr>
                <w:lang w:val="es-ES"/>
              </w:rPr>
              <w:t xml:space="preserve"> que anima a las partes interesadas relevantes a trabajar en pro de un entorno reglamentario propicio que apoye y aliente el desarrollo de modelos de negocio innovadores en sintonía con los avances tecnológicos y la innovación. La </w:t>
            </w:r>
            <w:hyperlink r:id="rId518" w:history="1">
              <w:r>
                <w:rPr>
                  <w:rStyle w:val="Hyperlink"/>
                  <w:lang w:val="es-ES"/>
                </w:rPr>
                <w:t>Recomendación UIT-T D.262</w:t>
              </w:r>
              <w:r w:rsidRPr="00640ED3">
                <w:rPr>
                  <w:rStyle w:val="Hyperlink"/>
                  <w:lang w:val="es-ES"/>
                </w:rPr>
                <w:t>,</w:t>
              </w:r>
              <w:r>
                <w:rPr>
                  <w:rStyle w:val="Hyperlink"/>
                  <w:lang w:val="es-ES"/>
                </w:rPr>
                <w:t xml:space="preserve"> "Marco de colaboración para los OTT"</w:t>
              </w:r>
            </w:hyperlink>
            <w:r>
              <w:rPr>
                <w:lang w:val="es-ES"/>
              </w:rPr>
              <w:t xml:space="preserve"> (mayo de 2019), ofrece un marco de colaboración para el fomento de la competencia, la protección del consumidor, los beneficios para el consumidor, la innovación dinámica, la inversión sostenible y el desarrollo, accesibilidad y asequibilidad de las infraestructuras en relación con el crecimiento mundial de las aplicaciones OTT. En el </w:t>
            </w:r>
            <w:r w:rsidR="00C806A4">
              <w:rPr>
                <w:lang w:val="es-ES"/>
              </w:rPr>
              <w:t>p</w:t>
            </w:r>
            <w:r>
              <w:rPr>
                <w:lang w:val="es-ES"/>
              </w:rPr>
              <w:t>royecto de nueva Recomendación UIT-T D.1102</w:t>
            </w:r>
            <w:r w:rsidR="00C806A4" w:rsidRPr="00640ED3">
              <w:rPr>
                <w:lang w:val="es-ES"/>
              </w:rPr>
              <w:t>,</w:t>
            </w:r>
            <w:r>
              <w:rPr>
                <w:lang w:val="es-ES"/>
              </w:rPr>
              <w:t xml:space="preserve"> "Mecanismos de compensación y protección de los consumidores para los servicios OTT</w:t>
            </w:r>
            <w:r w:rsidR="00C806A4">
              <w:rPr>
                <w:lang w:val="es-ES"/>
              </w:rPr>
              <w:t>"</w:t>
            </w:r>
            <w:r>
              <w:rPr>
                <w:lang w:val="es-ES"/>
              </w:rPr>
              <w:t>, en fase de aprobación, se proponen posibles mecanismos de compensación y protección de los consumidores en relación con la prestación y el consumo de las aplicaciones OTT.</w:t>
            </w:r>
          </w:p>
          <w:p w14:paraId="6D55F50F" w14:textId="3E261090" w:rsidR="008A64DF" w:rsidRDefault="008A64DF">
            <w:pPr>
              <w:pStyle w:val="Tabletext"/>
              <w:rPr>
                <w:rFonts w:eastAsia="Calibri" w:cs="Calibri"/>
                <w:szCs w:val="22"/>
                <w:lang w:val="es-ES"/>
              </w:rPr>
            </w:pPr>
            <w:r>
              <w:rPr>
                <w:lang w:val="es-ES"/>
              </w:rPr>
              <w:t>La CE 3 del UIT-T está estudiando las aplicaciones OTT en el marco de diversos temas de estudio, mientras que la CE 2 progresa en dos temas de estudio relativos a los OTT. Los métodos de evaluación de la calidad desarrollados por la CE 12 del UIT-T son aplicables a los OTT.</w:t>
            </w:r>
          </w:p>
          <w:p w14:paraId="15A73D95" w14:textId="77777777" w:rsidR="008A64DF" w:rsidRDefault="008A64DF">
            <w:pPr>
              <w:pStyle w:val="Tabletext"/>
              <w:rPr>
                <w:lang w:val="es-ES"/>
              </w:rPr>
            </w:pPr>
            <w:r>
              <w:rPr>
                <w:lang w:val="es-ES"/>
              </w:rPr>
              <w:t xml:space="preserve">La CE 3 del UIT-T colaboró con la CE 2 del UIT-T en el </w:t>
            </w:r>
            <w:hyperlink r:id="rId519" w:history="1">
              <w:r>
                <w:rPr>
                  <w:rStyle w:val="Hyperlink"/>
                  <w:lang w:val="es-ES"/>
                </w:rPr>
                <w:t>Foro Interregional de Normalización de la UIT sobre "Cuestiones operativas de numeración, servicios de emergencia y OTT"</w:t>
              </w:r>
            </w:hyperlink>
            <w:r>
              <w:rPr>
                <w:lang w:val="es-ES"/>
              </w:rPr>
              <w:t>, que se celebró en Dubái (Emiratos Árabes Unidos) el 22 de octubre de 2019.</w:t>
            </w:r>
          </w:p>
        </w:tc>
      </w:tr>
      <w:tr w:rsidR="008A64DF" w:rsidRPr="008A64DF" w14:paraId="0A106B30" w14:textId="77777777" w:rsidTr="00084D3A">
        <w:tc>
          <w:tcPr>
            <w:tcW w:w="9026" w:type="dxa"/>
            <w:hideMark/>
          </w:tcPr>
          <w:p w14:paraId="27396539" w14:textId="77777777" w:rsidR="008A64DF" w:rsidRDefault="008A64DF">
            <w:pPr>
              <w:pStyle w:val="Tabletext"/>
              <w:rPr>
                <w:b/>
                <w:bCs/>
                <w:lang w:val="es-ES"/>
              </w:rPr>
            </w:pPr>
            <w:r>
              <w:rPr>
                <w:b/>
                <w:bCs/>
                <w:lang w:val="es-ES"/>
              </w:rPr>
              <w:t xml:space="preserve">207 (Dubái, 2018) Gaceta de la UIT: </w:t>
            </w:r>
            <w:r>
              <w:rPr>
                <w:b/>
                <w:bCs/>
                <w:i/>
                <w:iCs/>
                <w:lang w:val="es-ES"/>
              </w:rPr>
              <w:t>Descubrimientos de las TIC</w:t>
            </w:r>
          </w:p>
          <w:p w14:paraId="5FECF254" w14:textId="58E323AB" w:rsidR="008A64DF" w:rsidRDefault="008A64DF">
            <w:pPr>
              <w:pStyle w:val="Tabletext"/>
              <w:rPr>
                <w:lang w:val="es-ES"/>
              </w:rPr>
            </w:pPr>
            <w:r>
              <w:rPr>
                <w:lang w:val="es-ES"/>
              </w:rPr>
              <w:t xml:space="preserve">Las publicaciones de </w:t>
            </w:r>
            <w:r w:rsidR="00C806A4">
              <w:rPr>
                <w:lang w:val="es-ES"/>
              </w:rPr>
              <w:t>l</w:t>
            </w:r>
            <w:r>
              <w:rPr>
                <w:lang w:val="es-ES"/>
              </w:rPr>
              <w:t xml:space="preserve">a Gaceta de la UIT durante el periodo considerado se muestran en un </w:t>
            </w:r>
            <w:r w:rsidR="00982A04">
              <w:rPr>
                <w:lang w:val="es-ES"/>
              </w:rPr>
              <w:t>c</w:t>
            </w:r>
            <w:r>
              <w:rPr>
                <w:lang w:val="es-ES"/>
              </w:rPr>
              <w:t xml:space="preserve">uadro a continuación. Este resumen incluye los números de la Gaceta de la UIT: </w:t>
            </w:r>
            <w:r>
              <w:rPr>
                <w:i/>
                <w:lang w:val="es-ES"/>
              </w:rPr>
              <w:t>Descubrimientos de las TIC</w:t>
            </w:r>
            <w:r>
              <w:rPr>
                <w:lang w:val="es-ES"/>
              </w:rPr>
              <w:t xml:space="preserve">, que finalizó su actividad en junio de 2020, la nueva Gaceta de la UIT sobre tecnologías futuras y en evolución (UIT-J-FET) e </w:t>
            </w:r>
            <w:r>
              <w:rPr>
                <w:i/>
                <w:lang w:val="es-ES"/>
              </w:rPr>
              <w:t>Intelligent and Converged Networks</w:t>
            </w:r>
            <w:r>
              <w:rPr>
                <w:lang w:val="es-ES"/>
              </w:rPr>
              <w:t xml:space="preserve"> (ICN), una publicación conjunta de la UIT y Tsinghua University Press.</w:t>
            </w:r>
          </w:p>
          <w:p w14:paraId="20196A51" w14:textId="5D7A9888" w:rsidR="008A64DF" w:rsidRDefault="008A64DF">
            <w:pPr>
              <w:pStyle w:val="Tabletext"/>
              <w:rPr>
                <w:lang w:val="es-ES"/>
              </w:rPr>
            </w:pPr>
            <w:r>
              <w:rPr>
                <w:lang w:val="es-ES"/>
              </w:rPr>
              <w:t xml:space="preserve">UIT J-FET ha lanzado </w:t>
            </w:r>
            <w:r w:rsidR="00951A25">
              <w:rPr>
                <w:lang w:val="es-ES"/>
              </w:rPr>
              <w:t>diez</w:t>
            </w:r>
            <w:r>
              <w:rPr>
                <w:lang w:val="es-ES"/>
              </w:rPr>
              <w:t xml:space="preserve"> nuevos números especiales para su publicación en 2022. Los detalles están disponibles en la </w:t>
            </w:r>
            <w:hyperlink r:id="rId520" w:history="1">
              <w:r>
                <w:rPr>
                  <w:rStyle w:val="Hyperlink"/>
                  <w:lang w:val="es-ES"/>
                </w:rPr>
                <w:t>página web</w:t>
              </w:r>
            </w:hyperlink>
            <w:r>
              <w:rPr>
                <w:lang w:val="es-ES"/>
              </w:rPr>
              <w:t xml:space="preserve"> de la Gaceta.</w:t>
            </w:r>
          </w:p>
        </w:tc>
      </w:tr>
      <w:tr w:rsidR="008A64DF" w:rsidRPr="008A64DF" w14:paraId="751F1A52" w14:textId="77777777" w:rsidTr="00084D3A">
        <w:tc>
          <w:tcPr>
            <w:tcW w:w="9026" w:type="dxa"/>
            <w:hideMark/>
          </w:tcPr>
          <w:p w14:paraId="32ECC809" w14:textId="77777777" w:rsidR="008A64DF" w:rsidRDefault="008A64DF">
            <w:pPr>
              <w:pStyle w:val="Tabletext"/>
              <w:rPr>
                <w:b/>
                <w:bCs/>
                <w:lang w:val="es-ES"/>
              </w:rPr>
            </w:pPr>
            <w:r w:rsidRPr="00982A04">
              <w:rPr>
                <w:b/>
                <w:bCs/>
                <w:lang w:val="es-ES"/>
              </w:rPr>
              <w:t>208</w:t>
            </w:r>
            <w:r>
              <w:rPr>
                <w:b/>
                <w:bCs/>
                <w:lang w:val="es-ES"/>
              </w:rPr>
              <w:t xml:space="preserve"> (Dubái, 2018)</w:t>
            </w:r>
          </w:p>
          <w:p w14:paraId="40C2D291" w14:textId="74911DC4" w:rsidR="008A64DF" w:rsidRDefault="008A64DF">
            <w:pPr>
              <w:pStyle w:val="Tabletext"/>
              <w:rPr>
                <w:lang w:val="es-ES"/>
              </w:rPr>
            </w:pPr>
            <w:r>
              <w:rPr>
                <w:lang w:val="es-ES"/>
              </w:rPr>
              <w:t>La 28ª reunión del GAR, del 29 de marzo al 1 de abril de 2021, creó un Grupo por Correspondencia (GC) para considerar, entre otros temas la posibilidad de transferir la parte pertinente de la Resolución</w:t>
            </w:r>
            <w:r w:rsidR="00982A04">
              <w:rPr>
                <w:lang w:val="es-ES"/>
              </w:rPr>
              <w:t> </w:t>
            </w:r>
            <w:r>
              <w:rPr>
                <w:lang w:val="es-ES"/>
              </w:rPr>
              <w:t>UIT</w:t>
            </w:r>
            <w:r w:rsidR="00982A04">
              <w:rPr>
                <w:lang w:val="es-ES"/>
              </w:rPr>
              <w:noBreakHyphen/>
            </w:r>
            <w:r>
              <w:rPr>
                <w:lang w:val="es-ES"/>
              </w:rPr>
              <w:t>R</w:t>
            </w:r>
            <w:r w:rsidR="00982A04">
              <w:rPr>
                <w:lang w:val="es-ES"/>
              </w:rPr>
              <w:t> </w:t>
            </w:r>
            <w:r>
              <w:rPr>
                <w:lang w:val="es-ES"/>
              </w:rPr>
              <w:t>15-6 (Nombramiento y periodo máximo de mandato de los Presidentes y Vicepresidentes de las Comisiones de Estudio de Radiocomunicaciones, del Comité de Coordinación de Vocabulario y del Grupo Asesor de Radiocomunicaciones) a la Resolución UIT-R 1-8. Está previsto que el</w:t>
            </w:r>
            <w:r w:rsidR="00982A04">
              <w:rPr>
                <w:lang w:val="es-ES"/>
              </w:rPr>
              <w:t> </w:t>
            </w:r>
            <w:r>
              <w:rPr>
                <w:lang w:val="es-ES"/>
              </w:rPr>
              <w:t>G</w:t>
            </w:r>
            <w:r w:rsidR="00982A04">
              <w:rPr>
                <w:lang w:val="es-ES"/>
              </w:rPr>
              <w:t>C</w:t>
            </w:r>
            <w:r>
              <w:rPr>
                <w:lang w:val="es-ES"/>
              </w:rPr>
              <w:t xml:space="preserve"> presente un </w:t>
            </w:r>
            <w:r w:rsidR="00982A04">
              <w:rPr>
                <w:lang w:val="es-ES"/>
              </w:rPr>
              <w:t>i</w:t>
            </w:r>
            <w:r>
              <w:rPr>
                <w:lang w:val="es-ES"/>
              </w:rPr>
              <w:t>nforme para la consideración del GAR en la próxima reunión en 2022.</w:t>
            </w:r>
          </w:p>
          <w:p w14:paraId="0D14E197" w14:textId="7E2FDFC9" w:rsidR="008A64DF" w:rsidRDefault="008A64DF">
            <w:pPr>
              <w:pStyle w:val="Tabletext"/>
              <w:rPr>
                <w:lang w:val="es-ES"/>
              </w:rPr>
            </w:pPr>
            <w:r>
              <w:rPr>
                <w:lang w:val="es-ES"/>
              </w:rPr>
              <w:t xml:space="preserve">La </w:t>
            </w:r>
            <w:hyperlink r:id="rId521" w:history="1">
              <w:r>
                <w:rPr>
                  <w:rStyle w:val="Hyperlink"/>
                  <w:lang w:val="es-ES"/>
                </w:rPr>
                <w:t>tercera</w:t>
              </w:r>
            </w:hyperlink>
            <w:r>
              <w:rPr>
                <w:lang w:val="es-ES"/>
              </w:rPr>
              <w:t xml:space="preserve"> reunión interregional (RIR) para preparar la AMNT-20 (octubre de 2021), identificó un consenso entre las propuestas de las seis organizaciones regionales de telecomunicaciones para suprimir la Resolución 35 de la AMNT con el fin de evitar duplicaciones con la Resolución 208 de la PP. La propuesta de supresión de la Resolución 35 sigue el principio de simplificación de las Resoluciones.</w:t>
            </w:r>
          </w:p>
        </w:tc>
      </w:tr>
      <w:tr w:rsidR="008A64DF" w:rsidRPr="008A64DF" w14:paraId="03BC7028" w14:textId="77777777" w:rsidTr="00546D24">
        <w:trPr>
          <w:cantSplit/>
        </w:trPr>
        <w:tc>
          <w:tcPr>
            <w:tcW w:w="9026" w:type="dxa"/>
            <w:hideMark/>
          </w:tcPr>
          <w:p w14:paraId="4541AC08" w14:textId="77777777" w:rsidR="008A64DF" w:rsidRDefault="008A64DF">
            <w:pPr>
              <w:pStyle w:val="Tabletext"/>
              <w:rPr>
                <w:b/>
                <w:bCs/>
                <w:lang w:val="es-ES"/>
              </w:rPr>
            </w:pPr>
            <w:r w:rsidRPr="006B528F">
              <w:rPr>
                <w:b/>
                <w:bCs/>
                <w:lang w:val="es-ES"/>
              </w:rPr>
              <w:lastRenderedPageBreak/>
              <w:t>209</w:t>
            </w:r>
            <w:r>
              <w:rPr>
                <w:b/>
                <w:bCs/>
                <w:lang w:val="es-ES"/>
              </w:rPr>
              <w:t xml:space="preserve"> (Dubái, 2018)</w:t>
            </w:r>
          </w:p>
          <w:p w14:paraId="03718CA5" w14:textId="1111F652" w:rsidR="008A64DF" w:rsidRDefault="008A64DF">
            <w:pPr>
              <w:pStyle w:val="Tabletext"/>
              <w:rPr>
                <w:lang w:val="es-ES"/>
              </w:rPr>
            </w:pPr>
            <w:r>
              <w:rPr>
                <w:lang w:val="es-ES"/>
              </w:rPr>
              <w:t>De acuerdo con la Resolución</w:t>
            </w:r>
            <w:r w:rsidRPr="00C12B29">
              <w:rPr>
                <w:lang w:val="es-ES"/>
              </w:rPr>
              <w:t xml:space="preserve"> 209 (Dub</w:t>
            </w:r>
            <w:r>
              <w:rPr>
                <w:lang w:val="es-ES"/>
              </w:rPr>
              <w:t>á</w:t>
            </w:r>
            <w:r w:rsidRPr="00C12B29">
              <w:rPr>
                <w:lang w:val="es-ES"/>
              </w:rPr>
              <w:t>i, 2018),</w:t>
            </w:r>
            <w:r>
              <w:rPr>
                <w:lang w:val="es-ES"/>
              </w:rPr>
              <w:t xml:space="preserve"> y con el apoyo de los Estados Miembros, la UIT ha alentado a las pymes que cumplen los requisitos a incorporarse en calidad de Asociados a las Comisiones de Estudio del UIT-R y del UIT-T, con una reducción de las tasas. Desde el inicio de la opción de tasa reducida en 2020, con un </w:t>
            </w:r>
            <w:r w:rsidRPr="006B528F">
              <w:rPr>
                <w:i/>
                <w:iCs/>
                <w:lang w:val="es-ES"/>
              </w:rPr>
              <w:t>marketing</w:t>
            </w:r>
            <w:r>
              <w:rPr>
                <w:lang w:val="es-ES"/>
              </w:rPr>
              <w:t xml:space="preserve"> digital y unos esfuerzos de divulgación significativos, la UIT ha acogido (a fecha de 1 de noviembre de 2021) a 46 pymes, con 38 en </w:t>
            </w:r>
            <w:r w:rsidR="006B528F">
              <w:rPr>
                <w:lang w:val="es-ES"/>
              </w:rPr>
              <w:t xml:space="preserve">el </w:t>
            </w:r>
            <w:r>
              <w:rPr>
                <w:lang w:val="es-ES"/>
              </w:rPr>
              <w:t xml:space="preserve">UIT-T y 8 en </w:t>
            </w:r>
            <w:r w:rsidR="006B528F">
              <w:rPr>
                <w:lang w:val="es-ES"/>
              </w:rPr>
              <w:t xml:space="preserve">el </w:t>
            </w:r>
            <w:r>
              <w:rPr>
                <w:lang w:val="es-ES"/>
              </w:rPr>
              <w:t>UIT-R.</w:t>
            </w:r>
          </w:p>
          <w:p w14:paraId="362D5256" w14:textId="4EBD3B8F" w:rsidR="008A64DF" w:rsidRDefault="008A64DF">
            <w:pPr>
              <w:pStyle w:val="Tabletext"/>
              <w:rPr>
                <w:lang w:val="es-ES"/>
              </w:rPr>
            </w:pPr>
            <w:r>
              <w:rPr>
                <w:lang w:val="es-ES"/>
              </w:rPr>
              <w:t xml:space="preserve">Las pymes de los países desarrollados que cumplen los requisitos pagan ahora </w:t>
            </w:r>
            <w:r w:rsidRPr="00C12B29">
              <w:rPr>
                <w:lang w:val="es-ES"/>
              </w:rPr>
              <w:t>3 975</w:t>
            </w:r>
            <w:r w:rsidR="006B528F">
              <w:rPr>
                <w:lang w:val="es-ES"/>
              </w:rPr>
              <w:t> </w:t>
            </w:r>
            <w:r w:rsidRPr="00C12B29">
              <w:rPr>
                <w:lang w:val="es-ES"/>
              </w:rPr>
              <w:t xml:space="preserve">CHF </w:t>
            </w:r>
            <w:r>
              <w:rPr>
                <w:lang w:val="es-ES"/>
              </w:rPr>
              <w:t>al año, y las de los países en desarrollo</w:t>
            </w:r>
            <w:r w:rsidRPr="00BB6EA3">
              <w:rPr>
                <w:lang w:val="es-ES"/>
              </w:rPr>
              <w:t>,</w:t>
            </w:r>
            <w:r>
              <w:rPr>
                <w:lang w:val="es-ES"/>
              </w:rPr>
              <w:t xml:space="preserve"> </w:t>
            </w:r>
            <w:r w:rsidRPr="00C12B29">
              <w:rPr>
                <w:lang w:val="es-ES"/>
              </w:rPr>
              <w:t>1 987</w:t>
            </w:r>
            <w:r>
              <w:rPr>
                <w:lang w:val="es-ES"/>
              </w:rPr>
              <w:t>,</w:t>
            </w:r>
            <w:r w:rsidRPr="00C12B29">
              <w:rPr>
                <w:lang w:val="es-ES"/>
              </w:rPr>
              <w:t>50</w:t>
            </w:r>
            <w:r w:rsidR="006B528F">
              <w:rPr>
                <w:lang w:val="es-ES"/>
              </w:rPr>
              <w:t> </w:t>
            </w:r>
            <w:r w:rsidRPr="00C12B29">
              <w:rPr>
                <w:lang w:val="es-ES"/>
              </w:rPr>
              <w:t>CHF</w:t>
            </w:r>
            <w:r>
              <w:rPr>
                <w:lang w:val="es-ES"/>
              </w:rPr>
              <w:t xml:space="preserve"> al año, en comparación con una tasa normal de 10</w:t>
            </w:r>
            <w:r w:rsidR="006B528F">
              <w:rPr>
                <w:lang w:val="es-ES"/>
              </w:rPr>
              <w:t> </w:t>
            </w:r>
            <w:r>
              <w:rPr>
                <w:lang w:val="es-ES"/>
              </w:rPr>
              <w:t>600</w:t>
            </w:r>
            <w:r w:rsidR="006B528F">
              <w:rPr>
                <w:lang w:val="es-ES"/>
              </w:rPr>
              <w:t> </w:t>
            </w:r>
            <w:r>
              <w:rPr>
                <w:lang w:val="es-ES"/>
              </w:rPr>
              <w:t>CHF para el</w:t>
            </w:r>
            <w:r w:rsidR="006B528F">
              <w:rPr>
                <w:lang w:val="es-ES"/>
              </w:rPr>
              <w:t> </w:t>
            </w:r>
            <w:r>
              <w:rPr>
                <w:lang w:val="es-ES"/>
              </w:rPr>
              <w:t>UIT-R y el UIT-T. Los Asociados de las Comisiones de Estudio del UIT-D ya pagan esas tasas. Los Estados Miembros verifican la condición de pyme de acuerdo con sus definiciones nacionales, pero la Conferencia de Plenipotenciarios (Dubái, 2018) estableció un límite máximo de 250</w:t>
            </w:r>
            <w:r w:rsidR="006B528F">
              <w:rPr>
                <w:lang w:val="es-ES"/>
              </w:rPr>
              <w:t> </w:t>
            </w:r>
            <w:r>
              <w:rPr>
                <w:lang w:val="es-ES"/>
              </w:rPr>
              <w:t>empleados y el Consejo, en su reunión de 2019, acordó unos ingresos máximos de 15</w:t>
            </w:r>
            <w:r w:rsidR="006B528F">
              <w:rPr>
                <w:lang w:val="es-ES"/>
              </w:rPr>
              <w:t> </w:t>
            </w:r>
            <w:r>
              <w:rPr>
                <w:lang w:val="es-ES"/>
              </w:rPr>
              <w:t xml:space="preserve">millones al año. </w:t>
            </w:r>
          </w:p>
        </w:tc>
      </w:tr>
      <w:tr w:rsidR="008A64DF" w:rsidRPr="008A64DF" w14:paraId="137B690B" w14:textId="77777777" w:rsidTr="00084D3A">
        <w:tc>
          <w:tcPr>
            <w:tcW w:w="9026" w:type="dxa"/>
            <w:hideMark/>
          </w:tcPr>
          <w:p w14:paraId="6F2769DF" w14:textId="77777777" w:rsidR="008A64DF" w:rsidRPr="008A64DF" w:rsidRDefault="008A64DF">
            <w:pPr>
              <w:pStyle w:val="Tabletext"/>
              <w:rPr>
                <w:b/>
                <w:bCs/>
                <w:lang w:val="es-ES"/>
              </w:rPr>
            </w:pPr>
            <w:r w:rsidRPr="006B528F">
              <w:rPr>
                <w:b/>
                <w:bCs/>
                <w:lang w:val="es-ES"/>
              </w:rPr>
              <w:t>210</w:t>
            </w:r>
            <w:r w:rsidRPr="00C12B29">
              <w:rPr>
                <w:b/>
                <w:bCs/>
                <w:lang w:val="es-ES"/>
              </w:rPr>
              <w:t xml:space="preserve"> (</w:t>
            </w:r>
            <w:r>
              <w:rPr>
                <w:b/>
                <w:bCs/>
                <w:lang w:val="es-ES"/>
              </w:rPr>
              <w:t>Dubái</w:t>
            </w:r>
            <w:r w:rsidRPr="00C12B29">
              <w:rPr>
                <w:b/>
                <w:bCs/>
                <w:lang w:val="es-ES"/>
              </w:rPr>
              <w:t>, 2018) Papel de la UIT como Autoridad Supervisora del sistema de Registro Internacional de bienes espaciales en virtud del Protocolo del Espacio</w:t>
            </w:r>
          </w:p>
          <w:p w14:paraId="56158AD1" w14:textId="045D7068" w:rsidR="008A64DF" w:rsidRPr="008A64DF" w:rsidRDefault="008A64DF">
            <w:pPr>
              <w:pStyle w:val="Tabletext"/>
              <w:rPr>
                <w:lang w:val="es-ES"/>
              </w:rPr>
            </w:pPr>
            <w:r>
              <w:rPr>
                <w:lang w:val="es-ES"/>
              </w:rPr>
              <w:t>La Resolución encarga al Secretario General participar en los trabajos de la Comisión Preparatoria del Protocolo del Espacio y en sus grupos de trabajo y que informe al respecto al Consejo de la UIT. La Comisión Preparatoria no se ha reunido desde el final de la PP-18.</w:t>
            </w:r>
          </w:p>
        </w:tc>
      </w:tr>
      <w:tr w:rsidR="008A64DF" w:rsidRPr="008A64DF" w14:paraId="178F828F" w14:textId="77777777" w:rsidTr="00084D3A">
        <w:tc>
          <w:tcPr>
            <w:tcW w:w="9026" w:type="dxa"/>
            <w:hideMark/>
          </w:tcPr>
          <w:p w14:paraId="00797ACE" w14:textId="47584681" w:rsidR="008A64DF" w:rsidRDefault="008A64DF">
            <w:pPr>
              <w:pStyle w:val="Tabletext"/>
              <w:rPr>
                <w:b/>
                <w:bCs/>
                <w:lang w:val="es-ES"/>
              </w:rPr>
            </w:pPr>
            <w:r>
              <w:rPr>
                <w:b/>
                <w:bCs/>
                <w:lang w:val="es-ES"/>
              </w:rPr>
              <w:t>211</w:t>
            </w:r>
            <w:r w:rsidR="006B528F">
              <w:rPr>
                <w:b/>
                <w:bCs/>
                <w:lang w:val="es-ES"/>
              </w:rPr>
              <w:t xml:space="preserve"> </w:t>
            </w:r>
            <w:r>
              <w:rPr>
                <w:b/>
                <w:bCs/>
                <w:lang w:val="es-ES"/>
              </w:rPr>
              <w:t>(Dubái, 2018) Apoyo a la iniciativa iraquí Du3M 2025 para el desarrollo de los sectores de telecomunicaciones y tecnología de la información</w:t>
            </w:r>
          </w:p>
          <w:p w14:paraId="4F68DFF7" w14:textId="77777777" w:rsidR="008A64DF" w:rsidRDefault="008A64DF">
            <w:pPr>
              <w:pStyle w:val="Tabletext"/>
              <w:rPr>
                <w:lang w:val="es-ES"/>
              </w:rPr>
            </w:pPr>
            <w:r>
              <w:rPr>
                <w:lang w:val="es-ES"/>
              </w:rPr>
              <w:t>La Política de Accesibilidad a las TIC para Iraq se elaboró en 2019. Se organizaron cuatro eventos en Iraq en el marco de la Semana de la Inclusión Digital de la UIT-UNESCO que tuvo lugar en Bagdad (Iraq), del 22 al 25 de septiembre de 2019:</w:t>
            </w:r>
          </w:p>
          <w:p w14:paraId="0564EA3E" w14:textId="6E14BB47" w:rsidR="008A64DF" w:rsidRDefault="008A64DF">
            <w:pPr>
              <w:pStyle w:val="Tabletext"/>
              <w:ind w:left="720" w:hanging="720"/>
              <w:rPr>
                <w:lang w:val="es-ES"/>
              </w:rPr>
            </w:pPr>
            <w:r>
              <w:rPr>
                <w:lang w:val="es-ES"/>
              </w:rPr>
              <w:t>•</w:t>
            </w:r>
            <w:r>
              <w:rPr>
                <w:lang w:val="es-ES"/>
              </w:rPr>
              <w:tab/>
              <w:t xml:space="preserve">Foro de </w:t>
            </w:r>
            <w:r w:rsidR="006B528F">
              <w:rPr>
                <w:lang w:val="es-ES"/>
              </w:rPr>
              <w:t>i</w:t>
            </w:r>
            <w:r>
              <w:rPr>
                <w:lang w:val="es-ES"/>
              </w:rPr>
              <w:t xml:space="preserve">nclusión </w:t>
            </w:r>
            <w:r w:rsidR="006B528F">
              <w:rPr>
                <w:lang w:val="es-ES"/>
              </w:rPr>
              <w:t>d</w:t>
            </w:r>
            <w:r>
              <w:rPr>
                <w:lang w:val="es-ES"/>
              </w:rPr>
              <w:t>igital, en colaboración con la UNESCO, para arrojar luz sobre proyectos y actividades de las principales partes interesadas de la Región Árabe (22 de septiembre, participaron unas 150 personas).</w:t>
            </w:r>
          </w:p>
          <w:p w14:paraId="0B7AED7F" w14:textId="36932F7C" w:rsidR="008A64DF" w:rsidRDefault="008A64DF">
            <w:pPr>
              <w:pStyle w:val="Tabletext"/>
              <w:ind w:left="720" w:hanging="720"/>
              <w:rPr>
                <w:lang w:val="es-ES"/>
              </w:rPr>
            </w:pPr>
            <w:r>
              <w:rPr>
                <w:lang w:val="es-ES"/>
              </w:rPr>
              <w:t>•</w:t>
            </w:r>
            <w:r>
              <w:rPr>
                <w:lang w:val="es-ES"/>
              </w:rPr>
              <w:tab/>
              <w:t>Taller nacional sobre la accesibilidad de las TIC para las personas con discapacidad, organizado para presentar el proyecto de propuesta de la UIT para la política nacional de accesibilidad de las</w:t>
            </w:r>
            <w:r w:rsidR="006B528F">
              <w:rPr>
                <w:lang w:val="es-ES"/>
              </w:rPr>
              <w:t> </w:t>
            </w:r>
            <w:r>
              <w:rPr>
                <w:lang w:val="es-ES"/>
              </w:rPr>
              <w:t>TIC de Iraq (23 de septiembre, participaron unas 30 personas).</w:t>
            </w:r>
          </w:p>
          <w:p w14:paraId="05F5D19F" w14:textId="048DE3C7" w:rsidR="008A64DF" w:rsidRDefault="008A64DF">
            <w:pPr>
              <w:pStyle w:val="Tabletext"/>
              <w:ind w:left="720" w:hanging="720"/>
              <w:rPr>
                <w:lang w:val="es-ES"/>
              </w:rPr>
            </w:pPr>
            <w:r>
              <w:rPr>
                <w:lang w:val="es-ES"/>
              </w:rPr>
              <w:t>•</w:t>
            </w:r>
            <w:r>
              <w:rPr>
                <w:lang w:val="es-ES"/>
              </w:rPr>
              <w:tab/>
              <w:t>Taller nacional sobre políticas de aprendizaje inteligente en colaboración con la UNESCO, para arrojar luz sobre cuestiones fundamentales relativas a las políticas de aprendizaje inteligente (24</w:t>
            </w:r>
            <w:r w:rsidR="006B528F">
              <w:rPr>
                <w:lang w:val="es-ES"/>
              </w:rPr>
              <w:t> </w:t>
            </w:r>
            <w:r>
              <w:rPr>
                <w:lang w:val="es-ES"/>
              </w:rPr>
              <w:t>de septiembre, participaron unas 30 personas).</w:t>
            </w:r>
          </w:p>
          <w:p w14:paraId="427761E1" w14:textId="77777777" w:rsidR="008A64DF" w:rsidRDefault="008A64DF">
            <w:pPr>
              <w:pStyle w:val="Tabletext"/>
              <w:ind w:left="720" w:hanging="720"/>
              <w:rPr>
                <w:lang w:val="es-ES"/>
              </w:rPr>
            </w:pPr>
            <w:r>
              <w:rPr>
                <w:lang w:val="es-ES"/>
              </w:rPr>
              <w:t>•</w:t>
            </w:r>
            <w:r>
              <w:rPr>
                <w:lang w:val="es-ES"/>
              </w:rPr>
              <w:tab/>
              <w:t>Taller nacional sobre ciberseguridad para instituciones financieras, un taller de capacitación para informar sobre cuestiones fundamentales que las instituciones financieras deberían tener en cuenta a la hora de proteger su infraestructura esencial de las TIC (25 de septiembre, participaron unas 50 personas).</w:t>
            </w:r>
          </w:p>
          <w:p w14:paraId="78F2D984" w14:textId="526800AA" w:rsidR="008A64DF" w:rsidRDefault="008A64DF">
            <w:pPr>
              <w:pStyle w:val="Tabletext"/>
              <w:rPr>
                <w:lang w:val="es-ES"/>
              </w:rPr>
            </w:pPr>
            <w:r>
              <w:rPr>
                <w:lang w:val="es-ES"/>
              </w:rPr>
              <w:t>La asistencia en curso prestada en varias esferas ha quedado estancada debido a la inestabilidad en la región y a nivel mundial. Entre ellas figuran la elaboración de una estrategia nacional de ciberseguridad, la sensibilización sobre la protección de la infancia en línea, la radiodifusión digital y las estadísticas sobre residuos electrónicos. Todo ello se ajustaba al plan de implementación acordado para la aplicación de la Resolución 211 con Iraq.</w:t>
            </w:r>
          </w:p>
        </w:tc>
      </w:tr>
      <w:tr w:rsidR="008A64DF" w14:paraId="100E5CAC" w14:textId="77777777" w:rsidTr="00546D24">
        <w:trPr>
          <w:cantSplit/>
        </w:trPr>
        <w:tc>
          <w:tcPr>
            <w:tcW w:w="9026" w:type="dxa"/>
            <w:hideMark/>
          </w:tcPr>
          <w:p w14:paraId="7790671C" w14:textId="77777777" w:rsidR="008A64DF" w:rsidRDefault="008A64DF">
            <w:pPr>
              <w:pStyle w:val="Tabletext"/>
              <w:rPr>
                <w:b/>
                <w:bCs/>
                <w:lang w:val="es-ES"/>
              </w:rPr>
            </w:pPr>
            <w:r w:rsidRPr="00014B92">
              <w:rPr>
                <w:b/>
                <w:bCs/>
                <w:lang w:val="es-ES"/>
              </w:rPr>
              <w:lastRenderedPageBreak/>
              <w:t>213</w:t>
            </w:r>
            <w:r>
              <w:rPr>
                <w:b/>
                <w:bCs/>
                <w:lang w:val="es-ES"/>
              </w:rPr>
              <w:t xml:space="preserve"> (Dubái, 2018) Medida para mejorar, promover y fortalecer las becas de la UIT</w:t>
            </w:r>
          </w:p>
          <w:p w14:paraId="79D0A217" w14:textId="7FA76D42" w:rsidR="008A64DF" w:rsidRDefault="008A64DF">
            <w:pPr>
              <w:pStyle w:val="Tabletext"/>
              <w:rPr>
                <w:lang w:val="es-ES"/>
              </w:rPr>
            </w:pPr>
            <w:r>
              <w:rPr>
                <w:lang w:val="es-ES"/>
              </w:rPr>
              <w:t>Se presentó al GTC-FHR un proyecto de política revisada para la concesión de becas para eventos y actividades financiados con cargo al presupuesto ordinario de la UIT y una lista revisada de países beneficiarios (véase</w:t>
            </w:r>
            <w:r w:rsidR="00AD5AE8">
              <w:rPr>
                <w:lang w:val="es-ES"/>
              </w:rPr>
              <w:t xml:space="preserve"> este</w:t>
            </w:r>
            <w:r>
              <w:rPr>
                <w:lang w:val="es-ES"/>
              </w:rPr>
              <w:t xml:space="preserve"> </w:t>
            </w:r>
            <w:hyperlink r:id="rId522" w:history="1">
              <w:r w:rsidR="00AD5AE8">
                <w:rPr>
                  <w:rStyle w:val="Hyperlink"/>
                  <w:lang w:val="es-ES"/>
                </w:rPr>
                <w:t>enlace</w:t>
              </w:r>
            </w:hyperlink>
            <w:r>
              <w:rPr>
                <w:lang w:val="es-ES"/>
              </w:rPr>
              <w:t xml:space="preserve">). Se había revisado la Orden de servicio Nº 07/05, así como la lista conexa de países </w:t>
            </w:r>
            <w:r w:rsidRPr="00BB6EA3">
              <w:rPr>
                <w:lang w:val="es-ES"/>
              </w:rPr>
              <w:t>beneficiar</w:t>
            </w:r>
            <w:r w:rsidR="00BB6EA3" w:rsidRPr="00BB6EA3">
              <w:rPr>
                <w:lang w:val="es-ES"/>
              </w:rPr>
              <w:t>i</w:t>
            </w:r>
            <w:r w:rsidRPr="00BB6EA3">
              <w:rPr>
                <w:lang w:val="es-ES"/>
              </w:rPr>
              <w:t>os</w:t>
            </w:r>
            <w:r>
              <w:rPr>
                <w:lang w:val="es-ES"/>
              </w:rPr>
              <w:t xml:space="preserve">, en consonancia con el Informe anual de las Naciones Unidas, </w:t>
            </w:r>
            <w:r>
              <w:rPr>
                <w:i/>
                <w:iCs/>
                <w:lang w:val="es-ES"/>
              </w:rPr>
              <w:t>Situación y perspectivas de la economía mundial en 2019</w:t>
            </w:r>
            <w:r>
              <w:rPr>
                <w:lang w:val="es-ES"/>
              </w:rPr>
              <w:t xml:space="preserve">. El informe de las Naciones Unidas para 2020 se publicó el 16 de enero de 2020, mucho después de que este documento se publicara en el sitio web del Grupo de Trabajo del Consejo. En vista de ello, los cambios observados en el informe de las Naciones Unidas </w:t>
            </w:r>
            <w:r w:rsidR="00AD5AE8">
              <w:rPr>
                <w:lang w:val="es-ES"/>
              </w:rPr>
              <w:t>para </w:t>
            </w:r>
            <w:r>
              <w:rPr>
                <w:lang w:val="es-ES"/>
              </w:rPr>
              <w:t>2020 se introducirán en la lista que se presentará al Consejo en junio.</w:t>
            </w:r>
          </w:p>
          <w:p w14:paraId="53E7558C" w14:textId="77777777" w:rsidR="008A64DF" w:rsidRDefault="008A64DF">
            <w:pPr>
              <w:pStyle w:val="Tabletext"/>
              <w:rPr>
                <w:lang w:val="es-ES"/>
              </w:rPr>
            </w:pPr>
            <w:r>
              <w:rPr>
                <w:lang w:val="es-ES"/>
              </w:rPr>
              <w:t>Entre abril de 2018 y noviembre de 2021, la TSB otorgó 370 becas para las siguientes reuniones:</w:t>
            </w:r>
          </w:p>
          <w:p w14:paraId="6CC9CC2D" w14:textId="7E1C4E52" w:rsidR="008A64DF" w:rsidRDefault="008A64DF">
            <w:pPr>
              <w:pStyle w:val="Tabletext"/>
              <w:rPr>
                <w:lang w:val="es-ES"/>
              </w:rPr>
            </w:pPr>
            <w:r>
              <w:rPr>
                <w:lang w:val="es-ES"/>
              </w:rPr>
              <w:t>•</w:t>
            </w:r>
            <w:r>
              <w:rPr>
                <w:lang w:val="es-ES"/>
              </w:rPr>
              <w:tab/>
              <w:t xml:space="preserve">En Ginebra: Comisiones de Estudio 2, 3, 5, 9, 11, 12, 13, 15, 16, 17, 20 </w:t>
            </w:r>
            <w:r w:rsidR="00AD5AE8">
              <w:rPr>
                <w:lang w:val="es-ES"/>
              </w:rPr>
              <w:t xml:space="preserve">del UIT-T </w:t>
            </w:r>
            <w:r>
              <w:rPr>
                <w:lang w:val="es-ES"/>
              </w:rPr>
              <w:t>y GANT.</w:t>
            </w:r>
          </w:p>
          <w:p w14:paraId="14AABEE8" w14:textId="6408FB82" w:rsidR="008A64DF" w:rsidRDefault="008A64DF">
            <w:pPr>
              <w:pStyle w:val="Tabletext"/>
              <w:ind w:left="720" w:hanging="720"/>
              <w:rPr>
                <w:lang w:val="es-ES"/>
              </w:rPr>
            </w:pPr>
            <w:r>
              <w:rPr>
                <w:lang w:val="es-ES"/>
              </w:rPr>
              <w:t>•</w:t>
            </w:r>
            <w:r>
              <w:rPr>
                <w:lang w:val="es-ES"/>
              </w:rPr>
              <w:tab/>
              <w:t xml:space="preserve">Fuera de Ginebra: GRCE5-AFR + GRCE20-AFR y GRCE13-AFR (Nigeria), Formación en C+I para AFR (Ghana), </w:t>
            </w:r>
            <w:r w:rsidRPr="005621ED">
              <w:rPr>
                <w:lang w:val="es-ES"/>
              </w:rPr>
              <w:t>GRCE3-AFR</w:t>
            </w:r>
            <w:r>
              <w:rPr>
                <w:lang w:val="es-ES"/>
              </w:rPr>
              <w:t xml:space="preserve"> (Madagascar), CE</w:t>
            </w:r>
            <w:r w:rsidR="00AD5AE8">
              <w:rPr>
                <w:lang w:val="es-ES"/>
              </w:rPr>
              <w:t> </w:t>
            </w:r>
            <w:r>
              <w:rPr>
                <w:lang w:val="es-ES"/>
              </w:rPr>
              <w:t>9 (Colombia), CE</w:t>
            </w:r>
            <w:r w:rsidR="00AD5AE8">
              <w:rPr>
                <w:lang w:val="es-ES"/>
              </w:rPr>
              <w:t> </w:t>
            </w:r>
            <w:r>
              <w:rPr>
                <w:lang w:val="es-ES"/>
              </w:rPr>
              <w:t>20 y GRCE2-ARB + GRCE2-AFR (Egipto), GRCE3-AO (Sri Lanka), GRCE2-ARB + GRCE2-AFR + GRCE3-ARB (EAU), GRCE12-AFR (Rwanda), GRCE3-ARB + GRCE5-ARB y GRCE17-ARB (Kuwait), CE</w:t>
            </w:r>
            <w:r w:rsidR="00AD5AE8">
              <w:rPr>
                <w:lang w:val="es-ES"/>
              </w:rPr>
              <w:t> </w:t>
            </w:r>
            <w:r>
              <w:rPr>
                <w:lang w:val="es-ES"/>
              </w:rPr>
              <w:t>16 (Eslovenia), GRCE2-AMR + GRCE3-LAC (Nicaragua), GRCE20-EECAT y GRCE3-EECAT (Belarús), GRCE12-AFR (Chad), GRCE11-EECAT + GRCE20-EECAT y GRCE3-EECAT + GRCE11-EECAT + GRCE13-EECAT (Rusia), CE</w:t>
            </w:r>
            <w:r w:rsidR="00AD5AE8">
              <w:rPr>
                <w:lang w:val="es-ES"/>
              </w:rPr>
              <w:t> </w:t>
            </w:r>
            <w:r>
              <w:rPr>
                <w:lang w:val="es-ES"/>
              </w:rPr>
              <w:t>5 (Francia), CE</w:t>
            </w:r>
            <w:r w:rsidR="00AD5AE8">
              <w:rPr>
                <w:lang w:val="es-ES"/>
              </w:rPr>
              <w:t> </w:t>
            </w:r>
            <w:r>
              <w:rPr>
                <w:lang w:val="es-ES"/>
              </w:rPr>
              <w:t>9 (Japón), Formación en C+I para AFR y GRCE11-AFR y GRCE17-AFR + GRCE17-ARB y GRCE2-AFR + GRCE2-ARB (Túnez), CE</w:t>
            </w:r>
            <w:r w:rsidR="00AD5AE8">
              <w:rPr>
                <w:lang w:val="es-ES"/>
              </w:rPr>
              <w:t> </w:t>
            </w:r>
            <w:r>
              <w:rPr>
                <w:lang w:val="es-ES"/>
              </w:rPr>
              <w:t>13 (Zimbabwe), CE</w:t>
            </w:r>
            <w:r w:rsidR="00AD5AE8">
              <w:rPr>
                <w:lang w:val="es-ES"/>
              </w:rPr>
              <w:t> </w:t>
            </w:r>
            <w:r>
              <w:rPr>
                <w:lang w:val="es-ES"/>
              </w:rPr>
              <w:t>20 y GRCE3-AO (China), GRCE5-AFR + GRCE5-ARB + GRCE20-AFR (Tanzan</w:t>
            </w:r>
            <w:r w:rsidR="00446CE6">
              <w:rPr>
                <w:lang w:val="es-ES"/>
              </w:rPr>
              <w:t>í</w:t>
            </w:r>
            <w:r>
              <w:rPr>
                <w:lang w:val="es-ES"/>
              </w:rPr>
              <w:t>a).</w:t>
            </w:r>
          </w:p>
          <w:p w14:paraId="756A74C3" w14:textId="36D06EEE" w:rsidR="008A64DF" w:rsidRDefault="008A64DF">
            <w:pPr>
              <w:pStyle w:val="Tabletext"/>
              <w:rPr>
                <w:lang w:val="es-ES"/>
              </w:rPr>
            </w:pPr>
            <w:r>
              <w:rPr>
                <w:lang w:val="es-ES"/>
              </w:rPr>
              <w:t>La TSB recibió 643 solicitudes de becas. Se concedieron un total de 462. De éstas, se utilizaron 370 por un total de 825 000</w:t>
            </w:r>
            <w:r w:rsidR="00AD5AE8">
              <w:rPr>
                <w:lang w:val="es-ES"/>
              </w:rPr>
              <w:t> </w:t>
            </w:r>
            <w:r>
              <w:rPr>
                <w:lang w:val="es-ES"/>
              </w:rPr>
              <w:t>CHF.</w:t>
            </w:r>
          </w:p>
        </w:tc>
      </w:tr>
      <w:tr w:rsidR="008A64DF" w:rsidRPr="008A64DF" w14:paraId="5F45E795" w14:textId="77777777" w:rsidTr="00084D3A">
        <w:tc>
          <w:tcPr>
            <w:tcW w:w="9026" w:type="dxa"/>
            <w:hideMark/>
          </w:tcPr>
          <w:p w14:paraId="1205E178" w14:textId="77777777" w:rsidR="008A64DF" w:rsidRDefault="008A64DF">
            <w:pPr>
              <w:pStyle w:val="Tabletext"/>
              <w:rPr>
                <w:b/>
                <w:bCs/>
                <w:lang w:val="es-ES"/>
              </w:rPr>
            </w:pPr>
            <w:r>
              <w:rPr>
                <w:b/>
                <w:bCs/>
                <w:lang w:val="es-ES"/>
              </w:rPr>
              <w:t>Decisión 5 (Rev. Dubái, 2018) Ingresos y gastos de la Unión para el periodo 2020-2023</w:t>
            </w:r>
          </w:p>
          <w:p w14:paraId="06A767CD" w14:textId="77777777" w:rsidR="008A64DF" w:rsidRDefault="008A64DF">
            <w:pPr>
              <w:pStyle w:val="Tabletext"/>
              <w:rPr>
                <w:lang w:val="es-ES"/>
              </w:rPr>
            </w:pPr>
            <w:r>
              <w:rPr>
                <w:lang w:val="es-ES"/>
              </w:rPr>
              <w:t xml:space="preserve">Véase el informe al Consejo (Documento </w:t>
            </w:r>
            <w:hyperlink r:id="rId523" w:history="1">
              <w:r>
                <w:rPr>
                  <w:rStyle w:val="Hyperlink"/>
                  <w:lang w:val="es-ES"/>
                </w:rPr>
                <w:t>C20/9</w:t>
              </w:r>
            </w:hyperlink>
            <w:r>
              <w:rPr>
                <w:lang w:val="es-ES"/>
              </w:rPr>
              <w:t xml:space="preserve">) y el </w:t>
            </w:r>
            <w:hyperlink r:id="rId524" w:history="1">
              <w:r>
                <w:rPr>
                  <w:rStyle w:val="Hyperlink"/>
                  <w:lang w:val="es-ES"/>
                </w:rPr>
                <w:t>Informe del Presidente del GTC-RHF</w:t>
              </w:r>
            </w:hyperlink>
            <w:r>
              <w:rPr>
                <w:lang w:val="es-ES"/>
              </w:rPr>
              <w:t>.</w:t>
            </w:r>
          </w:p>
        </w:tc>
      </w:tr>
    </w:tbl>
    <w:p w14:paraId="17D21D3E" w14:textId="77777777" w:rsidR="008A64DF" w:rsidRDefault="008A64DF" w:rsidP="008A64DF">
      <w:pPr>
        <w:rPr>
          <w:lang w:val="es-ES"/>
        </w:rPr>
      </w:pPr>
      <w:r>
        <w:rPr>
          <w:lang w:val="es-ES"/>
        </w:rPr>
        <w:br w:type="page"/>
      </w:r>
      <w:bookmarkStart w:id="272" w:name="_Toc38828376"/>
      <w:bookmarkStart w:id="273" w:name="_Toc41289299"/>
      <w:bookmarkStart w:id="274" w:name="_Toc41289442"/>
      <w:bookmarkStart w:id="275" w:name="Annex_2"/>
    </w:p>
    <w:p w14:paraId="72B88C64" w14:textId="77777777" w:rsidR="008A64DF" w:rsidRDefault="008A64DF" w:rsidP="008A64DF">
      <w:pPr>
        <w:pStyle w:val="AnnexNo"/>
        <w:rPr>
          <w:lang w:val="es-ES"/>
        </w:rPr>
      </w:pPr>
      <w:bookmarkStart w:id="276" w:name="_Toc97821284"/>
      <w:r w:rsidRPr="005621ED">
        <w:rPr>
          <w:lang w:val="es-ES"/>
        </w:rPr>
        <w:lastRenderedPageBreak/>
        <w:t>Anexo 2</w:t>
      </w:r>
      <w:bookmarkEnd w:id="276"/>
    </w:p>
    <w:p w14:paraId="2CEED35D" w14:textId="77777777" w:rsidR="008A64DF" w:rsidRDefault="008A64DF" w:rsidP="008A64DF">
      <w:pPr>
        <w:pStyle w:val="Annextitle"/>
        <w:rPr>
          <w:lang w:val="es-ES"/>
        </w:rPr>
      </w:pPr>
      <w:bookmarkStart w:id="277" w:name="_Toc73695047"/>
      <w:bookmarkStart w:id="278" w:name="_Toc97821285"/>
      <w:r>
        <w:rPr>
          <w:lang w:val="es-ES"/>
        </w:rPr>
        <w:t>Resultados de la labor de la Unión/eficiencia de los propiciadores</w:t>
      </w:r>
      <w:bookmarkEnd w:id="272"/>
      <w:bookmarkEnd w:id="273"/>
      <w:bookmarkEnd w:id="274"/>
      <w:bookmarkEnd w:id="277"/>
      <w:bookmarkEnd w:id="278"/>
    </w:p>
    <w:p w14:paraId="612F5426" w14:textId="77777777" w:rsidR="008A64DF" w:rsidRDefault="008A64DF" w:rsidP="008A64DF">
      <w:pPr>
        <w:pStyle w:val="Heading2"/>
        <w:rPr>
          <w:lang w:val="es-ES"/>
        </w:rPr>
      </w:pPr>
      <w:bookmarkStart w:id="279" w:name="_Toc37860479"/>
      <w:bookmarkStart w:id="280" w:name="_Toc37861239"/>
      <w:bookmarkStart w:id="281" w:name="_Toc37943363"/>
      <w:bookmarkStart w:id="282" w:name="_Toc38828377"/>
      <w:bookmarkStart w:id="283" w:name="_Toc41289300"/>
      <w:bookmarkStart w:id="284" w:name="_Toc41289443"/>
      <w:bookmarkStart w:id="285" w:name="_Toc97821286"/>
      <w:bookmarkEnd w:id="275"/>
      <w:r>
        <w:rPr>
          <w:lang w:val="es-ES"/>
        </w:rPr>
        <w:t>Objetivos del UIT-R</w:t>
      </w:r>
      <w:bookmarkEnd w:id="279"/>
      <w:bookmarkEnd w:id="280"/>
      <w:bookmarkEnd w:id="281"/>
      <w:bookmarkEnd w:id="282"/>
      <w:bookmarkEnd w:id="283"/>
      <w:bookmarkEnd w:id="284"/>
      <w:bookmarkEnd w:id="285"/>
    </w:p>
    <w:p w14:paraId="6FBC2CF0" w14:textId="77777777" w:rsidR="008A64DF" w:rsidRDefault="008A64DF" w:rsidP="008A64DF">
      <w:pPr>
        <w:rPr>
          <w:lang w:val="es-ES"/>
        </w:rPr>
      </w:pPr>
      <w:r>
        <w:rPr>
          <w:b/>
          <w:bCs/>
          <w:lang w:val="es-ES"/>
        </w:rPr>
        <w:t>Objetivo R.1</w:t>
      </w:r>
      <w:r>
        <w:rPr>
          <w:lang w:val="es-ES"/>
        </w:rPr>
        <w:t>: Atender de manera racional, equitativa, eficiente, económica y oportuna a las necesidades de los miembros de la UIT en materia de recursos de espectro de radiofrecuencias y órbitas de satélites, evitando interferencias perjudiciales</w:t>
      </w:r>
    </w:p>
    <w:p w14:paraId="2114EC0D" w14:textId="77777777" w:rsidR="008A64DF" w:rsidRDefault="008A64DF" w:rsidP="008A64DF">
      <w:pPr>
        <w:pStyle w:val="Headingb"/>
        <w:spacing w:after="120"/>
        <w:rPr>
          <w:lang w:val="es-ES"/>
        </w:rPr>
      </w:pPr>
      <w:r>
        <w:rPr>
          <w:lang w:val="es-ES"/>
        </w:rPr>
        <w:t>Resultados</w:t>
      </w:r>
    </w:p>
    <w:tbl>
      <w:tblPr>
        <w:tblStyle w:val="TableGrid"/>
        <w:tblW w:w="5000" w:type="pct"/>
        <w:jc w:val="center"/>
        <w:shd w:val="clear" w:color="auto" w:fill="DCE5F4"/>
        <w:tblLook w:val="04A0" w:firstRow="1" w:lastRow="0" w:firstColumn="1" w:lastColumn="0" w:noHBand="0" w:noVBand="1"/>
      </w:tblPr>
      <w:tblGrid>
        <w:gridCol w:w="9629"/>
      </w:tblGrid>
      <w:tr w:rsidR="008A64DF" w:rsidRPr="00677CFA" w14:paraId="7CD88E4C" w14:textId="77777777" w:rsidTr="009A2731">
        <w:trPr>
          <w:jc w:val="center"/>
        </w:trPr>
        <w:tc>
          <w:tcPr>
            <w:tcW w:w="9016" w:type="dxa"/>
            <w:shd w:val="clear" w:color="auto" w:fill="DCE5F4"/>
            <w:hideMark/>
          </w:tcPr>
          <w:p w14:paraId="3AB061C0" w14:textId="77777777" w:rsidR="008A64DF" w:rsidRPr="009A2731" w:rsidRDefault="008A64DF" w:rsidP="009A2731">
            <w:pPr>
              <w:pStyle w:val="Tabletext"/>
              <w:rPr>
                <w:lang w:val="es-ES"/>
              </w:rPr>
            </w:pPr>
            <w:r w:rsidRPr="009A2731">
              <w:rPr>
                <w:lang w:val="es-ES"/>
              </w:rPr>
              <w:t>R.1-a: Mayor número de países que tienen redes de satélite y estaciones terrenas inscritas en el Registro Internacional de Frecuencias (MIFR)</w:t>
            </w:r>
          </w:p>
          <w:p w14:paraId="1BA2D0FA" w14:textId="77777777" w:rsidR="008A64DF" w:rsidRPr="009A2731" w:rsidRDefault="008A64DF" w:rsidP="009A2731">
            <w:pPr>
              <w:pStyle w:val="Tabletext"/>
              <w:rPr>
                <w:lang w:val="es-ES"/>
              </w:rPr>
            </w:pPr>
            <w:r w:rsidRPr="009A2731">
              <w:rPr>
                <w:lang w:val="es-ES"/>
              </w:rPr>
              <w:t>R.1-b: Mayor número de países que tienen asignaciones de frecuencias terrenales inscritas en el MIFR</w:t>
            </w:r>
          </w:p>
          <w:p w14:paraId="5037D292" w14:textId="77777777" w:rsidR="008A64DF" w:rsidRPr="009A2731" w:rsidRDefault="008A64DF" w:rsidP="009A2731">
            <w:pPr>
              <w:pStyle w:val="Tabletext"/>
              <w:rPr>
                <w:lang w:val="es-ES"/>
              </w:rPr>
            </w:pPr>
            <w:r w:rsidRPr="009A2731">
              <w:rPr>
                <w:lang w:val="es-ES"/>
              </w:rPr>
              <w:t>R.1-c: Mayor porcentaje de asignaciones inscritas en el Registro Internacional de Frecuencias con conclusión favorable</w:t>
            </w:r>
          </w:p>
          <w:p w14:paraId="08961D62" w14:textId="77777777" w:rsidR="008A64DF" w:rsidRPr="009A2731" w:rsidRDefault="008A64DF" w:rsidP="009A2731">
            <w:pPr>
              <w:pStyle w:val="Tabletext"/>
              <w:rPr>
                <w:lang w:val="es-ES"/>
              </w:rPr>
            </w:pPr>
            <w:r w:rsidRPr="009A2731">
              <w:rPr>
                <w:lang w:val="es-ES"/>
              </w:rPr>
              <w:t>R.1-d: Mayor porcentaje de países que han completado la transición a la radiodifusión de televisión terrenal digital</w:t>
            </w:r>
          </w:p>
          <w:p w14:paraId="01F1F320" w14:textId="77777777" w:rsidR="008A64DF" w:rsidRPr="009A2731" w:rsidRDefault="008A64DF" w:rsidP="009A2731">
            <w:pPr>
              <w:pStyle w:val="Tabletext"/>
              <w:rPr>
                <w:lang w:val="es-ES"/>
              </w:rPr>
            </w:pPr>
            <w:r w:rsidRPr="009A2731">
              <w:rPr>
                <w:lang w:val="es-ES"/>
              </w:rPr>
              <w:t>R.1-e: Mayor porcentaje de espectro exento de interferencia perjudicial asignado a redes de satélite</w:t>
            </w:r>
          </w:p>
          <w:p w14:paraId="3A08C0C8" w14:textId="77777777" w:rsidR="008A64DF" w:rsidRPr="009A2731" w:rsidRDefault="008A64DF" w:rsidP="009A2731">
            <w:pPr>
              <w:pStyle w:val="Tabletext"/>
              <w:rPr>
                <w:lang w:val="es-ES"/>
              </w:rPr>
            </w:pPr>
            <w:r w:rsidRPr="009A2731">
              <w:rPr>
                <w:lang w:val="es-ES"/>
              </w:rPr>
              <w:t>R.1-f: Mayor porcentaje de asignaciones exentas de interferencias perjudiciales a servicios terrenales inscritas en el Registro</w:t>
            </w:r>
          </w:p>
        </w:tc>
      </w:tr>
    </w:tbl>
    <w:p w14:paraId="1AD8020E" w14:textId="77777777" w:rsidR="008A64DF" w:rsidRDefault="008A64DF" w:rsidP="008A64DF">
      <w:pPr>
        <w:pStyle w:val="Headingb"/>
        <w:spacing w:after="120"/>
        <w:rPr>
          <w:lang w:val="es-ES"/>
        </w:rPr>
      </w:pPr>
      <w:r>
        <w:rPr>
          <w:lang w:val="es-ES"/>
        </w:rPr>
        <w:t>Progresos logrados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2"/>
        <w:gridCol w:w="4867"/>
      </w:tblGrid>
      <w:tr w:rsidR="008A64DF" w14:paraId="17107CDC" w14:textId="77777777" w:rsidTr="008A64DF">
        <w:trPr>
          <w:jc w:val="center"/>
        </w:trPr>
        <w:tc>
          <w:tcPr>
            <w:tcW w:w="4490" w:type="dxa"/>
            <w:hideMark/>
          </w:tcPr>
          <w:p w14:paraId="6BD3A415" w14:textId="0DF26AA0" w:rsidR="005D2777" w:rsidRPr="005D2777" w:rsidRDefault="005D2777" w:rsidP="005D2777">
            <w:pPr>
              <w:pStyle w:val="Figure"/>
              <w:rPr>
                <w:lang w:val="es-ES"/>
              </w:rPr>
            </w:pPr>
            <w:r>
              <w:rPr>
                <w:noProof/>
                <w:lang w:val="es-ES"/>
              </w:rPr>
              <w:drawing>
                <wp:inline distT="0" distB="0" distL="0" distR="0" wp14:anchorId="73EB4F12" wp14:editId="61C9B51E">
                  <wp:extent cx="2700000" cy="1656000"/>
                  <wp:effectExtent l="0" t="0" r="5715" b="1905"/>
                  <wp:docPr id="505389745" name="Picture 505389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2700000" cy="1656000"/>
                          </a:xfrm>
                          <a:prstGeom prst="rect">
                            <a:avLst/>
                          </a:prstGeom>
                          <a:noFill/>
                        </pic:spPr>
                      </pic:pic>
                    </a:graphicData>
                  </a:graphic>
                </wp:inline>
              </w:drawing>
            </w:r>
          </w:p>
        </w:tc>
        <w:tc>
          <w:tcPr>
            <w:tcW w:w="4536" w:type="dxa"/>
            <w:hideMark/>
          </w:tcPr>
          <w:p w14:paraId="314AA108" w14:textId="1F935B1C" w:rsidR="008A64DF" w:rsidRDefault="008A64DF">
            <w:pPr>
              <w:pStyle w:val="Figure"/>
              <w:rPr>
                <w:lang w:val="es-ES"/>
              </w:rPr>
            </w:pPr>
          </w:p>
        </w:tc>
      </w:tr>
      <w:tr w:rsidR="008A64DF" w14:paraId="7A444187" w14:textId="77777777" w:rsidTr="008A64DF">
        <w:trPr>
          <w:jc w:val="center"/>
        </w:trPr>
        <w:tc>
          <w:tcPr>
            <w:tcW w:w="4490" w:type="dxa"/>
            <w:hideMark/>
          </w:tcPr>
          <w:p w14:paraId="6E92CC4D" w14:textId="68F0A1E3" w:rsidR="005D2777" w:rsidRPr="005D2777" w:rsidRDefault="005D2777" w:rsidP="005D2777">
            <w:pPr>
              <w:pStyle w:val="Figure"/>
              <w:rPr>
                <w:lang w:val="es-ES"/>
              </w:rPr>
            </w:pPr>
            <w:r>
              <w:rPr>
                <w:noProof/>
                <w:lang w:val="es-ES"/>
              </w:rPr>
              <w:drawing>
                <wp:inline distT="0" distB="0" distL="0" distR="0" wp14:anchorId="207F0FCA" wp14:editId="3E629608">
                  <wp:extent cx="2754000" cy="1656000"/>
                  <wp:effectExtent l="0" t="0" r="8255" b="1905"/>
                  <wp:docPr id="505389747" name="Picture 505389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2754000" cy="1656000"/>
                          </a:xfrm>
                          <a:prstGeom prst="rect">
                            <a:avLst/>
                          </a:prstGeom>
                          <a:noFill/>
                        </pic:spPr>
                      </pic:pic>
                    </a:graphicData>
                  </a:graphic>
                </wp:inline>
              </w:drawing>
            </w:r>
          </w:p>
        </w:tc>
        <w:tc>
          <w:tcPr>
            <w:tcW w:w="4536" w:type="dxa"/>
            <w:hideMark/>
          </w:tcPr>
          <w:p w14:paraId="10B491A6" w14:textId="6ECA2D8C" w:rsidR="005D2777" w:rsidRPr="005D2777" w:rsidRDefault="005D2777" w:rsidP="005D2777">
            <w:pPr>
              <w:pStyle w:val="Figure"/>
              <w:rPr>
                <w:lang w:val="es-ES"/>
              </w:rPr>
            </w:pPr>
            <w:r>
              <w:rPr>
                <w:noProof/>
                <w:lang w:val="es-ES"/>
              </w:rPr>
              <w:drawing>
                <wp:inline distT="0" distB="0" distL="0" distR="0" wp14:anchorId="428A6EBE" wp14:editId="4451548D">
                  <wp:extent cx="2815200" cy="1656000"/>
                  <wp:effectExtent l="0" t="0" r="4445" b="1905"/>
                  <wp:docPr id="505389748" name="Picture 505389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2815200" cy="1656000"/>
                          </a:xfrm>
                          <a:prstGeom prst="rect">
                            <a:avLst/>
                          </a:prstGeom>
                          <a:noFill/>
                        </pic:spPr>
                      </pic:pic>
                    </a:graphicData>
                  </a:graphic>
                </wp:inline>
              </w:drawing>
            </w:r>
          </w:p>
        </w:tc>
      </w:tr>
      <w:tr w:rsidR="008A64DF" w14:paraId="71F1E188" w14:textId="77777777" w:rsidTr="008A64DF">
        <w:trPr>
          <w:jc w:val="center"/>
        </w:trPr>
        <w:tc>
          <w:tcPr>
            <w:tcW w:w="4490" w:type="dxa"/>
            <w:hideMark/>
          </w:tcPr>
          <w:p w14:paraId="2792C909" w14:textId="5289794F" w:rsidR="00B4164B" w:rsidRPr="00B4164B" w:rsidRDefault="00B4164B" w:rsidP="00B4164B">
            <w:pPr>
              <w:pStyle w:val="Figure"/>
              <w:rPr>
                <w:lang w:val="es-ES"/>
              </w:rPr>
            </w:pPr>
            <w:r>
              <w:rPr>
                <w:noProof/>
                <w:lang w:val="es-ES"/>
              </w:rPr>
              <w:lastRenderedPageBreak/>
              <w:drawing>
                <wp:inline distT="0" distB="0" distL="0" distR="0" wp14:anchorId="7C812D5E" wp14:editId="2E2135F4">
                  <wp:extent cx="2754000" cy="1656000"/>
                  <wp:effectExtent l="0" t="0" r="8255" b="1905"/>
                  <wp:docPr id="505389750" name="Picture 505389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2754000" cy="1656000"/>
                          </a:xfrm>
                          <a:prstGeom prst="rect">
                            <a:avLst/>
                          </a:prstGeom>
                          <a:noFill/>
                        </pic:spPr>
                      </pic:pic>
                    </a:graphicData>
                  </a:graphic>
                </wp:inline>
              </w:drawing>
            </w:r>
          </w:p>
        </w:tc>
        <w:tc>
          <w:tcPr>
            <w:tcW w:w="4536" w:type="dxa"/>
            <w:hideMark/>
          </w:tcPr>
          <w:p w14:paraId="453734D0" w14:textId="30FEEBC3" w:rsidR="00B4164B" w:rsidRPr="00B4164B" w:rsidRDefault="00B4164B" w:rsidP="00B4164B">
            <w:pPr>
              <w:pStyle w:val="Figure"/>
              <w:rPr>
                <w:lang w:val="es-ES"/>
              </w:rPr>
            </w:pPr>
            <w:r>
              <w:rPr>
                <w:noProof/>
                <w:lang w:val="es-ES"/>
              </w:rPr>
              <w:drawing>
                <wp:inline distT="0" distB="0" distL="0" distR="0" wp14:anchorId="4F88A908" wp14:editId="3797C528">
                  <wp:extent cx="2754000" cy="1656000"/>
                  <wp:effectExtent l="0" t="0" r="8255" b="1905"/>
                  <wp:docPr id="505389751" name="Picture 505389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2754000" cy="1656000"/>
                          </a:xfrm>
                          <a:prstGeom prst="rect">
                            <a:avLst/>
                          </a:prstGeom>
                          <a:noFill/>
                        </pic:spPr>
                      </pic:pic>
                    </a:graphicData>
                  </a:graphic>
                </wp:inline>
              </w:drawing>
            </w:r>
          </w:p>
        </w:tc>
      </w:tr>
      <w:tr w:rsidR="008A64DF" w14:paraId="67DA3D31" w14:textId="77777777" w:rsidTr="008A64DF">
        <w:trPr>
          <w:jc w:val="center"/>
        </w:trPr>
        <w:tc>
          <w:tcPr>
            <w:tcW w:w="4490" w:type="dxa"/>
            <w:hideMark/>
          </w:tcPr>
          <w:p w14:paraId="676613AB" w14:textId="33EBB259" w:rsidR="004F46BF" w:rsidRPr="004F46BF" w:rsidRDefault="006413DA" w:rsidP="004F46BF">
            <w:pPr>
              <w:pStyle w:val="Figure"/>
              <w:rPr>
                <w:lang w:val="es-ES"/>
              </w:rPr>
            </w:pPr>
            <w:r>
              <w:rPr>
                <w:noProof/>
                <w:lang w:val="es-ES"/>
              </w:rPr>
              <w:drawing>
                <wp:inline distT="0" distB="0" distL="0" distR="0" wp14:anchorId="786537B4" wp14:editId="3958E497">
                  <wp:extent cx="2754000" cy="1656000"/>
                  <wp:effectExtent l="0" t="0" r="8255" b="1905"/>
                  <wp:docPr id="505389754" name="Picture 505389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2754000" cy="1656000"/>
                          </a:xfrm>
                          <a:prstGeom prst="rect">
                            <a:avLst/>
                          </a:prstGeom>
                          <a:noFill/>
                        </pic:spPr>
                      </pic:pic>
                    </a:graphicData>
                  </a:graphic>
                </wp:inline>
              </w:drawing>
            </w:r>
          </w:p>
        </w:tc>
        <w:tc>
          <w:tcPr>
            <w:tcW w:w="4536" w:type="dxa"/>
            <w:hideMark/>
          </w:tcPr>
          <w:p w14:paraId="520D6B4D" w14:textId="10ED1485" w:rsidR="006413DA" w:rsidRPr="006413DA" w:rsidRDefault="006413DA" w:rsidP="006413DA">
            <w:pPr>
              <w:pStyle w:val="Figure"/>
              <w:rPr>
                <w:lang w:val="es-ES"/>
              </w:rPr>
            </w:pPr>
            <w:r>
              <w:rPr>
                <w:noProof/>
                <w:lang w:val="es-ES"/>
              </w:rPr>
              <w:drawing>
                <wp:inline distT="0" distB="0" distL="0" distR="0" wp14:anchorId="667F56E3" wp14:editId="427F41AA">
                  <wp:extent cx="2754000" cy="1656000"/>
                  <wp:effectExtent l="0" t="0" r="8255" b="1905"/>
                  <wp:docPr id="505389753" name="Picture 505389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2754000" cy="1656000"/>
                          </a:xfrm>
                          <a:prstGeom prst="rect">
                            <a:avLst/>
                          </a:prstGeom>
                          <a:noFill/>
                        </pic:spPr>
                      </pic:pic>
                    </a:graphicData>
                  </a:graphic>
                </wp:inline>
              </w:drawing>
            </w:r>
          </w:p>
        </w:tc>
      </w:tr>
    </w:tbl>
    <w:p w14:paraId="3A6A60EF" w14:textId="77777777" w:rsidR="008A64DF" w:rsidRDefault="008A64DF" w:rsidP="008A64DF">
      <w:pPr>
        <w:pStyle w:val="Normalaftertitle"/>
        <w:rPr>
          <w:lang w:val="es-ES"/>
        </w:rPr>
      </w:pPr>
      <w:r>
        <w:rPr>
          <w:b/>
          <w:bCs/>
          <w:lang w:val="es-ES"/>
        </w:rPr>
        <w:t>Objetivo R.2</w:t>
      </w:r>
      <w:r w:rsidRPr="004B18C2">
        <w:rPr>
          <w:lang w:val="es-ES"/>
        </w:rPr>
        <w:t xml:space="preserve"> </w:t>
      </w:r>
      <w:r>
        <w:rPr>
          <w:lang w:val="es-ES"/>
        </w:rPr>
        <w:t>(normas de radiocomunicaciones): Asegurar la conectividad e interoperabilidad mundial, la mejora de la calidad de funcionamiento, la calidad, la asequibilidad y la disponibilidad oportuna de los servicios y la economía global de las radiocomunicaciones, incluida la elaboración de normas internacionales</w:t>
      </w:r>
    </w:p>
    <w:p w14:paraId="1E158C64" w14:textId="77777777" w:rsidR="008A64DF" w:rsidRDefault="008A64DF" w:rsidP="008A64DF">
      <w:pPr>
        <w:pStyle w:val="Headingb"/>
        <w:spacing w:after="120"/>
        <w:rPr>
          <w:lang w:val="es-ES"/>
        </w:rPr>
      </w:pPr>
      <w:r>
        <w:rPr>
          <w:lang w:val="es-ES"/>
        </w:rPr>
        <w:t>Resultados</w:t>
      </w:r>
    </w:p>
    <w:tbl>
      <w:tblPr>
        <w:tblStyle w:val="TableGrid"/>
        <w:tblW w:w="5000" w:type="pct"/>
        <w:jc w:val="center"/>
        <w:tblLook w:val="04A0" w:firstRow="1" w:lastRow="0" w:firstColumn="1" w:lastColumn="0" w:noHBand="0" w:noVBand="1"/>
      </w:tblPr>
      <w:tblGrid>
        <w:gridCol w:w="9629"/>
      </w:tblGrid>
      <w:tr w:rsidR="008A64DF" w:rsidRPr="00677CFA" w14:paraId="02090EB1" w14:textId="77777777" w:rsidTr="008A64DF">
        <w:trPr>
          <w:jc w:val="center"/>
        </w:trPr>
        <w:tc>
          <w:tcPr>
            <w:tcW w:w="9016" w:type="dxa"/>
            <w:tcBorders>
              <w:top w:val="single" w:sz="4" w:space="0" w:color="auto"/>
              <w:left w:val="single" w:sz="4" w:space="0" w:color="auto"/>
              <w:bottom w:val="single" w:sz="4" w:space="0" w:color="auto"/>
              <w:right w:val="single" w:sz="4" w:space="0" w:color="auto"/>
            </w:tcBorders>
            <w:shd w:val="clear" w:color="auto" w:fill="DCE5F4"/>
            <w:hideMark/>
          </w:tcPr>
          <w:p w14:paraId="3BB78A75" w14:textId="77777777" w:rsidR="008A64DF" w:rsidRPr="004B18C2" w:rsidRDefault="008A64DF" w:rsidP="004B18C2">
            <w:pPr>
              <w:pStyle w:val="Tabletext"/>
              <w:rPr>
                <w:lang w:val="es-ES"/>
              </w:rPr>
            </w:pPr>
            <w:r w:rsidRPr="004B18C2">
              <w:rPr>
                <w:lang w:val="es-ES"/>
              </w:rPr>
              <w:t>R.2-a: Mayor acceso y utilización de banda ancha móvil, incluso en bandas de frecuencias identificadas para las telecomunicaciones móviles internacionales (IMT)</w:t>
            </w:r>
          </w:p>
          <w:p w14:paraId="0B4771D7" w14:textId="656298A1" w:rsidR="008A64DF" w:rsidRPr="004B18C2" w:rsidRDefault="008A64DF" w:rsidP="004B18C2">
            <w:pPr>
              <w:pStyle w:val="Tabletext"/>
              <w:rPr>
                <w:lang w:val="es-ES"/>
              </w:rPr>
            </w:pPr>
            <w:r w:rsidRPr="004B18C2">
              <w:rPr>
                <w:lang w:val="es-ES"/>
              </w:rPr>
              <w:t xml:space="preserve">R.2-b: Disminución de la cesta de precios de la banda ancha móvil en porcentaje de la </w:t>
            </w:r>
            <w:r w:rsidR="004B18C2">
              <w:rPr>
                <w:lang w:val="es-ES"/>
              </w:rPr>
              <w:t>r</w:t>
            </w:r>
            <w:r w:rsidRPr="004B18C2">
              <w:rPr>
                <w:lang w:val="es-ES"/>
              </w:rPr>
              <w:t xml:space="preserve">enta </w:t>
            </w:r>
            <w:r w:rsidR="004B18C2">
              <w:rPr>
                <w:lang w:val="es-ES"/>
              </w:rPr>
              <w:t>n</w:t>
            </w:r>
            <w:r w:rsidRPr="004B18C2">
              <w:rPr>
                <w:lang w:val="es-ES"/>
              </w:rPr>
              <w:t xml:space="preserve">acional </w:t>
            </w:r>
            <w:r w:rsidR="004B18C2">
              <w:rPr>
                <w:lang w:val="es-ES"/>
              </w:rPr>
              <w:t>b</w:t>
            </w:r>
            <w:r w:rsidRPr="004B18C2">
              <w:rPr>
                <w:lang w:val="es-ES"/>
              </w:rPr>
              <w:t>ruta (RNB) por habitante</w:t>
            </w:r>
          </w:p>
          <w:p w14:paraId="4EE6F595" w14:textId="77777777" w:rsidR="008A64DF" w:rsidRPr="004B18C2" w:rsidRDefault="008A64DF" w:rsidP="004B18C2">
            <w:pPr>
              <w:pStyle w:val="Tabletext"/>
              <w:rPr>
                <w:lang w:val="es-ES"/>
              </w:rPr>
            </w:pPr>
            <w:r w:rsidRPr="004B18C2">
              <w:rPr>
                <w:lang w:val="es-ES"/>
              </w:rPr>
              <w:t>R.2-c: Mayor número de enlaces fijos y aumento del tráfico cursado por el servicio fijo (Tbit/s)</w:t>
            </w:r>
          </w:p>
          <w:p w14:paraId="0D6842FA" w14:textId="77777777" w:rsidR="008A64DF" w:rsidRPr="004B18C2" w:rsidRDefault="008A64DF" w:rsidP="004B18C2">
            <w:pPr>
              <w:pStyle w:val="Tabletext"/>
              <w:rPr>
                <w:lang w:val="es-ES"/>
              </w:rPr>
            </w:pPr>
            <w:r w:rsidRPr="004B18C2">
              <w:rPr>
                <w:lang w:val="es-ES"/>
              </w:rPr>
              <w:t>R.2-d: Mayor número de hogares con recepción de televisión digital terrenal</w:t>
            </w:r>
          </w:p>
          <w:p w14:paraId="73DE2F3C" w14:textId="77777777" w:rsidR="008A64DF" w:rsidRPr="004B18C2" w:rsidRDefault="008A64DF" w:rsidP="004B18C2">
            <w:pPr>
              <w:pStyle w:val="Tabletext"/>
              <w:rPr>
                <w:lang w:val="es-ES"/>
              </w:rPr>
            </w:pPr>
            <w:r w:rsidRPr="004B18C2">
              <w:rPr>
                <w:lang w:val="es-ES"/>
              </w:rPr>
              <w:t>R.2-e: Mayor número de transpondedores de satélite (equivalente a 36 MHz) en satélites de comunicación en funcionamiento y capacidad correspondiente (Tbit/s); número de terminales VSAR, número de hogares con recepción de televisión por satélite</w:t>
            </w:r>
          </w:p>
          <w:p w14:paraId="2DC6F667" w14:textId="77777777" w:rsidR="008A64DF" w:rsidRPr="004B18C2" w:rsidRDefault="008A64DF" w:rsidP="004B18C2">
            <w:pPr>
              <w:pStyle w:val="Tabletext"/>
              <w:rPr>
                <w:lang w:val="es-ES"/>
              </w:rPr>
            </w:pPr>
            <w:r w:rsidRPr="004B18C2">
              <w:rPr>
                <w:lang w:val="es-ES"/>
              </w:rPr>
              <w:t>R.2-f: Mayor número de dispositivos con recepción de radionavegación por satélite</w:t>
            </w:r>
          </w:p>
          <w:p w14:paraId="44E78C95" w14:textId="77777777" w:rsidR="008A64DF" w:rsidRPr="004B18C2" w:rsidRDefault="008A64DF" w:rsidP="004B18C2">
            <w:pPr>
              <w:pStyle w:val="Tabletext"/>
              <w:rPr>
                <w:lang w:val="es-ES"/>
              </w:rPr>
            </w:pPr>
            <w:r w:rsidRPr="004B18C2">
              <w:rPr>
                <w:lang w:val="es-ES"/>
              </w:rPr>
              <w:t>R.2-g: Mayor número de satélites equipados con cargas útiles de exploración de la Tierra en funcionamiento, cantidad y resolución correspondientes de las imágenes transmitidas y los volúmenes de datos descargados (Tbytes)</w:t>
            </w:r>
          </w:p>
        </w:tc>
      </w:tr>
    </w:tbl>
    <w:p w14:paraId="06A587B6" w14:textId="674F5947" w:rsidR="008A64DF" w:rsidRDefault="008A64DF" w:rsidP="008A64DF">
      <w:pPr>
        <w:pStyle w:val="Headingb"/>
        <w:spacing w:after="120"/>
        <w:rPr>
          <w:lang w:val="es-ES"/>
        </w:rPr>
      </w:pPr>
      <w:r>
        <w:rPr>
          <w:lang w:val="es-ES"/>
        </w:rPr>
        <w:lastRenderedPageBreak/>
        <w:t>Progresos logrados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9"/>
        <w:gridCol w:w="4890"/>
      </w:tblGrid>
      <w:tr w:rsidR="008A64DF" w14:paraId="0CBFB2B7" w14:textId="77777777" w:rsidTr="008A64DF">
        <w:trPr>
          <w:jc w:val="center"/>
        </w:trPr>
        <w:tc>
          <w:tcPr>
            <w:tcW w:w="9639" w:type="dxa"/>
            <w:gridSpan w:val="2"/>
            <w:hideMark/>
          </w:tcPr>
          <w:p w14:paraId="17540139" w14:textId="6706E36A" w:rsidR="008A64DF" w:rsidRDefault="008A64DF">
            <w:pPr>
              <w:keepNext/>
              <w:keepLines/>
              <w:rPr>
                <w:b/>
                <w:bCs/>
                <w:sz w:val="22"/>
                <w:szCs w:val="22"/>
                <w:lang w:val="es-ES"/>
              </w:rPr>
            </w:pPr>
            <w:bookmarkStart w:id="286" w:name="lt_pId1554"/>
            <w:r>
              <w:rPr>
                <w:b/>
                <w:bCs/>
                <w:sz w:val="22"/>
                <w:szCs w:val="22"/>
                <w:lang w:val="es-ES"/>
              </w:rPr>
              <w:t>R.2</w:t>
            </w:r>
            <w:bookmarkEnd w:id="286"/>
            <w:r w:rsidR="00046BB4">
              <w:rPr>
                <w:b/>
                <w:bCs/>
                <w:sz w:val="22"/>
                <w:szCs w:val="22"/>
                <w:lang w:val="es-ES"/>
              </w:rPr>
              <w:t>a</w:t>
            </w:r>
          </w:p>
        </w:tc>
      </w:tr>
      <w:tr w:rsidR="008A64DF" w14:paraId="4345F972" w14:textId="77777777" w:rsidTr="008A64DF">
        <w:trPr>
          <w:jc w:val="center"/>
        </w:trPr>
        <w:tc>
          <w:tcPr>
            <w:tcW w:w="9639" w:type="dxa"/>
            <w:gridSpan w:val="2"/>
            <w:hideMark/>
          </w:tcPr>
          <w:p w14:paraId="3137C324" w14:textId="1B1683FF" w:rsidR="004479B6" w:rsidRPr="004479B6" w:rsidRDefault="004479B6" w:rsidP="004479B6">
            <w:pPr>
              <w:pStyle w:val="Figure"/>
              <w:rPr>
                <w:lang w:val="es-ES"/>
              </w:rPr>
            </w:pPr>
            <w:r>
              <w:rPr>
                <w:noProof/>
                <w:lang w:val="es-ES"/>
              </w:rPr>
              <w:drawing>
                <wp:inline distT="0" distB="0" distL="0" distR="0" wp14:anchorId="5FB52018" wp14:editId="617CCDE0">
                  <wp:extent cx="2520000" cy="1515600"/>
                  <wp:effectExtent l="0" t="0" r="0" b="8890"/>
                  <wp:docPr id="505389755" name="Picture 505389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2520000" cy="1515600"/>
                          </a:xfrm>
                          <a:prstGeom prst="rect">
                            <a:avLst/>
                          </a:prstGeom>
                          <a:noFill/>
                        </pic:spPr>
                      </pic:pic>
                    </a:graphicData>
                  </a:graphic>
                </wp:inline>
              </w:drawing>
            </w:r>
          </w:p>
        </w:tc>
      </w:tr>
      <w:tr w:rsidR="008A64DF" w:rsidRPr="008A64DF" w14:paraId="26DA12EF" w14:textId="77777777" w:rsidTr="008A64DF">
        <w:trPr>
          <w:jc w:val="center"/>
        </w:trPr>
        <w:tc>
          <w:tcPr>
            <w:tcW w:w="9639" w:type="dxa"/>
            <w:gridSpan w:val="2"/>
            <w:hideMark/>
          </w:tcPr>
          <w:p w14:paraId="6E7F5B2F" w14:textId="603658C8" w:rsidR="008A64DF" w:rsidRPr="004B18C2" w:rsidRDefault="008A64DF">
            <w:pPr>
              <w:rPr>
                <w:bCs/>
                <w:sz w:val="22"/>
                <w:szCs w:val="22"/>
                <w:lang w:val="es-ES"/>
              </w:rPr>
            </w:pPr>
            <w:bookmarkStart w:id="287" w:name="lt_pId1555"/>
            <w:r>
              <w:rPr>
                <w:b/>
                <w:bCs/>
                <w:sz w:val="22"/>
                <w:szCs w:val="22"/>
                <w:lang w:val="es-ES"/>
              </w:rPr>
              <w:t>R.2b:</w:t>
            </w:r>
            <w:r>
              <w:rPr>
                <w:bCs/>
                <w:sz w:val="22"/>
                <w:szCs w:val="22"/>
                <w:lang w:val="es-ES"/>
              </w:rPr>
              <w:t xml:space="preserve"> Véanse</w:t>
            </w:r>
            <w:r w:rsidR="00FF1B58">
              <w:rPr>
                <w:bCs/>
                <w:sz w:val="22"/>
                <w:szCs w:val="22"/>
                <w:lang w:val="es-ES"/>
              </w:rPr>
              <w:t xml:space="preserve"> también</w:t>
            </w:r>
            <w:r>
              <w:rPr>
                <w:bCs/>
                <w:sz w:val="22"/>
                <w:szCs w:val="22"/>
                <w:lang w:val="es-ES"/>
              </w:rPr>
              <w:t xml:space="preserve"> los resultados de las finalidades estratégicas 1.3, 2.5 y 2.6 en la </w:t>
            </w:r>
            <w:hyperlink w:anchor="_3.1_Resultados_de" w:history="1">
              <w:r w:rsidRPr="00AF08F6">
                <w:rPr>
                  <w:rStyle w:val="Hyperlink"/>
                  <w:bCs/>
                  <w:sz w:val="22"/>
                  <w:szCs w:val="22"/>
                  <w:lang w:val="es-ES"/>
                </w:rPr>
                <w:t>sección 3.1</w:t>
              </w:r>
              <w:bookmarkEnd w:id="287"/>
            </w:hyperlink>
            <w:r w:rsidR="004266C4" w:rsidRPr="004266C4">
              <w:t>.</w:t>
            </w:r>
          </w:p>
        </w:tc>
      </w:tr>
      <w:tr w:rsidR="00FF1B58" w14:paraId="51DE316B" w14:textId="77777777" w:rsidTr="008A64DF">
        <w:trPr>
          <w:jc w:val="center"/>
        </w:trPr>
        <w:tc>
          <w:tcPr>
            <w:tcW w:w="4749" w:type="dxa"/>
          </w:tcPr>
          <w:p w14:paraId="7AF98AD2" w14:textId="78555C00" w:rsidR="005F0C0A" w:rsidRPr="005F0C0A" w:rsidRDefault="005F0C0A" w:rsidP="005F0C0A">
            <w:pPr>
              <w:pStyle w:val="Figure"/>
              <w:rPr>
                <w:lang w:val="es-ES"/>
              </w:rPr>
            </w:pPr>
            <w:r>
              <w:rPr>
                <w:noProof/>
                <w:lang w:val="es-ES"/>
              </w:rPr>
              <w:drawing>
                <wp:inline distT="0" distB="0" distL="0" distR="0" wp14:anchorId="77837CD5" wp14:editId="5CC9D6D0">
                  <wp:extent cx="2520000" cy="1555200"/>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2520000" cy="1555200"/>
                          </a:xfrm>
                          <a:prstGeom prst="rect">
                            <a:avLst/>
                          </a:prstGeom>
                          <a:noFill/>
                        </pic:spPr>
                      </pic:pic>
                    </a:graphicData>
                  </a:graphic>
                </wp:inline>
              </w:drawing>
            </w:r>
          </w:p>
        </w:tc>
        <w:tc>
          <w:tcPr>
            <w:tcW w:w="4890" w:type="dxa"/>
          </w:tcPr>
          <w:p w14:paraId="524F9399" w14:textId="7D497A13" w:rsidR="00FF1B58" w:rsidRDefault="005F0C0A" w:rsidP="00FF1B58">
            <w:pPr>
              <w:pStyle w:val="Figure"/>
              <w:rPr>
                <w:noProof/>
                <w:lang w:val="es-ES"/>
              </w:rPr>
            </w:pPr>
            <w:r w:rsidRPr="005F0C0A">
              <w:rPr>
                <w:noProof/>
                <w:lang w:val="es-ES"/>
              </w:rPr>
              <w:drawing>
                <wp:inline distT="0" distB="0" distL="0" distR="0" wp14:anchorId="06DD21AB" wp14:editId="34F0A5A0">
                  <wp:extent cx="2516400" cy="1555200"/>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2516400" cy="1555200"/>
                          </a:xfrm>
                          <a:prstGeom prst="rect">
                            <a:avLst/>
                          </a:prstGeom>
                          <a:noFill/>
                        </pic:spPr>
                      </pic:pic>
                    </a:graphicData>
                  </a:graphic>
                </wp:inline>
              </w:drawing>
            </w:r>
          </w:p>
        </w:tc>
      </w:tr>
      <w:tr w:rsidR="008A64DF" w14:paraId="248BED02" w14:textId="77777777" w:rsidTr="008A64DF">
        <w:trPr>
          <w:jc w:val="center"/>
        </w:trPr>
        <w:tc>
          <w:tcPr>
            <w:tcW w:w="4749" w:type="dxa"/>
            <w:hideMark/>
          </w:tcPr>
          <w:p w14:paraId="17153437" w14:textId="77777777" w:rsidR="008A64DF" w:rsidRDefault="008A64DF">
            <w:pPr>
              <w:keepNext/>
              <w:keepLines/>
              <w:rPr>
                <w:b/>
                <w:bCs/>
                <w:sz w:val="22"/>
                <w:szCs w:val="22"/>
                <w:lang w:val="es-ES"/>
              </w:rPr>
            </w:pPr>
            <w:bookmarkStart w:id="288" w:name="lt_pId1556"/>
            <w:r>
              <w:rPr>
                <w:b/>
                <w:bCs/>
                <w:sz w:val="22"/>
                <w:szCs w:val="22"/>
                <w:lang w:val="es-ES"/>
              </w:rPr>
              <w:t>R.2e</w:t>
            </w:r>
            <w:bookmarkEnd w:id="288"/>
          </w:p>
        </w:tc>
        <w:tc>
          <w:tcPr>
            <w:tcW w:w="4890" w:type="dxa"/>
          </w:tcPr>
          <w:p w14:paraId="2380F035" w14:textId="42E3F8D8" w:rsidR="008A64DF" w:rsidRDefault="008A64DF">
            <w:pPr>
              <w:rPr>
                <w:sz w:val="22"/>
                <w:szCs w:val="22"/>
                <w:lang w:val="es-ES"/>
              </w:rPr>
            </w:pPr>
          </w:p>
        </w:tc>
      </w:tr>
      <w:tr w:rsidR="008A64DF" w14:paraId="11D0FCF4" w14:textId="77777777" w:rsidTr="008A64DF">
        <w:trPr>
          <w:jc w:val="center"/>
        </w:trPr>
        <w:tc>
          <w:tcPr>
            <w:tcW w:w="4749" w:type="dxa"/>
            <w:hideMark/>
          </w:tcPr>
          <w:p w14:paraId="271031B5" w14:textId="01D9545A" w:rsidR="008A64DF" w:rsidRDefault="008A64DF">
            <w:pPr>
              <w:pStyle w:val="Figure"/>
              <w:rPr>
                <w:lang w:val="es-ES"/>
              </w:rPr>
            </w:pPr>
            <w:r>
              <w:rPr>
                <w:noProof/>
                <w:lang w:val="en-US"/>
              </w:rPr>
              <w:drawing>
                <wp:inline distT="0" distB="0" distL="0" distR="0" wp14:anchorId="6492117E" wp14:editId="2FEE6354">
                  <wp:extent cx="2520000" cy="1515600"/>
                  <wp:effectExtent l="0" t="0" r="0" b="8890"/>
                  <wp:docPr id="397" name="Picture 39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Picture 397" descr="Chart, bar chart&#10;&#10;Description automatically generated"/>
                          <pic:cNvPicPr>
                            <a:picLocks noChangeAspect="1" noChangeArrowheads="1"/>
                          </pic:cNvPicPr>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2520000" cy="1515600"/>
                          </a:xfrm>
                          <a:prstGeom prst="rect">
                            <a:avLst/>
                          </a:prstGeom>
                          <a:noFill/>
                          <a:ln>
                            <a:noFill/>
                          </a:ln>
                        </pic:spPr>
                      </pic:pic>
                    </a:graphicData>
                  </a:graphic>
                </wp:inline>
              </w:drawing>
            </w:r>
          </w:p>
        </w:tc>
        <w:tc>
          <w:tcPr>
            <w:tcW w:w="4890" w:type="dxa"/>
            <w:hideMark/>
          </w:tcPr>
          <w:p w14:paraId="334FA746" w14:textId="0AB00A50" w:rsidR="008A64DF" w:rsidRDefault="008A64DF">
            <w:pPr>
              <w:pStyle w:val="Figure"/>
              <w:rPr>
                <w:lang w:val="es-ES"/>
              </w:rPr>
            </w:pPr>
            <w:r>
              <w:rPr>
                <w:noProof/>
                <w:lang w:val="en-US"/>
              </w:rPr>
              <w:drawing>
                <wp:inline distT="0" distB="0" distL="0" distR="0" wp14:anchorId="52B5F8DF" wp14:editId="0F0EB05D">
                  <wp:extent cx="2516400" cy="1512000"/>
                  <wp:effectExtent l="0" t="0" r="0" b="0"/>
                  <wp:docPr id="396" name="Picture 39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Picture 396" descr="Chart, scatter chart&#10;&#10;Description automatically generated"/>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2516400" cy="1512000"/>
                          </a:xfrm>
                          <a:prstGeom prst="rect">
                            <a:avLst/>
                          </a:prstGeom>
                          <a:noFill/>
                          <a:ln>
                            <a:noFill/>
                          </a:ln>
                        </pic:spPr>
                      </pic:pic>
                    </a:graphicData>
                  </a:graphic>
                </wp:inline>
              </w:drawing>
            </w:r>
          </w:p>
        </w:tc>
      </w:tr>
      <w:tr w:rsidR="008A64DF" w14:paraId="29BCF08E" w14:textId="77777777" w:rsidTr="008A64DF">
        <w:trPr>
          <w:jc w:val="center"/>
        </w:trPr>
        <w:tc>
          <w:tcPr>
            <w:tcW w:w="4749" w:type="dxa"/>
            <w:hideMark/>
          </w:tcPr>
          <w:p w14:paraId="1984CBEC" w14:textId="1C9B3552" w:rsidR="008A64DF" w:rsidRDefault="008A64DF">
            <w:pPr>
              <w:pStyle w:val="Figure"/>
              <w:rPr>
                <w:lang w:val="es-ES"/>
              </w:rPr>
            </w:pPr>
            <w:r>
              <w:rPr>
                <w:noProof/>
                <w:lang w:val="en-US"/>
              </w:rPr>
              <w:drawing>
                <wp:inline distT="0" distB="0" distL="0" distR="0" wp14:anchorId="2A1964A5" wp14:editId="67655166">
                  <wp:extent cx="2520000" cy="1566000"/>
                  <wp:effectExtent l="0" t="0" r="0" b="0"/>
                  <wp:docPr id="395" name="Picture 39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Picture 395" descr="Chart, bar chart&#10;&#10;Description automatically generated"/>
                          <pic:cNvPicPr>
                            <a:picLocks noChangeAspect="1" noChangeArrowheads="1"/>
                          </pic:cNvPicPr>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2520000" cy="1566000"/>
                          </a:xfrm>
                          <a:prstGeom prst="rect">
                            <a:avLst/>
                          </a:prstGeom>
                          <a:noFill/>
                          <a:ln>
                            <a:noFill/>
                          </a:ln>
                        </pic:spPr>
                      </pic:pic>
                    </a:graphicData>
                  </a:graphic>
                </wp:inline>
              </w:drawing>
            </w:r>
          </w:p>
        </w:tc>
        <w:tc>
          <w:tcPr>
            <w:tcW w:w="4890" w:type="dxa"/>
            <w:hideMark/>
          </w:tcPr>
          <w:p w14:paraId="168FE7D1" w14:textId="368E2D4C" w:rsidR="00C10E7D" w:rsidRPr="00C10E7D" w:rsidRDefault="00C10E7D" w:rsidP="00C10E7D">
            <w:pPr>
              <w:pStyle w:val="Figure"/>
              <w:rPr>
                <w:lang w:val="es-ES"/>
              </w:rPr>
            </w:pPr>
            <w:r>
              <w:rPr>
                <w:noProof/>
                <w:lang w:val="es-ES"/>
              </w:rPr>
              <w:drawing>
                <wp:inline distT="0" distB="0" distL="0" distR="0" wp14:anchorId="7CA2E687" wp14:editId="41908CF8">
                  <wp:extent cx="2516400" cy="1573200"/>
                  <wp:effectExtent l="0" t="0" r="0" b="8255"/>
                  <wp:docPr id="505389756" name="Picture 505389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2516400" cy="1573200"/>
                          </a:xfrm>
                          <a:prstGeom prst="rect">
                            <a:avLst/>
                          </a:prstGeom>
                          <a:noFill/>
                        </pic:spPr>
                      </pic:pic>
                    </a:graphicData>
                  </a:graphic>
                </wp:inline>
              </w:drawing>
            </w:r>
          </w:p>
        </w:tc>
      </w:tr>
      <w:tr w:rsidR="008A64DF" w14:paraId="422C0605" w14:textId="77777777" w:rsidTr="008A64DF">
        <w:trPr>
          <w:jc w:val="center"/>
        </w:trPr>
        <w:tc>
          <w:tcPr>
            <w:tcW w:w="4749" w:type="dxa"/>
            <w:hideMark/>
          </w:tcPr>
          <w:p w14:paraId="506530D5" w14:textId="77777777" w:rsidR="008A64DF" w:rsidRDefault="008A64DF">
            <w:pPr>
              <w:keepNext/>
              <w:keepLines/>
              <w:rPr>
                <w:b/>
                <w:bCs/>
                <w:sz w:val="22"/>
                <w:szCs w:val="22"/>
                <w:lang w:val="es-ES"/>
              </w:rPr>
            </w:pPr>
            <w:bookmarkStart w:id="289" w:name="lt_pId1558"/>
            <w:r>
              <w:rPr>
                <w:b/>
                <w:bCs/>
                <w:sz w:val="22"/>
                <w:szCs w:val="22"/>
                <w:lang w:val="es-ES"/>
              </w:rPr>
              <w:lastRenderedPageBreak/>
              <w:t>R.2f</w:t>
            </w:r>
            <w:bookmarkEnd w:id="289"/>
          </w:p>
        </w:tc>
        <w:tc>
          <w:tcPr>
            <w:tcW w:w="4890" w:type="dxa"/>
          </w:tcPr>
          <w:p w14:paraId="550F2C86" w14:textId="77777777" w:rsidR="008A64DF" w:rsidRDefault="008A64DF">
            <w:pPr>
              <w:rPr>
                <w:b/>
                <w:bCs/>
                <w:sz w:val="22"/>
                <w:szCs w:val="22"/>
                <w:lang w:val="es-ES"/>
              </w:rPr>
            </w:pPr>
          </w:p>
        </w:tc>
      </w:tr>
      <w:tr w:rsidR="008A64DF" w14:paraId="3246B29D" w14:textId="77777777" w:rsidTr="008A64DF">
        <w:trPr>
          <w:jc w:val="center"/>
        </w:trPr>
        <w:tc>
          <w:tcPr>
            <w:tcW w:w="4749" w:type="dxa"/>
            <w:hideMark/>
          </w:tcPr>
          <w:p w14:paraId="2DEFB287" w14:textId="6FB4DD45" w:rsidR="003262ED" w:rsidRPr="003262ED" w:rsidRDefault="003262ED" w:rsidP="003262ED">
            <w:pPr>
              <w:pStyle w:val="Figure"/>
              <w:rPr>
                <w:lang w:val="es-ES"/>
              </w:rPr>
            </w:pPr>
            <w:r>
              <w:rPr>
                <w:noProof/>
                <w:lang w:val="es-ES"/>
              </w:rPr>
              <w:drawing>
                <wp:inline distT="0" distB="0" distL="0" distR="0" wp14:anchorId="061F6597" wp14:editId="0BF2E4AB">
                  <wp:extent cx="2520000" cy="1630800"/>
                  <wp:effectExtent l="0" t="0" r="0" b="7620"/>
                  <wp:docPr id="505389757" name="Picture 505389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2520000" cy="1630800"/>
                          </a:xfrm>
                          <a:prstGeom prst="rect">
                            <a:avLst/>
                          </a:prstGeom>
                          <a:noFill/>
                        </pic:spPr>
                      </pic:pic>
                    </a:graphicData>
                  </a:graphic>
                </wp:inline>
              </w:drawing>
            </w:r>
          </w:p>
        </w:tc>
        <w:tc>
          <w:tcPr>
            <w:tcW w:w="4890" w:type="dxa"/>
            <w:hideMark/>
          </w:tcPr>
          <w:p w14:paraId="5FA0AE2C" w14:textId="51871DE2" w:rsidR="003262ED" w:rsidRPr="003262ED" w:rsidRDefault="003262ED" w:rsidP="003262ED">
            <w:pPr>
              <w:pStyle w:val="Figure"/>
              <w:rPr>
                <w:noProof/>
                <w:lang w:val="es-ES"/>
              </w:rPr>
            </w:pPr>
            <w:r>
              <w:rPr>
                <w:noProof/>
                <w:lang w:val="es-ES"/>
              </w:rPr>
              <w:drawing>
                <wp:inline distT="0" distB="0" distL="0" distR="0" wp14:anchorId="2F90BDB3" wp14:editId="155589E5">
                  <wp:extent cx="2732400" cy="1630800"/>
                  <wp:effectExtent l="0" t="0" r="0" b="7620"/>
                  <wp:docPr id="505389758" name="Picture 505389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2732400" cy="1630800"/>
                          </a:xfrm>
                          <a:prstGeom prst="rect">
                            <a:avLst/>
                          </a:prstGeom>
                          <a:noFill/>
                        </pic:spPr>
                      </pic:pic>
                    </a:graphicData>
                  </a:graphic>
                </wp:inline>
              </w:drawing>
            </w:r>
          </w:p>
        </w:tc>
      </w:tr>
      <w:tr w:rsidR="008A64DF" w14:paraId="168177EC" w14:textId="77777777" w:rsidTr="008A64DF">
        <w:trPr>
          <w:jc w:val="center"/>
        </w:trPr>
        <w:tc>
          <w:tcPr>
            <w:tcW w:w="4749" w:type="dxa"/>
            <w:hideMark/>
          </w:tcPr>
          <w:p w14:paraId="5D3F08B3" w14:textId="6A25E5A4" w:rsidR="00EC6C27" w:rsidRPr="00EC6C27" w:rsidRDefault="00EC6C27" w:rsidP="00EC6C27">
            <w:pPr>
              <w:pStyle w:val="Figure"/>
              <w:rPr>
                <w:lang w:val="es-ES"/>
              </w:rPr>
            </w:pPr>
            <w:r>
              <w:rPr>
                <w:noProof/>
                <w:lang w:val="es-ES"/>
              </w:rPr>
              <w:drawing>
                <wp:inline distT="0" distB="0" distL="0" distR="0" wp14:anchorId="089115A5" wp14:editId="003B22E1">
                  <wp:extent cx="2520000" cy="1458000"/>
                  <wp:effectExtent l="0" t="0" r="0" b="8890"/>
                  <wp:docPr id="505389759" name="Picture 505389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2520000" cy="1458000"/>
                          </a:xfrm>
                          <a:prstGeom prst="rect">
                            <a:avLst/>
                          </a:prstGeom>
                          <a:noFill/>
                        </pic:spPr>
                      </pic:pic>
                    </a:graphicData>
                  </a:graphic>
                </wp:inline>
              </w:drawing>
            </w:r>
          </w:p>
        </w:tc>
        <w:tc>
          <w:tcPr>
            <w:tcW w:w="4890" w:type="dxa"/>
            <w:hideMark/>
          </w:tcPr>
          <w:p w14:paraId="563DA8CC" w14:textId="34E6C683" w:rsidR="00EC6C27" w:rsidRPr="00EC6C27" w:rsidRDefault="00EC6C27" w:rsidP="00EC6C27">
            <w:pPr>
              <w:pStyle w:val="Figure"/>
              <w:rPr>
                <w:noProof/>
                <w:lang w:val="es-ES"/>
              </w:rPr>
            </w:pPr>
          </w:p>
        </w:tc>
      </w:tr>
      <w:tr w:rsidR="00FF1B58" w14:paraId="401AE041" w14:textId="77777777" w:rsidTr="008A64DF">
        <w:trPr>
          <w:jc w:val="center"/>
        </w:trPr>
        <w:tc>
          <w:tcPr>
            <w:tcW w:w="4749" w:type="dxa"/>
          </w:tcPr>
          <w:p w14:paraId="0802CD1C" w14:textId="4A89197A" w:rsidR="00FF1B58" w:rsidRDefault="00FF1B58" w:rsidP="00EC6C27">
            <w:pPr>
              <w:pStyle w:val="Figure"/>
              <w:rPr>
                <w:noProof/>
                <w:lang w:val="es-ES"/>
              </w:rPr>
            </w:pPr>
            <w:r>
              <w:rPr>
                <w:noProof/>
                <w:lang w:val="es-ES"/>
              </w:rPr>
              <w:drawing>
                <wp:inline distT="0" distB="0" distL="0" distR="0" wp14:anchorId="08A334D7" wp14:editId="77B5D266">
                  <wp:extent cx="2520000" cy="1465200"/>
                  <wp:effectExtent l="0" t="0" r="0" b="1905"/>
                  <wp:docPr id="1257977728" name="Picture 1257977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2520000" cy="1465200"/>
                          </a:xfrm>
                          <a:prstGeom prst="rect">
                            <a:avLst/>
                          </a:prstGeom>
                          <a:noFill/>
                        </pic:spPr>
                      </pic:pic>
                    </a:graphicData>
                  </a:graphic>
                </wp:inline>
              </w:drawing>
            </w:r>
          </w:p>
        </w:tc>
        <w:tc>
          <w:tcPr>
            <w:tcW w:w="4890" w:type="dxa"/>
          </w:tcPr>
          <w:p w14:paraId="6E8359DA" w14:textId="77777777" w:rsidR="00FF1B58" w:rsidRDefault="00FF1B58" w:rsidP="00EC6C27">
            <w:pPr>
              <w:pStyle w:val="Figure"/>
              <w:rPr>
                <w:noProof/>
                <w:lang w:val="es-ES"/>
              </w:rPr>
            </w:pPr>
          </w:p>
        </w:tc>
      </w:tr>
    </w:tbl>
    <w:p w14:paraId="7FE25C17" w14:textId="77777777" w:rsidR="008A64DF" w:rsidRDefault="008A64DF" w:rsidP="008A64DF">
      <w:pPr>
        <w:pStyle w:val="Normalaftertitle"/>
        <w:rPr>
          <w:lang w:val="es-ES"/>
        </w:rPr>
      </w:pPr>
      <w:r>
        <w:rPr>
          <w:b/>
          <w:bCs/>
          <w:lang w:val="es-ES"/>
        </w:rPr>
        <w:t>Objetivo R.3</w:t>
      </w:r>
      <w:r>
        <w:rPr>
          <w:lang w:val="es-ES"/>
        </w:rPr>
        <w:t xml:space="preserve"> (compartición de conocimientos): Fomentar la adquisición y divulgación de conocimientos teóricos y prácticos sobre radiocomunicaciones</w:t>
      </w:r>
    </w:p>
    <w:p w14:paraId="29F3E9E0" w14:textId="77777777" w:rsidR="008A64DF" w:rsidRDefault="008A64DF" w:rsidP="008A64DF">
      <w:pPr>
        <w:pStyle w:val="Headingb"/>
        <w:spacing w:after="120"/>
        <w:rPr>
          <w:lang w:val="es-ES"/>
        </w:rPr>
      </w:pPr>
      <w:r>
        <w:rPr>
          <w:lang w:val="es-ES"/>
        </w:rPr>
        <w:t>Resultados</w:t>
      </w:r>
    </w:p>
    <w:tbl>
      <w:tblPr>
        <w:tblStyle w:val="TableGrid"/>
        <w:tblW w:w="5000" w:type="pct"/>
        <w:jc w:val="center"/>
        <w:tblLook w:val="04A0" w:firstRow="1" w:lastRow="0" w:firstColumn="1" w:lastColumn="0" w:noHBand="0" w:noVBand="1"/>
      </w:tblPr>
      <w:tblGrid>
        <w:gridCol w:w="9629"/>
      </w:tblGrid>
      <w:tr w:rsidR="008A64DF" w:rsidRPr="00F07EAD" w14:paraId="203D6ECB" w14:textId="77777777" w:rsidTr="008A64DF">
        <w:trPr>
          <w:jc w:val="center"/>
        </w:trPr>
        <w:tc>
          <w:tcPr>
            <w:tcW w:w="9016" w:type="dxa"/>
            <w:tcBorders>
              <w:top w:val="single" w:sz="4" w:space="0" w:color="auto"/>
              <w:left w:val="single" w:sz="4" w:space="0" w:color="auto"/>
              <w:bottom w:val="single" w:sz="4" w:space="0" w:color="auto"/>
              <w:right w:val="single" w:sz="4" w:space="0" w:color="auto"/>
            </w:tcBorders>
            <w:shd w:val="clear" w:color="auto" w:fill="DCE5F4"/>
            <w:hideMark/>
          </w:tcPr>
          <w:p w14:paraId="0D5FF23F" w14:textId="77777777" w:rsidR="008A64DF" w:rsidRPr="00096B2A" w:rsidRDefault="008A64DF" w:rsidP="00096B2A">
            <w:pPr>
              <w:pStyle w:val="Tabletext"/>
              <w:rPr>
                <w:lang w:val="es-ES"/>
              </w:rPr>
            </w:pPr>
            <w:r w:rsidRPr="00096B2A">
              <w:rPr>
                <w:lang w:val="es-ES"/>
              </w:rPr>
              <w:t xml:space="preserve">R.3-a: Mayores conocimientos teóricos y prácticos del Reglamento de Radiocomunicaciones, las Reglas de Procedimiento, los Acuerdos Regionales, las Recomendaciones y las prácticas </w:t>
            </w:r>
            <w:r w:rsidRPr="00187E3C">
              <w:rPr>
                <w:lang w:val="es-ES"/>
              </w:rPr>
              <w:t>idóneas</w:t>
            </w:r>
            <w:r w:rsidRPr="00096B2A">
              <w:rPr>
                <w:lang w:val="es-ES"/>
              </w:rPr>
              <w:t xml:space="preserve"> sobre la utilización del espectro</w:t>
            </w:r>
          </w:p>
          <w:p w14:paraId="34DD1362" w14:textId="77777777" w:rsidR="008A64DF" w:rsidRPr="00096B2A" w:rsidRDefault="008A64DF" w:rsidP="00096B2A">
            <w:pPr>
              <w:pStyle w:val="Tabletext"/>
              <w:rPr>
                <w:lang w:val="es-ES"/>
              </w:rPr>
            </w:pPr>
            <w:r w:rsidRPr="00096B2A">
              <w:rPr>
                <w:lang w:val="es-ES"/>
              </w:rPr>
              <w:t>R.3-b: Mayor participación, en particular de países en desarrollo, en actividades del UIT-R (incluso a través de la participación a distancia)</w:t>
            </w:r>
          </w:p>
        </w:tc>
      </w:tr>
    </w:tbl>
    <w:p w14:paraId="6FD03391" w14:textId="77777777" w:rsidR="008A64DF" w:rsidRDefault="008A64DF" w:rsidP="008A64DF">
      <w:pPr>
        <w:pStyle w:val="Headingb"/>
        <w:spacing w:after="120"/>
        <w:rPr>
          <w:lang w:val="es-ES"/>
        </w:rPr>
      </w:pPr>
      <w:r>
        <w:rPr>
          <w:lang w:val="es-ES"/>
        </w:rPr>
        <w:lastRenderedPageBreak/>
        <w:t>Progresos logrados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1"/>
        <w:gridCol w:w="4828"/>
      </w:tblGrid>
      <w:tr w:rsidR="008A64DF" w14:paraId="778AEFB4" w14:textId="77777777" w:rsidTr="008A64DF">
        <w:trPr>
          <w:jc w:val="center"/>
        </w:trPr>
        <w:tc>
          <w:tcPr>
            <w:tcW w:w="4811" w:type="dxa"/>
            <w:hideMark/>
          </w:tcPr>
          <w:p w14:paraId="21572901" w14:textId="76A7AD85" w:rsidR="00F94BC2" w:rsidRPr="00F94BC2" w:rsidRDefault="00F94BC2" w:rsidP="00F94BC2">
            <w:pPr>
              <w:pStyle w:val="Figure"/>
              <w:rPr>
                <w:lang w:val="es-ES"/>
              </w:rPr>
            </w:pPr>
            <w:r>
              <w:rPr>
                <w:noProof/>
                <w:lang w:val="es-ES"/>
              </w:rPr>
              <w:drawing>
                <wp:inline distT="0" distB="0" distL="0" distR="0" wp14:anchorId="3F9E5207" wp14:editId="1B04E0FD">
                  <wp:extent cx="2520000" cy="1522800"/>
                  <wp:effectExtent l="0" t="0" r="0" b="1270"/>
                  <wp:docPr id="1257977729" name="Picture 1257977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2520000" cy="1522800"/>
                          </a:xfrm>
                          <a:prstGeom prst="rect">
                            <a:avLst/>
                          </a:prstGeom>
                          <a:noFill/>
                        </pic:spPr>
                      </pic:pic>
                    </a:graphicData>
                  </a:graphic>
                </wp:inline>
              </w:drawing>
            </w:r>
          </w:p>
        </w:tc>
        <w:tc>
          <w:tcPr>
            <w:tcW w:w="4828" w:type="dxa"/>
            <w:hideMark/>
          </w:tcPr>
          <w:p w14:paraId="27CCD16C" w14:textId="382F0155" w:rsidR="00F94BC2" w:rsidRPr="00F94BC2" w:rsidRDefault="00F94BC2" w:rsidP="00F94BC2">
            <w:pPr>
              <w:pStyle w:val="Figure"/>
              <w:rPr>
                <w:lang w:val="es-ES"/>
              </w:rPr>
            </w:pPr>
            <w:r>
              <w:rPr>
                <w:noProof/>
                <w:lang w:val="es-ES"/>
              </w:rPr>
              <w:drawing>
                <wp:inline distT="0" distB="0" distL="0" distR="0" wp14:anchorId="6F228873" wp14:editId="2BD6ED8D">
                  <wp:extent cx="2520000" cy="1522800"/>
                  <wp:effectExtent l="0" t="0" r="0" b="1270"/>
                  <wp:docPr id="1257977731" name="Picture 1257977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2520000" cy="1522800"/>
                          </a:xfrm>
                          <a:prstGeom prst="rect">
                            <a:avLst/>
                          </a:prstGeom>
                          <a:noFill/>
                        </pic:spPr>
                      </pic:pic>
                    </a:graphicData>
                  </a:graphic>
                </wp:inline>
              </w:drawing>
            </w:r>
          </w:p>
        </w:tc>
      </w:tr>
      <w:tr w:rsidR="008A64DF" w14:paraId="5978209B" w14:textId="77777777" w:rsidTr="008A64DF">
        <w:trPr>
          <w:jc w:val="center"/>
        </w:trPr>
        <w:tc>
          <w:tcPr>
            <w:tcW w:w="4811" w:type="dxa"/>
            <w:hideMark/>
          </w:tcPr>
          <w:p w14:paraId="281AB392" w14:textId="37EFEE38" w:rsidR="00D0507E" w:rsidRPr="00D0507E" w:rsidRDefault="00D0507E" w:rsidP="00D0507E">
            <w:pPr>
              <w:pStyle w:val="Figure"/>
              <w:rPr>
                <w:lang w:val="es-ES"/>
              </w:rPr>
            </w:pPr>
            <w:r>
              <w:rPr>
                <w:noProof/>
                <w:lang w:val="es-ES"/>
              </w:rPr>
              <w:drawing>
                <wp:inline distT="0" distB="0" distL="0" distR="0" wp14:anchorId="3DB362F8" wp14:editId="6D489CA5">
                  <wp:extent cx="2520000" cy="1548000"/>
                  <wp:effectExtent l="0" t="0" r="0" b="0"/>
                  <wp:docPr id="1257977734" name="Picture 1257977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2520000" cy="1548000"/>
                          </a:xfrm>
                          <a:prstGeom prst="rect">
                            <a:avLst/>
                          </a:prstGeom>
                          <a:noFill/>
                        </pic:spPr>
                      </pic:pic>
                    </a:graphicData>
                  </a:graphic>
                </wp:inline>
              </w:drawing>
            </w:r>
          </w:p>
        </w:tc>
        <w:tc>
          <w:tcPr>
            <w:tcW w:w="4828" w:type="dxa"/>
            <w:hideMark/>
          </w:tcPr>
          <w:p w14:paraId="2367A02A" w14:textId="02F55E17" w:rsidR="00D0507E" w:rsidRPr="00D0507E" w:rsidRDefault="00D0507E" w:rsidP="00D0507E">
            <w:pPr>
              <w:pStyle w:val="Figure"/>
              <w:rPr>
                <w:lang w:val="es-ES"/>
              </w:rPr>
            </w:pPr>
            <w:r>
              <w:rPr>
                <w:noProof/>
                <w:lang w:val="es-ES"/>
              </w:rPr>
              <w:drawing>
                <wp:inline distT="0" distB="0" distL="0" distR="0" wp14:anchorId="076ED05E" wp14:editId="459C2A96">
                  <wp:extent cx="2228400" cy="1548000"/>
                  <wp:effectExtent l="0" t="0" r="635" b="0"/>
                  <wp:docPr id="1257977736" name="Picture 1257977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2228400" cy="1548000"/>
                          </a:xfrm>
                          <a:prstGeom prst="rect">
                            <a:avLst/>
                          </a:prstGeom>
                          <a:noFill/>
                        </pic:spPr>
                      </pic:pic>
                    </a:graphicData>
                  </a:graphic>
                </wp:inline>
              </w:drawing>
            </w:r>
          </w:p>
        </w:tc>
      </w:tr>
    </w:tbl>
    <w:p w14:paraId="2EF7ED3A" w14:textId="77777777" w:rsidR="008A64DF" w:rsidRDefault="008A64DF" w:rsidP="008A64DF">
      <w:pPr>
        <w:pStyle w:val="Heading2"/>
      </w:pPr>
      <w:bookmarkStart w:id="290" w:name="_Toc39832845"/>
      <w:bookmarkStart w:id="291" w:name="_Toc41289301"/>
      <w:bookmarkStart w:id="292" w:name="_Toc41289444"/>
      <w:bookmarkStart w:id="293" w:name="_Toc97821287"/>
      <w:r>
        <w:t>Objetivos del UIT-T</w:t>
      </w:r>
      <w:bookmarkEnd w:id="290"/>
      <w:bookmarkEnd w:id="291"/>
      <w:bookmarkEnd w:id="292"/>
      <w:bookmarkEnd w:id="293"/>
    </w:p>
    <w:p w14:paraId="78549A64" w14:textId="77777777" w:rsidR="008A64DF" w:rsidRDefault="008A64DF" w:rsidP="008A64DF">
      <w:r>
        <w:rPr>
          <w:b/>
          <w:bCs/>
        </w:rPr>
        <w:t xml:space="preserve">Objetivo T.1 </w:t>
      </w:r>
      <w:r>
        <w:t>(elaboración de normas): Desarrollar normas internacionales no discriminatorias (Recomendaciones UIT-T) de manera oportuna, y fomentar la interoperabilidad y una mejor calidad de funcionamiento de equipos, redes, servicios y aplicaciones</w:t>
      </w:r>
    </w:p>
    <w:p w14:paraId="60B3E3BD" w14:textId="77777777" w:rsidR="008A64DF" w:rsidRDefault="008A64DF" w:rsidP="008A64DF">
      <w:pPr>
        <w:pStyle w:val="Headingb"/>
        <w:spacing w:after="120"/>
      </w:pPr>
      <w:r>
        <w:t>Resultados</w:t>
      </w:r>
    </w:p>
    <w:tbl>
      <w:tblPr>
        <w:tblStyle w:val="TableGrid"/>
        <w:tblW w:w="5000" w:type="pct"/>
        <w:jc w:val="center"/>
        <w:tblLook w:val="04A0" w:firstRow="1" w:lastRow="0" w:firstColumn="1" w:lastColumn="0" w:noHBand="0" w:noVBand="1"/>
      </w:tblPr>
      <w:tblGrid>
        <w:gridCol w:w="9629"/>
      </w:tblGrid>
      <w:tr w:rsidR="008A64DF" w:rsidRPr="00F07EAD" w14:paraId="160BAE8A" w14:textId="77777777" w:rsidTr="008A64DF">
        <w:trPr>
          <w:jc w:val="center"/>
        </w:trPr>
        <w:tc>
          <w:tcPr>
            <w:tcW w:w="9016" w:type="dxa"/>
            <w:tcBorders>
              <w:top w:val="single" w:sz="4" w:space="0" w:color="auto"/>
              <w:left w:val="single" w:sz="4" w:space="0" w:color="auto"/>
              <w:bottom w:val="single" w:sz="4" w:space="0" w:color="auto"/>
              <w:right w:val="single" w:sz="4" w:space="0" w:color="auto"/>
            </w:tcBorders>
            <w:shd w:val="clear" w:color="auto" w:fill="DCE5F4"/>
            <w:hideMark/>
          </w:tcPr>
          <w:p w14:paraId="7034BBC6" w14:textId="77777777" w:rsidR="008A64DF" w:rsidRPr="009C097B" w:rsidRDefault="008A64DF" w:rsidP="009C097B">
            <w:pPr>
              <w:pStyle w:val="Tabletext"/>
              <w:rPr>
                <w:lang w:val="es-ES"/>
              </w:rPr>
            </w:pPr>
            <w:r w:rsidRPr="009C097B">
              <w:rPr>
                <w:lang w:val="es-ES"/>
              </w:rPr>
              <w:t>T.1-a: Mayor utilización de Recomendaciones UIT-T</w:t>
            </w:r>
          </w:p>
          <w:p w14:paraId="32148D45" w14:textId="77777777" w:rsidR="008A64DF" w:rsidRPr="009C097B" w:rsidRDefault="008A64DF" w:rsidP="009C097B">
            <w:pPr>
              <w:pStyle w:val="Tabletext"/>
              <w:rPr>
                <w:lang w:val="es-ES"/>
              </w:rPr>
            </w:pPr>
            <w:r w:rsidRPr="009C097B">
              <w:rPr>
                <w:lang w:val="es-ES"/>
              </w:rPr>
              <w:t>T.1-b: Mejor conformidad con las Recomendaciones UIT-T</w:t>
            </w:r>
          </w:p>
          <w:p w14:paraId="597C7119" w14:textId="77777777" w:rsidR="008A64DF" w:rsidRPr="009C097B" w:rsidRDefault="008A64DF" w:rsidP="009C097B">
            <w:pPr>
              <w:pStyle w:val="Tabletext"/>
              <w:rPr>
                <w:lang w:val="es-ES"/>
              </w:rPr>
            </w:pPr>
            <w:r w:rsidRPr="009C097B">
              <w:rPr>
                <w:lang w:val="es-ES"/>
              </w:rPr>
              <w:t>T.1-c: Mejores normas sobre nuevos servicios y tecnologías</w:t>
            </w:r>
          </w:p>
        </w:tc>
      </w:tr>
    </w:tbl>
    <w:p w14:paraId="5933B188" w14:textId="77777777" w:rsidR="008A64DF" w:rsidRDefault="008A64DF" w:rsidP="008A64DF">
      <w:pPr>
        <w:pStyle w:val="Headingb"/>
        <w:spacing w:after="120"/>
      </w:pPr>
      <w:bookmarkStart w:id="294" w:name="lt_pId1570"/>
      <w:r>
        <w:t xml:space="preserve">Progresos </w:t>
      </w:r>
      <w:bookmarkEnd w:id="294"/>
      <w:r>
        <w:t>logrados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2"/>
        <w:gridCol w:w="4867"/>
      </w:tblGrid>
      <w:tr w:rsidR="008A64DF" w14:paraId="1D5977CE" w14:textId="77777777" w:rsidTr="008A64DF">
        <w:trPr>
          <w:jc w:val="center"/>
        </w:trPr>
        <w:tc>
          <w:tcPr>
            <w:tcW w:w="4772" w:type="dxa"/>
            <w:hideMark/>
          </w:tcPr>
          <w:p w14:paraId="2F2EA099" w14:textId="77777777" w:rsidR="008A64DF" w:rsidRDefault="008A64DF">
            <w:pPr>
              <w:keepNext/>
              <w:keepLines/>
              <w:rPr>
                <w:b/>
                <w:bCs/>
                <w:sz w:val="22"/>
                <w:szCs w:val="22"/>
              </w:rPr>
            </w:pPr>
            <w:bookmarkStart w:id="295" w:name="lt_pId1571"/>
            <w:r>
              <w:rPr>
                <w:b/>
                <w:bCs/>
                <w:sz w:val="22"/>
                <w:szCs w:val="22"/>
              </w:rPr>
              <w:t>T.1-a</w:t>
            </w:r>
            <w:bookmarkEnd w:id="295"/>
          </w:p>
        </w:tc>
        <w:tc>
          <w:tcPr>
            <w:tcW w:w="4867" w:type="dxa"/>
          </w:tcPr>
          <w:p w14:paraId="2AD3E087" w14:textId="77777777" w:rsidR="008A64DF" w:rsidRDefault="008A64DF">
            <w:pPr>
              <w:rPr>
                <w:sz w:val="22"/>
                <w:szCs w:val="22"/>
              </w:rPr>
            </w:pPr>
          </w:p>
        </w:tc>
      </w:tr>
      <w:tr w:rsidR="008A64DF" w14:paraId="3B234BEC" w14:textId="77777777" w:rsidTr="008A64DF">
        <w:trPr>
          <w:jc w:val="center"/>
        </w:trPr>
        <w:tc>
          <w:tcPr>
            <w:tcW w:w="4772" w:type="dxa"/>
            <w:hideMark/>
          </w:tcPr>
          <w:p w14:paraId="0C55EEBC" w14:textId="698CA393" w:rsidR="00FF4F1E" w:rsidRPr="00FF4F1E" w:rsidRDefault="00FF4F1E" w:rsidP="00FF4F1E">
            <w:pPr>
              <w:pStyle w:val="Figure"/>
              <w:rPr>
                <w:noProof/>
              </w:rPr>
            </w:pPr>
            <w:r>
              <w:rPr>
                <w:noProof/>
              </w:rPr>
              <w:drawing>
                <wp:inline distT="0" distB="0" distL="0" distR="0" wp14:anchorId="157E3D0D" wp14:editId="131A863A">
                  <wp:extent cx="2520000" cy="1515600"/>
                  <wp:effectExtent l="0" t="0" r="0" b="8890"/>
                  <wp:docPr id="1257977746" name="Picture 1257977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2520000" cy="1515600"/>
                          </a:xfrm>
                          <a:prstGeom prst="rect">
                            <a:avLst/>
                          </a:prstGeom>
                          <a:noFill/>
                        </pic:spPr>
                      </pic:pic>
                    </a:graphicData>
                  </a:graphic>
                </wp:inline>
              </w:drawing>
            </w:r>
          </w:p>
        </w:tc>
        <w:tc>
          <w:tcPr>
            <w:tcW w:w="4867" w:type="dxa"/>
            <w:hideMark/>
          </w:tcPr>
          <w:p w14:paraId="57B44E0E" w14:textId="76D395A8" w:rsidR="00FF4F1E" w:rsidRPr="00FF4F1E" w:rsidRDefault="00FF4F1E" w:rsidP="00FF4F1E">
            <w:pPr>
              <w:pStyle w:val="Figure"/>
              <w:rPr>
                <w:noProof/>
              </w:rPr>
            </w:pPr>
            <w:r>
              <w:rPr>
                <w:noProof/>
              </w:rPr>
              <w:drawing>
                <wp:inline distT="0" distB="0" distL="0" distR="0" wp14:anchorId="657949AF" wp14:editId="7B9C085A">
                  <wp:extent cx="2556000" cy="1515600"/>
                  <wp:effectExtent l="0" t="0" r="0" b="8890"/>
                  <wp:docPr id="1257977741" name="Picture 1257977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2556000" cy="1515600"/>
                          </a:xfrm>
                          <a:prstGeom prst="rect">
                            <a:avLst/>
                          </a:prstGeom>
                          <a:noFill/>
                        </pic:spPr>
                      </pic:pic>
                    </a:graphicData>
                  </a:graphic>
                </wp:inline>
              </w:drawing>
            </w:r>
          </w:p>
        </w:tc>
      </w:tr>
      <w:tr w:rsidR="008A64DF" w14:paraId="4A1A5857" w14:textId="77777777" w:rsidTr="008A64DF">
        <w:trPr>
          <w:jc w:val="center"/>
        </w:trPr>
        <w:tc>
          <w:tcPr>
            <w:tcW w:w="9639" w:type="dxa"/>
            <w:gridSpan w:val="2"/>
          </w:tcPr>
          <w:p w14:paraId="16335396" w14:textId="3E4E1315" w:rsidR="008A64DF" w:rsidRDefault="008A64DF" w:rsidP="008055FA">
            <w:pPr>
              <w:pStyle w:val="Figure"/>
            </w:pPr>
            <w:r>
              <w:rPr>
                <w:noProof/>
              </w:rPr>
              <w:lastRenderedPageBreak/>
              <w:drawing>
                <wp:inline distT="0" distB="0" distL="0" distR="0" wp14:anchorId="2D2DD938" wp14:editId="2BF9681F">
                  <wp:extent cx="2520000" cy="1476000"/>
                  <wp:effectExtent l="0" t="0" r="0" b="0"/>
                  <wp:docPr id="1257977791" name="Picture 1257977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2520000" cy="1476000"/>
                          </a:xfrm>
                          <a:prstGeom prst="rect">
                            <a:avLst/>
                          </a:prstGeom>
                          <a:noFill/>
                          <a:ln>
                            <a:noFill/>
                          </a:ln>
                        </pic:spPr>
                      </pic:pic>
                    </a:graphicData>
                  </a:graphic>
                </wp:inline>
              </w:drawing>
            </w:r>
          </w:p>
        </w:tc>
      </w:tr>
      <w:tr w:rsidR="008A64DF" w14:paraId="17E4BDB9" w14:textId="77777777" w:rsidTr="008A64DF">
        <w:trPr>
          <w:jc w:val="center"/>
        </w:trPr>
        <w:tc>
          <w:tcPr>
            <w:tcW w:w="4772" w:type="dxa"/>
            <w:hideMark/>
          </w:tcPr>
          <w:p w14:paraId="6FBBD9F1" w14:textId="0A843D53" w:rsidR="00880932" w:rsidRPr="00880932" w:rsidRDefault="00880932" w:rsidP="00880932">
            <w:pPr>
              <w:pStyle w:val="Figure"/>
            </w:pPr>
            <w:r>
              <w:rPr>
                <w:noProof/>
              </w:rPr>
              <w:drawing>
                <wp:inline distT="0" distB="0" distL="0" distR="0" wp14:anchorId="2840A3F5" wp14:editId="1A1C37D1">
                  <wp:extent cx="2520000" cy="1540800"/>
                  <wp:effectExtent l="0" t="0" r="0" b="2540"/>
                  <wp:docPr id="1257977752" name="Picture 1257977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2520000" cy="1540800"/>
                          </a:xfrm>
                          <a:prstGeom prst="rect">
                            <a:avLst/>
                          </a:prstGeom>
                          <a:noFill/>
                        </pic:spPr>
                      </pic:pic>
                    </a:graphicData>
                  </a:graphic>
                </wp:inline>
              </w:drawing>
            </w:r>
          </w:p>
        </w:tc>
        <w:tc>
          <w:tcPr>
            <w:tcW w:w="4867" w:type="dxa"/>
            <w:hideMark/>
          </w:tcPr>
          <w:p w14:paraId="14A4F8AD" w14:textId="72F6B6D1" w:rsidR="00880932" w:rsidRPr="00880932" w:rsidRDefault="00880932" w:rsidP="00880932">
            <w:pPr>
              <w:pStyle w:val="Figure"/>
              <w:rPr>
                <w:noProof/>
              </w:rPr>
            </w:pPr>
            <w:r>
              <w:rPr>
                <w:noProof/>
              </w:rPr>
              <w:drawing>
                <wp:inline distT="0" distB="0" distL="0" distR="0" wp14:anchorId="1EFA4EA9" wp14:editId="64D03097">
                  <wp:extent cx="2638800" cy="1540800"/>
                  <wp:effectExtent l="0" t="0" r="0" b="2540"/>
                  <wp:docPr id="1257977753" name="Picture 1257977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2638800" cy="1540800"/>
                          </a:xfrm>
                          <a:prstGeom prst="rect">
                            <a:avLst/>
                          </a:prstGeom>
                          <a:noFill/>
                        </pic:spPr>
                      </pic:pic>
                    </a:graphicData>
                  </a:graphic>
                </wp:inline>
              </w:drawing>
            </w:r>
          </w:p>
        </w:tc>
      </w:tr>
      <w:tr w:rsidR="008A64DF" w14:paraId="3B853BD2" w14:textId="77777777" w:rsidTr="008A64DF">
        <w:trPr>
          <w:jc w:val="center"/>
        </w:trPr>
        <w:tc>
          <w:tcPr>
            <w:tcW w:w="4772" w:type="dxa"/>
            <w:hideMark/>
          </w:tcPr>
          <w:p w14:paraId="3D4F1083" w14:textId="54D59807" w:rsidR="008A64DF" w:rsidRDefault="008A64DF">
            <w:pPr>
              <w:keepNext/>
              <w:keepLines/>
              <w:rPr>
                <w:b/>
                <w:bCs/>
                <w:sz w:val="22"/>
                <w:szCs w:val="22"/>
              </w:rPr>
            </w:pPr>
            <w:bookmarkStart w:id="296" w:name="lt_pId1572"/>
            <w:r>
              <w:rPr>
                <w:b/>
                <w:bCs/>
                <w:sz w:val="22"/>
                <w:szCs w:val="22"/>
              </w:rPr>
              <w:t>T.1-b</w:t>
            </w:r>
            <w:bookmarkEnd w:id="296"/>
          </w:p>
        </w:tc>
        <w:tc>
          <w:tcPr>
            <w:tcW w:w="4867" w:type="dxa"/>
          </w:tcPr>
          <w:p w14:paraId="1D39552C" w14:textId="77777777" w:rsidR="008A64DF" w:rsidRDefault="008A64DF">
            <w:pPr>
              <w:rPr>
                <w:bCs/>
              </w:rPr>
            </w:pPr>
          </w:p>
        </w:tc>
      </w:tr>
      <w:tr w:rsidR="008A64DF" w14:paraId="5BE18379" w14:textId="77777777" w:rsidTr="008A64DF">
        <w:trPr>
          <w:jc w:val="center"/>
        </w:trPr>
        <w:tc>
          <w:tcPr>
            <w:tcW w:w="4772" w:type="dxa"/>
            <w:hideMark/>
          </w:tcPr>
          <w:p w14:paraId="0154C208" w14:textId="3EFEE3AD" w:rsidR="008A64DF" w:rsidRDefault="008A64DF" w:rsidP="00FC2D53"/>
        </w:tc>
        <w:tc>
          <w:tcPr>
            <w:tcW w:w="4867" w:type="dxa"/>
            <w:hideMark/>
          </w:tcPr>
          <w:p w14:paraId="2BA45F1C" w14:textId="6CC0E7C3" w:rsidR="008A64DF" w:rsidRDefault="008A64DF" w:rsidP="00FC2D53">
            <w:pPr>
              <w:rPr>
                <w:bCs/>
              </w:rPr>
            </w:pPr>
          </w:p>
        </w:tc>
      </w:tr>
      <w:tr w:rsidR="008A64DF" w14:paraId="00172DDE" w14:textId="77777777" w:rsidTr="008A64DF">
        <w:trPr>
          <w:jc w:val="center"/>
        </w:trPr>
        <w:tc>
          <w:tcPr>
            <w:tcW w:w="4772" w:type="dxa"/>
            <w:hideMark/>
          </w:tcPr>
          <w:p w14:paraId="757D972D" w14:textId="77777777" w:rsidR="008A64DF" w:rsidRDefault="008A64DF">
            <w:pPr>
              <w:keepNext/>
              <w:keepLines/>
              <w:rPr>
                <w:b/>
                <w:bCs/>
                <w:sz w:val="22"/>
                <w:szCs w:val="22"/>
              </w:rPr>
            </w:pPr>
            <w:bookmarkStart w:id="297" w:name="lt_pId1573"/>
            <w:r>
              <w:rPr>
                <w:b/>
                <w:bCs/>
                <w:sz w:val="22"/>
                <w:szCs w:val="22"/>
              </w:rPr>
              <w:t>T.1-c</w:t>
            </w:r>
            <w:bookmarkEnd w:id="297"/>
          </w:p>
        </w:tc>
        <w:tc>
          <w:tcPr>
            <w:tcW w:w="4867" w:type="dxa"/>
          </w:tcPr>
          <w:p w14:paraId="6E1D962D" w14:textId="77777777" w:rsidR="008A64DF" w:rsidRDefault="008A64DF">
            <w:pPr>
              <w:rPr>
                <w:b/>
                <w:bCs/>
                <w:sz w:val="22"/>
                <w:szCs w:val="22"/>
              </w:rPr>
            </w:pPr>
          </w:p>
        </w:tc>
      </w:tr>
      <w:tr w:rsidR="008A64DF" w14:paraId="69FFA228" w14:textId="77777777" w:rsidTr="008A64DF">
        <w:trPr>
          <w:jc w:val="center"/>
        </w:trPr>
        <w:tc>
          <w:tcPr>
            <w:tcW w:w="4772" w:type="dxa"/>
            <w:hideMark/>
          </w:tcPr>
          <w:p w14:paraId="14475852" w14:textId="0EC7CC48" w:rsidR="00F63662" w:rsidRPr="00F63662" w:rsidRDefault="00F63662" w:rsidP="00F63662">
            <w:pPr>
              <w:pStyle w:val="Figure"/>
              <w:rPr>
                <w:noProof/>
              </w:rPr>
            </w:pPr>
            <w:r>
              <w:rPr>
                <w:noProof/>
              </w:rPr>
              <w:drawing>
                <wp:inline distT="0" distB="0" distL="0" distR="0" wp14:anchorId="3C32E356" wp14:editId="21E505BF">
                  <wp:extent cx="2520000" cy="1494000"/>
                  <wp:effectExtent l="0" t="0" r="0" b="0"/>
                  <wp:docPr id="1257977754" name="Picture 1257977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2520000" cy="1494000"/>
                          </a:xfrm>
                          <a:prstGeom prst="rect">
                            <a:avLst/>
                          </a:prstGeom>
                          <a:noFill/>
                        </pic:spPr>
                      </pic:pic>
                    </a:graphicData>
                  </a:graphic>
                </wp:inline>
              </w:drawing>
            </w:r>
          </w:p>
        </w:tc>
        <w:tc>
          <w:tcPr>
            <w:tcW w:w="4867" w:type="dxa"/>
            <w:hideMark/>
          </w:tcPr>
          <w:p w14:paraId="1013FDE3" w14:textId="322AEAF0" w:rsidR="00F63662" w:rsidRPr="00F63662" w:rsidRDefault="00F63662" w:rsidP="00F63662">
            <w:pPr>
              <w:pStyle w:val="Figure"/>
              <w:rPr>
                <w:noProof/>
              </w:rPr>
            </w:pPr>
            <w:r>
              <w:rPr>
                <w:noProof/>
              </w:rPr>
              <w:drawing>
                <wp:inline distT="0" distB="0" distL="0" distR="0" wp14:anchorId="657F8BF0" wp14:editId="09EF8F2A">
                  <wp:extent cx="2484000" cy="1494000"/>
                  <wp:effectExtent l="0" t="0" r="0" b="0"/>
                  <wp:docPr id="1257977755" name="Picture 1257977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2484000" cy="1494000"/>
                          </a:xfrm>
                          <a:prstGeom prst="rect">
                            <a:avLst/>
                          </a:prstGeom>
                          <a:noFill/>
                        </pic:spPr>
                      </pic:pic>
                    </a:graphicData>
                  </a:graphic>
                </wp:inline>
              </w:drawing>
            </w:r>
          </w:p>
        </w:tc>
      </w:tr>
      <w:tr w:rsidR="00FC2D53" w14:paraId="766FD40D" w14:textId="77777777" w:rsidTr="008A64DF">
        <w:trPr>
          <w:jc w:val="center"/>
        </w:trPr>
        <w:tc>
          <w:tcPr>
            <w:tcW w:w="4772" w:type="dxa"/>
          </w:tcPr>
          <w:p w14:paraId="4284645B" w14:textId="77777777" w:rsidR="00FC2D53" w:rsidRDefault="00FC2D53" w:rsidP="00F63662">
            <w:pPr>
              <w:pStyle w:val="Figure"/>
              <w:rPr>
                <w:noProof/>
              </w:rPr>
            </w:pPr>
          </w:p>
        </w:tc>
        <w:tc>
          <w:tcPr>
            <w:tcW w:w="4867" w:type="dxa"/>
          </w:tcPr>
          <w:p w14:paraId="6C0AD3E4" w14:textId="649F2E88" w:rsidR="00FC2D53" w:rsidRDefault="00572A21" w:rsidP="00F63662">
            <w:pPr>
              <w:pStyle w:val="Figure"/>
              <w:rPr>
                <w:noProof/>
              </w:rPr>
            </w:pPr>
            <w:r>
              <w:rPr>
                <w:bCs/>
                <w:noProof/>
              </w:rPr>
              <w:drawing>
                <wp:inline distT="0" distB="0" distL="0" distR="0" wp14:anchorId="49C9088C" wp14:editId="4653FA46">
                  <wp:extent cx="2484000" cy="1519200"/>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2484000" cy="1519200"/>
                          </a:xfrm>
                          <a:prstGeom prst="rect">
                            <a:avLst/>
                          </a:prstGeom>
                          <a:noFill/>
                        </pic:spPr>
                      </pic:pic>
                    </a:graphicData>
                  </a:graphic>
                </wp:inline>
              </w:drawing>
            </w:r>
          </w:p>
        </w:tc>
      </w:tr>
    </w:tbl>
    <w:p w14:paraId="0EFCC520" w14:textId="77777777" w:rsidR="008A64DF" w:rsidRDefault="008A64DF" w:rsidP="00FC2D53">
      <w:pPr>
        <w:pStyle w:val="Normalaftertitle"/>
        <w:keepNext/>
        <w:keepLines/>
      </w:pPr>
      <w:r>
        <w:rPr>
          <w:b/>
          <w:bCs/>
        </w:rPr>
        <w:lastRenderedPageBreak/>
        <w:t>Objetivo T.2</w:t>
      </w:r>
      <w:r w:rsidRPr="00F63662">
        <w:t xml:space="preserve"> </w:t>
      </w:r>
      <w:r>
        <w:t>(reducción de la brecha normativa): Promover la participación activa de los miembros y, en particular, países en desarrollo en la definición y adopción de normas internacionales no discriminatorias (Recomendaciones UIT-T) con miras a reducir la disparidad en materia de normalización</w:t>
      </w:r>
    </w:p>
    <w:p w14:paraId="12230FCE" w14:textId="77777777" w:rsidR="008A64DF" w:rsidRDefault="008A64DF" w:rsidP="008A64DF">
      <w:pPr>
        <w:pStyle w:val="Headingb"/>
        <w:spacing w:after="120"/>
      </w:pPr>
      <w:r>
        <w:t>Resultados</w:t>
      </w:r>
    </w:p>
    <w:tbl>
      <w:tblPr>
        <w:tblStyle w:val="TableGrid"/>
        <w:tblW w:w="5000" w:type="pct"/>
        <w:jc w:val="center"/>
        <w:tblLook w:val="04A0" w:firstRow="1" w:lastRow="0" w:firstColumn="1" w:lastColumn="0" w:noHBand="0" w:noVBand="1"/>
      </w:tblPr>
      <w:tblGrid>
        <w:gridCol w:w="9629"/>
      </w:tblGrid>
      <w:tr w:rsidR="008A64DF" w:rsidRPr="00F07EAD" w14:paraId="05AD9B4D" w14:textId="77777777" w:rsidTr="008A64DF">
        <w:trPr>
          <w:jc w:val="center"/>
        </w:trPr>
        <w:tc>
          <w:tcPr>
            <w:tcW w:w="9016" w:type="dxa"/>
            <w:tcBorders>
              <w:top w:val="single" w:sz="4" w:space="0" w:color="auto"/>
              <w:left w:val="single" w:sz="4" w:space="0" w:color="auto"/>
              <w:bottom w:val="single" w:sz="4" w:space="0" w:color="auto"/>
              <w:right w:val="single" w:sz="4" w:space="0" w:color="auto"/>
            </w:tcBorders>
            <w:shd w:val="clear" w:color="auto" w:fill="DCE5F4"/>
            <w:hideMark/>
          </w:tcPr>
          <w:p w14:paraId="662207A2" w14:textId="77777777" w:rsidR="008A64DF" w:rsidRPr="008F5584" w:rsidRDefault="008A64DF" w:rsidP="008F5584">
            <w:pPr>
              <w:pStyle w:val="Tabletext"/>
              <w:rPr>
                <w:lang w:val="es-ES"/>
              </w:rPr>
            </w:pPr>
            <w:r w:rsidRPr="008F5584">
              <w:rPr>
                <w:lang w:val="es-ES"/>
              </w:rPr>
              <w:t>T.2-a: Mayor participación en el proceso de normalización del UIT-T, incluida la asistencia a reuniones, la presentación de contribuciones, la adopción de posiciones de liderazgo y la acogida de reuniones/talleres, especialmente por parte de los países en desarrollo</w:t>
            </w:r>
          </w:p>
          <w:p w14:paraId="428BBBBA" w14:textId="77777777" w:rsidR="008A64DF" w:rsidRPr="008F5584" w:rsidRDefault="008A64DF" w:rsidP="008F5584">
            <w:pPr>
              <w:pStyle w:val="Tabletext"/>
              <w:rPr>
                <w:lang w:val="es-ES"/>
              </w:rPr>
            </w:pPr>
            <w:r w:rsidRPr="008F5584">
              <w:rPr>
                <w:lang w:val="es-ES"/>
              </w:rPr>
              <w:t>T.2-b: Aumento del número de Miembros del UIT</w:t>
            </w:r>
            <w:r w:rsidRPr="008F5584">
              <w:rPr>
                <w:lang w:val="es-ES"/>
              </w:rPr>
              <w:noBreakHyphen/>
              <w:t>T, incluidos Miembros de Sector, Asociados e Instituciones Académicas</w:t>
            </w:r>
          </w:p>
        </w:tc>
      </w:tr>
    </w:tbl>
    <w:p w14:paraId="702B8C72" w14:textId="77777777" w:rsidR="008A64DF" w:rsidRDefault="008A64DF" w:rsidP="008A64DF">
      <w:pPr>
        <w:pStyle w:val="Headingb"/>
        <w:spacing w:after="120"/>
      </w:pPr>
      <w:r>
        <w:t>Progresos logrados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9"/>
        <w:gridCol w:w="4790"/>
      </w:tblGrid>
      <w:tr w:rsidR="008A64DF" w14:paraId="338F9197" w14:textId="77777777" w:rsidTr="008A64DF">
        <w:trPr>
          <w:jc w:val="center"/>
        </w:trPr>
        <w:tc>
          <w:tcPr>
            <w:tcW w:w="4849" w:type="dxa"/>
            <w:hideMark/>
          </w:tcPr>
          <w:p w14:paraId="51B7E973" w14:textId="77777777" w:rsidR="008A64DF" w:rsidRDefault="008A64DF">
            <w:pPr>
              <w:keepNext/>
              <w:keepLines/>
              <w:rPr>
                <w:b/>
                <w:bCs/>
                <w:sz w:val="22"/>
                <w:szCs w:val="22"/>
              </w:rPr>
            </w:pPr>
            <w:bookmarkStart w:id="298" w:name="lt_pId1579"/>
            <w:r>
              <w:rPr>
                <w:b/>
                <w:bCs/>
                <w:sz w:val="22"/>
                <w:szCs w:val="22"/>
              </w:rPr>
              <w:t>T.2-a</w:t>
            </w:r>
            <w:bookmarkEnd w:id="298"/>
          </w:p>
        </w:tc>
        <w:tc>
          <w:tcPr>
            <w:tcW w:w="4790" w:type="dxa"/>
          </w:tcPr>
          <w:p w14:paraId="1783BA52" w14:textId="77777777" w:rsidR="008A64DF" w:rsidRDefault="008A64DF">
            <w:pPr>
              <w:rPr>
                <w:bCs/>
                <w:sz w:val="22"/>
                <w:szCs w:val="22"/>
              </w:rPr>
            </w:pPr>
          </w:p>
        </w:tc>
      </w:tr>
      <w:tr w:rsidR="008A64DF" w14:paraId="2B31DE37" w14:textId="77777777" w:rsidTr="008A64DF">
        <w:trPr>
          <w:jc w:val="center"/>
        </w:trPr>
        <w:tc>
          <w:tcPr>
            <w:tcW w:w="4849" w:type="dxa"/>
            <w:hideMark/>
          </w:tcPr>
          <w:p w14:paraId="25D1115E" w14:textId="60CCF991" w:rsidR="00AD376E" w:rsidRPr="00AD376E" w:rsidRDefault="00AD376E" w:rsidP="00AD376E">
            <w:pPr>
              <w:pStyle w:val="Figure"/>
            </w:pPr>
            <w:r>
              <w:rPr>
                <w:noProof/>
              </w:rPr>
              <w:drawing>
                <wp:inline distT="0" distB="0" distL="0" distR="0" wp14:anchorId="720912C0" wp14:editId="6D67070F">
                  <wp:extent cx="2772000" cy="1281600"/>
                  <wp:effectExtent l="0" t="0" r="0" b="0"/>
                  <wp:docPr id="1257977756" name="Picture 1257977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2772000" cy="1281600"/>
                          </a:xfrm>
                          <a:prstGeom prst="rect">
                            <a:avLst/>
                          </a:prstGeom>
                          <a:noFill/>
                        </pic:spPr>
                      </pic:pic>
                    </a:graphicData>
                  </a:graphic>
                </wp:inline>
              </w:drawing>
            </w:r>
          </w:p>
        </w:tc>
        <w:tc>
          <w:tcPr>
            <w:tcW w:w="4790" w:type="dxa"/>
            <w:hideMark/>
          </w:tcPr>
          <w:p w14:paraId="60940FE0" w14:textId="7FFF05A1" w:rsidR="00AD376E" w:rsidRPr="00AD376E" w:rsidRDefault="00AD376E" w:rsidP="00AD376E">
            <w:pPr>
              <w:pStyle w:val="Figure"/>
            </w:pPr>
            <w:r>
              <w:rPr>
                <w:noProof/>
              </w:rPr>
              <w:drawing>
                <wp:inline distT="0" distB="0" distL="0" distR="0" wp14:anchorId="475067A0" wp14:editId="2486C0C3">
                  <wp:extent cx="2307600" cy="1281600"/>
                  <wp:effectExtent l="0" t="0" r="0" b="0"/>
                  <wp:docPr id="1257977757" name="Picture 1257977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2307600" cy="1281600"/>
                          </a:xfrm>
                          <a:prstGeom prst="rect">
                            <a:avLst/>
                          </a:prstGeom>
                          <a:noFill/>
                        </pic:spPr>
                      </pic:pic>
                    </a:graphicData>
                  </a:graphic>
                </wp:inline>
              </w:drawing>
            </w:r>
          </w:p>
        </w:tc>
      </w:tr>
      <w:tr w:rsidR="008A64DF" w14:paraId="5F168AAC" w14:textId="77777777" w:rsidTr="008A64DF">
        <w:trPr>
          <w:jc w:val="center"/>
        </w:trPr>
        <w:tc>
          <w:tcPr>
            <w:tcW w:w="4849" w:type="dxa"/>
            <w:hideMark/>
          </w:tcPr>
          <w:p w14:paraId="3326B5A7" w14:textId="0EDC32AF" w:rsidR="00077669" w:rsidRPr="00077669" w:rsidRDefault="00077669" w:rsidP="00077669">
            <w:pPr>
              <w:pStyle w:val="Figure"/>
            </w:pPr>
            <w:r>
              <w:rPr>
                <w:noProof/>
              </w:rPr>
              <w:drawing>
                <wp:inline distT="0" distB="0" distL="0" distR="0" wp14:anchorId="5B7BC439" wp14:editId="1EB53C3A">
                  <wp:extent cx="2520000" cy="1497600"/>
                  <wp:effectExtent l="0" t="0" r="0" b="7620"/>
                  <wp:docPr id="1257977761" name="Picture 1257977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2520000" cy="1497600"/>
                          </a:xfrm>
                          <a:prstGeom prst="rect">
                            <a:avLst/>
                          </a:prstGeom>
                          <a:noFill/>
                        </pic:spPr>
                      </pic:pic>
                    </a:graphicData>
                  </a:graphic>
                </wp:inline>
              </w:drawing>
            </w:r>
          </w:p>
        </w:tc>
        <w:tc>
          <w:tcPr>
            <w:tcW w:w="4790" w:type="dxa"/>
            <w:hideMark/>
          </w:tcPr>
          <w:p w14:paraId="6F13A10E" w14:textId="6AF3C95E" w:rsidR="00077669" w:rsidRPr="00077669" w:rsidRDefault="00077669" w:rsidP="00077669">
            <w:pPr>
              <w:pStyle w:val="Figure"/>
            </w:pPr>
            <w:r>
              <w:rPr>
                <w:noProof/>
              </w:rPr>
              <w:drawing>
                <wp:inline distT="0" distB="0" distL="0" distR="0" wp14:anchorId="5A8003BC" wp14:editId="609DCB7C">
                  <wp:extent cx="2491200" cy="1497600"/>
                  <wp:effectExtent l="0" t="0" r="4445" b="7620"/>
                  <wp:docPr id="1257977760" name="Picture 1257977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2491200" cy="1497600"/>
                          </a:xfrm>
                          <a:prstGeom prst="rect">
                            <a:avLst/>
                          </a:prstGeom>
                          <a:noFill/>
                        </pic:spPr>
                      </pic:pic>
                    </a:graphicData>
                  </a:graphic>
                </wp:inline>
              </w:drawing>
            </w:r>
          </w:p>
        </w:tc>
      </w:tr>
      <w:tr w:rsidR="008A64DF" w14:paraId="2ED16BC5" w14:textId="77777777" w:rsidTr="008A64DF">
        <w:trPr>
          <w:jc w:val="center"/>
        </w:trPr>
        <w:tc>
          <w:tcPr>
            <w:tcW w:w="4849" w:type="dxa"/>
            <w:hideMark/>
          </w:tcPr>
          <w:p w14:paraId="7ED2DA99" w14:textId="7E961383" w:rsidR="00077669" w:rsidRPr="00077669" w:rsidRDefault="00077669" w:rsidP="00077669">
            <w:pPr>
              <w:pStyle w:val="Figure"/>
            </w:pPr>
            <w:r>
              <w:rPr>
                <w:noProof/>
              </w:rPr>
              <w:drawing>
                <wp:inline distT="0" distB="0" distL="0" distR="0" wp14:anchorId="55D8E358" wp14:editId="20943B4D">
                  <wp:extent cx="2520000" cy="1422000"/>
                  <wp:effectExtent l="0" t="0" r="0" b="6985"/>
                  <wp:docPr id="1257977758" name="Picture 1257977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2520000" cy="1422000"/>
                          </a:xfrm>
                          <a:prstGeom prst="rect">
                            <a:avLst/>
                          </a:prstGeom>
                          <a:noFill/>
                        </pic:spPr>
                      </pic:pic>
                    </a:graphicData>
                  </a:graphic>
                </wp:inline>
              </w:drawing>
            </w:r>
          </w:p>
        </w:tc>
        <w:tc>
          <w:tcPr>
            <w:tcW w:w="4790" w:type="dxa"/>
          </w:tcPr>
          <w:p w14:paraId="7A1911EB" w14:textId="47DF8B72" w:rsidR="008A64DF" w:rsidRDefault="008A64DF" w:rsidP="00077669">
            <w:pPr>
              <w:pStyle w:val="Figure"/>
            </w:pPr>
          </w:p>
        </w:tc>
      </w:tr>
      <w:tr w:rsidR="008A64DF" w14:paraId="4AE487D4" w14:textId="77777777" w:rsidTr="008A64DF">
        <w:trPr>
          <w:jc w:val="center"/>
        </w:trPr>
        <w:tc>
          <w:tcPr>
            <w:tcW w:w="4849" w:type="dxa"/>
            <w:hideMark/>
          </w:tcPr>
          <w:p w14:paraId="332020BC" w14:textId="77777777" w:rsidR="008A64DF" w:rsidRDefault="008A64DF">
            <w:pPr>
              <w:keepNext/>
              <w:keepLines/>
              <w:rPr>
                <w:b/>
                <w:bCs/>
                <w:sz w:val="22"/>
                <w:szCs w:val="22"/>
              </w:rPr>
            </w:pPr>
            <w:bookmarkStart w:id="299" w:name="lt_pId1580"/>
            <w:r>
              <w:rPr>
                <w:b/>
                <w:bCs/>
                <w:sz w:val="22"/>
                <w:szCs w:val="22"/>
              </w:rPr>
              <w:lastRenderedPageBreak/>
              <w:t>T.2-b</w:t>
            </w:r>
            <w:bookmarkEnd w:id="299"/>
          </w:p>
        </w:tc>
        <w:tc>
          <w:tcPr>
            <w:tcW w:w="4790" w:type="dxa"/>
          </w:tcPr>
          <w:p w14:paraId="7294A0AA" w14:textId="4B8978AD" w:rsidR="008A64DF" w:rsidRDefault="008A64DF">
            <w:pPr>
              <w:rPr>
                <w:bCs/>
              </w:rPr>
            </w:pPr>
          </w:p>
        </w:tc>
      </w:tr>
      <w:tr w:rsidR="008A64DF" w14:paraId="22D1063A" w14:textId="77777777" w:rsidTr="008A64DF">
        <w:trPr>
          <w:jc w:val="center"/>
        </w:trPr>
        <w:tc>
          <w:tcPr>
            <w:tcW w:w="4849" w:type="dxa"/>
            <w:hideMark/>
          </w:tcPr>
          <w:p w14:paraId="3C3BA369" w14:textId="0F7994E9" w:rsidR="00A1286B" w:rsidRPr="00A1286B" w:rsidRDefault="00A1286B" w:rsidP="00A1286B">
            <w:pPr>
              <w:pStyle w:val="Figure"/>
            </w:pPr>
            <w:r>
              <w:rPr>
                <w:noProof/>
              </w:rPr>
              <w:drawing>
                <wp:inline distT="0" distB="0" distL="0" distR="0" wp14:anchorId="7B771C90" wp14:editId="71B3B7FC">
                  <wp:extent cx="2520000" cy="1490400"/>
                  <wp:effectExtent l="0" t="0" r="0" b="0"/>
                  <wp:docPr id="1257977762" name="Picture 1257977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2520000" cy="1490400"/>
                          </a:xfrm>
                          <a:prstGeom prst="rect">
                            <a:avLst/>
                          </a:prstGeom>
                          <a:noFill/>
                        </pic:spPr>
                      </pic:pic>
                    </a:graphicData>
                  </a:graphic>
                </wp:inline>
              </w:drawing>
            </w:r>
          </w:p>
        </w:tc>
        <w:tc>
          <w:tcPr>
            <w:tcW w:w="4790" w:type="dxa"/>
          </w:tcPr>
          <w:p w14:paraId="56F8D35A" w14:textId="1120E17B" w:rsidR="008A64DF" w:rsidRDefault="007D038D">
            <w:pPr>
              <w:pStyle w:val="Figure"/>
            </w:pPr>
            <w:r>
              <w:rPr>
                <w:noProof/>
              </w:rPr>
              <w:drawing>
                <wp:inline distT="0" distB="0" distL="0" distR="0" wp14:anchorId="3576EEBF" wp14:editId="2EB1DEAB">
                  <wp:extent cx="2520000" cy="1656000"/>
                  <wp:effectExtent l="0" t="0" r="0" b="1905"/>
                  <wp:docPr id="505389738" name="Picture 505389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1"/>
                          <a:stretch>
                            <a:fillRect/>
                          </a:stretch>
                        </pic:blipFill>
                        <pic:spPr>
                          <a:xfrm>
                            <a:off x="0" y="0"/>
                            <a:ext cx="2520000" cy="1656000"/>
                          </a:xfrm>
                          <a:prstGeom prst="rect">
                            <a:avLst/>
                          </a:prstGeom>
                        </pic:spPr>
                      </pic:pic>
                    </a:graphicData>
                  </a:graphic>
                </wp:inline>
              </w:drawing>
            </w:r>
          </w:p>
        </w:tc>
      </w:tr>
    </w:tbl>
    <w:p w14:paraId="4538BDC2" w14:textId="77777777" w:rsidR="008A64DF" w:rsidRDefault="008A64DF" w:rsidP="008A64DF">
      <w:r w:rsidRPr="00473E66">
        <w:rPr>
          <w:b/>
          <w:bCs/>
        </w:rPr>
        <w:t>Objetivo T.3</w:t>
      </w:r>
      <w:r>
        <w:rPr>
          <w:b/>
          <w:bCs/>
        </w:rPr>
        <w:t xml:space="preserve"> </w:t>
      </w:r>
      <w:r>
        <w:t>(recursos de telecomunicaciones): Garantizar una atribución y una gestión efectivas de recursos de numeración, denominación, direccionamiento e identificación de las telecomunicaciones internacionales, de conformidad con las Recomendaciones y los procedimientos del UIT-T</w:t>
      </w:r>
    </w:p>
    <w:p w14:paraId="2CD48ECC" w14:textId="77777777" w:rsidR="008A64DF" w:rsidRDefault="008A64DF" w:rsidP="008A64DF">
      <w:pPr>
        <w:pStyle w:val="Headingb"/>
        <w:spacing w:after="120"/>
      </w:pPr>
      <w:r>
        <w:t>Resultados</w:t>
      </w:r>
    </w:p>
    <w:tbl>
      <w:tblPr>
        <w:tblStyle w:val="TableGrid"/>
        <w:tblW w:w="5000" w:type="pct"/>
        <w:jc w:val="center"/>
        <w:tblLook w:val="04A0" w:firstRow="1" w:lastRow="0" w:firstColumn="1" w:lastColumn="0" w:noHBand="0" w:noVBand="1"/>
      </w:tblPr>
      <w:tblGrid>
        <w:gridCol w:w="9629"/>
      </w:tblGrid>
      <w:tr w:rsidR="008A64DF" w:rsidRPr="00575DDE" w14:paraId="7D7B99FB" w14:textId="77777777" w:rsidTr="008A64DF">
        <w:trPr>
          <w:jc w:val="center"/>
        </w:trPr>
        <w:tc>
          <w:tcPr>
            <w:tcW w:w="9016" w:type="dxa"/>
            <w:tcBorders>
              <w:top w:val="single" w:sz="4" w:space="0" w:color="auto"/>
              <w:left w:val="single" w:sz="4" w:space="0" w:color="auto"/>
              <w:bottom w:val="single" w:sz="4" w:space="0" w:color="auto"/>
              <w:right w:val="single" w:sz="4" w:space="0" w:color="auto"/>
            </w:tcBorders>
            <w:shd w:val="clear" w:color="auto" w:fill="DCE5F4"/>
            <w:hideMark/>
          </w:tcPr>
          <w:p w14:paraId="71770159" w14:textId="77777777" w:rsidR="008A64DF" w:rsidRPr="008F5584" w:rsidRDefault="008A64DF" w:rsidP="008F5584">
            <w:pPr>
              <w:pStyle w:val="Tabletext"/>
              <w:rPr>
                <w:lang w:val="es-ES"/>
              </w:rPr>
            </w:pPr>
            <w:r w:rsidRPr="008F5584">
              <w:rPr>
                <w:lang w:val="es-ES"/>
              </w:rPr>
              <w:t>T.3-a: Atribución oportuna y precisa de recursos de numeración, denominación, direccionamiento e identificación de telecomunicaciones internacionales, conforme a lo estipulado en las recomendaciones pertinentes</w:t>
            </w:r>
          </w:p>
        </w:tc>
      </w:tr>
    </w:tbl>
    <w:p w14:paraId="09CF2CB2" w14:textId="65FEE999" w:rsidR="008A64DF" w:rsidRDefault="008A64DF" w:rsidP="008A64DF">
      <w:pPr>
        <w:pStyle w:val="Headingb"/>
        <w:spacing w:after="120"/>
      </w:pPr>
      <w:r>
        <w:t>Progresos logrados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A64EFC" w14:paraId="1CB13149" w14:textId="77777777" w:rsidTr="00DF14B3">
        <w:trPr>
          <w:jc w:val="center"/>
        </w:trPr>
        <w:tc>
          <w:tcPr>
            <w:tcW w:w="9639" w:type="dxa"/>
          </w:tcPr>
          <w:p w14:paraId="13541B8A" w14:textId="6FEDE120" w:rsidR="00A64EFC" w:rsidRDefault="00A64EFC" w:rsidP="00657963">
            <w:pPr>
              <w:pStyle w:val="Figure"/>
            </w:pPr>
            <w:r>
              <w:rPr>
                <w:noProof/>
              </w:rPr>
              <w:drawing>
                <wp:inline distT="0" distB="0" distL="0" distR="0" wp14:anchorId="13E26FE1" wp14:editId="70EAC9E6">
                  <wp:extent cx="3110400" cy="2109600"/>
                  <wp:effectExtent l="0" t="0" r="0" b="5080"/>
                  <wp:docPr id="1257977764" name="Picture 1257977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3110400" cy="2109600"/>
                          </a:xfrm>
                          <a:prstGeom prst="rect">
                            <a:avLst/>
                          </a:prstGeom>
                          <a:noFill/>
                        </pic:spPr>
                      </pic:pic>
                    </a:graphicData>
                  </a:graphic>
                </wp:inline>
              </w:drawing>
            </w:r>
          </w:p>
        </w:tc>
      </w:tr>
    </w:tbl>
    <w:p w14:paraId="05CE2A2B" w14:textId="77777777" w:rsidR="008A64DF" w:rsidRDefault="008A64DF" w:rsidP="008A64DF">
      <w:pPr>
        <w:pStyle w:val="Normalaftertitle"/>
      </w:pPr>
      <w:r>
        <w:rPr>
          <w:b/>
          <w:bCs/>
        </w:rPr>
        <w:t xml:space="preserve">Objetivo T.4 </w:t>
      </w:r>
      <w:r>
        <w:t>(intercambio de conocimientos): Fomentar la adquisición, comprensión y divulgación de conocimientos teóricos y prácticos sobre las actividades de normalización del UIT-T</w:t>
      </w:r>
    </w:p>
    <w:p w14:paraId="5134666C" w14:textId="77777777" w:rsidR="008A64DF" w:rsidRDefault="008A64DF" w:rsidP="008A64DF">
      <w:pPr>
        <w:pStyle w:val="Headingb"/>
        <w:spacing w:after="120"/>
      </w:pPr>
      <w:r>
        <w:t>Resultados</w:t>
      </w:r>
    </w:p>
    <w:tbl>
      <w:tblPr>
        <w:tblStyle w:val="TableGrid"/>
        <w:tblW w:w="5000" w:type="pct"/>
        <w:jc w:val="center"/>
        <w:tblLook w:val="04A0" w:firstRow="1" w:lastRow="0" w:firstColumn="1" w:lastColumn="0" w:noHBand="0" w:noVBand="1"/>
      </w:tblPr>
      <w:tblGrid>
        <w:gridCol w:w="9629"/>
      </w:tblGrid>
      <w:tr w:rsidR="008A64DF" w:rsidRPr="00575DDE" w14:paraId="0D8FF6CA" w14:textId="77777777" w:rsidTr="008A64DF">
        <w:trPr>
          <w:jc w:val="center"/>
        </w:trPr>
        <w:tc>
          <w:tcPr>
            <w:tcW w:w="9016" w:type="dxa"/>
            <w:tcBorders>
              <w:top w:val="single" w:sz="4" w:space="0" w:color="auto"/>
              <w:left w:val="single" w:sz="4" w:space="0" w:color="auto"/>
              <w:bottom w:val="single" w:sz="4" w:space="0" w:color="auto"/>
              <w:right w:val="single" w:sz="4" w:space="0" w:color="auto"/>
            </w:tcBorders>
            <w:shd w:val="clear" w:color="auto" w:fill="DCE5F4"/>
            <w:hideMark/>
          </w:tcPr>
          <w:p w14:paraId="624A1CEB" w14:textId="130EE358" w:rsidR="008A64DF" w:rsidRPr="008F5584" w:rsidRDefault="008A64DF" w:rsidP="008F5584">
            <w:pPr>
              <w:pStyle w:val="Tabletext"/>
              <w:rPr>
                <w:lang w:val="es-ES"/>
              </w:rPr>
            </w:pPr>
            <w:r w:rsidRPr="008F5584">
              <w:rPr>
                <w:lang w:val="es-ES"/>
              </w:rPr>
              <w:t>T.4-a: Mayor conocimiento de normas del UIT-T y de prácticas idóneas en la aplicación de normas del</w:t>
            </w:r>
            <w:r w:rsidR="008F5584">
              <w:rPr>
                <w:lang w:val="es-ES"/>
              </w:rPr>
              <w:t> </w:t>
            </w:r>
            <w:r w:rsidRPr="008F5584">
              <w:rPr>
                <w:lang w:val="es-ES"/>
              </w:rPr>
              <w:t>UIT-T</w:t>
            </w:r>
          </w:p>
          <w:p w14:paraId="50443B7C" w14:textId="77777777" w:rsidR="008A64DF" w:rsidRPr="008F5584" w:rsidRDefault="008A64DF" w:rsidP="008F5584">
            <w:pPr>
              <w:pStyle w:val="Tabletext"/>
              <w:rPr>
                <w:lang w:val="es-ES"/>
              </w:rPr>
            </w:pPr>
            <w:r w:rsidRPr="008F5584">
              <w:rPr>
                <w:lang w:val="es-ES"/>
              </w:rPr>
              <w:t>T.4-b: Mayor participación en actividades de normalización del UIT-T y mayor sensibilización sobre la pertinencia de las normas del UIT-T</w:t>
            </w:r>
          </w:p>
          <w:p w14:paraId="64AAF543" w14:textId="77777777" w:rsidR="008A64DF" w:rsidRPr="008F5584" w:rsidRDefault="008A64DF" w:rsidP="008F5584">
            <w:pPr>
              <w:pStyle w:val="Tabletext"/>
              <w:rPr>
                <w:lang w:val="es-ES"/>
              </w:rPr>
            </w:pPr>
            <w:r w:rsidRPr="008F5584">
              <w:rPr>
                <w:lang w:val="es-ES"/>
              </w:rPr>
              <w:t>T.4-c: Mayor visibilidad del Sector</w:t>
            </w:r>
          </w:p>
        </w:tc>
      </w:tr>
    </w:tbl>
    <w:p w14:paraId="66FB68FD" w14:textId="77777777" w:rsidR="008A64DF" w:rsidRDefault="008A64DF" w:rsidP="008A64DF">
      <w:pPr>
        <w:pStyle w:val="Headingb"/>
      </w:pPr>
      <w:r>
        <w:lastRenderedPageBreak/>
        <w:t>Progresos logrados</w:t>
      </w:r>
    </w:p>
    <w:p w14:paraId="55F7A84C" w14:textId="77777777" w:rsidR="008A64DF" w:rsidRDefault="008A64DF" w:rsidP="008A64DF">
      <w:r>
        <w:t xml:space="preserve">Indicadores pertinentes ya contemplados en T.1 y T.2 </w:t>
      </w:r>
      <w:r>
        <w:rPr>
          <w:i/>
          <w:iCs/>
        </w:rPr>
        <w:t>supra</w:t>
      </w:r>
      <w:r>
        <w:t>.</w:t>
      </w:r>
    </w:p>
    <w:p w14:paraId="3A699EF8" w14:textId="77777777" w:rsidR="008A64DF" w:rsidRDefault="008A64DF" w:rsidP="008A64DF">
      <w:r>
        <w:rPr>
          <w:b/>
          <w:bCs/>
        </w:rPr>
        <w:t xml:space="preserve">Objetivo T.5 </w:t>
      </w:r>
      <w:r>
        <w:t>(colaboración con organismos de normalización): Extender y facilitar la cooperación con organismos de normalización internacionales, regionales y nacionales</w:t>
      </w:r>
    </w:p>
    <w:p w14:paraId="0104539C" w14:textId="77777777" w:rsidR="008A64DF" w:rsidRDefault="008A64DF" w:rsidP="008A64DF">
      <w:pPr>
        <w:pStyle w:val="Headingb"/>
        <w:spacing w:after="120"/>
      </w:pPr>
      <w:r>
        <w:t>Resultados</w:t>
      </w:r>
    </w:p>
    <w:tbl>
      <w:tblPr>
        <w:tblStyle w:val="TableGrid"/>
        <w:tblW w:w="5000" w:type="pct"/>
        <w:jc w:val="center"/>
        <w:tblLook w:val="04A0" w:firstRow="1" w:lastRow="0" w:firstColumn="1" w:lastColumn="0" w:noHBand="0" w:noVBand="1"/>
      </w:tblPr>
      <w:tblGrid>
        <w:gridCol w:w="9629"/>
      </w:tblGrid>
      <w:tr w:rsidR="008A64DF" w:rsidRPr="00575DDE" w14:paraId="1575C4BD" w14:textId="77777777" w:rsidTr="008A64DF">
        <w:trPr>
          <w:jc w:val="center"/>
        </w:trPr>
        <w:tc>
          <w:tcPr>
            <w:tcW w:w="9016" w:type="dxa"/>
            <w:tcBorders>
              <w:top w:val="single" w:sz="4" w:space="0" w:color="auto"/>
              <w:left w:val="single" w:sz="4" w:space="0" w:color="auto"/>
              <w:bottom w:val="single" w:sz="4" w:space="0" w:color="auto"/>
              <w:right w:val="single" w:sz="4" w:space="0" w:color="auto"/>
            </w:tcBorders>
            <w:shd w:val="clear" w:color="auto" w:fill="DCE5F4"/>
            <w:hideMark/>
          </w:tcPr>
          <w:p w14:paraId="1E082E0A" w14:textId="77777777" w:rsidR="008A64DF" w:rsidRPr="008F5584" w:rsidRDefault="008A64DF" w:rsidP="008F5584">
            <w:pPr>
              <w:pStyle w:val="Tabletext"/>
              <w:rPr>
                <w:lang w:val="es-ES"/>
              </w:rPr>
            </w:pPr>
            <w:r w:rsidRPr="008F5584">
              <w:rPr>
                <w:lang w:val="es-ES"/>
              </w:rPr>
              <w:t>T.5-a: Aumento de las comunicaciones con otras organizaciones de normalización</w:t>
            </w:r>
          </w:p>
          <w:p w14:paraId="3ADAE91C" w14:textId="77777777" w:rsidR="008A64DF" w:rsidRPr="008F5584" w:rsidRDefault="008A64DF" w:rsidP="008F5584">
            <w:pPr>
              <w:pStyle w:val="Tabletext"/>
              <w:rPr>
                <w:lang w:val="es-ES"/>
              </w:rPr>
            </w:pPr>
            <w:r w:rsidRPr="008F5584">
              <w:rPr>
                <w:lang w:val="es-ES"/>
              </w:rPr>
              <w:t>T.5-b: Menor número de normas contradictorias</w:t>
            </w:r>
          </w:p>
          <w:p w14:paraId="7B2DB458" w14:textId="77777777" w:rsidR="008A64DF" w:rsidRPr="008F5584" w:rsidRDefault="008A64DF" w:rsidP="008F5584">
            <w:pPr>
              <w:pStyle w:val="Tabletext"/>
              <w:rPr>
                <w:lang w:val="es-ES"/>
              </w:rPr>
            </w:pPr>
            <w:r w:rsidRPr="008F5584">
              <w:rPr>
                <w:lang w:val="es-ES"/>
              </w:rPr>
              <w:t>T.5-c: Mayor número de memorandos de entendimiento/acuerdos de colaboración con otras organizaciones</w:t>
            </w:r>
          </w:p>
          <w:p w14:paraId="236C7BF9" w14:textId="77777777" w:rsidR="008A64DF" w:rsidRPr="008F5584" w:rsidRDefault="008A64DF" w:rsidP="008F5584">
            <w:pPr>
              <w:pStyle w:val="Tabletext"/>
              <w:rPr>
                <w:lang w:val="es-ES"/>
              </w:rPr>
            </w:pPr>
            <w:r w:rsidRPr="008F5584">
              <w:rPr>
                <w:lang w:val="es-ES"/>
              </w:rPr>
              <w:t>T.5-d: Mayor número de organizaciones calificadas UIT-T A.4, A.5 y A.6</w:t>
            </w:r>
          </w:p>
          <w:p w14:paraId="13DCB76E" w14:textId="77777777" w:rsidR="008A64DF" w:rsidRPr="008F5584" w:rsidRDefault="008A64DF" w:rsidP="008F5584">
            <w:pPr>
              <w:pStyle w:val="Tabletext"/>
              <w:rPr>
                <w:lang w:val="es-ES"/>
              </w:rPr>
            </w:pPr>
            <w:r w:rsidRPr="008F5584">
              <w:rPr>
                <w:lang w:val="es-ES"/>
              </w:rPr>
              <w:t>T.5-e: Mayor número de talleres/eventos organizados junto con otras organizaciones</w:t>
            </w:r>
          </w:p>
        </w:tc>
      </w:tr>
    </w:tbl>
    <w:p w14:paraId="62094EF7" w14:textId="77777777" w:rsidR="008A64DF" w:rsidRDefault="008A64DF" w:rsidP="008A64DF">
      <w:pPr>
        <w:pStyle w:val="Headingb"/>
        <w:spacing w:after="120"/>
      </w:pPr>
      <w:r>
        <w:t>Progresos logrados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8A64DF" w14:paraId="197ECEA8" w14:textId="77777777" w:rsidTr="008A64DF">
        <w:trPr>
          <w:jc w:val="center"/>
        </w:trPr>
        <w:tc>
          <w:tcPr>
            <w:tcW w:w="4819" w:type="dxa"/>
            <w:hideMark/>
          </w:tcPr>
          <w:p w14:paraId="1A273E70" w14:textId="77777777" w:rsidR="008A64DF" w:rsidRDefault="008A64DF">
            <w:pPr>
              <w:keepNext/>
              <w:keepLines/>
              <w:rPr>
                <w:b/>
                <w:bCs/>
                <w:sz w:val="22"/>
                <w:szCs w:val="22"/>
              </w:rPr>
            </w:pPr>
            <w:bookmarkStart w:id="300" w:name="lt_pId1600"/>
            <w:r>
              <w:rPr>
                <w:b/>
                <w:bCs/>
                <w:sz w:val="22"/>
                <w:szCs w:val="22"/>
              </w:rPr>
              <w:t>T.5-a</w:t>
            </w:r>
            <w:bookmarkEnd w:id="300"/>
          </w:p>
        </w:tc>
        <w:tc>
          <w:tcPr>
            <w:tcW w:w="4820" w:type="dxa"/>
            <w:hideMark/>
          </w:tcPr>
          <w:p w14:paraId="6E9306F5" w14:textId="77777777" w:rsidR="008A64DF" w:rsidRDefault="008A64DF">
            <w:pPr>
              <w:rPr>
                <w:b/>
                <w:bCs/>
                <w:sz w:val="22"/>
                <w:szCs w:val="22"/>
              </w:rPr>
            </w:pPr>
            <w:bookmarkStart w:id="301" w:name="lt_pId1601"/>
            <w:r>
              <w:rPr>
                <w:b/>
                <w:bCs/>
                <w:sz w:val="22"/>
                <w:szCs w:val="22"/>
              </w:rPr>
              <w:t>T.5-b/c</w:t>
            </w:r>
            <w:bookmarkEnd w:id="301"/>
          </w:p>
        </w:tc>
      </w:tr>
      <w:tr w:rsidR="008A64DF" w14:paraId="5B3AA462" w14:textId="77777777" w:rsidTr="008A64DF">
        <w:trPr>
          <w:jc w:val="center"/>
        </w:trPr>
        <w:tc>
          <w:tcPr>
            <w:tcW w:w="4819" w:type="dxa"/>
            <w:hideMark/>
          </w:tcPr>
          <w:p w14:paraId="30CABB01" w14:textId="01024B43" w:rsidR="00672ADF" w:rsidRPr="00672ADF" w:rsidRDefault="00672ADF" w:rsidP="00672ADF">
            <w:pPr>
              <w:pStyle w:val="Figure"/>
            </w:pPr>
            <w:r>
              <w:rPr>
                <w:noProof/>
              </w:rPr>
              <w:drawing>
                <wp:inline distT="0" distB="0" distL="0" distR="0" wp14:anchorId="25EA1AC7" wp14:editId="16A63589">
                  <wp:extent cx="2520000" cy="1515600"/>
                  <wp:effectExtent l="0" t="0" r="0" b="8890"/>
                  <wp:docPr id="1257977765" name="Picture 1257977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2520000" cy="1515600"/>
                          </a:xfrm>
                          <a:prstGeom prst="rect">
                            <a:avLst/>
                          </a:prstGeom>
                          <a:noFill/>
                        </pic:spPr>
                      </pic:pic>
                    </a:graphicData>
                  </a:graphic>
                </wp:inline>
              </w:drawing>
            </w:r>
          </w:p>
        </w:tc>
        <w:tc>
          <w:tcPr>
            <w:tcW w:w="4820" w:type="dxa"/>
            <w:hideMark/>
          </w:tcPr>
          <w:p w14:paraId="6C74E323" w14:textId="132DC4F9" w:rsidR="008A64DF" w:rsidRDefault="008A64DF">
            <w:pPr>
              <w:pStyle w:val="Figure"/>
            </w:pPr>
            <w:r>
              <w:rPr>
                <w:noProof/>
              </w:rPr>
              <w:drawing>
                <wp:inline distT="0" distB="0" distL="0" distR="0" wp14:anchorId="165EAEB1" wp14:editId="701AB112">
                  <wp:extent cx="2534400" cy="1515600"/>
                  <wp:effectExtent l="0" t="0" r="0" b="8890"/>
                  <wp:docPr id="1257977776" name="Picture 125797777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76" name="Picture 1257977776" descr="Chart, bar chart&#10;&#10;Description automatically generated"/>
                          <pic:cNvPicPr>
                            <a:picLocks noChangeAspect="1" noChangeArrowheads="1"/>
                          </pic:cNvPicPr>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2534400" cy="1515600"/>
                          </a:xfrm>
                          <a:prstGeom prst="rect">
                            <a:avLst/>
                          </a:prstGeom>
                          <a:noFill/>
                          <a:ln>
                            <a:noFill/>
                          </a:ln>
                        </pic:spPr>
                      </pic:pic>
                    </a:graphicData>
                  </a:graphic>
                </wp:inline>
              </w:drawing>
            </w:r>
          </w:p>
        </w:tc>
      </w:tr>
      <w:tr w:rsidR="008A64DF" w14:paraId="5BA87BA2" w14:textId="77777777" w:rsidTr="008A64DF">
        <w:trPr>
          <w:jc w:val="center"/>
        </w:trPr>
        <w:tc>
          <w:tcPr>
            <w:tcW w:w="4819" w:type="dxa"/>
            <w:hideMark/>
          </w:tcPr>
          <w:p w14:paraId="73C12861" w14:textId="77777777" w:rsidR="008A64DF" w:rsidRDefault="008A64DF">
            <w:pPr>
              <w:keepNext/>
              <w:keepLines/>
              <w:rPr>
                <w:b/>
                <w:bCs/>
                <w:sz w:val="22"/>
                <w:szCs w:val="22"/>
              </w:rPr>
            </w:pPr>
            <w:bookmarkStart w:id="302" w:name="lt_pId1602"/>
            <w:r>
              <w:rPr>
                <w:b/>
                <w:bCs/>
                <w:sz w:val="22"/>
                <w:szCs w:val="22"/>
              </w:rPr>
              <w:t>T.5-d</w:t>
            </w:r>
            <w:bookmarkEnd w:id="302"/>
          </w:p>
        </w:tc>
        <w:tc>
          <w:tcPr>
            <w:tcW w:w="4820" w:type="dxa"/>
          </w:tcPr>
          <w:p w14:paraId="5436F6D7" w14:textId="77777777" w:rsidR="008A64DF" w:rsidRDefault="008A64DF">
            <w:pPr>
              <w:rPr>
                <w:bCs/>
              </w:rPr>
            </w:pPr>
          </w:p>
        </w:tc>
      </w:tr>
      <w:tr w:rsidR="008A64DF" w14:paraId="56E35AF5" w14:textId="77777777" w:rsidTr="008A64DF">
        <w:trPr>
          <w:jc w:val="center"/>
        </w:trPr>
        <w:tc>
          <w:tcPr>
            <w:tcW w:w="4819" w:type="dxa"/>
            <w:hideMark/>
          </w:tcPr>
          <w:p w14:paraId="699BD469" w14:textId="2D49A4D1" w:rsidR="008A64DF" w:rsidRDefault="008A64DF">
            <w:pPr>
              <w:pStyle w:val="Figure"/>
            </w:pPr>
            <w:r>
              <w:rPr>
                <w:noProof/>
              </w:rPr>
              <w:drawing>
                <wp:inline distT="0" distB="0" distL="0" distR="0" wp14:anchorId="49606716" wp14:editId="01608D55">
                  <wp:extent cx="2520000" cy="1522800"/>
                  <wp:effectExtent l="0" t="0" r="0" b="1270"/>
                  <wp:docPr id="1257977775" name="Picture 125797777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75" name="Picture 1257977775" descr="Chart, bar chart&#10;&#10;Description automatically generated"/>
                          <pic:cNvPicPr>
                            <a:picLocks noChangeAspect="1" noChangeArrowheads="1"/>
                          </pic:cNvPicPr>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2520000" cy="1522800"/>
                          </a:xfrm>
                          <a:prstGeom prst="rect">
                            <a:avLst/>
                          </a:prstGeom>
                          <a:noFill/>
                          <a:ln>
                            <a:noFill/>
                          </a:ln>
                        </pic:spPr>
                      </pic:pic>
                    </a:graphicData>
                  </a:graphic>
                </wp:inline>
              </w:drawing>
            </w:r>
          </w:p>
        </w:tc>
        <w:tc>
          <w:tcPr>
            <w:tcW w:w="4820" w:type="dxa"/>
          </w:tcPr>
          <w:p w14:paraId="1A30A2D4" w14:textId="77777777" w:rsidR="008A64DF" w:rsidRDefault="008A64DF">
            <w:pPr>
              <w:pStyle w:val="Figure"/>
            </w:pPr>
          </w:p>
        </w:tc>
      </w:tr>
    </w:tbl>
    <w:p w14:paraId="4633F8B6" w14:textId="34A00AD6" w:rsidR="003F24C8" w:rsidRDefault="003F24C8" w:rsidP="003F24C8">
      <w:bookmarkStart w:id="303" w:name="_Toc39832846"/>
      <w:bookmarkStart w:id="304" w:name="_Toc41289302"/>
      <w:bookmarkStart w:id="305" w:name="_Toc41289445"/>
      <w:r>
        <w:br w:type="page"/>
      </w:r>
    </w:p>
    <w:p w14:paraId="114E1574" w14:textId="73BA8C3B" w:rsidR="008A64DF" w:rsidRDefault="008A64DF" w:rsidP="008A64DF">
      <w:pPr>
        <w:pStyle w:val="Heading2"/>
      </w:pPr>
      <w:bookmarkStart w:id="306" w:name="_Toc97821288"/>
      <w:r>
        <w:lastRenderedPageBreak/>
        <w:t>Objetivos del UIT-D</w:t>
      </w:r>
      <w:bookmarkEnd w:id="303"/>
      <w:bookmarkEnd w:id="304"/>
      <w:bookmarkEnd w:id="305"/>
      <w:bookmarkEnd w:id="306"/>
    </w:p>
    <w:p w14:paraId="7B99AF1F" w14:textId="77777777" w:rsidR="008A64DF" w:rsidRDefault="008A64DF" w:rsidP="008A64DF">
      <w:r>
        <w:rPr>
          <w:b/>
          <w:bCs/>
        </w:rPr>
        <w:t>Objetivo D.1</w:t>
      </w:r>
      <w:r>
        <w:t xml:space="preserve"> (coordinación): Fomentar la cooperación internacional y el acuerdo sobre temas relacionados con el desarrollo de telecomunicaciones/TIC</w:t>
      </w:r>
    </w:p>
    <w:p w14:paraId="51E02A01" w14:textId="77777777" w:rsidR="008A64DF" w:rsidRDefault="008A64DF" w:rsidP="008A64DF">
      <w:pPr>
        <w:pStyle w:val="Headingb"/>
        <w:spacing w:after="120"/>
      </w:pPr>
      <w:r>
        <w:t>Resultados</w:t>
      </w:r>
    </w:p>
    <w:tbl>
      <w:tblPr>
        <w:tblStyle w:val="TableGrid"/>
        <w:tblW w:w="5000" w:type="pct"/>
        <w:jc w:val="center"/>
        <w:tblLook w:val="04A0" w:firstRow="1" w:lastRow="0" w:firstColumn="1" w:lastColumn="0" w:noHBand="0" w:noVBand="1"/>
      </w:tblPr>
      <w:tblGrid>
        <w:gridCol w:w="9629"/>
      </w:tblGrid>
      <w:tr w:rsidR="008A64DF" w:rsidRPr="00575DDE" w14:paraId="36DA4DC3" w14:textId="77777777" w:rsidTr="008A64DF">
        <w:trPr>
          <w:jc w:val="center"/>
        </w:trPr>
        <w:tc>
          <w:tcPr>
            <w:tcW w:w="9016" w:type="dxa"/>
            <w:tcBorders>
              <w:top w:val="single" w:sz="4" w:space="0" w:color="auto"/>
              <w:left w:val="single" w:sz="4" w:space="0" w:color="auto"/>
              <w:bottom w:val="single" w:sz="4" w:space="0" w:color="auto"/>
              <w:right w:val="single" w:sz="4" w:space="0" w:color="auto"/>
            </w:tcBorders>
            <w:shd w:val="clear" w:color="auto" w:fill="DCE5F4"/>
            <w:hideMark/>
          </w:tcPr>
          <w:p w14:paraId="1FB83804" w14:textId="77777777" w:rsidR="008A64DF" w:rsidRPr="008F5584" w:rsidRDefault="008A64DF" w:rsidP="008F5584">
            <w:pPr>
              <w:pStyle w:val="Tabletext"/>
              <w:rPr>
                <w:lang w:val="es-ES"/>
              </w:rPr>
            </w:pPr>
            <w:r w:rsidRPr="008F5584">
              <w:rPr>
                <w:lang w:val="es-ES"/>
              </w:rPr>
              <w:t>D.1-a: Proceso de examen mejorado y mayor nivel de acuerdo sobre el proyecto de contribución del UIT-D al proyecto de Plan Estratégico de la UIT, la Declaración de la Conferencia Mundial de Desarrollo de las Telecomunicaciones (CMDT) y el Plan de Acción de la CMDT</w:t>
            </w:r>
          </w:p>
          <w:p w14:paraId="7949A826" w14:textId="77777777" w:rsidR="008A64DF" w:rsidRPr="008F5584" w:rsidRDefault="008A64DF" w:rsidP="008F5584">
            <w:pPr>
              <w:pStyle w:val="Tabletext"/>
              <w:rPr>
                <w:lang w:val="es-ES"/>
              </w:rPr>
            </w:pPr>
            <w:r w:rsidRPr="008F5584">
              <w:rPr>
                <w:lang w:val="es-ES"/>
              </w:rPr>
              <w:t>D.1-b: Evaluación de la implementación del Plan de Acción y del Plan de Acción de la CMSI</w:t>
            </w:r>
          </w:p>
          <w:p w14:paraId="19C4AA93" w14:textId="71CA2A02" w:rsidR="008A64DF" w:rsidRPr="008F5584" w:rsidRDefault="008A64DF" w:rsidP="008F5584">
            <w:pPr>
              <w:pStyle w:val="Tabletext"/>
              <w:rPr>
                <w:lang w:val="es-ES"/>
              </w:rPr>
            </w:pPr>
            <w:r w:rsidRPr="008F5584">
              <w:rPr>
                <w:lang w:val="es-ES"/>
              </w:rPr>
              <w:t>D.1-c: Mejora del intercambio de conocimientos, el diálogo y las asociaciones entre los miembros de la</w:t>
            </w:r>
            <w:r w:rsidR="003F24C8">
              <w:rPr>
                <w:lang w:val="es-ES"/>
              </w:rPr>
              <w:t> </w:t>
            </w:r>
            <w:r w:rsidRPr="008F5584">
              <w:rPr>
                <w:lang w:val="es-ES"/>
              </w:rPr>
              <w:t>UIT sobre las cuestiones de telecomunicaciones/TIC</w:t>
            </w:r>
          </w:p>
          <w:p w14:paraId="28D08B1E" w14:textId="77777777" w:rsidR="008A64DF" w:rsidRPr="008F5584" w:rsidRDefault="008A64DF" w:rsidP="008F5584">
            <w:pPr>
              <w:pStyle w:val="Tabletext"/>
              <w:rPr>
                <w:lang w:val="es-ES"/>
              </w:rPr>
            </w:pPr>
            <w:r w:rsidRPr="008F5584">
              <w:rPr>
                <w:lang w:val="es-ES"/>
              </w:rPr>
              <w:t>D.1-d: Mejor procesamiento y ejecución de los proyectos e iniciativas regionales de desarrollo de las telecomunicaciones/TIC</w:t>
            </w:r>
          </w:p>
          <w:p w14:paraId="6375BCD6" w14:textId="77777777" w:rsidR="008A64DF" w:rsidRPr="008F5584" w:rsidRDefault="008A64DF" w:rsidP="008F5584">
            <w:pPr>
              <w:pStyle w:val="Tabletext"/>
              <w:rPr>
                <w:lang w:val="es-ES"/>
              </w:rPr>
            </w:pPr>
            <w:r w:rsidRPr="008F5584">
              <w:rPr>
                <w:lang w:val="es-ES"/>
              </w:rPr>
              <w:t>D.1.e: Facilitación de los acuerdos de cooperación para programas de desarrollo de las telecomunicaciones/TIC entre los Estados Miembros y entre los Estados Miembros y otras partes interesadas en el ecosistema de las TIC a instancias de los Estados Miembros de la UIT implicados</w:t>
            </w:r>
          </w:p>
        </w:tc>
      </w:tr>
    </w:tbl>
    <w:p w14:paraId="6FE5FA85" w14:textId="002E6B60" w:rsidR="008A64DF" w:rsidRDefault="008A64DF" w:rsidP="003F24C8">
      <w:pPr>
        <w:pStyle w:val="Headingb"/>
        <w:spacing w:after="120"/>
      </w:pPr>
      <w:r w:rsidRPr="00A0450D">
        <w:t>Progresos logrados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0"/>
      </w:tblGrid>
      <w:tr w:rsidR="003F24C8" w14:paraId="2C78F2E8" w14:textId="77777777" w:rsidTr="003F24C8">
        <w:tc>
          <w:tcPr>
            <w:tcW w:w="9230" w:type="dxa"/>
            <w:hideMark/>
          </w:tcPr>
          <w:p w14:paraId="5936F59A" w14:textId="0563BC8F" w:rsidR="003F24C8" w:rsidRPr="00F63761" w:rsidRDefault="003F24C8" w:rsidP="00657963">
            <w:pPr>
              <w:pStyle w:val="Figure"/>
            </w:pPr>
            <w:r w:rsidRPr="004E5475">
              <w:rPr>
                <w:noProof/>
              </w:rPr>
              <w:drawing>
                <wp:inline distT="0" distB="0" distL="0" distR="0" wp14:anchorId="5E4562EF" wp14:editId="26F15261">
                  <wp:extent cx="5724000" cy="3283200"/>
                  <wp:effectExtent l="0" t="0" r="0" b="0"/>
                  <wp:docPr id="1257977759" name="Picture 1257977759" descr="Chart, bar 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389701" name="Picture 505389701" descr="Chart, bar chart, waterfall chart&#10;&#10;Description automatically generated"/>
                          <pic:cNvPicPr/>
                        </pic:nvPicPr>
                        <pic:blipFill>
                          <a:blip r:embed="rId566"/>
                          <a:stretch>
                            <a:fillRect/>
                          </a:stretch>
                        </pic:blipFill>
                        <pic:spPr>
                          <a:xfrm>
                            <a:off x="0" y="0"/>
                            <a:ext cx="5724000" cy="3283200"/>
                          </a:xfrm>
                          <a:prstGeom prst="rect">
                            <a:avLst/>
                          </a:prstGeom>
                        </pic:spPr>
                      </pic:pic>
                    </a:graphicData>
                  </a:graphic>
                </wp:inline>
              </w:drawing>
            </w:r>
          </w:p>
        </w:tc>
      </w:tr>
    </w:tbl>
    <w:p w14:paraId="43FF03B8" w14:textId="77777777" w:rsidR="008A64DF" w:rsidRDefault="008A64DF" w:rsidP="008F5584">
      <w:pPr>
        <w:pStyle w:val="Normalaftertitle"/>
      </w:pPr>
      <w:r>
        <w:rPr>
          <w:b/>
          <w:bCs/>
        </w:rPr>
        <w:t>Objetivo D.2</w:t>
      </w:r>
      <w:r>
        <w:t xml:space="preserve"> (infraestructura de telecomunicaciones/TIC moderna y segura): Fomentar el desarrollo de la infraestructura y los servicios, incluida la instauración de la confianza y seguridad en el uso de las telecomunicaciones/TIC</w:t>
      </w:r>
    </w:p>
    <w:p w14:paraId="293E803D" w14:textId="77777777" w:rsidR="008A64DF" w:rsidRDefault="008A64DF" w:rsidP="008A64DF">
      <w:pPr>
        <w:pStyle w:val="Headingb"/>
        <w:spacing w:after="120"/>
      </w:pPr>
      <w:r>
        <w:lastRenderedPageBreak/>
        <w:t>Resultados</w:t>
      </w:r>
    </w:p>
    <w:tbl>
      <w:tblPr>
        <w:tblStyle w:val="TableGrid"/>
        <w:tblW w:w="5000" w:type="pct"/>
        <w:jc w:val="center"/>
        <w:tblLook w:val="04A0" w:firstRow="1" w:lastRow="0" w:firstColumn="1" w:lastColumn="0" w:noHBand="0" w:noVBand="1"/>
      </w:tblPr>
      <w:tblGrid>
        <w:gridCol w:w="9629"/>
      </w:tblGrid>
      <w:tr w:rsidR="008A64DF" w:rsidRPr="00575DDE" w14:paraId="77D28698" w14:textId="77777777" w:rsidTr="003F24C8">
        <w:trPr>
          <w:cantSplit/>
          <w:jc w:val="center"/>
        </w:trPr>
        <w:tc>
          <w:tcPr>
            <w:tcW w:w="9016" w:type="dxa"/>
            <w:tcBorders>
              <w:top w:val="single" w:sz="4" w:space="0" w:color="auto"/>
              <w:left w:val="single" w:sz="4" w:space="0" w:color="auto"/>
              <w:bottom w:val="single" w:sz="4" w:space="0" w:color="auto"/>
              <w:right w:val="single" w:sz="4" w:space="0" w:color="auto"/>
            </w:tcBorders>
            <w:shd w:val="clear" w:color="auto" w:fill="DCE5F4"/>
            <w:hideMark/>
          </w:tcPr>
          <w:p w14:paraId="5DCA6832" w14:textId="77777777" w:rsidR="008A64DF" w:rsidRPr="008F5584" w:rsidRDefault="008A64DF" w:rsidP="008F5584">
            <w:pPr>
              <w:pStyle w:val="Tabletext"/>
              <w:rPr>
                <w:lang w:val="es-ES"/>
              </w:rPr>
            </w:pPr>
            <w:r w:rsidRPr="008F5584">
              <w:rPr>
                <w:lang w:val="es-ES"/>
              </w:rPr>
              <w:t>D.2-a: Mejora de la capacidad de los miembros de la UIT para poner a disposición infraestructuras y servicios de telecomunicaciones/TIC resistentes</w:t>
            </w:r>
          </w:p>
          <w:p w14:paraId="390C1D4E" w14:textId="77777777" w:rsidR="008A64DF" w:rsidRPr="008F5584" w:rsidRDefault="008A64DF" w:rsidP="008F5584">
            <w:pPr>
              <w:pStyle w:val="Tabletext"/>
              <w:rPr>
                <w:lang w:val="es-ES"/>
              </w:rPr>
            </w:pPr>
            <w:r w:rsidRPr="008F5584">
              <w:rPr>
                <w:lang w:val="es-ES"/>
              </w:rPr>
              <w:t>D.2-b: Fortalecimiento de la capacidad de los Estados Miembros para compartir información, encontrar soluciones y responder de manera efectiva a las ciberamenazas y para desarrollar y poner en práctica estrategias y capacidades nacionales, incluidas actividades de capacitación y fomento de la cooperación nacional, regional e internacional para aumentar el compromiso de los Estados Miembros y los actores pertinentes</w:t>
            </w:r>
          </w:p>
          <w:p w14:paraId="20CD1CB1" w14:textId="77777777" w:rsidR="008A64DF" w:rsidRPr="008F5584" w:rsidRDefault="008A64DF" w:rsidP="008F5584">
            <w:pPr>
              <w:pStyle w:val="Tabletext"/>
              <w:rPr>
                <w:lang w:val="es-ES"/>
              </w:rPr>
            </w:pPr>
            <w:r w:rsidRPr="008F5584">
              <w:rPr>
                <w:lang w:val="es-ES"/>
              </w:rPr>
              <w:t>D.2-c: Capacidad reforzada de los Estados Miembros para aprovechar las telecomunicaciones/TIC para la reducción y la gestión del riesgo de catástrofe para garantizar la disponibilidad de las telecomunicaciones de emergencia y el apoyo cooperativo en esta esfera</w:t>
            </w:r>
          </w:p>
        </w:tc>
      </w:tr>
    </w:tbl>
    <w:p w14:paraId="62825C51" w14:textId="77777777" w:rsidR="008A64DF" w:rsidRPr="00A0450D" w:rsidRDefault="008A64DF" w:rsidP="00A0450D">
      <w:pPr>
        <w:pStyle w:val="Headingb"/>
      </w:pPr>
      <w:r w:rsidRPr="00A0450D">
        <w:t>Progresos logrados</w:t>
      </w:r>
    </w:p>
    <w:p w14:paraId="3E1C8D3B" w14:textId="77777777" w:rsidR="008A64DF" w:rsidRDefault="008A64DF" w:rsidP="00A343AC">
      <w:pPr>
        <w:pStyle w:val="Headingb"/>
        <w:spacing w:after="120"/>
      </w:pPr>
      <w:r>
        <w:t>Prioridad temática: Redes e infraestructuras digitales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4"/>
        <w:gridCol w:w="4508"/>
      </w:tblGrid>
      <w:tr w:rsidR="008A64DF" w14:paraId="5BF46C54" w14:textId="77777777" w:rsidTr="004137CF">
        <w:tc>
          <w:tcPr>
            <w:tcW w:w="4604" w:type="dxa"/>
            <w:hideMark/>
          </w:tcPr>
          <w:p w14:paraId="359CF2C9" w14:textId="508A6408" w:rsidR="00F63761" w:rsidRDefault="00F63761" w:rsidP="00F63761">
            <w:pPr>
              <w:pStyle w:val="Figure"/>
            </w:pPr>
            <w:r>
              <w:rPr>
                <w:noProof/>
              </w:rPr>
              <w:drawing>
                <wp:inline distT="0" distB="0" distL="0" distR="0" wp14:anchorId="5DEF88DE" wp14:editId="682C7174">
                  <wp:extent cx="2786400" cy="1490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2786400" cy="1490400"/>
                          </a:xfrm>
                          <a:prstGeom prst="rect">
                            <a:avLst/>
                          </a:prstGeom>
                          <a:noFill/>
                        </pic:spPr>
                      </pic:pic>
                    </a:graphicData>
                  </a:graphic>
                </wp:inline>
              </w:drawing>
            </w:r>
          </w:p>
        </w:tc>
        <w:tc>
          <w:tcPr>
            <w:tcW w:w="4508" w:type="dxa"/>
            <w:hideMark/>
          </w:tcPr>
          <w:p w14:paraId="611ACB41" w14:textId="1769C3F9" w:rsidR="00F63761" w:rsidRPr="00F63761" w:rsidRDefault="00F63761" w:rsidP="00F63761">
            <w:pPr>
              <w:pStyle w:val="Figure"/>
            </w:pPr>
            <w:r>
              <w:rPr>
                <w:noProof/>
              </w:rPr>
              <w:drawing>
                <wp:inline distT="0" distB="0" distL="0" distR="0" wp14:anchorId="4DF997DB" wp14:editId="3EF3AA32">
                  <wp:extent cx="2491200" cy="14904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2491200" cy="1490400"/>
                          </a:xfrm>
                          <a:prstGeom prst="rect">
                            <a:avLst/>
                          </a:prstGeom>
                          <a:noFill/>
                        </pic:spPr>
                      </pic:pic>
                    </a:graphicData>
                  </a:graphic>
                </wp:inline>
              </w:drawing>
            </w:r>
          </w:p>
        </w:tc>
      </w:tr>
      <w:tr w:rsidR="008A64DF" w14:paraId="7A658D72" w14:textId="77777777" w:rsidTr="004137CF">
        <w:tc>
          <w:tcPr>
            <w:tcW w:w="4604" w:type="dxa"/>
            <w:hideMark/>
          </w:tcPr>
          <w:p w14:paraId="25D3983B" w14:textId="52D7C9DC" w:rsidR="00F63761" w:rsidRPr="00F63761" w:rsidRDefault="00F63761" w:rsidP="00F63761">
            <w:pPr>
              <w:pStyle w:val="Figure"/>
            </w:pPr>
            <w:r>
              <w:rPr>
                <w:noProof/>
              </w:rPr>
              <w:drawing>
                <wp:inline distT="0" distB="0" distL="0" distR="0" wp14:anchorId="30FAD02A" wp14:editId="3B67D304">
                  <wp:extent cx="2757600" cy="1422000"/>
                  <wp:effectExtent l="0" t="0" r="508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2757600" cy="1422000"/>
                          </a:xfrm>
                          <a:prstGeom prst="rect">
                            <a:avLst/>
                          </a:prstGeom>
                          <a:noFill/>
                        </pic:spPr>
                      </pic:pic>
                    </a:graphicData>
                  </a:graphic>
                </wp:inline>
              </w:drawing>
            </w:r>
          </w:p>
        </w:tc>
        <w:tc>
          <w:tcPr>
            <w:tcW w:w="4508" w:type="dxa"/>
          </w:tcPr>
          <w:p w14:paraId="4183DA96" w14:textId="3EDF5FFF" w:rsidR="008A64DF" w:rsidRDefault="008A64DF" w:rsidP="00F63761">
            <w:pPr>
              <w:pStyle w:val="Figure"/>
            </w:pPr>
          </w:p>
        </w:tc>
      </w:tr>
    </w:tbl>
    <w:p w14:paraId="11B645E0" w14:textId="77777777" w:rsidR="008A64DF" w:rsidRDefault="008A64DF" w:rsidP="00A343AC">
      <w:pPr>
        <w:pStyle w:val="Headingb"/>
        <w:spacing w:after="120"/>
      </w:pPr>
      <w:r>
        <w:t>Prioridad temática: Ciberseguridad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92"/>
        <w:gridCol w:w="4674"/>
      </w:tblGrid>
      <w:tr w:rsidR="008A64DF" w14:paraId="7C87305B" w14:textId="77777777" w:rsidTr="005E382F">
        <w:tc>
          <w:tcPr>
            <w:tcW w:w="4592" w:type="dxa"/>
            <w:hideMark/>
          </w:tcPr>
          <w:p w14:paraId="11F5C8C3" w14:textId="13355C24" w:rsidR="00B962BC" w:rsidRPr="00B962BC" w:rsidRDefault="00B962BC" w:rsidP="00A343AC">
            <w:pPr>
              <w:pStyle w:val="Figure"/>
            </w:pPr>
            <w:r>
              <w:rPr>
                <w:noProof/>
              </w:rPr>
              <w:drawing>
                <wp:inline distT="0" distB="0" distL="0" distR="0" wp14:anchorId="740C216A" wp14:editId="011C7AAB">
                  <wp:extent cx="2790000" cy="1324800"/>
                  <wp:effectExtent l="0" t="0" r="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2790000" cy="1324800"/>
                          </a:xfrm>
                          <a:prstGeom prst="rect">
                            <a:avLst/>
                          </a:prstGeom>
                          <a:noFill/>
                        </pic:spPr>
                      </pic:pic>
                    </a:graphicData>
                  </a:graphic>
                </wp:inline>
              </w:drawing>
            </w:r>
          </w:p>
        </w:tc>
        <w:tc>
          <w:tcPr>
            <w:tcW w:w="4674" w:type="dxa"/>
            <w:hideMark/>
          </w:tcPr>
          <w:p w14:paraId="1D23ABEC" w14:textId="60EDE880" w:rsidR="00B962BC" w:rsidRPr="00B962BC" w:rsidRDefault="00B962BC" w:rsidP="00A343AC">
            <w:pPr>
              <w:pStyle w:val="Figure"/>
            </w:pPr>
            <w:r>
              <w:rPr>
                <w:noProof/>
              </w:rPr>
              <w:drawing>
                <wp:inline distT="0" distB="0" distL="0" distR="0" wp14:anchorId="0FF9BE17" wp14:editId="21FD68C5">
                  <wp:extent cx="2707200" cy="1324800"/>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2707200" cy="1324800"/>
                          </a:xfrm>
                          <a:prstGeom prst="rect">
                            <a:avLst/>
                          </a:prstGeom>
                          <a:noFill/>
                        </pic:spPr>
                      </pic:pic>
                    </a:graphicData>
                  </a:graphic>
                </wp:inline>
              </w:drawing>
            </w:r>
          </w:p>
        </w:tc>
      </w:tr>
      <w:tr w:rsidR="008A64DF" w14:paraId="366A1DD4" w14:textId="77777777" w:rsidTr="005E382F">
        <w:tc>
          <w:tcPr>
            <w:tcW w:w="4592" w:type="dxa"/>
            <w:hideMark/>
          </w:tcPr>
          <w:p w14:paraId="6E1A1385" w14:textId="05B43F0E" w:rsidR="00B962BC" w:rsidRPr="00B962BC" w:rsidRDefault="00B962BC" w:rsidP="00A343AC">
            <w:pPr>
              <w:pStyle w:val="Figure"/>
            </w:pPr>
            <w:r>
              <w:rPr>
                <w:noProof/>
              </w:rPr>
              <w:lastRenderedPageBreak/>
              <w:drawing>
                <wp:inline distT="0" distB="0" distL="0" distR="0" wp14:anchorId="403A6D0C" wp14:editId="6EE3AFB6">
                  <wp:extent cx="2790000" cy="13428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2790000" cy="1342800"/>
                          </a:xfrm>
                          <a:prstGeom prst="rect">
                            <a:avLst/>
                          </a:prstGeom>
                          <a:noFill/>
                        </pic:spPr>
                      </pic:pic>
                    </a:graphicData>
                  </a:graphic>
                </wp:inline>
              </w:drawing>
            </w:r>
          </w:p>
        </w:tc>
        <w:tc>
          <w:tcPr>
            <w:tcW w:w="4674" w:type="dxa"/>
            <w:hideMark/>
          </w:tcPr>
          <w:p w14:paraId="796BC4CE" w14:textId="715FB0BC" w:rsidR="00B962BC" w:rsidRPr="00B962BC" w:rsidRDefault="00B962BC" w:rsidP="00A343AC">
            <w:pPr>
              <w:pStyle w:val="Figure"/>
            </w:pPr>
            <w:r>
              <w:rPr>
                <w:noProof/>
              </w:rPr>
              <w:drawing>
                <wp:inline distT="0" distB="0" distL="0" distR="0" wp14:anchorId="2FBFC322" wp14:editId="7F0C0B0A">
                  <wp:extent cx="2790000" cy="13428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2790000" cy="1342800"/>
                          </a:xfrm>
                          <a:prstGeom prst="rect">
                            <a:avLst/>
                          </a:prstGeom>
                          <a:noFill/>
                        </pic:spPr>
                      </pic:pic>
                    </a:graphicData>
                  </a:graphic>
                </wp:inline>
              </w:drawing>
            </w:r>
          </w:p>
        </w:tc>
      </w:tr>
    </w:tbl>
    <w:p w14:paraId="7AF61760" w14:textId="77777777" w:rsidR="008A64DF" w:rsidRDefault="008A64DF" w:rsidP="00A343AC">
      <w:pPr>
        <w:pStyle w:val="Headingb"/>
        <w:spacing w:after="120"/>
      </w:pPr>
      <w:r>
        <w:t>Prioridad temática: Telecomunicaciones de emergencia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00"/>
      </w:tblGrid>
      <w:tr w:rsidR="008A64DF" w14:paraId="6DBD9D9A" w14:textId="77777777" w:rsidTr="00A343AC">
        <w:tc>
          <w:tcPr>
            <w:tcW w:w="4598" w:type="dxa"/>
            <w:hideMark/>
          </w:tcPr>
          <w:p w14:paraId="64CB9AE9" w14:textId="38E9C977" w:rsidR="00A343AC" w:rsidRPr="00A343AC" w:rsidRDefault="00A343AC" w:rsidP="00A343AC">
            <w:pPr>
              <w:pStyle w:val="Figure"/>
              <w:rPr>
                <w:noProof/>
              </w:rPr>
            </w:pPr>
            <w:r w:rsidRPr="00A343AC">
              <w:rPr>
                <w:noProof/>
              </w:rPr>
              <w:drawing>
                <wp:inline distT="0" distB="0" distL="0" distR="0" wp14:anchorId="1B953437" wp14:editId="4BF471FD">
                  <wp:extent cx="2782800" cy="14436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2782800" cy="1443600"/>
                          </a:xfrm>
                          <a:prstGeom prst="rect">
                            <a:avLst/>
                          </a:prstGeom>
                          <a:noFill/>
                        </pic:spPr>
                      </pic:pic>
                    </a:graphicData>
                  </a:graphic>
                </wp:inline>
              </w:drawing>
            </w:r>
          </w:p>
        </w:tc>
        <w:tc>
          <w:tcPr>
            <w:tcW w:w="4700" w:type="dxa"/>
            <w:hideMark/>
          </w:tcPr>
          <w:p w14:paraId="7202BA9A" w14:textId="6CEFB025" w:rsidR="00A343AC" w:rsidRPr="00A343AC" w:rsidRDefault="00A343AC" w:rsidP="00A343AC">
            <w:pPr>
              <w:pStyle w:val="Figure"/>
              <w:rPr>
                <w:noProof/>
              </w:rPr>
            </w:pPr>
            <w:r w:rsidRPr="00A343AC">
              <w:rPr>
                <w:noProof/>
              </w:rPr>
              <w:drawing>
                <wp:inline distT="0" distB="0" distL="0" distR="0" wp14:anchorId="27AD907B" wp14:editId="3EC423EB">
                  <wp:extent cx="2847600" cy="14436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2847600" cy="1443600"/>
                          </a:xfrm>
                          <a:prstGeom prst="rect">
                            <a:avLst/>
                          </a:prstGeom>
                          <a:noFill/>
                        </pic:spPr>
                      </pic:pic>
                    </a:graphicData>
                  </a:graphic>
                </wp:inline>
              </w:drawing>
            </w:r>
          </w:p>
        </w:tc>
      </w:tr>
    </w:tbl>
    <w:p w14:paraId="1D093E3B" w14:textId="77777777" w:rsidR="008A64DF" w:rsidRDefault="008A64DF" w:rsidP="008A64DF">
      <w:r>
        <w:rPr>
          <w:b/>
          <w:bCs/>
        </w:rPr>
        <w:t>Objetivo D.3</w:t>
      </w:r>
      <w:r>
        <w:t xml:space="preserve"> (entorno habilitador): Fomentar un entorno político y reglamentario habilitador que propicie el desarrollo sostenible de las telecomunicaciones/TIC</w:t>
      </w:r>
    </w:p>
    <w:p w14:paraId="06A52A2A" w14:textId="77777777" w:rsidR="008A64DF" w:rsidRDefault="008A64DF" w:rsidP="008A64DF">
      <w:pPr>
        <w:pStyle w:val="Headingb"/>
        <w:spacing w:after="120"/>
      </w:pPr>
      <w:r>
        <w:t>Resultados</w:t>
      </w:r>
    </w:p>
    <w:tbl>
      <w:tblPr>
        <w:tblStyle w:val="TableGrid"/>
        <w:tblW w:w="5000" w:type="pct"/>
        <w:jc w:val="center"/>
        <w:tblLook w:val="04A0" w:firstRow="1" w:lastRow="0" w:firstColumn="1" w:lastColumn="0" w:noHBand="0" w:noVBand="1"/>
      </w:tblPr>
      <w:tblGrid>
        <w:gridCol w:w="9629"/>
      </w:tblGrid>
      <w:tr w:rsidR="008A64DF" w:rsidRPr="00575DDE" w14:paraId="3293CC2F" w14:textId="77777777" w:rsidTr="008A64DF">
        <w:trPr>
          <w:jc w:val="center"/>
        </w:trPr>
        <w:tc>
          <w:tcPr>
            <w:tcW w:w="9016" w:type="dxa"/>
            <w:tcBorders>
              <w:top w:val="single" w:sz="4" w:space="0" w:color="auto"/>
              <w:left w:val="single" w:sz="4" w:space="0" w:color="auto"/>
              <w:bottom w:val="single" w:sz="4" w:space="0" w:color="auto"/>
              <w:right w:val="single" w:sz="4" w:space="0" w:color="auto"/>
            </w:tcBorders>
            <w:shd w:val="clear" w:color="auto" w:fill="DCE5F4"/>
            <w:hideMark/>
          </w:tcPr>
          <w:p w14:paraId="094F40BD" w14:textId="77777777" w:rsidR="008A64DF" w:rsidRPr="008F5584" w:rsidRDefault="008A64DF" w:rsidP="008F5584">
            <w:pPr>
              <w:pStyle w:val="Tabletext"/>
              <w:rPr>
                <w:lang w:val="es-ES"/>
              </w:rPr>
            </w:pPr>
            <w:r w:rsidRPr="008F5584">
              <w:rPr>
                <w:lang w:val="es-ES"/>
              </w:rPr>
              <w:t>D.3-a: Capacidad reforzada de los Estados Miembros para mejorar sus marcos políticos, jurídicos y reglamentarios habilitadores que sean propicios para el desarrollo de las telecomunicaciones/TIC</w:t>
            </w:r>
          </w:p>
          <w:p w14:paraId="40733DF8" w14:textId="77777777" w:rsidR="008A64DF" w:rsidRPr="008F5584" w:rsidRDefault="008A64DF" w:rsidP="008F5584">
            <w:pPr>
              <w:pStyle w:val="Tabletext"/>
              <w:rPr>
                <w:lang w:val="es-ES"/>
              </w:rPr>
            </w:pPr>
            <w:r w:rsidRPr="008F5584">
              <w:rPr>
                <w:lang w:val="es-ES"/>
              </w:rPr>
              <w:t>D.3-b: Capacidad reforzada de los Estados Miembros para producir estadísticas de telecomunicaciones/TIC de alta calidad y comparables a escala internacional que reflejen la evolución y las tendencias de las telecomunicaciones/TIC sobre la base de normas y métodos concertados</w:t>
            </w:r>
          </w:p>
          <w:p w14:paraId="201D2C7C" w14:textId="77777777" w:rsidR="008A64DF" w:rsidRPr="008F5584" w:rsidRDefault="008A64DF" w:rsidP="008F5584">
            <w:pPr>
              <w:pStyle w:val="Tabletext"/>
              <w:rPr>
                <w:lang w:val="es-ES"/>
              </w:rPr>
            </w:pPr>
            <w:r w:rsidRPr="008F5584">
              <w:rPr>
                <w:lang w:val="es-ES"/>
              </w:rPr>
              <w:t>D.3-c: Mejora de la capacidad humana e institucional de los miembros de la UIT para aprovechar plenamente el potencial de las telecomunicaciones/TIC</w:t>
            </w:r>
          </w:p>
          <w:p w14:paraId="1A405F46" w14:textId="77777777" w:rsidR="008A64DF" w:rsidRPr="008F5584" w:rsidRDefault="008A64DF" w:rsidP="008F5584">
            <w:pPr>
              <w:pStyle w:val="Tabletext"/>
              <w:rPr>
                <w:lang w:val="es-ES"/>
              </w:rPr>
            </w:pPr>
            <w:r w:rsidRPr="008F5584">
              <w:rPr>
                <w:lang w:val="es-ES"/>
              </w:rPr>
              <w:t>D.3-d: Capacidad reforzada de los miembros de la UIT para integrar la innovación de las telecomunicaciones/TIC y digitalización en los programas nacionales de desarrollo y elaborar estrategias de promoción de iniciativas innovadoras, incluso mediante asociaciones públicas, privadas y público-privadas</w:t>
            </w:r>
          </w:p>
        </w:tc>
      </w:tr>
    </w:tbl>
    <w:p w14:paraId="6B0CF30D" w14:textId="77777777" w:rsidR="008A64DF" w:rsidRPr="00A0450D" w:rsidRDefault="008A64DF" w:rsidP="00A0450D">
      <w:pPr>
        <w:pStyle w:val="Headingb"/>
      </w:pPr>
      <w:r w:rsidRPr="00A0450D">
        <w:lastRenderedPageBreak/>
        <w:t>Progresos logrados</w:t>
      </w:r>
    </w:p>
    <w:p w14:paraId="6AD51A9A" w14:textId="01870ABC" w:rsidR="008A64DF" w:rsidRDefault="008A64DF" w:rsidP="0000323E">
      <w:pPr>
        <w:pStyle w:val="Headingb"/>
        <w:spacing w:after="120"/>
      </w:pPr>
      <w:r>
        <w:t>Prioridad temática: Política y reglamentación</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5E382F" w14:paraId="2B5F73AA" w14:textId="77777777" w:rsidTr="00490009">
        <w:trPr>
          <w:jc w:val="center"/>
        </w:trPr>
        <w:tc>
          <w:tcPr>
            <w:tcW w:w="9264" w:type="dxa"/>
            <w:hideMark/>
          </w:tcPr>
          <w:p w14:paraId="1D178BEB" w14:textId="0D4AA95A" w:rsidR="005E382F" w:rsidRPr="00672ADF" w:rsidRDefault="005E382F" w:rsidP="00327135">
            <w:pPr>
              <w:pStyle w:val="Figure"/>
              <w:rPr>
                <w:noProof/>
              </w:rPr>
            </w:pPr>
            <w:r w:rsidRPr="0000323E">
              <w:rPr>
                <w:noProof/>
              </w:rPr>
              <w:drawing>
                <wp:inline distT="0" distB="0" distL="0" distR="0" wp14:anchorId="044F8750" wp14:editId="7A06C294">
                  <wp:extent cx="5112000" cy="1760400"/>
                  <wp:effectExtent l="0" t="0" r="0" b="0"/>
                  <wp:docPr id="43" name="Picture 4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text, application&#10;&#10;Description automatically generated"/>
                          <pic:cNvPicPr>
                            <a:picLocks noChangeAspect="1" noChangeArrowheads="1"/>
                          </pic:cNvPicPr>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5112000" cy="1760400"/>
                          </a:xfrm>
                          <a:prstGeom prst="rect">
                            <a:avLst/>
                          </a:prstGeom>
                          <a:noFill/>
                        </pic:spPr>
                      </pic:pic>
                    </a:graphicData>
                  </a:graphic>
                </wp:inline>
              </w:drawing>
            </w:r>
          </w:p>
        </w:tc>
      </w:tr>
      <w:tr w:rsidR="005E382F" w14:paraId="24B36249" w14:textId="77777777" w:rsidTr="00490009">
        <w:trPr>
          <w:jc w:val="center"/>
        </w:trPr>
        <w:tc>
          <w:tcPr>
            <w:tcW w:w="9264" w:type="dxa"/>
          </w:tcPr>
          <w:p w14:paraId="4513D3DB" w14:textId="4E64FE86" w:rsidR="005E382F" w:rsidRDefault="005E382F" w:rsidP="00327135">
            <w:pPr>
              <w:pStyle w:val="Figure"/>
              <w:rPr>
                <w:noProof/>
              </w:rPr>
            </w:pPr>
            <w:r w:rsidRPr="0000323E">
              <w:rPr>
                <w:noProof/>
              </w:rPr>
              <w:drawing>
                <wp:inline distT="0" distB="0" distL="0" distR="0" wp14:anchorId="13852E4D" wp14:editId="7A508179">
                  <wp:extent cx="4968000" cy="2088000"/>
                  <wp:effectExtent l="0" t="0" r="0" b="0"/>
                  <wp:docPr id="44" name="Picture 44"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chart&#10;&#10;Description automatically generated"/>
                          <pic:cNvPicPr>
                            <a:picLocks noChangeAspect="1" noChangeArrowheads="1"/>
                          </pic:cNvPicPr>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4968000" cy="2088000"/>
                          </a:xfrm>
                          <a:prstGeom prst="rect">
                            <a:avLst/>
                          </a:prstGeom>
                          <a:noFill/>
                        </pic:spPr>
                      </pic:pic>
                    </a:graphicData>
                  </a:graphic>
                </wp:inline>
              </w:drawing>
            </w:r>
          </w:p>
        </w:tc>
      </w:tr>
    </w:tbl>
    <w:p w14:paraId="5465F3D9" w14:textId="3A6AA5E0" w:rsidR="008A64DF" w:rsidRDefault="008A64DF" w:rsidP="00206D3A">
      <w:pPr>
        <w:pStyle w:val="Headingb"/>
        <w:spacing w:after="120"/>
      </w:pPr>
      <w:r>
        <w:t>Prioridad temática: Estadística</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8A64DF" w14:paraId="4F4290BC" w14:textId="77777777" w:rsidTr="00490009">
        <w:trPr>
          <w:jc w:val="center"/>
        </w:trPr>
        <w:tc>
          <w:tcPr>
            <w:tcW w:w="4632" w:type="dxa"/>
            <w:hideMark/>
          </w:tcPr>
          <w:p w14:paraId="0F2D64F3" w14:textId="6B13A556" w:rsidR="00206D3A" w:rsidRPr="00206D3A" w:rsidRDefault="00206D3A" w:rsidP="00206D3A">
            <w:pPr>
              <w:pStyle w:val="Figure"/>
              <w:rPr>
                <w:noProof/>
              </w:rPr>
            </w:pPr>
            <w:r w:rsidRPr="00206D3A">
              <w:rPr>
                <w:noProof/>
              </w:rPr>
              <w:drawing>
                <wp:inline distT="0" distB="0" distL="0" distR="0" wp14:anchorId="6A23E9FA" wp14:editId="7D840826">
                  <wp:extent cx="2660400" cy="12708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2660400" cy="1270800"/>
                          </a:xfrm>
                          <a:prstGeom prst="rect">
                            <a:avLst/>
                          </a:prstGeom>
                          <a:noFill/>
                        </pic:spPr>
                      </pic:pic>
                    </a:graphicData>
                  </a:graphic>
                </wp:inline>
              </w:drawing>
            </w:r>
          </w:p>
        </w:tc>
        <w:tc>
          <w:tcPr>
            <w:tcW w:w="4632" w:type="dxa"/>
            <w:hideMark/>
          </w:tcPr>
          <w:p w14:paraId="5B866E4E" w14:textId="6238298F" w:rsidR="00672ADF" w:rsidRPr="00672ADF" w:rsidRDefault="00672ADF" w:rsidP="00672ADF">
            <w:pPr>
              <w:pStyle w:val="Figure"/>
              <w:rPr>
                <w:noProof/>
              </w:rPr>
            </w:pPr>
            <w:r>
              <w:rPr>
                <w:noProof/>
              </w:rPr>
              <w:drawing>
                <wp:inline distT="0" distB="0" distL="0" distR="0" wp14:anchorId="433F0A89" wp14:editId="4D398A1F">
                  <wp:extent cx="2660400" cy="1270800"/>
                  <wp:effectExtent l="0" t="0" r="6985" b="0"/>
                  <wp:docPr id="1257977767" name="Picture 1257977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2660400" cy="1270800"/>
                          </a:xfrm>
                          <a:prstGeom prst="rect">
                            <a:avLst/>
                          </a:prstGeom>
                          <a:noFill/>
                        </pic:spPr>
                      </pic:pic>
                    </a:graphicData>
                  </a:graphic>
                </wp:inline>
              </w:drawing>
            </w:r>
          </w:p>
        </w:tc>
      </w:tr>
      <w:tr w:rsidR="008A64DF" w14:paraId="25C0FEC7" w14:textId="77777777" w:rsidTr="00490009">
        <w:trPr>
          <w:jc w:val="center"/>
        </w:trPr>
        <w:tc>
          <w:tcPr>
            <w:tcW w:w="4632" w:type="dxa"/>
            <w:hideMark/>
          </w:tcPr>
          <w:p w14:paraId="242AFAFC" w14:textId="3D802997" w:rsidR="00206D3A" w:rsidRPr="00206D3A" w:rsidRDefault="00206D3A" w:rsidP="00206D3A">
            <w:pPr>
              <w:pStyle w:val="Figure"/>
              <w:rPr>
                <w:noProof/>
              </w:rPr>
            </w:pPr>
            <w:r w:rsidRPr="00206D3A">
              <w:rPr>
                <w:noProof/>
              </w:rPr>
              <w:drawing>
                <wp:inline distT="0" distB="0" distL="0" distR="0" wp14:anchorId="7CA57E5E" wp14:editId="1DF3217F">
                  <wp:extent cx="2660400" cy="12708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2660400" cy="1270800"/>
                          </a:xfrm>
                          <a:prstGeom prst="rect">
                            <a:avLst/>
                          </a:prstGeom>
                          <a:noFill/>
                        </pic:spPr>
                      </pic:pic>
                    </a:graphicData>
                  </a:graphic>
                </wp:inline>
              </w:drawing>
            </w:r>
          </w:p>
        </w:tc>
        <w:tc>
          <w:tcPr>
            <w:tcW w:w="4632" w:type="dxa"/>
            <w:hideMark/>
          </w:tcPr>
          <w:p w14:paraId="1FEB6CFE" w14:textId="095E3261" w:rsidR="00206D3A" w:rsidRPr="00206D3A" w:rsidRDefault="00206D3A" w:rsidP="00206D3A">
            <w:pPr>
              <w:pStyle w:val="Figure"/>
              <w:rPr>
                <w:noProof/>
              </w:rPr>
            </w:pPr>
            <w:r w:rsidRPr="00206D3A">
              <w:rPr>
                <w:noProof/>
              </w:rPr>
              <w:drawing>
                <wp:inline distT="0" distB="0" distL="0" distR="0" wp14:anchorId="7F3F70C7" wp14:editId="3374ABE4">
                  <wp:extent cx="2660400" cy="12708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2660400" cy="1270800"/>
                          </a:xfrm>
                          <a:prstGeom prst="rect">
                            <a:avLst/>
                          </a:prstGeom>
                          <a:noFill/>
                        </pic:spPr>
                      </pic:pic>
                    </a:graphicData>
                  </a:graphic>
                </wp:inline>
              </w:drawing>
            </w:r>
          </w:p>
        </w:tc>
      </w:tr>
    </w:tbl>
    <w:p w14:paraId="7B2027B6" w14:textId="77777777" w:rsidR="008A64DF" w:rsidRDefault="008A64DF" w:rsidP="00E71228">
      <w:pPr>
        <w:pStyle w:val="Headingb"/>
        <w:spacing w:after="120"/>
      </w:pPr>
      <w:r>
        <w:lastRenderedPageBreak/>
        <w:t>Prioridad temática: Capacitación</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8A64DF" w14:paraId="43785A66" w14:textId="77777777" w:rsidTr="00490009">
        <w:trPr>
          <w:jc w:val="center"/>
        </w:trPr>
        <w:tc>
          <w:tcPr>
            <w:tcW w:w="4581" w:type="dxa"/>
            <w:hideMark/>
          </w:tcPr>
          <w:p w14:paraId="742B33EA" w14:textId="724D1AB1" w:rsidR="00446D6D" w:rsidRPr="00446D6D" w:rsidRDefault="00446D6D" w:rsidP="00446D6D">
            <w:pPr>
              <w:pStyle w:val="Figure"/>
              <w:rPr>
                <w:noProof/>
              </w:rPr>
            </w:pPr>
            <w:r>
              <w:rPr>
                <w:noProof/>
              </w:rPr>
              <w:drawing>
                <wp:inline distT="0" distB="0" distL="0" distR="0" wp14:anchorId="30E992FB" wp14:editId="0EA0288A">
                  <wp:extent cx="2664000" cy="17892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2664000" cy="1789200"/>
                          </a:xfrm>
                          <a:prstGeom prst="rect">
                            <a:avLst/>
                          </a:prstGeom>
                          <a:noFill/>
                        </pic:spPr>
                      </pic:pic>
                    </a:graphicData>
                  </a:graphic>
                </wp:inline>
              </w:drawing>
            </w:r>
          </w:p>
        </w:tc>
        <w:tc>
          <w:tcPr>
            <w:tcW w:w="4581" w:type="dxa"/>
            <w:hideMark/>
          </w:tcPr>
          <w:p w14:paraId="387389C0" w14:textId="3DF28026" w:rsidR="00446D6D" w:rsidRPr="00446D6D" w:rsidRDefault="00446D6D" w:rsidP="00446D6D">
            <w:pPr>
              <w:pStyle w:val="Figure"/>
              <w:rPr>
                <w:noProof/>
              </w:rPr>
            </w:pPr>
            <w:r>
              <w:rPr>
                <w:noProof/>
              </w:rPr>
              <w:drawing>
                <wp:inline distT="0" distB="0" distL="0" distR="0" wp14:anchorId="4B04D59C" wp14:editId="313FDCB9">
                  <wp:extent cx="2664000" cy="1789200"/>
                  <wp:effectExtent l="0" t="0" r="317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2664000" cy="1789200"/>
                          </a:xfrm>
                          <a:prstGeom prst="rect">
                            <a:avLst/>
                          </a:prstGeom>
                          <a:noFill/>
                        </pic:spPr>
                      </pic:pic>
                    </a:graphicData>
                  </a:graphic>
                </wp:inline>
              </w:drawing>
            </w:r>
          </w:p>
        </w:tc>
      </w:tr>
    </w:tbl>
    <w:p w14:paraId="7654BCFD" w14:textId="5AF809F4" w:rsidR="00D656DC" w:rsidRPr="005E6538" w:rsidRDefault="008A64DF" w:rsidP="005E6538">
      <w:pPr>
        <w:pStyle w:val="Headingb"/>
        <w:spacing w:after="120"/>
      </w:pPr>
      <w:r>
        <w:t>Prioridad temática: Ecosistema de innovación digital</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5136"/>
      </w:tblGrid>
      <w:tr w:rsidR="00A0450D" w14:paraId="543D4FBC" w14:textId="77777777" w:rsidTr="00490009">
        <w:trPr>
          <w:jc w:val="center"/>
        </w:trPr>
        <w:tc>
          <w:tcPr>
            <w:tcW w:w="9543" w:type="dxa"/>
            <w:gridSpan w:val="2"/>
          </w:tcPr>
          <w:p w14:paraId="68BA7592" w14:textId="0381E6AA" w:rsidR="005E6538" w:rsidRPr="005E6538" w:rsidRDefault="005E6538" w:rsidP="005E6538">
            <w:pPr>
              <w:pStyle w:val="Figure"/>
            </w:pPr>
            <w:r>
              <w:rPr>
                <w:noProof/>
              </w:rPr>
              <w:drawing>
                <wp:inline distT="0" distB="0" distL="0" distR="0" wp14:anchorId="121221CA" wp14:editId="297AC08E">
                  <wp:extent cx="5742000" cy="14472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5742000" cy="1447200"/>
                          </a:xfrm>
                          <a:prstGeom prst="rect">
                            <a:avLst/>
                          </a:prstGeom>
                          <a:noFill/>
                        </pic:spPr>
                      </pic:pic>
                    </a:graphicData>
                  </a:graphic>
                </wp:inline>
              </w:drawing>
            </w:r>
          </w:p>
        </w:tc>
      </w:tr>
      <w:tr w:rsidR="008A64DF" w14:paraId="7AC4FF7E" w14:textId="77777777" w:rsidTr="00490009">
        <w:trPr>
          <w:jc w:val="center"/>
        </w:trPr>
        <w:tc>
          <w:tcPr>
            <w:tcW w:w="4662" w:type="dxa"/>
            <w:hideMark/>
          </w:tcPr>
          <w:p w14:paraId="13F68391" w14:textId="74A7EF68" w:rsidR="005E6538" w:rsidRDefault="005E6538" w:rsidP="005E6538">
            <w:pPr>
              <w:pStyle w:val="Figure"/>
            </w:pPr>
            <w:r>
              <w:rPr>
                <w:noProof/>
              </w:rPr>
              <w:drawing>
                <wp:inline distT="0" distB="0" distL="0" distR="0" wp14:anchorId="4E6991DF" wp14:editId="7A037B3D">
                  <wp:extent cx="2660400" cy="1213200"/>
                  <wp:effectExtent l="0" t="0" r="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2660400" cy="1213200"/>
                          </a:xfrm>
                          <a:prstGeom prst="rect">
                            <a:avLst/>
                          </a:prstGeom>
                          <a:noFill/>
                        </pic:spPr>
                      </pic:pic>
                    </a:graphicData>
                  </a:graphic>
                </wp:inline>
              </w:drawing>
            </w:r>
          </w:p>
        </w:tc>
        <w:tc>
          <w:tcPr>
            <w:tcW w:w="4881" w:type="dxa"/>
            <w:hideMark/>
          </w:tcPr>
          <w:p w14:paraId="73220274" w14:textId="3A32A0A5" w:rsidR="005E6538" w:rsidRDefault="005E6538" w:rsidP="005E6538">
            <w:pPr>
              <w:pStyle w:val="Figure"/>
            </w:pPr>
            <w:r>
              <w:rPr>
                <w:noProof/>
              </w:rPr>
              <w:drawing>
                <wp:inline distT="0" distB="0" distL="0" distR="0" wp14:anchorId="7F259A72" wp14:editId="60DCF386">
                  <wp:extent cx="3124800" cy="1216800"/>
                  <wp:effectExtent l="0" t="0" r="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3124800" cy="1216800"/>
                          </a:xfrm>
                          <a:prstGeom prst="rect">
                            <a:avLst/>
                          </a:prstGeom>
                          <a:noFill/>
                        </pic:spPr>
                      </pic:pic>
                    </a:graphicData>
                  </a:graphic>
                </wp:inline>
              </w:drawing>
            </w:r>
          </w:p>
        </w:tc>
      </w:tr>
    </w:tbl>
    <w:p w14:paraId="448EC33D" w14:textId="77777777" w:rsidR="008A64DF" w:rsidRDefault="008A64DF" w:rsidP="008F5584">
      <w:pPr>
        <w:pStyle w:val="Normalaftertitle"/>
      </w:pPr>
      <w:r>
        <w:rPr>
          <w:b/>
          <w:bCs/>
        </w:rPr>
        <w:t>Objetivo D.4</w:t>
      </w:r>
      <w:r>
        <w:t xml:space="preserve"> (sociedad de la información integradora): Fomentar el desarrollo y la utilización de las telecomunicaciones/TIC y las aplicaciones a fin de promover la autonomía de las personas y las sociedades a efectos del desarrollo sostenible</w:t>
      </w:r>
    </w:p>
    <w:p w14:paraId="33E4CD35" w14:textId="77777777" w:rsidR="008A64DF" w:rsidRDefault="008A64DF" w:rsidP="008A64DF">
      <w:pPr>
        <w:pStyle w:val="Headingb"/>
        <w:spacing w:after="120"/>
      </w:pPr>
      <w:r>
        <w:t>Resultados</w:t>
      </w:r>
    </w:p>
    <w:tbl>
      <w:tblPr>
        <w:tblStyle w:val="TableGrid"/>
        <w:tblW w:w="5000" w:type="pct"/>
        <w:jc w:val="center"/>
        <w:tblLook w:val="04A0" w:firstRow="1" w:lastRow="0" w:firstColumn="1" w:lastColumn="0" w:noHBand="0" w:noVBand="1"/>
      </w:tblPr>
      <w:tblGrid>
        <w:gridCol w:w="9629"/>
      </w:tblGrid>
      <w:tr w:rsidR="008A64DF" w:rsidRPr="00575DDE" w14:paraId="3F5C61A0" w14:textId="77777777" w:rsidTr="008A64DF">
        <w:trPr>
          <w:jc w:val="center"/>
        </w:trPr>
        <w:tc>
          <w:tcPr>
            <w:tcW w:w="9016" w:type="dxa"/>
            <w:tcBorders>
              <w:top w:val="single" w:sz="4" w:space="0" w:color="auto"/>
              <w:left w:val="single" w:sz="4" w:space="0" w:color="auto"/>
              <w:bottom w:val="single" w:sz="4" w:space="0" w:color="auto"/>
              <w:right w:val="single" w:sz="4" w:space="0" w:color="auto"/>
            </w:tcBorders>
            <w:shd w:val="clear" w:color="auto" w:fill="DCE5F4"/>
            <w:hideMark/>
          </w:tcPr>
          <w:p w14:paraId="6BA1401F" w14:textId="77777777" w:rsidR="008A64DF" w:rsidRPr="008F5584" w:rsidRDefault="008A64DF" w:rsidP="008F5584">
            <w:pPr>
              <w:pStyle w:val="Tabletext"/>
              <w:rPr>
                <w:lang w:val="es-ES"/>
              </w:rPr>
            </w:pPr>
            <w:r w:rsidRPr="008F5584">
              <w:rPr>
                <w:lang w:val="es-ES"/>
              </w:rPr>
              <w:t>D-4-a: Mejora del acceso y la utilización de las telecomunicaciones/TIC en los países menos adelantados (PMA), los pequeños Estados insulares en desarrollo (PEID), los países en desarrollo sin litoral (PDSL) y los países con economías en transición</w:t>
            </w:r>
          </w:p>
          <w:p w14:paraId="2425C53F" w14:textId="77777777" w:rsidR="008A64DF" w:rsidRPr="008F5584" w:rsidRDefault="008A64DF" w:rsidP="008F5584">
            <w:pPr>
              <w:pStyle w:val="Tabletext"/>
              <w:rPr>
                <w:lang w:val="es-ES"/>
              </w:rPr>
            </w:pPr>
            <w:r w:rsidRPr="008F5584">
              <w:rPr>
                <w:lang w:val="es-ES"/>
              </w:rPr>
              <w:t>D.4-b: Capacidad mejorada de los miembros de la UIT para acelerar el desarrollo socioeconómico aprovechando y utilizando nuevas tecnologías y servicios y aplicaciones de telecomunicaciones/TIC</w:t>
            </w:r>
          </w:p>
          <w:p w14:paraId="580CCF96" w14:textId="77777777" w:rsidR="008A64DF" w:rsidRPr="008F5584" w:rsidRDefault="008A64DF" w:rsidP="008F5584">
            <w:pPr>
              <w:pStyle w:val="Tabletext"/>
              <w:rPr>
                <w:lang w:val="es-ES"/>
              </w:rPr>
            </w:pPr>
            <w:r w:rsidRPr="008F5584">
              <w:rPr>
                <w:lang w:val="es-ES"/>
              </w:rPr>
              <w:t>D.4-c: Capacidad reforzada de los miembros de la UIT para elaborar estrategias, políticas y prácticas en pro de la inclusión digital, en particular destinadas al empoderamiento de las mujeres y las niñas, las personas con discapacidad y las personas con necesidades especiales</w:t>
            </w:r>
          </w:p>
          <w:p w14:paraId="7E849530" w14:textId="77777777" w:rsidR="008A64DF" w:rsidRPr="008F5584" w:rsidRDefault="008A64DF" w:rsidP="008F5584">
            <w:pPr>
              <w:pStyle w:val="Tabletext"/>
              <w:rPr>
                <w:lang w:val="es-ES"/>
              </w:rPr>
            </w:pPr>
            <w:r w:rsidRPr="008F5584">
              <w:rPr>
                <w:lang w:val="es-ES"/>
              </w:rPr>
              <w:t>D.4-d: Capacidad mejorada de los miembros de la UIT para elaborar estrategias y soluciones de telecomunicaciones/TIC en materia de adaptación al cambio climático y mitigación del mismo y de utilización de energías verdes/renovables</w:t>
            </w:r>
          </w:p>
        </w:tc>
      </w:tr>
    </w:tbl>
    <w:p w14:paraId="561A1575" w14:textId="77777777" w:rsidR="008A64DF" w:rsidRPr="003F24C8" w:rsidRDefault="008A64DF" w:rsidP="003F24C8">
      <w:pPr>
        <w:pStyle w:val="Headingb"/>
      </w:pPr>
      <w:r w:rsidRPr="003F24C8">
        <w:lastRenderedPageBreak/>
        <w:t>Progresos logrados</w:t>
      </w:r>
    </w:p>
    <w:p w14:paraId="029C0B40" w14:textId="428E7259" w:rsidR="008A64DF" w:rsidRDefault="008A64DF" w:rsidP="00F432E5">
      <w:pPr>
        <w:pStyle w:val="Headingb"/>
        <w:spacing w:after="120"/>
      </w:pPr>
      <w:bookmarkStart w:id="307" w:name="_Toc39832847"/>
      <w:r>
        <w:t>Prioridad temática: servicios y aplicaciones digitales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9"/>
        <w:gridCol w:w="5290"/>
      </w:tblGrid>
      <w:tr w:rsidR="008A64DF" w14:paraId="6ECCD30F" w14:textId="77777777" w:rsidTr="004137CF">
        <w:trPr>
          <w:jc w:val="center"/>
        </w:trPr>
        <w:tc>
          <w:tcPr>
            <w:tcW w:w="4349" w:type="dxa"/>
            <w:hideMark/>
          </w:tcPr>
          <w:p w14:paraId="37685497" w14:textId="7BE2598D" w:rsidR="00CB07BF" w:rsidRDefault="00CB07BF" w:rsidP="00CB07BF">
            <w:pPr>
              <w:pStyle w:val="Figure"/>
            </w:pPr>
            <w:r>
              <w:rPr>
                <w:noProof/>
              </w:rPr>
              <w:drawing>
                <wp:inline distT="0" distB="0" distL="0" distR="0" wp14:anchorId="041AB1A0" wp14:editId="177755E4">
                  <wp:extent cx="2397600" cy="1256400"/>
                  <wp:effectExtent l="0" t="0" r="0"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2397600" cy="1256400"/>
                          </a:xfrm>
                          <a:prstGeom prst="rect">
                            <a:avLst/>
                          </a:prstGeom>
                          <a:noFill/>
                        </pic:spPr>
                      </pic:pic>
                    </a:graphicData>
                  </a:graphic>
                </wp:inline>
              </w:drawing>
            </w:r>
          </w:p>
        </w:tc>
        <w:tc>
          <w:tcPr>
            <w:tcW w:w="5290" w:type="dxa"/>
            <w:hideMark/>
          </w:tcPr>
          <w:p w14:paraId="3882037E" w14:textId="7CCCDD67" w:rsidR="00CB07BF" w:rsidRDefault="00F432E5" w:rsidP="00CB07BF">
            <w:pPr>
              <w:pStyle w:val="Figure"/>
            </w:pPr>
            <w:r>
              <w:rPr>
                <w:noProof/>
              </w:rPr>
              <w:drawing>
                <wp:inline distT="0" distB="0" distL="0" distR="0" wp14:anchorId="1C8E5D06" wp14:editId="5826C91E">
                  <wp:extent cx="3135600" cy="12600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3135600" cy="1260000"/>
                          </a:xfrm>
                          <a:prstGeom prst="rect">
                            <a:avLst/>
                          </a:prstGeom>
                          <a:noFill/>
                        </pic:spPr>
                      </pic:pic>
                    </a:graphicData>
                  </a:graphic>
                </wp:inline>
              </w:drawing>
            </w:r>
          </w:p>
        </w:tc>
      </w:tr>
    </w:tbl>
    <w:p w14:paraId="11C1CDCB" w14:textId="2EEB453E" w:rsidR="008A64DF" w:rsidRDefault="008A64DF" w:rsidP="008A64DF">
      <w:pPr>
        <w:pStyle w:val="Headingb"/>
      </w:pPr>
      <w:r>
        <w:t>Prioridad temática: Medio ambiente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F66210" w14:paraId="691916F6" w14:textId="77777777" w:rsidTr="00CF7CBE">
        <w:trPr>
          <w:jc w:val="center"/>
        </w:trPr>
        <w:tc>
          <w:tcPr>
            <w:tcW w:w="9639" w:type="dxa"/>
            <w:hideMark/>
          </w:tcPr>
          <w:p w14:paraId="3448D4D1" w14:textId="519393D9" w:rsidR="00F66210" w:rsidRDefault="00F66210" w:rsidP="00327135">
            <w:pPr>
              <w:pStyle w:val="Figure"/>
            </w:pPr>
            <w:r>
              <w:rPr>
                <w:noProof/>
              </w:rPr>
              <w:drawing>
                <wp:inline distT="0" distB="0" distL="0" distR="0" wp14:anchorId="259BBD95" wp14:editId="30A397DF">
                  <wp:extent cx="3672000" cy="17532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3672000" cy="1753200"/>
                          </a:xfrm>
                          <a:prstGeom prst="rect">
                            <a:avLst/>
                          </a:prstGeom>
                          <a:noFill/>
                        </pic:spPr>
                      </pic:pic>
                    </a:graphicData>
                  </a:graphic>
                </wp:inline>
              </w:drawing>
            </w:r>
          </w:p>
        </w:tc>
      </w:tr>
      <w:tr w:rsidR="00F66210" w14:paraId="22292432" w14:textId="77777777" w:rsidTr="00C964F2">
        <w:trPr>
          <w:jc w:val="center"/>
        </w:trPr>
        <w:tc>
          <w:tcPr>
            <w:tcW w:w="9639" w:type="dxa"/>
          </w:tcPr>
          <w:p w14:paraId="2C1E517E" w14:textId="0841D8AA" w:rsidR="00F66210" w:rsidRDefault="00F66210" w:rsidP="00327135">
            <w:pPr>
              <w:pStyle w:val="Figure"/>
            </w:pPr>
            <w:r>
              <w:rPr>
                <w:noProof/>
              </w:rPr>
              <w:drawing>
                <wp:inline distT="0" distB="0" distL="0" distR="0" wp14:anchorId="6121A7A1" wp14:editId="6AA7AF7E">
                  <wp:extent cx="3672000" cy="15228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3672000" cy="1522800"/>
                          </a:xfrm>
                          <a:prstGeom prst="rect">
                            <a:avLst/>
                          </a:prstGeom>
                          <a:noFill/>
                        </pic:spPr>
                      </pic:pic>
                    </a:graphicData>
                  </a:graphic>
                </wp:inline>
              </w:drawing>
            </w:r>
          </w:p>
        </w:tc>
      </w:tr>
    </w:tbl>
    <w:p w14:paraId="3EBAECBB" w14:textId="3F0963F4" w:rsidR="008A64DF" w:rsidRDefault="008A64DF" w:rsidP="00F66210">
      <w:pPr>
        <w:pStyle w:val="Headingb"/>
        <w:spacing w:after="120"/>
      </w:pPr>
      <w:r>
        <w:t>Prioridad temática: Inclusión digital</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F66210" w14:paraId="40A3DE0F" w14:textId="77777777" w:rsidTr="00327135">
        <w:trPr>
          <w:jc w:val="center"/>
        </w:trPr>
        <w:tc>
          <w:tcPr>
            <w:tcW w:w="9639" w:type="dxa"/>
          </w:tcPr>
          <w:p w14:paraId="44A9C97F" w14:textId="4822C8EA" w:rsidR="00F66210" w:rsidRDefault="00F66210" w:rsidP="00327135">
            <w:pPr>
              <w:pStyle w:val="Figure"/>
            </w:pPr>
            <w:r>
              <w:rPr>
                <w:noProof/>
              </w:rPr>
              <w:drawing>
                <wp:inline distT="0" distB="0" distL="0" distR="0" wp14:anchorId="79828C66" wp14:editId="58BEB88A">
                  <wp:extent cx="3182400" cy="1998000"/>
                  <wp:effectExtent l="0" t="0" r="0" b="0"/>
                  <wp:docPr id="505389696" name="Picture 505389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3182400" cy="1998000"/>
                          </a:xfrm>
                          <a:prstGeom prst="rect">
                            <a:avLst/>
                          </a:prstGeom>
                          <a:noFill/>
                        </pic:spPr>
                      </pic:pic>
                    </a:graphicData>
                  </a:graphic>
                </wp:inline>
              </w:drawing>
            </w:r>
          </w:p>
        </w:tc>
      </w:tr>
    </w:tbl>
    <w:p w14:paraId="71394E05" w14:textId="77777777" w:rsidR="008A64DF" w:rsidRDefault="008A64DF" w:rsidP="008A64DF">
      <w:pPr>
        <w:pStyle w:val="Heading2"/>
      </w:pPr>
      <w:bookmarkStart w:id="308" w:name="_Toc41289303"/>
      <w:bookmarkStart w:id="309" w:name="_Toc41289446"/>
      <w:bookmarkStart w:id="310" w:name="_Toc97821289"/>
      <w:r w:rsidRPr="00473E66">
        <w:lastRenderedPageBreak/>
        <w:t>Objetivos intersectoriales</w:t>
      </w:r>
      <w:bookmarkEnd w:id="307"/>
      <w:bookmarkEnd w:id="308"/>
      <w:bookmarkEnd w:id="309"/>
      <w:bookmarkEnd w:id="310"/>
    </w:p>
    <w:p w14:paraId="3E72FFB1" w14:textId="77777777" w:rsidR="008A64DF" w:rsidRDefault="008A64DF" w:rsidP="008A64DF">
      <w:r>
        <w:rPr>
          <w:b/>
        </w:rPr>
        <w:t>Objetivo I.1</w:t>
      </w:r>
      <w:r>
        <w:t xml:space="preserve"> (colaboración): Fomentar una colaboración más estrecha entre todos los interesados en el ecosistema de las telecomunicaciones/TIC</w:t>
      </w:r>
    </w:p>
    <w:p w14:paraId="5CC7F61A" w14:textId="77777777" w:rsidR="008A64DF" w:rsidRDefault="008A64DF" w:rsidP="008A64DF">
      <w:pPr>
        <w:pStyle w:val="Headingb"/>
        <w:spacing w:after="120"/>
      </w:pPr>
      <w:r>
        <w:t>Resultados</w:t>
      </w:r>
    </w:p>
    <w:tbl>
      <w:tblPr>
        <w:tblStyle w:val="TableGrid"/>
        <w:tblW w:w="5000" w:type="pct"/>
        <w:jc w:val="center"/>
        <w:tblLook w:val="04A0" w:firstRow="1" w:lastRow="0" w:firstColumn="1" w:lastColumn="0" w:noHBand="0" w:noVBand="1"/>
      </w:tblPr>
      <w:tblGrid>
        <w:gridCol w:w="9629"/>
      </w:tblGrid>
      <w:tr w:rsidR="008A64DF" w:rsidRPr="00575DDE" w14:paraId="24151D73" w14:textId="77777777" w:rsidTr="008A64DF">
        <w:trPr>
          <w:jc w:val="center"/>
        </w:trPr>
        <w:tc>
          <w:tcPr>
            <w:tcW w:w="9016" w:type="dxa"/>
            <w:tcBorders>
              <w:top w:val="single" w:sz="4" w:space="0" w:color="auto"/>
              <w:left w:val="single" w:sz="4" w:space="0" w:color="auto"/>
              <w:bottom w:val="single" w:sz="4" w:space="0" w:color="auto"/>
              <w:right w:val="single" w:sz="4" w:space="0" w:color="auto"/>
            </w:tcBorders>
            <w:shd w:val="clear" w:color="auto" w:fill="DCE5F4"/>
            <w:hideMark/>
          </w:tcPr>
          <w:p w14:paraId="7E392440" w14:textId="77777777" w:rsidR="008A64DF" w:rsidRPr="008F5584" w:rsidRDefault="008A64DF" w:rsidP="008F5584">
            <w:pPr>
              <w:pStyle w:val="Tabletext"/>
              <w:rPr>
                <w:lang w:val="es-ES"/>
              </w:rPr>
            </w:pPr>
            <w:r w:rsidRPr="008F5584">
              <w:rPr>
                <w:lang w:val="es-ES"/>
              </w:rPr>
              <w:t>I.1-a: Aumento de la colaboración entre los interesados competentes</w:t>
            </w:r>
          </w:p>
          <w:p w14:paraId="71309F29" w14:textId="77777777" w:rsidR="008A64DF" w:rsidRPr="008F5584" w:rsidRDefault="008A64DF" w:rsidP="008F5584">
            <w:pPr>
              <w:pStyle w:val="Tabletext"/>
              <w:rPr>
                <w:lang w:val="es-ES"/>
              </w:rPr>
            </w:pPr>
            <w:r w:rsidRPr="008F5584">
              <w:rPr>
                <w:lang w:val="es-ES"/>
              </w:rPr>
              <w:t>I.1-b: Mayores sinergias de asociaciones sobre telecomunicaciones/TIC</w:t>
            </w:r>
          </w:p>
          <w:p w14:paraId="7156E818" w14:textId="77777777" w:rsidR="008A64DF" w:rsidRPr="008F5584" w:rsidRDefault="008A64DF" w:rsidP="008F5584">
            <w:pPr>
              <w:pStyle w:val="Tabletext"/>
              <w:rPr>
                <w:lang w:val="es-ES"/>
              </w:rPr>
            </w:pPr>
            <w:r w:rsidRPr="008F5584">
              <w:rPr>
                <w:lang w:val="es-ES"/>
              </w:rPr>
              <w:t>I.1-c: Mayor reconocimiento de las telecomunicaciones/TIC como facilitador global de la aplicación de las líneas de acción de la CMSI y de la Agenda 2030 para el Desarrollo Sostenible</w:t>
            </w:r>
          </w:p>
          <w:p w14:paraId="2E12D8D5" w14:textId="77777777" w:rsidR="008A64DF" w:rsidRPr="008F5584" w:rsidRDefault="008A64DF" w:rsidP="008F5584">
            <w:pPr>
              <w:pStyle w:val="Tabletext"/>
              <w:rPr>
                <w:lang w:val="es-ES"/>
              </w:rPr>
            </w:pPr>
            <w:r w:rsidRPr="008F5584">
              <w:rPr>
                <w:lang w:val="es-ES"/>
              </w:rPr>
              <w:t>I.1-d: Mayor apoyo a los miembros de la UIT en la creación y facilitación de productos y servicios de TIC</w:t>
            </w:r>
          </w:p>
        </w:tc>
      </w:tr>
    </w:tbl>
    <w:p w14:paraId="591795D9" w14:textId="77777777" w:rsidR="008A64DF" w:rsidRDefault="008A64DF" w:rsidP="008A64DF">
      <w:pPr>
        <w:pStyle w:val="Headingb"/>
      </w:pPr>
      <w:r>
        <w:t>Progresos logrados</w:t>
      </w:r>
    </w:p>
    <w:p w14:paraId="78DC9433" w14:textId="7F083326" w:rsidR="008A64DF" w:rsidRDefault="008A64DF" w:rsidP="008A64DF">
      <w:r>
        <w:t>Se han añadido tres nuevas preguntas en la encuesta a los miembros de la UIT de 2020 para evaluar los progresos logrados en los Objetivos I.1-a, I.1-b e I.1-c.</w:t>
      </w:r>
    </w:p>
    <w:tbl>
      <w:tblPr>
        <w:tblStyle w:val="TableGrid4"/>
        <w:tblW w:w="5000"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9639"/>
      </w:tblGrid>
      <w:tr w:rsidR="00C337E7" w14:paraId="453E2927" w14:textId="77777777" w:rsidTr="00C337E7">
        <w:trPr>
          <w:jc w:val="center"/>
        </w:trPr>
        <w:tc>
          <w:tcPr>
            <w:tcW w:w="9026" w:type="dxa"/>
          </w:tcPr>
          <w:p w14:paraId="277968C2" w14:textId="77777777" w:rsidR="00C337E7" w:rsidRDefault="00C337E7" w:rsidP="00C337E7">
            <w:pPr>
              <w:keepNext/>
              <w:keepLines/>
            </w:pPr>
            <w:r>
              <w:t>2019:</w:t>
            </w:r>
          </w:p>
          <w:p w14:paraId="6DC1F76E" w14:textId="1A4826DD" w:rsidR="00C337E7" w:rsidRDefault="00C337E7" w:rsidP="00C337E7">
            <w:pPr>
              <w:pStyle w:val="Figure"/>
            </w:pPr>
            <w:r>
              <w:rPr>
                <w:noProof/>
              </w:rPr>
              <w:drawing>
                <wp:inline distT="0" distB="0" distL="0" distR="0" wp14:anchorId="68936ED2" wp14:editId="3471E461">
                  <wp:extent cx="5652000" cy="1796400"/>
                  <wp:effectExtent l="0" t="0" r="6350" b="0"/>
                  <wp:docPr id="1257977749" name="Picture 125797774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49" name="Picture 1257977749" descr="Chart, bar chart&#10;&#10;Description automatically generated"/>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5652000" cy="1796400"/>
                          </a:xfrm>
                          <a:prstGeom prst="rect">
                            <a:avLst/>
                          </a:prstGeom>
                          <a:noFill/>
                          <a:ln>
                            <a:noFill/>
                          </a:ln>
                        </pic:spPr>
                      </pic:pic>
                    </a:graphicData>
                  </a:graphic>
                </wp:inline>
              </w:drawing>
            </w:r>
          </w:p>
        </w:tc>
      </w:tr>
      <w:tr w:rsidR="00C337E7" w14:paraId="0C0D951C" w14:textId="77777777" w:rsidTr="00C337E7">
        <w:trPr>
          <w:jc w:val="center"/>
        </w:trPr>
        <w:tc>
          <w:tcPr>
            <w:tcW w:w="9026" w:type="dxa"/>
          </w:tcPr>
          <w:p w14:paraId="0F4E854D" w14:textId="1BB45DD8" w:rsidR="00C337E7" w:rsidRDefault="00C337E7" w:rsidP="00C337E7">
            <w:pPr>
              <w:keepNext/>
              <w:keepLines/>
            </w:pPr>
            <w:r>
              <w:t>2020:</w:t>
            </w:r>
          </w:p>
          <w:p w14:paraId="441245D3" w14:textId="7CBD901C" w:rsidR="00C337E7" w:rsidRDefault="00C337E7" w:rsidP="00C337E7">
            <w:pPr>
              <w:pStyle w:val="Figure"/>
            </w:pPr>
            <w:r>
              <w:rPr>
                <w:noProof/>
              </w:rPr>
              <w:drawing>
                <wp:inline distT="0" distB="0" distL="0" distR="0" wp14:anchorId="575F5B50" wp14:editId="10532805">
                  <wp:extent cx="5652000" cy="1375200"/>
                  <wp:effectExtent l="0" t="0" r="6350" b="0"/>
                  <wp:docPr id="1257977748" name="Picture 125797774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48" name="Picture 1257977748" descr="Chart, bar chart&#10;&#10;Description automatically generated"/>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5652000" cy="1375200"/>
                          </a:xfrm>
                          <a:prstGeom prst="rect">
                            <a:avLst/>
                          </a:prstGeom>
                          <a:noFill/>
                          <a:ln>
                            <a:noFill/>
                          </a:ln>
                        </pic:spPr>
                      </pic:pic>
                    </a:graphicData>
                  </a:graphic>
                </wp:inline>
              </w:drawing>
            </w:r>
          </w:p>
        </w:tc>
      </w:tr>
      <w:tr w:rsidR="008A64DF" w14:paraId="083BA5ED" w14:textId="77777777" w:rsidTr="00C337E7">
        <w:trPr>
          <w:jc w:val="center"/>
        </w:trPr>
        <w:tc>
          <w:tcPr>
            <w:tcW w:w="9026" w:type="dxa"/>
          </w:tcPr>
          <w:p w14:paraId="41A8EA5D" w14:textId="7740A467" w:rsidR="008A64DF" w:rsidRDefault="008A64DF" w:rsidP="0074224C">
            <w:r>
              <w:t>2021:</w:t>
            </w:r>
          </w:p>
          <w:p w14:paraId="46AA2433" w14:textId="062B9F3F" w:rsidR="008A64DF" w:rsidRDefault="00B538A6" w:rsidP="00C337E7">
            <w:pPr>
              <w:pStyle w:val="Figure"/>
            </w:pPr>
            <w:r>
              <w:rPr>
                <w:noProof/>
              </w:rPr>
              <w:drawing>
                <wp:inline distT="0" distB="0" distL="0" distR="0" wp14:anchorId="5288E44A" wp14:editId="613305EE">
                  <wp:extent cx="5652000" cy="1659600"/>
                  <wp:effectExtent l="0" t="0" r="6350" b="0"/>
                  <wp:docPr id="505389702" name="Picture 505389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4"/>
                          <a:stretch>
                            <a:fillRect/>
                          </a:stretch>
                        </pic:blipFill>
                        <pic:spPr>
                          <a:xfrm>
                            <a:off x="0" y="0"/>
                            <a:ext cx="5652000" cy="1659600"/>
                          </a:xfrm>
                          <a:prstGeom prst="rect">
                            <a:avLst/>
                          </a:prstGeom>
                        </pic:spPr>
                      </pic:pic>
                    </a:graphicData>
                  </a:graphic>
                </wp:inline>
              </w:drawing>
            </w:r>
          </w:p>
        </w:tc>
      </w:tr>
    </w:tbl>
    <w:tbl>
      <w:tblPr>
        <w:tblStyle w:val="TableGrid"/>
        <w:tblW w:w="96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4724"/>
        <w:gridCol w:w="4921"/>
      </w:tblGrid>
      <w:tr w:rsidR="008A64DF" w14:paraId="16C80092" w14:textId="77777777" w:rsidTr="00751C7E">
        <w:trPr>
          <w:jc w:val="center"/>
        </w:trPr>
        <w:tc>
          <w:tcPr>
            <w:tcW w:w="4724" w:type="dxa"/>
          </w:tcPr>
          <w:p w14:paraId="42B2888A" w14:textId="217474E7" w:rsidR="008A64DF" w:rsidRDefault="00BA4181" w:rsidP="00BA4181">
            <w:pPr>
              <w:pStyle w:val="Figure"/>
              <w:rPr>
                <w:noProof/>
              </w:rPr>
            </w:pPr>
            <w:r>
              <w:rPr>
                <w:noProof/>
              </w:rPr>
              <w:lastRenderedPageBreak/>
              <w:drawing>
                <wp:inline distT="0" distB="0" distL="0" distR="0" wp14:anchorId="69ADA3FD" wp14:editId="1527B804">
                  <wp:extent cx="2520000" cy="1515600"/>
                  <wp:effectExtent l="0" t="0" r="0" b="8890"/>
                  <wp:docPr id="505389703" name="Picture 505389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2520000" cy="1515600"/>
                          </a:xfrm>
                          <a:prstGeom prst="rect">
                            <a:avLst/>
                          </a:prstGeom>
                          <a:noFill/>
                        </pic:spPr>
                      </pic:pic>
                    </a:graphicData>
                  </a:graphic>
                </wp:inline>
              </w:drawing>
            </w:r>
          </w:p>
        </w:tc>
        <w:tc>
          <w:tcPr>
            <w:tcW w:w="4921" w:type="dxa"/>
            <w:hideMark/>
          </w:tcPr>
          <w:p w14:paraId="562CFBE2" w14:textId="62637EAC" w:rsidR="008A64DF" w:rsidRDefault="00A55953">
            <w:pPr>
              <w:pStyle w:val="Figure"/>
            </w:pPr>
            <w:r>
              <w:rPr>
                <w:noProof/>
              </w:rPr>
              <w:drawing>
                <wp:inline distT="0" distB="0" distL="0" distR="0" wp14:anchorId="58194DED" wp14:editId="1DFF716A">
                  <wp:extent cx="2520000" cy="151560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2520000" cy="1515600"/>
                          </a:xfrm>
                          <a:prstGeom prst="rect">
                            <a:avLst/>
                          </a:prstGeom>
                          <a:noFill/>
                        </pic:spPr>
                      </pic:pic>
                    </a:graphicData>
                  </a:graphic>
                </wp:inline>
              </w:drawing>
            </w:r>
          </w:p>
        </w:tc>
      </w:tr>
      <w:tr w:rsidR="008A64DF" w14:paraId="01172BA8" w14:textId="77777777" w:rsidTr="00751C7E">
        <w:trPr>
          <w:jc w:val="center"/>
        </w:trPr>
        <w:tc>
          <w:tcPr>
            <w:tcW w:w="4724" w:type="dxa"/>
            <w:hideMark/>
          </w:tcPr>
          <w:p w14:paraId="11CA90FF" w14:textId="2B5C56F5" w:rsidR="008A64DF" w:rsidRDefault="008A64DF">
            <w:pPr>
              <w:pStyle w:val="Figure"/>
            </w:pPr>
            <w:r>
              <w:rPr>
                <w:noProof/>
              </w:rPr>
              <w:drawing>
                <wp:inline distT="0" distB="0" distL="0" distR="0" wp14:anchorId="60C6A7E2" wp14:editId="2154501E">
                  <wp:extent cx="2520000" cy="1533600"/>
                  <wp:effectExtent l="0" t="0" r="0" b="0"/>
                  <wp:docPr id="1257977744" name="Picture 1257977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415036"/>
                          <pic:cNvPicPr>
                            <a:picLocks noChangeAspect="1" noChangeArrowheads="1"/>
                          </pic:cNvPicPr>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2520000" cy="1533600"/>
                          </a:xfrm>
                          <a:prstGeom prst="rect">
                            <a:avLst/>
                          </a:prstGeom>
                          <a:noFill/>
                          <a:ln>
                            <a:noFill/>
                          </a:ln>
                        </pic:spPr>
                      </pic:pic>
                    </a:graphicData>
                  </a:graphic>
                </wp:inline>
              </w:drawing>
            </w:r>
          </w:p>
        </w:tc>
        <w:tc>
          <w:tcPr>
            <w:tcW w:w="4921" w:type="dxa"/>
            <w:hideMark/>
          </w:tcPr>
          <w:p w14:paraId="232943B5" w14:textId="71EBD91A" w:rsidR="008A64DF" w:rsidRDefault="008A64DF">
            <w:pPr>
              <w:pStyle w:val="Figure"/>
            </w:pPr>
            <w:r>
              <w:rPr>
                <w:noProof/>
              </w:rPr>
              <w:drawing>
                <wp:inline distT="0" distB="0" distL="0" distR="0" wp14:anchorId="402383E9" wp14:editId="1BA9A4C7">
                  <wp:extent cx="2520000" cy="1515600"/>
                  <wp:effectExtent l="0" t="0" r="0" b="8890"/>
                  <wp:docPr id="1257977740" name="Picture 125797774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40" name="Picture 1257977740" descr="Chart, bar chart&#10;&#10;Description automatically generated"/>
                          <pic:cNvPicPr>
                            <a:picLocks noChangeAspect="1" noChangeArrowheads="1"/>
                          </pic:cNvPicPr>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2520000" cy="1515600"/>
                          </a:xfrm>
                          <a:prstGeom prst="rect">
                            <a:avLst/>
                          </a:prstGeom>
                          <a:noFill/>
                          <a:ln>
                            <a:noFill/>
                          </a:ln>
                        </pic:spPr>
                      </pic:pic>
                    </a:graphicData>
                  </a:graphic>
                </wp:inline>
              </w:drawing>
            </w:r>
          </w:p>
        </w:tc>
      </w:tr>
      <w:tr w:rsidR="008A64DF" w14:paraId="45EA2625" w14:textId="77777777" w:rsidTr="00751C7E">
        <w:trPr>
          <w:jc w:val="center"/>
        </w:trPr>
        <w:tc>
          <w:tcPr>
            <w:tcW w:w="4724" w:type="dxa"/>
            <w:hideMark/>
          </w:tcPr>
          <w:p w14:paraId="70F288A5" w14:textId="01E358BE" w:rsidR="008A64DF" w:rsidRDefault="008A64DF">
            <w:pPr>
              <w:pStyle w:val="Figure"/>
            </w:pPr>
            <w:r>
              <w:rPr>
                <w:noProof/>
              </w:rPr>
              <w:drawing>
                <wp:inline distT="0" distB="0" distL="0" distR="0" wp14:anchorId="2D885052" wp14:editId="3A925A94">
                  <wp:extent cx="2520000" cy="1515600"/>
                  <wp:effectExtent l="0" t="0" r="0" b="8890"/>
                  <wp:docPr id="1257977738" name="Picture 125797773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38" name="Picture 1257977738" descr="Chart, line chart&#10;&#10;Description automatically generated"/>
                          <pic:cNvPicPr>
                            <a:picLocks noChangeAspect="1" noChangeArrowheads="1"/>
                          </pic:cNvPicPr>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2520000" cy="1515600"/>
                          </a:xfrm>
                          <a:prstGeom prst="rect">
                            <a:avLst/>
                          </a:prstGeom>
                          <a:noFill/>
                          <a:ln>
                            <a:noFill/>
                          </a:ln>
                        </pic:spPr>
                      </pic:pic>
                    </a:graphicData>
                  </a:graphic>
                </wp:inline>
              </w:drawing>
            </w:r>
          </w:p>
        </w:tc>
        <w:tc>
          <w:tcPr>
            <w:tcW w:w="4921" w:type="dxa"/>
            <w:hideMark/>
          </w:tcPr>
          <w:p w14:paraId="23712020" w14:textId="6A1F47D1" w:rsidR="008A64DF" w:rsidRDefault="008A64DF">
            <w:pPr>
              <w:pStyle w:val="Figure"/>
              <w:rPr>
                <w:bCs/>
              </w:rPr>
            </w:pPr>
            <w:r>
              <w:rPr>
                <w:noProof/>
              </w:rPr>
              <w:drawing>
                <wp:inline distT="0" distB="0" distL="0" distR="0" wp14:anchorId="617E28FD" wp14:editId="1D4CB8F9">
                  <wp:extent cx="2469600" cy="1515600"/>
                  <wp:effectExtent l="0" t="0" r="6985" b="8890"/>
                  <wp:docPr id="1257977730" name="Picture 1257977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106840"/>
                          <pic:cNvPicPr>
                            <a:picLocks noChangeAspect="1" noChangeArrowheads="1"/>
                          </pic:cNvPicPr>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2469600" cy="1515600"/>
                          </a:xfrm>
                          <a:prstGeom prst="rect">
                            <a:avLst/>
                          </a:prstGeom>
                          <a:noFill/>
                          <a:ln>
                            <a:noFill/>
                          </a:ln>
                        </pic:spPr>
                      </pic:pic>
                    </a:graphicData>
                  </a:graphic>
                </wp:inline>
              </w:drawing>
            </w:r>
          </w:p>
        </w:tc>
      </w:tr>
    </w:tbl>
    <w:p w14:paraId="47DE0C03" w14:textId="094E0A81" w:rsidR="008A64DF" w:rsidRDefault="008A64DF" w:rsidP="008A64DF">
      <w:r w:rsidRPr="003F24C8">
        <w:rPr>
          <w:b/>
          <w:bCs/>
        </w:rPr>
        <w:t>Objetivos I.2</w:t>
      </w:r>
      <w:r w:rsidRPr="003F24C8">
        <w:t xml:space="preserve"> (tendencias</w:t>
      </w:r>
      <w:r>
        <w:t xml:space="preserve"> </w:t>
      </w:r>
      <w:r w:rsidR="00EE5736">
        <w:t>incipientes</w:t>
      </w:r>
      <w:r>
        <w:t xml:space="preserve"> en materia de telecomunicaciones/TIC): Mejorar la identificación y el análisis de la transformación digital y las tendencias </w:t>
      </w:r>
      <w:r w:rsidR="00EE5736">
        <w:t>incipientes</w:t>
      </w:r>
      <w:r>
        <w:t xml:space="preserve"> en el entorno de las telecomunicaciones/TIC y darlas a conocer</w:t>
      </w:r>
    </w:p>
    <w:p w14:paraId="2C7F9A2B" w14:textId="77777777" w:rsidR="008A64DF" w:rsidRDefault="008A64DF" w:rsidP="008A64DF">
      <w:pPr>
        <w:pStyle w:val="Headingb"/>
        <w:spacing w:after="120"/>
      </w:pPr>
      <w:r>
        <w:t>Resultados</w:t>
      </w:r>
    </w:p>
    <w:tbl>
      <w:tblPr>
        <w:tblStyle w:val="TableGrid"/>
        <w:tblW w:w="5000" w:type="pct"/>
        <w:jc w:val="center"/>
        <w:tblLook w:val="04A0" w:firstRow="1" w:lastRow="0" w:firstColumn="1" w:lastColumn="0" w:noHBand="0" w:noVBand="1"/>
      </w:tblPr>
      <w:tblGrid>
        <w:gridCol w:w="9629"/>
      </w:tblGrid>
      <w:tr w:rsidR="008A64DF" w:rsidRPr="00575DDE" w14:paraId="592A6947" w14:textId="77777777" w:rsidTr="008A64DF">
        <w:trPr>
          <w:jc w:val="center"/>
        </w:trPr>
        <w:tc>
          <w:tcPr>
            <w:tcW w:w="9016" w:type="dxa"/>
            <w:tcBorders>
              <w:top w:val="single" w:sz="4" w:space="0" w:color="auto"/>
              <w:left w:val="single" w:sz="4" w:space="0" w:color="auto"/>
              <w:bottom w:val="single" w:sz="4" w:space="0" w:color="auto"/>
              <w:right w:val="single" w:sz="4" w:space="0" w:color="auto"/>
            </w:tcBorders>
            <w:shd w:val="clear" w:color="auto" w:fill="DCE5F4"/>
            <w:hideMark/>
          </w:tcPr>
          <w:p w14:paraId="364A3D9C" w14:textId="17DCA58F" w:rsidR="008A64DF" w:rsidRPr="008F5584" w:rsidRDefault="008A64DF" w:rsidP="008F5584">
            <w:pPr>
              <w:pStyle w:val="Tabletext"/>
              <w:rPr>
                <w:lang w:val="es-ES"/>
              </w:rPr>
            </w:pPr>
            <w:r w:rsidRPr="008F5584">
              <w:rPr>
                <w:lang w:val="es-ES"/>
              </w:rPr>
              <w:t xml:space="preserve">I.2-a: Identificación, sensibilización y análisis de la transformación digital y las tendencias </w:t>
            </w:r>
            <w:r w:rsidR="00EE5736" w:rsidRPr="008F5584">
              <w:rPr>
                <w:lang w:val="es-ES"/>
              </w:rPr>
              <w:t>incipientes</w:t>
            </w:r>
            <w:r w:rsidRPr="008F5584">
              <w:rPr>
                <w:lang w:val="es-ES"/>
              </w:rPr>
              <w:t xml:space="preserve"> en las telecomunicaciones/TIC</w:t>
            </w:r>
          </w:p>
        </w:tc>
      </w:tr>
    </w:tbl>
    <w:p w14:paraId="4B15C04E" w14:textId="06754203" w:rsidR="008A64DF" w:rsidRDefault="008A64DF" w:rsidP="006404F3">
      <w:pPr>
        <w:pStyle w:val="Headingb"/>
        <w:spacing w:after="120"/>
      </w:pPr>
      <w:r w:rsidRPr="003F3CBF">
        <w:t>Progresos logrados</w:t>
      </w:r>
    </w:p>
    <w:tbl>
      <w:tblPr>
        <w:tblStyle w:val="TableGrid4"/>
        <w:tblW w:w="5000"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9639"/>
      </w:tblGrid>
      <w:tr w:rsidR="006404F3" w14:paraId="6B81B9BA" w14:textId="77777777" w:rsidTr="006404F3">
        <w:trPr>
          <w:jc w:val="center"/>
        </w:trPr>
        <w:tc>
          <w:tcPr>
            <w:tcW w:w="9639" w:type="dxa"/>
          </w:tcPr>
          <w:p w14:paraId="6034FAAD" w14:textId="2969FA57" w:rsidR="006404F3" w:rsidRPr="006404F3" w:rsidRDefault="006404F3" w:rsidP="006404F3">
            <w:pPr>
              <w:pStyle w:val="Figure"/>
            </w:pPr>
            <w:r>
              <w:rPr>
                <w:noProof/>
              </w:rPr>
              <w:drawing>
                <wp:inline distT="0" distB="0" distL="0" distR="0" wp14:anchorId="4FF58B45" wp14:editId="19ECB860">
                  <wp:extent cx="3128400" cy="1814400"/>
                  <wp:effectExtent l="0" t="0" r="0" b="0"/>
                  <wp:docPr id="1257977737" name="Picture 1257977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3128400" cy="1814400"/>
                          </a:xfrm>
                          <a:prstGeom prst="rect">
                            <a:avLst/>
                          </a:prstGeom>
                          <a:noFill/>
                        </pic:spPr>
                      </pic:pic>
                    </a:graphicData>
                  </a:graphic>
                </wp:inline>
              </w:drawing>
            </w:r>
          </w:p>
        </w:tc>
      </w:tr>
      <w:tr w:rsidR="006404F3" w14:paraId="59717770" w14:textId="77777777" w:rsidTr="006404F3">
        <w:trPr>
          <w:jc w:val="center"/>
        </w:trPr>
        <w:tc>
          <w:tcPr>
            <w:tcW w:w="9639" w:type="dxa"/>
          </w:tcPr>
          <w:p w14:paraId="79F2248F" w14:textId="581F3AAD" w:rsidR="006404F3" w:rsidRPr="006404F3" w:rsidRDefault="006404F3" w:rsidP="006404F3">
            <w:pPr>
              <w:pStyle w:val="Figure"/>
            </w:pPr>
            <w:r>
              <w:rPr>
                <w:noProof/>
              </w:rPr>
              <w:lastRenderedPageBreak/>
              <w:drawing>
                <wp:inline distT="0" distB="0" distL="0" distR="0" wp14:anchorId="411AF2C3" wp14:editId="4A39ECC2">
                  <wp:extent cx="4212000" cy="2466000"/>
                  <wp:effectExtent l="0" t="0" r="0" b="0"/>
                  <wp:docPr id="1257977743" name="Picture 1257977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4212000" cy="2466000"/>
                          </a:xfrm>
                          <a:prstGeom prst="rect">
                            <a:avLst/>
                          </a:prstGeom>
                          <a:noFill/>
                        </pic:spPr>
                      </pic:pic>
                    </a:graphicData>
                  </a:graphic>
                </wp:inline>
              </w:drawing>
            </w:r>
          </w:p>
        </w:tc>
      </w:tr>
    </w:tbl>
    <w:p w14:paraId="377A6914" w14:textId="77777777" w:rsidR="008A64DF" w:rsidRDefault="008A64DF" w:rsidP="008F5584">
      <w:pPr>
        <w:pStyle w:val="Normalaftertitle"/>
      </w:pPr>
      <w:r>
        <w:rPr>
          <w:b/>
        </w:rPr>
        <w:t>Objetivos I.3</w:t>
      </w:r>
      <w:r>
        <w:t xml:space="preserve"> (accesibilidad de las telecomunicaciones/TIC): Mejorar la accesibilidad de las telecomunicaciones/TIC para las personas con discapacidad y con necesidades especiales</w:t>
      </w:r>
    </w:p>
    <w:p w14:paraId="6E1DFC01" w14:textId="77777777" w:rsidR="008A64DF" w:rsidRDefault="008A64DF" w:rsidP="008A64DF">
      <w:pPr>
        <w:pStyle w:val="Headingb"/>
        <w:spacing w:after="120"/>
      </w:pPr>
      <w:r>
        <w:t>Resultados</w:t>
      </w:r>
    </w:p>
    <w:tbl>
      <w:tblPr>
        <w:tblStyle w:val="TableGrid"/>
        <w:tblW w:w="5000" w:type="pct"/>
        <w:jc w:val="center"/>
        <w:tblLook w:val="04A0" w:firstRow="1" w:lastRow="0" w:firstColumn="1" w:lastColumn="0" w:noHBand="0" w:noVBand="1"/>
      </w:tblPr>
      <w:tblGrid>
        <w:gridCol w:w="9629"/>
      </w:tblGrid>
      <w:tr w:rsidR="008A64DF" w:rsidRPr="00575DDE" w14:paraId="13E2E558" w14:textId="77777777" w:rsidTr="008A64DF">
        <w:trPr>
          <w:jc w:val="center"/>
        </w:trPr>
        <w:tc>
          <w:tcPr>
            <w:tcW w:w="9016" w:type="dxa"/>
            <w:tcBorders>
              <w:top w:val="single" w:sz="4" w:space="0" w:color="auto"/>
              <w:left w:val="single" w:sz="4" w:space="0" w:color="auto"/>
              <w:bottom w:val="single" w:sz="4" w:space="0" w:color="auto"/>
              <w:right w:val="single" w:sz="4" w:space="0" w:color="auto"/>
            </w:tcBorders>
            <w:shd w:val="clear" w:color="auto" w:fill="DCE5F4"/>
            <w:hideMark/>
          </w:tcPr>
          <w:p w14:paraId="0F59A71B" w14:textId="77777777" w:rsidR="008A64DF" w:rsidRPr="008F5584" w:rsidRDefault="008A64DF" w:rsidP="008F5584">
            <w:pPr>
              <w:pStyle w:val="Tabletext"/>
              <w:rPr>
                <w:lang w:val="es-ES"/>
              </w:rPr>
            </w:pPr>
            <w:r w:rsidRPr="008F5584">
              <w:rPr>
                <w:lang w:val="es-ES"/>
              </w:rPr>
              <w:t>I.3-a: Aumento de la disponibilidad y conformidad de equipos, servicios y aplicaciones de telecomunicaciones/TIC con principios de diseño universales</w:t>
            </w:r>
          </w:p>
          <w:p w14:paraId="7D6C6A48" w14:textId="77777777" w:rsidR="008A64DF" w:rsidRPr="008F5584" w:rsidRDefault="008A64DF" w:rsidP="008F5584">
            <w:pPr>
              <w:pStyle w:val="Tabletext"/>
              <w:rPr>
                <w:lang w:val="es-ES"/>
              </w:rPr>
            </w:pPr>
            <w:r w:rsidRPr="008F5584">
              <w:rPr>
                <w:lang w:val="es-ES"/>
              </w:rPr>
              <w:t>I.3-b: Aumento de la participación de organizaciones de personas con discapacidad y con necesidades especiales en los trabajos de la Unión</w:t>
            </w:r>
          </w:p>
          <w:p w14:paraId="43364431" w14:textId="77777777" w:rsidR="008A64DF" w:rsidRPr="008F5584" w:rsidRDefault="008A64DF" w:rsidP="008F5584">
            <w:pPr>
              <w:pStyle w:val="Tabletext"/>
              <w:rPr>
                <w:lang w:val="es-ES"/>
              </w:rPr>
            </w:pPr>
            <w:r w:rsidRPr="008F5584">
              <w:rPr>
                <w:lang w:val="es-ES"/>
              </w:rPr>
              <w:t>I.3-c: Aumento de la sensibilización, incluido el reconocimiento multilateral e intergubernamental de la necesidad de mejorar el acceso a las telecomunicaciones/TIC para las personas con discapacidad y con necesidades especiales</w:t>
            </w:r>
          </w:p>
        </w:tc>
      </w:tr>
    </w:tbl>
    <w:p w14:paraId="028516C5" w14:textId="0260B373" w:rsidR="008A64DF" w:rsidRDefault="008A64DF" w:rsidP="008A64DF">
      <w:pPr>
        <w:pStyle w:val="Headingb"/>
        <w:spacing w:after="120"/>
      </w:pPr>
      <w:r>
        <w:t>Progresos logrados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677"/>
      </w:tblGrid>
      <w:tr w:rsidR="008A64DF" w14:paraId="72F37F1D" w14:textId="77777777" w:rsidTr="00007101">
        <w:trPr>
          <w:jc w:val="center"/>
        </w:trPr>
        <w:tc>
          <w:tcPr>
            <w:tcW w:w="4962" w:type="dxa"/>
            <w:hideMark/>
          </w:tcPr>
          <w:p w14:paraId="46C74714" w14:textId="40CB82C2" w:rsidR="00CE30BC" w:rsidRPr="00CE30BC" w:rsidRDefault="00CE30BC" w:rsidP="00CE30BC">
            <w:pPr>
              <w:pStyle w:val="Figure"/>
            </w:pPr>
            <w:r>
              <w:rPr>
                <w:noProof/>
              </w:rPr>
              <w:drawing>
                <wp:inline distT="0" distB="0" distL="0" distR="0" wp14:anchorId="43A232DE" wp14:editId="48EA9103">
                  <wp:extent cx="2520000" cy="1490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2520000" cy="1490400"/>
                          </a:xfrm>
                          <a:prstGeom prst="rect">
                            <a:avLst/>
                          </a:prstGeom>
                          <a:noFill/>
                        </pic:spPr>
                      </pic:pic>
                    </a:graphicData>
                  </a:graphic>
                </wp:inline>
              </w:drawing>
            </w:r>
          </w:p>
        </w:tc>
        <w:tc>
          <w:tcPr>
            <w:tcW w:w="4677" w:type="dxa"/>
            <w:hideMark/>
          </w:tcPr>
          <w:p w14:paraId="65FE96FE" w14:textId="4F07320D" w:rsidR="008A64DF" w:rsidRDefault="008A64DF">
            <w:pPr>
              <w:pStyle w:val="Figure"/>
            </w:pPr>
            <w:r>
              <w:rPr>
                <w:noProof/>
              </w:rPr>
              <w:drawing>
                <wp:inline distT="0" distB="0" distL="0" distR="0" wp14:anchorId="2E8AC5BE" wp14:editId="69C9FD99">
                  <wp:extent cx="2520000" cy="1490400"/>
                  <wp:effectExtent l="0" t="0" r="0" b="0"/>
                  <wp:docPr id="445" name="Picture 445"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Picture 445" descr="Chart, waterfall chart&#10;&#10;Description automatically generated"/>
                          <pic:cNvPicPr>
                            <a:picLocks noChangeAspect="1" noChangeArrowheads="1"/>
                          </pic:cNvPicPr>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2520000" cy="1490400"/>
                          </a:xfrm>
                          <a:prstGeom prst="rect">
                            <a:avLst/>
                          </a:prstGeom>
                          <a:noFill/>
                          <a:ln>
                            <a:noFill/>
                          </a:ln>
                        </pic:spPr>
                      </pic:pic>
                    </a:graphicData>
                  </a:graphic>
                </wp:inline>
              </w:drawing>
            </w:r>
          </w:p>
        </w:tc>
      </w:tr>
      <w:tr w:rsidR="008A64DF" w14:paraId="47E2B127" w14:textId="77777777" w:rsidTr="008A64DF">
        <w:trPr>
          <w:jc w:val="center"/>
        </w:trPr>
        <w:tc>
          <w:tcPr>
            <w:tcW w:w="9639" w:type="dxa"/>
            <w:gridSpan w:val="2"/>
            <w:hideMark/>
          </w:tcPr>
          <w:p w14:paraId="02606A82" w14:textId="1798FBFB" w:rsidR="003F3CBF" w:rsidRPr="003F3CBF" w:rsidRDefault="003F3CBF" w:rsidP="003F3CBF">
            <w:pPr>
              <w:pStyle w:val="Figure"/>
            </w:pPr>
            <w:r>
              <w:rPr>
                <w:noProof/>
              </w:rPr>
              <w:drawing>
                <wp:inline distT="0" distB="0" distL="0" distR="0" wp14:anchorId="63078C3F" wp14:editId="2B3C980F">
                  <wp:extent cx="5292000" cy="1843200"/>
                  <wp:effectExtent l="0" t="0" r="4445" b="5080"/>
                  <wp:docPr id="505389746" name="Picture 505389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5"/>
                          <a:stretch>
                            <a:fillRect/>
                          </a:stretch>
                        </pic:blipFill>
                        <pic:spPr>
                          <a:xfrm>
                            <a:off x="0" y="0"/>
                            <a:ext cx="5292000" cy="1843200"/>
                          </a:xfrm>
                          <a:prstGeom prst="rect">
                            <a:avLst/>
                          </a:prstGeom>
                        </pic:spPr>
                      </pic:pic>
                    </a:graphicData>
                  </a:graphic>
                </wp:inline>
              </w:drawing>
            </w:r>
          </w:p>
        </w:tc>
      </w:tr>
    </w:tbl>
    <w:p w14:paraId="033FA8A2" w14:textId="52B70116" w:rsidR="008A64DF" w:rsidRDefault="008A64DF" w:rsidP="008A64DF">
      <w:pPr>
        <w:pStyle w:val="Normalaftertitle"/>
      </w:pPr>
      <w:r>
        <w:rPr>
          <w:b/>
        </w:rPr>
        <w:lastRenderedPageBreak/>
        <w:t>Objetivos I.4</w:t>
      </w:r>
      <w:r>
        <w:t xml:space="preserve"> (igualdad de género e inclusión): Promover la utilización de las telecomunicaciones/TIC a efectos de la igualdad de género, y la inclusión y el empoderamiento de las mujeres y las niñas</w:t>
      </w:r>
    </w:p>
    <w:p w14:paraId="3C35064D" w14:textId="77777777" w:rsidR="008A64DF" w:rsidRDefault="008A64DF" w:rsidP="008A64DF">
      <w:pPr>
        <w:pStyle w:val="Headingb"/>
        <w:spacing w:after="120"/>
      </w:pPr>
      <w:r>
        <w:t>Resultados</w:t>
      </w:r>
    </w:p>
    <w:tbl>
      <w:tblPr>
        <w:tblStyle w:val="TableGrid"/>
        <w:tblW w:w="5000" w:type="pct"/>
        <w:jc w:val="center"/>
        <w:tblLook w:val="04A0" w:firstRow="1" w:lastRow="0" w:firstColumn="1" w:lastColumn="0" w:noHBand="0" w:noVBand="1"/>
      </w:tblPr>
      <w:tblGrid>
        <w:gridCol w:w="9629"/>
      </w:tblGrid>
      <w:tr w:rsidR="008A64DF" w:rsidRPr="00136EB4" w14:paraId="62ECD522" w14:textId="77777777" w:rsidTr="008A64DF">
        <w:trPr>
          <w:jc w:val="center"/>
        </w:trPr>
        <w:tc>
          <w:tcPr>
            <w:tcW w:w="9016" w:type="dxa"/>
            <w:tcBorders>
              <w:top w:val="single" w:sz="4" w:space="0" w:color="auto"/>
              <w:left w:val="single" w:sz="4" w:space="0" w:color="auto"/>
              <w:bottom w:val="single" w:sz="4" w:space="0" w:color="auto"/>
              <w:right w:val="single" w:sz="4" w:space="0" w:color="auto"/>
            </w:tcBorders>
            <w:shd w:val="clear" w:color="auto" w:fill="DCE5F4"/>
            <w:hideMark/>
          </w:tcPr>
          <w:p w14:paraId="593F7B56" w14:textId="77777777" w:rsidR="008A64DF" w:rsidRPr="008F5584" w:rsidRDefault="008A64DF" w:rsidP="008F5584">
            <w:pPr>
              <w:pStyle w:val="Tabletext"/>
              <w:rPr>
                <w:lang w:val="es-ES"/>
              </w:rPr>
            </w:pPr>
            <w:r w:rsidRPr="008F5584">
              <w:rPr>
                <w:lang w:val="es-ES"/>
              </w:rPr>
              <w:t>I.4-a: Mejor acceso a las telecomunicaciones/TIC y utilización de las mismas para promover la habilitación de la mujer</w:t>
            </w:r>
          </w:p>
          <w:p w14:paraId="736B6808" w14:textId="77777777" w:rsidR="008A64DF" w:rsidRPr="008F5584" w:rsidRDefault="008A64DF" w:rsidP="008F5584">
            <w:pPr>
              <w:pStyle w:val="Tabletext"/>
              <w:rPr>
                <w:lang w:val="es-ES"/>
              </w:rPr>
            </w:pPr>
            <w:r w:rsidRPr="008F5584">
              <w:rPr>
                <w:lang w:val="es-ES"/>
              </w:rPr>
              <w:t>I.4-b: Mayor participación de mujeres en todos los niveles de toma de decisión en las labores de la Unión y en el sector de las telecomunicaciones/TIC</w:t>
            </w:r>
          </w:p>
          <w:p w14:paraId="7A82FA48" w14:textId="77777777" w:rsidR="008A64DF" w:rsidRPr="008F5584" w:rsidRDefault="008A64DF" w:rsidP="008F5584">
            <w:pPr>
              <w:pStyle w:val="Tabletext"/>
              <w:rPr>
                <w:lang w:val="es-ES"/>
              </w:rPr>
            </w:pPr>
            <w:r w:rsidRPr="008F5584">
              <w:rPr>
                <w:lang w:val="es-ES"/>
              </w:rPr>
              <w:t>I.4-c: Mayor implicación en otras organizaciones de las Naciones Unidas y partes interesadas implicadas en la utilización de las telecomunicaciones/TIC para promover la habilitación de la mujer</w:t>
            </w:r>
          </w:p>
          <w:p w14:paraId="0DC89445" w14:textId="77777777" w:rsidR="008A64DF" w:rsidRPr="008F5584" w:rsidRDefault="008A64DF" w:rsidP="008F5584">
            <w:pPr>
              <w:pStyle w:val="Tabletext"/>
              <w:rPr>
                <w:lang w:val="es-ES"/>
              </w:rPr>
            </w:pPr>
            <w:r w:rsidRPr="008F5584">
              <w:rPr>
                <w:lang w:val="es-ES"/>
              </w:rPr>
              <w:t>I.4-d: Plena aplicación de la estrategia en todo el sistema de Naciones Unidas sobre la igualdad de género en el ámbito de competencias de la UIT</w:t>
            </w:r>
          </w:p>
        </w:tc>
      </w:tr>
    </w:tbl>
    <w:p w14:paraId="32B970CA" w14:textId="0E32A609" w:rsidR="008A64DF" w:rsidRDefault="008A64DF" w:rsidP="008A64DF">
      <w:pPr>
        <w:pStyle w:val="Headingb"/>
        <w:spacing w:after="120"/>
      </w:pPr>
      <w:r w:rsidRPr="003D6854">
        <w:t>Progresos logrados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4819"/>
        <w:gridCol w:w="4820"/>
      </w:tblGrid>
      <w:tr w:rsidR="00751C7E" w14:paraId="138B658D" w14:textId="77777777" w:rsidTr="008A64DF">
        <w:trPr>
          <w:jc w:val="center"/>
        </w:trPr>
        <w:tc>
          <w:tcPr>
            <w:tcW w:w="4819" w:type="dxa"/>
          </w:tcPr>
          <w:p w14:paraId="223F19B8" w14:textId="07ACD174" w:rsidR="00751C7E" w:rsidRDefault="00751C7E" w:rsidP="00751C7E">
            <w:pPr>
              <w:rPr>
                <w:noProof/>
              </w:rPr>
            </w:pPr>
            <w:r w:rsidRPr="003F3CBF">
              <w:t>Véase la finalidad 2.8</w:t>
            </w:r>
          </w:p>
        </w:tc>
        <w:tc>
          <w:tcPr>
            <w:tcW w:w="4820" w:type="dxa"/>
          </w:tcPr>
          <w:p w14:paraId="69CA5E2A" w14:textId="77777777" w:rsidR="00751C7E" w:rsidRDefault="00751C7E">
            <w:pPr>
              <w:pStyle w:val="Figure"/>
              <w:rPr>
                <w:b/>
                <w:noProof/>
              </w:rPr>
            </w:pPr>
          </w:p>
        </w:tc>
      </w:tr>
    </w:tbl>
    <w:p w14:paraId="7682CFEB" w14:textId="77777777" w:rsidR="008A64DF" w:rsidRDefault="008A64DF" w:rsidP="008A64DF">
      <w:pPr>
        <w:pStyle w:val="Normalaftertitle"/>
      </w:pPr>
      <w:r>
        <w:rPr>
          <w:b/>
        </w:rPr>
        <w:t>Objetivos I.5</w:t>
      </w:r>
      <w:r>
        <w:t xml:space="preserve"> (sostenibilidad ambiental): Utilizar las telecomunicaciones/TIC para reducir la huella ambiental</w:t>
      </w:r>
    </w:p>
    <w:p w14:paraId="136F6A47" w14:textId="77777777" w:rsidR="008A64DF" w:rsidRDefault="008A64DF" w:rsidP="008A64DF">
      <w:pPr>
        <w:pStyle w:val="Headingb"/>
        <w:spacing w:after="120"/>
      </w:pPr>
      <w:r>
        <w:t>Resultados</w:t>
      </w:r>
    </w:p>
    <w:tbl>
      <w:tblPr>
        <w:tblStyle w:val="TableGrid"/>
        <w:tblW w:w="5000" w:type="pct"/>
        <w:jc w:val="center"/>
        <w:tblLook w:val="04A0" w:firstRow="1" w:lastRow="0" w:firstColumn="1" w:lastColumn="0" w:noHBand="0" w:noVBand="1"/>
      </w:tblPr>
      <w:tblGrid>
        <w:gridCol w:w="9629"/>
      </w:tblGrid>
      <w:tr w:rsidR="008A64DF" w:rsidRPr="00136EB4" w14:paraId="55B75ED6" w14:textId="77777777" w:rsidTr="008A64DF">
        <w:trPr>
          <w:jc w:val="center"/>
        </w:trPr>
        <w:tc>
          <w:tcPr>
            <w:tcW w:w="9016" w:type="dxa"/>
            <w:tcBorders>
              <w:top w:val="single" w:sz="4" w:space="0" w:color="auto"/>
              <w:left w:val="single" w:sz="4" w:space="0" w:color="auto"/>
              <w:bottom w:val="single" w:sz="4" w:space="0" w:color="auto"/>
              <w:right w:val="single" w:sz="4" w:space="0" w:color="auto"/>
            </w:tcBorders>
            <w:shd w:val="clear" w:color="auto" w:fill="DCE5F4"/>
            <w:hideMark/>
          </w:tcPr>
          <w:p w14:paraId="344CDBAB" w14:textId="77777777" w:rsidR="008A64DF" w:rsidRPr="008F5584" w:rsidRDefault="008A64DF" w:rsidP="008F5584">
            <w:pPr>
              <w:pStyle w:val="Tabletext"/>
              <w:rPr>
                <w:lang w:val="es-ES"/>
              </w:rPr>
            </w:pPr>
            <w:r w:rsidRPr="008F5584">
              <w:rPr>
                <w:lang w:val="es-ES"/>
              </w:rPr>
              <w:t>I.5-a: Mejora de la eficacia de las políticas y normas ambientales</w:t>
            </w:r>
          </w:p>
          <w:p w14:paraId="0393F99B" w14:textId="77777777" w:rsidR="008A64DF" w:rsidRPr="008F5584" w:rsidRDefault="008A64DF" w:rsidP="008F5584">
            <w:pPr>
              <w:pStyle w:val="Tabletext"/>
              <w:rPr>
                <w:lang w:val="es-ES"/>
              </w:rPr>
            </w:pPr>
            <w:r w:rsidRPr="008F5584">
              <w:rPr>
                <w:lang w:val="es-ES"/>
              </w:rPr>
              <w:t>I.5-b: Reducción del consumo energético de las aplicaciones de telecomunicaciones/TIC</w:t>
            </w:r>
          </w:p>
          <w:p w14:paraId="5EDB518D" w14:textId="77777777" w:rsidR="008A64DF" w:rsidRPr="008F5584" w:rsidRDefault="008A64DF" w:rsidP="008F5584">
            <w:pPr>
              <w:pStyle w:val="Tabletext"/>
              <w:rPr>
                <w:lang w:val="es-ES"/>
              </w:rPr>
            </w:pPr>
            <w:r w:rsidRPr="008F5584">
              <w:rPr>
                <w:lang w:val="es-ES"/>
              </w:rPr>
              <w:t>I.5-c: Aumento del volumen de residuos electrónicos reciclados</w:t>
            </w:r>
          </w:p>
          <w:p w14:paraId="1ED46870" w14:textId="77777777" w:rsidR="008A64DF" w:rsidRPr="008F5584" w:rsidRDefault="008A64DF" w:rsidP="008F5584">
            <w:pPr>
              <w:pStyle w:val="Tabletext"/>
              <w:rPr>
                <w:lang w:val="es-ES"/>
              </w:rPr>
            </w:pPr>
            <w:r w:rsidRPr="008F5584">
              <w:rPr>
                <w:lang w:val="es-ES"/>
              </w:rPr>
              <w:t>I.5-d: Mejora de las soluciones para las ciudades inteligentes y sostenibles</w:t>
            </w:r>
          </w:p>
        </w:tc>
      </w:tr>
    </w:tbl>
    <w:p w14:paraId="76BE22E3" w14:textId="77777777" w:rsidR="008A64DF" w:rsidRDefault="008A64DF" w:rsidP="008A64DF">
      <w:pPr>
        <w:pStyle w:val="Headingb"/>
        <w:spacing w:after="120"/>
      </w:pPr>
      <w:r w:rsidRPr="00473E66">
        <w:t>Progresos logrados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4923"/>
      </w:tblGrid>
      <w:tr w:rsidR="008A64DF" w14:paraId="194E3A4C" w14:textId="77777777" w:rsidTr="008A64DF">
        <w:trPr>
          <w:jc w:val="center"/>
        </w:trPr>
        <w:tc>
          <w:tcPr>
            <w:tcW w:w="4508" w:type="dxa"/>
            <w:hideMark/>
          </w:tcPr>
          <w:p w14:paraId="774D54EC" w14:textId="52202B17" w:rsidR="008A64DF" w:rsidRDefault="008A64DF">
            <w:pPr>
              <w:pStyle w:val="Figure"/>
            </w:pPr>
            <w:r>
              <w:rPr>
                <w:noProof/>
              </w:rPr>
              <w:drawing>
                <wp:inline distT="0" distB="0" distL="0" distR="0" wp14:anchorId="1D24B6C9" wp14:editId="4EA23929">
                  <wp:extent cx="2520000" cy="1540800"/>
                  <wp:effectExtent l="0" t="0" r="0" b="2540"/>
                  <wp:docPr id="440" name="Picture 440"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Picture 440" descr="Chart, waterfall chart&#10;&#10;Description automatically generated"/>
                          <pic:cNvPicPr>
                            <a:picLocks noChangeAspect="1" noChangeArrowheads="1"/>
                          </pic:cNvPicPr>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2520000" cy="1540800"/>
                          </a:xfrm>
                          <a:prstGeom prst="rect">
                            <a:avLst/>
                          </a:prstGeom>
                          <a:noFill/>
                          <a:ln>
                            <a:noFill/>
                          </a:ln>
                        </pic:spPr>
                      </pic:pic>
                    </a:graphicData>
                  </a:graphic>
                </wp:inline>
              </w:drawing>
            </w:r>
          </w:p>
        </w:tc>
        <w:tc>
          <w:tcPr>
            <w:tcW w:w="4706" w:type="dxa"/>
            <w:hideMark/>
          </w:tcPr>
          <w:p w14:paraId="6CBFE8AE" w14:textId="200E7579" w:rsidR="008A64DF" w:rsidRDefault="008A64DF">
            <w:pPr>
              <w:pStyle w:val="Figure"/>
            </w:pPr>
            <w:r>
              <w:rPr>
                <w:noProof/>
              </w:rPr>
              <w:drawing>
                <wp:inline distT="0" distB="0" distL="0" distR="0" wp14:anchorId="2484EC00" wp14:editId="4CEED12E">
                  <wp:extent cx="2566800" cy="1540800"/>
                  <wp:effectExtent l="0" t="0" r="5080" b="2540"/>
                  <wp:docPr id="439" name="Picture 43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Picture 439" descr="Chart&#10;&#10;Description automatically generated"/>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2566800" cy="1540800"/>
                          </a:xfrm>
                          <a:prstGeom prst="rect">
                            <a:avLst/>
                          </a:prstGeom>
                          <a:noFill/>
                          <a:ln>
                            <a:noFill/>
                          </a:ln>
                        </pic:spPr>
                      </pic:pic>
                    </a:graphicData>
                  </a:graphic>
                </wp:inline>
              </w:drawing>
            </w:r>
          </w:p>
        </w:tc>
      </w:tr>
      <w:tr w:rsidR="008A64DF" w14:paraId="6E5DA14C" w14:textId="77777777" w:rsidTr="008A64DF">
        <w:trPr>
          <w:jc w:val="center"/>
        </w:trPr>
        <w:tc>
          <w:tcPr>
            <w:tcW w:w="9214" w:type="dxa"/>
            <w:gridSpan w:val="2"/>
            <w:hideMark/>
          </w:tcPr>
          <w:p w14:paraId="691F3C6A" w14:textId="02E9761A" w:rsidR="008A64DF" w:rsidRDefault="008A64DF">
            <w:pPr>
              <w:pStyle w:val="Figure"/>
            </w:pPr>
            <w:r>
              <w:rPr>
                <w:noProof/>
              </w:rPr>
              <w:drawing>
                <wp:inline distT="0" distB="0" distL="0" distR="0" wp14:anchorId="1A5E9192" wp14:editId="4077BF33">
                  <wp:extent cx="2520000" cy="1555200"/>
                  <wp:effectExtent l="0" t="0" r="0" b="6985"/>
                  <wp:docPr id="438" name="Picture 43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Picture 438" descr="Chart, bar chart&#10;&#10;Description automatically generated"/>
                          <pic:cNvPicPr>
                            <a:picLocks noChangeAspect="1" noChangeArrowheads="1"/>
                          </pic:cNvPicPr>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2520000" cy="1555200"/>
                          </a:xfrm>
                          <a:prstGeom prst="rect">
                            <a:avLst/>
                          </a:prstGeom>
                          <a:noFill/>
                          <a:ln>
                            <a:noFill/>
                          </a:ln>
                        </pic:spPr>
                      </pic:pic>
                    </a:graphicData>
                  </a:graphic>
                </wp:inline>
              </w:drawing>
            </w:r>
          </w:p>
        </w:tc>
      </w:tr>
    </w:tbl>
    <w:p w14:paraId="73ED0D6A" w14:textId="77777777" w:rsidR="008A64DF" w:rsidRDefault="008A64DF" w:rsidP="008A64DF">
      <w:r>
        <w:rPr>
          <w:b/>
          <w:bCs/>
        </w:rPr>
        <w:lastRenderedPageBreak/>
        <w:t>Objetivos I.6</w:t>
      </w:r>
      <w:r>
        <w:t xml:space="preserve"> (reducción de solapamientos y duplicaciones): Reducir las esferas que se solapan y duplican y fomentar una coordinación más estrecha y transparente entre la Secretaría General y los Sectores de la UIT, teniendo en cuenta los créditos presupuestarios de la Unión y los conocimientos y mandatos de cada Sector.</w:t>
      </w:r>
    </w:p>
    <w:p w14:paraId="6828A0BA" w14:textId="77777777" w:rsidR="008A64DF" w:rsidRDefault="008A64DF" w:rsidP="008A64DF">
      <w:pPr>
        <w:pStyle w:val="Headingb"/>
        <w:spacing w:after="120"/>
      </w:pPr>
      <w:r>
        <w:t>Resultados</w:t>
      </w:r>
    </w:p>
    <w:tbl>
      <w:tblPr>
        <w:tblStyle w:val="TableGrid"/>
        <w:tblW w:w="5000" w:type="pct"/>
        <w:jc w:val="center"/>
        <w:tblLook w:val="04A0" w:firstRow="1" w:lastRow="0" w:firstColumn="1" w:lastColumn="0" w:noHBand="0" w:noVBand="1"/>
      </w:tblPr>
      <w:tblGrid>
        <w:gridCol w:w="9629"/>
      </w:tblGrid>
      <w:tr w:rsidR="008A64DF" w:rsidRPr="00136EB4" w14:paraId="24986628" w14:textId="77777777" w:rsidTr="008A64DF">
        <w:trPr>
          <w:jc w:val="center"/>
        </w:trPr>
        <w:tc>
          <w:tcPr>
            <w:tcW w:w="9016" w:type="dxa"/>
            <w:tcBorders>
              <w:top w:val="single" w:sz="4" w:space="0" w:color="auto"/>
              <w:left w:val="single" w:sz="4" w:space="0" w:color="auto"/>
              <w:bottom w:val="single" w:sz="4" w:space="0" w:color="auto"/>
              <w:right w:val="single" w:sz="4" w:space="0" w:color="auto"/>
            </w:tcBorders>
            <w:shd w:val="clear" w:color="auto" w:fill="DCE5F4"/>
            <w:hideMark/>
          </w:tcPr>
          <w:p w14:paraId="79AAFE45" w14:textId="77777777" w:rsidR="008A64DF" w:rsidRPr="008F5584" w:rsidRDefault="008A64DF" w:rsidP="008F5584">
            <w:pPr>
              <w:pStyle w:val="Tabletext"/>
              <w:rPr>
                <w:lang w:val="es-ES"/>
              </w:rPr>
            </w:pPr>
            <w:r w:rsidRPr="008F5584">
              <w:rPr>
                <w:lang w:val="es-ES"/>
              </w:rPr>
              <w:t>I.6-a: Colaboración más estrecha y transparente entre los Sectores de la UIT, la Secretaría General y las tres Oficinas</w:t>
            </w:r>
          </w:p>
          <w:p w14:paraId="2FE9A330" w14:textId="77777777" w:rsidR="008A64DF" w:rsidRPr="008F5584" w:rsidRDefault="008A64DF" w:rsidP="008F5584">
            <w:pPr>
              <w:pStyle w:val="Tabletext"/>
              <w:rPr>
                <w:lang w:val="es-ES"/>
              </w:rPr>
            </w:pPr>
            <w:r w:rsidRPr="008F5584">
              <w:rPr>
                <w:lang w:val="es-ES"/>
              </w:rPr>
              <w:t>I.6-b: Reducción de las esferas que se solapan y duplican entre los Sectores de la UIT y los trabajos de la Secretaría General y las tres Oficinas</w:t>
            </w:r>
          </w:p>
          <w:p w14:paraId="312647AC" w14:textId="77777777" w:rsidR="008A64DF" w:rsidRPr="008F5584" w:rsidRDefault="008A64DF" w:rsidP="008F5584">
            <w:pPr>
              <w:pStyle w:val="Tabletext"/>
              <w:rPr>
                <w:lang w:val="es-ES"/>
              </w:rPr>
            </w:pPr>
            <w:r w:rsidRPr="008F5584">
              <w:rPr>
                <w:lang w:val="es-ES"/>
              </w:rPr>
              <w:t>I.6-c: Ahorrar mediante la evitación de esferas de solapamiento</w:t>
            </w:r>
          </w:p>
        </w:tc>
      </w:tr>
    </w:tbl>
    <w:p w14:paraId="0593C9C0" w14:textId="00DBC0C2" w:rsidR="008A64DF" w:rsidRDefault="008A64DF" w:rsidP="006404F3">
      <w:pPr>
        <w:pStyle w:val="Headingb"/>
        <w:spacing w:after="120"/>
      </w:pPr>
      <w:bookmarkStart w:id="311" w:name="lt_pId1671"/>
      <w:r>
        <w:t>Progresos logrados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6404F3" w14:paraId="518F9C99" w14:textId="77777777" w:rsidTr="00657963">
        <w:trPr>
          <w:jc w:val="center"/>
        </w:trPr>
        <w:tc>
          <w:tcPr>
            <w:tcW w:w="9214" w:type="dxa"/>
            <w:hideMark/>
          </w:tcPr>
          <w:p w14:paraId="46D41753" w14:textId="43D9129A" w:rsidR="006404F3" w:rsidRDefault="006404F3" w:rsidP="00657963">
            <w:pPr>
              <w:pStyle w:val="Figure"/>
            </w:pPr>
            <w:r>
              <w:rPr>
                <w:noProof/>
              </w:rPr>
              <w:drawing>
                <wp:inline distT="0" distB="0" distL="0" distR="0" wp14:anchorId="79AB80D9" wp14:editId="32976B8E">
                  <wp:extent cx="3056400" cy="1760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3056400" cy="1760400"/>
                          </a:xfrm>
                          <a:prstGeom prst="rect">
                            <a:avLst/>
                          </a:prstGeom>
                          <a:noFill/>
                        </pic:spPr>
                      </pic:pic>
                    </a:graphicData>
                  </a:graphic>
                </wp:inline>
              </w:drawing>
            </w:r>
          </w:p>
        </w:tc>
      </w:tr>
      <w:tr w:rsidR="006404F3" w14:paraId="1FCA73C1" w14:textId="77777777" w:rsidTr="00657963">
        <w:trPr>
          <w:jc w:val="center"/>
        </w:trPr>
        <w:tc>
          <w:tcPr>
            <w:tcW w:w="9214" w:type="dxa"/>
          </w:tcPr>
          <w:p w14:paraId="5268F6A2" w14:textId="52C664FF" w:rsidR="006404F3" w:rsidRDefault="007B5B73" w:rsidP="00657963">
            <w:pPr>
              <w:pStyle w:val="Figure"/>
            </w:pPr>
            <w:r>
              <w:rPr>
                <w:noProof/>
              </w:rPr>
              <w:drawing>
                <wp:inline distT="0" distB="0" distL="0" distR="0" wp14:anchorId="3EEB9E7B" wp14:editId="201D7F74">
                  <wp:extent cx="4140000" cy="2030400"/>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4140000" cy="2030400"/>
                          </a:xfrm>
                          <a:prstGeom prst="rect">
                            <a:avLst/>
                          </a:prstGeom>
                          <a:noFill/>
                        </pic:spPr>
                      </pic:pic>
                    </a:graphicData>
                  </a:graphic>
                </wp:inline>
              </w:drawing>
            </w:r>
          </w:p>
        </w:tc>
      </w:tr>
      <w:tr w:rsidR="006404F3" w14:paraId="742C9252" w14:textId="77777777" w:rsidTr="00657963">
        <w:trPr>
          <w:jc w:val="center"/>
        </w:trPr>
        <w:tc>
          <w:tcPr>
            <w:tcW w:w="9214" w:type="dxa"/>
          </w:tcPr>
          <w:p w14:paraId="069A9AAD" w14:textId="60C115AC" w:rsidR="006404F3" w:rsidRDefault="007B5B73" w:rsidP="00657963">
            <w:pPr>
              <w:pStyle w:val="Figure"/>
              <w:rPr>
                <w:noProof/>
              </w:rPr>
            </w:pPr>
            <w:r>
              <w:rPr>
                <w:noProof/>
              </w:rPr>
              <w:drawing>
                <wp:inline distT="0" distB="0" distL="0" distR="0" wp14:anchorId="191E4AFB" wp14:editId="6A694BE3">
                  <wp:extent cx="4140000" cy="1717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4140000" cy="1717200"/>
                          </a:xfrm>
                          <a:prstGeom prst="rect">
                            <a:avLst/>
                          </a:prstGeom>
                          <a:noFill/>
                        </pic:spPr>
                      </pic:pic>
                    </a:graphicData>
                  </a:graphic>
                </wp:inline>
              </w:drawing>
            </w:r>
          </w:p>
        </w:tc>
      </w:tr>
      <w:tr w:rsidR="006404F3" w14:paraId="2F3C5EC4" w14:textId="77777777" w:rsidTr="00657963">
        <w:trPr>
          <w:jc w:val="center"/>
        </w:trPr>
        <w:tc>
          <w:tcPr>
            <w:tcW w:w="9214" w:type="dxa"/>
          </w:tcPr>
          <w:p w14:paraId="5B358501" w14:textId="70611247" w:rsidR="006404F3" w:rsidRDefault="006404F3" w:rsidP="00657963">
            <w:pPr>
              <w:pStyle w:val="Figure"/>
              <w:rPr>
                <w:noProof/>
              </w:rPr>
            </w:pPr>
            <w:r>
              <w:rPr>
                <w:noProof/>
              </w:rPr>
              <w:lastRenderedPageBreak/>
              <w:drawing>
                <wp:inline distT="0" distB="0" distL="0" distR="0" wp14:anchorId="570725E7" wp14:editId="6F83E93B">
                  <wp:extent cx="4140000" cy="1731600"/>
                  <wp:effectExtent l="0" t="0" r="0" b="2540"/>
                  <wp:docPr id="1257977735" name="Picture 1257977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4140000" cy="1731600"/>
                          </a:xfrm>
                          <a:prstGeom prst="rect">
                            <a:avLst/>
                          </a:prstGeom>
                          <a:noFill/>
                        </pic:spPr>
                      </pic:pic>
                    </a:graphicData>
                  </a:graphic>
                </wp:inline>
              </w:drawing>
            </w:r>
          </w:p>
        </w:tc>
      </w:tr>
      <w:bookmarkEnd w:id="311"/>
    </w:tbl>
    <w:p w14:paraId="7FAB2BF1" w14:textId="523BBF12" w:rsidR="008A64DF" w:rsidRDefault="008A64DF" w:rsidP="00510E14">
      <w:r>
        <w:br w:type="page"/>
      </w:r>
    </w:p>
    <w:p w14:paraId="64C1B974" w14:textId="77777777" w:rsidR="008A64DF" w:rsidRDefault="008A64DF" w:rsidP="008A64DF">
      <w:pPr>
        <w:pStyle w:val="Heading2"/>
      </w:pPr>
      <w:bookmarkStart w:id="312" w:name="_Toc39832848"/>
      <w:bookmarkStart w:id="313" w:name="_Toc41289304"/>
      <w:bookmarkStart w:id="314" w:name="_Toc41289447"/>
      <w:bookmarkStart w:id="315" w:name="_Toc97821290"/>
      <w:r>
        <w:lastRenderedPageBreak/>
        <w:t>Facilitadores</w:t>
      </w:r>
      <w:bookmarkEnd w:id="312"/>
      <w:bookmarkEnd w:id="313"/>
      <w:bookmarkEnd w:id="314"/>
      <w:bookmarkEnd w:id="315"/>
    </w:p>
    <w:p w14:paraId="76F48F8C" w14:textId="77777777" w:rsidR="008A64DF" w:rsidRDefault="008A64DF" w:rsidP="006777D2">
      <w:pPr>
        <w:pStyle w:val="Headingb"/>
        <w:spacing w:after="120"/>
        <w:ind w:left="567" w:hanging="567"/>
      </w:pPr>
      <w:r>
        <w:t>E.1</w:t>
      </w:r>
      <w:r>
        <w:tab/>
        <w:t>Garantizar una utilización eficiente y efectiva de recursos humanos, financieros y de capital; entorno laboral propicio al trabajo, seguro y protegido</w:t>
      </w:r>
    </w:p>
    <w:tbl>
      <w:tblPr>
        <w:tblStyle w:val="TableGrid"/>
        <w:tblW w:w="5000" w:type="pct"/>
        <w:jc w:val="center"/>
        <w:tblBorders>
          <w:insideH w:val="none" w:sz="0" w:space="0" w:color="auto"/>
          <w:insideV w:val="none" w:sz="0" w:space="0" w:color="auto"/>
        </w:tblBorders>
        <w:tblLook w:val="04A0" w:firstRow="1" w:lastRow="0" w:firstColumn="1" w:lastColumn="0" w:noHBand="0" w:noVBand="1"/>
      </w:tblPr>
      <w:tblGrid>
        <w:gridCol w:w="4932"/>
        <w:gridCol w:w="666"/>
        <w:gridCol w:w="665"/>
        <w:gridCol w:w="665"/>
        <w:gridCol w:w="665"/>
        <w:gridCol w:w="665"/>
        <w:gridCol w:w="665"/>
        <w:gridCol w:w="706"/>
      </w:tblGrid>
      <w:tr w:rsidR="008A64DF" w14:paraId="0B4B2D18" w14:textId="77777777" w:rsidTr="008A64DF">
        <w:trPr>
          <w:jc w:val="center"/>
        </w:trPr>
        <w:tc>
          <w:tcPr>
            <w:tcW w:w="4913" w:type="dxa"/>
            <w:tcBorders>
              <w:top w:val="single" w:sz="4" w:space="0" w:color="auto"/>
              <w:left w:val="single" w:sz="4" w:space="0" w:color="auto"/>
              <w:bottom w:val="nil"/>
              <w:right w:val="nil"/>
            </w:tcBorders>
            <w:shd w:val="clear" w:color="auto" w:fill="4472C4"/>
          </w:tcPr>
          <w:p w14:paraId="1F33EA18" w14:textId="77777777" w:rsidR="008A64DF" w:rsidRDefault="008A64DF">
            <w:pPr>
              <w:pStyle w:val="Tablehead"/>
              <w:rPr>
                <w:color w:val="FFFFFF" w:themeColor="background1"/>
              </w:rPr>
            </w:pPr>
          </w:p>
        </w:tc>
        <w:tc>
          <w:tcPr>
            <w:tcW w:w="663" w:type="dxa"/>
            <w:tcBorders>
              <w:top w:val="single" w:sz="4" w:space="0" w:color="auto"/>
              <w:left w:val="nil"/>
              <w:bottom w:val="nil"/>
              <w:right w:val="nil"/>
            </w:tcBorders>
            <w:shd w:val="clear" w:color="auto" w:fill="4472C4"/>
            <w:hideMark/>
          </w:tcPr>
          <w:p w14:paraId="25A8547E" w14:textId="77777777" w:rsidR="008A64DF" w:rsidRDefault="008A64DF">
            <w:pPr>
              <w:pStyle w:val="Tablehead"/>
              <w:rPr>
                <w:color w:val="FFFFFF" w:themeColor="background1"/>
              </w:rPr>
            </w:pPr>
            <w:r>
              <w:rPr>
                <w:color w:val="FFFFFF" w:themeColor="background1"/>
              </w:rPr>
              <w:t>2014</w:t>
            </w:r>
          </w:p>
        </w:tc>
        <w:tc>
          <w:tcPr>
            <w:tcW w:w="663" w:type="dxa"/>
            <w:tcBorders>
              <w:top w:val="single" w:sz="4" w:space="0" w:color="auto"/>
              <w:left w:val="nil"/>
              <w:bottom w:val="nil"/>
              <w:right w:val="nil"/>
            </w:tcBorders>
            <w:shd w:val="clear" w:color="auto" w:fill="4472C4"/>
            <w:hideMark/>
          </w:tcPr>
          <w:p w14:paraId="45BE1AF9" w14:textId="77777777" w:rsidR="008A64DF" w:rsidRDefault="008A64DF">
            <w:pPr>
              <w:pStyle w:val="Tablehead"/>
              <w:rPr>
                <w:color w:val="FFFFFF" w:themeColor="background1"/>
              </w:rPr>
            </w:pPr>
            <w:r>
              <w:rPr>
                <w:color w:val="FFFFFF" w:themeColor="background1"/>
              </w:rPr>
              <w:t>2015</w:t>
            </w:r>
          </w:p>
        </w:tc>
        <w:tc>
          <w:tcPr>
            <w:tcW w:w="663" w:type="dxa"/>
            <w:tcBorders>
              <w:top w:val="single" w:sz="4" w:space="0" w:color="auto"/>
              <w:left w:val="nil"/>
              <w:bottom w:val="nil"/>
              <w:right w:val="nil"/>
            </w:tcBorders>
            <w:shd w:val="clear" w:color="auto" w:fill="4472C4"/>
            <w:hideMark/>
          </w:tcPr>
          <w:p w14:paraId="291D9AF3" w14:textId="77777777" w:rsidR="008A64DF" w:rsidRDefault="008A64DF">
            <w:pPr>
              <w:pStyle w:val="Tablehead"/>
              <w:rPr>
                <w:color w:val="FFFFFF" w:themeColor="background1"/>
              </w:rPr>
            </w:pPr>
            <w:r>
              <w:rPr>
                <w:color w:val="FFFFFF" w:themeColor="background1"/>
              </w:rPr>
              <w:t>2016</w:t>
            </w:r>
          </w:p>
        </w:tc>
        <w:tc>
          <w:tcPr>
            <w:tcW w:w="663" w:type="dxa"/>
            <w:tcBorders>
              <w:top w:val="single" w:sz="4" w:space="0" w:color="auto"/>
              <w:left w:val="nil"/>
              <w:bottom w:val="nil"/>
              <w:right w:val="nil"/>
            </w:tcBorders>
            <w:shd w:val="clear" w:color="auto" w:fill="4472C4"/>
            <w:hideMark/>
          </w:tcPr>
          <w:p w14:paraId="6FCE239B" w14:textId="77777777" w:rsidR="008A64DF" w:rsidRDefault="008A64DF">
            <w:pPr>
              <w:pStyle w:val="Tablehead"/>
              <w:rPr>
                <w:color w:val="FFFFFF" w:themeColor="background1"/>
              </w:rPr>
            </w:pPr>
            <w:r>
              <w:rPr>
                <w:color w:val="FFFFFF" w:themeColor="background1"/>
              </w:rPr>
              <w:t>2017</w:t>
            </w:r>
          </w:p>
        </w:tc>
        <w:tc>
          <w:tcPr>
            <w:tcW w:w="663" w:type="dxa"/>
            <w:tcBorders>
              <w:top w:val="single" w:sz="4" w:space="0" w:color="auto"/>
              <w:left w:val="nil"/>
              <w:bottom w:val="nil"/>
              <w:right w:val="nil"/>
            </w:tcBorders>
            <w:shd w:val="clear" w:color="auto" w:fill="4472C4"/>
            <w:hideMark/>
          </w:tcPr>
          <w:p w14:paraId="5238EE83" w14:textId="77777777" w:rsidR="008A64DF" w:rsidRDefault="008A64DF">
            <w:pPr>
              <w:pStyle w:val="Tablehead"/>
              <w:rPr>
                <w:color w:val="FFFFFF" w:themeColor="background1"/>
              </w:rPr>
            </w:pPr>
            <w:r>
              <w:rPr>
                <w:color w:val="FFFFFF" w:themeColor="background1"/>
              </w:rPr>
              <w:t>2018</w:t>
            </w:r>
          </w:p>
        </w:tc>
        <w:tc>
          <w:tcPr>
            <w:tcW w:w="663" w:type="dxa"/>
            <w:tcBorders>
              <w:top w:val="single" w:sz="4" w:space="0" w:color="auto"/>
              <w:left w:val="nil"/>
              <w:bottom w:val="nil"/>
              <w:right w:val="nil"/>
            </w:tcBorders>
            <w:shd w:val="clear" w:color="auto" w:fill="4472C4"/>
            <w:hideMark/>
          </w:tcPr>
          <w:p w14:paraId="6D230582" w14:textId="77777777" w:rsidR="008A64DF" w:rsidRDefault="008A64DF">
            <w:pPr>
              <w:pStyle w:val="Tablehead"/>
              <w:rPr>
                <w:color w:val="FFFFFF" w:themeColor="background1"/>
              </w:rPr>
            </w:pPr>
            <w:r>
              <w:rPr>
                <w:color w:val="FFFFFF" w:themeColor="background1"/>
              </w:rPr>
              <w:t>2019</w:t>
            </w:r>
          </w:p>
        </w:tc>
        <w:tc>
          <w:tcPr>
            <w:tcW w:w="703" w:type="dxa"/>
            <w:tcBorders>
              <w:top w:val="single" w:sz="4" w:space="0" w:color="auto"/>
              <w:left w:val="nil"/>
              <w:bottom w:val="nil"/>
              <w:right w:val="single" w:sz="4" w:space="0" w:color="auto"/>
            </w:tcBorders>
            <w:shd w:val="clear" w:color="auto" w:fill="4472C4"/>
            <w:hideMark/>
          </w:tcPr>
          <w:p w14:paraId="739737F8" w14:textId="77777777" w:rsidR="008A64DF" w:rsidRDefault="008A64DF">
            <w:pPr>
              <w:pStyle w:val="Tablehead"/>
              <w:rPr>
                <w:color w:val="FFFFFF" w:themeColor="background1"/>
              </w:rPr>
            </w:pPr>
            <w:r>
              <w:rPr>
                <w:color w:val="FFFFFF" w:themeColor="background1"/>
              </w:rPr>
              <w:t>2020</w:t>
            </w:r>
          </w:p>
        </w:tc>
      </w:tr>
      <w:tr w:rsidR="008A64DF" w14:paraId="78E0A206" w14:textId="77777777" w:rsidTr="008A64DF">
        <w:trPr>
          <w:jc w:val="center"/>
        </w:trPr>
        <w:tc>
          <w:tcPr>
            <w:tcW w:w="4913" w:type="dxa"/>
            <w:tcBorders>
              <w:top w:val="nil"/>
              <w:left w:val="single" w:sz="4" w:space="0" w:color="auto"/>
              <w:bottom w:val="nil"/>
              <w:right w:val="nil"/>
            </w:tcBorders>
            <w:shd w:val="clear" w:color="auto" w:fill="DCE5F4"/>
            <w:hideMark/>
          </w:tcPr>
          <w:p w14:paraId="5E0D98E8" w14:textId="77777777" w:rsidR="008A64DF" w:rsidRDefault="008A64DF">
            <w:pPr>
              <w:pStyle w:val="Tabletext"/>
              <w:rPr>
                <w:b/>
                <w:bCs/>
              </w:rPr>
            </w:pPr>
            <w:r>
              <w:rPr>
                <w:b/>
                <w:bCs/>
              </w:rPr>
              <w:t>Cumplimiento de las NICSP (o auditoría anual de las cuentas no reúne las condiciones)</w:t>
            </w:r>
          </w:p>
        </w:tc>
        <w:tc>
          <w:tcPr>
            <w:tcW w:w="663" w:type="dxa"/>
            <w:tcBorders>
              <w:top w:val="nil"/>
              <w:left w:val="nil"/>
              <w:bottom w:val="nil"/>
              <w:right w:val="nil"/>
            </w:tcBorders>
            <w:shd w:val="clear" w:color="auto" w:fill="DCE5F4"/>
            <w:vAlign w:val="center"/>
            <w:hideMark/>
          </w:tcPr>
          <w:p w14:paraId="4AAFD60C" w14:textId="77777777" w:rsidR="008A64DF" w:rsidRDefault="008A64DF">
            <w:pPr>
              <w:pStyle w:val="Tabletext"/>
              <w:jc w:val="center"/>
              <w:rPr>
                <w:b/>
                <w:bCs/>
                <w:color w:val="538135"/>
              </w:rPr>
            </w:pPr>
            <w:r>
              <w:rPr>
                <w:b/>
                <w:bCs/>
                <w:color w:val="538135"/>
              </w:rPr>
              <w:sym w:font="Wingdings" w:char="F0FC"/>
            </w:r>
          </w:p>
        </w:tc>
        <w:tc>
          <w:tcPr>
            <w:tcW w:w="663" w:type="dxa"/>
            <w:tcBorders>
              <w:top w:val="nil"/>
              <w:left w:val="nil"/>
              <w:bottom w:val="nil"/>
              <w:right w:val="nil"/>
            </w:tcBorders>
            <w:shd w:val="clear" w:color="auto" w:fill="DCE5F4"/>
            <w:vAlign w:val="center"/>
            <w:hideMark/>
          </w:tcPr>
          <w:p w14:paraId="56B35510" w14:textId="77777777" w:rsidR="008A64DF" w:rsidRDefault="008A64DF">
            <w:pPr>
              <w:pStyle w:val="Tabletext"/>
              <w:jc w:val="center"/>
              <w:rPr>
                <w:b/>
                <w:bCs/>
                <w:color w:val="538135"/>
              </w:rPr>
            </w:pPr>
            <w:r>
              <w:rPr>
                <w:b/>
                <w:bCs/>
                <w:color w:val="538135"/>
              </w:rPr>
              <w:sym w:font="Wingdings" w:char="F0FC"/>
            </w:r>
          </w:p>
        </w:tc>
        <w:tc>
          <w:tcPr>
            <w:tcW w:w="663" w:type="dxa"/>
            <w:tcBorders>
              <w:top w:val="nil"/>
              <w:left w:val="nil"/>
              <w:bottom w:val="nil"/>
              <w:right w:val="nil"/>
            </w:tcBorders>
            <w:shd w:val="clear" w:color="auto" w:fill="DCE5F4"/>
            <w:vAlign w:val="center"/>
            <w:hideMark/>
          </w:tcPr>
          <w:p w14:paraId="38D32453" w14:textId="77777777" w:rsidR="008A64DF" w:rsidRDefault="008A64DF">
            <w:pPr>
              <w:pStyle w:val="Tabletext"/>
              <w:jc w:val="center"/>
              <w:rPr>
                <w:b/>
                <w:bCs/>
                <w:color w:val="538135"/>
              </w:rPr>
            </w:pPr>
            <w:r>
              <w:rPr>
                <w:b/>
                <w:bCs/>
                <w:color w:val="538135"/>
              </w:rPr>
              <w:sym w:font="Wingdings" w:char="F0FC"/>
            </w:r>
          </w:p>
        </w:tc>
        <w:tc>
          <w:tcPr>
            <w:tcW w:w="663" w:type="dxa"/>
            <w:tcBorders>
              <w:top w:val="nil"/>
              <w:left w:val="nil"/>
              <w:bottom w:val="nil"/>
              <w:right w:val="nil"/>
            </w:tcBorders>
            <w:shd w:val="clear" w:color="auto" w:fill="DCE5F4"/>
            <w:vAlign w:val="center"/>
            <w:hideMark/>
          </w:tcPr>
          <w:p w14:paraId="17255201" w14:textId="77777777" w:rsidR="008A64DF" w:rsidRDefault="008A64DF">
            <w:pPr>
              <w:pStyle w:val="Tabletext"/>
              <w:jc w:val="center"/>
              <w:rPr>
                <w:b/>
                <w:bCs/>
                <w:color w:val="538135"/>
              </w:rPr>
            </w:pPr>
            <w:r>
              <w:rPr>
                <w:b/>
                <w:bCs/>
                <w:color w:val="538135"/>
              </w:rPr>
              <w:sym w:font="Wingdings" w:char="F0FC"/>
            </w:r>
          </w:p>
        </w:tc>
        <w:tc>
          <w:tcPr>
            <w:tcW w:w="663" w:type="dxa"/>
            <w:tcBorders>
              <w:top w:val="nil"/>
              <w:left w:val="nil"/>
              <w:bottom w:val="nil"/>
              <w:right w:val="nil"/>
            </w:tcBorders>
            <w:shd w:val="clear" w:color="auto" w:fill="DCE5F4"/>
            <w:vAlign w:val="center"/>
            <w:hideMark/>
          </w:tcPr>
          <w:p w14:paraId="0DC7BFA4" w14:textId="3D5F09E9" w:rsidR="008A64DF" w:rsidRDefault="005349A0">
            <w:pPr>
              <w:pStyle w:val="Tabletext"/>
              <w:jc w:val="center"/>
              <w:rPr>
                <w:b/>
                <w:bCs/>
                <w:color w:val="538135"/>
              </w:rPr>
            </w:pPr>
            <w:r>
              <w:rPr>
                <w:b/>
                <w:bCs/>
                <w:color w:val="FF0000"/>
              </w:rPr>
              <w:sym w:font="Wingdings" w:char="F0FB"/>
            </w:r>
          </w:p>
        </w:tc>
        <w:tc>
          <w:tcPr>
            <w:tcW w:w="663" w:type="dxa"/>
            <w:tcBorders>
              <w:top w:val="nil"/>
              <w:left w:val="nil"/>
              <w:bottom w:val="nil"/>
              <w:right w:val="nil"/>
            </w:tcBorders>
            <w:shd w:val="clear" w:color="auto" w:fill="DCE5F4"/>
            <w:vAlign w:val="center"/>
            <w:hideMark/>
          </w:tcPr>
          <w:p w14:paraId="430FB0CC" w14:textId="77777777" w:rsidR="008A64DF" w:rsidRDefault="008A64DF">
            <w:pPr>
              <w:pStyle w:val="Tabletext"/>
              <w:jc w:val="center"/>
              <w:rPr>
                <w:b/>
                <w:bCs/>
              </w:rPr>
            </w:pPr>
            <w:r>
              <w:rPr>
                <w:b/>
                <w:bCs/>
                <w:color w:val="FF0000"/>
              </w:rPr>
              <w:sym w:font="Wingdings" w:char="F0FB"/>
            </w:r>
          </w:p>
        </w:tc>
        <w:tc>
          <w:tcPr>
            <w:tcW w:w="703" w:type="dxa"/>
            <w:tcBorders>
              <w:top w:val="nil"/>
              <w:left w:val="nil"/>
              <w:bottom w:val="nil"/>
              <w:right w:val="single" w:sz="4" w:space="0" w:color="auto"/>
            </w:tcBorders>
            <w:shd w:val="clear" w:color="auto" w:fill="DCE5F4"/>
            <w:vAlign w:val="center"/>
            <w:hideMark/>
          </w:tcPr>
          <w:p w14:paraId="4BFE611E" w14:textId="77777777" w:rsidR="008A64DF" w:rsidRDefault="008A64DF">
            <w:pPr>
              <w:pStyle w:val="Tabletext"/>
              <w:jc w:val="center"/>
              <w:rPr>
                <w:b/>
                <w:bCs/>
              </w:rPr>
            </w:pPr>
            <w:r>
              <w:rPr>
                <w:b/>
                <w:bCs/>
                <w:color w:val="FF0000"/>
              </w:rPr>
              <w:sym w:font="Wingdings" w:char="F0FB"/>
            </w:r>
          </w:p>
        </w:tc>
      </w:tr>
      <w:tr w:rsidR="008A64DF" w14:paraId="6D7D01C6" w14:textId="77777777" w:rsidTr="008A64DF">
        <w:trPr>
          <w:jc w:val="center"/>
        </w:trPr>
        <w:tc>
          <w:tcPr>
            <w:tcW w:w="4913" w:type="dxa"/>
            <w:tcBorders>
              <w:top w:val="nil"/>
              <w:left w:val="single" w:sz="4" w:space="0" w:color="auto"/>
              <w:bottom w:val="nil"/>
              <w:right w:val="nil"/>
            </w:tcBorders>
            <w:shd w:val="clear" w:color="auto" w:fill="FFFFFF" w:themeFill="background1"/>
            <w:hideMark/>
          </w:tcPr>
          <w:p w14:paraId="5CB4B01F" w14:textId="77777777" w:rsidR="008A64DF" w:rsidRDefault="008A64DF">
            <w:pPr>
              <w:pStyle w:val="Tabletext"/>
              <w:rPr>
                <w:b/>
                <w:bCs/>
              </w:rPr>
            </w:pPr>
            <w:r>
              <w:rPr>
                <w:b/>
                <w:bCs/>
              </w:rPr>
              <w:t>Contratación y Servicios de viajes (directrices de la UIT y buenas prácticas de Naciones Unidas adoptadas)</w:t>
            </w:r>
          </w:p>
        </w:tc>
        <w:tc>
          <w:tcPr>
            <w:tcW w:w="663" w:type="dxa"/>
            <w:tcBorders>
              <w:top w:val="nil"/>
              <w:left w:val="nil"/>
              <w:bottom w:val="nil"/>
              <w:right w:val="nil"/>
            </w:tcBorders>
            <w:shd w:val="clear" w:color="auto" w:fill="FFFFFF" w:themeFill="background1"/>
            <w:vAlign w:val="center"/>
            <w:hideMark/>
          </w:tcPr>
          <w:p w14:paraId="1AD57D7D" w14:textId="77777777" w:rsidR="008A64DF" w:rsidRDefault="008A64DF">
            <w:pPr>
              <w:pStyle w:val="Tabletext"/>
              <w:jc w:val="center"/>
              <w:rPr>
                <w:b/>
                <w:bCs/>
                <w:color w:val="538135"/>
              </w:rPr>
            </w:pPr>
            <w:r>
              <w:rPr>
                <w:b/>
                <w:bCs/>
                <w:color w:val="538135"/>
              </w:rPr>
              <w:sym w:font="Wingdings" w:char="F0FC"/>
            </w:r>
          </w:p>
        </w:tc>
        <w:tc>
          <w:tcPr>
            <w:tcW w:w="663" w:type="dxa"/>
            <w:tcBorders>
              <w:top w:val="nil"/>
              <w:left w:val="nil"/>
              <w:bottom w:val="nil"/>
              <w:right w:val="nil"/>
            </w:tcBorders>
            <w:shd w:val="clear" w:color="auto" w:fill="FFFFFF" w:themeFill="background1"/>
            <w:vAlign w:val="center"/>
            <w:hideMark/>
          </w:tcPr>
          <w:p w14:paraId="0B3BF14A" w14:textId="77777777" w:rsidR="008A64DF" w:rsidRDefault="008A64DF">
            <w:pPr>
              <w:pStyle w:val="Tabletext"/>
              <w:jc w:val="center"/>
              <w:rPr>
                <w:b/>
                <w:bCs/>
                <w:color w:val="538135"/>
              </w:rPr>
            </w:pPr>
            <w:r>
              <w:rPr>
                <w:b/>
                <w:bCs/>
                <w:color w:val="538135"/>
              </w:rPr>
              <w:sym w:font="Wingdings" w:char="F0FC"/>
            </w:r>
          </w:p>
        </w:tc>
        <w:tc>
          <w:tcPr>
            <w:tcW w:w="663" w:type="dxa"/>
            <w:tcBorders>
              <w:top w:val="nil"/>
              <w:left w:val="nil"/>
              <w:bottom w:val="nil"/>
              <w:right w:val="nil"/>
            </w:tcBorders>
            <w:shd w:val="clear" w:color="auto" w:fill="FFFFFF" w:themeFill="background1"/>
            <w:vAlign w:val="center"/>
            <w:hideMark/>
          </w:tcPr>
          <w:p w14:paraId="15A4654C" w14:textId="77777777" w:rsidR="008A64DF" w:rsidRDefault="008A64DF">
            <w:pPr>
              <w:pStyle w:val="Tabletext"/>
              <w:jc w:val="center"/>
              <w:rPr>
                <w:b/>
                <w:bCs/>
                <w:color w:val="538135"/>
              </w:rPr>
            </w:pPr>
            <w:r>
              <w:rPr>
                <w:b/>
                <w:bCs/>
                <w:color w:val="538135"/>
              </w:rPr>
              <w:sym w:font="Wingdings" w:char="F0FC"/>
            </w:r>
          </w:p>
        </w:tc>
        <w:tc>
          <w:tcPr>
            <w:tcW w:w="663" w:type="dxa"/>
            <w:tcBorders>
              <w:top w:val="nil"/>
              <w:left w:val="nil"/>
              <w:bottom w:val="nil"/>
              <w:right w:val="nil"/>
            </w:tcBorders>
            <w:shd w:val="clear" w:color="auto" w:fill="FFFFFF" w:themeFill="background1"/>
            <w:vAlign w:val="center"/>
            <w:hideMark/>
          </w:tcPr>
          <w:p w14:paraId="5ECEDE0A" w14:textId="77777777" w:rsidR="008A64DF" w:rsidRDefault="008A64DF">
            <w:pPr>
              <w:pStyle w:val="Tabletext"/>
              <w:jc w:val="center"/>
              <w:rPr>
                <w:b/>
                <w:bCs/>
                <w:color w:val="538135"/>
              </w:rPr>
            </w:pPr>
            <w:r>
              <w:rPr>
                <w:b/>
                <w:bCs/>
                <w:color w:val="538135"/>
              </w:rPr>
              <w:sym w:font="Wingdings" w:char="F0FC"/>
            </w:r>
          </w:p>
        </w:tc>
        <w:tc>
          <w:tcPr>
            <w:tcW w:w="663" w:type="dxa"/>
            <w:tcBorders>
              <w:top w:val="nil"/>
              <w:left w:val="nil"/>
              <w:bottom w:val="nil"/>
              <w:right w:val="nil"/>
            </w:tcBorders>
            <w:shd w:val="clear" w:color="auto" w:fill="FFFFFF" w:themeFill="background1"/>
            <w:vAlign w:val="center"/>
            <w:hideMark/>
          </w:tcPr>
          <w:p w14:paraId="4128FFC6" w14:textId="77777777" w:rsidR="008A64DF" w:rsidRDefault="008A64DF">
            <w:pPr>
              <w:pStyle w:val="Tabletext"/>
              <w:jc w:val="center"/>
              <w:rPr>
                <w:b/>
                <w:bCs/>
                <w:color w:val="538135"/>
              </w:rPr>
            </w:pPr>
            <w:r>
              <w:rPr>
                <w:b/>
                <w:bCs/>
                <w:color w:val="538135"/>
              </w:rPr>
              <w:sym w:font="Wingdings" w:char="F0FC"/>
            </w:r>
          </w:p>
        </w:tc>
        <w:tc>
          <w:tcPr>
            <w:tcW w:w="663" w:type="dxa"/>
            <w:tcBorders>
              <w:top w:val="nil"/>
              <w:left w:val="nil"/>
              <w:bottom w:val="nil"/>
              <w:right w:val="nil"/>
            </w:tcBorders>
            <w:shd w:val="clear" w:color="auto" w:fill="FFFFFF" w:themeFill="background1"/>
            <w:vAlign w:val="center"/>
            <w:hideMark/>
          </w:tcPr>
          <w:p w14:paraId="5CE9161C" w14:textId="77777777" w:rsidR="008A64DF" w:rsidRDefault="008A64DF">
            <w:pPr>
              <w:pStyle w:val="Tabletext"/>
              <w:jc w:val="center"/>
              <w:rPr>
                <w:b/>
                <w:bCs/>
                <w:color w:val="538135"/>
              </w:rPr>
            </w:pPr>
            <w:r>
              <w:rPr>
                <w:b/>
                <w:bCs/>
                <w:color w:val="538135"/>
              </w:rPr>
              <w:sym w:font="Wingdings" w:char="F0FC"/>
            </w:r>
          </w:p>
        </w:tc>
        <w:tc>
          <w:tcPr>
            <w:tcW w:w="703" w:type="dxa"/>
            <w:tcBorders>
              <w:top w:val="nil"/>
              <w:left w:val="nil"/>
              <w:bottom w:val="nil"/>
              <w:right w:val="single" w:sz="4" w:space="0" w:color="auto"/>
            </w:tcBorders>
            <w:shd w:val="clear" w:color="auto" w:fill="FFFFFF" w:themeFill="background1"/>
            <w:vAlign w:val="center"/>
            <w:hideMark/>
          </w:tcPr>
          <w:p w14:paraId="75021F70" w14:textId="77777777" w:rsidR="008A64DF" w:rsidRDefault="008A64DF">
            <w:pPr>
              <w:pStyle w:val="Tabletext"/>
              <w:jc w:val="center"/>
              <w:rPr>
                <w:b/>
                <w:bCs/>
                <w:color w:val="538135"/>
              </w:rPr>
            </w:pPr>
            <w:r>
              <w:rPr>
                <w:b/>
                <w:bCs/>
                <w:color w:val="538135"/>
              </w:rPr>
              <w:sym w:font="Wingdings" w:char="F0FC"/>
            </w:r>
          </w:p>
        </w:tc>
      </w:tr>
      <w:tr w:rsidR="008A64DF" w14:paraId="7246FBC5" w14:textId="77777777" w:rsidTr="008A64DF">
        <w:trPr>
          <w:jc w:val="center"/>
        </w:trPr>
        <w:tc>
          <w:tcPr>
            <w:tcW w:w="4913" w:type="dxa"/>
            <w:tcBorders>
              <w:top w:val="nil"/>
              <w:left w:val="single" w:sz="4" w:space="0" w:color="auto"/>
              <w:bottom w:val="nil"/>
              <w:right w:val="nil"/>
            </w:tcBorders>
            <w:shd w:val="clear" w:color="auto" w:fill="DCE5F4"/>
            <w:hideMark/>
          </w:tcPr>
          <w:p w14:paraId="6FB9ECF5" w14:textId="77777777" w:rsidR="008A64DF" w:rsidRDefault="008A64DF">
            <w:pPr>
              <w:pStyle w:val="Tabletext"/>
              <w:rPr>
                <w:b/>
                <w:bCs/>
              </w:rPr>
            </w:pPr>
            <w:r>
              <w:rPr>
                <w:b/>
                <w:bCs/>
              </w:rPr>
              <w:t>Ejecución del presupuesto (sin rebasarlo)</w:t>
            </w:r>
          </w:p>
        </w:tc>
        <w:tc>
          <w:tcPr>
            <w:tcW w:w="663" w:type="dxa"/>
            <w:tcBorders>
              <w:top w:val="nil"/>
              <w:left w:val="nil"/>
              <w:bottom w:val="nil"/>
              <w:right w:val="nil"/>
            </w:tcBorders>
            <w:shd w:val="clear" w:color="auto" w:fill="DCE5F4"/>
            <w:vAlign w:val="center"/>
            <w:hideMark/>
          </w:tcPr>
          <w:p w14:paraId="4AC45FB9" w14:textId="77777777" w:rsidR="008A64DF" w:rsidRDefault="008A64DF">
            <w:pPr>
              <w:pStyle w:val="Tabletext"/>
              <w:jc w:val="center"/>
              <w:rPr>
                <w:b/>
                <w:bCs/>
                <w:color w:val="538135"/>
              </w:rPr>
            </w:pPr>
            <w:r>
              <w:rPr>
                <w:b/>
                <w:bCs/>
                <w:color w:val="538135"/>
              </w:rPr>
              <w:sym w:font="Wingdings" w:char="F0FC"/>
            </w:r>
          </w:p>
        </w:tc>
        <w:tc>
          <w:tcPr>
            <w:tcW w:w="663" w:type="dxa"/>
            <w:tcBorders>
              <w:top w:val="nil"/>
              <w:left w:val="nil"/>
              <w:bottom w:val="nil"/>
              <w:right w:val="nil"/>
            </w:tcBorders>
            <w:shd w:val="clear" w:color="auto" w:fill="DCE5F4"/>
            <w:vAlign w:val="center"/>
            <w:hideMark/>
          </w:tcPr>
          <w:p w14:paraId="6A992BA0" w14:textId="77777777" w:rsidR="008A64DF" w:rsidRDefault="008A64DF">
            <w:pPr>
              <w:pStyle w:val="Tabletext"/>
              <w:jc w:val="center"/>
              <w:rPr>
                <w:b/>
                <w:bCs/>
                <w:color w:val="538135"/>
              </w:rPr>
            </w:pPr>
            <w:r>
              <w:rPr>
                <w:b/>
                <w:bCs/>
                <w:color w:val="538135"/>
              </w:rPr>
              <w:sym w:font="Wingdings" w:char="F0FC"/>
            </w:r>
          </w:p>
        </w:tc>
        <w:tc>
          <w:tcPr>
            <w:tcW w:w="663" w:type="dxa"/>
            <w:tcBorders>
              <w:top w:val="nil"/>
              <w:left w:val="nil"/>
              <w:bottom w:val="nil"/>
              <w:right w:val="nil"/>
            </w:tcBorders>
            <w:shd w:val="clear" w:color="auto" w:fill="DCE5F4"/>
            <w:vAlign w:val="center"/>
            <w:hideMark/>
          </w:tcPr>
          <w:p w14:paraId="112B76CA" w14:textId="77777777" w:rsidR="008A64DF" w:rsidRDefault="008A64DF">
            <w:pPr>
              <w:pStyle w:val="Tabletext"/>
              <w:jc w:val="center"/>
              <w:rPr>
                <w:b/>
                <w:bCs/>
                <w:color w:val="538135"/>
              </w:rPr>
            </w:pPr>
            <w:r>
              <w:rPr>
                <w:b/>
                <w:bCs/>
                <w:color w:val="538135"/>
              </w:rPr>
              <w:sym w:font="Wingdings" w:char="F0FC"/>
            </w:r>
          </w:p>
        </w:tc>
        <w:tc>
          <w:tcPr>
            <w:tcW w:w="663" w:type="dxa"/>
            <w:tcBorders>
              <w:top w:val="nil"/>
              <w:left w:val="nil"/>
              <w:bottom w:val="nil"/>
              <w:right w:val="nil"/>
            </w:tcBorders>
            <w:shd w:val="clear" w:color="auto" w:fill="DCE5F4"/>
            <w:vAlign w:val="center"/>
            <w:hideMark/>
          </w:tcPr>
          <w:p w14:paraId="4B78D8CE" w14:textId="77777777" w:rsidR="008A64DF" w:rsidRDefault="008A64DF">
            <w:pPr>
              <w:pStyle w:val="Tabletext"/>
              <w:jc w:val="center"/>
              <w:rPr>
                <w:b/>
                <w:bCs/>
                <w:color w:val="538135"/>
              </w:rPr>
            </w:pPr>
            <w:r>
              <w:rPr>
                <w:b/>
                <w:bCs/>
                <w:color w:val="538135"/>
              </w:rPr>
              <w:sym w:font="Wingdings" w:char="F0FC"/>
            </w:r>
          </w:p>
        </w:tc>
        <w:tc>
          <w:tcPr>
            <w:tcW w:w="663" w:type="dxa"/>
            <w:tcBorders>
              <w:top w:val="nil"/>
              <w:left w:val="nil"/>
              <w:bottom w:val="nil"/>
              <w:right w:val="nil"/>
            </w:tcBorders>
            <w:shd w:val="clear" w:color="auto" w:fill="DCE5F4"/>
            <w:vAlign w:val="center"/>
            <w:hideMark/>
          </w:tcPr>
          <w:p w14:paraId="7622443A" w14:textId="77777777" w:rsidR="008A64DF" w:rsidRDefault="008A64DF">
            <w:pPr>
              <w:pStyle w:val="Tabletext"/>
              <w:jc w:val="center"/>
              <w:rPr>
                <w:b/>
                <w:bCs/>
                <w:color w:val="538135"/>
              </w:rPr>
            </w:pPr>
            <w:r>
              <w:rPr>
                <w:b/>
                <w:bCs/>
                <w:color w:val="538135"/>
              </w:rPr>
              <w:sym w:font="Wingdings" w:char="F0FC"/>
            </w:r>
          </w:p>
        </w:tc>
        <w:tc>
          <w:tcPr>
            <w:tcW w:w="663" w:type="dxa"/>
            <w:tcBorders>
              <w:top w:val="nil"/>
              <w:left w:val="nil"/>
              <w:bottom w:val="nil"/>
              <w:right w:val="nil"/>
            </w:tcBorders>
            <w:shd w:val="clear" w:color="auto" w:fill="DCE5F4"/>
            <w:vAlign w:val="center"/>
            <w:hideMark/>
          </w:tcPr>
          <w:p w14:paraId="1BA06CC5" w14:textId="77777777" w:rsidR="008A64DF" w:rsidRDefault="008A64DF">
            <w:pPr>
              <w:pStyle w:val="Tabletext"/>
              <w:jc w:val="center"/>
              <w:rPr>
                <w:b/>
                <w:bCs/>
                <w:color w:val="538135"/>
              </w:rPr>
            </w:pPr>
            <w:r>
              <w:rPr>
                <w:b/>
                <w:bCs/>
                <w:color w:val="538135"/>
              </w:rPr>
              <w:sym w:font="Wingdings" w:char="F0FC"/>
            </w:r>
          </w:p>
        </w:tc>
        <w:tc>
          <w:tcPr>
            <w:tcW w:w="703" w:type="dxa"/>
            <w:tcBorders>
              <w:top w:val="nil"/>
              <w:left w:val="nil"/>
              <w:bottom w:val="nil"/>
              <w:right w:val="single" w:sz="4" w:space="0" w:color="auto"/>
            </w:tcBorders>
            <w:shd w:val="clear" w:color="auto" w:fill="DCE5F4"/>
            <w:vAlign w:val="center"/>
            <w:hideMark/>
          </w:tcPr>
          <w:p w14:paraId="7479733E" w14:textId="77777777" w:rsidR="008A64DF" w:rsidRDefault="008A64DF">
            <w:pPr>
              <w:pStyle w:val="Tabletext"/>
              <w:jc w:val="center"/>
              <w:rPr>
                <w:b/>
                <w:bCs/>
                <w:color w:val="538135"/>
              </w:rPr>
            </w:pPr>
            <w:r>
              <w:rPr>
                <w:b/>
                <w:bCs/>
                <w:color w:val="538135"/>
              </w:rPr>
              <w:sym w:font="Wingdings" w:char="F0FC"/>
            </w:r>
          </w:p>
        </w:tc>
      </w:tr>
      <w:tr w:rsidR="008A64DF" w14:paraId="0B930BF9" w14:textId="77777777" w:rsidTr="008A64DF">
        <w:trPr>
          <w:jc w:val="center"/>
        </w:trPr>
        <w:tc>
          <w:tcPr>
            <w:tcW w:w="4913" w:type="dxa"/>
            <w:tcBorders>
              <w:top w:val="nil"/>
              <w:left w:val="single" w:sz="4" w:space="0" w:color="auto"/>
              <w:bottom w:val="single" w:sz="4" w:space="0" w:color="auto"/>
              <w:right w:val="nil"/>
            </w:tcBorders>
            <w:shd w:val="clear" w:color="auto" w:fill="FFFFFF" w:themeFill="background1"/>
            <w:hideMark/>
          </w:tcPr>
          <w:p w14:paraId="2835A449" w14:textId="77777777" w:rsidR="008A64DF" w:rsidRDefault="008A64DF">
            <w:pPr>
              <w:pStyle w:val="Tabletext"/>
              <w:rPr>
                <w:b/>
                <w:bCs/>
              </w:rPr>
            </w:pPr>
            <w:r>
              <w:rPr>
                <w:b/>
                <w:bCs/>
              </w:rPr>
              <w:t>Accidentes o lesiones de trabajo &lt; 2%</w:t>
            </w:r>
          </w:p>
        </w:tc>
        <w:tc>
          <w:tcPr>
            <w:tcW w:w="663" w:type="dxa"/>
            <w:tcBorders>
              <w:top w:val="nil"/>
              <w:left w:val="nil"/>
              <w:bottom w:val="single" w:sz="4" w:space="0" w:color="auto"/>
              <w:right w:val="nil"/>
            </w:tcBorders>
            <w:shd w:val="clear" w:color="auto" w:fill="FFFFFF" w:themeFill="background1"/>
            <w:vAlign w:val="center"/>
            <w:hideMark/>
          </w:tcPr>
          <w:p w14:paraId="2CEC57C4" w14:textId="77777777" w:rsidR="008A64DF" w:rsidRDefault="008A64DF">
            <w:pPr>
              <w:pStyle w:val="Tabletext"/>
              <w:jc w:val="center"/>
              <w:rPr>
                <w:b/>
                <w:bCs/>
                <w:color w:val="538135"/>
              </w:rPr>
            </w:pPr>
            <w:r>
              <w:rPr>
                <w:b/>
                <w:bCs/>
                <w:color w:val="538135"/>
              </w:rPr>
              <w:sym w:font="Wingdings" w:char="F0FC"/>
            </w:r>
          </w:p>
        </w:tc>
        <w:tc>
          <w:tcPr>
            <w:tcW w:w="663" w:type="dxa"/>
            <w:tcBorders>
              <w:top w:val="nil"/>
              <w:left w:val="nil"/>
              <w:bottom w:val="single" w:sz="4" w:space="0" w:color="auto"/>
              <w:right w:val="nil"/>
            </w:tcBorders>
            <w:shd w:val="clear" w:color="auto" w:fill="FFFFFF" w:themeFill="background1"/>
            <w:vAlign w:val="center"/>
            <w:hideMark/>
          </w:tcPr>
          <w:p w14:paraId="01EFCC7A" w14:textId="77777777" w:rsidR="008A64DF" w:rsidRDefault="008A64DF">
            <w:pPr>
              <w:pStyle w:val="Tabletext"/>
              <w:jc w:val="center"/>
              <w:rPr>
                <w:b/>
                <w:bCs/>
                <w:color w:val="538135"/>
              </w:rPr>
            </w:pPr>
            <w:r>
              <w:rPr>
                <w:b/>
                <w:bCs/>
                <w:color w:val="538135"/>
              </w:rPr>
              <w:sym w:font="Wingdings" w:char="F0FC"/>
            </w:r>
          </w:p>
        </w:tc>
        <w:tc>
          <w:tcPr>
            <w:tcW w:w="663" w:type="dxa"/>
            <w:tcBorders>
              <w:top w:val="nil"/>
              <w:left w:val="nil"/>
              <w:bottom w:val="single" w:sz="4" w:space="0" w:color="auto"/>
              <w:right w:val="nil"/>
            </w:tcBorders>
            <w:shd w:val="clear" w:color="auto" w:fill="FFFFFF" w:themeFill="background1"/>
            <w:vAlign w:val="center"/>
            <w:hideMark/>
          </w:tcPr>
          <w:p w14:paraId="678428BA" w14:textId="77777777" w:rsidR="008A64DF" w:rsidRDefault="008A64DF">
            <w:pPr>
              <w:pStyle w:val="Tabletext"/>
              <w:jc w:val="center"/>
              <w:rPr>
                <w:b/>
                <w:bCs/>
                <w:color w:val="538135"/>
              </w:rPr>
            </w:pPr>
            <w:r>
              <w:rPr>
                <w:b/>
                <w:bCs/>
                <w:color w:val="538135"/>
              </w:rPr>
              <w:sym w:font="Wingdings" w:char="F0FC"/>
            </w:r>
          </w:p>
        </w:tc>
        <w:tc>
          <w:tcPr>
            <w:tcW w:w="663" w:type="dxa"/>
            <w:tcBorders>
              <w:top w:val="nil"/>
              <w:left w:val="nil"/>
              <w:bottom w:val="single" w:sz="4" w:space="0" w:color="auto"/>
              <w:right w:val="nil"/>
            </w:tcBorders>
            <w:shd w:val="clear" w:color="auto" w:fill="FFFFFF" w:themeFill="background1"/>
            <w:vAlign w:val="center"/>
            <w:hideMark/>
          </w:tcPr>
          <w:p w14:paraId="541B618E" w14:textId="77777777" w:rsidR="008A64DF" w:rsidRDefault="008A64DF">
            <w:pPr>
              <w:pStyle w:val="Tabletext"/>
              <w:jc w:val="center"/>
              <w:rPr>
                <w:b/>
                <w:bCs/>
                <w:color w:val="538135"/>
              </w:rPr>
            </w:pPr>
            <w:r>
              <w:rPr>
                <w:b/>
                <w:bCs/>
                <w:color w:val="538135"/>
              </w:rPr>
              <w:sym w:font="Wingdings" w:char="F0FC"/>
            </w:r>
          </w:p>
        </w:tc>
        <w:tc>
          <w:tcPr>
            <w:tcW w:w="663" w:type="dxa"/>
            <w:tcBorders>
              <w:top w:val="nil"/>
              <w:left w:val="nil"/>
              <w:bottom w:val="single" w:sz="4" w:space="0" w:color="auto"/>
              <w:right w:val="nil"/>
            </w:tcBorders>
            <w:shd w:val="clear" w:color="auto" w:fill="FFFFFF" w:themeFill="background1"/>
            <w:vAlign w:val="center"/>
            <w:hideMark/>
          </w:tcPr>
          <w:p w14:paraId="397A6A57" w14:textId="77777777" w:rsidR="008A64DF" w:rsidRDefault="008A64DF">
            <w:pPr>
              <w:pStyle w:val="Tabletext"/>
              <w:jc w:val="center"/>
              <w:rPr>
                <w:b/>
                <w:bCs/>
                <w:color w:val="538135"/>
              </w:rPr>
            </w:pPr>
            <w:r>
              <w:rPr>
                <w:b/>
                <w:bCs/>
                <w:color w:val="538135"/>
              </w:rPr>
              <w:sym w:font="Wingdings" w:char="F0FC"/>
            </w:r>
          </w:p>
        </w:tc>
        <w:tc>
          <w:tcPr>
            <w:tcW w:w="663" w:type="dxa"/>
            <w:tcBorders>
              <w:top w:val="nil"/>
              <w:left w:val="nil"/>
              <w:bottom w:val="single" w:sz="4" w:space="0" w:color="auto"/>
              <w:right w:val="nil"/>
            </w:tcBorders>
            <w:shd w:val="clear" w:color="auto" w:fill="FFFFFF" w:themeFill="background1"/>
            <w:vAlign w:val="center"/>
            <w:hideMark/>
          </w:tcPr>
          <w:p w14:paraId="284E58B5" w14:textId="77777777" w:rsidR="008A64DF" w:rsidRDefault="008A64DF">
            <w:pPr>
              <w:pStyle w:val="Tabletext"/>
              <w:jc w:val="center"/>
              <w:rPr>
                <w:b/>
                <w:bCs/>
                <w:color w:val="538135"/>
              </w:rPr>
            </w:pPr>
            <w:r>
              <w:rPr>
                <w:b/>
                <w:bCs/>
                <w:color w:val="538135"/>
              </w:rPr>
              <w:sym w:font="Wingdings" w:char="F0FC"/>
            </w:r>
          </w:p>
        </w:tc>
        <w:tc>
          <w:tcPr>
            <w:tcW w:w="703" w:type="dxa"/>
            <w:tcBorders>
              <w:top w:val="nil"/>
              <w:left w:val="nil"/>
              <w:bottom w:val="single" w:sz="4" w:space="0" w:color="auto"/>
              <w:right w:val="single" w:sz="4" w:space="0" w:color="auto"/>
            </w:tcBorders>
            <w:shd w:val="clear" w:color="auto" w:fill="FFFFFF" w:themeFill="background1"/>
            <w:vAlign w:val="center"/>
            <w:hideMark/>
          </w:tcPr>
          <w:p w14:paraId="60ADEE12" w14:textId="77777777" w:rsidR="008A64DF" w:rsidRDefault="008A64DF">
            <w:pPr>
              <w:pStyle w:val="Tabletext"/>
              <w:jc w:val="center"/>
              <w:rPr>
                <w:b/>
                <w:bCs/>
                <w:color w:val="538135"/>
              </w:rPr>
            </w:pPr>
            <w:r>
              <w:rPr>
                <w:b/>
                <w:bCs/>
                <w:color w:val="538135"/>
              </w:rPr>
              <w:sym w:font="Wingdings" w:char="F0FC"/>
            </w:r>
          </w:p>
        </w:tc>
      </w:tr>
    </w:tbl>
    <w:p w14:paraId="233F045C" w14:textId="77777777" w:rsidR="008A64DF" w:rsidRDefault="008A64DF" w:rsidP="008A64DF"/>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996"/>
      </w:tblGrid>
      <w:tr w:rsidR="008A64DF" w14:paraId="1E59F620" w14:textId="77777777" w:rsidTr="008A64DF">
        <w:trPr>
          <w:jc w:val="center"/>
        </w:trPr>
        <w:tc>
          <w:tcPr>
            <w:tcW w:w="4643" w:type="dxa"/>
            <w:hideMark/>
          </w:tcPr>
          <w:p w14:paraId="4396FA0A" w14:textId="54688828" w:rsidR="008A64DF" w:rsidRDefault="008A64DF">
            <w:pPr>
              <w:pStyle w:val="Figure"/>
            </w:pPr>
            <w:r>
              <w:rPr>
                <w:noProof/>
              </w:rPr>
              <w:drawing>
                <wp:inline distT="0" distB="0" distL="0" distR="0" wp14:anchorId="0A663032" wp14:editId="7605E872">
                  <wp:extent cx="2520000" cy="1515600"/>
                  <wp:effectExtent l="0" t="0" r="0" b="8890"/>
                  <wp:docPr id="434" name="Picture 434"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Picture 434" descr="Chart, waterfall chart&#10;&#10;Description automatically generated"/>
                          <pic:cNvPicPr>
                            <a:picLocks noChangeAspect="1" noChangeArrowheads="1"/>
                          </pic:cNvPicPr>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2520000" cy="1515600"/>
                          </a:xfrm>
                          <a:prstGeom prst="rect">
                            <a:avLst/>
                          </a:prstGeom>
                          <a:noFill/>
                          <a:ln>
                            <a:noFill/>
                          </a:ln>
                        </pic:spPr>
                      </pic:pic>
                    </a:graphicData>
                  </a:graphic>
                </wp:inline>
              </w:drawing>
            </w:r>
          </w:p>
        </w:tc>
        <w:tc>
          <w:tcPr>
            <w:tcW w:w="4996" w:type="dxa"/>
          </w:tcPr>
          <w:p w14:paraId="12032974" w14:textId="77777777" w:rsidR="008A64DF" w:rsidRDefault="008A64DF">
            <w:pPr>
              <w:pStyle w:val="Figure"/>
              <w:rPr>
                <w:b/>
              </w:rPr>
            </w:pPr>
          </w:p>
        </w:tc>
      </w:tr>
      <w:tr w:rsidR="008A64DF" w14:paraId="51E2277D" w14:textId="77777777" w:rsidTr="008A64DF">
        <w:trPr>
          <w:jc w:val="center"/>
        </w:trPr>
        <w:tc>
          <w:tcPr>
            <w:tcW w:w="9639" w:type="dxa"/>
            <w:gridSpan w:val="2"/>
            <w:hideMark/>
          </w:tcPr>
          <w:p w14:paraId="7C43D8D4" w14:textId="18992B53" w:rsidR="00442198" w:rsidRPr="00442198" w:rsidRDefault="00442198" w:rsidP="00A73543">
            <w:pPr>
              <w:pStyle w:val="Figure"/>
            </w:pPr>
            <w:r>
              <w:rPr>
                <w:noProof/>
              </w:rPr>
              <w:drawing>
                <wp:inline distT="0" distB="0" distL="0" distR="0" wp14:anchorId="6256C805" wp14:editId="34691CE7">
                  <wp:extent cx="5335200" cy="1612800"/>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5335200" cy="1612800"/>
                          </a:xfrm>
                          <a:prstGeom prst="rect">
                            <a:avLst/>
                          </a:prstGeom>
                          <a:noFill/>
                        </pic:spPr>
                      </pic:pic>
                    </a:graphicData>
                  </a:graphic>
                </wp:inline>
              </w:drawing>
            </w:r>
          </w:p>
        </w:tc>
      </w:tr>
      <w:tr w:rsidR="008A64DF" w14:paraId="7667BCC7" w14:textId="77777777" w:rsidTr="008A64DF">
        <w:trPr>
          <w:jc w:val="center"/>
        </w:trPr>
        <w:tc>
          <w:tcPr>
            <w:tcW w:w="4643" w:type="dxa"/>
            <w:hideMark/>
          </w:tcPr>
          <w:p w14:paraId="6C11C498" w14:textId="409D57CA" w:rsidR="008A64DF" w:rsidRDefault="008A64DF">
            <w:pPr>
              <w:pStyle w:val="Figure"/>
            </w:pPr>
            <w:r>
              <w:rPr>
                <w:noProof/>
              </w:rPr>
              <w:drawing>
                <wp:inline distT="0" distB="0" distL="0" distR="0" wp14:anchorId="5DE29170" wp14:editId="5BB350A7">
                  <wp:extent cx="2520000" cy="1692000"/>
                  <wp:effectExtent l="0" t="0" r="0" b="381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415022"/>
                          <pic:cNvPicPr>
                            <a:picLocks noChangeAspect="1" noChangeArrowheads="1"/>
                          </pic:cNvPicPr>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2520000" cy="1692000"/>
                          </a:xfrm>
                          <a:prstGeom prst="rect">
                            <a:avLst/>
                          </a:prstGeom>
                          <a:noFill/>
                          <a:ln>
                            <a:noFill/>
                          </a:ln>
                        </pic:spPr>
                      </pic:pic>
                    </a:graphicData>
                  </a:graphic>
                </wp:inline>
              </w:drawing>
            </w:r>
          </w:p>
        </w:tc>
        <w:tc>
          <w:tcPr>
            <w:tcW w:w="4996" w:type="dxa"/>
            <w:hideMark/>
          </w:tcPr>
          <w:p w14:paraId="00AFE16D" w14:textId="6E35D089" w:rsidR="008A64DF" w:rsidRDefault="008A64DF">
            <w:pPr>
              <w:pStyle w:val="Figure"/>
            </w:pPr>
            <w:r>
              <w:rPr>
                <w:noProof/>
              </w:rPr>
              <w:drawing>
                <wp:inline distT="0" distB="0" distL="0" distR="0" wp14:anchorId="57F2506D" wp14:editId="0929FE99">
                  <wp:extent cx="2815200" cy="1692000"/>
                  <wp:effectExtent l="0" t="0" r="4445" b="3810"/>
                  <wp:docPr id="431" name="Picture 43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Picture 431" descr="Chart&#10;&#10;Description automatically generated"/>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2815200" cy="1692000"/>
                          </a:xfrm>
                          <a:prstGeom prst="rect">
                            <a:avLst/>
                          </a:prstGeom>
                          <a:noFill/>
                          <a:ln>
                            <a:noFill/>
                          </a:ln>
                        </pic:spPr>
                      </pic:pic>
                    </a:graphicData>
                  </a:graphic>
                </wp:inline>
              </w:drawing>
            </w:r>
          </w:p>
        </w:tc>
      </w:tr>
      <w:tr w:rsidR="008A64DF" w14:paraId="475FC4E9" w14:textId="77777777" w:rsidTr="008A64DF">
        <w:trPr>
          <w:jc w:val="center"/>
        </w:trPr>
        <w:tc>
          <w:tcPr>
            <w:tcW w:w="4643" w:type="dxa"/>
            <w:hideMark/>
          </w:tcPr>
          <w:p w14:paraId="04C2289E" w14:textId="080FD53B" w:rsidR="008A64DF" w:rsidRDefault="008A64DF">
            <w:pPr>
              <w:pStyle w:val="Figure"/>
            </w:pPr>
            <w:r>
              <w:rPr>
                <w:noProof/>
              </w:rPr>
              <w:lastRenderedPageBreak/>
              <w:drawing>
                <wp:inline distT="0" distB="0" distL="0" distR="0" wp14:anchorId="06043E2B" wp14:editId="2B18E496">
                  <wp:extent cx="2520000" cy="1533600"/>
                  <wp:effectExtent l="0" t="0" r="0" b="0"/>
                  <wp:docPr id="430" name="Picture 430"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Picture 430" descr="Chart, waterfall chart&#10;&#10;Description automatically generated"/>
                          <pic:cNvPicPr>
                            <a:picLocks noChangeAspect="1" noChangeArrowheads="1"/>
                          </pic:cNvPicPr>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2520000" cy="1533600"/>
                          </a:xfrm>
                          <a:prstGeom prst="rect">
                            <a:avLst/>
                          </a:prstGeom>
                          <a:noFill/>
                          <a:ln>
                            <a:noFill/>
                          </a:ln>
                        </pic:spPr>
                      </pic:pic>
                    </a:graphicData>
                  </a:graphic>
                </wp:inline>
              </w:drawing>
            </w:r>
          </w:p>
        </w:tc>
        <w:tc>
          <w:tcPr>
            <w:tcW w:w="4996" w:type="dxa"/>
            <w:hideMark/>
          </w:tcPr>
          <w:p w14:paraId="279CD9E4" w14:textId="6B03255D" w:rsidR="008A64DF" w:rsidRDefault="008A64DF">
            <w:pPr>
              <w:pStyle w:val="Figure"/>
            </w:pPr>
            <w:r>
              <w:rPr>
                <w:noProof/>
              </w:rPr>
              <w:drawing>
                <wp:inline distT="0" distB="0" distL="0" distR="0" wp14:anchorId="6BD19F8E" wp14:editId="4B4437C4">
                  <wp:extent cx="2520000" cy="1533600"/>
                  <wp:effectExtent l="0" t="0" r="0" b="0"/>
                  <wp:docPr id="429" name="Picture 42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Picture 429" descr="Chart&#10;&#10;Description automatically generated"/>
                          <pic:cNvPicPr>
                            <a:picLocks noChangeAspect="1" noChangeArrowheads="1"/>
                          </pic:cNvPicPr>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2520000" cy="1533600"/>
                          </a:xfrm>
                          <a:prstGeom prst="rect">
                            <a:avLst/>
                          </a:prstGeom>
                          <a:noFill/>
                          <a:ln>
                            <a:noFill/>
                          </a:ln>
                        </pic:spPr>
                      </pic:pic>
                    </a:graphicData>
                  </a:graphic>
                </wp:inline>
              </w:drawing>
            </w:r>
          </w:p>
        </w:tc>
      </w:tr>
      <w:tr w:rsidR="008A64DF" w14:paraId="77784BC5" w14:textId="77777777" w:rsidTr="008A64DF">
        <w:trPr>
          <w:jc w:val="center"/>
        </w:trPr>
        <w:tc>
          <w:tcPr>
            <w:tcW w:w="4643" w:type="dxa"/>
            <w:hideMark/>
          </w:tcPr>
          <w:p w14:paraId="40120A9E" w14:textId="5D7E0ED7" w:rsidR="008A64DF" w:rsidRDefault="008A64DF">
            <w:pPr>
              <w:pStyle w:val="Figure"/>
            </w:pPr>
            <w:r>
              <w:rPr>
                <w:noProof/>
              </w:rPr>
              <w:drawing>
                <wp:inline distT="0" distB="0" distL="0" distR="0" wp14:anchorId="63E303AB" wp14:editId="75062063">
                  <wp:extent cx="2520000" cy="1533600"/>
                  <wp:effectExtent l="0" t="0" r="0"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415026"/>
                          <pic:cNvPicPr>
                            <a:picLocks noChangeAspect="1" noChangeArrowheads="1"/>
                          </pic:cNvPicPr>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2520000" cy="1533600"/>
                          </a:xfrm>
                          <a:prstGeom prst="rect">
                            <a:avLst/>
                          </a:prstGeom>
                          <a:noFill/>
                          <a:ln>
                            <a:noFill/>
                          </a:ln>
                        </pic:spPr>
                      </pic:pic>
                    </a:graphicData>
                  </a:graphic>
                </wp:inline>
              </w:drawing>
            </w:r>
          </w:p>
        </w:tc>
        <w:tc>
          <w:tcPr>
            <w:tcW w:w="4996" w:type="dxa"/>
            <w:hideMark/>
          </w:tcPr>
          <w:p w14:paraId="0F2E1F6D" w14:textId="0F067CB3" w:rsidR="008A64DF" w:rsidRDefault="006777D2">
            <w:pPr>
              <w:pStyle w:val="Figure"/>
            </w:pPr>
            <w:r>
              <w:rPr>
                <w:bCs/>
                <w:noProof/>
              </w:rPr>
              <w:drawing>
                <wp:inline distT="0" distB="0" distL="0" distR="0" wp14:anchorId="06EA9834" wp14:editId="131C41FB">
                  <wp:extent cx="2520000" cy="1533600"/>
                  <wp:effectExtent l="0" t="0" r="0" b="0"/>
                  <wp:docPr id="505389752" name="Picture 505389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2520000" cy="1533600"/>
                          </a:xfrm>
                          <a:prstGeom prst="rect">
                            <a:avLst/>
                          </a:prstGeom>
                          <a:noFill/>
                        </pic:spPr>
                      </pic:pic>
                    </a:graphicData>
                  </a:graphic>
                </wp:inline>
              </w:drawing>
            </w:r>
          </w:p>
        </w:tc>
      </w:tr>
      <w:tr w:rsidR="008A64DF" w14:paraId="31730EE7" w14:textId="77777777" w:rsidTr="008A64DF">
        <w:trPr>
          <w:jc w:val="center"/>
        </w:trPr>
        <w:tc>
          <w:tcPr>
            <w:tcW w:w="4643" w:type="dxa"/>
            <w:hideMark/>
          </w:tcPr>
          <w:p w14:paraId="5CFFC717" w14:textId="10566475" w:rsidR="008A64DF" w:rsidRDefault="008A64DF">
            <w:pPr>
              <w:pStyle w:val="Figure"/>
            </w:pPr>
            <w:r>
              <w:rPr>
                <w:noProof/>
              </w:rPr>
              <w:drawing>
                <wp:inline distT="0" distB="0" distL="0" distR="0" wp14:anchorId="74A3DBDC" wp14:editId="07156443">
                  <wp:extent cx="2520000" cy="1504800"/>
                  <wp:effectExtent l="0" t="0" r="0" b="635"/>
                  <wp:docPr id="426" name="Picture 426"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Picture 426" descr="Chart, pie chart&#10;&#10;Description automatically generated"/>
                          <pic:cNvPicPr>
                            <a:picLocks noChangeAspect="1" noChangeArrowheads="1"/>
                          </pic:cNvPicPr>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2520000" cy="1504800"/>
                          </a:xfrm>
                          <a:prstGeom prst="rect">
                            <a:avLst/>
                          </a:prstGeom>
                          <a:noFill/>
                          <a:ln>
                            <a:noFill/>
                          </a:ln>
                        </pic:spPr>
                      </pic:pic>
                    </a:graphicData>
                  </a:graphic>
                </wp:inline>
              </w:drawing>
            </w:r>
          </w:p>
        </w:tc>
        <w:tc>
          <w:tcPr>
            <w:tcW w:w="4996" w:type="dxa"/>
            <w:hideMark/>
          </w:tcPr>
          <w:p w14:paraId="5B85A761" w14:textId="33F88B70" w:rsidR="008A64DF" w:rsidRDefault="008A64DF">
            <w:pPr>
              <w:pStyle w:val="Figure"/>
              <w:rPr>
                <w:bCs/>
              </w:rPr>
            </w:pPr>
          </w:p>
        </w:tc>
      </w:tr>
      <w:tr w:rsidR="008A64DF" w14:paraId="5F2F9438" w14:textId="77777777" w:rsidTr="008A64DF">
        <w:trPr>
          <w:jc w:val="center"/>
        </w:trPr>
        <w:tc>
          <w:tcPr>
            <w:tcW w:w="4643" w:type="dxa"/>
            <w:hideMark/>
          </w:tcPr>
          <w:p w14:paraId="260F8584" w14:textId="03956A0E" w:rsidR="008A64DF" w:rsidRDefault="008A64DF">
            <w:pPr>
              <w:pStyle w:val="Figure"/>
            </w:pPr>
            <w:r>
              <w:rPr>
                <w:noProof/>
              </w:rPr>
              <w:drawing>
                <wp:inline distT="0" distB="0" distL="0" distR="0" wp14:anchorId="3E9777A2" wp14:editId="5AB42033">
                  <wp:extent cx="2520000" cy="1533600"/>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415025"/>
                          <pic:cNvPicPr>
                            <a:picLocks noChangeAspect="1" noChangeArrowheads="1"/>
                          </pic:cNvPicPr>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2520000" cy="1533600"/>
                          </a:xfrm>
                          <a:prstGeom prst="rect">
                            <a:avLst/>
                          </a:prstGeom>
                          <a:noFill/>
                          <a:ln>
                            <a:noFill/>
                          </a:ln>
                        </pic:spPr>
                      </pic:pic>
                    </a:graphicData>
                  </a:graphic>
                </wp:inline>
              </w:drawing>
            </w:r>
          </w:p>
        </w:tc>
        <w:tc>
          <w:tcPr>
            <w:tcW w:w="4996" w:type="dxa"/>
          </w:tcPr>
          <w:p w14:paraId="3C81EB60" w14:textId="6375241B" w:rsidR="008A64DF" w:rsidRDefault="008A64DF" w:rsidP="007B5B73"/>
        </w:tc>
      </w:tr>
      <w:tr w:rsidR="007B5B73" w14:paraId="06833CA8" w14:textId="77777777" w:rsidTr="008A64DF">
        <w:trPr>
          <w:jc w:val="center"/>
        </w:trPr>
        <w:tc>
          <w:tcPr>
            <w:tcW w:w="4643" w:type="dxa"/>
          </w:tcPr>
          <w:p w14:paraId="31B586D0" w14:textId="77777777" w:rsidR="007B5B73" w:rsidRDefault="007B5B73">
            <w:pPr>
              <w:pStyle w:val="Figure"/>
              <w:rPr>
                <w:noProof/>
              </w:rPr>
            </w:pPr>
          </w:p>
        </w:tc>
        <w:tc>
          <w:tcPr>
            <w:tcW w:w="4996" w:type="dxa"/>
          </w:tcPr>
          <w:p w14:paraId="1C01A77E" w14:textId="6AF3708F" w:rsidR="007B5B73" w:rsidRPr="007B5B73" w:rsidRDefault="007B5B73" w:rsidP="007B5B73">
            <w:pPr>
              <w:pStyle w:val="Figure"/>
            </w:pPr>
            <w:r w:rsidRPr="007B5B73">
              <w:rPr>
                <w:noProof/>
              </w:rPr>
              <w:drawing>
                <wp:inline distT="0" distB="0" distL="0" distR="0" wp14:anchorId="183217EF" wp14:editId="54CCFA93">
                  <wp:extent cx="2757600" cy="1533600"/>
                  <wp:effectExtent l="0" t="0" r="5080" b="0"/>
                  <wp:docPr id="505389749" name="Picture 505389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2757600" cy="1533600"/>
                          </a:xfrm>
                          <a:prstGeom prst="rect">
                            <a:avLst/>
                          </a:prstGeom>
                          <a:noFill/>
                        </pic:spPr>
                      </pic:pic>
                    </a:graphicData>
                  </a:graphic>
                </wp:inline>
              </w:drawing>
            </w:r>
          </w:p>
        </w:tc>
      </w:tr>
    </w:tbl>
    <w:p w14:paraId="3DB6369A" w14:textId="47867728" w:rsidR="008A64DF" w:rsidRDefault="008A64DF" w:rsidP="006777D2">
      <w:pPr>
        <w:pStyle w:val="Headingb"/>
        <w:ind w:left="567" w:hanging="567"/>
      </w:pPr>
      <w:r>
        <w:lastRenderedPageBreak/>
        <w:t>E.2</w:t>
      </w:r>
      <w:r>
        <w:tab/>
        <w:t>Garantizar infraestructuras de conferencias, reuniones, documentación, publicaciones e información eficientes y accesibles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A73543" w14:paraId="3B227585" w14:textId="77777777" w:rsidTr="00A46472">
        <w:trPr>
          <w:jc w:val="center"/>
        </w:trPr>
        <w:tc>
          <w:tcPr>
            <w:tcW w:w="9639" w:type="dxa"/>
            <w:hideMark/>
          </w:tcPr>
          <w:p w14:paraId="3BA16EBF" w14:textId="6F87ED21" w:rsidR="00A73543" w:rsidRDefault="00A73543" w:rsidP="00327135">
            <w:pPr>
              <w:pStyle w:val="Figure"/>
            </w:pPr>
            <w:r>
              <w:rPr>
                <w:noProof/>
              </w:rPr>
              <w:drawing>
                <wp:inline distT="0" distB="0" distL="0" distR="0" wp14:anchorId="4CA0FE87" wp14:editId="71337B01">
                  <wp:extent cx="3960000" cy="2800800"/>
                  <wp:effectExtent l="0" t="0" r="2540" b="0"/>
                  <wp:docPr id="420" name="Picture 42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Picture 420" descr="Chart, bar chart&#10;&#10;Description automatically generated"/>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3960000" cy="2800800"/>
                          </a:xfrm>
                          <a:prstGeom prst="rect">
                            <a:avLst/>
                          </a:prstGeom>
                          <a:noFill/>
                          <a:ln>
                            <a:noFill/>
                          </a:ln>
                        </pic:spPr>
                      </pic:pic>
                    </a:graphicData>
                  </a:graphic>
                </wp:inline>
              </w:drawing>
            </w:r>
          </w:p>
        </w:tc>
      </w:tr>
      <w:tr w:rsidR="00A73543" w14:paraId="6A271B7E" w14:textId="77777777" w:rsidTr="00DA2F03">
        <w:trPr>
          <w:jc w:val="center"/>
        </w:trPr>
        <w:tc>
          <w:tcPr>
            <w:tcW w:w="9639" w:type="dxa"/>
          </w:tcPr>
          <w:p w14:paraId="38C14955" w14:textId="5E3BC612" w:rsidR="00A73543" w:rsidRDefault="00A73543" w:rsidP="00327135">
            <w:pPr>
              <w:pStyle w:val="Figure"/>
            </w:pPr>
            <w:r>
              <w:rPr>
                <w:noProof/>
              </w:rPr>
              <w:drawing>
                <wp:inline distT="0" distB="0" distL="0" distR="0" wp14:anchorId="362A83F8" wp14:editId="2EA7AA0D">
                  <wp:extent cx="3960000" cy="2847600"/>
                  <wp:effectExtent l="0" t="0" r="2540" b="0"/>
                  <wp:docPr id="418" name="Picture 41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Picture 418" descr="Chart, bar chart&#10;&#10;Description automatically generated"/>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3960000" cy="2847600"/>
                          </a:xfrm>
                          <a:prstGeom prst="rect">
                            <a:avLst/>
                          </a:prstGeom>
                          <a:noFill/>
                          <a:ln>
                            <a:noFill/>
                          </a:ln>
                        </pic:spPr>
                      </pic:pic>
                    </a:graphicData>
                  </a:graphic>
                </wp:inline>
              </w:drawing>
            </w:r>
          </w:p>
        </w:tc>
      </w:tr>
      <w:tr w:rsidR="00A73543" w14:paraId="7B3F4B7D" w14:textId="77777777" w:rsidTr="00DA2F03">
        <w:trPr>
          <w:jc w:val="center"/>
        </w:trPr>
        <w:tc>
          <w:tcPr>
            <w:tcW w:w="9639" w:type="dxa"/>
          </w:tcPr>
          <w:p w14:paraId="6175B21F" w14:textId="28267218" w:rsidR="00A73543" w:rsidRDefault="00A73543" w:rsidP="00327135">
            <w:pPr>
              <w:pStyle w:val="Figure"/>
              <w:rPr>
                <w:noProof/>
              </w:rPr>
            </w:pPr>
            <w:r>
              <w:rPr>
                <w:noProof/>
              </w:rPr>
              <w:drawing>
                <wp:inline distT="0" distB="0" distL="0" distR="0" wp14:anchorId="65F3C2C8" wp14:editId="5384581C">
                  <wp:extent cx="3254400" cy="1954800"/>
                  <wp:effectExtent l="0" t="0" r="3175"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3254400" cy="1954800"/>
                          </a:xfrm>
                          <a:prstGeom prst="rect">
                            <a:avLst/>
                          </a:prstGeom>
                          <a:noFill/>
                        </pic:spPr>
                      </pic:pic>
                    </a:graphicData>
                  </a:graphic>
                </wp:inline>
              </w:drawing>
            </w:r>
          </w:p>
        </w:tc>
      </w:tr>
    </w:tbl>
    <w:p w14:paraId="1675AE83" w14:textId="78F9E35C" w:rsidR="008A64DF" w:rsidRDefault="008A64DF" w:rsidP="002E6F29">
      <w:pPr>
        <w:pStyle w:val="Headingb"/>
        <w:spacing w:after="120"/>
      </w:pPr>
      <w:bookmarkStart w:id="316" w:name="lt_pId1215"/>
      <w:bookmarkStart w:id="317" w:name="_Toc434918418"/>
      <w:r>
        <w:lastRenderedPageBreak/>
        <w:t>E.3</w:t>
      </w:r>
      <w:r>
        <w:tab/>
        <w:t>Garantizar servicios eficientes de protocolo y comunicación relacionados con los miembros</w:t>
      </w:r>
      <w:bookmarkEnd w:id="316"/>
      <w:bookmarkEnd w:id="317"/>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6404F3" w14:paraId="6918A5D4" w14:textId="77777777" w:rsidTr="00657963">
        <w:trPr>
          <w:jc w:val="center"/>
        </w:trPr>
        <w:tc>
          <w:tcPr>
            <w:tcW w:w="9639" w:type="dxa"/>
          </w:tcPr>
          <w:p w14:paraId="442F63E8" w14:textId="0478028A" w:rsidR="006404F3" w:rsidRDefault="006404F3" w:rsidP="00657963">
            <w:pPr>
              <w:pStyle w:val="Figure"/>
            </w:pPr>
            <w:r w:rsidRPr="0068417F">
              <w:rPr>
                <w:noProof/>
              </w:rPr>
              <w:drawing>
                <wp:inline distT="0" distB="0" distL="0" distR="0" wp14:anchorId="0B062115" wp14:editId="052FD7E8">
                  <wp:extent cx="4752000" cy="3272400"/>
                  <wp:effectExtent l="0" t="0" r="0" b="4445"/>
                  <wp:docPr id="505389744" name="Picture 50538974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389744" name="Picture 505389744" descr="Graphical user interface, application&#10;&#10;Description automatically generated"/>
                          <pic:cNvPicPr/>
                        </pic:nvPicPr>
                        <pic:blipFill>
                          <a:blip r:embed="rId626"/>
                          <a:stretch>
                            <a:fillRect/>
                          </a:stretch>
                        </pic:blipFill>
                        <pic:spPr>
                          <a:xfrm>
                            <a:off x="0" y="0"/>
                            <a:ext cx="4752000" cy="3272400"/>
                          </a:xfrm>
                          <a:prstGeom prst="rect">
                            <a:avLst/>
                          </a:prstGeom>
                        </pic:spPr>
                      </pic:pic>
                    </a:graphicData>
                  </a:graphic>
                </wp:inline>
              </w:drawing>
            </w:r>
          </w:p>
        </w:tc>
      </w:tr>
      <w:tr w:rsidR="006404F3" w14:paraId="3AD7949C" w14:textId="77777777" w:rsidTr="00657963">
        <w:trPr>
          <w:jc w:val="center"/>
        </w:trPr>
        <w:tc>
          <w:tcPr>
            <w:tcW w:w="9639" w:type="dxa"/>
          </w:tcPr>
          <w:p w14:paraId="01C9EEB7" w14:textId="0E0F36AB" w:rsidR="00B35457" w:rsidRPr="00B35457" w:rsidRDefault="00B35457" w:rsidP="00B35457">
            <w:pPr>
              <w:pStyle w:val="Figure"/>
            </w:pPr>
            <w:r>
              <w:rPr>
                <w:noProof/>
              </w:rPr>
              <w:drawing>
                <wp:inline distT="0" distB="0" distL="0" distR="0" wp14:anchorId="5952B0F9" wp14:editId="758E37E3">
                  <wp:extent cx="4752000" cy="199800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7"/>
                          <a:stretch>
                            <a:fillRect/>
                          </a:stretch>
                        </pic:blipFill>
                        <pic:spPr>
                          <a:xfrm>
                            <a:off x="0" y="0"/>
                            <a:ext cx="4752000" cy="1998000"/>
                          </a:xfrm>
                          <a:prstGeom prst="rect">
                            <a:avLst/>
                          </a:prstGeom>
                        </pic:spPr>
                      </pic:pic>
                    </a:graphicData>
                  </a:graphic>
                </wp:inline>
              </w:drawing>
            </w:r>
          </w:p>
        </w:tc>
      </w:tr>
      <w:tr w:rsidR="006404F3" w14:paraId="2B138D3D" w14:textId="77777777" w:rsidTr="00657963">
        <w:trPr>
          <w:jc w:val="center"/>
        </w:trPr>
        <w:tc>
          <w:tcPr>
            <w:tcW w:w="9639" w:type="dxa"/>
          </w:tcPr>
          <w:p w14:paraId="02A26544" w14:textId="6F22AFA5" w:rsidR="006404F3" w:rsidRPr="00F31E0C" w:rsidRDefault="006404F3" w:rsidP="00657963">
            <w:pPr>
              <w:pStyle w:val="Figure"/>
              <w:rPr>
                <w:noProof/>
              </w:rPr>
            </w:pPr>
            <w:r w:rsidRPr="005F6F24">
              <w:rPr>
                <w:noProof/>
              </w:rPr>
              <w:drawing>
                <wp:inline distT="0" distB="0" distL="0" distR="0" wp14:anchorId="20B93E9C" wp14:editId="7DA3AF46">
                  <wp:extent cx="5724000" cy="2052000"/>
                  <wp:effectExtent l="0" t="0" r="0" b="5715"/>
                  <wp:docPr id="1257977769" name="Picture 125797776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69" name="Picture 1257977769" descr="Chart&#10;&#10;Description automatically generated"/>
                          <pic:cNvPicPr/>
                        </pic:nvPicPr>
                        <pic:blipFill>
                          <a:blip r:embed="rId628"/>
                          <a:stretch>
                            <a:fillRect/>
                          </a:stretch>
                        </pic:blipFill>
                        <pic:spPr>
                          <a:xfrm>
                            <a:off x="0" y="0"/>
                            <a:ext cx="5724000" cy="2052000"/>
                          </a:xfrm>
                          <a:prstGeom prst="rect">
                            <a:avLst/>
                          </a:prstGeom>
                        </pic:spPr>
                      </pic:pic>
                    </a:graphicData>
                  </a:graphic>
                </wp:inline>
              </w:drawing>
            </w:r>
          </w:p>
        </w:tc>
      </w:tr>
      <w:tr w:rsidR="006404F3" w14:paraId="122F4787" w14:textId="77777777" w:rsidTr="00657963">
        <w:trPr>
          <w:jc w:val="center"/>
        </w:trPr>
        <w:tc>
          <w:tcPr>
            <w:tcW w:w="9639" w:type="dxa"/>
          </w:tcPr>
          <w:p w14:paraId="7E0147E0" w14:textId="549D0677" w:rsidR="006404F3" w:rsidRPr="005F6F24" w:rsidRDefault="002E6F29" w:rsidP="00657963">
            <w:pPr>
              <w:pStyle w:val="Figure"/>
              <w:rPr>
                <w:noProof/>
              </w:rPr>
            </w:pPr>
            <w:r>
              <w:rPr>
                <w:noProof/>
              </w:rPr>
              <w:lastRenderedPageBreak/>
              <w:drawing>
                <wp:inline distT="0" distB="0" distL="0" distR="0" wp14:anchorId="270DDCC6" wp14:editId="59DB4DBA">
                  <wp:extent cx="3780000" cy="1810800"/>
                  <wp:effectExtent l="0" t="0" r="0" b="0"/>
                  <wp:docPr id="505389743" name="Picture 505389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3780000" cy="1810800"/>
                          </a:xfrm>
                          <a:prstGeom prst="rect">
                            <a:avLst/>
                          </a:prstGeom>
                          <a:noFill/>
                        </pic:spPr>
                      </pic:pic>
                    </a:graphicData>
                  </a:graphic>
                </wp:inline>
              </w:drawing>
            </w:r>
          </w:p>
        </w:tc>
      </w:tr>
    </w:tbl>
    <w:p w14:paraId="50B1856A" w14:textId="77777777" w:rsidR="008A64DF" w:rsidRDefault="008A64DF" w:rsidP="008A64DF">
      <w:pPr>
        <w:pStyle w:val="Normalaftertitle"/>
      </w:pPr>
      <w:r>
        <w:t>Supervisión y evaluación del marco de comunicación elaboradas en 2020. Las mediciones facilitan la toma de decisiones con mejor conocimiento de causa para que las comunicaciones ganen en repercusión y los recursos, que son limitados, se utilicen de la manera más eficaz.</w:t>
      </w:r>
    </w:p>
    <w:p w14:paraId="45580AE0" w14:textId="106780DD" w:rsidR="008A64DF" w:rsidRDefault="008A64DF" w:rsidP="008A64DF">
      <w:pPr>
        <w:pStyle w:val="Figure"/>
      </w:pPr>
      <w:r>
        <w:rPr>
          <w:noProof/>
        </w:rPr>
        <w:drawing>
          <wp:inline distT="0" distB="0" distL="0" distR="0" wp14:anchorId="0A2C6F0A" wp14:editId="5B64B5C1">
            <wp:extent cx="5400675" cy="2838450"/>
            <wp:effectExtent l="0" t="0" r="9525"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106818"/>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5400675" cy="2838450"/>
                    </a:xfrm>
                    <a:prstGeom prst="rect">
                      <a:avLst/>
                    </a:prstGeom>
                    <a:noFill/>
                    <a:ln>
                      <a:noFill/>
                    </a:ln>
                  </pic:spPr>
                </pic:pic>
              </a:graphicData>
            </a:graphic>
          </wp:inline>
        </w:drawing>
      </w:r>
    </w:p>
    <w:p w14:paraId="5DA60545" w14:textId="77777777" w:rsidR="008A64DF" w:rsidRDefault="008A64DF" w:rsidP="008A64DF">
      <w:pPr>
        <w:pStyle w:val="Normalaftertitle"/>
      </w:pPr>
      <w:r>
        <w:t xml:space="preserve">Comunicaciones internas. la Secretaría ha fortalecido las comunicaciones internas en apoyo del nuevo edificio de la Sede de la UIT y de la construcción de OneITU de dentro afuera mediante un boletín digital dirigido personalmente a cada uno de los miembros del personal: </w:t>
      </w:r>
      <w:r>
        <w:rPr>
          <w:i/>
          <w:iCs/>
        </w:rPr>
        <w:t>ITUConnections</w:t>
      </w:r>
      <w:r>
        <w:t>.</w:t>
      </w:r>
    </w:p>
    <w:p w14:paraId="4525165C" w14:textId="7077B7AF" w:rsidR="008A64DF" w:rsidRDefault="008A64DF" w:rsidP="008A64DF">
      <w:r>
        <w:t xml:space="preserve">El sitio web de la UIT está construido sobre una plataforma (una versión de MS SharePoint) de más de </w:t>
      </w:r>
      <w:r w:rsidR="005C595D">
        <w:t xml:space="preserve">diez </w:t>
      </w:r>
      <w:r>
        <w:t xml:space="preserve">años de antigüedad que está llegando al final de su vida útil. Para mitigar los riesgos que ello plantea a la continuidad de las actividades y la seguridad, y como primera etapa de la sustitución/modernización de todo el sitio web de la UIT, en 2020 se puso en marcha una versión beta de MyITU, en la que se combinan artículos de </w:t>
      </w:r>
      <w:r>
        <w:rPr>
          <w:i/>
          <w:iCs/>
        </w:rPr>
        <w:t>Actualidades de la UIT</w:t>
      </w:r>
      <w:r>
        <w:t xml:space="preserve"> y la </w:t>
      </w:r>
      <w:r>
        <w:rPr>
          <w:i/>
          <w:iCs/>
        </w:rPr>
        <w:t>ITU News Magazine</w:t>
      </w:r>
      <w:r>
        <w:t>, publicaciones y eventos así como una zona reservada a los Miembros con información resumida y personalizada con arreglo a los intereses de los usuarios. Además, en 2020 la UIT ha creado un prototipo del sitio web de OneITU: orientado al usuario, multilingüe, con soporte de las plataformas móviles, con imagen de marca, atractivo e impactante, más fácil de navegar y con nuevos contenidos. MyITU y OneITU constituirán un todo continuo para los usuarios cuando ambas hayan entrado en funcionamiento. Juntas mejorarán la experiencia de los miembros de la UIT, así como la de nuevas audiencias no tan familiarizadas con la UIT, entre ellas las pymes, las instituciones académicas y los nuevos miembros.</w:t>
      </w:r>
    </w:p>
    <w:p w14:paraId="3AD7AFA6" w14:textId="11BC8E95" w:rsidR="008A64DF" w:rsidRDefault="008A64DF" w:rsidP="008A64DF">
      <w:pPr>
        <w:pStyle w:val="Figure"/>
      </w:pPr>
      <w:r>
        <w:rPr>
          <w:noProof/>
        </w:rPr>
        <w:lastRenderedPageBreak/>
        <w:drawing>
          <wp:inline distT="0" distB="0" distL="0" distR="0" wp14:anchorId="65AC9312" wp14:editId="05111831">
            <wp:extent cx="4320000" cy="1861200"/>
            <wp:effectExtent l="0" t="0" r="4445" b="5715"/>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810882"/>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0" y="0"/>
                      <a:ext cx="4320000" cy="1861200"/>
                    </a:xfrm>
                    <a:prstGeom prst="rect">
                      <a:avLst/>
                    </a:prstGeom>
                    <a:noFill/>
                    <a:ln>
                      <a:noFill/>
                    </a:ln>
                  </pic:spPr>
                </pic:pic>
              </a:graphicData>
            </a:graphic>
          </wp:inline>
        </w:drawing>
      </w:r>
    </w:p>
    <w:p w14:paraId="7F7A402D" w14:textId="77777777" w:rsidR="008A64DF" w:rsidRDefault="008A64DF" w:rsidP="008A64DF">
      <w:pPr>
        <w:pStyle w:val="Normalaftertitle"/>
      </w:pPr>
      <w:r>
        <w:t xml:space="preserve">La UIT ha puesto en marcha una </w:t>
      </w:r>
      <w:hyperlink r:id="rId632" w:history="1">
        <w:r>
          <w:rPr>
            <w:rStyle w:val="Hyperlink"/>
          </w:rPr>
          <w:t xml:space="preserve">nueva serie de </w:t>
        </w:r>
        <w:r>
          <w:rPr>
            <w:rStyle w:val="Hyperlink"/>
            <w:i/>
            <w:iCs/>
          </w:rPr>
          <w:t>podcasts</w:t>
        </w:r>
      </w:hyperlink>
      <w:r>
        <w:t xml:space="preserve">, </w:t>
      </w:r>
      <w:r>
        <w:rPr>
          <w:i/>
          <w:iCs/>
        </w:rPr>
        <w:t>Tecnología para el Bien</w:t>
      </w:r>
      <w:r>
        <w:t>, que trata de temas clave para la UIT, con el fin de aumentar la rentabilidad de los seminarios de la UIT y las entrevistas con los delegados.</w:t>
      </w:r>
    </w:p>
    <w:p w14:paraId="0FFD0C7D" w14:textId="77777777" w:rsidR="008A64DF" w:rsidRDefault="008A64DF" w:rsidP="008A64DF">
      <w:r>
        <w:t xml:space="preserve">La UIT y sus miembros comparten una estrategia común: la Agenda Conectar 2030. El </w:t>
      </w:r>
      <w:hyperlink r:id="rId633" w:history="1">
        <w:r>
          <w:rPr>
            <w:rStyle w:val="Hyperlink"/>
          </w:rPr>
          <w:t>nuevo sitio web</w:t>
        </w:r>
      </w:hyperlink>
      <w:r>
        <w:t xml:space="preserve"> ofrece un cuadro de mando para las metas y los objetivos y presenta los enlaces pertinentes a publicaciones, datos y demás recursos, de forma que la UIT y sus miembros pueden avanzar juntos para conectar el mundo.</w:t>
      </w:r>
    </w:p>
    <w:p w14:paraId="79D4E0E9" w14:textId="77777777" w:rsidR="008A64DF" w:rsidRDefault="008A64DF" w:rsidP="006777D2">
      <w:pPr>
        <w:pStyle w:val="Headingb"/>
        <w:ind w:left="567" w:hanging="567"/>
      </w:pPr>
      <w:bookmarkStart w:id="318" w:name="lt_pId1226"/>
      <w:bookmarkStart w:id="319" w:name="_Toc434918419"/>
      <w:r>
        <w:t>E.4</w:t>
      </w:r>
      <w:r>
        <w:tab/>
        <w:t>Garantizar una planificación, coordinación y ejecución eficientes del Plan Estratégico y los Planes Operacionales de la Unión</w:t>
      </w:r>
      <w:bookmarkEnd w:id="318"/>
      <w:bookmarkEnd w:id="319"/>
    </w:p>
    <w:p w14:paraId="76C5521D" w14:textId="4CCA6CFE" w:rsidR="008A64DF" w:rsidRDefault="008A64DF" w:rsidP="0083058D">
      <w:pPr>
        <w:rPr>
          <w:b/>
          <w:bCs/>
        </w:rPr>
      </w:pPr>
      <w:bookmarkStart w:id="320" w:name="_Toc434918420"/>
      <w:r>
        <w:t xml:space="preserve">Véase el análisis efectuado en la </w:t>
      </w:r>
      <w:hyperlink w:anchor="_3_Aplicación_del" w:history="1">
        <w:r w:rsidRPr="00AF08F6">
          <w:rPr>
            <w:rStyle w:val="Hyperlink"/>
          </w:rPr>
          <w:t>sección 3</w:t>
        </w:r>
      </w:hyperlink>
      <w:r>
        <w:t>.</w:t>
      </w:r>
    </w:p>
    <w:p w14:paraId="0AEC0BF6" w14:textId="77777777" w:rsidR="008A64DF" w:rsidRDefault="008A64DF" w:rsidP="008A64DF">
      <w:pPr>
        <w:pStyle w:val="Headingb"/>
      </w:pPr>
      <w:r>
        <w:t>E.5</w:t>
      </w:r>
      <w:r>
        <w:tab/>
        <w:t>Garantizar una gobernanza efectiva y eficiente de la organización (interna y externa)</w:t>
      </w:r>
      <w:bookmarkEnd w:id="320"/>
    </w:p>
    <w:p w14:paraId="02F21C0C" w14:textId="4AEE3C7C" w:rsidR="00C35ED3" w:rsidRDefault="00C35ED3" w:rsidP="00C35ED3">
      <w:pPr>
        <w:pStyle w:val="Figure"/>
      </w:pPr>
      <w:r w:rsidRPr="00C35ED3">
        <w:rPr>
          <w:noProof/>
        </w:rPr>
        <w:drawing>
          <wp:inline distT="0" distB="0" distL="0" distR="0" wp14:anchorId="30934C58" wp14:editId="7DC5FCBD">
            <wp:extent cx="4428000" cy="2484000"/>
            <wp:effectExtent l="0" t="0" r="0" b="0"/>
            <wp:docPr id="505389732" name="Picture 50538973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389732" name="Picture 505389732" descr="Graphical user interface, application&#10;&#10;Description automatically generated"/>
                    <pic:cNvPicPr/>
                  </pic:nvPicPr>
                  <pic:blipFill>
                    <a:blip r:embed="rId634"/>
                    <a:stretch>
                      <a:fillRect/>
                    </a:stretch>
                  </pic:blipFill>
                  <pic:spPr>
                    <a:xfrm>
                      <a:off x="0" y="0"/>
                      <a:ext cx="4428000" cy="2484000"/>
                    </a:xfrm>
                    <a:prstGeom prst="rect">
                      <a:avLst/>
                    </a:prstGeom>
                  </pic:spPr>
                </pic:pic>
              </a:graphicData>
            </a:graphic>
          </wp:inline>
        </w:drawing>
      </w:r>
    </w:p>
    <w:p w14:paraId="2EE3A9C8" w14:textId="3641B589" w:rsidR="00AE0F85" w:rsidRPr="00AE0F85" w:rsidRDefault="00AE0F85" w:rsidP="002E6F29">
      <w:pPr>
        <w:pStyle w:val="Figure"/>
      </w:pPr>
      <w:r>
        <w:rPr>
          <w:noProof/>
        </w:rPr>
        <w:drawing>
          <wp:inline distT="0" distB="0" distL="0" distR="0" wp14:anchorId="4DA1745D" wp14:editId="7BD9C080">
            <wp:extent cx="2206800" cy="1270800"/>
            <wp:effectExtent l="0" t="0" r="3175" b="5715"/>
            <wp:docPr id="505389739" name="Picture 505389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2206800" cy="1270800"/>
                    </a:xfrm>
                    <a:prstGeom prst="rect">
                      <a:avLst/>
                    </a:prstGeom>
                    <a:noFill/>
                  </pic:spPr>
                </pic:pic>
              </a:graphicData>
            </a:graphic>
          </wp:inline>
        </w:drawing>
      </w:r>
    </w:p>
    <w:p w14:paraId="1E471C32" w14:textId="77777777" w:rsidR="00A73543" w:rsidRPr="00A73543" w:rsidRDefault="00A73543" w:rsidP="00A73543"/>
    <w:p w14:paraId="67F20FE0" w14:textId="12461D0B" w:rsidR="008A64DF" w:rsidRPr="00CC4759" w:rsidRDefault="008A64DF" w:rsidP="00CC4759">
      <w:pPr>
        <w:jc w:val="center"/>
      </w:pPr>
      <w:r>
        <w:t>______________</w:t>
      </w:r>
      <w:bookmarkEnd w:id="239"/>
      <w:bookmarkEnd w:id="240"/>
      <w:bookmarkEnd w:id="241"/>
    </w:p>
    <w:sectPr w:rsidR="008A64DF" w:rsidRPr="00CC4759" w:rsidSect="008A64DF">
      <w:headerReference w:type="default" r:id="rId636"/>
      <w:footerReference w:type="default" r:id="rId637"/>
      <w:footerReference w:type="first" r:id="rId638"/>
      <w:pgSz w:w="11907" w:h="16834"/>
      <w:pgMar w:top="1418" w:right="1134" w:bottom="1418" w:left="1134" w:header="720" w:footer="720"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73EBC1" w14:textId="77777777" w:rsidR="00F074F0" w:rsidRDefault="00F074F0">
      <w:r>
        <w:separator/>
      </w:r>
    </w:p>
  </w:endnote>
  <w:endnote w:type="continuationSeparator" w:id="0">
    <w:p w14:paraId="784482AB" w14:textId="77777777" w:rsidR="00F074F0" w:rsidRDefault="00F074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charset w:val="00"/>
    <w:family w:val="roman"/>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venirNext LT Pro Light">
    <w:altName w:val="AvenirNext LT Pro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689F9" w14:textId="77777777" w:rsidR="00AF6115" w:rsidRDefault="00AF61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03508" w14:textId="19489A2C" w:rsidR="00823AB3" w:rsidRPr="0023564F" w:rsidRDefault="0023564F" w:rsidP="0023564F">
    <w:pPr>
      <w:pStyle w:val="Footer"/>
      <w:rPr>
        <w:lang w:val="pt-PT"/>
      </w:rPr>
    </w:pPr>
    <w:r w:rsidRPr="00AF6115">
      <w:rPr>
        <w:color w:val="F2F2F2" w:themeColor="background1" w:themeShade="F2"/>
      </w:rPr>
      <w:fldChar w:fldCharType="begin"/>
    </w:r>
    <w:r w:rsidRPr="00AF6115">
      <w:rPr>
        <w:color w:val="F2F2F2" w:themeColor="background1" w:themeShade="F2"/>
        <w:lang w:val="pt-PT"/>
      </w:rPr>
      <w:instrText xml:space="preserve"> FILENAME \p  \* MERGEFORMAT </w:instrText>
    </w:r>
    <w:r w:rsidRPr="00AF6115">
      <w:rPr>
        <w:color w:val="F2F2F2" w:themeColor="background1" w:themeShade="F2"/>
      </w:rPr>
      <w:fldChar w:fldCharType="separate"/>
    </w:r>
    <w:r w:rsidR="00F252A4" w:rsidRPr="00AF6115">
      <w:rPr>
        <w:color w:val="F2F2F2" w:themeColor="background1" w:themeShade="F2"/>
        <w:lang w:val="pt-PT"/>
      </w:rPr>
      <w:t>P:\ESP\SG\CONSEIL\C22\000\035S.docx</w:t>
    </w:r>
    <w:r w:rsidRPr="00AF6115">
      <w:rPr>
        <w:color w:val="F2F2F2" w:themeColor="background1" w:themeShade="F2"/>
      </w:rPr>
      <w:fldChar w:fldCharType="end"/>
    </w:r>
    <w:r w:rsidRPr="00AF6115">
      <w:rPr>
        <w:color w:val="F2F2F2" w:themeColor="background1" w:themeShade="F2"/>
        <w:lang w:val="pt-PT"/>
      </w:rPr>
      <w:t xml:space="preserve"> (498305)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D3D83" w14:textId="77777777" w:rsidR="00823AB3" w:rsidRDefault="00823AB3">
    <w:pPr>
      <w:spacing w:after="120"/>
      <w:jc w:val="center"/>
    </w:pPr>
    <w:r>
      <w:t xml:space="preserve">• </w:t>
    </w:r>
    <w:hyperlink r:id="rId1" w:history="1">
      <w:r>
        <w:rPr>
          <w:rStyle w:val="Hyperlink"/>
        </w:rPr>
        <w:t>http://www.itu.int/council</w:t>
      </w:r>
    </w:hyperlink>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52BDD" w14:textId="7F14531B" w:rsidR="00EB3F7A" w:rsidRPr="00447F0F" w:rsidRDefault="00447F0F" w:rsidP="00447F0F">
    <w:pPr>
      <w:pStyle w:val="Footer"/>
      <w:rPr>
        <w:lang w:val="pt-PT"/>
      </w:rPr>
    </w:pPr>
    <w:r w:rsidRPr="00AF6115">
      <w:rPr>
        <w:color w:val="F2F2F2" w:themeColor="background1" w:themeShade="F2"/>
      </w:rPr>
      <w:fldChar w:fldCharType="begin"/>
    </w:r>
    <w:r w:rsidRPr="00AF6115">
      <w:rPr>
        <w:color w:val="F2F2F2" w:themeColor="background1" w:themeShade="F2"/>
        <w:lang w:val="pt-PT"/>
      </w:rPr>
      <w:instrText xml:space="preserve"> FILENAME \p  \* MERGEFORMAT </w:instrText>
    </w:r>
    <w:r w:rsidRPr="00AF6115">
      <w:rPr>
        <w:color w:val="F2F2F2" w:themeColor="background1" w:themeShade="F2"/>
      </w:rPr>
      <w:fldChar w:fldCharType="separate"/>
    </w:r>
    <w:r w:rsidRPr="00AF6115">
      <w:rPr>
        <w:color w:val="F2F2F2" w:themeColor="background1" w:themeShade="F2"/>
        <w:lang w:val="pt-PT"/>
      </w:rPr>
      <w:t>P:\ESP\SG\CONSEIL\C22\</w:t>
    </w:r>
    <w:r w:rsidR="0023564F" w:rsidRPr="00AF6115">
      <w:rPr>
        <w:color w:val="F2F2F2" w:themeColor="background1" w:themeShade="F2"/>
        <w:lang w:val="pt-PT"/>
      </w:rPr>
      <w:t>000</w:t>
    </w:r>
    <w:r w:rsidRPr="00AF6115">
      <w:rPr>
        <w:color w:val="F2F2F2" w:themeColor="background1" w:themeShade="F2"/>
        <w:lang w:val="pt-PT"/>
      </w:rPr>
      <w:t>\0</w:t>
    </w:r>
    <w:r w:rsidR="0023564F" w:rsidRPr="00AF6115">
      <w:rPr>
        <w:color w:val="F2F2F2" w:themeColor="background1" w:themeShade="F2"/>
        <w:lang w:val="pt-PT"/>
      </w:rPr>
      <w:t>35</w:t>
    </w:r>
    <w:r w:rsidRPr="00AF6115">
      <w:rPr>
        <w:color w:val="F2F2F2" w:themeColor="background1" w:themeShade="F2"/>
        <w:lang w:val="pt-PT"/>
      </w:rPr>
      <w:t>S.docx</w:t>
    </w:r>
    <w:r w:rsidRPr="00AF6115">
      <w:rPr>
        <w:color w:val="F2F2F2" w:themeColor="background1" w:themeShade="F2"/>
      </w:rPr>
      <w:fldChar w:fldCharType="end"/>
    </w:r>
    <w:r w:rsidRPr="00AF6115">
      <w:rPr>
        <w:color w:val="F2F2F2" w:themeColor="background1" w:themeShade="F2"/>
        <w:lang w:val="pt-PT"/>
      </w:rPr>
      <w:t xml:space="preserve"> (</w:t>
    </w:r>
    <w:r w:rsidR="0023564F" w:rsidRPr="00AF6115">
      <w:rPr>
        <w:color w:val="F2F2F2" w:themeColor="background1" w:themeShade="F2"/>
        <w:lang w:val="pt-PT"/>
      </w:rPr>
      <w:t>498305</w:t>
    </w:r>
    <w:r w:rsidRPr="00AF6115">
      <w:rPr>
        <w:color w:val="F2F2F2" w:themeColor="background1" w:themeShade="F2"/>
        <w:lang w:val="pt-PT"/>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97477" w14:textId="77777777" w:rsidR="00760F1C" w:rsidRDefault="00760F1C">
    <w:pPr>
      <w:spacing w:after="120"/>
      <w:jc w:val="center"/>
    </w:pPr>
    <w:r>
      <w:t xml:space="preserve">• </w:t>
    </w:r>
    <w:hyperlink r:id="rId1" w:history="1">
      <w:r>
        <w:rPr>
          <w:rStyle w:val="Hyperlink"/>
        </w:rPr>
        <w:t>http://www.itu.int/council</w:t>
      </w:r>
    </w:hyperlink>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6E86B0" w14:textId="77777777" w:rsidR="00F074F0" w:rsidRDefault="00F074F0">
      <w:r>
        <w:t>____________________</w:t>
      </w:r>
    </w:p>
  </w:footnote>
  <w:footnote w:type="continuationSeparator" w:id="0">
    <w:p w14:paraId="4C896184" w14:textId="77777777" w:rsidR="00F074F0" w:rsidRDefault="00F074F0">
      <w:r>
        <w:continuationSeparator/>
      </w:r>
    </w:p>
  </w:footnote>
  <w:footnote w:id="1">
    <w:p w14:paraId="35E00E9D" w14:textId="49380DF5" w:rsidR="0084620E" w:rsidRPr="0084620E" w:rsidRDefault="0084620E">
      <w:pPr>
        <w:pStyle w:val="FootnoteText"/>
        <w:rPr>
          <w:lang w:val="es-ES"/>
        </w:rPr>
      </w:pPr>
      <w:bookmarkStart w:id="220" w:name="_Hlk95738093"/>
      <w:bookmarkStart w:id="221" w:name="_Hlk95738094"/>
      <w:r>
        <w:rPr>
          <w:rStyle w:val="FootnoteReference"/>
        </w:rPr>
        <w:footnoteRef/>
      </w:r>
      <w:r>
        <w:tab/>
      </w:r>
      <w:r w:rsidR="00DC0597" w:rsidRPr="00DC0597">
        <w:t>Acceso de banda ancha a un precio inferior al dos por ciento de la renta nacional bruta (RNB) mensual per cápita</w:t>
      </w:r>
      <w:r w:rsidR="00DC0597">
        <w:t>.</w:t>
      </w:r>
      <w:bookmarkEnd w:id="220"/>
      <w:bookmarkEnd w:id="22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1D754" w14:textId="77777777" w:rsidR="00AF6115" w:rsidRDefault="00AF61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29122" w14:textId="5CEDFA52" w:rsidR="00823AB3" w:rsidRDefault="00823AB3" w:rsidP="007657F0">
    <w:pPr>
      <w:pStyle w:val="Header"/>
    </w:pPr>
    <w:r>
      <w:fldChar w:fldCharType="begin"/>
    </w:r>
    <w:r>
      <w:instrText>PAGE</w:instrText>
    </w:r>
    <w:r>
      <w:fldChar w:fldCharType="separate"/>
    </w:r>
    <w:r w:rsidR="001932A0">
      <w:rPr>
        <w:noProof/>
      </w:rPr>
      <w:t>vi</w:t>
    </w:r>
    <w:r>
      <w:rPr>
        <w:noProof/>
      </w:rPr>
      <w:fldChar w:fldCharType="end"/>
    </w:r>
  </w:p>
  <w:p w14:paraId="50169B4B" w14:textId="77777777" w:rsidR="00823AB3" w:rsidRDefault="00823AB3" w:rsidP="00113430">
    <w:pPr>
      <w:pStyle w:val="Header"/>
    </w:pPr>
    <w:r w:rsidRPr="005F6817">
      <w:t>Informe sobre la aplicación del Plan Estratégico y las actividades de la Unión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02981" w14:textId="77777777" w:rsidR="00AF6115" w:rsidRDefault="00AF611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06D0C" w14:textId="0C41044E" w:rsidR="00760F1C" w:rsidRDefault="000B7C15" w:rsidP="007657F0">
    <w:pPr>
      <w:pStyle w:val="Header"/>
    </w:pPr>
    <w:r>
      <w:fldChar w:fldCharType="begin"/>
    </w:r>
    <w:r>
      <w:instrText>PAGE</w:instrText>
    </w:r>
    <w:r>
      <w:fldChar w:fldCharType="separate"/>
    </w:r>
    <w:r w:rsidR="00E81485">
      <w:rPr>
        <w:noProof/>
      </w:rPr>
      <w:t>43</w:t>
    </w:r>
    <w:r>
      <w:rPr>
        <w:noProof/>
      </w:rPr>
      <w:fldChar w:fldCharType="end"/>
    </w:r>
  </w:p>
  <w:p w14:paraId="78D0615C" w14:textId="3E8F69DC" w:rsidR="00E91253" w:rsidRDefault="0069205F" w:rsidP="00447F0F">
    <w:pPr>
      <w:pStyle w:val="Header"/>
    </w:pPr>
    <w:r w:rsidRPr="0069205F">
      <w:t>Informe sobre la aplicación del Plan Estratégico y las actividades de la Unión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E7819"/>
    <w:multiLevelType w:val="hybridMultilevel"/>
    <w:tmpl w:val="C8B668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8321FB3"/>
    <w:multiLevelType w:val="hybridMultilevel"/>
    <w:tmpl w:val="7B1C6E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6AB3046"/>
    <w:multiLevelType w:val="hybridMultilevel"/>
    <w:tmpl w:val="3B50E138"/>
    <w:lvl w:ilvl="0" w:tplc="FFFFFFFF">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Times New Roman"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Times New Roman" w:hint="default"/>
      </w:rPr>
    </w:lvl>
    <w:lvl w:ilvl="8" w:tplc="FFFFFFFF">
      <w:start w:val="1"/>
      <w:numFmt w:val="bullet"/>
      <w:lvlText w:val=""/>
      <w:lvlJc w:val="left"/>
      <w:pPr>
        <w:ind w:left="6120" w:hanging="360"/>
      </w:pPr>
      <w:rPr>
        <w:rFonts w:ascii="Wingdings" w:hAnsi="Wingdings" w:hint="default"/>
      </w:rPr>
    </w:lvl>
  </w:abstractNum>
  <w:abstractNum w:abstractNumId="3" w15:restartNumberingAfterBreak="0">
    <w:nsid w:val="295D06A0"/>
    <w:multiLevelType w:val="hybridMultilevel"/>
    <w:tmpl w:val="CDB67F5E"/>
    <w:lvl w:ilvl="0" w:tplc="C69E146A">
      <w:start w:val="1"/>
      <w:numFmt w:val="bullet"/>
      <w:lvlText w:val=""/>
      <w:lvlJc w:val="left"/>
      <w:pPr>
        <w:ind w:left="720" w:hanging="360"/>
      </w:pPr>
      <w:rPr>
        <w:rFonts w:ascii="Symbol" w:hAnsi="Symbol" w:hint="default"/>
      </w:rPr>
    </w:lvl>
    <w:lvl w:ilvl="1" w:tplc="A3B62EFE">
      <w:start w:val="1"/>
      <w:numFmt w:val="bullet"/>
      <w:lvlText w:val="o"/>
      <w:lvlJc w:val="left"/>
      <w:pPr>
        <w:ind w:left="1440" w:hanging="360"/>
      </w:pPr>
      <w:rPr>
        <w:rFonts w:ascii="Courier New" w:hAnsi="Courier New" w:cs="Times New Roman" w:hint="default"/>
      </w:rPr>
    </w:lvl>
    <w:lvl w:ilvl="2" w:tplc="42F63A0E">
      <w:start w:val="1"/>
      <w:numFmt w:val="bullet"/>
      <w:lvlText w:val=""/>
      <w:lvlJc w:val="left"/>
      <w:pPr>
        <w:ind w:left="2160" w:hanging="360"/>
      </w:pPr>
      <w:rPr>
        <w:rFonts w:ascii="Wingdings" w:hAnsi="Wingdings" w:hint="default"/>
      </w:rPr>
    </w:lvl>
    <w:lvl w:ilvl="3" w:tplc="7D5A6684">
      <w:start w:val="1"/>
      <w:numFmt w:val="bullet"/>
      <w:lvlText w:val=""/>
      <w:lvlJc w:val="left"/>
      <w:pPr>
        <w:ind w:left="2880" w:hanging="360"/>
      </w:pPr>
      <w:rPr>
        <w:rFonts w:ascii="Symbol" w:hAnsi="Symbol" w:hint="default"/>
      </w:rPr>
    </w:lvl>
    <w:lvl w:ilvl="4" w:tplc="399CA570">
      <w:start w:val="1"/>
      <w:numFmt w:val="bullet"/>
      <w:lvlText w:val="o"/>
      <w:lvlJc w:val="left"/>
      <w:pPr>
        <w:ind w:left="3600" w:hanging="360"/>
      </w:pPr>
      <w:rPr>
        <w:rFonts w:ascii="Courier New" w:hAnsi="Courier New" w:cs="Times New Roman" w:hint="default"/>
      </w:rPr>
    </w:lvl>
    <w:lvl w:ilvl="5" w:tplc="38101968">
      <w:start w:val="1"/>
      <w:numFmt w:val="bullet"/>
      <w:lvlText w:val=""/>
      <w:lvlJc w:val="left"/>
      <w:pPr>
        <w:ind w:left="4320" w:hanging="360"/>
      </w:pPr>
      <w:rPr>
        <w:rFonts w:ascii="Wingdings" w:hAnsi="Wingdings" w:hint="default"/>
      </w:rPr>
    </w:lvl>
    <w:lvl w:ilvl="6" w:tplc="2AAA10AA">
      <w:start w:val="1"/>
      <w:numFmt w:val="bullet"/>
      <w:lvlText w:val=""/>
      <w:lvlJc w:val="left"/>
      <w:pPr>
        <w:ind w:left="5040" w:hanging="360"/>
      </w:pPr>
      <w:rPr>
        <w:rFonts w:ascii="Symbol" w:hAnsi="Symbol" w:hint="default"/>
      </w:rPr>
    </w:lvl>
    <w:lvl w:ilvl="7" w:tplc="B9044F8C">
      <w:start w:val="1"/>
      <w:numFmt w:val="bullet"/>
      <w:lvlText w:val="o"/>
      <w:lvlJc w:val="left"/>
      <w:pPr>
        <w:ind w:left="5760" w:hanging="360"/>
      </w:pPr>
      <w:rPr>
        <w:rFonts w:ascii="Courier New" w:hAnsi="Courier New" w:cs="Times New Roman" w:hint="default"/>
      </w:rPr>
    </w:lvl>
    <w:lvl w:ilvl="8" w:tplc="041E2DA2">
      <w:start w:val="1"/>
      <w:numFmt w:val="bullet"/>
      <w:lvlText w:val=""/>
      <w:lvlJc w:val="left"/>
      <w:pPr>
        <w:ind w:left="6480" w:hanging="360"/>
      </w:pPr>
      <w:rPr>
        <w:rFonts w:ascii="Wingdings" w:hAnsi="Wingdings" w:hint="default"/>
      </w:rPr>
    </w:lvl>
  </w:abstractNum>
  <w:abstractNum w:abstractNumId="4" w15:restartNumberingAfterBreak="0">
    <w:nsid w:val="2D0E3561"/>
    <w:multiLevelType w:val="hybridMultilevel"/>
    <w:tmpl w:val="C8142D46"/>
    <w:lvl w:ilvl="0" w:tplc="4F1EA24A">
      <w:start w:val="1"/>
      <w:numFmt w:val="decimal"/>
      <w:pStyle w:val="normalWSIS"/>
      <w:lvlText w:val="%1."/>
      <w:lvlJc w:val="left"/>
      <w:pPr>
        <w:ind w:left="3195" w:hanging="360"/>
      </w:pPr>
      <w:rPr>
        <w:b w:val="0"/>
        <w:bCs w:val="0"/>
        <w:color w:val="auto"/>
        <w:sz w:val="20"/>
        <w:szCs w:val="20"/>
      </w:rPr>
    </w:lvl>
    <w:lvl w:ilvl="1" w:tplc="04090019">
      <w:start w:val="1"/>
      <w:numFmt w:val="lowerLetter"/>
      <w:lvlText w:val="%2."/>
      <w:lvlJc w:val="left"/>
      <w:pPr>
        <w:ind w:left="3566" w:hanging="360"/>
      </w:pPr>
    </w:lvl>
    <w:lvl w:ilvl="2" w:tplc="0409001B">
      <w:start w:val="1"/>
      <w:numFmt w:val="lowerRoman"/>
      <w:lvlText w:val="%3."/>
      <w:lvlJc w:val="right"/>
      <w:pPr>
        <w:ind w:left="4286" w:hanging="180"/>
      </w:pPr>
    </w:lvl>
    <w:lvl w:ilvl="3" w:tplc="0409000F">
      <w:start w:val="1"/>
      <w:numFmt w:val="decimal"/>
      <w:lvlText w:val="%4."/>
      <w:lvlJc w:val="left"/>
      <w:pPr>
        <w:ind w:left="5006" w:hanging="360"/>
      </w:pPr>
    </w:lvl>
    <w:lvl w:ilvl="4" w:tplc="04090019">
      <w:start w:val="1"/>
      <w:numFmt w:val="lowerLetter"/>
      <w:lvlText w:val="%5."/>
      <w:lvlJc w:val="left"/>
      <w:pPr>
        <w:ind w:left="5726" w:hanging="360"/>
      </w:pPr>
    </w:lvl>
    <w:lvl w:ilvl="5" w:tplc="0409001B">
      <w:start w:val="1"/>
      <w:numFmt w:val="lowerRoman"/>
      <w:lvlText w:val="%6."/>
      <w:lvlJc w:val="right"/>
      <w:pPr>
        <w:ind w:left="6446" w:hanging="180"/>
      </w:pPr>
    </w:lvl>
    <w:lvl w:ilvl="6" w:tplc="0409000F">
      <w:start w:val="1"/>
      <w:numFmt w:val="decimal"/>
      <w:lvlText w:val="%7."/>
      <w:lvlJc w:val="left"/>
      <w:pPr>
        <w:ind w:left="7166" w:hanging="360"/>
      </w:pPr>
    </w:lvl>
    <w:lvl w:ilvl="7" w:tplc="04090019">
      <w:start w:val="1"/>
      <w:numFmt w:val="lowerLetter"/>
      <w:lvlText w:val="%8."/>
      <w:lvlJc w:val="left"/>
      <w:pPr>
        <w:ind w:left="7886" w:hanging="360"/>
      </w:pPr>
    </w:lvl>
    <w:lvl w:ilvl="8" w:tplc="0409001B">
      <w:start w:val="1"/>
      <w:numFmt w:val="lowerRoman"/>
      <w:lvlText w:val="%9."/>
      <w:lvlJc w:val="right"/>
      <w:pPr>
        <w:ind w:left="8606" w:hanging="180"/>
      </w:pPr>
    </w:lvl>
  </w:abstractNum>
  <w:abstractNum w:abstractNumId="5" w15:restartNumberingAfterBreak="0">
    <w:nsid w:val="32C73D57"/>
    <w:multiLevelType w:val="hybridMultilevel"/>
    <w:tmpl w:val="1174DB52"/>
    <w:lvl w:ilvl="0" w:tplc="5BEA8D24">
      <w:start w:val="1"/>
      <w:numFmt w:val="lowerRoman"/>
      <w:lvlText w:val="%1."/>
      <w:lvlJc w:val="right"/>
      <w:pPr>
        <w:ind w:left="720" w:hanging="360"/>
      </w:pPr>
      <w:rPr>
        <w:color w:val="auto"/>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349744C7"/>
    <w:multiLevelType w:val="hybridMultilevel"/>
    <w:tmpl w:val="71D6BEE4"/>
    <w:lvl w:ilvl="0" w:tplc="B1605B2C">
      <w:start w:val="1"/>
      <w:numFmt w:val="bullet"/>
      <w:lvlText w:val="·"/>
      <w:lvlJc w:val="left"/>
      <w:pPr>
        <w:ind w:left="720" w:hanging="360"/>
      </w:pPr>
      <w:rPr>
        <w:rFonts w:ascii="Symbol" w:hAnsi="Symbol" w:hint="default"/>
      </w:rPr>
    </w:lvl>
    <w:lvl w:ilvl="1" w:tplc="1DB045B0">
      <w:start w:val="1"/>
      <w:numFmt w:val="bullet"/>
      <w:lvlText w:val="o"/>
      <w:lvlJc w:val="left"/>
      <w:pPr>
        <w:ind w:left="1440" w:hanging="360"/>
      </w:pPr>
      <w:rPr>
        <w:rFonts w:ascii="Courier New" w:hAnsi="Courier New" w:cs="Times New Roman" w:hint="default"/>
      </w:rPr>
    </w:lvl>
    <w:lvl w:ilvl="2" w:tplc="FC6C8668">
      <w:start w:val="1"/>
      <w:numFmt w:val="bullet"/>
      <w:lvlText w:val=""/>
      <w:lvlJc w:val="left"/>
      <w:pPr>
        <w:ind w:left="2160" w:hanging="360"/>
      </w:pPr>
      <w:rPr>
        <w:rFonts w:ascii="Wingdings" w:hAnsi="Wingdings" w:hint="default"/>
      </w:rPr>
    </w:lvl>
    <w:lvl w:ilvl="3" w:tplc="D85CD90A">
      <w:start w:val="1"/>
      <w:numFmt w:val="bullet"/>
      <w:lvlText w:val=""/>
      <w:lvlJc w:val="left"/>
      <w:pPr>
        <w:ind w:left="2880" w:hanging="360"/>
      </w:pPr>
      <w:rPr>
        <w:rFonts w:ascii="Symbol" w:hAnsi="Symbol" w:hint="default"/>
      </w:rPr>
    </w:lvl>
    <w:lvl w:ilvl="4" w:tplc="D4348856">
      <w:start w:val="1"/>
      <w:numFmt w:val="bullet"/>
      <w:lvlText w:val="o"/>
      <w:lvlJc w:val="left"/>
      <w:pPr>
        <w:ind w:left="3600" w:hanging="360"/>
      </w:pPr>
      <w:rPr>
        <w:rFonts w:ascii="Courier New" w:hAnsi="Courier New" w:cs="Times New Roman" w:hint="default"/>
      </w:rPr>
    </w:lvl>
    <w:lvl w:ilvl="5" w:tplc="C644D1C6">
      <w:start w:val="1"/>
      <w:numFmt w:val="bullet"/>
      <w:lvlText w:val=""/>
      <w:lvlJc w:val="left"/>
      <w:pPr>
        <w:ind w:left="4320" w:hanging="360"/>
      </w:pPr>
      <w:rPr>
        <w:rFonts w:ascii="Wingdings" w:hAnsi="Wingdings" w:hint="default"/>
      </w:rPr>
    </w:lvl>
    <w:lvl w:ilvl="6" w:tplc="5122DB4A">
      <w:start w:val="1"/>
      <w:numFmt w:val="bullet"/>
      <w:lvlText w:val=""/>
      <w:lvlJc w:val="left"/>
      <w:pPr>
        <w:ind w:left="5040" w:hanging="360"/>
      </w:pPr>
      <w:rPr>
        <w:rFonts w:ascii="Symbol" w:hAnsi="Symbol" w:hint="default"/>
      </w:rPr>
    </w:lvl>
    <w:lvl w:ilvl="7" w:tplc="3D8A32A0">
      <w:start w:val="1"/>
      <w:numFmt w:val="bullet"/>
      <w:lvlText w:val="o"/>
      <w:lvlJc w:val="left"/>
      <w:pPr>
        <w:ind w:left="5760" w:hanging="360"/>
      </w:pPr>
      <w:rPr>
        <w:rFonts w:ascii="Courier New" w:hAnsi="Courier New" w:cs="Times New Roman" w:hint="default"/>
      </w:rPr>
    </w:lvl>
    <w:lvl w:ilvl="8" w:tplc="786EAF4E">
      <w:start w:val="1"/>
      <w:numFmt w:val="bullet"/>
      <w:lvlText w:val=""/>
      <w:lvlJc w:val="left"/>
      <w:pPr>
        <w:ind w:left="6480" w:hanging="360"/>
      </w:pPr>
      <w:rPr>
        <w:rFonts w:ascii="Wingdings" w:hAnsi="Wingdings" w:hint="default"/>
      </w:rPr>
    </w:lvl>
  </w:abstractNum>
  <w:abstractNum w:abstractNumId="7" w15:restartNumberingAfterBreak="0">
    <w:nsid w:val="37E05D15"/>
    <w:multiLevelType w:val="hybridMultilevel"/>
    <w:tmpl w:val="F9DAB1DE"/>
    <w:lvl w:ilvl="0" w:tplc="D11A91C2">
      <w:start w:val="1"/>
      <w:numFmt w:val="bullet"/>
      <w:lvlText w:val="-"/>
      <w:lvlJc w:val="left"/>
      <w:pPr>
        <w:ind w:left="360" w:hanging="360"/>
      </w:pPr>
      <w:rPr>
        <w:rFonts w:ascii="Symbol" w:hAnsi="Symbol" w:hint="default"/>
      </w:rPr>
    </w:lvl>
    <w:lvl w:ilvl="1" w:tplc="D11A91C2">
      <w:start w:val="1"/>
      <w:numFmt w:val="bullet"/>
      <w:lvlText w:val="-"/>
      <w:lvlJc w:val="left"/>
      <w:pPr>
        <w:ind w:left="1080" w:hanging="360"/>
      </w:pPr>
      <w:rPr>
        <w:rFonts w:ascii="Symbol" w:hAnsi="Symbol" w:hint="default"/>
      </w:rPr>
    </w:lvl>
    <w:lvl w:ilvl="2" w:tplc="4FD8850E">
      <w:start w:val="1"/>
      <w:numFmt w:val="bullet"/>
      <w:lvlText w:val=""/>
      <w:lvlJc w:val="left"/>
      <w:pPr>
        <w:ind w:left="1800" w:hanging="360"/>
      </w:pPr>
      <w:rPr>
        <w:rFonts w:ascii="Wingdings" w:hAnsi="Wingdings" w:hint="default"/>
      </w:rPr>
    </w:lvl>
    <w:lvl w:ilvl="3" w:tplc="F3049FFA">
      <w:start w:val="1"/>
      <w:numFmt w:val="bullet"/>
      <w:lvlText w:val=""/>
      <w:lvlJc w:val="left"/>
      <w:pPr>
        <w:ind w:left="2520" w:hanging="360"/>
      </w:pPr>
      <w:rPr>
        <w:rFonts w:ascii="Symbol" w:hAnsi="Symbol" w:hint="default"/>
      </w:rPr>
    </w:lvl>
    <w:lvl w:ilvl="4" w:tplc="D14616B0">
      <w:start w:val="1"/>
      <w:numFmt w:val="bullet"/>
      <w:lvlText w:val="o"/>
      <w:lvlJc w:val="left"/>
      <w:pPr>
        <w:ind w:left="3240" w:hanging="360"/>
      </w:pPr>
      <w:rPr>
        <w:rFonts w:ascii="Courier New" w:hAnsi="Courier New" w:cs="Times New Roman" w:hint="default"/>
      </w:rPr>
    </w:lvl>
    <w:lvl w:ilvl="5" w:tplc="D37E26FE">
      <w:start w:val="1"/>
      <w:numFmt w:val="bullet"/>
      <w:lvlText w:val=""/>
      <w:lvlJc w:val="left"/>
      <w:pPr>
        <w:ind w:left="3960" w:hanging="360"/>
      </w:pPr>
      <w:rPr>
        <w:rFonts w:ascii="Wingdings" w:hAnsi="Wingdings" w:hint="default"/>
      </w:rPr>
    </w:lvl>
    <w:lvl w:ilvl="6" w:tplc="6012EACE">
      <w:start w:val="1"/>
      <w:numFmt w:val="bullet"/>
      <w:lvlText w:val=""/>
      <w:lvlJc w:val="left"/>
      <w:pPr>
        <w:ind w:left="4680" w:hanging="360"/>
      </w:pPr>
      <w:rPr>
        <w:rFonts w:ascii="Symbol" w:hAnsi="Symbol" w:hint="default"/>
      </w:rPr>
    </w:lvl>
    <w:lvl w:ilvl="7" w:tplc="977AD1C4">
      <w:start w:val="1"/>
      <w:numFmt w:val="bullet"/>
      <w:lvlText w:val="o"/>
      <w:lvlJc w:val="left"/>
      <w:pPr>
        <w:ind w:left="5400" w:hanging="360"/>
      </w:pPr>
      <w:rPr>
        <w:rFonts w:ascii="Courier New" w:hAnsi="Courier New" w:cs="Times New Roman" w:hint="default"/>
      </w:rPr>
    </w:lvl>
    <w:lvl w:ilvl="8" w:tplc="C3E49094">
      <w:start w:val="1"/>
      <w:numFmt w:val="bullet"/>
      <w:lvlText w:val=""/>
      <w:lvlJc w:val="left"/>
      <w:pPr>
        <w:ind w:left="6120" w:hanging="360"/>
      </w:pPr>
      <w:rPr>
        <w:rFonts w:ascii="Wingdings" w:hAnsi="Wingdings" w:hint="default"/>
      </w:rPr>
    </w:lvl>
  </w:abstractNum>
  <w:abstractNum w:abstractNumId="8" w15:restartNumberingAfterBreak="0">
    <w:nsid w:val="40C86951"/>
    <w:multiLevelType w:val="hybridMultilevel"/>
    <w:tmpl w:val="FFFFFFFF"/>
    <w:lvl w:ilvl="0" w:tplc="40348844">
      <w:start w:val="1"/>
      <w:numFmt w:val="bullet"/>
      <w:lvlText w:val=""/>
      <w:lvlJc w:val="left"/>
      <w:pPr>
        <w:ind w:left="720" w:hanging="360"/>
      </w:pPr>
      <w:rPr>
        <w:rFonts w:ascii="Symbol" w:hAnsi="Symbol" w:hint="default"/>
      </w:rPr>
    </w:lvl>
    <w:lvl w:ilvl="1" w:tplc="3D0EBB7E">
      <w:start w:val="1"/>
      <w:numFmt w:val="bullet"/>
      <w:lvlText w:val="o"/>
      <w:lvlJc w:val="left"/>
      <w:pPr>
        <w:ind w:left="1440" w:hanging="360"/>
      </w:pPr>
      <w:rPr>
        <w:rFonts w:ascii="Courier New" w:hAnsi="Courier New" w:cs="Times New Roman" w:hint="default"/>
      </w:rPr>
    </w:lvl>
    <w:lvl w:ilvl="2" w:tplc="783E812E">
      <w:start w:val="1"/>
      <w:numFmt w:val="bullet"/>
      <w:lvlText w:val=""/>
      <w:lvlJc w:val="left"/>
      <w:pPr>
        <w:ind w:left="2160" w:hanging="360"/>
      </w:pPr>
      <w:rPr>
        <w:rFonts w:ascii="Wingdings" w:hAnsi="Wingdings" w:hint="default"/>
      </w:rPr>
    </w:lvl>
    <w:lvl w:ilvl="3" w:tplc="2EE0C0E4">
      <w:start w:val="1"/>
      <w:numFmt w:val="bullet"/>
      <w:lvlText w:val=""/>
      <w:lvlJc w:val="left"/>
      <w:pPr>
        <w:ind w:left="2880" w:hanging="360"/>
      </w:pPr>
      <w:rPr>
        <w:rFonts w:ascii="Symbol" w:hAnsi="Symbol" w:hint="default"/>
      </w:rPr>
    </w:lvl>
    <w:lvl w:ilvl="4" w:tplc="8CD07CC0">
      <w:start w:val="1"/>
      <w:numFmt w:val="bullet"/>
      <w:lvlText w:val="o"/>
      <w:lvlJc w:val="left"/>
      <w:pPr>
        <w:ind w:left="3600" w:hanging="360"/>
      </w:pPr>
      <w:rPr>
        <w:rFonts w:ascii="Courier New" w:hAnsi="Courier New" w:cs="Times New Roman" w:hint="default"/>
      </w:rPr>
    </w:lvl>
    <w:lvl w:ilvl="5" w:tplc="452C1E16">
      <w:start w:val="1"/>
      <w:numFmt w:val="bullet"/>
      <w:lvlText w:val=""/>
      <w:lvlJc w:val="left"/>
      <w:pPr>
        <w:ind w:left="4320" w:hanging="360"/>
      </w:pPr>
      <w:rPr>
        <w:rFonts w:ascii="Wingdings" w:hAnsi="Wingdings" w:hint="default"/>
      </w:rPr>
    </w:lvl>
    <w:lvl w:ilvl="6" w:tplc="8D2C5BAA">
      <w:start w:val="1"/>
      <w:numFmt w:val="bullet"/>
      <w:lvlText w:val=""/>
      <w:lvlJc w:val="left"/>
      <w:pPr>
        <w:ind w:left="5040" w:hanging="360"/>
      </w:pPr>
      <w:rPr>
        <w:rFonts w:ascii="Symbol" w:hAnsi="Symbol" w:hint="default"/>
      </w:rPr>
    </w:lvl>
    <w:lvl w:ilvl="7" w:tplc="E6168B3A">
      <w:start w:val="1"/>
      <w:numFmt w:val="bullet"/>
      <w:lvlText w:val="o"/>
      <w:lvlJc w:val="left"/>
      <w:pPr>
        <w:ind w:left="5760" w:hanging="360"/>
      </w:pPr>
      <w:rPr>
        <w:rFonts w:ascii="Courier New" w:hAnsi="Courier New" w:cs="Times New Roman" w:hint="default"/>
      </w:rPr>
    </w:lvl>
    <w:lvl w:ilvl="8" w:tplc="9F5ACF22">
      <w:start w:val="1"/>
      <w:numFmt w:val="bullet"/>
      <w:lvlText w:val=""/>
      <w:lvlJc w:val="left"/>
      <w:pPr>
        <w:ind w:left="6480" w:hanging="360"/>
      </w:pPr>
      <w:rPr>
        <w:rFonts w:ascii="Wingdings" w:hAnsi="Wingdings" w:hint="default"/>
      </w:rPr>
    </w:lvl>
  </w:abstractNum>
  <w:abstractNum w:abstractNumId="9" w15:restartNumberingAfterBreak="0">
    <w:nsid w:val="413E1D5B"/>
    <w:multiLevelType w:val="hybridMultilevel"/>
    <w:tmpl w:val="B70E26E0"/>
    <w:lvl w:ilvl="0" w:tplc="97AE9320">
      <w:start w:val="2"/>
      <w:numFmt w:val="bullet"/>
      <w:lvlText w:val="•"/>
      <w:lvlJc w:val="left"/>
      <w:pPr>
        <w:ind w:left="717" w:hanging="360"/>
      </w:pPr>
      <w:rPr>
        <w:rFonts w:ascii="Calibri" w:eastAsia="SimSun" w:hAnsi="Calibri" w:cs="Calibri" w:hint="default"/>
      </w:rPr>
    </w:lvl>
    <w:lvl w:ilvl="1" w:tplc="08090003">
      <w:start w:val="1"/>
      <w:numFmt w:val="bullet"/>
      <w:lvlText w:val="o"/>
      <w:lvlJc w:val="left"/>
      <w:pPr>
        <w:ind w:left="1437" w:hanging="360"/>
      </w:pPr>
      <w:rPr>
        <w:rFonts w:ascii="Courier New" w:hAnsi="Courier New" w:cs="Courier New" w:hint="default"/>
      </w:rPr>
    </w:lvl>
    <w:lvl w:ilvl="2" w:tplc="08090005">
      <w:start w:val="1"/>
      <w:numFmt w:val="bullet"/>
      <w:lvlText w:val=""/>
      <w:lvlJc w:val="left"/>
      <w:pPr>
        <w:ind w:left="2157" w:hanging="360"/>
      </w:pPr>
      <w:rPr>
        <w:rFonts w:ascii="Wingdings" w:hAnsi="Wingdings" w:hint="default"/>
      </w:rPr>
    </w:lvl>
    <w:lvl w:ilvl="3" w:tplc="08090001">
      <w:start w:val="1"/>
      <w:numFmt w:val="bullet"/>
      <w:lvlText w:val=""/>
      <w:lvlJc w:val="left"/>
      <w:pPr>
        <w:ind w:left="2877" w:hanging="360"/>
      </w:pPr>
      <w:rPr>
        <w:rFonts w:ascii="Symbol" w:hAnsi="Symbol" w:hint="default"/>
      </w:rPr>
    </w:lvl>
    <w:lvl w:ilvl="4" w:tplc="08090003">
      <w:start w:val="1"/>
      <w:numFmt w:val="bullet"/>
      <w:lvlText w:val="o"/>
      <w:lvlJc w:val="left"/>
      <w:pPr>
        <w:ind w:left="3597" w:hanging="360"/>
      </w:pPr>
      <w:rPr>
        <w:rFonts w:ascii="Courier New" w:hAnsi="Courier New" w:cs="Courier New" w:hint="default"/>
      </w:rPr>
    </w:lvl>
    <w:lvl w:ilvl="5" w:tplc="08090005">
      <w:start w:val="1"/>
      <w:numFmt w:val="bullet"/>
      <w:lvlText w:val=""/>
      <w:lvlJc w:val="left"/>
      <w:pPr>
        <w:ind w:left="4317" w:hanging="360"/>
      </w:pPr>
      <w:rPr>
        <w:rFonts w:ascii="Wingdings" w:hAnsi="Wingdings" w:hint="default"/>
      </w:rPr>
    </w:lvl>
    <w:lvl w:ilvl="6" w:tplc="08090001">
      <w:start w:val="1"/>
      <w:numFmt w:val="bullet"/>
      <w:lvlText w:val=""/>
      <w:lvlJc w:val="left"/>
      <w:pPr>
        <w:ind w:left="5037" w:hanging="360"/>
      </w:pPr>
      <w:rPr>
        <w:rFonts w:ascii="Symbol" w:hAnsi="Symbol" w:hint="default"/>
      </w:rPr>
    </w:lvl>
    <w:lvl w:ilvl="7" w:tplc="08090003">
      <w:start w:val="1"/>
      <w:numFmt w:val="bullet"/>
      <w:lvlText w:val="o"/>
      <w:lvlJc w:val="left"/>
      <w:pPr>
        <w:ind w:left="5757" w:hanging="360"/>
      </w:pPr>
      <w:rPr>
        <w:rFonts w:ascii="Courier New" w:hAnsi="Courier New" w:cs="Courier New" w:hint="default"/>
      </w:rPr>
    </w:lvl>
    <w:lvl w:ilvl="8" w:tplc="08090005">
      <w:start w:val="1"/>
      <w:numFmt w:val="bullet"/>
      <w:lvlText w:val=""/>
      <w:lvlJc w:val="left"/>
      <w:pPr>
        <w:ind w:left="6477" w:hanging="360"/>
      </w:pPr>
      <w:rPr>
        <w:rFonts w:ascii="Wingdings" w:hAnsi="Wingdings" w:hint="default"/>
      </w:rPr>
    </w:lvl>
  </w:abstractNum>
  <w:abstractNum w:abstractNumId="10" w15:restartNumberingAfterBreak="0">
    <w:nsid w:val="41CF70CC"/>
    <w:multiLevelType w:val="hybridMultilevel"/>
    <w:tmpl w:val="0A3AC8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61B81784"/>
    <w:multiLevelType w:val="hybridMultilevel"/>
    <w:tmpl w:val="D61209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66522E59"/>
    <w:multiLevelType w:val="hybridMultilevel"/>
    <w:tmpl w:val="FFFFFFFF"/>
    <w:lvl w:ilvl="0" w:tplc="7BCE1D14">
      <w:start w:val="1"/>
      <w:numFmt w:val="bullet"/>
      <w:lvlText w:val=""/>
      <w:lvlJc w:val="left"/>
      <w:pPr>
        <w:ind w:left="720" w:hanging="360"/>
      </w:pPr>
      <w:rPr>
        <w:rFonts w:ascii="Symbol" w:hAnsi="Symbol" w:hint="default"/>
      </w:rPr>
    </w:lvl>
    <w:lvl w:ilvl="1" w:tplc="F77AC712">
      <w:start w:val="1"/>
      <w:numFmt w:val="bullet"/>
      <w:lvlText w:val="o"/>
      <w:lvlJc w:val="left"/>
      <w:pPr>
        <w:ind w:left="1440" w:hanging="360"/>
      </w:pPr>
      <w:rPr>
        <w:rFonts w:ascii="Courier New" w:hAnsi="Courier New" w:cs="Times New Roman" w:hint="default"/>
      </w:rPr>
    </w:lvl>
    <w:lvl w:ilvl="2" w:tplc="B242403C">
      <w:start w:val="1"/>
      <w:numFmt w:val="bullet"/>
      <w:lvlText w:val=""/>
      <w:lvlJc w:val="left"/>
      <w:pPr>
        <w:ind w:left="2160" w:hanging="360"/>
      </w:pPr>
      <w:rPr>
        <w:rFonts w:ascii="Wingdings" w:hAnsi="Wingdings" w:hint="default"/>
      </w:rPr>
    </w:lvl>
    <w:lvl w:ilvl="3" w:tplc="A2FC065C">
      <w:start w:val="1"/>
      <w:numFmt w:val="bullet"/>
      <w:lvlText w:val=""/>
      <w:lvlJc w:val="left"/>
      <w:pPr>
        <w:ind w:left="2880" w:hanging="360"/>
      </w:pPr>
      <w:rPr>
        <w:rFonts w:ascii="Symbol" w:hAnsi="Symbol" w:hint="default"/>
      </w:rPr>
    </w:lvl>
    <w:lvl w:ilvl="4" w:tplc="5F42BE52">
      <w:start w:val="1"/>
      <w:numFmt w:val="bullet"/>
      <w:lvlText w:val="o"/>
      <w:lvlJc w:val="left"/>
      <w:pPr>
        <w:ind w:left="3600" w:hanging="360"/>
      </w:pPr>
      <w:rPr>
        <w:rFonts w:ascii="Courier New" w:hAnsi="Courier New" w:cs="Times New Roman" w:hint="default"/>
      </w:rPr>
    </w:lvl>
    <w:lvl w:ilvl="5" w:tplc="06AEB640">
      <w:start w:val="1"/>
      <w:numFmt w:val="bullet"/>
      <w:lvlText w:val=""/>
      <w:lvlJc w:val="left"/>
      <w:pPr>
        <w:ind w:left="4320" w:hanging="360"/>
      </w:pPr>
      <w:rPr>
        <w:rFonts w:ascii="Wingdings" w:hAnsi="Wingdings" w:hint="default"/>
      </w:rPr>
    </w:lvl>
    <w:lvl w:ilvl="6" w:tplc="3B12B3CA">
      <w:start w:val="1"/>
      <w:numFmt w:val="bullet"/>
      <w:lvlText w:val=""/>
      <w:lvlJc w:val="left"/>
      <w:pPr>
        <w:ind w:left="5040" w:hanging="360"/>
      </w:pPr>
      <w:rPr>
        <w:rFonts w:ascii="Symbol" w:hAnsi="Symbol" w:hint="default"/>
      </w:rPr>
    </w:lvl>
    <w:lvl w:ilvl="7" w:tplc="D78818EA">
      <w:start w:val="1"/>
      <w:numFmt w:val="bullet"/>
      <w:lvlText w:val="o"/>
      <w:lvlJc w:val="left"/>
      <w:pPr>
        <w:ind w:left="5760" w:hanging="360"/>
      </w:pPr>
      <w:rPr>
        <w:rFonts w:ascii="Courier New" w:hAnsi="Courier New" w:cs="Times New Roman" w:hint="default"/>
      </w:rPr>
    </w:lvl>
    <w:lvl w:ilvl="8" w:tplc="25663598">
      <w:start w:val="1"/>
      <w:numFmt w:val="bullet"/>
      <w:lvlText w:val=""/>
      <w:lvlJc w:val="left"/>
      <w:pPr>
        <w:ind w:left="6480" w:hanging="360"/>
      </w:pPr>
      <w:rPr>
        <w:rFonts w:ascii="Wingdings" w:hAnsi="Wingdings" w:hint="default"/>
      </w:rPr>
    </w:lvl>
  </w:abstractNum>
  <w:abstractNum w:abstractNumId="13" w15:restartNumberingAfterBreak="0">
    <w:nsid w:val="68E61F9D"/>
    <w:multiLevelType w:val="hybridMultilevel"/>
    <w:tmpl w:val="EB70EF3E"/>
    <w:lvl w:ilvl="0" w:tplc="ADF89916">
      <w:start w:val="1"/>
      <w:numFmt w:val="bullet"/>
      <w:lvlText w:val=""/>
      <w:lvlJc w:val="left"/>
      <w:pPr>
        <w:ind w:left="720" w:hanging="360"/>
      </w:pPr>
      <w:rPr>
        <w:rFonts w:ascii="Symbol" w:hAnsi="Symbol" w:hint="default"/>
      </w:rPr>
    </w:lvl>
    <w:lvl w:ilvl="1" w:tplc="542C81D4">
      <w:start w:val="1"/>
      <w:numFmt w:val="bullet"/>
      <w:lvlText w:val="o"/>
      <w:lvlJc w:val="left"/>
      <w:pPr>
        <w:ind w:left="1440" w:hanging="360"/>
      </w:pPr>
      <w:rPr>
        <w:rFonts w:ascii="Courier New" w:hAnsi="Courier New" w:cs="Times New Roman" w:hint="default"/>
      </w:rPr>
    </w:lvl>
    <w:lvl w:ilvl="2" w:tplc="04CE8CC8">
      <w:start w:val="1"/>
      <w:numFmt w:val="bullet"/>
      <w:lvlText w:val=""/>
      <w:lvlJc w:val="left"/>
      <w:pPr>
        <w:ind w:left="2160" w:hanging="360"/>
      </w:pPr>
      <w:rPr>
        <w:rFonts w:ascii="Wingdings" w:hAnsi="Wingdings" w:hint="default"/>
      </w:rPr>
    </w:lvl>
    <w:lvl w:ilvl="3" w:tplc="7A9E67E2">
      <w:start w:val="1"/>
      <w:numFmt w:val="bullet"/>
      <w:lvlText w:val=""/>
      <w:lvlJc w:val="left"/>
      <w:pPr>
        <w:ind w:left="2880" w:hanging="360"/>
      </w:pPr>
      <w:rPr>
        <w:rFonts w:ascii="Symbol" w:hAnsi="Symbol" w:hint="default"/>
      </w:rPr>
    </w:lvl>
    <w:lvl w:ilvl="4" w:tplc="D6E84416">
      <w:start w:val="1"/>
      <w:numFmt w:val="bullet"/>
      <w:lvlText w:val="o"/>
      <w:lvlJc w:val="left"/>
      <w:pPr>
        <w:ind w:left="3600" w:hanging="360"/>
      </w:pPr>
      <w:rPr>
        <w:rFonts w:ascii="Courier New" w:hAnsi="Courier New" w:cs="Times New Roman" w:hint="default"/>
      </w:rPr>
    </w:lvl>
    <w:lvl w:ilvl="5" w:tplc="6B8A12D0">
      <w:start w:val="1"/>
      <w:numFmt w:val="bullet"/>
      <w:lvlText w:val=""/>
      <w:lvlJc w:val="left"/>
      <w:pPr>
        <w:ind w:left="4320" w:hanging="360"/>
      </w:pPr>
      <w:rPr>
        <w:rFonts w:ascii="Wingdings" w:hAnsi="Wingdings" w:hint="default"/>
      </w:rPr>
    </w:lvl>
    <w:lvl w:ilvl="6" w:tplc="01D0F84A">
      <w:start w:val="1"/>
      <w:numFmt w:val="bullet"/>
      <w:lvlText w:val=""/>
      <w:lvlJc w:val="left"/>
      <w:pPr>
        <w:ind w:left="5040" w:hanging="360"/>
      </w:pPr>
      <w:rPr>
        <w:rFonts w:ascii="Symbol" w:hAnsi="Symbol" w:hint="default"/>
      </w:rPr>
    </w:lvl>
    <w:lvl w:ilvl="7" w:tplc="F46A4838">
      <w:start w:val="1"/>
      <w:numFmt w:val="bullet"/>
      <w:lvlText w:val="o"/>
      <w:lvlJc w:val="left"/>
      <w:pPr>
        <w:ind w:left="5760" w:hanging="360"/>
      </w:pPr>
      <w:rPr>
        <w:rFonts w:ascii="Courier New" w:hAnsi="Courier New" w:cs="Times New Roman" w:hint="default"/>
      </w:rPr>
    </w:lvl>
    <w:lvl w:ilvl="8" w:tplc="E6780DAC">
      <w:start w:val="1"/>
      <w:numFmt w:val="bullet"/>
      <w:lvlText w:val=""/>
      <w:lvlJc w:val="left"/>
      <w:pPr>
        <w:ind w:left="6480" w:hanging="360"/>
      </w:pPr>
      <w:rPr>
        <w:rFonts w:ascii="Wingdings" w:hAnsi="Wingdings" w:hint="default"/>
      </w:rPr>
    </w:lvl>
  </w:abstractNum>
  <w:abstractNum w:abstractNumId="14" w15:restartNumberingAfterBreak="0">
    <w:nsid w:val="7A1142F2"/>
    <w:multiLevelType w:val="hybridMultilevel"/>
    <w:tmpl w:val="FC4C78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12"/>
  </w:num>
  <w:num w:numId="4">
    <w:abstractNumId w:val="13"/>
  </w:num>
  <w:num w:numId="5">
    <w:abstractNumId w:val="3"/>
  </w:num>
  <w:num w:numId="6">
    <w:abstractNumId w:val="8"/>
  </w:num>
  <w:num w:numId="7">
    <w:abstractNumId w:val="11"/>
  </w:num>
  <w:num w:numId="8">
    <w:abstractNumId w:val="5"/>
  </w:num>
  <w:num w:numId="9">
    <w:abstractNumId w:val="1"/>
  </w:num>
  <w:num w:numId="10">
    <w:abstractNumId w:val="10"/>
  </w:num>
  <w:num w:numId="11">
    <w:abstractNumId w:val="6"/>
  </w:num>
  <w:num w:numId="12">
    <w:abstractNumId w:val="7"/>
  </w:num>
  <w:num w:numId="13">
    <w:abstractNumId w:val="0"/>
  </w:num>
  <w:num w:numId="14">
    <w:abstractNumId w:val="9"/>
  </w:num>
  <w:num w:numId="15">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3AB3"/>
    <w:rsid w:val="000007D1"/>
    <w:rsid w:val="00001946"/>
    <w:rsid w:val="00002D25"/>
    <w:rsid w:val="0000323E"/>
    <w:rsid w:val="00005816"/>
    <w:rsid w:val="00005B02"/>
    <w:rsid w:val="000066C9"/>
    <w:rsid w:val="00007101"/>
    <w:rsid w:val="000071E5"/>
    <w:rsid w:val="000117A8"/>
    <w:rsid w:val="00011941"/>
    <w:rsid w:val="00011FF2"/>
    <w:rsid w:val="00012625"/>
    <w:rsid w:val="0001485A"/>
    <w:rsid w:val="00014B92"/>
    <w:rsid w:val="00017DD0"/>
    <w:rsid w:val="000209E0"/>
    <w:rsid w:val="00021E69"/>
    <w:rsid w:val="00022EAA"/>
    <w:rsid w:val="000240F9"/>
    <w:rsid w:val="00031368"/>
    <w:rsid w:val="00032987"/>
    <w:rsid w:val="00032CC2"/>
    <w:rsid w:val="000342BA"/>
    <w:rsid w:val="000355A2"/>
    <w:rsid w:val="000403E3"/>
    <w:rsid w:val="00040D67"/>
    <w:rsid w:val="00043FB6"/>
    <w:rsid w:val="000442FC"/>
    <w:rsid w:val="00046BB4"/>
    <w:rsid w:val="00046BF2"/>
    <w:rsid w:val="00046E45"/>
    <w:rsid w:val="00047668"/>
    <w:rsid w:val="00050AE0"/>
    <w:rsid w:val="00054053"/>
    <w:rsid w:val="00054F12"/>
    <w:rsid w:val="000559EA"/>
    <w:rsid w:val="00056042"/>
    <w:rsid w:val="0005744B"/>
    <w:rsid w:val="0005778F"/>
    <w:rsid w:val="00060EB5"/>
    <w:rsid w:val="0006379F"/>
    <w:rsid w:val="00063989"/>
    <w:rsid w:val="00070D7B"/>
    <w:rsid w:val="00074989"/>
    <w:rsid w:val="00077669"/>
    <w:rsid w:val="00077841"/>
    <w:rsid w:val="00083B22"/>
    <w:rsid w:val="00084CD9"/>
    <w:rsid w:val="00084D3A"/>
    <w:rsid w:val="00086E4F"/>
    <w:rsid w:val="00087AF5"/>
    <w:rsid w:val="00090C05"/>
    <w:rsid w:val="000910C6"/>
    <w:rsid w:val="00093EEB"/>
    <w:rsid w:val="00094A28"/>
    <w:rsid w:val="00096A79"/>
    <w:rsid w:val="00096B2A"/>
    <w:rsid w:val="000A04CF"/>
    <w:rsid w:val="000A378A"/>
    <w:rsid w:val="000A50F5"/>
    <w:rsid w:val="000A5746"/>
    <w:rsid w:val="000A589A"/>
    <w:rsid w:val="000B0D00"/>
    <w:rsid w:val="000B5DD7"/>
    <w:rsid w:val="000B71A3"/>
    <w:rsid w:val="000B754B"/>
    <w:rsid w:val="000B76DF"/>
    <w:rsid w:val="000B7C15"/>
    <w:rsid w:val="000C16E5"/>
    <w:rsid w:val="000C4F92"/>
    <w:rsid w:val="000C6677"/>
    <w:rsid w:val="000D02D6"/>
    <w:rsid w:val="000D12AC"/>
    <w:rsid w:val="000D1D0F"/>
    <w:rsid w:val="000D3360"/>
    <w:rsid w:val="000D35C0"/>
    <w:rsid w:val="000D4C7C"/>
    <w:rsid w:val="000D5BFE"/>
    <w:rsid w:val="000E10CB"/>
    <w:rsid w:val="000E2DDA"/>
    <w:rsid w:val="000E2FCF"/>
    <w:rsid w:val="000E3171"/>
    <w:rsid w:val="000E41D5"/>
    <w:rsid w:val="000E7FDA"/>
    <w:rsid w:val="000F2CE0"/>
    <w:rsid w:val="000F4D2B"/>
    <w:rsid w:val="000F5290"/>
    <w:rsid w:val="000F6694"/>
    <w:rsid w:val="000F6B41"/>
    <w:rsid w:val="000F6BC6"/>
    <w:rsid w:val="001012CE"/>
    <w:rsid w:val="0010165C"/>
    <w:rsid w:val="0010752E"/>
    <w:rsid w:val="00113666"/>
    <w:rsid w:val="00114045"/>
    <w:rsid w:val="00115DF9"/>
    <w:rsid w:val="00116669"/>
    <w:rsid w:val="001228EA"/>
    <w:rsid w:val="00126B60"/>
    <w:rsid w:val="001346D4"/>
    <w:rsid w:val="00135847"/>
    <w:rsid w:val="00136EB4"/>
    <w:rsid w:val="001370ED"/>
    <w:rsid w:val="001373A9"/>
    <w:rsid w:val="00137A8E"/>
    <w:rsid w:val="00140AF0"/>
    <w:rsid w:val="00140F68"/>
    <w:rsid w:val="001438D5"/>
    <w:rsid w:val="00146BFB"/>
    <w:rsid w:val="00147118"/>
    <w:rsid w:val="00154BEE"/>
    <w:rsid w:val="0015588D"/>
    <w:rsid w:val="00155909"/>
    <w:rsid w:val="00160CB3"/>
    <w:rsid w:val="00163CD5"/>
    <w:rsid w:val="00170587"/>
    <w:rsid w:val="001729B6"/>
    <w:rsid w:val="00173679"/>
    <w:rsid w:val="00173E0B"/>
    <w:rsid w:val="001776A3"/>
    <w:rsid w:val="001778F0"/>
    <w:rsid w:val="00177ED4"/>
    <w:rsid w:val="00184251"/>
    <w:rsid w:val="00184DCD"/>
    <w:rsid w:val="00187E3C"/>
    <w:rsid w:val="001911F3"/>
    <w:rsid w:val="001921EB"/>
    <w:rsid w:val="00192871"/>
    <w:rsid w:val="001932A0"/>
    <w:rsid w:val="00194230"/>
    <w:rsid w:val="00196007"/>
    <w:rsid w:val="00197605"/>
    <w:rsid w:val="001A0F9A"/>
    <w:rsid w:val="001B1357"/>
    <w:rsid w:val="001B1542"/>
    <w:rsid w:val="001B6D08"/>
    <w:rsid w:val="001C57D5"/>
    <w:rsid w:val="001D609C"/>
    <w:rsid w:val="001E0A19"/>
    <w:rsid w:val="001F14A2"/>
    <w:rsid w:val="001F200C"/>
    <w:rsid w:val="001F21B5"/>
    <w:rsid w:val="001F2427"/>
    <w:rsid w:val="001F44FC"/>
    <w:rsid w:val="001F6BA9"/>
    <w:rsid w:val="001F77FE"/>
    <w:rsid w:val="002021A6"/>
    <w:rsid w:val="00202F44"/>
    <w:rsid w:val="00204461"/>
    <w:rsid w:val="00206D3A"/>
    <w:rsid w:val="00210F77"/>
    <w:rsid w:val="0021109C"/>
    <w:rsid w:val="00212EE6"/>
    <w:rsid w:val="00214D3D"/>
    <w:rsid w:val="00230ABD"/>
    <w:rsid w:val="0023310A"/>
    <w:rsid w:val="00233C46"/>
    <w:rsid w:val="00234996"/>
    <w:rsid w:val="0023564F"/>
    <w:rsid w:val="00236DCD"/>
    <w:rsid w:val="002401E7"/>
    <w:rsid w:val="00240C30"/>
    <w:rsid w:val="002421B9"/>
    <w:rsid w:val="00243C7C"/>
    <w:rsid w:val="00243E9A"/>
    <w:rsid w:val="002457E7"/>
    <w:rsid w:val="00245E5F"/>
    <w:rsid w:val="0025014E"/>
    <w:rsid w:val="00250235"/>
    <w:rsid w:val="00252013"/>
    <w:rsid w:val="00264A84"/>
    <w:rsid w:val="00271ECD"/>
    <w:rsid w:val="00273589"/>
    <w:rsid w:val="002759D5"/>
    <w:rsid w:val="0027761B"/>
    <w:rsid w:val="002801AA"/>
    <w:rsid w:val="00280A90"/>
    <w:rsid w:val="0029070F"/>
    <w:rsid w:val="00292613"/>
    <w:rsid w:val="00292CF7"/>
    <w:rsid w:val="00292F38"/>
    <w:rsid w:val="002930D2"/>
    <w:rsid w:val="00295E94"/>
    <w:rsid w:val="002975FD"/>
    <w:rsid w:val="002A1315"/>
    <w:rsid w:val="002A50EC"/>
    <w:rsid w:val="002A5F00"/>
    <w:rsid w:val="002B0408"/>
    <w:rsid w:val="002B101E"/>
    <w:rsid w:val="002B2152"/>
    <w:rsid w:val="002B2FAC"/>
    <w:rsid w:val="002B41DB"/>
    <w:rsid w:val="002B7521"/>
    <w:rsid w:val="002C2006"/>
    <w:rsid w:val="002C2809"/>
    <w:rsid w:val="002C296D"/>
    <w:rsid w:val="002C4455"/>
    <w:rsid w:val="002C4676"/>
    <w:rsid w:val="002C60F1"/>
    <w:rsid w:val="002C70B0"/>
    <w:rsid w:val="002D0372"/>
    <w:rsid w:val="002D2158"/>
    <w:rsid w:val="002E050B"/>
    <w:rsid w:val="002E0B80"/>
    <w:rsid w:val="002E4443"/>
    <w:rsid w:val="002E6A02"/>
    <w:rsid w:val="002E6F29"/>
    <w:rsid w:val="002E768C"/>
    <w:rsid w:val="002F3CC4"/>
    <w:rsid w:val="002F43DA"/>
    <w:rsid w:val="002F5217"/>
    <w:rsid w:val="002F5CDE"/>
    <w:rsid w:val="002F6834"/>
    <w:rsid w:val="00300727"/>
    <w:rsid w:val="00300AE3"/>
    <w:rsid w:val="00300D37"/>
    <w:rsid w:val="00305A82"/>
    <w:rsid w:val="0030634F"/>
    <w:rsid w:val="00315F6F"/>
    <w:rsid w:val="00316816"/>
    <w:rsid w:val="003262ED"/>
    <w:rsid w:val="003277A8"/>
    <w:rsid w:val="00334C5E"/>
    <w:rsid w:val="00336390"/>
    <w:rsid w:val="00353E45"/>
    <w:rsid w:val="003566E9"/>
    <w:rsid w:val="0036135F"/>
    <w:rsid w:val="00361EDF"/>
    <w:rsid w:val="003624F7"/>
    <w:rsid w:val="0036364E"/>
    <w:rsid w:val="00365213"/>
    <w:rsid w:val="003666B8"/>
    <w:rsid w:val="003729C7"/>
    <w:rsid w:val="003732C6"/>
    <w:rsid w:val="003734A7"/>
    <w:rsid w:val="00373F61"/>
    <w:rsid w:val="003745E6"/>
    <w:rsid w:val="0037664F"/>
    <w:rsid w:val="00380C2B"/>
    <w:rsid w:val="003829B4"/>
    <w:rsid w:val="0038445C"/>
    <w:rsid w:val="00384CB9"/>
    <w:rsid w:val="00386CE7"/>
    <w:rsid w:val="00392A9C"/>
    <w:rsid w:val="003931C7"/>
    <w:rsid w:val="00395599"/>
    <w:rsid w:val="00396A08"/>
    <w:rsid w:val="003A1FB9"/>
    <w:rsid w:val="003A4333"/>
    <w:rsid w:val="003A4F01"/>
    <w:rsid w:val="003A51A8"/>
    <w:rsid w:val="003A5BE4"/>
    <w:rsid w:val="003B1831"/>
    <w:rsid w:val="003C65AE"/>
    <w:rsid w:val="003D34D9"/>
    <w:rsid w:val="003D5239"/>
    <w:rsid w:val="003D6854"/>
    <w:rsid w:val="003D6AF2"/>
    <w:rsid w:val="003D70D3"/>
    <w:rsid w:val="003E45D1"/>
    <w:rsid w:val="003E58DD"/>
    <w:rsid w:val="003E599D"/>
    <w:rsid w:val="003E61B5"/>
    <w:rsid w:val="003E72C7"/>
    <w:rsid w:val="003F24C8"/>
    <w:rsid w:val="003F2E98"/>
    <w:rsid w:val="003F3CBF"/>
    <w:rsid w:val="00402D7A"/>
    <w:rsid w:val="004038FA"/>
    <w:rsid w:val="00403A1E"/>
    <w:rsid w:val="0040471D"/>
    <w:rsid w:val="00406980"/>
    <w:rsid w:val="0041088A"/>
    <w:rsid w:val="00411CB0"/>
    <w:rsid w:val="004137CF"/>
    <w:rsid w:val="00415264"/>
    <w:rsid w:val="0042353B"/>
    <w:rsid w:val="004266C4"/>
    <w:rsid w:val="00427E28"/>
    <w:rsid w:val="004310EC"/>
    <w:rsid w:val="0043551C"/>
    <w:rsid w:val="00442198"/>
    <w:rsid w:val="00442A6F"/>
    <w:rsid w:val="0044559B"/>
    <w:rsid w:val="00446CE6"/>
    <w:rsid w:val="00446D6D"/>
    <w:rsid w:val="004479B6"/>
    <w:rsid w:val="00447F0F"/>
    <w:rsid w:val="00454902"/>
    <w:rsid w:val="0045605C"/>
    <w:rsid w:val="00462F31"/>
    <w:rsid w:val="0046483E"/>
    <w:rsid w:val="0046789F"/>
    <w:rsid w:val="00471941"/>
    <w:rsid w:val="004734F3"/>
    <w:rsid w:val="00473E66"/>
    <w:rsid w:val="00477D8D"/>
    <w:rsid w:val="00480CD6"/>
    <w:rsid w:val="004815BF"/>
    <w:rsid w:val="00481FAF"/>
    <w:rsid w:val="00482D07"/>
    <w:rsid w:val="00485D78"/>
    <w:rsid w:val="00487209"/>
    <w:rsid w:val="00490009"/>
    <w:rsid w:val="00490D39"/>
    <w:rsid w:val="00491689"/>
    <w:rsid w:val="004927BB"/>
    <w:rsid w:val="00493C78"/>
    <w:rsid w:val="004A09D1"/>
    <w:rsid w:val="004A297D"/>
    <w:rsid w:val="004A2C10"/>
    <w:rsid w:val="004A5DEE"/>
    <w:rsid w:val="004A74A5"/>
    <w:rsid w:val="004B0CE9"/>
    <w:rsid w:val="004B14B9"/>
    <w:rsid w:val="004B18C2"/>
    <w:rsid w:val="004B2C0C"/>
    <w:rsid w:val="004B5B6F"/>
    <w:rsid w:val="004C29D6"/>
    <w:rsid w:val="004C5AE4"/>
    <w:rsid w:val="004D25F0"/>
    <w:rsid w:val="004D2C55"/>
    <w:rsid w:val="004D53F7"/>
    <w:rsid w:val="004D7806"/>
    <w:rsid w:val="004E5475"/>
    <w:rsid w:val="004E566F"/>
    <w:rsid w:val="004E6BDC"/>
    <w:rsid w:val="004E7FC0"/>
    <w:rsid w:val="004F03D8"/>
    <w:rsid w:val="004F46BF"/>
    <w:rsid w:val="004F4AE1"/>
    <w:rsid w:val="004F5C43"/>
    <w:rsid w:val="004F745B"/>
    <w:rsid w:val="00503351"/>
    <w:rsid w:val="005043EA"/>
    <w:rsid w:val="00507527"/>
    <w:rsid w:val="00510E14"/>
    <w:rsid w:val="00513630"/>
    <w:rsid w:val="0051503D"/>
    <w:rsid w:val="0051506B"/>
    <w:rsid w:val="00525F83"/>
    <w:rsid w:val="00533209"/>
    <w:rsid w:val="005349A0"/>
    <w:rsid w:val="00536F70"/>
    <w:rsid w:val="005445AF"/>
    <w:rsid w:val="00546D24"/>
    <w:rsid w:val="00550757"/>
    <w:rsid w:val="0055641F"/>
    <w:rsid w:val="00560125"/>
    <w:rsid w:val="005621ED"/>
    <w:rsid w:val="00562E37"/>
    <w:rsid w:val="00570996"/>
    <w:rsid w:val="00572A21"/>
    <w:rsid w:val="00575DDE"/>
    <w:rsid w:val="005766F4"/>
    <w:rsid w:val="00584F93"/>
    <w:rsid w:val="00585553"/>
    <w:rsid w:val="00585AA4"/>
    <w:rsid w:val="005923F2"/>
    <w:rsid w:val="0059580C"/>
    <w:rsid w:val="00595B63"/>
    <w:rsid w:val="005967B5"/>
    <w:rsid w:val="00596FFB"/>
    <w:rsid w:val="005A6DC7"/>
    <w:rsid w:val="005B15CE"/>
    <w:rsid w:val="005B3321"/>
    <w:rsid w:val="005B34D9"/>
    <w:rsid w:val="005B6692"/>
    <w:rsid w:val="005B6938"/>
    <w:rsid w:val="005B7D97"/>
    <w:rsid w:val="005B7DE1"/>
    <w:rsid w:val="005C15D4"/>
    <w:rsid w:val="005C1927"/>
    <w:rsid w:val="005C595D"/>
    <w:rsid w:val="005C5A17"/>
    <w:rsid w:val="005D0270"/>
    <w:rsid w:val="005D0CCF"/>
    <w:rsid w:val="005D2777"/>
    <w:rsid w:val="005D520F"/>
    <w:rsid w:val="005D676A"/>
    <w:rsid w:val="005E2585"/>
    <w:rsid w:val="005E382F"/>
    <w:rsid w:val="005E5525"/>
    <w:rsid w:val="005E5CA2"/>
    <w:rsid w:val="005E6538"/>
    <w:rsid w:val="005F0C0A"/>
    <w:rsid w:val="005F3BCB"/>
    <w:rsid w:val="005F410F"/>
    <w:rsid w:val="005F4555"/>
    <w:rsid w:val="005F6F24"/>
    <w:rsid w:val="005F73A1"/>
    <w:rsid w:val="005F73C1"/>
    <w:rsid w:val="0060149A"/>
    <w:rsid w:val="00601924"/>
    <w:rsid w:val="00603A65"/>
    <w:rsid w:val="006078D7"/>
    <w:rsid w:val="0061310A"/>
    <w:rsid w:val="0061579D"/>
    <w:rsid w:val="00617CF2"/>
    <w:rsid w:val="00623CAE"/>
    <w:rsid w:val="00630340"/>
    <w:rsid w:val="00630E20"/>
    <w:rsid w:val="00633DBD"/>
    <w:rsid w:val="006404F3"/>
    <w:rsid w:val="00640ED3"/>
    <w:rsid w:val="006413DA"/>
    <w:rsid w:val="0064385C"/>
    <w:rsid w:val="006447EA"/>
    <w:rsid w:val="0064485A"/>
    <w:rsid w:val="0064517A"/>
    <w:rsid w:val="0064731F"/>
    <w:rsid w:val="006479BF"/>
    <w:rsid w:val="006512D8"/>
    <w:rsid w:val="0065260B"/>
    <w:rsid w:val="006547DF"/>
    <w:rsid w:val="00655A1E"/>
    <w:rsid w:val="00656360"/>
    <w:rsid w:val="006640BF"/>
    <w:rsid w:val="00664572"/>
    <w:rsid w:val="006710F6"/>
    <w:rsid w:val="006714CC"/>
    <w:rsid w:val="00671527"/>
    <w:rsid w:val="00672382"/>
    <w:rsid w:val="00672ADF"/>
    <w:rsid w:val="00675A03"/>
    <w:rsid w:val="00677401"/>
    <w:rsid w:val="006777D2"/>
    <w:rsid w:val="00677CFA"/>
    <w:rsid w:val="00683988"/>
    <w:rsid w:val="00683D52"/>
    <w:rsid w:val="0068417F"/>
    <w:rsid w:val="006866EF"/>
    <w:rsid w:val="00686D17"/>
    <w:rsid w:val="00687771"/>
    <w:rsid w:val="00690772"/>
    <w:rsid w:val="0069205F"/>
    <w:rsid w:val="00693014"/>
    <w:rsid w:val="00693B94"/>
    <w:rsid w:val="00694B5B"/>
    <w:rsid w:val="006A5BAD"/>
    <w:rsid w:val="006A5D00"/>
    <w:rsid w:val="006A5DFD"/>
    <w:rsid w:val="006B1619"/>
    <w:rsid w:val="006B23B2"/>
    <w:rsid w:val="006B528F"/>
    <w:rsid w:val="006B596F"/>
    <w:rsid w:val="006B5D38"/>
    <w:rsid w:val="006C1B56"/>
    <w:rsid w:val="006C2C92"/>
    <w:rsid w:val="006D34F3"/>
    <w:rsid w:val="006D3673"/>
    <w:rsid w:val="006D3EC8"/>
    <w:rsid w:val="006D4761"/>
    <w:rsid w:val="006D59C9"/>
    <w:rsid w:val="006E1EAE"/>
    <w:rsid w:val="006E4397"/>
    <w:rsid w:val="006E63F6"/>
    <w:rsid w:val="006F1A6E"/>
    <w:rsid w:val="006F1E4F"/>
    <w:rsid w:val="006F39B0"/>
    <w:rsid w:val="006F6D61"/>
    <w:rsid w:val="00703C04"/>
    <w:rsid w:val="00703FB2"/>
    <w:rsid w:val="00704442"/>
    <w:rsid w:val="00705A03"/>
    <w:rsid w:val="00706F44"/>
    <w:rsid w:val="00711463"/>
    <w:rsid w:val="0071587D"/>
    <w:rsid w:val="00715AC5"/>
    <w:rsid w:val="00720633"/>
    <w:rsid w:val="00720DC4"/>
    <w:rsid w:val="00720FE2"/>
    <w:rsid w:val="00722957"/>
    <w:rsid w:val="00724BB8"/>
    <w:rsid w:val="00724F59"/>
    <w:rsid w:val="00725C86"/>
    <w:rsid w:val="00726872"/>
    <w:rsid w:val="00732616"/>
    <w:rsid w:val="007333DA"/>
    <w:rsid w:val="00735FE0"/>
    <w:rsid w:val="007402D2"/>
    <w:rsid w:val="007419BD"/>
    <w:rsid w:val="0074224C"/>
    <w:rsid w:val="00742714"/>
    <w:rsid w:val="00745EBA"/>
    <w:rsid w:val="00747260"/>
    <w:rsid w:val="00751C7E"/>
    <w:rsid w:val="007525FE"/>
    <w:rsid w:val="00752CB7"/>
    <w:rsid w:val="00755841"/>
    <w:rsid w:val="00756731"/>
    <w:rsid w:val="007574A5"/>
    <w:rsid w:val="00760F1C"/>
    <w:rsid w:val="00763BAE"/>
    <w:rsid w:val="007646F4"/>
    <w:rsid w:val="007657F0"/>
    <w:rsid w:val="007669F5"/>
    <w:rsid w:val="0077090C"/>
    <w:rsid w:val="0077163E"/>
    <w:rsid w:val="0077252D"/>
    <w:rsid w:val="007737C7"/>
    <w:rsid w:val="0078217B"/>
    <w:rsid w:val="007867AE"/>
    <w:rsid w:val="00787206"/>
    <w:rsid w:val="0079346C"/>
    <w:rsid w:val="00794F8D"/>
    <w:rsid w:val="007955DA"/>
    <w:rsid w:val="00796C1B"/>
    <w:rsid w:val="007A1D13"/>
    <w:rsid w:val="007A2352"/>
    <w:rsid w:val="007A6EB7"/>
    <w:rsid w:val="007A79DB"/>
    <w:rsid w:val="007B1AD6"/>
    <w:rsid w:val="007B424A"/>
    <w:rsid w:val="007B4428"/>
    <w:rsid w:val="007B4629"/>
    <w:rsid w:val="007B5B73"/>
    <w:rsid w:val="007B5E8E"/>
    <w:rsid w:val="007B7298"/>
    <w:rsid w:val="007B7519"/>
    <w:rsid w:val="007C036D"/>
    <w:rsid w:val="007C1A8E"/>
    <w:rsid w:val="007C2382"/>
    <w:rsid w:val="007C45AF"/>
    <w:rsid w:val="007C556A"/>
    <w:rsid w:val="007D038D"/>
    <w:rsid w:val="007D43B7"/>
    <w:rsid w:val="007D7042"/>
    <w:rsid w:val="007E045C"/>
    <w:rsid w:val="007E0D29"/>
    <w:rsid w:val="007E2623"/>
    <w:rsid w:val="007E29E2"/>
    <w:rsid w:val="007E5DD3"/>
    <w:rsid w:val="007F0C7C"/>
    <w:rsid w:val="007F2CA4"/>
    <w:rsid w:val="007F2FDE"/>
    <w:rsid w:val="007F350B"/>
    <w:rsid w:val="007F637D"/>
    <w:rsid w:val="007F7FF9"/>
    <w:rsid w:val="00803805"/>
    <w:rsid w:val="008055FA"/>
    <w:rsid w:val="00805780"/>
    <w:rsid w:val="00806D14"/>
    <w:rsid w:val="00810F0E"/>
    <w:rsid w:val="00813D2F"/>
    <w:rsid w:val="0081469A"/>
    <w:rsid w:val="00815028"/>
    <w:rsid w:val="00816F1E"/>
    <w:rsid w:val="00817BAC"/>
    <w:rsid w:val="00820BE4"/>
    <w:rsid w:val="008224C1"/>
    <w:rsid w:val="008229D6"/>
    <w:rsid w:val="00822F92"/>
    <w:rsid w:val="00822F94"/>
    <w:rsid w:val="00823AB3"/>
    <w:rsid w:val="00826ABB"/>
    <w:rsid w:val="0083024B"/>
    <w:rsid w:val="0083058D"/>
    <w:rsid w:val="00834D4F"/>
    <w:rsid w:val="008360E9"/>
    <w:rsid w:val="00840069"/>
    <w:rsid w:val="008416CD"/>
    <w:rsid w:val="008451E8"/>
    <w:rsid w:val="00845938"/>
    <w:rsid w:val="0084620E"/>
    <w:rsid w:val="008500B7"/>
    <w:rsid w:val="00851D31"/>
    <w:rsid w:val="0085445D"/>
    <w:rsid w:val="00854A86"/>
    <w:rsid w:val="00855EA4"/>
    <w:rsid w:val="00861200"/>
    <w:rsid w:val="0086190C"/>
    <w:rsid w:val="00865726"/>
    <w:rsid w:val="00867704"/>
    <w:rsid w:val="00870B0D"/>
    <w:rsid w:val="0087430D"/>
    <w:rsid w:val="00876FCF"/>
    <w:rsid w:val="00880932"/>
    <w:rsid w:val="0088225B"/>
    <w:rsid w:val="00882F30"/>
    <w:rsid w:val="0088536E"/>
    <w:rsid w:val="00890DBB"/>
    <w:rsid w:val="0089235F"/>
    <w:rsid w:val="008971B1"/>
    <w:rsid w:val="008A35AE"/>
    <w:rsid w:val="008A378D"/>
    <w:rsid w:val="008A482F"/>
    <w:rsid w:val="008A490D"/>
    <w:rsid w:val="008A64DF"/>
    <w:rsid w:val="008A7833"/>
    <w:rsid w:val="008A79F1"/>
    <w:rsid w:val="008C0174"/>
    <w:rsid w:val="008C5213"/>
    <w:rsid w:val="008C7C70"/>
    <w:rsid w:val="008D47EC"/>
    <w:rsid w:val="008D6AC1"/>
    <w:rsid w:val="008E0292"/>
    <w:rsid w:val="008E276C"/>
    <w:rsid w:val="008E2ED8"/>
    <w:rsid w:val="008E4C1A"/>
    <w:rsid w:val="008F205F"/>
    <w:rsid w:val="008F22EA"/>
    <w:rsid w:val="008F5584"/>
    <w:rsid w:val="00901741"/>
    <w:rsid w:val="00905220"/>
    <w:rsid w:val="00905D75"/>
    <w:rsid w:val="00912E7B"/>
    <w:rsid w:val="00913B9C"/>
    <w:rsid w:val="00921BB0"/>
    <w:rsid w:val="009223E4"/>
    <w:rsid w:val="00924172"/>
    <w:rsid w:val="0092453D"/>
    <w:rsid w:val="009254C0"/>
    <w:rsid w:val="00925706"/>
    <w:rsid w:val="00925C32"/>
    <w:rsid w:val="00925FE1"/>
    <w:rsid w:val="00926E1E"/>
    <w:rsid w:val="009315D8"/>
    <w:rsid w:val="0093617A"/>
    <w:rsid w:val="00937321"/>
    <w:rsid w:val="00942201"/>
    <w:rsid w:val="0094492B"/>
    <w:rsid w:val="00944A0E"/>
    <w:rsid w:val="00951173"/>
    <w:rsid w:val="00951A25"/>
    <w:rsid w:val="00956E77"/>
    <w:rsid w:val="00957FDC"/>
    <w:rsid w:val="00964F9F"/>
    <w:rsid w:val="00971994"/>
    <w:rsid w:val="00977E68"/>
    <w:rsid w:val="009821DA"/>
    <w:rsid w:val="00982A04"/>
    <w:rsid w:val="00982FE0"/>
    <w:rsid w:val="00983F3F"/>
    <w:rsid w:val="009847C3"/>
    <w:rsid w:val="0098564F"/>
    <w:rsid w:val="00991293"/>
    <w:rsid w:val="0099145F"/>
    <w:rsid w:val="00992A28"/>
    <w:rsid w:val="00992A4F"/>
    <w:rsid w:val="0099702F"/>
    <w:rsid w:val="009A2731"/>
    <w:rsid w:val="009A4E96"/>
    <w:rsid w:val="009A4ED1"/>
    <w:rsid w:val="009A7A13"/>
    <w:rsid w:val="009B293E"/>
    <w:rsid w:val="009B6175"/>
    <w:rsid w:val="009C097B"/>
    <w:rsid w:val="009C119F"/>
    <w:rsid w:val="009C1E70"/>
    <w:rsid w:val="009C5872"/>
    <w:rsid w:val="009C6BB3"/>
    <w:rsid w:val="009E077E"/>
    <w:rsid w:val="009E243E"/>
    <w:rsid w:val="009E554D"/>
    <w:rsid w:val="009F2453"/>
    <w:rsid w:val="009F24A7"/>
    <w:rsid w:val="009F4811"/>
    <w:rsid w:val="009F61E5"/>
    <w:rsid w:val="00A025DE"/>
    <w:rsid w:val="00A037DD"/>
    <w:rsid w:val="00A042BA"/>
    <w:rsid w:val="00A0450D"/>
    <w:rsid w:val="00A04BF4"/>
    <w:rsid w:val="00A07A85"/>
    <w:rsid w:val="00A07D40"/>
    <w:rsid w:val="00A11CD7"/>
    <w:rsid w:val="00A1286B"/>
    <w:rsid w:val="00A168D3"/>
    <w:rsid w:val="00A2461B"/>
    <w:rsid w:val="00A25FD6"/>
    <w:rsid w:val="00A31305"/>
    <w:rsid w:val="00A31405"/>
    <w:rsid w:val="00A32FFA"/>
    <w:rsid w:val="00A3378F"/>
    <w:rsid w:val="00A343AC"/>
    <w:rsid w:val="00A34F61"/>
    <w:rsid w:val="00A362FB"/>
    <w:rsid w:val="00A417C1"/>
    <w:rsid w:val="00A44228"/>
    <w:rsid w:val="00A445F6"/>
    <w:rsid w:val="00A448E3"/>
    <w:rsid w:val="00A44F33"/>
    <w:rsid w:val="00A461A7"/>
    <w:rsid w:val="00A464B9"/>
    <w:rsid w:val="00A47A23"/>
    <w:rsid w:val="00A543F6"/>
    <w:rsid w:val="00A5499A"/>
    <w:rsid w:val="00A55953"/>
    <w:rsid w:val="00A56453"/>
    <w:rsid w:val="00A568BE"/>
    <w:rsid w:val="00A64188"/>
    <w:rsid w:val="00A6431C"/>
    <w:rsid w:val="00A64EFC"/>
    <w:rsid w:val="00A73543"/>
    <w:rsid w:val="00A74CB9"/>
    <w:rsid w:val="00A7755F"/>
    <w:rsid w:val="00A818F6"/>
    <w:rsid w:val="00A82511"/>
    <w:rsid w:val="00A85DAD"/>
    <w:rsid w:val="00A93CCE"/>
    <w:rsid w:val="00A946CA"/>
    <w:rsid w:val="00A95B6A"/>
    <w:rsid w:val="00AA1D8E"/>
    <w:rsid w:val="00AA225C"/>
    <w:rsid w:val="00AA35E7"/>
    <w:rsid w:val="00AA390C"/>
    <w:rsid w:val="00AA56E8"/>
    <w:rsid w:val="00AA5730"/>
    <w:rsid w:val="00AA7D9A"/>
    <w:rsid w:val="00AB44A8"/>
    <w:rsid w:val="00AB69FA"/>
    <w:rsid w:val="00AC0C65"/>
    <w:rsid w:val="00AC2BA1"/>
    <w:rsid w:val="00AC2DC9"/>
    <w:rsid w:val="00AC425B"/>
    <w:rsid w:val="00AC6782"/>
    <w:rsid w:val="00AC6A06"/>
    <w:rsid w:val="00AD35CB"/>
    <w:rsid w:val="00AD376E"/>
    <w:rsid w:val="00AD3C69"/>
    <w:rsid w:val="00AD4A7A"/>
    <w:rsid w:val="00AD5AE8"/>
    <w:rsid w:val="00AE0426"/>
    <w:rsid w:val="00AE0C6B"/>
    <w:rsid w:val="00AE0F85"/>
    <w:rsid w:val="00AE4B06"/>
    <w:rsid w:val="00AE66B5"/>
    <w:rsid w:val="00AE6CF6"/>
    <w:rsid w:val="00AE703C"/>
    <w:rsid w:val="00AF08F6"/>
    <w:rsid w:val="00AF0929"/>
    <w:rsid w:val="00AF45D2"/>
    <w:rsid w:val="00AF4CA7"/>
    <w:rsid w:val="00AF5A45"/>
    <w:rsid w:val="00AF6115"/>
    <w:rsid w:val="00AF7349"/>
    <w:rsid w:val="00AF7CB6"/>
    <w:rsid w:val="00B00D32"/>
    <w:rsid w:val="00B0200A"/>
    <w:rsid w:val="00B0390D"/>
    <w:rsid w:val="00B04C32"/>
    <w:rsid w:val="00B0512E"/>
    <w:rsid w:val="00B1122A"/>
    <w:rsid w:val="00B13990"/>
    <w:rsid w:val="00B17211"/>
    <w:rsid w:val="00B21853"/>
    <w:rsid w:val="00B237E2"/>
    <w:rsid w:val="00B24856"/>
    <w:rsid w:val="00B25D99"/>
    <w:rsid w:val="00B26AB8"/>
    <w:rsid w:val="00B27068"/>
    <w:rsid w:val="00B30C85"/>
    <w:rsid w:val="00B31C10"/>
    <w:rsid w:val="00B3258D"/>
    <w:rsid w:val="00B3353A"/>
    <w:rsid w:val="00B35457"/>
    <w:rsid w:val="00B36065"/>
    <w:rsid w:val="00B37C54"/>
    <w:rsid w:val="00B4164B"/>
    <w:rsid w:val="00B435AD"/>
    <w:rsid w:val="00B45047"/>
    <w:rsid w:val="00B46A4F"/>
    <w:rsid w:val="00B46D8E"/>
    <w:rsid w:val="00B52DF1"/>
    <w:rsid w:val="00B538A6"/>
    <w:rsid w:val="00B54C95"/>
    <w:rsid w:val="00B57264"/>
    <w:rsid w:val="00B574DB"/>
    <w:rsid w:val="00B608CF"/>
    <w:rsid w:val="00B60E82"/>
    <w:rsid w:val="00B66222"/>
    <w:rsid w:val="00B6637F"/>
    <w:rsid w:val="00B67923"/>
    <w:rsid w:val="00B71E4F"/>
    <w:rsid w:val="00B72349"/>
    <w:rsid w:val="00B72470"/>
    <w:rsid w:val="00B73A1A"/>
    <w:rsid w:val="00B744AD"/>
    <w:rsid w:val="00B749BA"/>
    <w:rsid w:val="00B75498"/>
    <w:rsid w:val="00B81450"/>
    <w:rsid w:val="00B826C2"/>
    <w:rsid w:val="00B8298E"/>
    <w:rsid w:val="00B84F3C"/>
    <w:rsid w:val="00B85305"/>
    <w:rsid w:val="00B87D53"/>
    <w:rsid w:val="00B90154"/>
    <w:rsid w:val="00B91B15"/>
    <w:rsid w:val="00B92288"/>
    <w:rsid w:val="00B9367E"/>
    <w:rsid w:val="00B94FB5"/>
    <w:rsid w:val="00B962BC"/>
    <w:rsid w:val="00BA09F6"/>
    <w:rsid w:val="00BA1CE9"/>
    <w:rsid w:val="00BA4181"/>
    <w:rsid w:val="00BA49FA"/>
    <w:rsid w:val="00BA504E"/>
    <w:rsid w:val="00BA51B9"/>
    <w:rsid w:val="00BA7549"/>
    <w:rsid w:val="00BB6EA3"/>
    <w:rsid w:val="00BC0557"/>
    <w:rsid w:val="00BC0E43"/>
    <w:rsid w:val="00BC204E"/>
    <w:rsid w:val="00BC49D9"/>
    <w:rsid w:val="00BD0095"/>
    <w:rsid w:val="00BD0723"/>
    <w:rsid w:val="00BD2518"/>
    <w:rsid w:val="00BD3DCF"/>
    <w:rsid w:val="00BD6770"/>
    <w:rsid w:val="00BE07E8"/>
    <w:rsid w:val="00BE0B8F"/>
    <w:rsid w:val="00BE2C49"/>
    <w:rsid w:val="00BE2D5A"/>
    <w:rsid w:val="00BF1D1C"/>
    <w:rsid w:val="00BF393A"/>
    <w:rsid w:val="00BF3AEF"/>
    <w:rsid w:val="00BF3B2F"/>
    <w:rsid w:val="00BF5CE9"/>
    <w:rsid w:val="00BF6132"/>
    <w:rsid w:val="00C01AEB"/>
    <w:rsid w:val="00C01C3A"/>
    <w:rsid w:val="00C0244F"/>
    <w:rsid w:val="00C046AF"/>
    <w:rsid w:val="00C06B85"/>
    <w:rsid w:val="00C10919"/>
    <w:rsid w:val="00C10E7D"/>
    <w:rsid w:val="00C12B29"/>
    <w:rsid w:val="00C145B1"/>
    <w:rsid w:val="00C16596"/>
    <w:rsid w:val="00C17FDA"/>
    <w:rsid w:val="00C20C59"/>
    <w:rsid w:val="00C20DAE"/>
    <w:rsid w:val="00C2195F"/>
    <w:rsid w:val="00C23E0B"/>
    <w:rsid w:val="00C2640F"/>
    <w:rsid w:val="00C2727F"/>
    <w:rsid w:val="00C315B9"/>
    <w:rsid w:val="00C3249A"/>
    <w:rsid w:val="00C32C43"/>
    <w:rsid w:val="00C336A5"/>
    <w:rsid w:val="00C337E7"/>
    <w:rsid w:val="00C33B10"/>
    <w:rsid w:val="00C35ED3"/>
    <w:rsid w:val="00C41001"/>
    <w:rsid w:val="00C4120F"/>
    <w:rsid w:val="00C414C0"/>
    <w:rsid w:val="00C4282B"/>
    <w:rsid w:val="00C46A08"/>
    <w:rsid w:val="00C5429E"/>
    <w:rsid w:val="00C5445A"/>
    <w:rsid w:val="00C55787"/>
    <w:rsid w:val="00C55B1F"/>
    <w:rsid w:val="00C55D89"/>
    <w:rsid w:val="00C57DC9"/>
    <w:rsid w:val="00C627F7"/>
    <w:rsid w:val="00C62E99"/>
    <w:rsid w:val="00C63D04"/>
    <w:rsid w:val="00C65FC1"/>
    <w:rsid w:val="00C66205"/>
    <w:rsid w:val="00C6666B"/>
    <w:rsid w:val="00C66FA9"/>
    <w:rsid w:val="00C7417B"/>
    <w:rsid w:val="00C74900"/>
    <w:rsid w:val="00C77895"/>
    <w:rsid w:val="00C806A4"/>
    <w:rsid w:val="00C80B15"/>
    <w:rsid w:val="00C81CF7"/>
    <w:rsid w:val="00C83216"/>
    <w:rsid w:val="00C852A0"/>
    <w:rsid w:val="00C92761"/>
    <w:rsid w:val="00C94272"/>
    <w:rsid w:val="00CA08A6"/>
    <w:rsid w:val="00CA0A89"/>
    <w:rsid w:val="00CA2F50"/>
    <w:rsid w:val="00CA6F1F"/>
    <w:rsid w:val="00CA6F4D"/>
    <w:rsid w:val="00CB07BF"/>
    <w:rsid w:val="00CB211A"/>
    <w:rsid w:val="00CB2467"/>
    <w:rsid w:val="00CB24F1"/>
    <w:rsid w:val="00CB302B"/>
    <w:rsid w:val="00CC2AE2"/>
    <w:rsid w:val="00CC35C2"/>
    <w:rsid w:val="00CC4759"/>
    <w:rsid w:val="00CC4824"/>
    <w:rsid w:val="00CC5754"/>
    <w:rsid w:val="00CC7E89"/>
    <w:rsid w:val="00CD2A86"/>
    <w:rsid w:val="00CD3E3C"/>
    <w:rsid w:val="00CD492D"/>
    <w:rsid w:val="00CD4976"/>
    <w:rsid w:val="00CD4DDD"/>
    <w:rsid w:val="00CD60C4"/>
    <w:rsid w:val="00CE1604"/>
    <w:rsid w:val="00CE1EF5"/>
    <w:rsid w:val="00CE30BC"/>
    <w:rsid w:val="00CE69F3"/>
    <w:rsid w:val="00CE77AB"/>
    <w:rsid w:val="00CF1A67"/>
    <w:rsid w:val="00CF21FF"/>
    <w:rsid w:val="00CF225E"/>
    <w:rsid w:val="00CF7C5C"/>
    <w:rsid w:val="00D02E8A"/>
    <w:rsid w:val="00D0430A"/>
    <w:rsid w:val="00D0507E"/>
    <w:rsid w:val="00D068C4"/>
    <w:rsid w:val="00D12CE2"/>
    <w:rsid w:val="00D1327D"/>
    <w:rsid w:val="00D16537"/>
    <w:rsid w:val="00D17E49"/>
    <w:rsid w:val="00D27450"/>
    <w:rsid w:val="00D2750E"/>
    <w:rsid w:val="00D331B1"/>
    <w:rsid w:val="00D37002"/>
    <w:rsid w:val="00D4058A"/>
    <w:rsid w:val="00D4071C"/>
    <w:rsid w:val="00D42CB7"/>
    <w:rsid w:val="00D50A36"/>
    <w:rsid w:val="00D5601F"/>
    <w:rsid w:val="00D562C0"/>
    <w:rsid w:val="00D564B7"/>
    <w:rsid w:val="00D60B38"/>
    <w:rsid w:val="00D62446"/>
    <w:rsid w:val="00D63B64"/>
    <w:rsid w:val="00D656DC"/>
    <w:rsid w:val="00D678C0"/>
    <w:rsid w:val="00D70E39"/>
    <w:rsid w:val="00D719EB"/>
    <w:rsid w:val="00D72125"/>
    <w:rsid w:val="00D76870"/>
    <w:rsid w:val="00D77C83"/>
    <w:rsid w:val="00D77F06"/>
    <w:rsid w:val="00D80E8A"/>
    <w:rsid w:val="00D818BB"/>
    <w:rsid w:val="00D81BD1"/>
    <w:rsid w:val="00D84DEA"/>
    <w:rsid w:val="00D905C9"/>
    <w:rsid w:val="00D91420"/>
    <w:rsid w:val="00D91CDF"/>
    <w:rsid w:val="00D923C9"/>
    <w:rsid w:val="00D93F08"/>
    <w:rsid w:val="00DA44C6"/>
    <w:rsid w:val="00DA45FF"/>
    <w:rsid w:val="00DA4EA2"/>
    <w:rsid w:val="00DA6683"/>
    <w:rsid w:val="00DA7363"/>
    <w:rsid w:val="00DB09F5"/>
    <w:rsid w:val="00DB38F7"/>
    <w:rsid w:val="00DB3FF8"/>
    <w:rsid w:val="00DB7DB9"/>
    <w:rsid w:val="00DC0597"/>
    <w:rsid w:val="00DC066D"/>
    <w:rsid w:val="00DC2895"/>
    <w:rsid w:val="00DC3D3E"/>
    <w:rsid w:val="00DC4321"/>
    <w:rsid w:val="00DC5B06"/>
    <w:rsid w:val="00DC5F42"/>
    <w:rsid w:val="00DC7727"/>
    <w:rsid w:val="00DD1AC9"/>
    <w:rsid w:val="00DD35BB"/>
    <w:rsid w:val="00DD51E3"/>
    <w:rsid w:val="00DD6266"/>
    <w:rsid w:val="00DE1B91"/>
    <w:rsid w:val="00DE2C90"/>
    <w:rsid w:val="00DE3B24"/>
    <w:rsid w:val="00DE5A12"/>
    <w:rsid w:val="00DE7B45"/>
    <w:rsid w:val="00DF0F81"/>
    <w:rsid w:val="00DF1CE0"/>
    <w:rsid w:val="00DF317F"/>
    <w:rsid w:val="00DF43B8"/>
    <w:rsid w:val="00DF5B59"/>
    <w:rsid w:val="00DF660C"/>
    <w:rsid w:val="00E02B65"/>
    <w:rsid w:val="00E02D11"/>
    <w:rsid w:val="00E06947"/>
    <w:rsid w:val="00E06F70"/>
    <w:rsid w:val="00E124B0"/>
    <w:rsid w:val="00E142A2"/>
    <w:rsid w:val="00E15781"/>
    <w:rsid w:val="00E1734A"/>
    <w:rsid w:val="00E22263"/>
    <w:rsid w:val="00E23D86"/>
    <w:rsid w:val="00E25CF6"/>
    <w:rsid w:val="00E276AA"/>
    <w:rsid w:val="00E30044"/>
    <w:rsid w:val="00E304EE"/>
    <w:rsid w:val="00E30A22"/>
    <w:rsid w:val="00E313D8"/>
    <w:rsid w:val="00E31F82"/>
    <w:rsid w:val="00E31FA3"/>
    <w:rsid w:val="00E33958"/>
    <w:rsid w:val="00E344C3"/>
    <w:rsid w:val="00E3592D"/>
    <w:rsid w:val="00E41BEF"/>
    <w:rsid w:val="00E45FB4"/>
    <w:rsid w:val="00E50A9E"/>
    <w:rsid w:val="00E52776"/>
    <w:rsid w:val="00E5437C"/>
    <w:rsid w:val="00E61F2C"/>
    <w:rsid w:val="00E62115"/>
    <w:rsid w:val="00E63E85"/>
    <w:rsid w:val="00E65AA7"/>
    <w:rsid w:val="00E65E11"/>
    <w:rsid w:val="00E71228"/>
    <w:rsid w:val="00E74821"/>
    <w:rsid w:val="00E7553E"/>
    <w:rsid w:val="00E7707F"/>
    <w:rsid w:val="00E77E26"/>
    <w:rsid w:val="00E8048A"/>
    <w:rsid w:val="00E81485"/>
    <w:rsid w:val="00E857BA"/>
    <w:rsid w:val="00E86388"/>
    <w:rsid w:val="00E87D79"/>
    <w:rsid w:val="00E90B0A"/>
    <w:rsid w:val="00E90D75"/>
    <w:rsid w:val="00E91253"/>
    <w:rsid w:val="00E92DE8"/>
    <w:rsid w:val="00E97012"/>
    <w:rsid w:val="00E97C37"/>
    <w:rsid w:val="00EA07A0"/>
    <w:rsid w:val="00EA3640"/>
    <w:rsid w:val="00EA532B"/>
    <w:rsid w:val="00EA6930"/>
    <w:rsid w:val="00EA6B0A"/>
    <w:rsid w:val="00EB1212"/>
    <w:rsid w:val="00EB2581"/>
    <w:rsid w:val="00EB3F7A"/>
    <w:rsid w:val="00EB7F22"/>
    <w:rsid w:val="00EC5FC0"/>
    <w:rsid w:val="00EC6AD2"/>
    <w:rsid w:val="00EC6C27"/>
    <w:rsid w:val="00ED3056"/>
    <w:rsid w:val="00ED42A7"/>
    <w:rsid w:val="00ED57F2"/>
    <w:rsid w:val="00ED65AB"/>
    <w:rsid w:val="00ED7950"/>
    <w:rsid w:val="00EE255F"/>
    <w:rsid w:val="00EE50EB"/>
    <w:rsid w:val="00EE5736"/>
    <w:rsid w:val="00EE5B6F"/>
    <w:rsid w:val="00EF272E"/>
    <w:rsid w:val="00EF387E"/>
    <w:rsid w:val="00EF4607"/>
    <w:rsid w:val="00EF5B85"/>
    <w:rsid w:val="00EF6125"/>
    <w:rsid w:val="00EF7E07"/>
    <w:rsid w:val="00F00093"/>
    <w:rsid w:val="00F00A95"/>
    <w:rsid w:val="00F05643"/>
    <w:rsid w:val="00F06875"/>
    <w:rsid w:val="00F069B5"/>
    <w:rsid w:val="00F074F0"/>
    <w:rsid w:val="00F07EAD"/>
    <w:rsid w:val="00F10717"/>
    <w:rsid w:val="00F111B8"/>
    <w:rsid w:val="00F12850"/>
    <w:rsid w:val="00F13C7E"/>
    <w:rsid w:val="00F14633"/>
    <w:rsid w:val="00F20FBB"/>
    <w:rsid w:val="00F2335E"/>
    <w:rsid w:val="00F23900"/>
    <w:rsid w:val="00F252A4"/>
    <w:rsid w:val="00F31E0C"/>
    <w:rsid w:val="00F32828"/>
    <w:rsid w:val="00F33BF4"/>
    <w:rsid w:val="00F36CB4"/>
    <w:rsid w:val="00F37040"/>
    <w:rsid w:val="00F37244"/>
    <w:rsid w:val="00F40187"/>
    <w:rsid w:val="00F432E5"/>
    <w:rsid w:val="00F51894"/>
    <w:rsid w:val="00F527CF"/>
    <w:rsid w:val="00F55751"/>
    <w:rsid w:val="00F55CF4"/>
    <w:rsid w:val="00F613BC"/>
    <w:rsid w:val="00F61A49"/>
    <w:rsid w:val="00F63662"/>
    <w:rsid w:val="00F63761"/>
    <w:rsid w:val="00F66210"/>
    <w:rsid w:val="00F7105E"/>
    <w:rsid w:val="00F73C1F"/>
    <w:rsid w:val="00F75F57"/>
    <w:rsid w:val="00F8253D"/>
    <w:rsid w:val="00F82FEE"/>
    <w:rsid w:val="00F83E77"/>
    <w:rsid w:val="00F84323"/>
    <w:rsid w:val="00F86E22"/>
    <w:rsid w:val="00F9016E"/>
    <w:rsid w:val="00F94917"/>
    <w:rsid w:val="00F94BC2"/>
    <w:rsid w:val="00F95FD3"/>
    <w:rsid w:val="00F9680D"/>
    <w:rsid w:val="00F97933"/>
    <w:rsid w:val="00FA1C30"/>
    <w:rsid w:val="00FA2A14"/>
    <w:rsid w:val="00FA3C80"/>
    <w:rsid w:val="00FB49E9"/>
    <w:rsid w:val="00FB5B96"/>
    <w:rsid w:val="00FB70FD"/>
    <w:rsid w:val="00FB7F03"/>
    <w:rsid w:val="00FC2D53"/>
    <w:rsid w:val="00FC43CF"/>
    <w:rsid w:val="00FC654A"/>
    <w:rsid w:val="00FD0753"/>
    <w:rsid w:val="00FD0ADC"/>
    <w:rsid w:val="00FD2615"/>
    <w:rsid w:val="00FD3178"/>
    <w:rsid w:val="00FD3206"/>
    <w:rsid w:val="00FD3F1B"/>
    <w:rsid w:val="00FD57D3"/>
    <w:rsid w:val="00FD751F"/>
    <w:rsid w:val="00FD7DE1"/>
    <w:rsid w:val="00FE311B"/>
    <w:rsid w:val="00FE325B"/>
    <w:rsid w:val="00FE3C56"/>
    <w:rsid w:val="00FE47DA"/>
    <w:rsid w:val="00FE7AFD"/>
    <w:rsid w:val="00FF095F"/>
    <w:rsid w:val="00FF11BD"/>
    <w:rsid w:val="00FF1B58"/>
    <w:rsid w:val="00FF35A8"/>
    <w:rsid w:val="00FF4983"/>
    <w:rsid w:val="00FF4DBE"/>
    <w:rsid w:val="00FF4F1E"/>
    <w:rsid w:val="00FF743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FC1DEC"/>
  <w15:docId w15:val="{A40953E9-9DC2-4D93-A31C-EB001CAAF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5744B"/>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4"/>
      <w:lang w:val="es-ES_tradnl" w:eastAsia="en-US"/>
    </w:rPr>
  </w:style>
  <w:style w:type="paragraph" w:styleId="Heading1">
    <w:name w:val="heading 1"/>
    <w:basedOn w:val="Normal"/>
    <w:next w:val="Normal"/>
    <w:link w:val="Heading1Char"/>
    <w:uiPriority w:val="9"/>
    <w:qFormat/>
    <w:rsid w:val="000B0D00"/>
    <w:pPr>
      <w:keepNext/>
      <w:keepLines/>
      <w:spacing w:before="480"/>
      <w:ind w:left="567" w:hanging="567"/>
      <w:outlineLvl w:val="0"/>
    </w:pPr>
    <w:rPr>
      <w:b/>
      <w:sz w:val="28"/>
    </w:rPr>
  </w:style>
  <w:style w:type="paragraph" w:styleId="Heading2">
    <w:name w:val="heading 2"/>
    <w:basedOn w:val="Heading1"/>
    <w:next w:val="Normal"/>
    <w:link w:val="Heading2Char"/>
    <w:uiPriority w:val="9"/>
    <w:qFormat/>
    <w:rsid w:val="000B0D00"/>
    <w:pPr>
      <w:spacing w:before="320"/>
      <w:outlineLvl w:val="1"/>
    </w:pPr>
    <w:rPr>
      <w:sz w:val="24"/>
    </w:rPr>
  </w:style>
  <w:style w:type="paragraph" w:styleId="Heading3">
    <w:name w:val="heading 3"/>
    <w:basedOn w:val="Heading1"/>
    <w:next w:val="Normal"/>
    <w:link w:val="Heading3Char"/>
    <w:uiPriority w:val="9"/>
    <w:qFormat/>
    <w:rsid w:val="000B0D00"/>
    <w:pPr>
      <w:spacing w:before="200"/>
      <w:outlineLvl w:val="2"/>
    </w:pPr>
    <w:rPr>
      <w:sz w:val="24"/>
    </w:rPr>
  </w:style>
  <w:style w:type="paragraph" w:styleId="Heading4">
    <w:name w:val="heading 4"/>
    <w:basedOn w:val="Heading3"/>
    <w:next w:val="Normal"/>
    <w:link w:val="Heading4Char"/>
    <w:uiPriority w:val="9"/>
    <w:qFormat/>
    <w:rsid w:val="000B0D00"/>
    <w:pPr>
      <w:ind w:left="1134" w:hanging="1134"/>
      <w:outlineLvl w:val="3"/>
    </w:pPr>
  </w:style>
  <w:style w:type="paragraph" w:styleId="Heading5">
    <w:name w:val="heading 5"/>
    <w:basedOn w:val="Heading4"/>
    <w:next w:val="Normal"/>
    <w:link w:val="Heading5Char"/>
    <w:uiPriority w:val="9"/>
    <w:qFormat/>
    <w:rsid w:val="000B0D00"/>
    <w:pPr>
      <w:outlineLvl w:val="4"/>
    </w:pPr>
  </w:style>
  <w:style w:type="paragraph" w:styleId="Heading6">
    <w:name w:val="heading 6"/>
    <w:basedOn w:val="Heading4"/>
    <w:next w:val="Normal"/>
    <w:link w:val="Heading6Char"/>
    <w:qFormat/>
    <w:rsid w:val="000B0D00"/>
    <w:pPr>
      <w:outlineLvl w:val="5"/>
    </w:pPr>
  </w:style>
  <w:style w:type="paragraph" w:styleId="Heading7">
    <w:name w:val="heading 7"/>
    <w:basedOn w:val="Heading4"/>
    <w:next w:val="Normal"/>
    <w:link w:val="Heading7Char"/>
    <w:uiPriority w:val="99"/>
    <w:qFormat/>
    <w:rsid w:val="000B0D00"/>
    <w:pPr>
      <w:ind w:left="1701" w:hanging="1701"/>
      <w:outlineLvl w:val="6"/>
    </w:pPr>
  </w:style>
  <w:style w:type="paragraph" w:styleId="Heading8">
    <w:name w:val="heading 8"/>
    <w:basedOn w:val="Heading4"/>
    <w:next w:val="Normal"/>
    <w:link w:val="Heading8Char"/>
    <w:uiPriority w:val="99"/>
    <w:qFormat/>
    <w:rsid w:val="000B0D00"/>
    <w:pPr>
      <w:ind w:left="1701" w:hanging="1701"/>
      <w:outlineLvl w:val="7"/>
    </w:pPr>
  </w:style>
  <w:style w:type="paragraph" w:styleId="Heading9">
    <w:name w:val="heading 9"/>
    <w:basedOn w:val="Heading4"/>
    <w:next w:val="Normal"/>
    <w:link w:val="Heading9Char"/>
    <w:uiPriority w:val="99"/>
    <w:qFormat/>
    <w:rsid w:val="000B0D00"/>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uiPriority w:val="39"/>
    <w:rsid w:val="006710F6"/>
  </w:style>
  <w:style w:type="paragraph" w:styleId="TOC4">
    <w:name w:val="toc 4"/>
    <w:basedOn w:val="Normal"/>
    <w:next w:val="Normal"/>
    <w:uiPriority w:val="39"/>
    <w:rsid w:val="000B0D00"/>
    <w:pPr>
      <w:tabs>
        <w:tab w:val="clear" w:pos="567"/>
        <w:tab w:val="clear" w:pos="1134"/>
        <w:tab w:val="clear" w:pos="1701"/>
        <w:tab w:val="clear" w:pos="2268"/>
        <w:tab w:val="clear" w:pos="2835"/>
        <w:tab w:val="left" w:pos="964"/>
        <w:tab w:val="left" w:pos="8789"/>
        <w:tab w:val="right" w:pos="9639"/>
      </w:tabs>
      <w:ind w:left="964" w:hanging="964"/>
    </w:pPr>
  </w:style>
  <w:style w:type="paragraph" w:styleId="TOC3">
    <w:name w:val="toc 3"/>
    <w:basedOn w:val="Normal"/>
    <w:next w:val="Normal"/>
    <w:uiPriority w:val="39"/>
    <w:rsid w:val="000B0D00"/>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uiPriority w:val="39"/>
    <w:rsid w:val="000B0D00"/>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uiPriority w:val="39"/>
    <w:rsid w:val="000B0D00"/>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TOC7">
    <w:name w:val="toc 7"/>
    <w:basedOn w:val="Normal"/>
    <w:next w:val="Normal"/>
    <w:uiPriority w:val="39"/>
    <w:rsid w:val="000B0D00"/>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uiPriority w:val="39"/>
    <w:rsid w:val="000B0D00"/>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uiPriority w:val="39"/>
    <w:rsid w:val="000B0D00"/>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Index7">
    <w:name w:val="index 7"/>
    <w:basedOn w:val="Normal"/>
    <w:next w:val="Normal"/>
    <w:uiPriority w:val="99"/>
    <w:rsid w:val="006710F6"/>
    <w:pPr>
      <w:ind w:left="1698"/>
    </w:pPr>
  </w:style>
  <w:style w:type="paragraph" w:styleId="Index6">
    <w:name w:val="index 6"/>
    <w:basedOn w:val="Normal"/>
    <w:next w:val="Normal"/>
    <w:uiPriority w:val="99"/>
    <w:rsid w:val="006710F6"/>
    <w:pPr>
      <w:ind w:left="1415"/>
    </w:pPr>
  </w:style>
  <w:style w:type="paragraph" w:styleId="Index5">
    <w:name w:val="index 5"/>
    <w:basedOn w:val="Normal"/>
    <w:next w:val="Normal"/>
    <w:uiPriority w:val="99"/>
    <w:rsid w:val="006710F6"/>
    <w:pPr>
      <w:ind w:left="1132"/>
    </w:pPr>
  </w:style>
  <w:style w:type="paragraph" w:styleId="Index4">
    <w:name w:val="index 4"/>
    <w:basedOn w:val="Normal"/>
    <w:next w:val="Normal"/>
    <w:uiPriority w:val="99"/>
    <w:rsid w:val="006710F6"/>
    <w:pPr>
      <w:ind w:left="849"/>
    </w:pPr>
  </w:style>
  <w:style w:type="paragraph" w:styleId="Index3">
    <w:name w:val="index 3"/>
    <w:basedOn w:val="Normal"/>
    <w:next w:val="Normal"/>
    <w:uiPriority w:val="99"/>
    <w:rsid w:val="006710F6"/>
    <w:pPr>
      <w:ind w:left="566"/>
    </w:pPr>
  </w:style>
  <w:style w:type="paragraph" w:styleId="Index2">
    <w:name w:val="index 2"/>
    <w:basedOn w:val="Normal"/>
    <w:next w:val="Normal"/>
    <w:uiPriority w:val="99"/>
    <w:rsid w:val="006710F6"/>
    <w:pPr>
      <w:ind w:left="283"/>
    </w:pPr>
  </w:style>
  <w:style w:type="paragraph" w:styleId="Index1">
    <w:name w:val="index 1"/>
    <w:basedOn w:val="Normal"/>
    <w:next w:val="Normal"/>
    <w:uiPriority w:val="99"/>
    <w:rsid w:val="006710F6"/>
  </w:style>
  <w:style w:type="character" w:styleId="LineNumber">
    <w:name w:val="line number"/>
    <w:basedOn w:val="DefaultParagraphFont"/>
    <w:rsid w:val="006710F6"/>
  </w:style>
  <w:style w:type="paragraph" w:styleId="IndexHeading">
    <w:name w:val="index heading"/>
    <w:basedOn w:val="Normal"/>
    <w:next w:val="Index1"/>
    <w:uiPriority w:val="99"/>
    <w:rsid w:val="006710F6"/>
  </w:style>
  <w:style w:type="paragraph" w:styleId="Footer">
    <w:name w:val="footer"/>
    <w:basedOn w:val="Normal"/>
    <w:link w:val="FooterChar"/>
    <w:uiPriority w:val="99"/>
    <w:rsid w:val="000B0D00"/>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basedOn w:val="Normal"/>
    <w:link w:val="HeaderChar"/>
    <w:uiPriority w:val="99"/>
    <w:rsid w:val="000B0D00"/>
    <w:pPr>
      <w:tabs>
        <w:tab w:val="clear" w:pos="567"/>
        <w:tab w:val="clear" w:pos="1134"/>
        <w:tab w:val="clear" w:pos="1701"/>
        <w:tab w:val="clear" w:pos="2268"/>
        <w:tab w:val="clear" w:pos="2835"/>
      </w:tabs>
      <w:spacing w:before="0"/>
      <w:jc w:val="center"/>
    </w:pPr>
    <w:rPr>
      <w:sz w:val="18"/>
    </w:rPr>
  </w:style>
  <w:style w:type="character" w:styleId="FootnoteReference">
    <w:name w:val="footnote reference"/>
    <w:basedOn w:val="DefaultParagraphFont"/>
    <w:uiPriority w:val="99"/>
    <w:rsid w:val="000B0D00"/>
    <w:rPr>
      <w:position w:val="6"/>
      <w:sz w:val="16"/>
    </w:rPr>
  </w:style>
  <w:style w:type="paragraph" w:styleId="FootnoteText">
    <w:name w:val="footnote text"/>
    <w:aliases w:val="ALTS FOOTNOTE,Schriftart: 9 pt,Schriftart: 10 pt,Schriftart: 8 pt,WB-Fuكnotentext,Footnote text,Footnote Text Char Char Char Char,Footnote Text Char Char,Footnote Text Char Char Char Char Char,WB-Fußnotentext,MTFootnote,fn,Fußn"/>
    <w:basedOn w:val="Normal"/>
    <w:link w:val="FootnoteTextChar"/>
    <w:uiPriority w:val="99"/>
    <w:rsid w:val="000B0D00"/>
    <w:pPr>
      <w:keepLines/>
      <w:tabs>
        <w:tab w:val="left" w:pos="256"/>
      </w:tabs>
      <w:ind w:left="256" w:hanging="256"/>
    </w:pPr>
  </w:style>
  <w:style w:type="paragraph" w:styleId="NormalIndent">
    <w:name w:val="Normal Indent"/>
    <w:basedOn w:val="Normal"/>
    <w:uiPriority w:val="99"/>
    <w:rsid w:val="000B0D00"/>
    <w:pPr>
      <w:ind w:left="567"/>
    </w:pPr>
  </w:style>
  <w:style w:type="paragraph" w:customStyle="1" w:styleId="AnnexNo">
    <w:name w:val="Annex_No"/>
    <w:basedOn w:val="Normal"/>
    <w:next w:val="Annexref"/>
    <w:uiPriority w:val="99"/>
    <w:rsid w:val="000B0D00"/>
    <w:pPr>
      <w:spacing w:before="720"/>
      <w:jc w:val="center"/>
    </w:pPr>
    <w:rPr>
      <w:caps/>
      <w:sz w:val="28"/>
    </w:rPr>
  </w:style>
  <w:style w:type="paragraph" w:customStyle="1" w:styleId="Annextitle">
    <w:name w:val="Annex_title"/>
    <w:basedOn w:val="Normal"/>
    <w:next w:val="Normal"/>
    <w:uiPriority w:val="99"/>
    <w:rsid w:val="000B0D00"/>
    <w:pPr>
      <w:spacing w:before="240" w:after="240"/>
      <w:jc w:val="center"/>
    </w:pPr>
    <w:rPr>
      <w:b/>
      <w:sz w:val="28"/>
    </w:rPr>
  </w:style>
  <w:style w:type="paragraph" w:customStyle="1" w:styleId="Annexref">
    <w:name w:val="Annex_ref"/>
    <w:basedOn w:val="Normal"/>
    <w:next w:val="Annextitle"/>
    <w:uiPriority w:val="99"/>
    <w:rsid w:val="000B0D00"/>
    <w:pPr>
      <w:jc w:val="center"/>
    </w:pPr>
    <w:rPr>
      <w:sz w:val="28"/>
    </w:rPr>
  </w:style>
  <w:style w:type="paragraph" w:customStyle="1" w:styleId="Normalaftertitle">
    <w:name w:val="Normal after title"/>
    <w:basedOn w:val="Normal"/>
    <w:next w:val="Normal"/>
    <w:uiPriority w:val="99"/>
    <w:rsid w:val="000B0D00"/>
    <w:pPr>
      <w:spacing w:before="240"/>
    </w:pPr>
  </w:style>
  <w:style w:type="paragraph" w:customStyle="1" w:styleId="AppendixNo">
    <w:name w:val="Appendix_No"/>
    <w:basedOn w:val="AnnexNo"/>
    <w:next w:val="Appendixref"/>
    <w:uiPriority w:val="99"/>
    <w:rsid w:val="000B0D00"/>
  </w:style>
  <w:style w:type="paragraph" w:customStyle="1" w:styleId="Appendixtitle">
    <w:name w:val="Appendix_title"/>
    <w:basedOn w:val="Annextitle"/>
    <w:next w:val="Normal"/>
    <w:uiPriority w:val="99"/>
    <w:rsid w:val="000B0D00"/>
  </w:style>
  <w:style w:type="paragraph" w:customStyle="1" w:styleId="Appendixref">
    <w:name w:val="Appendix_ref"/>
    <w:basedOn w:val="Annexref"/>
    <w:next w:val="Appendixtitle"/>
    <w:uiPriority w:val="99"/>
    <w:rsid w:val="000B0D00"/>
  </w:style>
  <w:style w:type="paragraph" w:customStyle="1" w:styleId="enumlev1">
    <w:name w:val="enumlev1"/>
    <w:basedOn w:val="Normal"/>
    <w:uiPriority w:val="99"/>
    <w:rsid w:val="000B0D00"/>
    <w:pPr>
      <w:spacing w:before="86"/>
      <w:ind w:left="567" w:hanging="567"/>
    </w:pPr>
  </w:style>
  <w:style w:type="paragraph" w:customStyle="1" w:styleId="enumlev2">
    <w:name w:val="enumlev2"/>
    <w:basedOn w:val="enumlev1"/>
    <w:uiPriority w:val="99"/>
    <w:rsid w:val="000B0D00"/>
    <w:pPr>
      <w:ind w:left="1134"/>
    </w:pPr>
  </w:style>
  <w:style w:type="paragraph" w:customStyle="1" w:styleId="enumlev3">
    <w:name w:val="enumlev3"/>
    <w:basedOn w:val="enumlev2"/>
    <w:uiPriority w:val="99"/>
    <w:rsid w:val="000B0D00"/>
    <w:pPr>
      <w:ind w:left="1701"/>
    </w:pPr>
  </w:style>
  <w:style w:type="paragraph" w:customStyle="1" w:styleId="Artheading">
    <w:name w:val="Art_heading"/>
    <w:basedOn w:val="Normal"/>
    <w:next w:val="Normalaftertitle"/>
    <w:uiPriority w:val="99"/>
    <w:rsid w:val="000B0D00"/>
    <w:pPr>
      <w:tabs>
        <w:tab w:val="clear" w:pos="567"/>
        <w:tab w:val="clear" w:pos="1134"/>
        <w:tab w:val="clear" w:pos="1701"/>
        <w:tab w:val="clear" w:pos="2268"/>
        <w:tab w:val="clear" w:pos="2835"/>
      </w:tabs>
      <w:spacing w:before="480"/>
      <w:jc w:val="center"/>
    </w:pPr>
    <w:rPr>
      <w:b/>
    </w:rPr>
  </w:style>
  <w:style w:type="paragraph" w:customStyle="1" w:styleId="ArtNo">
    <w:name w:val="Art_No"/>
    <w:basedOn w:val="Normal"/>
    <w:next w:val="Arttitle"/>
    <w:uiPriority w:val="99"/>
    <w:rsid w:val="000B0D00"/>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uiPriority w:val="99"/>
    <w:rsid w:val="000B0D00"/>
    <w:pPr>
      <w:tabs>
        <w:tab w:val="clear" w:pos="567"/>
        <w:tab w:val="clear" w:pos="1134"/>
        <w:tab w:val="clear" w:pos="1701"/>
        <w:tab w:val="clear" w:pos="2268"/>
        <w:tab w:val="clear" w:pos="2835"/>
      </w:tabs>
      <w:spacing w:before="240" w:after="240"/>
      <w:jc w:val="center"/>
    </w:pPr>
    <w:rPr>
      <w:b/>
      <w:sz w:val="28"/>
    </w:rPr>
  </w:style>
  <w:style w:type="paragraph" w:customStyle="1" w:styleId="Call">
    <w:name w:val="Call"/>
    <w:basedOn w:val="Normal"/>
    <w:next w:val="Normal"/>
    <w:uiPriority w:val="99"/>
    <w:rsid w:val="000B0D00"/>
    <w:pPr>
      <w:keepNext/>
      <w:keepLines/>
      <w:tabs>
        <w:tab w:val="clear" w:pos="1134"/>
        <w:tab w:val="clear" w:pos="1701"/>
        <w:tab w:val="clear" w:pos="2268"/>
        <w:tab w:val="clear" w:pos="2835"/>
      </w:tabs>
      <w:spacing w:before="160"/>
      <w:ind w:left="567"/>
    </w:pPr>
    <w:rPr>
      <w:i/>
    </w:rPr>
  </w:style>
  <w:style w:type="paragraph" w:customStyle="1" w:styleId="ChapNo">
    <w:name w:val="Chap_No"/>
    <w:basedOn w:val="ArtNo"/>
    <w:next w:val="Chaptitle"/>
    <w:uiPriority w:val="99"/>
    <w:rsid w:val="000B0D00"/>
  </w:style>
  <w:style w:type="paragraph" w:customStyle="1" w:styleId="Chaptitle">
    <w:name w:val="Chap_title"/>
    <w:basedOn w:val="Arttitle"/>
    <w:next w:val="Normal"/>
    <w:uiPriority w:val="99"/>
    <w:rsid w:val="000B0D00"/>
  </w:style>
  <w:style w:type="paragraph" w:customStyle="1" w:styleId="Equationlegend">
    <w:name w:val="Equation_legend"/>
    <w:basedOn w:val="NormalIndent"/>
    <w:uiPriority w:val="99"/>
    <w:rsid w:val="006710F6"/>
    <w:pPr>
      <w:tabs>
        <w:tab w:val="right" w:pos="1531"/>
      </w:tabs>
      <w:spacing w:before="80"/>
      <w:ind w:left="1701" w:hanging="1701"/>
    </w:pPr>
  </w:style>
  <w:style w:type="paragraph" w:customStyle="1" w:styleId="Figure">
    <w:name w:val="Figure"/>
    <w:basedOn w:val="Normal"/>
    <w:next w:val="Figuretitle"/>
    <w:rsid w:val="00E65E11"/>
    <w:pPr>
      <w:spacing w:after="120"/>
      <w:jc w:val="center"/>
    </w:pPr>
  </w:style>
  <w:style w:type="paragraph" w:customStyle="1" w:styleId="Figuretitle">
    <w:name w:val="Figure_title"/>
    <w:basedOn w:val="Tabletitle"/>
    <w:next w:val="Normalaftertitle"/>
    <w:rsid w:val="006710F6"/>
    <w:pPr>
      <w:spacing w:before="240" w:after="480"/>
    </w:pPr>
  </w:style>
  <w:style w:type="paragraph" w:customStyle="1" w:styleId="Tabletitle">
    <w:name w:val="Table_title"/>
    <w:basedOn w:val="TableNo"/>
    <w:next w:val="Tabletext"/>
    <w:rsid w:val="000B0D00"/>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No">
    <w:name w:val="Table_No"/>
    <w:basedOn w:val="Normal"/>
    <w:next w:val="Tabletitle"/>
    <w:uiPriority w:val="99"/>
    <w:rsid w:val="000B0D00"/>
    <w:pPr>
      <w:keepNext/>
      <w:spacing w:before="560" w:after="120"/>
      <w:jc w:val="center"/>
    </w:pPr>
    <w:rPr>
      <w:caps/>
    </w:rPr>
  </w:style>
  <w:style w:type="paragraph" w:customStyle="1" w:styleId="Tabletext">
    <w:name w:val="Table_text"/>
    <w:basedOn w:val="Normal"/>
    <w:link w:val="TabletextChar"/>
    <w:qFormat/>
    <w:rsid w:val="000B0D00"/>
    <w:pPr>
      <w:tabs>
        <w:tab w:val="clear" w:pos="567"/>
        <w:tab w:val="clear" w:pos="1134"/>
        <w:tab w:val="clear" w:pos="1701"/>
        <w:tab w:val="clear" w:pos="2268"/>
        <w:tab w:val="clear" w:pos="2835"/>
      </w:tabs>
      <w:spacing w:before="60" w:after="60"/>
    </w:pPr>
    <w:rPr>
      <w:sz w:val="22"/>
    </w:rPr>
  </w:style>
  <w:style w:type="paragraph" w:customStyle="1" w:styleId="Figurelegend">
    <w:name w:val="Figure_legend"/>
    <w:basedOn w:val="Normal"/>
    <w:uiPriority w:val="99"/>
    <w:rsid w:val="006710F6"/>
    <w:pPr>
      <w:keepNext/>
      <w:keepLines/>
      <w:spacing w:before="20" w:after="20"/>
    </w:pPr>
    <w:rPr>
      <w:sz w:val="18"/>
    </w:rPr>
  </w:style>
  <w:style w:type="paragraph" w:customStyle="1" w:styleId="Equation">
    <w:name w:val="Equation"/>
    <w:basedOn w:val="Normal"/>
    <w:uiPriority w:val="99"/>
    <w:rsid w:val="006710F6"/>
    <w:pPr>
      <w:tabs>
        <w:tab w:val="center" w:pos="4820"/>
        <w:tab w:val="right" w:pos="9639"/>
      </w:tabs>
    </w:pPr>
  </w:style>
  <w:style w:type="paragraph" w:customStyle="1" w:styleId="Head">
    <w:name w:val="Head"/>
    <w:basedOn w:val="Normal"/>
    <w:uiPriority w:val="99"/>
    <w:rsid w:val="006710F6"/>
    <w:pPr>
      <w:tabs>
        <w:tab w:val="left" w:pos="6663"/>
      </w:tabs>
      <w:overflowPunct/>
      <w:autoSpaceDE/>
      <w:autoSpaceDN/>
      <w:adjustRightInd/>
      <w:spacing w:before="0"/>
      <w:textAlignment w:val="auto"/>
    </w:pPr>
  </w:style>
  <w:style w:type="paragraph" w:customStyle="1" w:styleId="toc0">
    <w:name w:val="toc 0"/>
    <w:basedOn w:val="Normal"/>
    <w:next w:val="TOC1"/>
    <w:uiPriority w:val="99"/>
    <w:rsid w:val="000B0D00"/>
    <w:pPr>
      <w:tabs>
        <w:tab w:val="clear" w:pos="567"/>
        <w:tab w:val="clear" w:pos="1134"/>
        <w:tab w:val="clear" w:pos="1701"/>
        <w:tab w:val="clear" w:pos="2268"/>
        <w:tab w:val="clear" w:pos="2835"/>
        <w:tab w:val="right" w:pos="9781"/>
      </w:tabs>
    </w:pPr>
    <w:rPr>
      <w:b/>
    </w:rPr>
  </w:style>
  <w:style w:type="paragraph" w:styleId="List">
    <w:name w:val="List"/>
    <w:basedOn w:val="Normal"/>
    <w:uiPriority w:val="99"/>
    <w:rsid w:val="006710F6"/>
    <w:pPr>
      <w:tabs>
        <w:tab w:val="left" w:pos="2127"/>
      </w:tabs>
      <w:ind w:left="2127" w:hanging="2127"/>
    </w:pPr>
  </w:style>
  <w:style w:type="paragraph" w:customStyle="1" w:styleId="Part">
    <w:name w:val="Part"/>
    <w:basedOn w:val="Normal"/>
    <w:uiPriority w:val="99"/>
    <w:rsid w:val="006710F6"/>
    <w:pPr>
      <w:tabs>
        <w:tab w:val="left" w:pos="1276"/>
      </w:tabs>
      <w:spacing w:before="199"/>
      <w:ind w:left="1701" w:hanging="1701"/>
    </w:pPr>
    <w:rPr>
      <w:caps/>
    </w:rPr>
  </w:style>
  <w:style w:type="paragraph" w:customStyle="1" w:styleId="Figurewithouttitle">
    <w:name w:val="Figure_without_title"/>
    <w:basedOn w:val="Figure"/>
    <w:next w:val="Normalaftertitle"/>
    <w:uiPriority w:val="99"/>
    <w:rsid w:val="006710F6"/>
    <w:pPr>
      <w:spacing w:after="240"/>
    </w:pPr>
  </w:style>
  <w:style w:type="character" w:styleId="PageNumber">
    <w:name w:val="page number"/>
    <w:basedOn w:val="DefaultParagraphFont"/>
    <w:rsid w:val="000B0D00"/>
    <w:rPr>
      <w:rFonts w:ascii="Calibri" w:hAnsi="Calibri"/>
    </w:rPr>
  </w:style>
  <w:style w:type="paragraph" w:customStyle="1" w:styleId="meeting">
    <w:name w:val="meeting"/>
    <w:basedOn w:val="Head"/>
    <w:next w:val="Head"/>
    <w:uiPriority w:val="99"/>
    <w:rsid w:val="006710F6"/>
    <w:pPr>
      <w:tabs>
        <w:tab w:val="left" w:pos="7371"/>
      </w:tabs>
      <w:spacing w:after="567"/>
    </w:pPr>
  </w:style>
  <w:style w:type="paragraph" w:customStyle="1" w:styleId="PartNo">
    <w:name w:val="Part_No"/>
    <w:basedOn w:val="AnnexNo"/>
    <w:next w:val="Parttitle"/>
    <w:uiPriority w:val="99"/>
    <w:rsid w:val="006710F6"/>
  </w:style>
  <w:style w:type="paragraph" w:customStyle="1" w:styleId="Parttitle">
    <w:name w:val="Part_title"/>
    <w:basedOn w:val="Annextitle"/>
    <w:next w:val="Partref"/>
    <w:uiPriority w:val="99"/>
    <w:rsid w:val="006710F6"/>
  </w:style>
  <w:style w:type="paragraph" w:customStyle="1" w:styleId="Partref">
    <w:name w:val="Part_ref"/>
    <w:basedOn w:val="Annexref"/>
    <w:next w:val="Normalaftertitle"/>
    <w:uiPriority w:val="99"/>
    <w:rsid w:val="006710F6"/>
  </w:style>
  <w:style w:type="paragraph" w:customStyle="1" w:styleId="Headingb">
    <w:name w:val="Heading_b"/>
    <w:basedOn w:val="Heading3"/>
    <w:next w:val="Normal"/>
    <w:rsid w:val="004F745B"/>
    <w:pPr>
      <w:spacing w:before="160"/>
      <w:ind w:left="0" w:firstLine="0"/>
      <w:outlineLvl w:val="0"/>
    </w:pPr>
  </w:style>
  <w:style w:type="paragraph" w:customStyle="1" w:styleId="Subject">
    <w:name w:val="Subject"/>
    <w:basedOn w:val="Normal"/>
    <w:next w:val="Source"/>
    <w:uiPriority w:val="99"/>
    <w:rsid w:val="006710F6"/>
    <w:pPr>
      <w:tabs>
        <w:tab w:val="left" w:pos="709"/>
      </w:tabs>
      <w:spacing w:before="0"/>
      <w:ind w:left="709" w:hanging="709"/>
    </w:pPr>
  </w:style>
  <w:style w:type="paragraph" w:customStyle="1" w:styleId="Source">
    <w:name w:val="Source"/>
    <w:basedOn w:val="Normal"/>
    <w:next w:val="Title1"/>
    <w:uiPriority w:val="99"/>
    <w:rsid w:val="000B0D00"/>
    <w:pPr>
      <w:spacing w:before="840"/>
      <w:jc w:val="center"/>
    </w:pPr>
    <w:rPr>
      <w:b/>
      <w:sz w:val="28"/>
    </w:rPr>
  </w:style>
  <w:style w:type="paragraph" w:customStyle="1" w:styleId="Data">
    <w:name w:val="Data"/>
    <w:basedOn w:val="Subject"/>
    <w:next w:val="Subject"/>
    <w:uiPriority w:val="99"/>
    <w:rsid w:val="006710F6"/>
  </w:style>
  <w:style w:type="character" w:styleId="Hyperlink">
    <w:name w:val="Hyperlink"/>
    <w:aliases w:val="超级链接,Style 58,超?级链,超????,하이퍼링크2,하이퍼링크21,超链接1,CEO_Hyperlink"/>
    <w:basedOn w:val="DefaultParagraphFont"/>
    <w:uiPriority w:val="99"/>
    <w:qFormat/>
    <w:rsid w:val="000B0D00"/>
    <w:rPr>
      <w:color w:val="0000FF"/>
      <w:u w:val="single"/>
    </w:rPr>
  </w:style>
  <w:style w:type="character" w:styleId="FollowedHyperlink">
    <w:name w:val="FollowedHyperlink"/>
    <w:basedOn w:val="DefaultParagraphFont"/>
    <w:uiPriority w:val="99"/>
    <w:rsid w:val="006710F6"/>
    <w:rPr>
      <w:color w:val="800080"/>
      <w:u w:val="single"/>
    </w:rPr>
  </w:style>
  <w:style w:type="paragraph" w:customStyle="1" w:styleId="FirstFooter">
    <w:name w:val="FirstFooter"/>
    <w:basedOn w:val="Footer"/>
    <w:uiPriority w:val="99"/>
    <w:rsid w:val="000B0D00"/>
    <w:rPr>
      <w:caps w:val="0"/>
    </w:rPr>
  </w:style>
  <w:style w:type="paragraph" w:customStyle="1" w:styleId="Note">
    <w:name w:val="Note"/>
    <w:basedOn w:val="Normal"/>
    <w:rsid w:val="000B0D00"/>
    <w:pPr>
      <w:tabs>
        <w:tab w:val="clear" w:pos="567"/>
        <w:tab w:val="left" w:pos="851"/>
      </w:tabs>
    </w:pPr>
  </w:style>
  <w:style w:type="paragraph" w:styleId="TOC9">
    <w:name w:val="toc 9"/>
    <w:basedOn w:val="TOC4"/>
    <w:uiPriority w:val="39"/>
    <w:rsid w:val="006710F6"/>
  </w:style>
  <w:style w:type="paragraph" w:customStyle="1" w:styleId="Headingi">
    <w:name w:val="Heading_i"/>
    <w:basedOn w:val="Heading3"/>
    <w:next w:val="Normal"/>
    <w:uiPriority w:val="99"/>
    <w:rsid w:val="000B0D00"/>
    <w:pPr>
      <w:spacing w:before="160"/>
      <w:outlineLvl w:val="0"/>
    </w:pPr>
    <w:rPr>
      <w:b w:val="0"/>
      <w:i/>
    </w:rPr>
  </w:style>
  <w:style w:type="paragraph" w:customStyle="1" w:styleId="Title1">
    <w:name w:val="Title 1"/>
    <w:basedOn w:val="Source"/>
    <w:next w:val="Title2"/>
    <w:uiPriority w:val="99"/>
    <w:rsid w:val="000B0D00"/>
    <w:pPr>
      <w:spacing w:before="240"/>
    </w:pPr>
    <w:rPr>
      <w:b w:val="0"/>
      <w:caps/>
    </w:rPr>
  </w:style>
  <w:style w:type="paragraph" w:customStyle="1" w:styleId="Title2">
    <w:name w:val="Title 2"/>
    <w:basedOn w:val="Source"/>
    <w:next w:val="Title3"/>
    <w:uiPriority w:val="99"/>
    <w:rsid w:val="000B0D00"/>
    <w:pPr>
      <w:spacing w:before="240"/>
    </w:pPr>
    <w:rPr>
      <w:b w:val="0"/>
      <w:caps/>
    </w:rPr>
  </w:style>
  <w:style w:type="paragraph" w:customStyle="1" w:styleId="Title3">
    <w:name w:val="Title 3"/>
    <w:basedOn w:val="Title2"/>
    <w:next w:val="Normalaftertitle"/>
    <w:uiPriority w:val="99"/>
    <w:rsid w:val="000B0D00"/>
    <w:rPr>
      <w:caps w:val="0"/>
    </w:rPr>
  </w:style>
  <w:style w:type="paragraph" w:customStyle="1" w:styleId="Title4">
    <w:name w:val="Title 4"/>
    <w:basedOn w:val="Title3"/>
    <w:next w:val="Heading1"/>
    <w:uiPriority w:val="99"/>
    <w:rsid w:val="006710F6"/>
    <w:rPr>
      <w:b/>
    </w:rPr>
  </w:style>
  <w:style w:type="paragraph" w:customStyle="1" w:styleId="dnum">
    <w:name w:val="dnum"/>
    <w:basedOn w:val="Normal"/>
    <w:uiPriority w:val="99"/>
    <w:rsid w:val="006710F6"/>
    <w:pPr>
      <w:framePr w:hSpace="181" w:wrap="notBeside" w:vAnchor="page" w:hAnchor="margin" w:x="1" w:y="852"/>
      <w:shd w:val="solid" w:color="FFFFFF" w:fill="FFFFFF"/>
      <w:tabs>
        <w:tab w:val="left" w:pos="1871"/>
      </w:tabs>
    </w:pPr>
    <w:rPr>
      <w:b/>
      <w:bCs/>
    </w:rPr>
  </w:style>
  <w:style w:type="paragraph" w:customStyle="1" w:styleId="ddate">
    <w:name w:val="ddate"/>
    <w:basedOn w:val="Normal"/>
    <w:uiPriority w:val="99"/>
    <w:rsid w:val="006710F6"/>
    <w:pPr>
      <w:framePr w:hSpace="181" w:wrap="notBeside" w:vAnchor="page" w:hAnchor="margin" w:x="1" w:y="852"/>
      <w:shd w:val="solid" w:color="FFFFFF" w:fill="FFFFFF"/>
      <w:tabs>
        <w:tab w:val="left" w:pos="1871"/>
      </w:tabs>
      <w:spacing w:before="0"/>
    </w:pPr>
    <w:rPr>
      <w:b/>
      <w:bCs/>
    </w:rPr>
  </w:style>
  <w:style w:type="paragraph" w:customStyle="1" w:styleId="dorlang">
    <w:name w:val="dorlang"/>
    <w:basedOn w:val="Normal"/>
    <w:uiPriority w:val="99"/>
    <w:rsid w:val="006710F6"/>
    <w:pPr>
      <w:framePr w:hSpace="181" w:wrap="notBeside" w:vAnchor="page" w:hAnchor="margin" w:x="1" w:y="852"/>
      <w:shd w:val="solid" w:color="FFFFFF" w:fill="FFFFFF"/>
      <w:tabs>
        <w:tab w:val="left" w:pos="1871"/>
      </w:tabs>
      <w:spacing w:before="0"/>
    </w:pPr>
    <w:rPr>
      <w:b/>
      <w:bCs/>
    </w:rPr>
  </w:style>
  <w:style w:type="paragraph" w:customStyle="1" w:styleId="RecNo">
    <w:name w:val="Rec_No"/>
    <w:basedOn w:val="Normal"/>
    <w:next w:val="Rectitle"/>
    <w:uiPriority w:val="99"/>
    <w:rsid w:val="000B0D00"/>
    <w:pPr>
      <w:spacing w:before="720"/>
      <w:jc w:val="center"/>
    </w:pPr>
    <w:rPr>
      <w:caps/>
      <w:sz w:val="28"/>
    </w:rPr>
  </w:style>
  <w:style w:type="paragraph" w:customStyle="1" w:styleId="Rectitle">
    <w:name w:val="Rec_title"/>
    <w:basedOn w:val="Normal"/>
    <w:next w:val="Heading1"/>
    <w:uiPriority w:val="99"/>
    <w:rsid w:val="000B0D00"/>
    <w:pPr>
      <w:spacing w:before="240"/>
      <w:jc w:val="center"/>
    </w:pPr>
    <w:rPr>
      <w:b/>
      <w:sz w:val="28"/>
    </w:rPr>
  </w:style>
  <w:style w:type="paragraph" w:customStyle="1" w:styleId="Recref">
    <w:name w:val="Rec_ref"/>
    <w:basedOn w:val="Rectitle"/>
    <w:next w:val="Recdate"/>
    <w:uiPriority w:val="99"/>
    <w:rsid w:val="006710F6"/>
    <w:pPr>
      <w:spacing w:before="120"/>
    </w:pPr>
    <w:rPr>
      <w:rFonts w:ascii="Times New Roman" w:hAnsi="Times New Roman"/>
      <w:b w:val="0"/>
      <w:sz w:val="24"/>
    </w:rPr>
  </w:style>
  <w:style w:type="paragraph" w:customStyle="1" w:styleId="Recdate">
    <w:name w:val="Rec_date"/>
    <w:basedOn w:val="Recref"/>
    <w:next w:val="Normalaftertitle"/>
    <w:uiPriority w:val="99"/>
    <w:rsid w:val="006710F6"/>
    <w:pPr>
      <w:jc w:val="right"/>
    </w:pPr>
    <w:rPr>
      <w:sz w:val="22"/>
    </w:rPr>
  </w:style>
  <w:style w:type="paragraph" w:customStyle="1" w:styleId="Questiondate">
    <w:name w:val="Question_date"/>
    <w:basedOn w:val="Recdate"/>
    <w:next w:val="Normalaftertitle"/>
    <w:uiPriority w:val="99"/>
    <w:rsid w:val="006710F6"/>
  </w:style>
  <w:style w:type="paragraph" w:customStyle="1" w:styleId="QuestionNo">
    <w:name w:val="Question_No"/>
    <w:basedOn w:val="RecNo"/>
    <w:next w:val="Questiontitle"/>
    <w:uiPriority w:val="99"/>
    <w:rsid w:val="006710F6"/>
  </w:style>
  <w:style w:type="paragraph" w:customStyle="1" w:styleId="Questiontitle">
    <w:name w:val="Question_title"/>
    <w:basedOn w:val="Rectitle"/>
    <w:next w:val="Questionref"/>
    <w:uiPriority w:val="99"/>
    <w:rsid w:val="006710F6"/>
  </w:style>
  <w:style w:type="paragraph" w:customStyle="1" w:styleId="Questionref">
    <w:name w:val="Question_ref"/>
    <w:basedOn w:val="Recref"/>
    <w:next w:val="Questiondate"/>
    <w:uiPriority w:val="99"/>
    <w:rsid w:val="006710F6"/>
  </w:style>
  <w:style w:type="paragraph" w:customStyle="1" w:styleId="Reftext">
    <w:name w:val="Ref_text"/>
    <w:basedOn w:val="Normal"/>
    <w:uiPriority w:val="99"/>
    <w:rsid w:val="000B0D00"/>
    <w:pPr>
      <w:ind w:left="567" w:hanging="567"/>
    </w:pPr>
  </w:style>
  <w:style w:type="paragraph" w:customStyle="1" w:styleId="Reftitle">
    <w:name w:val="Ref_title"/>
    <w:basedOn w:val="Normal"/>
    <w:next w:val="Reftext"/>
    <w:uiPriority w:val="99"/>
    <w:rsid w:val="000B0D00"/>
    <w:pPr>
      <w:spacing w:before="480"/>
      <w:jc w:val="center"/>
    </w:pPr>
    <w:rPr>
      <w:caps/>
      <w:sz w:val="28"/>
    </w:rPr>
  </w:style>
  <w:style w:type="paragraph" w:customStyle="1" w:styleId="Repdate">
    <w:name w:val="Rep_date"/>
    <w:basedOn w:val="Recdate"/>
    <w:next w:val="Normalaftertitle"/>
    <w:uiPriority w:val="99"/>
    <w:rsid w:val="006710F6"/>
  </w:style>
  <w:style w:type="paragraph" w:customStyle="1" w:styleId="RepNo">
    <w:name w:val="Rep_No"/>
    <w:basedOn w:val="RecNo"/>
    <w:next w:val="Reptitle"/>
    <w:uiPriority w:val="99"/>
    <w:rsid w:val="006710F6"/>
  </w:style>
  <w:style w:type="paragraph" w:customStyle="1" w:styleId="Reptitle">
    <w:name w:val="Rep_title"/>
    <w:basedOn w:val="Rectitle"/>
    <w:next w:val="Repref"/>
    <w:uiPriority w:val="99"/>
    <w:rsid w:val="006710F6"/>
  </w:style>
  <w:style w:type="paragraph" w:customStyle="1" w:styleId="Repref">
    <w:name w:val="Rep_ref"/>
    <w:basedOn w:val="Recref"/>
    <w:next w:val="Repdate"/>
    <w:uiPriority w:val="99"/>
    <w:rsid w:val="006710F6"/>
  </w:style>
  <w:style w:type="paragraph" w:customStyle="1" w:styleId="Resdate">
    <w:name w:val="Res_date"/>
    <w:basedOn w:val="Recdate"/>
    <w:next w:val="Normalaftertitle"/>
    <w:uiPriority w:val="99"/>
    <w:rsid w:val="006710F6"/>
  </w:style>
  <w:style w:type="paragraph" w:customStyle="1" w:styleId="ResNo">
    <w:name w:val="Res_No"/>
    <w:basedOn w:val="AnnexNo"/>
    <w:next w:val="Restitle"/>
    <w:uiPriority w:val="99"/>
    <w:rsid w:val="000B0D00"/>
  </w:style>
  <w:style w:type="paragraph" w:customStyle="1" w:styleId="Restitle">
    <w:name w:val="Res_title"/>
    <w:basedOn w:val="Annextitle"/>
    <w:next w:val="Normal"/>
    <w:uiPriority w:val="99"/>
    <w:rsid w:val="000B0D00"/>
  </w:style>
  <w:style w:type="paragraph" w:customStyle="1" w:styleId="Resref">
    <w:name w:val="Res_ref"/>
    <w:basedOn w:val="Recref"/>
    <w:next w:val="Resdate"/>
    <w:uiPriority w:val="99"/>
    <w:rsid w:val="006710F6"/>
  </w:style>
  <w:style w:type="paragraph" w:customStyle="1" w:styleId="SectionNo">
    <w:name w:val="Section_No"/>
    <w:basedOn w:val="AnnexNo"/>
    <w:next w:val="Sectiontitle"/>
    <w:uiPriority w:val="99"/>
    <w:rsid w:val="006710F6"/>
  </w:style>
  <w:style w:type="paragraph" w:customStyle="1" w:styleId="Sectiontitle">
    <w:name w:val="Section_title"/>
    <w:basedOn w:val="Normal"/>
    <w:next w:val="Normalaftertitle"/>
    <w:uiPriority w:val="99"/>
    <w:rsid w:val="006710F6"/>
    <w:rPr>
      <w:sz w:val="28"/>
    </w:rPr>
  </w:style>
  <w:style w:type="paragraph" w:customStyle="1" w:styleId="SpecialFooter">
    <w:name w:val="Special Footer"/>
    <w:basedOn w:val="Footer"/>
    <w:uiPriority w:val="99"/>
    <w:rsid w:val="006710F6"/>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rsid w:val="000B0D00"/>
    <w:pPr>
      <w:spacing w:before="120" w:after="120"/>
      <w:jc w:val="center"/>
    </w:pPr>
    <w:rPr>
      <w:b/>
    </w:rPr>
  </w:style>
  <w:style w:type="paragraph" w:customStyle="1" w:styleId="Tablelegend">
    <w:name w:val="Table_legend"/>
    <w:basedOn w:val="Tabletext"/>
    <w:uiPriority w:val="99"/>
    <w:rsid w:val="006710F6"/>
    <w:pPr>
      <w:spacing w:before="120"/>
    </w:pPr>
  </w:style>
  <w:style w:type="paragraph" w:customStyle="1" w:styleId="Tableref">
    <w:name w:val="Table_ref"/>
    <w:basedOn w:val="Normal"/>
    <w:next w:val="Tabletitle"/>
    <w:uiPriority w:val="99"/>
    <w:rsid w:val="006710F6"/>
    <w:pPr>
      <w:keepNext/>
      <w:spacing w:before="567"/>
      <w:jc w:val="center"/>
    </w:pPr>
  </w:style>
  <w:style w:type="paragraph" w:customStyle="1" w:styleId="Reasons">
    <w:name w:val="Reasons"/>
    <w:basedOn w:val="Normal"/>
    <w:qFormat/>
    <w:rsid w:val="000B0D00"/>
  </w:style>
  <w:style w:type="paragraph" w:customStyle="1" w:styleId="FigureNo">
    <w:name w:val="Figure_No"/>
    <w:basedOn w:val="Normal"/>
    <w:next w:val="Figuretitle"/>
    <w:uiPriority w:val="99"/>
    <w:rsid w:val="006710F6"/>
    <w:pPr>
      <w:keepNext/>
      <w:keepLines/>
      <w:spacing w:before="240" w:after="120"/>
      <w:jc w:val="center"/>
    </w:pPr>
    <w:rPr>
      <w:caps/>
    </w:rPr>
  </w:style>
  <w:style w:type="paragraph" w:customStyle="1" w:styleId="Table">
    <w:name w:val="Table_#"/>
    <w:basedOn w:val="Normal"/>
    <w:next w:val="Normal"/>
    <w:uiPriority w:val="99"/>
    <w:rsid w:val="00093EEB"/>
    <w:pPr>
      <w:keepNext/>
      <w:overflowPunct/>
      <w:autoSpaceDE/>
      <w:autoSpaceDN/>
      <w:adjustRightInd/>
      <w:spacing w:before="560" w:after="120"/>
      <w:jc w:val="center"/>
      <w:textAlignment w:val="auto"/>
    </w:pPr>
    <w:rPr>
      <w:caps/>
      <w:lang w:val="en-GB"/>
    </w:rPr>
  </w:style>
  <w:style w:type="character" w:customStyle="1" w:styleId="UnresolvedMention1">
    <w:name w:val="Unresolved Mention1"/>
    <w:basedOn w:val="DefaultParagraphFont"/>
    <w:uiPriority w:val="99"/>
    <w:unhideWhenUsed/>
    <w:rsid w:val="00823AB3"/>
    <w:rPr>
      <w:color w:val="605E5C"/>
      <w:shd w:val="clear" w:color="auto" w:fill="E1DFDD"/>
    </w:rPr>
  </w:style>
  <w:style w:type="character" w:customStyle="1" w:styleId="Heading1Char">
    <w:name w:val="Heading 1 Char"/>
    <w:basedOn w:val="DefaultParagraphFont"/>
    <w:link w:val="Heading1"/>
    <w:uiPriority w:val="9"/>
    <w:rsid w:val="00823AB3"/>
    <w:rPr>
      <w:rFonts w:ascii="Calibri" w:hAnsi="Calibri"/>
      <w:b/>
      <w:sz w:val="28"/>
      <w:lang w:val="es-ES_tradnl" w:eastAsia="en-US"/>
    </w:rPr>
  </w:style>
  <w:style w:type="character" w:customStyle="1" w:styleId="Heading2Char">
    <w:name w:val="Heading 2 Char"/>
    <w:basedOn w:val="DefaultParagraphFont"/>
    <w:link w:val="Heading2"/>
    <w:uiPriority w:val="9"/>
    <w:rsid w:val="00823AB3"/>
    <w:rPr>
      <w:rFonts w:ascii="Calibri" w:hAnsi="Calibri"/>
      <w:b/>
      <w:sz w:val="24"/>
      <w:lang w:val="es-ES_tradnl" w:eastAsia="en-US"/>
    </w:rPr>
  </w:style>
  <w:style w:type="character" w:customStyle="1" w:styleId="Heading3Char">
    <w:name w:val="Heading 3 Char"/>
    <w:basedOn w:val="DefaultParagraphFont"/>
    <w:link w:val="Heading3"/>
    <w:uiPriority w:val="9"/>
    <w:rsid w:val="00823AB3"/>
    <w:rPr>
      <w:rFonts w:ascii="Calibri" w:hAnsi="Calibri"/>
      <w:b/>
      <w:sz w:val="24"/>
      <w:lang w:val="es-ES_tradnl" w:eastAsia="en-US"/>
    </w:rPr>
  </w:style>
  <w:style w:type="character" w:customStyle="1" w:styleId="Heading4Char">
    <w:name w:val="Heading 4 Char"/>
    <w:basedOn w:val="DefaultParagraphFont"/>
    <w:link w:val="Heading4"/>
    <w:uiPriority w:val="9"/>
    <w:rsid w:val="00823AB3"/>
    <w:rPr>
      <w:rFonts w:ascii="Calibri" w:hAnsi="Calibri"/>
      <w:b/>
      <w:sz w:val="24"/>
      <w:lang w:val="es-ES_tradnl" w:eastAsia="en-US"/>
    </w:rPr>
  </w:style>
  <w:style w:type="character" w:customStyle="1" w:styleId="Heading5Char">
    <w:name w:val="Heading 5 Char"/>
    <w:basedOn w:val="DefaultParagraphFont"/>
    <w:link w:val="Heading5"/>
    <w:uiPriority w:val="9"/>
    <w:rsid w:val="00823AB3"/>
    <w:rPr>
      <w:rFonts w:ascii="Calibri" w:hAnsi="Calibri"/>
      <w:b/>
      <w:sz w:val="24"/>
      <w:lang w:val="es-ES_tradnl" w:eastAsia="en-US"/>
    </w:rPr>
  </w:style>
  <w:style w:type="character" w:customStyle="1" w:styleId="Heading6Char">
    <w:name w:val="Heading 6 Char"/>
    <w:basedOn w:val="DefaultParagraphFont"/>
    <w:link w:val="Heading6"/>
    <w:rsid w:val="00823AB3"/>
    <w:rPr>
      <w:rFonts w:ascii="Calibri" w:hAnsi="Calibri"/>
      <w:b/>
      <w:sz w:val="24"/>
      <w:lang w:val="es-ES_tradnl" w:eastAsia="en-US"/>
    </w:rPr>
  </w:style>
  <w:style w:type="character" w:customStyle="1" w:styleId="Heading7Char">
    <w:name w:val="Heading 7 Char"/>
    <w:basedOn w:val="DefaultParagraphFont"/>
    <w:link w:val="Heading7"/>
    <w:uiPriority w:val="99"/>
    <w:rsid w:val="00823AB3"/>
    <w:rPr>
      <w:rFonts w:ascii="Calibri" w:hAnsi="Calibri"/>
      <w:b/>
      <w:sz w:val="24"/>
      <w:lang w:val="es-ES_tradnl" w:eastAsia="en-US"/>
    </w:rPr>
  </w:style>
  <w:style w:type="character" w:customStyle="1" w:styleId="Heading8Char">
    <w:name w:val="Heading 8 Char"/>
    <w:basedOn w:val="DefaultParagraphFont"/>
    <w:link w:val="Heading8"/>
    <w:uiPriority w:val="99"/>
    <w:rsid w:val="00823AB3"/>
    <w:rPr>
      <w:rFonts w:ascii="Calibri" w:hAnsi="Calibri"/>
      <w:b/>
      <w:sz w:val="24"/>
      <w:lang w:val="es-ES_tradnl" w:eastAsia="en-US"/>
    </w:rPr>
  </w:style>
  <w:style w:type="character" w:customStyle="1" w:styleId="Heading9Char">
    <w:name w:val="Heading 9 Char"/>
    <w:basedOn w:val="DefaultParagraphFont"/>
    <w:link w:val="Heading9"/>
    <w:uiPriority w:val="99"/>
    <w:rsid w:val="00823AB3"/>
    <w:rPr>
      <w:rFonts w:ascii="Calibri" w:hAnsi="Calibri"/>
      <w:b/>
      <w:sz w:val="24"/>
      <w:lang w:val="es-ES_tradnl" w:eastAsia="en-US"/>
    </w:rPr>
  </w:style>
  <w:style w:type="character" w:customStyle="1" w:styleId="FooterChar">
    <w:name w:val="Footer Char"/>
    <w:basedOn w:val="DefaultParagraphFont"/>
    <w:link w:val="Footer"/>
    <w:uiPriority w:val="99"/>
    <w:rsid w:val="00823AB3"/>
    <w:rPr>
      <w:rFonts w:ascii="Calibri" w:hAnsi="Calibri"/>
      <w:caps/>
      <w:noProof/>
      <w:sz w:val="16"/>
      <w:lang w:val="es-ES_tradnl" w:eastAsia="en-US"/>
    </w:rPr>
  </w:style>
  <w:style w:type="character" w:customStyle="1" w:styleId="HeaderChar">
    <w:name w:val="Header Char"/>
    <w:basedOn w:val="DefaultParagraphFont"/>
    <w:link w:val="Header"/>
    <w:uiPriority w:val="99"/>
    <w:rsid w:val="00823AB3"/>
    <w:rPr>
      <w:rFonts w:ascii="Calibri" w:hAnsi="Calibri"/>
      <w:sz w:val="18"/>
      <w:lang w:val="es-ES_tradnl" w:eastAsia="en-US"/>
    </w:rPr>
  </w:style>
  <w:style w:type="character" w:customStyle="1" w:styleId="FootnoteTextChar">
    <w:name w:val="Footnote Text Char"/>
    <w:aliases w:val="ALTS FOOTNOTE Char,Schriftart: 9 pt Char,Schriftart: 10 pt Char,Schriftart: 8 pt Char,WB-Fuكnotentext Char,Footnote text Char,Footnote Text Char Char Char Char Char1,Footnote Text Char Char Char,WB-Fußnotentext Char,MTFootnote Char"/>
    <w:basedOn w:val="DefaultParagraphFont"/>
    <w:link w:val="FootnoteText"/>
    <w:uiPriority w:val="99"/>
    <w:rsid w:val="00823AB3"/>
    <w:rPr>
      <w:rFonts w:ascii="Calibri" w:hAnsi="Calibri"/>
      <w:sz w:val="24"/>
      <w:lang w:val="es-ES_tradnl" w:eastAsia="en-US"/>
    </w:rPr>
  </w:style>
  <w:style w:type="table" w:styleId="ListTable3-Accent1">
    <w:name w:val="List Table 3 Accent 1"/>
    <w:basedOn w:val="TableNormal"/>
    <w:uiPriority w:val="48"/>
    <w:rsid w:val="00823AB3"/>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leGrid">
    <w:name w:val="Table Grid"/>
    <w:basedOn w:val="TableNormal"/>
    <w:uiPriority w:val="39"/>
    <w:rsid w:val="00823A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823AB3"/>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abletextChar">
    <w:name w:val="Table_text Char"/>
    <w:basedOn w:val="DefaultParagraphFont"/>
    <w:link w:val="Tabletext"/>
    <w:locked/>
    <w:rsid w:val="00823AB3"/>
    <w:rPr>
      <w:rFonts w:ascii="Calibri" w:hAnsi="Calibri"/>
      <w:sz w:val="22"/>
      <w:lang w:val="es-ES_tradnl" w:eastAsia="en-US"/>
    </w:rPr>
  </w:style>
  <w:style w:type="paragraph" w:styleId="TOCHeading">
    <w:name w:val="TOC Heading"/>
    <w:basedOn w:val="Heading1"/>
    <w:next w:val="Normal"/>
    <w:uiPriority w:val="39"/>
    <w:unhideWhenUsed/>
    <w:qFormat/>
    <w:rsid w:val="00823AB3"/>
    <w:pPr>
      <w:spacing w:before="240"/>
      <w:ind w:left="0" w:firstLine="0"/>
      <w:outlineLvl w:val="9"/>
    </w:pPr>
    <w:rPr>
      <w:rFonts w:asciiTheme="majorHAnsi" w:eastAsiaTheme="majorEastAsia" w:hAnsiTheme="majorHAnsi" w:cstheme="majorBidi"/>
      <w:b w:val="0"/>
      <w:color w:val="365F91" w:themeColor="accent1" w:themeShade="BF"/>
      <w:sz w:val="32"/>
      <w:szCs w:val="32"/>
    </w:rPr>
  </w:style>
  <w:style w:type="paragraph" w:customStyle="1" w:styleId="msonormal0">
    <w:name w:val="msonormal"/>
    <w:basedOn w:val="Normal"/>
    <w:uiPriority w:val="99"/>
    <w:rsid w:val="00823AB3"/>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hAnsi="Times New Roman"/>
      <w:szCs w:val="24"/>
      <w:lang w:val="en-GB" w:eastAsia="en-GB"/>
    </w:rPr>
  </w:style>
  <w:style w:type="paragraph" w:customStyle="1" w:styleId="paragraph">
    <w:name w:val="paragraph"/>
    <w:basedOn w:val="Normal"/>
    <w:uiPriority w:val="99"/>
    <w:rsid w:val="00823AB3"/>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hAnsi="Times New Roman"/>
      <w:szCs w:val="24"/>
      <w:lang w:val="en-GB" w:eastAsia="en-GB"/>
    </w:rPr>
  </w:style>
  <w:style w:type="character" w:customStyle="1" w:styleId="eop">
    <w:name w:val="eop"/>
    <w:basedOn w:val="DefaultParagraphFont"/>
    <w:rsid w:val="00823AB3"/>
  </w:style>
  <w:style w:type="character" w:customStyle="1" w:styleId="textrun">
    <w:name w:val="textrun"/>
    <w:basedOn w:val="DefaultParagraphFont"/>
    <w:rsid w:val="00823AB3"/>
  </w:style>
  <w:style w:type="character" w:customStyle="1" w:styleId="normaltextrun">
    <w:name w:val="normaltextrun"/>
    <w:basedOn w:val="DefaultParagraphFont"/>
    <w:rsid w:val="00823AB3"/>
  </w:style>
  <w:style w:type="paragraph" w:customStyle="1" w:styleId="outlineelement">
    <w:name w:val="outlineelement"/>
    <w:basedOn w:val="Normal"/>
    <w:uiPriority w:val="99"/>
    <w:rsid w:val="00823AB3"/>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hAnsi="Times New Roman"/>
      <w:szCs w:val="24"/>
      <w:lang w:val="en-GB" w:eastAsia="en-GB"/>
    </w:rPr>
  </w:style>
  <w:style w:type="character" w:customStyle="1" w:styleId="trackchangetextdeletion">
    <w:name w:val="trackchangetextdeletion"/>
    <w:basedOn w:val="DefaultParagraphFont"/>
    <w:rsid w:val="00823AB3"/>
  </w:style>
  <w:style w:type="character" w:customStyle="1" w:styleId="trackchangetextinsertion">
    <w:name w:val="trackchangetextinsertion"/>
    <w:basedOn w:val="DefaultParagraphFont"/>
    <w:rsid w:val="00823AB3"/>
  </w:style>
  <w:style w:type="character" w:customStyle="1" w:styleId="fieldrange">
    <w:name w:val="fieldrange"/>
    <w:basedOn w:val="DefaultParagraphFont"/>
    <w:rsid w:val="00823AB3"/>
  </w:style>
  <w:style w:type="character" w:customStyle="1" w:styleId="pagebreakblob">
    <w:name w:val="pagebreakblob"/>
    <w:basedOn w:val="DefaultParagraphFont"/>
    <w:rsid w:val="00823AB3"/>
  </w:style>
  <w:style w:type="character" w:customStyle="1" w:styleId="pagebreakborderspan">
    <w:name w:val="pagebreakborderspan"/>
    <w:basedOn w:val="DefaultParagraphFont"/>
    <w:rsid w:val="00823AB3"/>
  </w:style>
  <w:style w:type="character" w:customStyle="1" w:styleId="pagebreaktextspan">
    <w:name w:val="pagebreaktextspan"/>
    <w:basedOn w:val="DefaultParagraphFont"/>
    <w:rsid w:val="00823AB3"/>
  </w:style>
  <w:style w:type="character" w:customStyle="1" w:styleId="superscript">
    <w:name w:val="superscript"/>
    <w:basedOn w:val="DefaultParagraphFont"/>
    <w:rsid w:val="00823AB3"/>
  </w:style>
  <w:style w:type="character" w:customStyle="1" w:styleId="linebreakblob">
    <w:name w:val="linebreakblob"/>
    <w:basedOn w:val="DefaultParagraphFont"/>
    <w:rsid w:val="00823AB3"/>
  </w:style>
  <w:style w:type="character" w:customStyle="1" w:styleId="bcx7">
    <w:name w:val="bcx7"/>
    <w:basedOn w:val="DefaultParagraphFont"/>
    <w:rsid w:val="00823AB3"/>
  </w:style>
  <w:style w:type="character" w:customStyle="1" w:styleId="UnresolvedMention10">
    <w:name w:val="Unresolved Mention1"/>
    <w:basedOn w:val="DefaultParagraphFont"/>
    <w:uiPriority w:val="99"/>
    <w:unhideWhenUsed/>
    <w:rsid w:val="00823AB3"/>
    <w:rPr>
      <w:color w:val="605E5C"/>
      <w:shd w:val="clear" w:color="auto" w:fill="E1DFDD"/>
    </w:rPr>
  </w:style>
  <w:style w:type="paragraph" w:styleId="Title">
    <w:name w:val="Title"/>
    <w:basedOn w:val="Normal"/>
    <w:next w:val="Normal"/>
    <w:link w:val="TitleChar"/>
    <w:uiPriority w:val="10"/>
    <w:qFormat/>
    <w:rsid w:val="00823AB3"/>
    <w:pPr>
      <w:tabs>
        <w:tab w:val="clear" w:pos="567"/>
        <w:tab w:val="clear" w:pos="1134"/>
        <w:tab w:val="clear" w:pos="1701"/>
        <w:tab w:val="clear" w:pos="2268"/>
        <w:tab w:val="clear" w:pos="2835"/>
      </w:tabs>
      <w:overflowPunct/>
      <w:autoSpaceDE/>
      <w:autoSpaceDN/>
      <w:adjustRightInd/>
      <w:spacing w:before="0"/>
      <w:contextualSpacing/>
      <w:textAlignment w:val="auto"/>
    </w:pPr>
    <w:rPr>
      <w:rFonts w:asciiTheme="majorHAnsi" w:eastAsiaTheme="majorEastAsia" w:hAnsiTheme="majorHAnsi" w:cstheme="majorBidi"/>
      <w:spacing w:val="-10"/>
      <w:kern w:val="28"/>
      <w:sz w:val="56"/>
      <w:szCs w:val="56"/>
      <w:lang w:val="en-GB"/>
    </w:rPr>
  </w:style>
  <w:style w:type="character" w:customStyle="1" w:styleId="TitleChar">
    <w:name w:val="Title Char"/>
    <w:basedOn w:val="DefaultParagraphFont"/>
    <w:link w:val="Title"/>
    <w:uiPriority w:val="10"/>
    <w:rsid w:val="00823AB3"/>
    <w:rPr>
      <w:rFonts w:asciiTheme="majorHAnsi" w:eastAsiaTheme="majorEastAsia" w:hAnsiTheme="majorHAnsi" w:cstheme="majorBidi"/>
      <w:spacing w:val="-10"/>
      <w:kern w:val="28"/>
      <w:sz w:val="56"/>
      <w:szCs w:val="56"/>
      <w:lang w:val="en-GB" w:eastAsia="en-US"/>
    </w:rPr>
  </w:style>
  <w:style w:type="character" w:customStyle="1" w:styleId="scxw33153122">
    <w:name w:val="scxw33153122"/>
    <w:basedOn w:val="DefaultParagraphFont"/>
    <w:rsid w:val="00823AB3"/>
  </w:style>
  <w:style w:type="character" w:customStyle="1" w:styleId="BalloonTextChar">
    <w:name w:val="Balloon Text Char"/>
    <w:basedOn w:val="DefaultParagraphFont"/>
    <w:link w:val="BalloonText"/>
    <w:uiPriority w:val="99"/>
    <w:semiHidden/>
    <w:rsid w:val="00823AB3"/>
    <w:rPr>
      <w:rFonts w:ascii="Segoe UI" w:eastAsiaTheme="minorHAnsi" w:hAnsi="Segoe UI" w:cs="Segoe UI"/>
      <w:sz w:val="18"/>
      <w:szCs w:val="18"/>
      <w:lang w:val="en-GB" w:eastAsia="en-US"/>
    </w:rPr>
  </w:style>
  <w:style w:type="paragraph" w:styleId="BalloonText">
    <w:name w:val="Balloon Text"/>
    <w:basedOn w:val="Normal"/>
    <w:link w:val="BalloonTextChar"/>
    <w:uiPriority w:val="99"/>
    <w:semiHidden/>
    <w:unhideWhenUsed/>
    <w:rsid w:val="00823AB3"/>
    <w:pPr>
      <w:tabs>
        <w:tab w:val="clear" w:pos="567"/>
        <w:tab w:val="clear" w:pos="1134"/>
        <w:tab w:val="clear" w:pos="1701"/>
        <w:tab w:val="clear" w:pos="2268"/>
        <w:tab w:val="clear" w:pos="2835"/>
      </w:tabs>
      <w:overflowPunct/>
      <w:autoSpaceDE/>
      <w:autoSpaceDN/>
      <w:adjustRightInd/>
      <w:spacing w:before="0"/>
      <w:textAlignment w:val="auto"/>
    </w:pPr>
    <w:rPr>
      <w:rFonts w:ascii="Segoe UI" w:eastAsiaTheme="minorHAnsi" w:hAnsi="Segoe UI" w:cs="Segoe UI"/>
      <w:sz w:val="18"/>
      <w:szCs w:val="18"/>
      <w:lang w:val="en-GB"/>
    </w:rPr>
  </w:style>
  <w:style w:type="character" w:customStyle="1" w:styleId="BalloonTextChar1">
    <w:name w:val="Balloon Text Char1"/>
    <w:basedOn w:val="DefaultParagraphFont"/>
    <w:semiHidden/>
    <w:rsid w:val="00823AB3"/>
    <w:rPr>
      <w:rFonts w:ascii="Segoe UI" w:hAnsi="Segoe UI" w:cs="Segoe UI"/>
      <w:sz w:val="18"/>
      <w:szCs w:val="18"/>
      <w:lang w:val="es-ES_tradnl" w:eastAsia="en-US"/>
    </w:rPr>
  </w:style>
  <w:style w:type="character" w:styleId="CommentReference">
    <w:name w:val="annotation reference"/>
    <w:rsid w:val="00823AB3"/>
    <w:rPr>
      <w:sz w:val="16"/>
      <w:szCs w:val="16"/>
    </w:rPr>
  </w:style>
  <w:style w:type="paragraph" w:styleId="CommentText">
    <w:name w:val="annotation text"/>
    <w:basedOn w:val="Normal"/>
    <w:link w:val="CommentTextChar"/>
    <w:uiPriority w:val="99"/>
    <w:rsid w:val="00823AB3"/>
    <w:pPr>
      <w:tabs>
        <w:tab w:val="clear" w:pos="567"/>
        <w:tab w:val="clear" w:pos="1134"/>
        <w:tab w:val="clear" w:pos="1701"/>
        <w:tab w:val="clear" w:pos="2268"/>
        <w:tab w:val="clear" w:pos="2835"/>
      </w:tabs>
      <w:overflowPunct/>
      <w:autoSpaceDE/>
      <w:autoSpaceDN/>
      <w:adjustRightInd/>
      <w:textAlignment w:val="auto"/>
    </w:pPr>
    <w:rPr>
      <w:rFonts w:eastAsiaTheme="minorEastAsia"/>
      <w:sz w:val="20"/>
      <w:szCs w:val="22"/>
      <w:lang w:val="en-US" w:eastAsia="fr-FR"/>
    </w:rPr>
  </w:style>
  <w:style w:type="character" w:customStyle="1" w:styleId="CommentTextChar">
    <w:name w:val="Comment Text Char"/>
    <w:basedOn w:val="DefaultParagraphFont"/>
    <w:link w:val="CommentText"/>
    <w:uiPriority w:val="99"/>
    <w:rsid w:val="00823AB3"/>
    <w:rPr>
      <w:rFonts w:ascii="Calibri" w:eastAsiaTheme="minorEastAsia" w:hAnsi="Calibri"/>
      <w:szCs w:val="22"/>
      <w:lang w:eastAsia="fr-FR"/>
    </w:rPr>
  </w:style>
  <w:style w:type="paragraph" w:styleId="ListParagraph">
    <w:name w:val="List Paragraph"/>
    <w:aliases w:val="Bullet List,FooterText,List Paragraph1,numbered,Paragraphe de liste1,Bulletr List Paragraph,Bullet 1,Numbered Para 1,Dot pt,No Spacing1,List Paragraph Char Char Char,Indicator Text,Bullet Points,MAIN CONTENT,OBC Bullet,NUMBERED PARAGRAPH"/>
    <w:basedOn w:val="Normal"/>
    <w:link w:val="ListParagraphChar"/>
    <w:uiPriority w:val="34"/>
    <w:qFormat/>
    <w:rsid w:val="00823AB3"/>
    <w:pPr>
      <w:tabs>
        <w:tab w:val="clear" w:pos="567"/>
        <w:tab w:val="clear" w:pos="1134"/>
        <w:tab w:val="clear" w:pos="1701"/>
        <w:tab w:val="clear" w:pos="2268"/>
        <w:tab w:val="clear" w:pos="2835"/>
      </w:tabs>
      <w:overflowPunct/>
      <w:autoSpaceDE/>
      <w:autoSpaceDN/>
      <w:adjustRightInd/>
      <w:ind w:left="510"/>
      <w:textAlignment w:val="auto"/>
    </w:pPr>
    <w:rPr>
      <w:rFonts w:eastAsia="PMingLiU"/>
      <w:sz w:val="22"/>
      <w:szCs w:val="22"/>
      <w:lang w:val="en-US" w:eastAsia="zh-TW"/>
    </w:rPr>
  </w:style>
  <w:style w:type="character" w:customStyle="1" w:styleId="ListParagraphChar">
    <w:name w:val="List Paragraph Char"/>
    <w:aliases w:val="Bullet List Char,FooterText Char,List Paragraph1 Char,numbered Char,Paragraphe de liste1 Char,Bulletr List Paragraph Char,Bullet 1 Char,Numbered Para 1 Char,Dot pt Char,No Spacing1 Char,List Paragraph Char Char Char Char"/>
    <w:basedOn w:val="DefaultParagraphFont"/>
    <w:link w:val="ListParagraph"/>
    <w:uiPriority w:val="34"/>
    <w:qFormat/>
    <w:locked/>
    <w:rsid w:val="00823AB3"/>
    <w:rPr>
      <w:rFonts w:ascii="Calibri" w:eastAsia="PMingLiU" w:hAnsi="Calibri"/>
      <w:sz w:val="22"/>
      <w:szCs w:val="22"/>
      <w:lang w:eastAsia="zh-TW"/>
    </w:rPr>
  </w:style>
  <w:style w:type="paragraph" w:customStyle="1" w:styleId="Tableheadwhitecentred">
    <w:name w:val="Table head white centred"/>
    <w:basedOn w:val="Normal"/>
    <w:uiPriority w:val="99"/>
    <w:rsid w:val="00823AB3"/>
    <w:pPr>
      <w:tabs>
        <w:tab w:val="clear" w:pos="567"/>
        <w:tab w:val="clear" w:pos="1134"/>
        <w:tab w:val="clear" w:pos="1701"/>
        <w:tab w:val="clear" w:pos="2268"/>
        <w:tab w:val="clear" w:pos="2835"/>
      </w:tabs>
      <w:overflowPunct/>
      <w:autoSpaceDE/>
      <w:autoSpaceDN/>
      <w:adjustRightInd/>
      <w:textAlignment w:val="auto"/>
    </w:pPr>
    <w:rPr>
      <w:rFonts w:eastAsiaTheme="minorEastAsia"/>
      <w:sz w:val="21"/>
      <w:szCs w:val="22"/>
      <w:lang w:val="en-US" w:eastAsia="fr-FR"/>
    </w:rPr>
  </w:style>
  <w:style w:type="paragraph" w:customStyle="1" w:styleId="Tabletext0">
    <w:name w:val="Table text"/>
    <w:basedOn w:val="Normal"/>
    <w:link w:val="TabletextChar0"/>
    <w:qFormat/>
    <w:rsid w:val="00823AB3"/>
    <w:pPr>
      <w:tabs>
        <w:tab w:val="clear" w:pos="567"/>
        <w:tab w:val="clear" w:pos="1134"/>
        <w:tab w:val="clear" w:pos="1701"/>
        <w:tab w:val="clear" w:pos="2268"/>
        <w:tab w:val="clear" w:pos="2835"/>
      </w:tabs>
      <w:overflowPunct/>
      <w:autoSpaceDE/>
      <w:autoSpaceDN/>
      <w:adjustRightInd/>
      <w:spacing w:before="40" w:after="40"/>
      <w:textAlignment w:val="auto"/>
    </w:pPr>
    <w:rPr>
      <w:rFonts w:asciiTheme="minorHAnsi" w:eastAsiaTheme="minorEastAsia" w:hAnsiTheme="minorHAnsi"/>
      <w:bCs/>
      <w:sz w:val="19"/>
      <w:szCs w:val="18"/>
      <w:lang w:val="en-US" w:eastAsia="fr-FR"/>
    </w:rPr>
  </w:style>
  <w:style w:type="character" w:customStyle="1" w:styleId="TabletextChar0">
    <w:name w:val="Table text Char"/>
    <w:basedOn w:val="DefaultParagraphFont"/>
    <w:link w:val="Tabletext0"/>
    <w:locked/>
    <w:rsid w:val="00823AB3"/>
    <w:rPr>
      <w:rFonts w:asciiTheme="minorHAnsi" w:eastAsiaTheme="minorEastAsia" w:hAnsiTheme="minorHAnsi"/>
      <w:bCs/>
      <w:sz w:val="19"/>
      <w:szCs w:val="18"/>
      <w:lang w:eastAsia="fr-FR"/>
    </w:rPr>
  </w:style>
  <w:style w:type="paragraph" w:customStyle="1" w:styleId="Tabletextcentred">
    <w:name w:val="Table text centred"/>
    <w:basedOn w:val="Normal"/>
    <w:uiPriority w:val="99"/>
    <w:rsid w:val="00823AB3"/>
    <w:pPr>
      <w:tabs>
        <w:tab w:val="clear" w:pos="567"/>
        <w:tab w:val="clear" w:pos="1134"/>
        <w:tab w:val="clear" w:pos="1701"/>
        <w:tab w:val="clear" w:pos="2268"/>
        <w:tab w:val="clear" w:pos="2835"/>
      </w:tabs>
      <w:overflowPunct/>
      <w:autoSpaceDE/>
      <w:autoSpaceDN/>
      <w:adjustRightInd/>
      <w:textAlignment w:val="auto"/>
    </w:pPr>
    <w:rPr>
      <w:rFonts w:eastAsiaTheme="minorEastAsia"/>
      <w:sz w:val="21"/>
      <w:szCs w:val="22"/>
      <w:lang w:val="en-GB" w:eastAsia="fr-FR"/>
    </w:rPr>
  </w:style>
  <w:style w:type="paragraph" w:customStyle="1" w:styleId="Tabletextrightaligned">
    <w:name w:val="Table text right aligned"/>
    <w:basedOn w:val="Normal"/>
    <w:uiPriority w:val="99"/>
    <w:rsid w:val="00823AB3"/>
    <w:pPr>
      <w:tabs>
        <w:tab w:val="clear" w:pos="567"/>
        <w:tab w:val="clear" w:pos="1134"/>
        <w:tab w:val="clear" w:pos="1701"/>
        <w:tab w:val="clear" w:pos="2268"/>
        <w:tab w:val="clear" w:pos="2835"/>
      </w:tabs>
      <w:overflowPunct/>
      <w:autoSpaceDE/>
      <w:autoSpaceDN/>
      <w:adjustRightInd/>
      <w:textAlignment w:val="auto"/>
    </w:pPr>
    <w:rPr>
      <w:rFonts w:eastAsiaTheme="minorEastAsia"/>
      <w:sz w:val="21"/>
      <w:szCs w:val="22"/>
      <w:lang w:val="en-GB" w:eastAsia="fr-FR"/>
    </w:rPr>
  </w:style>
  <w:style w:type="paragraph" w:styleId="NormalWeb">
    <w:name w:val="Normal (Web)"/>
    <w:basedOn w:val="Normal"/>
    <w:link w:val="NormalWebChar"/>
    <w:uiPriority w:val="99"/>
    <w:rsid w:val="00823AB3"/>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SimSun"/>
      <w:sz w:val="21"/>
      <w:szCs w:val="24"/>
      <w:lang w:val="en-US" w:eastAsia="zh-CN"/>
    </w:rPr>
  </w:style>
  <w:style w:type="character" w:customStyle="1" w:styleId="NormalWebChar">
    <w:name w:val="Normal (Web) Char"/>
    <w:link w:val="NormalWeb"/>
    <w:uiPriority w:val="99"/>
    <w:locked/>
    <w:rsid w:val="00823AB3"/>
    <w:rPr>
      <w:rFonts w:ascii="Calibri" w:eastAsia="SimSun" w:hAnsi="Calibri"/>
      <w:sz w:val="21"/>
      <w:szCs w:val="24"/>
    </w:rPr>
  </w:style>
  <w:style w:type="paragraph" w:styleId="PlainText">
    <w:name w:val="Plain Text"/>
    <w:basedOn w:val="Normal"/>
    <w:link w:val="PlainTextChar"/>
    <w:uiPriority w:val="99"/>
    <w:unhideWhenUsed/>
    <w:rsid w:val="00823AB3"/>
    <w:pPr>
      <w:tabs>
        <w:tab w:val="clear" w:pos="567"/>
        <w:tab w:val="clear" w:pos="1134"/>
        <w:tab w:val="clear" w:pos="1701"/>
        <w:tab w:val="clear" w:pos="2268"/>
        <w:tab w:val="clear" w:pos="2835"/>
      </w:tabs>
      <w:overflowPunct/>
      <w:autoSpaceDE/>
      <w:autoSpaceDN/>
      <w:adjustRightInd/>
      <w:spacing w:before="0"/>
      <w:textAlignment w:val="auto"/>
    </w:pPr>
    <w:rPr>
      <w:rFonts w:ascii="Courier New" w:eastAsia="SimSun" w:hAnsi="Courier New" w:cs="Courier New"/>
      <w:sz w:val="20"/>
      <w:szCs w:val="22"/>
      <w:lang w:val="en-US" w:eastAsia="zh-CN"/>
    </w:rPr>
  </w:style>
  <w:style w:type="character" w:customStyle="1" w:styleId="PlainTextChar">
    <w:name w:val="Plain Text Char"/>
    <w:basedOn w:val="DefaultParagraphFont"/>
    <w:link w:val="PlainText"/>
    <w:uiPriority w:val="99"/>
    <w:rsid w:val="00823AB3"/>
    <w:rPr>
      <w:rFonts w:ascii="Courier New" w:eastAsia="SimSun" w:hAnsi="Courier New" w:cs="Courier New"/>
      <w:szCs w:val="22"/>
    </w:rPr>
  </w:style>
  <w:style w:type="character" w:styleId="Emphasis">
    <w:name w:val="Emphasis"/>
    <w:basedOn w:val="DefaultParagraphFont"/>
    <w:uiPriority w:val="20"/>
    <w:qFormat/>
    <w:rsid w:val="00823AB3"/>
    <w:rPr>
      <w:i/>
      <w:iCs/>
    </w:rPr>
  </w:style>
  <w:style w:type="character" w:customStyle="1" w:styleId="normalWSISChar">
    <w:name w:val="normal WSIS Char"/>
    <w:basedOn w:val="DefaultParagraphFont"/>
    <w:link w:val="normalWSIS"/>
    <w:locked/>
    <w:rsid w:val="00823AB3"/>
    <w:rPr>
      <w:rFonts w:ascii="Calibri" w:eastAsia="SimSun" w:hAnsi="Calibri" w:cs="Arial"/>
    </w:rPr>
  </w:style>
  <w:style w:type="paragraph" w:customStyle="1" w:styleId="normalWSIS">
    <w:name w:val="normal WSIS"/>
    <w:basedOn w:val="ListParagraph"/>
    <w:link w:val="normalWSISChar"/>
    <w:qFormat/>
    <w:rsid w:val="00823AB3"/>
    <w:pPr>
      <w:numPr>
        <w:numId w:val="1"/>
      </w:numPr>
      <w:tabs>
        <w:tab w:val="left" w:pos="426"/>
      </w:tabs>
      <w:spacing w:after="200"/>
    </w:pPr>
    <w:rPr>
      <w:rFonts w:eastAsia="SimSun" w:cs="Arial"/>
      <w:sz w:val="20"/>
      <w:szCs w:val="20"/>
      <w:lang w:eastAsia="zh-CN"/>
    </w:rPr>
  </w:style>
  <w:style w:type="character" w:customStyle="1" w:styleId="CommentSubjectChar">
    <w:name w:val="Comment Subject Char"/>
    <w:basedOn w:val="CommentTextChar"/>
    <w:link w:val="CommentSubject"/>
    <w:uiPriority w:val="99"/>
    <w:semiHidden/>
    <w:rsid w:val="00823AB3"/>
    <w:rPr>
      <w:rFonts w:asciiTheme="minorHAnsi" w:eastAsiaTheme="minorHAnsi" w:hAnsiTheme="minorHAnsi" w:cstheme="minorBidi"/>
      <w:b/>
      <w:bCs/>
      <w:szCs w:val="22"/>
      <w:lang w:val="en-GB" w:eastAsia="fr-FR"/>
    </w:rPr>
  </w:style>
  <w:style w:type="paragraph" w:styleId="CommentSubject">
    <w:name w:val="annotation subject"/>
    <w:basedOn w:val="CommentText"/>
    <w:next w:val="CommentText"/>
    <w:link w:val="CommentSubjectChar"/>
    <w:uiPriority w:val="99"/>
    <w:semiHidden/>
    <w:unhideWhenUsed/>
    <w:rsid w:val="00823AB3"/>
    <w:pPr>
      <w:spacing w:before="0"/>
    </w:pPr>
    <w:rPr>
      <w:rFonts w:asciiTheme="minorHAnsi" w:eastAsiaTheme="minorHAnsi" w:hAnsiTheme="minorHAnsi" w:cstheme="minorBidi"/>
      <w:b/>
      <w:bCs/>
      <w:lang w:val="en-GB"/>
    </w:rPr>
  </w:style>
  <w:style w:type="character" w:customStyle="1" w:styleId="CommentSubjectChar1">
    <w:name w:val="Comment Subject Char1"/>
    <w:basedOn w:val="CommentTextChar"/>
    <w:semiHidden/>
    <w:rsid w:val="00823AB3"/>
    <w:rPr>
      <w:rFonts w:ascii="Calibri" w:eastAsiaTheme="minorEastAsia" w:hAnsi="Calibri"/>
      <w:b/>
      <w:bCs/>
      <w:szCs w:val="22"/>
      <w:lang w:eastAsia="fr-FR"/>
    </w:rPr>
  </w:style>
  <w:style w:type="character" w:customStyle="1" w:styleId="Mention1">
    <w:name w:val="Mention1"/>
    <w:basedOn w:val="DefaultParagraphFont"/>
    <w:uiPriority w:val="99"/>
    <w:unhideWhenUsed/>
    <w:rsid w:val="00823AB3"/>
    <w:rPr>
      <w:color w:val="2B579A"/>
      <w:shd w:val="clear" w:color="auto" w:fill="E1DFDD"/>
    </w:rPr>
  </w:style>
  <w:style w:type="character" w:styleId="Strong">
    <w:name w:val="Strong"/>
    <w:basedOn w:val="DefaultParagraphFont"/>
    <w:uiPriority w:val="22"/>
    <w:qFormat/>
    <w:rsid w:val="00823AB3"/>
    <w:rPr>
      <w:b/>
      <w:bCs/>
    </w:rPr>
  </w:style>
  <w:style w:type="paragraph" w:customStyle="1" w:styleId="xmsolistparagraph">
    <w:name w:val="x_msolistparagraph"/>
    <w:basedOn w:val="Normal"/>
    <w:uiPriority w:val="99"/>
    <w:rsid w:val="00823AB3"/>
    <w:pPr>
      <w:tabs>
        <w:tab w:val="clear" w:pos="567"/>
        <w:tab w:val="clear" w:pos="1134"/>
        <w:tab w:val="clear" w:pos="1701"/>
        <w:tab w:val="clear" w:pos="2268"/>
        <w:tab w:val="clear" w:pos="2835"/>
      </w:tabs>
      <w:overflowPunct/>
      <w:autoSpaceDE/>
      <w:autoSpaceDN/>
      <w:adjustRightInd/>
      <w:spacing w:before="0"/>
      <w:ind w:left="720"/>
      <w:textAlignment w:val="auto"/>
    </w:pPr>
    <w:rPr>
      <w:rFonts w:eastAsiaTheme="minorHAnsi" w:cs="Calibri"/>
      <w:sz w:val="22"/>
      <w:szCs w:val="22"/>
      <w:lang w:val="en-GB" w:eastAsia="en-GB"/>
    </w:rPr>
  </w:style>
  <w:style w:type="character" w:customStyle="1" w:styleId="apple-style-span">
    <w:name w:val="apple-style-span"/>
    <w:basedOn w:val="DefaultParagraphFont"/>
    <w:rsid w:val="00823AB3"/>
  </w:style>
  <w:style w:type="character" w:styleId="SubtleEmphasis">
    <w:name w:val="Subtle Emphasis"/>
    <w:basedOn w:val="DefaultParagraphFont"/>
    <w:uiPriority w:val="19"/>
    <w:qFormat/>
    <w:rsid w:val="00823AB3"/>
    <w:rPr>
      <w:i/>
      <w:iCs/>
      <w:color w:val="404040" w:themeColor="text1" w:themeTint="BF"/>
    </w:rPr>
  </w:style>
  <w:style w:type="paragraph" w:customStyle="1" w:styleId="Normalaftertitle0">
    <w:name w:val="Normal_after_title"/>
    <w:basedOn w:val="Normal"/>
    <w:next w:val="Normal"/>
    <w:uiPriority w:val="99"/>
    <w:rsid w:val="00823AB3"/>
    <w:pPr>
      <w:tabs>
        <w:tab w:val="clear" w:pos="567"/>
        <w:tab w:val="clear" w:pos="1134"/>
        <w:tab w:val="clear" w:pos="1701"/>
        <w:tab w:val="clear" w:pos="2268"/>
        <w:tab w:val="clear" w:pos="2835"/>
        <w:tab w:val="left" w:pos="794"/>
        <w:tab w:val="left" w:pos="1191"/>
        <w:tab w:val="left" w:pos="1588"/>
        <w:tab w:val="left" w:pos="1985"/>
      </w:tabs>
      <w:spacing w:before="360"/>
    </w:pPr>
    <w:rPr>
      <w:rFonts w:ascii="Times New Roman" w:hAnsi="Times New Roman"/>
    </w:rPr>
  </w:style>
  <w:style w:type="table" w:styleId="ListTable1Light-Accent1">
    <w:name w:val="List Table 1 Light Accent 1"/>
    <w:basedOn w:val="TableNormal"/>
    <w:uiPriority w:val="46"/>
    <w:rsid w:val="00823A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1">
    <w:name w:val="List Table 2 Accent 1"/>
    <w:basedOn w:val="TableNormal"/>
    <w:uiPriority w:val="47"/>
    <w:rsid w:val="00823AB3"/>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1Light-Accent11">
    <w:name w:val="List Table 1 Light - Accent 11"/>
    <w:basedOn w:val="TableNormal"/>
    <w:next w:val="ListTable1Light-Accent1"/>
    <w:uiPriority w:val="46"/>
    <w:rsid w:val="00823A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boxtext">
    <w:name w:val="box_text"/>
    <w:basedOn w:val="Normal"/>
    <w:link w:val="boxtextChar"/>
    <w:rsid w:val="00823AB3"/>
    <w:pPr>
      <w:tabs>
        <w:tab w:val="clear" w:pos="567"/>
        <w:tab w:val="clear" w:pos="1134"/>
        <w:tab w:val="clear" w:pos="1701"/>
        <w:tab w:val="clear" w:pos="2268"/>
        <w:tab w:val="clear" w:pos="2835"/>
      </w:tabs>
      <w:overflowPunct/>
      <w:autoSpaceDE/>
      <w:autoSpaceDN/>
      <w:adjustRightInd/>
      <w:spacing w:before="60" w:after="60"/>
      <w:textAlignment w:val="auto"/>
    </w:pPr>
    <w:rPr>
      <w:rFonts w:eastAsiaTheme="minorEastAsia" w:cs="Calibri"/>
      <w:sz w:val="22"/>
      <w:szCs w:val="22"/>
      <w:lang w:val="en-US" w:eastAsia="fr-FR"/>
    </w:rPr>
  </w:style>
  <w:style w:type="character" w:customStyle="1" w:styleId="boxtextChar">
    <w:name w:val="box_text Char"/>
    <w:basedOn w:val="DefaultParagraphFont"/>
    <w:link w:val="boxtext"/>
    <w:locked/>
    <w:rsid w:val="00823AB3"/>
    <w:rPr>
      <w:rFonts w:ascii="Calibri" w:eastAsiaTheme="minorEastAsia" w:hAnsi="Calibri" w:cs="Calibri"/>
      <w:sz w:val="22"/>
      <w:szCs w:val="22"/>
      <w:lang w:eastAsia="fr-FR"/>
    </w:rPr>
  </w:style>
  <w:style w:type="character" w:customStyle="1" w:styleId="FootnoteTextChar1">
    <w:name w:val="Footnote Text Char1"/>
    <w:aliases w:val="ALTS FOOTNOTE Char1,Schriftart: 9 pt Char1,Schriftart: 10 pt Char1,Schriftart: 8 pt Char1,WB-Fuكnotentext Char1,Footnote text Char1,Footnote Text Char Char Char Char Char2,Footnote Text Char Char Char1,WB-Fußnotentext Char1,fn Char"/>
    <w:basedOn w:val="DefaultParagraphFont"/>
    <w:uiPriority w:val="99"/>
    <w:semiHidden/>
    <w:rsid w:val="00823AB3"/>
    <w:rPr>
      <w:rFonts w:ascii="Calibri" w:hAnsi="Calibri"/>
      <w:lang w:val="es-ES_tradnl" w:eastAsia="en-US"/>
    </w:rPr>
  </w:style>
  <w:style w:type="paragraph" w:styleId="Revision">
    <w:name w:val="Revision"/>
    <w:uiPriority w:val="99"/>
    <w:semiHidden/>
    <w:rsid w:val="00823AB3"/>
    <w:rPr>
      <w:rFonts w:asciiTheme="minorHAnsi" w:eastAsiaTheme="minorHAnsi" w:hAnsiTheme="minorHAnsi" w:cstheme="minorBidi"/>
      <w:sz w:val="22"/>
      <w:szCs w:val="22"/>
      <w:lang w:val="en-GB" w:eastAsia="en-US"/>
    </w:rPr>
  </w:style>
  <w:style w:type="paragraph" w:customStyle="1" w:styleId="Box">
    <w:name w:val="Box"/>
    <w:basedOn w:val="Tabletext"/>
    <w:uiPriority w:val="99"/>
    <w:rsid w:val="00823AB3"/>
    <w:pPr>
      <w:textAlignment w:val="auto"/>
    </w:pPr>
    <w:rPr>
      <w:rFonts w:eastAsiaTheme="minorEastAsia"/>
      <w:lang w:val="es-ES"/>
    </w:rPr>
  </w:style>
  <w:style w:type="paragraph" w:customStyle="1" w:styleId="boxhead">
    <w:name w:val="box_head"/>
    <w:basedOn w:val="Normal"/>
    <w:uiPriority w:val="99"/>
    <w:qFormat/>
    <w:rsid w:val="00823AB3"/>
    <w:pPr>
      <w:tabs>
        <w:tab w:val="clear" w:pos="567"/>
        <w:tab w:val="clear" w:pos="1134"/>
        <w:tab w:val="clear" w:pos="1701"/>
        <w:tab w:val="clear" w:pos="2268"/>
        <w:tab w:val="clear" w:pos="2835"/>
      </w:tabs>
      <w:overflowPunct/>
      <w:autoSpaceDE/>
      <w:autoSpaceDN/>
      <w:adjustRightInd/>
      <w:spacing w:after="60"/>
      <w:textAlignment w:val="auto"/>
    </w:pPr>
    <w:rPr>
      <w:rFonts w:eastAsia="Calibri" w:cs="Calibri"/>
      <w:b/>
      <w:sz w:val="22"/>
      <w:szCs w:val="22"/>
      <w:u w:val="single"/>
      <w:lang w:val="en-GB" w:eastAsia="zh-CN"/>
    </w:rPr>
  </w:style>
  <w:style w:type="table" w:customStyle="1" w:styleId="TableGrid1">
    <w:name w:val="Table Grid1"/>
    <w:basedOn w:val="TableNormal"/>
    <w:uiPriority w:val="39"/>
    <w:rsid w:val="00823AB3"/>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rsid w:val="00823AB3"/>
    <w:rPr>
      <w:rFonts w:ascii="Times New Roman" w:eastAsia="Yu Mincho"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rsid w:val="00823AB3"/>
    <w:rPr>
      <w:rFonts w:ascii="Times New Roman" w:eastAsia="Yu Mincho"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1">
    <w:name w:val="List Table 4 Accent 1"/>
    <w:basedOn w:val="TableNormal"/>
    <w:uiPriority w:val="49"/>
    <w:rsid w:val="00823AB3"/>
    <w:rPr>
      <w:rFonts w:asciiTheme="minorHAnsi" w:eastAsiaTheme="minorHAnsi" w:hAnsiTheme="minorHAnsi" w:cstheme="minorBidi"/>
      <w:sz w:val="22"/>
      <w:szCs w:val="22"/>
      <w:lang w:val="en-GB"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UnresolvedMention2">
    <w:name w:val="Unresolved Mention2"/>
    <w:basedOn w:val="DefaultParagraphFont"/>
    <w:uiPriority w:val="99"/>
    <w:semiHidden/>
    <w:unhideWhenUsed/>
    <w:rsid w:val="00823AB3"/>
    <w:rPr>
      <w:color w:val="605E5C"/>
      <w:shd w:val="clear" w:color="auto" w:fill="E1DFDD"/>
    </w:rPr>
  </w:style>
  <w:style w:type="numbering" w:customStyle="1" w:styleId="NoList1">
    <w:name w:val="No List1"/>
    <w:next w:val="NoList"/>
    <w:uiPriority w:val="99"/>
    <w:semiHidden/>
    <w:unhideWhenUsed/>
    <w:rsid w:val="00DF660C"/>
  </w:style>
  <w:style w:type="paragraph" w:customStyle="1" w:styleId="tabletitle0">
    <w:name w:val="table_title"/>
    <w:basedOn w:val="Normal"/>
    <w:qFormat/>
    <w:rsid w:val="00DF660C"/>
    <w:pPr>
      <w:keepNext/>
      <w:tabs>
        <w:tab w:val="clear" w:pos="567"/>
        <w:tab w:val="clear" w:pos="1134"/>
        <w:tab w:val="clear" w:pos="1701"/>
        <w:tab w:val="clear" w:pos="2268"/>
        <w:tab w:val="clear" w:pos="2835"/>
      </w:tabs>
      <w:overflowPunct/>
      <w:autoSpaceDE/>
      <w:autoSpaceDN/>
      <w:adjustRightInd/>
      <w:spacing w:before="0" w:after="120"/>
      <w:jc w:val="both"/>
      <w:textAlignment w:val="auto"/>
    </w:pPr>
    <w:rPr>
      <w:rFonts w:eastAsia="Calibri" w:cs="Calibri"/>
      <w:b/>
      <w:bCs/>
      <w:color w:val="4472C4"/>
      <w:sz w:val="22"/>
      <w:szCs w:val="22"/>
      <w:lang w:val="en-GB"/>
    </w:rPr>
  </w:style>
  <w:style w:type="paragraph" w:customStyle="1" w:styleId="boxbullet">
    <w:name w:val="box_bullet"/>
    <w:basedOn w:val="Normal"/>
    <w:qFormat/>
    <w:rsid w:val="00DF660C"/>
    <w:pPr>
      <w:tabs>
        <w:tab w:val="clear" w:pos="567"/>
        <w:tab w:val="clear" w:pos="1134"/>
        <w:tab w:val="clear" w:pos="1701"/>
        <w:tab w:val="clear" w:pos="2268"/>
        <w:tab w:val="clear" w:pos="2835"/>
        <w:tab w:val="num" w:pos="720"/>
      </w:tabs>
      <w:overflowPunct/>
      <w:autoSpaceDE/>
      <w:autoSpaceDN/>
      <w:adjustRightInd/>
      <w:spacing w:before="60" w:after="60"/>
      <w:ind w:left="714" w:hanging="357"/>
      <w:jc w:val="both"/>
      <w:textAlignment w:val="auto"/>
    </w:pPr>
    <w:rPr>
      <w:rFonts w:eastAsia="SimSun" w:cs="Calibri"/>
      <w:sz w:val="22"/>
      <w:szCs w:val="22"/>
      <w:lang w:val="en-GB" w:eastAsia="zh-CN"/>
    </w:rPr>
  </w:style>
  <w:style w:type="paragraph" w:customStyle="1" w:styleId="Boxbullet2">
    <w:name w:val="Box_bullet2"/>
    <w:basedOn w:val="Normal"/>
    <w:qFormat/>
    <w:rsid w:val="00DF660C"/>
    <w:pPr>
      <w:tabs>
        <w:tab w:val="clear" w:pos="567"/>
        <w:tab w:val="clear" w:pos="1134"/>
        <w:tab w:val="clear" w:pos="1701"/>
        <w:tab w:val="clear" w:pos="2268"/>
        <w:tab w:val="clear" w:pos="2835"/>
        <w:tab w:val="num" w:pos="1440"/>
      </w:tabs>
      <w:overflowPunct/>
      <w:autoSpaceDE/>
      <w:autoSpaceDN/>
      <w:adjustRightInd/>
      <w:spacing w:before="60" w:after="60"/>
      <w:ind w:left="1434" w:hanging="357"/>
      <w:jc w:val="both"/>
      <w:textAlignment w:val="auto"/>
    </w:pPr>
    <w:rPr>
      <w:rFonts w:eastAsia="SimSun"/>
      <w:sz w:val="22"/>
      <w:szCs w:val="22"/>
      <w:lang w:val="en-GB" w:eastAsia="zh-CN"/>
    </w:rPr>
  </w:style>
  <w:style w:type="paragraph" w:customStyle="1" w:styleId="tabletext1">
    <w:name w:val="table_text"/>
    <w:basedOn w:val="Normal"/>
    <w:rsid w:val="00DF660C"/>
    <w:pPr>
      <w:tabs>
        <w:tab w:val="clear" w:pos="567"/>
        <w:tab w:val="clear" w:pos="1134"/>
        <w:tab w:val="clear" w:pos="1701"/>
        <w:tab w:val="clear" w:pos="2268"/>
        <w:tab w:val="clear" w:pos="2835"/>
      </w:tabs>
      <w:overflowPunct/>
      <w:autoSpaceDE/>
      <w:autoSpaceDN/>
      <w:adjustRightInd/>
      <w:spacing w:before="80" w:after="80"/>
      <w:jc w:val="both"/>
      <w:textAlignment w:val="auto"/>
    </w:pPr>
    <w:rPr>
      <w:rFonts w:eastAsia="SimSun" w:cs="Calibri"/>
      <w:sz w:val="22"/>
      <w:szCs w:val="22"/>
      <w:lang w:val="en-GB" w:eastAsia="zh-CN"/>
    </w:rPr>
  </w:style>
  <w:style w:type="paragraph" w:customStyle="1" w:styleId="Bulletlist1">
    <w:name w:val="Bullet list 1"/>
    <w:basedOn w:val="Normal"/>
    <w:rsid w:val="00DF660C"/>
    <w:pPr>
      <w:tabs>
        <w:tab w:val="clear" w:pos="567"/>
        <w:tab w:val="clear" w:pos="1134"/>
        <w:tab w:val="clear" w:pos="1701"/>
        <w:tab w:val="clear" w:pos="2268"/>
        <w:tab w:val="clear" w:pos="2835"/>
      </w:tabs>
      <w:overflowPunct/>
      <w:autoSpaceDE/>
      <w:autoSpaceDN/>
      <w:adjustRightInd/>
      <w:ind w:left="425" w:hanging="425"/>
      <w:textAlignment w:val="auto"/>
    </w:pPr>
    <w:rPr>
      <w:rFonts w:eastAsia="SimSun"/>
      <w:sz w:val="21"/>
      <w:szCs w:val="22"/>
      <w:lang w:val="en-US" w:eastAsia="fr-FR"/>
    </w:rPr>
  </w:style>
  <w:style w:type="paragraph" w:customStyle="1" w:styleId="xxxmsonormal">
    <w:name w:val="x_xxmsonormal"/>
    <w:basedOn w:val="Normal"/>
    <w:rsid w:val="00DF660C"/>
    <w:pPr>
      <w:tabs>
        <w:tab w:val="clear" w:pos="567"/>
        <w:tab w:val="clear" w:pos="1134"/>
        <w:tab w:val="clear" w:pos="1701"/>
        <w:tab w:val="clear" w:pos="2268"/>
        <w:tab w:val="clear" w:pos="2835"/>
      </w:tabs>
      <w:overflowPunct/>
      <w:autoSpaceDE/>
      <w:autoSpaceDN/>
      <w:adjustRightInd/>
      <w:spacing w:before="0"/>
      <w:textAlignment w:val="auto"/>
    </w:pPr>
    <w:rPr>
      <w:rFonts w:eastAsia="Calibri" w:cs="Calibri"/>
      <w:sz w:val="22"/>
      <w:szCs w:val="22"/>
      <w:lang w:val="en-GB" w:eastAsia="en-GB"/>
    </w:rPr>
  </w:style>
  <w:style w:type="character" w:styleId="SmartLink">
    <w:name w:val="Smart Link"/>
    <w:basedOn w:val="DefaultParagraphFont"/>
    <w:uiPriority w:val="99"/>
    <w:semiHidden/>
    <w:unhideWhenUsed/>
    <w:rsid w:val="00DF660C"/>
    <w:rPr>
      <w:color w:val="0000FF"/>
      <w:u w:val="single"/>
      <w:shd w:val="clear" w:color="auto" w:fill="F3F2F1"/>
    </w:rPr>
  </w:style>
  <w:style w:type="character" w:customStyle="1" w:styleId="A0">
    <w:name w:val="A0"/>
    <w:uiPriority w:val="99"/>
    <w:rsid w:val="00DF660C"/>
    <w:rPr>
      <w:color w:val="404041"/>
      <w:sz w:val="21"/>
      <w:szCs w:val="21"/>
    </w:rPr>
  </w:style>
  <w:style w:type="character" w:customStyle="1" w:styleId="apple-converted-space">
    <w:name w:val="apple-converted-space"/>
    <w:basedOn w:val="DefaultParagraphFont"/>
    <w:rsid w:val="00DF660C"/>
  </w:style>
  <w:style w:type="character" w:customStyle="1" w:styleId="ms-rtethemeforecolor-2-0">
    <w:name w:val="ms-rtethemeforecolor-2-0"/>
    <w:basedOn w:val="DefaultParagraphFont"/>
    <w:rsid w:val="00DF660C"/>
  </w:style>
  <w:style w:type="table" w:customStyle="1" w:styleId="GridTable4-Accent11">
    <w:name w:val="Grid Table 4 - Accent 11"/>
    <w:basedOn w:val="TableNormal"/>
    <w:uiPriority w:val="49"/>
    <w:rsid w:val="00DF660C"/>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3-Accent11">
    <w:name w:val="List Table 3 - Accent 11"/>
    <w:basedOn w:val="TableNormal"/>
    <w:next w:val="ListTable3-Accent1"/>
    <w:uiPriority w:val="48"/>
    <w:rsid w:val="00DF660C"/>
    <w:tblPr>
      <w:tblStyleRowBandSize w:val="1"/>
      <w:tblStyleColBandSize w:val="1"/>
      <w:tblInd w:w="0" w:type="nil"/>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Table4-Accent11">
    <w:name w:val="List Table 4 - Accent 11"/>
    <w:basedOn w:val="TableNormal"/>
    <w:next w:val="ListTable4-Accent1"/>
    <w:uiPriority w:val="49"/>
    <w:rsid w:val="00DF660C"/>
    <w:rPr>
      <w:rFonts w:ascii="Calibri" w:eastAsia="Calibri" w:hAnsi="Calibri" w:cs="Arial"/>
      <w:sz w:val="22"/>
      <w:szCs w:val="22"/>
      <w:lang w:eastAsia="en-US"/>
    </w:rPr>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3-Accent111">
    <w:name w:val="List Table 3 - Accent 111"/>
    <w:basedOn w:val="TableNormal"/>
    <w:uiPriority w:val="48"/>
    <w:rsid w:val="00DF660C"/>
    <w:rPr>
      <w:rFonts w:ascii="Calibri" w:eastAsia="Calibri" w:hAnsi="Calibri" w:cs="Arial"/>
      <w:sz w:val="22"/>
      <w:szCs w:val="22"/>
      <w:lang w:eastAsia="en-US"/>
    </w:rPr>
    <w:tblPr>
      <w:tblStyleRowBandSize w:val="1"/>
      <w:tblStyleColBandSize w:val="1"/>
      <w:tblInd w:w="0" w:type="nil"/>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numbering" w:customStyle="1" w:styleId="NoList2">
    <w:name w:val="No List2"/>
    <w:next w:val="NoList"/>
    <w:uiPriority w:val="99"/>
    <w:semiHidden/>
    <w:unhideWhenUsed/>
    <w:rsid w:val="00DF660C"/>
  </w:style>
  <w:style w:type="table" w:customStyle="1" w:styleId="GridTable4-Accent12">
    <w:name w:val="Grid Table 4 - Accent 12"/>
    <w:basedOn w:val="TableNormal"/>
    <w:next w:val="GridTable4-Accent1"/>
    <w:uiPriority w:val="49"/>
    <w:rsid w:val="00DF660C"/>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3-Accent12">
    <w:name w:val="List Table 3 - Accent 12"/>
    <w:basedOn w:val="TableNormal"/>
    <w:next w:val="ListTable3-Accent1"/>
    <w:uiPriority w:val="48"/>
    <w:rsid w:val="00DF660C"/>
    <w:tblPr>
      <w:tblStyleRowBandSize w:val="1"/>
      <w:tblStyleColBandSize w:val="1"/>
      <w:tblInd w:w="0" w:type="nil"/>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Table4-Accent12">
    <w:name w:val="List Table 4 - Accent 12"/>
    <w:basedOn w:val="TableNormal"/>
    <w:next w:val="ListTable4-Accent1"/>
    <w:uiPriority w:val="49"/>
    <w:rsid w:val="00DF660C"/>
    <w:rPr>
      <w:rFonts w:ascii="Calibri" w:eastAsia="Calibri" w:hAnsi="Calibri" w:cs="Arial"/>
      <w:sz w:val="22"/>
      <w:szCs w:val="22"/>
      <w:lang w:eastAsia="en-US"/>
    </w:rPr>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Grid4">
    <w:name w:val="Table Grid4"/>
    <w:basedOn w:val="TableNormal"/>
    <w:uiPriority w:val="39"/>
    <w:rsid w:val="00DF660C"/>
    <w:rPr>
      <w:rFonts w:ascii="Times New Roman" w:eastAsiaTheme="minorEastAsia"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unhideWhenUsed/>
    <w:rsid w:val="008A64DF"/>
    <w:rPr>
      <w:color w:val="605E5C"/>
      <w:shd w:val="clear" w:color="auto" w:fill="E1DFDD"/>
    </w:rPr>
  </w:style>
  <w:style w:type="character" w:styleId="Mention">
    <w:name w:val="Mention"/>
    <w:basedOn w:val="DefaultParagraphFont"/>
    <w:uiPriority w:val="99"/>
    <w:unhideWhenUsed/>
    <w:rsid w:val="008A64D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739062">
      <w:bodyDiv w:val="1"/>
      <w:marLeft w:val="0"/>
      <w:marRight w:val="0"/>
      <w:marTop w:val="0"/>
      <w:marBottom w:val="0"/>
      <w:divBdr>
        <w:top w:val="none" w:sz="0" w:space="0" w:color="auto"/>
        <w:left w:val="none" w:sz="0" w:space="0" w:color="auto"/>
        <w:bottom w:val="none" w:sz="0" w:space="0" w:color="auto"/>
        <w:right w:val="none" w:sz="0" w:space="0" w:color="auto"/>
      </w:divBdr>
    </w:div>
    <w:div w:id="96870166">
      <w:bodyDiv w:val="1"/>
      <w:marLeft w:val="0"/>
      <w:marRight w:val="0"/>
      <w:marTop w:val="0"/>
      <w:marBottom w:val="0"/>
      <w:divBdr>
        <w:top w:val="none" w:sz="0" w:space="0" w:color="auto"/>
        <w:left w:val="none" w:sz="0" w:space="0" w:color="auto"/>
        <w:bottom w:val="none" w:sz="0" w:space="0" w:color="auto"/>
        <w:right w:val="none" w:sz="0" w:space="0" w:color="auto"/>
      </w:divBdr>
    </w:div>
    <w:div w:id="473105643">
      <w:bodyDiv w:val="1"/>
      <w:marLeft w:val="0"/>
      <w:marRight w:val="0"/>
      <w:marTop w:val="0"/>
      <w:marBottom w:val="0"/>
      <w:divBdr>
        <w:top w:val="none" w:sz="0" w:space="0" w:color="auto"/>
        <w:left w:val="none" w:sz="0" w:space="0" w:color="auto"/>
        <w:bottom w:val="none" w:sz="0" w:space="0" w:color="auto"/>
        <w:right w:val="none" w:sz="0" w:space="0" w:color="auto"/>
      </w:divBdr>
    </w:div>
    <w:div w:id="820775805">
      <w:bodyDiv w:val="1"/>
      <w:marLeft w:val="0"/>
      <w:marRight w:val="0"/>
      <w:marTop w:val="0"/>
      <w:marBottom w:val="0"/>
      <w:divBdr>
        <w:top w:val="none" w:sz="0" w:space="0" w:color="auto"/>
        <w:left w:val="none" w:sz="0" w:space="0" w:color="auto"/>
        <w:bottom w:val="none" w:sz="0" w:space="0" w:color="auto"/>
        <w:right w:val="none" w:sz="0" w:space="0" w:color="auto"/>
      </w:divBdr>
    </w:div>
    <w:div w:id="827089311">
      <w:bodyDiv w:val="1"/>
      <w:marLeft w:val="0"/>
      <w:marRight w:val="0"/>
      <w:marTop w:val="0"/>
      <w:marBottom w:val="0"/>
      <w:divBdr>
        <w:top w:val="none" w:sz="0" w:space="0" w:color="auto"/>
        <w:left w:val="none" w:sz="0" w:space="0" w:color="auto"/>
        <w:bottom w:val="none" w:sz="0" w:space="0" w:color="auto"/>
        <w:right w:val="none" w:sz="0" w:space="0" w:color="auto"/>
      </w:divBdr>
    </w:div>
    <w:div w:id="1240751002">
      <w:bodyDiv w:val="1"/>
      <w:marLeft w:val="0"/>
      <w:marRight w:val="0"/>
      <w:marTop w:val="0"/>
      <w:marBottom w:val="0"/>
      <w:divBdr>
        <w:top w:val="none" w:sz="0" w:space="0" w:color="auto"/>
        <w:left w:val="none" w:sz="0" w:space="0" w:color="auto"/>
        <w:bottom w:val="none" w:sz="0" w:space="0" w:color="auto"/>
        <w:right w:val="none" w:sz="0" w:space="0" w:color="auto"/>
      </w:divBdr>
    </w:div>
    <w:div w:id="1595941471">
      <w:bodyDiv w:val="1"/>
      <w:marLeft w:val="0"/>
      <w:marRight w:val="0"/>
      <w:marTop w:val="0"/>
      <w:marBottom w:val="0"/>
      <w:divBdr>
        <w:top w:val="none" w:sz="0" w:space="0" w:color="auto"/>
        <w:left w:val="none" w:sz="0" w:space="0" w:color="auto"/>
        <w:bottom w:val="none" w:sz="0" w:space="0" w:color="auto"/>
        <w:right w:val="none" w:sz="0" w:space="0" w:color="auto"/>
      </w:divBdr>
    </w:div>
    <w:div w:id="1874729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preparecenter.org/site/ifrcalerthubinitiative/call-to-action-on-emergency-alerting/" TargetMode="External"/><Relationship Id="rId21" Type="http://schemas.openxmlformats.org/officeDocument/2006/relationships/hyperlink" Target="https://www.itu.int/pub/R-REG-RR-2020/es" TargetMode="External"/><Relationship Id="rId324" Type="http://schemas.openxmlformats.org/officeDocument/2006/relationships/hyperlink" Target="https://www.itu.int/net4/ITU-T/myworkspace/" TargetMode="External"/><Relationship Id="rId531" Type="http://schemas.openxmlformats.org/officeDocument/2006/relationships/image" Target="media/image39.png"/><Relationship Id="rId629" Type="http://schemas.openxmlformats.org/officeDocument/2006/relationships/image" Target="media/image137.png"/><Relationship Id="rId170" Type="http://schemas.openxmlformats.org/officeDocument/2006/relationships/hyperlink" Target="https://www.itu.int/en/ITU-D/Digital-Inclusion/Pages/resources-on-ICT-accessibility/default.aspx" TargetMode="External"/><Relationship Id="rId268" Type="http://schemas.openxmlformats.org/officeDocument/2006/relationships/hyperlink" Target="https://academy.itu.int/itu-d/projects-activities/curriculum-development/smtp" TargetMode="External"/><Relationship Id="rId475" Type="http://schemas.openxmlformats.org/officeDocument/2006/relationships/hyperlink" Target="https://www.itu.int/rec/T-REC-Q.Sup73/es" TargetMode="External"/><Relationship Id="rId32" Type="http://schemas.openxmlformats.org/officeDocument/2006/relationships/hyperlink" Target="https://www.itu.int/pub/R-RES/es" TargetMode="External"/><Relationship Id="rId128" Type="http://schemas.openxmlformats.org/officeDocument/2006/relationships/hyperlink" Target="https://www.itu.int/en/ITU-D/Cybersecurity/Pages/Cyberdrills-2021.aspx" TargetMode="External"/><Relationship Id="rId335" Type="http://schemas.openxmlformats.org/officeDocument/2006/relationships/hyperlink" Target="https://www.itu.int/net4/ipr/search.aspx?sector=ITU&amp;class=PS" TargetMode="External"/><Relationship Id="rId542" Type="http://schemas.openxmlformats.org/officeDocument/2006/relationships/image" Target="media/image50.png"/><Relationship Id="rId181" Type="http://schemas.openxmlformats.org/officeDocument/2006/relationships/hyperlink" Target="https://www.itu.int/en/ITU-D/Digital-Inclusion/Pages/resources-on-ICT-accessibility/default.aspx" TargetMode="External"/><Relationship Id="rId402" Type="http://schemas.openxmlformats.org/officeDocument/2006/relationships/hyperlink" Target="https://www.itu.int/en/council/planning/Documents/ITU_Strategic_plan_2020-2023.pdf" TargetMode="External"/><Relationship Id="rId279" Type="http://schemas.openxmlformats.org/officeDocument/2006/relationships/hyperlink" Target="https://www.itu.int/net4/wsis/forum/2020/es/Home/Outcomes" TargetMode="External"/><Relationship Id="rId486" Type="http://schemas.openxmlformats.org/officeDocument/2006/relationships/hyperlink" Target="https://www.itu.int/en/ITU-T/climatechange/Pages/events.aspx" TargetMode="External"/><Relationship Id="rId43" Type="http://schemas.openxmlformats.org/officeDocument/2006/relationships/hyperlink" Target="https://www.itu.int/es/ITU-T/studygroups/2017-2020/15/Pages/default.aspx" TargetMode="External"/><Relationship Id="rId139" Type="http://schemas.openxmlformats.org/officeDocument/2006/relationships/hyperlink" Target="https://www.itu.int/net4/wsis/forum/2020/es" TargetMode="External"/><Relationship Id="rId346" Type="http://schemas.openxmlformats.org/officeDocument/2006/relationships/image" Target="media/image7.png"/><Relationship Id="rId553" Type="http://schemas.openxmlformats.org/officeDocument/2006/relationships/image" Target="media/image61.png"/><Relationship Id="rId192" Type="http://schemas.openxmlformats.org/officeDocument/2006/relationships/hyperlink" Target="https://youtu.be/41HiCZwPN5E" TargetMode="External"/><Relationship Id="rId206" Type="http://schemas.openxmlformats.org/officeDocument/2006/relationships/hyperlink" Target="https://reg4covid.itu.int/wp-content/uploads/2020/09/UN75_Partnership_Statement_PD_final.pdf" TargetMode="External"/><Relationship Id="rId413" Type="http://schemas.openxmlformats.org/officeDocument/2006/relationships/hyperlink" Target="https://www.itu.int/md/S19-CL-C-0022/es" TargetMode="External"/><Relationship Id="rId497" Type="http://schemas.openxmlformats.org/officeDocument/2006/relationships/hyperlink" Target="https://www.itu.int/en/ITU-T/Workshops-and-Seminars/102019/Pages/default.aspx" TargetMode="External"/><Relationship Id="rId620" Type="http://schemas.openxmlformats.org/officeDocument/2006/relationships/image" Target="media/image128.png"/><Relationship Id="rId357" Type="http://schemas.openxmlformats.org/officeDocument/2006/relationships/image" Target="media/image18.png"/><Relationship Id="rId54" Type="http://schemas.openxmlformats.org/officeDocument/2006/relationships/hyperlink" Target="https://www.itu.int/en/ITU-T/focusgroups/net2030/Pages/default.aspx" TargetMode="External"/><Relationship Id="rId217" Type="http://schemas.openxmlformats.org/officeDocument/2006/relationships/hyperlink" Target="https://news.itu.int/covid-19-7-key-ways-to-keep-children-safe-online/" TargetMode="External"/><Relationship Id="rId564" Type="http://schemas.openxmlformats.org/officeDocument/2006/relationships/image" Target="media/image72.png"/><Relationship Id="rId424" Type="http://schemas.openxmlformats.org/officeDocument/2006/relationships/hyperlink" Target="https://www.itu.int/rec/T-REC-K.145/es" TargetMode="External"/><Relationship Id="rId631" Type="http://schemas.openxmlformats.org/officeDocument/2006/relationships/image" Target="media/image139.png"/><Relationship Id="rId270" Type="http://schemas.openxmlformats.org/officeDocument/2006/relationships/hyperlink" Target="https://www.itu.int/en/ITU-T/Workshops-and-Seminars/Pages/default.aspx" TargetMode="External"/><Relationship Id="rId65" Type="http://schemas.openxmlformats.org/officeDocument/2006/relationships/hyperlink" Target="https://www.itu.int/en/action/ai/emerging-radio-technologies/Pages/default.aspx" TargetMode="External"/><Relationship Id="rId130" Type="http://schemas.openxmlformats.org/officeDocument/2006/relationships/hyperlink" Target="https://www.itu.int/pub/D-STR-CYB_GUIDE.01-2018/es" TargetMode="External"/><Relationship Id="rId368" Type="http://schemas.openxmlformats.org/officeDocument/2006/relationships/image" Target="media/image29.png"/><Relationship Id="rId575" Type="http://schemas.openxmlformats.org/officeDocument/2006/relationships/image" Target="media/image83.png"/><Relationship Id="rId228" Type="http://schemas.openxmlformats.org/officeDocument/2006/relationships/hyperlink" Target="https://www.broadbandcommission.org/commissioners/Pages/default.aspx" TargetMode="External"/><Relationship Id="rId435" Type="http://schemas.openxmlformats.org/officeDocument/2006/relationships/hyperlink" Target="https://www.itu.int/en/ITU-T/Workshops-and-Seminars/201909/Pages/default.aspx" TargetMode="External"/><Relationship Id="rId281" Type="http://schemas.openxmlformats.org/officeDocument/2006/relationships/hyperlink" Target="https://www.itu.int/net4/wsis/stocktaking/Prizes/2021/" TargetMode="External"/><Relationship Id="rId502" Type="http://schemas.openxmlformats.org/officeDocument/2006/relationships/hyperlink" Target="https://www.itu.int/rec/T-REC-P.1502/es" TargetMode="External"/><Relationship Id="rId76" Type="http://schemas.openxmlformats.org/officeDocument/2006/relationships/hyperlink" Target="https://www.itu.int/rec/T-REC-X/es" TargetMode="External"/><Relationship Id="rId141" Type="http://schemas.openxmlformats.org/officeDocument/2006/relationships/hyperlink" Target="https://www.itu.int/hub/2021/04/empowering-women-and-girls-through-sport-and-technology/" TargetMode="External"/><Relationship Id="rId379" Type="http://schemas.openxmlformats.org/officeDocument/2006/relationships/hyperlink" Target="https://www.itu.int/en/ITU-D/Statistics/Pages/ICTprices/default.aspx" TargetMode="External"/><Relationship Id="rId586" Type="http://schemas.openxmlformats.org/officeDocument/2006/relationships/image" Target="media/image94.png"/><Relationship Id="rId7" Type="http://schemas.openxmlformats.org/officeDocument/2006/relationships/endnotes" Target="endnotes.xml"/><Relationship Id="rId239" Type="http://schemas.openxmlformats.org/officeDocument/2006/relationships/hyperlink" Target="https://www.unicef.org/innovation/venturefund" TargetMode="External"/><Relationship Id="rId446" Type="http://schemas.openxmlformats.org/officeDocument/2006/relationships/hyperlink" Target="https://www.itu.int/net4/ITU-D/CDS/sg/rgqlist.asp?lg=1&amp;sp=2018&amp;rgq=D18-SG02-RGQ04.2&amp;stg=2http://itu.int/go/CI_Question4_2" TargetMode="External"/><Relationship Id="rId292" Type="http://schemas.openxmlformats.org/officeDocument/2006/relationships/hyperlink" Target="https://www.itu.int/en/ITU-T/academia/kaleidoscope/2018/Pages/default.aspx" TargetMode="External"/><Relationship Id="rId306" Type="http://schemas.openxmlformats.org/officeDocument/2006/relationships/hyperlink" Target="https://www.itu.int/en/ITU-D/Regulatory-Market/Pages/bestpractices.aspx" TargetMode="External"/><Relationship Id="rId87" Type="http://schemas.openxmlformats.org/officeDocument/2006/relationships/hyperlink" Target="https://www.itu.int/en/ITU-T/climatechange/Pages/1st-Digital-African-Week.aspx" TargetMode="External"/><Relationship Id="rId513" Type="http://schemas.openxmlformats.org/officeDocument/2006/relationships/hyperlink" Target="https://www.itu.int/en/ITU-T/extcoop/dcgi/Pages/default.aspx" TargetMode="External"/><Relationship Id="rId597" Type="http://schemas.openxmlformats.org/officeDocument/2006/relationships/image" Target="media/image105.png"/><Relationship Id="rId152" Type="http://schemas.openxmlformats.org/officeDocument/2006/relationships/hyperlink" Target="https://www.equalsintech.org/" TargetMode="External"/><Relationship Id="rId457" Type="http://schemas.openxmlformats.org/officeDocument/2006/relationships/hyperlink" Target="https://www.itu.int/en/ITU-D/Conferences/ET/2021/Pages/Programme.aspx" TargetMode="External"/><Relationship Id="rId14" Type="http://schemas.openxmlformats.org/officeDocument/2006/relationships/header" Target="header2.xml"/><Relationship Id="rId317" Type="http://schemas.openxmlformats.org/officeDocument/2006/relationships/hyperlink" Target="https://www.itu.int/es/mediacentre/Pages/pr29-2020-Virtual-Digital-World-SME-innovative-tech-solutions-social-impact.aspx" TargetMode="External"/><Relationship Id="rId524" Type="http://schemas.openxmlformats.org/officeDocument/2006/relationships/hyperlink" Target="https://www.itu.int/md/S20-CL-C-0050/es" TargetMode="External"/><Relationship Id="rId98" Type="http://schemas.openxmlformats.org/officeDocument/2006/relationships/hyperlink" Target="https://globalewaste.org/publications/" TargetMode="External"/><Relationship Id="rId163" Type="http://schemas.openxmlformats.org/officeDocument/2006/relationships/hyperlink" Target="https://www.itu.int/es/ITU-D/Conferences/WTDC/WTDC21/R2A/Pages/R2A-Partner2Connect.aspx" TargetMode="External"/><Relationship Id="rId370" Type="http://schemas.openxmlformats.org/officeDocument/2006/relationships/image" Target="media/image31.png"/><Relationship Id="rId230" Type="http://schemas.openxmlformats.org/officeDocument/2006/relationships/hyperlink" Target="https://www.itu.int/en/ITU-D/Cybersecurity/Pages/Women-in-Cyber/Women-in-Cyber-Mentorship-Programme.aspx" TargetMode="External"/><Relationship Id="rId468" Type="http://schemas.openxmlformats.org/officeDocument/2006/relationships/hyperlink" Target="https://www.itu.int/en/ITU-T/Workshops-and-Seminars/201909/Pages/default.aspx" TargetMode="External"/><Relationship Id="rId25" Type="http://schemas.openxmlformats.org/officeDocument/2006/relationships/hyperlink" Target="https://www.itu.int/pub/R-RES-R.4/es" TargetMode="External"/><Relationship Id="rId328" Type="http://schemas.openxmlformats.org/officeDocument/2006/relationships/hyperlink" Target="https://tsbcloud.itu.int/nextcloud/login" TargetMode="External"/><Relationship Id="rId535" Type="http://schemas.openxmlformats.org/officeDocument/2006/relationships/image" Target="media/image43.png"/><Relationship Id="rId174" Type="http://schemas.openxmlformats.org/officeDocument/2006/relationships/hyperlink" Target="https://www.itu.int/en/ITU-D/Regional-Presence/Europe/Pages/Events/2020/AE21/default.aspx" TargetMode="External"/><Relationship Id="rId381" Type="http://schemas.openxmlformats.org/officeDocument/2006/relationships/hyperlink" Target="https://www.itu.int/en/ITU-D/Statistics/Dashboards/Pages/Digital-Development.aspx" TargetMode="External"/><Relationship Id="rId602" Type="http://schemas.openxmlformats.org/officeDocument/2006/relationships/image" Target="media/image110.png"/><Relationship Id="rId241" Type="http://schemas.openxmlformats.org/officeDocument/2006/relationships/hyperlink" Target="https://broadbandcommission.org/publication/connecting-learning-spaces/" TargetMode="External"/><Relationship Id="rId479" Type="http://schemas.openxmlformats.org/officeDocument/2006/relationships/hyperlink" Target="https://www.itu.int/rec/T-REC-E.156/es" TargetMode="External"/><Relationship Id="rId36" Type="http://schemas.openxmlformats.org/officeDocument/2006/relationships/hyperlink" Target="https://www.itu.int/es/ITU-T/studygroups/2017-2020/02/Pages/default.aspx" TargetMode="External"/><Relationship Id="rId339" Type="http://schemas.openxmlformats.org/officeDocument/2006/relationships/hyperlink" Target="https://www.itu.int/md/S21-CL-C-0068/es" TargetMode="External"/><Relationship Id="rId546" Type="http://schemas.openxmlformats.org/officeDocument/2006/relationships/image" Target="media/image54.png"/><Relationship Id="rId101" Type="http://schemas.openxmlformats.org/officeDocument/2006/relationships/hyperlink" Target="https://academy.itu.int/training-courses/full-catalogue/introduction-e-waste-policy" TargetMode="External"/><Relationship Id="rId185" Type="http://schemas.openxmlformats.org/officeDocument/2006/relationships/hyperlink" Target="https://unsdg.un.org/sites/default/files/2021-04/ICT-Digital%20Accessibility-BOS-Additional%20Resources-20210303.pdf" TargetMode="External"/><Relationship Id="rId406" Type="http://schemas.openxmlformats.org/officeDocument/2006/relationships/hyperlink" Target="https://www.itu.int/md/S19-CL-C-0137/es" TargetMode="External"/><Relationship Id="rId392" Type="http://schemas.openxmlformats.org/officeDocument/2006/relationships/hyperlink" Target="https://academy.itu.int/training-courses/full-catalogue/itu-training-business-planning-ict-infrastructure-development" TargetMode="External"/><Relationship Id="rId613" Type="http://schemas.openxmlformats.org/officeDocument/2006/relationships/image" Target="media/image121.png"/><Relationship Id="rId252" Type="http://schemas.openxmlformats.org/officeDocument/2006/relationships/hyperlink" Target="https://www.itu.int/en/ITU-T/focusgroups/ai4h/Pages/default.aspx" TargetMode="External"/><Relationship Id="rId294" Type="http://schemas.openxmlformats.org/officeDocument/2006/relationships/hyperlink" Target="https://aiforgood.itu.int/" TargetMode="External"/><Relationship Id="rId308" Type="http://schemas.openxmlformats.org/officeDocument/2006/relationships/hyperlink" Target="https://www.itu.int/en/ITU-D/Conferences/GSR/2019/Documents/GSR19BestPracticeGuidelines_S.pdf" TargetMode="External"/><Relationship Id="rId515" Type="http://schemas.openxmlformats.org/officeDocument/2006/relationships/hyperlink" Target="https://www.itu.int/en/ITU-D/Conferences/GSR/Documents/GSR2016/Meeting_report_E.pdf" TargetMode="External"/><Relationship Id="rId47" Type="http://schemas.openxmlformats.org/officeDocument/2006/relationships/hyperlink" Target="https://www.itu.int/es/ITU-T/tsag/2017-2020/Pages/default.aspx" TargetMode="External"/><Relationship Id="rId89" Type="http://schemas.openxmlformats.org/officeDocument/2006/relationships/hyperlink" Target="https://cep2030.org/" TargetMode="External"/><Relationship Id="rId112" Type="http://schemas.openxmlformats.org/officeDocument/2006/relationships/hyperlink" Target="https://www.itu.int/en/ITU-D/Emergency-Telecommunications/Pages/Disaster-Connectivity-Maps.aspx" TargetMode="External"/><Relationship Id="rId154" Type="http://schemas.openxmlformats.org/officeDocument/2006/relationships/hyperlink" Target="https://www.itu.int/en/ITU-D/Conferences/WTDC/WTDC21/NoW/Documents/Mentorship/NOW4WTDC-Brochure.pdf" TargetMode="External"/><Relationship Id="rId361" Type="http://schemas.openxmlformats.org/officeDocument/2006/relationships/image" Target="media/image22.png"/><Relationship Id="rId557" Type="http://schemas.openxmlformats.org/officeDocument/2006/relationships/image" Target="media/image65.png"/><Relationship Id="rId599" Type="http://schemas.openxmlformats.org/officeDocument/2006/relationships/image" Target="media/image107.png"/><Relationship Id="rId196" Type="http://schemas.openxmlformats.org/officeDocument/2006/relationships/hyperlink" Target="https://www.itu.int/en/Pages/covid-19.aspx" TargetMode="External"/><Relationship Id="rId417" Type="http://schemas.openxmlformats.org/officeDocument/2006/relationships/hyperlink" Target="https://www.itu.int/en/council/Pages/imac-biographies.aspx" TargetMode="External"/><Relationship Id="rId459" Type="http://schemas.openxmlformats.org/officeDocument/2006/relationships/hyperlink" Target="https://www.itu.int/en/action/environment-and-climate-change/Pages/Side-event-International-Standards-and-Sustainable-Green-%26-Innovative-Power-Solutions.aspx" TargetMode="External"/><Relationship Id="rId624" Type="http://schemas.openxmlformats.org/officeDocument/2006/relationships/image" Target="media/image132.png"/><Relationship Id="rId16" Type="http://schemas.openxmlformats.org/officeDocument/2006/relationships/footer" Target="footer2.xml"/><Relationship Id="rId221" Type="http://schemas.openxmlformats.org/officeDocument/2006/relationships/hyperlink" Target="https://broadbandcommission.org/events/" TargetMode="External"/><Relationship Id="rId263" Type="http://schemas.openxmlformats.org/officeDocument/2006/relationships/hyperlink" Target="https://www.itu.int/es/ITU-R/terrestrial/broadcast/africa/Pages/2nd_coord_meeting.aspx" TargetMode="External"/><Relationship Id="rId319" Type="http://schemas.openxmlformats.org/officeDocument/2006/relationships/hyperlink" Target="https://digital-world.itu.int/" TargetMode="External"/><Relationship Id="rId470" Type="http://schemas.openxmlformats.org/officeDocument/2006/relationships/hyperlink" Target="https://www.itu.int/rec/T-REC-Q.5050/es" TargetMode="External"/><Relationship Id="rId526" Type="http://schemas.openxmlformats.org/officeDocument/2006/relationships/image" Target="media/image34.png"/><Relationship Id="rId58" Type="http://schemas.openxmlformats.org/officeDocument/2006/relationships/hyperlink" Target="https://www.itu.int/en/ITU-T/focusgroups/ai4ee/Pages/default.aspx" TargetMode="External"/><Relationship Id="rId123" Type="http://schemas.openxmlformats.org/officeDocument/2006/relationships/hyperlink" Target="https://www.itu.int/en/ITU-D/Cybersecurity/Pages/legislation.aspx" TargetMode="External"/><Relationship Id="rId330" Type="http://schemas.openxmlformats.org/officeDocument/2006/relationships/hyperlink" Target="https://www.itu.int/myworkspace/" TargetMode="External"/><Relationship Id="rId568" Type="http://schemas.openxmlformats.org/officeDocument/2006/relationships/image" Target="media/image76.png"/><Relationship Id="rId165" Type="http://schemas.openxmlformats.org/officeDocument/2006/relationships/hyperlink" Target="https://www.itu.int/es/ITU-D/Pages/I-CoDI-Youth-Challenge.aspx" TargetMode="External"/><Relationship Id="rId372" Type="http://schemas.openxmlformats.org/officeDocument/2006/relationships/hyperlink" Target="https://www.itu.int/md/S20-CL-C-0016/es" TargetMode="External"/><Relationship Id="rId428" Type="http://schemas.openxmlformats.org/officeDocument/2006/relationships/hyperlink" Target="https://www.itu.int/rec/T-REC-K.Sup19/es" TargetMode="External"/><Relationship Id="rId635" Type="http://schemas.openxmlformats.org/officeDocument/2006/relationships/image" Target="media/image141.png"/><Relationship Id="rId232" Type="http://schemas.openxmlformats.org/officeDocument/2006/relationships/hyperlink" Target="https://www.equalsintech.org/awards" TargetMode="External"/><Relationship Id="rId274" Type="http://schemas.openxmlformats.org/officeDocument/2006/relationships/hyperlink" Target="https://www.itu.int/es/wtisd/2021/Pages/call-for-action.aspx" TargetMode="External"/><Relationship Id="rId481" Type="http://schemas.openxmlformats.org/officeDocument/2006/relationships/hyperlink" Target="https://www.itu.int/es/ITU-T/studygroups/2017-2020/20/Pages/default.aspx" TargetMode="External"/><Relationship Id="rId27" Type="http://schemas.openxmlformats.org/officeDocument/2006/relationships/hyperlink" Target="https://www.itu.int/pub/R-RES-R.70" TargetMode="External"/><Relationship Id="rId69" Type="http://schemas.openxmlformats.org/officeDocument/2006/relationships/hyperlink" Target="https://www.itu.int/rec/T-REC-P/es" TargetMode="External"/><Relationship Id="rId134" Type="http://schemas.openxmlformats.org/officeDocument/2006/relationships/hyperlink" Target="https://www.itu.int/en/ITU-D/Cybersecurity/Pages/global-cybersecurity-index.aspx" TargetMode="External"/><Relationship Id="rId537" Type="http://schemas.openxmlformats.org/officeDocument/2006/relationships/image" Target="media/image45.png"/><Relationship Id="rId579" Type="http://schemas.openxmlformats.org/officeDocument/2006/relationships/image" Target="media/image87.png"/><Relationship Id="rId80" Type="http://schemas.openxmlformats.org/officeDocument/2006/relationships/hyperlink" Target="https://www.itu.int/en/ITU-T/Workshops-and-Seminars/2019060507/Pages/default.aspx" TargetMode="External"/><Relationship Id="rId176" Type="http://schemas.openxmlformats.org/officeDocument/2006/relationships/hyperlink" Target="https://www.itu.int/en/ITU-D/Regional-Presence/Europe/Documents/Events/2020/AE20/event/D-PHCB-ICT_ACCESS_EUR.01-2021-PDF-E.pdf" TargetMode="External"/><Relationship Id="rId341" Type="http://schemas.openxmlformats.org/officeDocument/2006/relationships/image" Target="media/image3.png"/><Relationship Id="rId383" Type="http://schemas.openxmlformats.org/officeDocument/2006/relationships/hyperlink" Target="https://www.itu.int/en/ITU-D/Statistics/Pages/publications/manual.aspx" TargetMode="External"/><Relationship Id="rId439" Type="http://schemas.openxmlformats.org/officeDocument/2006/relationships/hyperlink" Target="https://academy.itu.int/training-courses/full-catalogue/conformity-and-interoperability-africa-region" TargetMode="External"/><Relationship Id="rId590" Type="http://schemas.openxmlformats.org/officeDocument/2006/relationships/image" Target="media/image98.png"/><Relationship Id="rId604" Type="http://schemas.openxmlformats.org/officeDocument/2006/relationships/image" Target="media/image112.png"/><Relationship Id="rId201" Type="http://schemas.openxmlformats.org/officeDocument/2006/relationships/hyperlink" Target="https://broadbandcommission.org/COVID19/Pages/default.aspx" TargetMode="External"/><Relationship Id="rId243" Type="http://schemas.openxmlformats.org/officeDocument/2006/relationships/hyperlink" Target="https://www.un.org/es/sg-digital-cooperation-panel" TargetMode="External"/><Relationship Id="rId285" Type="http://schemas.openxmlformats.org/officeDocument/2006/relationships/hyperlink" Target="https://www.itu.int/net4/wsis/stocktaking" TargetMode="External"/><Relationship Id="rId450" Type="http://schemas.openxmlformats.org/officeDocument/2006/relationships/hyperlink" Target="https://www.itu.int/md/S20-CL-C-0057/es" TargetMode="External"/><Relationship Id="rId506" Type="http://schemas.openxmlformats.org/officeDocument/2006/relationships/hyperlink" Target="http://www.itu.int/itu-t/workprog/wp_item.aspx?isn=14071" TargetMode="External"/><Relationship Id="rId38" Type="http://schemas.openxmlformats.org/officeDocument/2006/relationships/hyperlink" Target="https://www.itu.int/es/ITU-T/studygroups/2017-2020/05/Pages/default.aspx" TargetMode="External"/><Relationship Id="rId103" Type="http://schemas.openxmlformats.org/officeDocument/2006/relationships/hyperlink" Target="https://www.itu.int/en/ITU-D/Environment/Pages/Events/2021/Global-E-waste-Iconathon.aspx" TargetMode="External"/><Relationship Id="rId310" Type="http://schemas.openxmlformats.org/officeDocument/2006/relationships/hyperlink" Target="https://www.itu.int/en/ITU-D/Regulatory-Market/Pages/bestpractices.aspx" TargetMode="External"/><Relationship Id="rId492" Type="http://schemas.openxmlformats.org/officeDocument/2006/relationships/hyperlink" Target="https://www.itu.int/en/ITU-T/Workshops-and-Seminars/201912/Pages/default.aspx" TargetMode="External"/><Relationship Id="rId548" Type="http://schemas.openxmlformats.org/officeDocument/2006/relationships/image" Target="media/image56.png"/><Relationship Id="rId91" Type="http://schemas.openxmlformats.org/officeDocument/2006/relationships/hyperlink" Target="https://www.itu.int/en/ITU-D/Regional-Presence/ArabStates/Pages/Events/2020/WEEE/WEEE.aspx" TargetMode="External"/><Relationship Id="rId145" Type="http://schemas.openxmlformats.org/officeDocument/2006/relationships/hyperlink" Target="https://www.end-violence.org/articles/celebrating-adoption-general-comment-25" TargetMode="External"/><Relationship Id="rId187" Type="http://schemas.openxmlformats.org/officeDocument/2006/relationships/hyperlink" Target="https://www.un.org/es/content/disabilitystrategy/" TargetMode="External"/><Relationship Id="rId352" Type="http://schemas.openxmlformats.org/officeDocument/2006/relationships/image" Target="media/image13.png"/><Relationship Id="rId394" Type="http://schemas.openxmlformats.org/officeDocument/2006/relationships/hyperlink" Target="https://academy.itu.int/training-courses/full-catalogue/business-planning-ict-infrastructure-development-africa" TargetMode="External"/><Relationship Id="rId408" Type="http://schemas.openxmlformats.org/officeDocument/2006/relationships/hyperlink" Target="https://www.itu.int/en/itu-wsis/Pages/Contribution.aspx" TargetMode="External"/><Relationship Id="rId615" Type="http://schemas.openxmlformats.org/officeDocument/2006/relationships/image" Target="media/image123.png"/><Relationship Id="rId212" Type="http://schemas.openxmlformats.org/officeDocument/2006/relationships/hyperlink" Target="https://www.itu.int/en/ITU-T/ssc/united/Pages/default.aspx" TargetMode="External"/><Relationship Id="rId254" Type="http://schemas.openxmlformats.org/officeDocument/2006/relationships/hyperlink" Target="https://github.com/fg-ai4h" TargetMode="External"/><Relationship Id="rId49" Type="http://schemas.openxmlformats.org/officeDocument/2006/relationships/hyperlink" Target="https://www.itu.int/es/wtisd/2019/Pages/default.aspx" TargetMode="External"/><Relationship Id="rId114" Type="http://schemas.openxmlformats.org/officeDocument/2006/relationships/hyperlink" Target="https://www.itu.int/en/ITU-D/Emergency-Telecommunications/Pages/EWS_ZAMBIA.aspx" TargetMode="External"/><Relationship Id="rId296" Type="http://schemas.openxmlformats.org/officeDocument/2006/relationships/hyperlink" Target="https://www.itu.int/en/ITU-T/AI/2018/Pages/default.aspx" TargetMode="External"/><Relationship Id="rId461" Type="http://schemas.openxmlformats.org/officeDocument/2006/relationships/hyperlink" Target="https://www.itu.int/en/ITU-T/climatechange/Pages/20201015.aspx" TargetMode="External"/><Relationship Id="rId517" Type="http://schemas.openxmlformats.org/officeDocument/2006/relationships/hyperlink" Target="https://www.itu.int/rec/T-REC-D.1101/es" TargetMode="External"/><Relationship Id="rId559" Type="http://schemas.openxmlformats.org/officeDocument/2006/relationships/image" Target="media/image67.png"/><Relationship Id="rId60" Type="http://schemas.openxmlformats.org/officeDocument/2006/relationships/hyperlink" Target="https://www.itu.int/en/ITU-T/focusgroups/ai4ad/Pages/default.aspx" TargetMode="External"/><Relationship Id="rId156" Type="http://schemas.openxmlformats.org/officeDocument/2006/relationships/hyperlink" Target="https://www.itu.int/en/ITU-R/conferences/wrc/2019/now/Pages/default.aspx" TargetMode="External"/><Relationship Id="rId198" Type="http://schemas.openxmlformats.org/officeDocument/2006/relationships/hyperlink" Target="https://www.itu.int/en/ITU-D/Regulatory-Market/Documents/REG4COVID/2020/Summary_Key_Covid19_Initiatives.pdf" TargetMode="External"/><Relationship Id="rId321" Type="http://schemas.openxmlformats.org/officeDocument/2006/relationships/hyperlink" Target="https://digital-world.itu.int/events/2021-event/highlights/" TargetMode="External"/><Relationship Id="rId363" Type="http://schemas.openxmlformats.org/officeDocument/2006/relationships/image" Target="media/image24.png"/><Relationship Id="rId419" Type="http://schemas.openxmlformats.org/officeDocument/2006/relationships/hyperlink" Target="https://www.itu.int/rec/T-REC-K.52/es" TargetMode="External"/><Relationship Id="rId570" Type="http://schemas.openxmlformats.org/officeDocument/2006/relationships/image" Target="media/image78.png"/><Relationship Id="rId626" Type="http://schemas.openxmlformats.org/officeDocument/2006/relationships/image" Target="media/image134.png"/><Relationship Id="rId223" Type="http://schemas.openxmlformats.org/officeDocument/2006/relationships/hyperlink" Target="https://broadbandcommission.org/wp-content/uploads/2021/09/WGDigitalMoonshotforAfrica_Report2020-1.pdf" TargetMode="External"/><Relationship Id="rId430" Type="http://schemas.openxmlformats.org/officeDocument/2006/relationships/hyperlink" Target="https://www.itu.int/rec/T-REC-K.Sup1/es" TargetMode="External"/><Relationship Id="rId18" Type="http://schemas.openxmlformats.org/officeDocument/2006/relationships/footer" Target="footer3.xml"/><Relationship Id="rId265" Type="http://schemas.openxmlformats.org/officeDocument/2006/relationships/hyperlink" Target="https://oneprida.africa/spectrum-harmonisation/" TargetMode="External"/><Relationship Id="rId472" Type="http://schemas.openxmlformats.org/officeDocument/2006/relationships/hyperlink" Target="https://www.itu.int/dms_pub/itu-t/opb/tut/T-TUT-CCICT-2020-PDF-E.pdf" TargetMode="External"/><Relationship Id="rId528" Type="http://schemas.openxmlformats.org/officeDocument/2006/relationships/image" Target="media/image36.png"/><Relationship Id="rId125" Type="http://schemas.openxmlformats.org/officeDocument/2006/relationships/hyperlink" Target="https://www.itu.int/en/ITU-T/studygroups/2017-2020/09/Pages/default.aspx" TargetMode="External"/><Relationship Id="rId167" Type="http://schemas.openxmlformats.org/officeDocument/2006/relationships/hyperlink" Target="https://www.itu.int/en/ITU-D/Digital-Inclusion/Youth-and-Children/Pages/Digital-Skills.aspx" TargetMode="External"/><Relationship Id="rId332" Type="http://schemas.openxmlformats.org/officeDocument/2006/relationships/hyperlink" Target="https://www.itu.int/myworkspace/" TargetMode="External"/><Relationship Id="rId374" Type="http://schemas.openxmlformats.org/officeDocument/2006/relationships/hyperlink" Target="https://www.itu.int/md/S20-CL-C-0033/es" TargetMode="External"/><Relationship Id="rId581" Type="http://schemas.openxmlformats.org/officeDocument/2006/relationships/image" Target="media/image89.png"/><Relationship Id="rId71" Type="http://schemas.openxmlformats.org/officeDocument/2006/relationships/hyperlink" Target="https://www.itu.int/pub/R-REP-BT.2447/es" TargetMode="External"/><Relationship Id="rId234" Type="http://schemas.openxmlformats.org/officeDocument/2006/relationships/hyperlink" Target="https://www.itu.int/en/ITU-D/Digital-Inclusion/Pages/EIF-Regional-Project-.aspx" TargetMode="External"/><Relationship Id="rId637" Type="http://schemas.openxmlformats.org/officeDocument/2006/relationships/footer" Target="footer4.xml"/><Relationship Id="rId2" Type="http://schemas.openxmlformats.org/officeDocument/2006/relationships/numbering" Target="numbering.xml"/><Relationship Id="rId29" Type="http://schemas.openxmlformats.org/officeDocument/2006/relationships/hyperlink" Target="https://www.itu.int/pub/R-RES-R.34/es" TargetMode="External"/><Relationship Id="rId276" Type="http://schemas.openxmlformats.org/officeDocument/2006/relationships/hyperlink" Target="https://www.itu.int/en/council/Documents/basic-texts/RES-200-S.pdf" TargetMode="External"/><Relationship Id="rId441" Type="http://schemas.openxmlformats.org/officeDocument/2006/relationships/hyperlink" Target="https://academy.itu.int/training-courses/full-catalogue/start-ups-readiness-iot-deployment-training-pre-compliance-testing" TargetMode="External"/><Relationship Id="rId483" Type="http://schemas.openxmlformats.org/officeDocument/2006/relationships/hyperlink" Target="https://www.itu.int/rec/T-REC-Y.4200/es" TargetMode="External"/><Relationship Id="rId539" Type="http://schemas.openxmlformats.org/officeDocument/2006/relationships/image" Target="media/image47.png"/><Relationship Id="rId40" Type="http://schemas.openxmlformats.org/officeDocument/2006/relationships/hyperlink" Target="https://www.itu.int/es/ITU-T/studygroups/2017-2020/11/Pages/default.aspx" TargetMode="External"/><Relationship Id="rId136" Type="http://schemas.openxmlformats.org/officeDocument/2006/relationships/hyperlink" Target="https://www.itu.int/en/ITU-D/Cybersecurity/Pages/Women-in-Cyber/Women-in-Cyber-Mentorship-Programme.aspx" TargetMode="External"/><Relationship Id="rId178" Type="http://schemas.openxmlformats.org/officeDocument/2006/relationships/hyperlink" Target="https://www.itu.int/net4/wsis/forum/2021/es/Agenda/SpecialTrack/3" TargetMode="External"/><Relationship Id="rId301" Type="http://schemas.openxmlformats.org/officeDocument/2006/relationships/hyperlink" Target="https://www.itu.int/es/ITU-D/Conferences/GSR/2021/Pages/default.aspx" TargetMode="External"/><Relationship Id="rId343" Type="http://schemas.openxmlformats.org/officeDocument/2006/relationships/image" Target="media/image4.png"/><Relationship Id="rId550" Type="http://schemas.openxmlformats.org/officeDocument/2006/relationships/image" Target="media/image58.png"/><Relationship Id="rId82" Type="http://schemas.openxmlformats.org/officeDocument/2006/relationships/hyperlink" Target="https://www.itu.int/rec/R-REC-SA/es" TargetMode="External"/><Relationship Id="rId203" Type="http://schemas.openxmlformats.org/officeDocument/2006/relationships/hyperlink" Target="https://www.itu.int/en/ITU-D/Pages/seminars/2020/DigitalCooperation/default.aspx" TargetMode="External"/><Relationship Id="rId385" Type="http://schemas.openxmlformats.org/officeDocument/2006/relationships/hyperlink" Target="https://www.itu.int/en/ITU-D/Statistics/Pages/events/egti2020/default.aspx" TargetMode="External"/><Relationship Id="rId592" Type="http://schemas.openxmlformats.org/officeDocument/2006/relationships/image" Target="media/image100.png"/><Relationship Id="rId606" Type="http://schemas.openxmlformats.org/officeDocument/2006/relationships/image" Target="media/image114.png"/><Relationship Id="rId245" Type="http://schemas.openxmlformats.org/officeDocument/2006/relationships/hyperlink" Target="https://undocs.org/A/74/821" TargetMode="External"/><Relationship Id="rId287" Type="http://schemas.openxmlformats.org/officeDocument/2006/relationships/hyperlink" Target="https://www.itu.int/pub/S-POL-WSIS.REP-2018/es" TargetMode="External"/><Relationship Id="rId410" Type="http://schemas.openxmlformats.org/officeDocument/2006/relationships/hyperlink" Target="https://www.itu.int/en/council/cwg-wsis/Pages/default.aspx" TargetMode="External"/><Relationship Id="rId452" Type="http://schemas.openxmlformats.org/officeDocument/2006/relationships/hyperlink" Target="https://www.itu.int/en/ITU-T/Workshops-and-Seminars/sg05rg/sdtd/Pages/default.aspx" TargetMode="External"/><Relationship Id="rId494" Type="http://schemas.openxmlformats.org/officeDocument/2006/relationships/hyperlink" Target="https://www.itu.int/ITU-T/recommendations/rec.aspx?rec=13596&amp;lang=es" TargetMode="External"/><Relationship Id="rId508" Type="http://schemas.openxmlformats.org/officeDocument/2006/relationships/hyperlink" Target="http://www.itu.int/itu-t/workprog/wp_item.aspx?isn=14706" TargetMode="External"/><Relationship Id="rId105" Type="http://schemas.openxmlformats.org/officeDocument/2006/relationships/hyperlink" Target="https://www.itu.int/en/ITU-D/Emergency-Telecommunications/Pages/Events/2019/GET-2019/Disruptive-technologies-and-their-use-in-disaster-risk-reduction-and-management.aspx" TargetMode="External"/><Relationship Id="rId147" Type="http://schemas.openxmlformats.org/officeDocument/2006/relationships/hyperlink" Target="https://www.itu.int/en/ITU-D/Statistics/Documents/facts/FactsFigures2021.pdf" TargetMode="External"/><Relationship Id="rId312" Type="http://schemas.openxmlformats.org/officeDocument/2006/relationships/hyperlink" Target="https://www.itu.int/en/ITU-D/Conferences/GSR/Documents/GSR2018/documents/Chairman-s-Report_Spanish.pdf" TargetMode="External"/><Relationship Id="rId354" Type="http://schemas.openxmlformats.org/officeDocument/2006/relationships/image" Target="media/image15.png"/><Relationship Id="rId51" Type="http://schemas.openxmlformats.org/officeDocument/2006/relationships/hyperlink" Target="https://www.itu.int/en/ITU-T/focusgroups/dpm/Pages/default.aspx" TargetMode="External"/><Relationship Id="rId93" Type="http://schemas.openxmlformats.org/officeDocument/2006/relationships/hyperlink" Target="http://www.basel.int/Implementation/TechnicalAssistance/MOOC/tabid/4966/Default.aspx" TargetMode="External"/><Relationship Id="rId189" Type="http://schemas.openxmlformats.org/officeDocument/2006/relationships/hyperlink" Target="https://www.itu.int/en/ITU-D/Digital-Inclusion/Persons-with-Disabilities/Pages/COVID-19-Guidelines.aspx" TargetMode="External"/><Relationship Id="rId396" Type="http://schemas.openxmlformats.org/officeDocument/2006/relationships/hyperlink" Target="https://drive.google.com/open?id=11OX2LEXxzll3N7wOZ21iDxIq-FBda_K3EJsmy6tMbBI" TargetMode="External"/><Relationship Id="rId561" Type="http://schemas.openxmlformats.org/officeDocument/2006/relationships/image" Target="media/image69.png"/><Relationship Id="rId617" Type="http://schemas.openxmlformats.org/officeDocument/2006/relationships/image" Target="media/image125.png"/><Relationship Id="rId214" Type="http://schemas.openxmlformats.org/officeDocument/2006/relationships/hyperlink" Target="https://www.itu.int/net4/wsis/forum/2020/Files/outcomes/draft/WSISStocktakingICTCaseRepository_TheCoronavirusResponseSpecialReport_DRAFT.pdf" TargetMode="External"/><Relationship Id="rId256" Type="http://schemas.openxmlformats.org/officeDocument/2006/relationships/hyperlink" Target="https://www.itu.int/en/ITU-T/focusgroups/ai4a/Pages/default.aspx" TargetMode="External"/><Relationship Id="rId298" Type="http://schemas.openxmlformats.org/officeDocument/2006/relationships/hyperlink" Target="https://www.itu.int/pub/S-JNL-VOL2.ISSUE4/es" TargetMode="External"/><Relationship Id="rId421" Type="http://schemas.openxmlformats.org/officeDocument/2006/relationships/hyperlink" Target="https://www.itu.int/rec/T-REC-K.70/es" TargetMode="External"/><Relationship Id="rId463" Type="http://schemas.openxmlformats.org/officeDocument/2006/relationships/hyperlink" Target="https://telecomworld.itu.int/2019-event/forum/" TargetMode="External"/><Relationship Id="rId519" Type="http://schemas.openxmlformats.org/officeDocument/2006/relationships/hyperlink" Target="https://www.itu.int/en/ITU-T/Workshops-and-Seminars/bsg/20191022/Pages/default.aspx" TargetMode="External"/><Relationship Id="rId116" Type="http://schemas.openxmlformats.org/officeDocument/2006/relationships/hyperlink" Target="https://www.itu.int/en/ITU-D/Emergency-Telecommunications/Documents/2020/T-REC-X.1303bis-201403-.pdf" TargetMode="External"/><Relationship Id="rId158" Type="http://schemas.openxmlformats.org/officeDocument/2006/relationships/hyperlink" Target="https://www.broadbandcommission.org/Documents/publications/DigitalGenderDivideProgressReport2018.pdf" TargetMode="External"/><Relationship Id="rId323" Type="http://schemas.openxmlformats.org/officeDocument/2006/relationships/hyperlink" Target="https://www.itu.int/net4/ITU-T/myworkspace/" TargetMode="External"/><Relationship Id="rId530" Type="http://schemas.openxmlformats.org/officeDocument/2006/relationships/image" Target="media/image38.png"/><Relationship Id="rId20" Type="http://schemas.openxmlformats.org/officeDocument/2006/relationships/hyperlink" Target="https://www.itu.int/es/ITU-R/conferences/wrc/2019/Pages/default.aspx" TargetMode="External"/><Relationship Id="rId62" Type="http://schemas.openxmlformats.org/officeDocument/2006/relationships/hyperlink" Target="https://www.itu.int/en/ITU-T/focusgroups/ai4ndm/Pages/default.aspx" TargetMode="External"/><Relationship Id="rId365" Type="http://schemas.openxmlformats.org/officeDocument/2006/relationships/image" Target="media/image26.png"/><Relationship Id="rId572" Type="http://schemas.openxmlformats.org/officeDocument/2006/relationships/image" Target="media/image80.png"/><Relationship Id="rId628" Type="http://schemas.openxmlformats.org/officeDocument/2006/relationships/image" Target="media/image136.png"/><Relationship Id="rId225" Type="http://schemas.openxmlformats.org/officeDocument/2006/relationships/hyperlink" Target="https://www.broadbandcommission.org/Pages/10thAnniversary.aspx" TargetMode="External"/><Relationship Id="rId267" Type="http://schemas.openxmlformats.org/officeDocument/2006/relationships/hyperlink" Target="https://www.itu.int/es/ITU-R/2017-RegFreqCoord/Pages/4thMeeting.aspx" TargetMode="External"/><Relationship Id="rId432" Type="http://schemas.openxmlformats.org/officeDocument/2006/relationships/hyperlink" Target="https://www.itu.int/en/ITU-T/Workshops-and-Seminars/2021/0510/Pages/default.aspx" TargetMode="External"/><Relationship Id="rId474" Type="http://schemas.openxmlformats.org/officeDocument/2006/relationships/hyperlink" Target="https://www.itu.int/rec/T-REC-Q.5053/es" TargetMode="External"/><Relationship Id="rId127" Type="http://schemas.openxmlformats.org/officeDocument/2006/relationships/hyperlink" Target="https://www.itu.int/en/ITU-D/Cybersecurity/Pages/national-CIRT.aspx" TargetMode="External"/><Relationship Id="rId31" Type="http://schemas.openxmlformats.org/officeDocument/2006/relationships/hyperlink" Target="https://www.itu.int/pub/R-RES-R.43/es" TargetMode="External"/><Relationship Id="rId73" Type="http://schemas.openxmlformats.org/officeDocument/2006/relationships/hyperlink" Target="https://unsceb.org/inter-agency-working-group-artificial-intelligence" TargetMode="External"/><Relationship Id="rId169" Type="http://schemas.openxmlformats.org/officeDocument/2006/relationships/hyperlink" Target="https://www.itu.int/generationconnect/es/encuesta-de-la-uit-sobre-la-implicacion-de-los-jovenes-2020/" TargetMode="External"/><Relationship Id="rId334" Type="http://schemas.openxmlformats.org/officeDocument/2006/relationships/hyperlink" Target="https://www.itu.int/myworkspace/" TargetMode="External"/><Relationship Id="rId376" Type="http://schemas.openxmlformats.org/officeDocument/2006/relationships/hyperlink" Target="https://www.itu.int/es/ITU-R/conferences/RRB/Pages/default.aspx" TargetMode="External"/><Relationship Id="rId541" Type="http://schemas.openxmlformats.org/officeDocument/2006/relationships/image" Target="media/image49.png"/><Relationship Id="rId583" Type="http://schemas.openxmlformats.org/officeDocument/2006/relationships/image" Target="media/image91.png"/><Relationship Id="rId639" Type="http://schemas.openxmlformats.org/officeDocument/2006/relationships/fontTable" Target="fontTable.xml"/><Relationship Id="rId4" Type="http://schemas.openxmlformats.org/officeDocument/2006/relationships/settings" Target="settings.xml"/><Relationship Id="rId180" Type="http://schemas.openxmlformats.org/officeDocument/2006/relationships/hyperlink" Target="https://academy.itu.int/training-courses/full-catalogue/web-accessibility-cornerstone-digital-societyon-line-self-paced-training-0" TargetMode="External"/><Relationship Id="rId236" Type="http://schemas.openxmlformats.org/officeDocument/2006/relationships/hyperlink" Target="https://projectconnect.unicef.org/map" TargetMode="External"/><Relationship Id="rId278" Type="http://schemas.openxmlformats.org/officeDocument/2006/relationships/hyperlink" Target="https://www.itu.int/net4/wsis/forum/2021/es" TargetMode="External"/><Relationship Id="rId401" Type="http://schemas.openxmlformats.org/officeDocument/2006/relationships/hyperlink" Target="https://news.itu.int/itu-publishes-new-ict-infrastructure-business-planning-toolkit/" TargetMode="External"/><Relationship Id="rId443" Type="http://schemas.openxmlformats.org/officeDocument/2006/relationships/hyperlink" Target="https://itu.int/go/ci_guidelines" TargetMode="External"/><Relationship Id="rId303" Type="http://schemas.openxmlformats.org/officeDocument/2006/relationships/hyperlink" Target="https://www.itu.int/en/ITU-D/Regulatory-Market/Pages/bestpractices.aspx" TargetMode="External"/><Relationship Id="rId485" Type="http://schemas.openxmlformats.org/officeDocument/2006/relationships/hyperlink" Target="https://www.itu.int/en/ITU-T/Workshops-and-Seminars/2021/0621/Pages/default.aspx" TargetMode="External"/><Relationship Id="rId42" Type="http://schemas.openxmlformats.org/officeDocument/2006/relationships/hyperlink" Target="https://www.itu.int/es/ITU-T/studygroups/2017-2020/13/Pages/default.aspx" TargetMode="External"/><Relationship Id="rId84" Type="http://schemas.openxmlformats.org/officeDocument/2006/relationships/hyperlink" Target="https://www.itu.int/es/mediacentre/Pages/PR04-2020-ICT-industry-to-reduce-greenhouse-gas-emissions-by-45-percent-by-2030.aspx" TargetMode="External"/><Relationship Id="rId138" Type="http://schemas.openxmlformats.org/officeDocument/2006/relationships/hyperlink" Target="https://www.itu.int/reports/council-june2021/" TargetMode="External"/><Relationship Id="rId345" Type="http://schemas.openxmlformats.org/officeDocument/2006/relationships/image" Target="media/image6.png"/><Relationship Id="rId387" Type="http://schemas.openxmlformats.org/officeDocument/2006/relationships/hyperlink" Target="https://www.itu.int/es/ITU-D/Statistics/Pages/events/wtis2020/default.aspx" TargetMode="External"/><Relationship Id="rId510" Type="http://schemas.openxmlformats.org/officeDocument/2006/relationships/hyperlink" Target="https://www.itu.int/rec/T-REC-X.1149/es" TargetMode="External"/><Relationship Id="rId552" Type="http://schemas.openxmlformats.org/officeDocument/2006/relationships/image" Target="media/image60.png"/><Relationship Id="rId594" Type="http://schemas.openxmlformats.org/officeDocument/2006/relationships/image" Target="media/image102.png"/><Relationship Id="rId608" Type="http://schemas.openxmlformats.org/officeDocument/2006/relationships/image" Target="media/image116.png"/><Relationship Id="rId191" Type="http://schemas.openxmlformats.org/officeDocument/2006/relationships/hyperlink" Target="https://www.itu.int/en/ITU-D/Digital-Inclusion/Indigenous-Peoples/Pages/default.aspx" TargetMode="External"/><Relationship Id="rId205" Type="http://schemas.openxmlformats.org/officeDocument/2006/relationships/hyperlink" Target="https://www.itu.int/en/ITU-D/Pages/connect-2-recover.aspx" TargetMode="External"/><Relationship Id="rId247" Type="http://schemas.openxmlformats.org/officeDocument/2006/relationships/hyperlink" Target="https://www.digital-capacity.org/" TargetMode="External"/><Relationship Id="rId412" Type="http://schemas.openxmlformats.org/officeDocument/2006/relationships/hyperlink" Target="https://www.itu.int/es/ITU-D/Projects/Pages/default.aspx" TargetMode="External"/><Relationship Id="rId107" Type="http://schemas.openxmlformats.org/officeDocument/2006/relationships/hyperlink" Target="https://www.itu.int/en/ITU-D/Emergency-Telecommunications/Pages/Publications/2020/Guidelines-for-TTX.aspx" TargetMode="External"/><Relationship Id="rId289" Type="http://schemas.openxmlformats.org/officeDocument/2006/relationships/hyperlink" Target="https://www.itu.int/en/ITU-T/academia/kaleidoscope/2020/Pages/default.aspx" TargetMode="External"/><Relationship Id="rId454" Type="http://schemas.openxmlformats.org/officeDocument/2006/relationships/hyperlink" Target="https://www.itu.int/en/ITU-T/Workshops-and-Seminars/sg05rg/sdtd/20210929/Pages/default.aspx" TargetMode="External"/><Relationship Id="rId496" Type="http://schemas.openxmlformats.org/officeDocument/2006/relationships/hyperlink" Target="https://www.itu.int/dms_pub/itu-t/opb/tut/T-TUT-PROTO-2019-PDF-E.pdf" TargetMode="External"/><Relationship Id="rId11" Type="http://schemas.openxmlformats.org/officeDocument/2006/relationships/hyperlink" Target="https://www.itu.int/en/council/Documents/basic-texts/RES-200-S.pdf" TargetMode="External"/><Relationship Id="rId53" Type="http://schemas.openxmlformats.org/officeDocument/2006/relationships/hyperlink" Target="https://www.itu.int/en/ITU-T/focusgroups/dlt/Pages/default.aspx" TargetMode="External"/><Relationship Id="rId149" Type="http://schemas.openxmlformats.org/officeDocument/2006/relationships/hyperlink" Target="https://www.itu.int/women-and-girls/girls-in-ict/es/dia-internacional-de-2021-de-las-ninas-en-las-tic/" TargetMode="External"/><Relationship Id="rId314" Type="http://schemas.openxmlformats.org/officeDocument/2006/relationships/hyperlink" Target="https://digital-world.itu.int/documents/WT19/WT19_Post-Event-Report.pdf" TargetMode="External"/><Relationship Id="rId356" Type="http://schemas.openxmlformats.org/officeDocument/2006/relationships/image" Target="media/image17.png"/><Relationship Id="rId398" Type="http://schemas.openxmlformats.org/officeDocument/2006/relationships/hyperlink" Target="https://www.itu.int/en/ITU-D/Conferences/ET/2021/Pages/Programme.aspx" TargetMode="External"/><Relationship Id="rId521" Type="http://schemas.openxmlformats.org/officeDocument/2006/relationships/hyperlink" Target="https://www.itu.int/en/ITU-T/wtsa20/irc/Pages/presentations-03.aspx" TargetMode="External"/><Relationship Id="rId563" Type="http://schemas.openxmlformats.org/officeDocument/2006/relationships/image" Target="media/image71.png"/><Relationship Id="rId619" Type="http://schemas.openxmlformats.org/officeDocument/2006/relationships/image" Target="media/image127.png"/><Relationship Id="rId95" Type="http://schemas.openxmlformats.org/officeDocument/2006/relationships/hyperlink" Target="https://www.itu.int/en/ITU-D/Environment/Documents/Toolbox/GEM_2020_def.pdf" TargetMode="External"/><Relationship Id="rId160" Type="http://schemas.openxmlformats.org/officeDocument/2006/relationships/hyperlink" Target="https://www.itu.int/generationconnect/wp-content/uploads/2020/11/ITU_Youth_Strategy.pdf" TargetMode="External"/><Relationship Id="rId216" Type="http://schemas.openxmlformats.org/officeDocument/2006/relationships/hyperlink" Target="https://www.itu.int/en/action/cybersecurity/Pages/CYB4COVID.aspx" TargetMode="External"/><Relationship Id="rId423" Type="http://schemas.openxmlformats.org/officeDocument/2006/relationships/hyperlink" Target="https://www.itu.int/rec/T-REC-K.100/es" TargetMode="External"/><Relationship Id="rId258" Type="http://schemas.openxmlformats.org/officeDocument/2006/relationships/hyperlink" Target="https://www.itu.int/en/ITU-T/ssc/united/Pages/default.aspx" TargetMode="External"/><Relationship Id="rId465" Type="http://schemas.openxmlformats.org/officeDocument/2006/relationships/hyperlink" Target="https://www.itu.int/en/ITU-T/climatechange/symposia/201905/Pages/default.aspx" TargetMode="External"/><Relationship Id="rId630" Type="http://schemas.openxmlformats.org/officeDocument/2006/relationships/image" Target="media/image138.png"/><Relationship Id="rId22" Type="http://schemas.openxmlformats.org/officeDocument/2006/relationships/hyperlink" Target="https://www.itu.int/en/ITU-R/conferences/rag/cg-gender/Documents/WRC-19%20GENDER%20DECLARATION%20-%20EN.pdf" TargetMode="External"/><Relationship Id="rId64" Type="http://schemas.openxmlformats.org/officeDocument/2006/relationships/hyperlink" Target="https://www.itu.int/en/ITU-T/focusgroups/tbfxg/Pages/default.aspx" TargetMode="External"/><Relationship Id="rId118" Type="http://schemas.openxmlformats.org/officeDocument/2006/relationships/hyperlink" Target="https://www.itu.int/net4/wsis/forum/2021/es/Agenda/Session/417" TargetMode="External"/><Relationship Id="rId325" Type="http://schemas.openxmlformats.org/officeDocument/2006/relationships/hyperlink" Target="https://www.itu.int/myworkspace/" TargetMode="External"/><Relationship Id="rId367" Type="http://schemas.openxmlformats.org/officeDocument/2006/relationships/image" Target="media/image28.png"/><Relationship Id="rId532" Type="http://schemas.openxmlformats.org/officeDocument/2006/relationships/image" Target="media/image40.png"/><Relationship Id="rId574" Type="http://schemas.openxmlformats.org/officeDocument/2006/relationships/image" Target="media/image82.png"/><Relationship Id="rId171" Type="http://schemas.openxmlformats.org/officeDocument/2006/relationships/hyperlink" Target="https://www.itu.int/en/ITU-D/Regional-Presence/ArabStates/Pages/Events/2021/AccessArb/index.aspx" TargetMode="External"/><Relationship Id="rId227" Type="http://schemas.openxmlformats.org/officeDocument/2006/relationships/hyperlink" Target="https://broadbandcommission.org/publication/state-of-broadband-2021/" TargetMode="External"/><Relationship Id="rId269" Type="http://schemas.openxmlformats.org/officeDocument/2006/relationships/hyperlink" Target="https://www.itu.int/en/ITU-D/Regional-Presence/CIS/Pages/EVENTS/2019/04_Minsk/04_Minsk.aspx" TargetMode="External"/><Relationship Id="rId434" Type="http://schemas.openxmlformats.org/officeDocument/2006/relationships/hyperlink" Target="https://www.itu.int/en/ITU-T/Workshops-and-Seminars/20180423/Pages/default.aspx" TargetMode="External"/><Relationship Id="rId476" Type="http://schemas.openxmlformats.org/officeDocument/2006/relationships/hyperlink" Target="https://www.itu.int/rec/T-REC-Q.Sup74/es" TargetMode="External"/><Relationship Id="rId33" Type="http://schemas.openxmlformats.org/officeDocument/2006/relationships/hyperlink" Target="https://www.itu.int/es/ITU-R/Pages/default.aspx" TargetMode="External"/><Relationship Id="rId129" Type="http://schemas.openxmlformats.org/officeDocument/2006/relationships/hyperlink" Target="https://www.itu.int/en/ITU-D/Cybersecurity/Pages/cybersecurity-events.aspx" TargetMode="External"/><Relationship Id="rId280" Type="http://schemas.openxmlformats.org/officeDocument/2006/relationships/hyperlink" Target="https://www.itu.int/net4/wsis/forum/2019/Home/Outcomes" TargetMode="External"/><Relationship Id="rId336" Type="http://schemas.openxmlformats.org/officeDocument/2006/relationships/hyperlink" Target="https://www.itu.int/br_tsb_terms" TargetMode="External"/><Relationship Id="rId501" Type="http://schemas.openxmlformats.org/officeDocument/2006/relationships/hyperlink" Target="https://www.itu.int/rec/T-REC-G.1033-201910-I/es" TargetMode="External"/><Relationship Id="rId543" Type="http://schemas.openxmlformats.org/officeDocument/2006/relationships/image" Target="media/image51.png"/><Relationship Id="rId75" Type="http://schemas.openxmlformats.org/officeDocument/2006/relationships/hyperlink" Target="https://www.itu.int/en/ITU-T/focusgroups/ai4a/Pages/default.aspx" TargetMode="External"/><Relationship Id="rId140" Type="http://schemas.openxmlformats.org/officeDocument/2006/relationships/hyperlink" Target="https://www.itu-cop-guidelines.com/" TargetMode="External"/><Relationship Id="rId182" Type="http://schemas.openxmlformats.org/officeDocument/2006/relationships/hyperlink" Target="https://www.itu.int/pub/R-HDB-63-2016/es" TargetMode="External"/><Relationship Id="rId378" Type="http://schemas.openxmlformats.org/officeDocument/2006/relationships/hyperlink" Target="https://www.itu.int/en/ITU-D/Statistics/Pages/facts/default.aspx" TargetMode="External"/><Relationship Id="rId403" Type="http://schemas.openxmlformats.org/officeDocument/2006/relationships/hyperlink" Target="https://www.itu.int/md/D14-WTDC17-C-0115/es" TargetMode="External"/><Relationship Id="rId585" Type="http://schemas.openxmlformats.org/officeDocument/2006/relationships/image" Target="media/image93.png"/><Relationship Id="rId6" Type="http://schemas.openxmlformats.org/officeDocument/2006/relationships/footnotes" Target="footnotes.xml"/><Relationship Id="rId238" Type="http://schemas.openxmlformats.org/officeDocument/2006/relationships/hyperlink" Target="https://gigaconnect.org/bcg-report-assessment-of-sustainable-business-models/" TargetMode="External"/><Relationship Id="rId445" Type="http://schemas.openxmlformats.org/officeDocument/2006/relationships/hyperlink" Target="https://itu.int/go/CI_Assessment_Studies" TargetMode="External"/><Relationship Id="rId487" Type="http://schemas.openxmlformats.org/officeDocument/2006/relationships/hyperlink" Target="https://www.itu.int/dms_pub/itu-t/opb/res/T-RES-T.89-2016-PDF-S.pdf" TargetMode="External"/><Relationship Id="rId610" Type="http://schemas.openxmlformats.org/officeDocument/2006/relationships/image" Target="media/image118.png"/><Relationship Id="rId291" Type="http://schemas.openxmlformats.org/officeDocument/2006/relationships/hyperlink" Target="https://www.itu.int/en/ITU-T/academia/kaleidoscope/2019/Pages/default.aspx" TargetMode="External"/><Relationship Id="rId305" Type="http://schemas.openxmlformats.org/officeDocument/2006/relationships/hyperlink" Target="https://www.itu.int/en/ITU-D/Conferences/GSR/2020/Documents/Final_Chairmans-Report_GSR-20_S.pdf" TargetMode="External"/><Relationship Id="rId347" Type="http://schemas.openxmlformats.org/officeDocument/2006/relationships/image" Target="media/image8.png"/><Relationship Id="rId512" Type="http://schemas.openxmlformats.org/officeDocument/2006/relationships/hyperlink" Target="https://www.itu.int/itu-t/workprog/wp_search.aspx?isn_sp=3925&amp;isn_sg=3935&amp;isn_qu=6819&amp;isn_status=-1,3,7,2&amp;details=0&amp;field=acdefghijo" TargetMode="External"/><Relationship Id="rId44" Type="http://schemas.openxmlformats.org/officeDocument/2006/relationships/hyperlink" Target="https://www.itu.int/es/ITU-T/studygroups/2017-2020/16/Pages/default.aspx" TargetMode="External"/><Relationship Id="rId86" Type="http://schemas.openxmlformats.org/officeDocument/2006/relationships/hyperlink" Target="https://www.itu.int/es/ITU-T/Workshops-and-Seminars/gsw/201910/pages/default.aspx" TargetMode="External"/><Relationship Id="rId151" Type="http://schemas.openxmlformats.org/officeDocument/2006/relationships/hyperlink" Target="https://www.itu.int/hub/2020/12/americas-girls-can-code-leveling-the-tech-playing-field-for-girls-and-women/" TargetMode="External"/><Relationship Id="rId389" Type="http://schemas.openxmlformats.org/officeDocument/2006/relationships/hyperlink" Target="http://itu.int/go/Maps" TargetMode="External"/><Relationship Id="rId554" Type="http://schemas.openxmlformats.org/officeDocument/2006/relationships/image" Target="media/image62.png"/><Relationship Id="rId596" Type="http://schemas.openxmlformats.org/officeDocument/2006/relationships/image" Target="media/image104.png"/><Relationship Id="rId193" Type="http://schemas.openxmlformats.org/officeDocument/2006/relationships/hyperlink" Target="https://www.itu.int/en/myitu/Publications/2021/05/17/12/55/Ageing-in-a-digital-world--from-vulnerable-to-valuable" TargetMode="External"/><Relationship Id="rId207" Type="http://schemas.openxmlformats.org/officeDocument/2006/relationships/hyperlink" Target="https://www.who.int/initiatives/behealthy" TargetMode="External"/><Relationship Id="rId249" Type="http://schemas.openxmlformats.org/officeDocument/2006/relationships/hyperlink" Target="https://www.un.org/pga/75/wp-content/uploads/sites/100/2021/04/PGA-Digital-Thematic-Debate-Info-Note.pdf" TargetMode="External"/><Relationship Id="rId414" Type="http://schemas.openxmlformats.org/officeDocument/2006/relationships/hyperlink" Target="https://www.itu.int/md/S20-CL-C-0022/es" TargetMode="External"/><Relationship Id="rId456" Type="http://schemas.openxmlformats.org/officeDocument/2006/relationships/hyperlink" Target="https://www.itu.int/en/ITU-T/Workshops-and-Seminars/sg05rg/sdtd/20211019/Pages/default.aspx" TargetMode="External"/><Relationship Id="rId498" Type="http://schemas.openxmlformats.org/officeDocument/2006/relationships/hyperlink" Target="https://www.itu.int/rec/T-REC-Q.3057/es" TargetMode="External"/><Relationship Id="rId621" Type="http://schemas.openxmlformats.org/officeDocument/2006/relationships/image" Target="media/image129.png"/><Relationship Id="rId13" Type="http://schemas.openxmlformats.org/officeDocument/2006/relationships/header" Target="header1.xml"/><Relationship Id="rId109" Type="http://schemas.openxmlformats.org/officeDocument/2006/relationships/hyperlink" Target="https://www.itu.int/en/ITU-D/Emergency-Telecommunications/Documents/2020/NETP-guidelines.pdf" TargetMode="External"/><Relationship Id="rId260" Type="http://schemas.openxmlformats.org/officeDocument/2006/relationships/hyperlink" Target="https://www.itu.int/en/ITU-R/space/workshops/sat-webinars/Pages/default.aspx" TargetMode="External"/><Relationship Id="rId316" Type="http://schemas.openxmlformats.org/officeDocument/2006/relationships/hyperlink" Target="https://www.itu.int/es/mediacentre/Pages/MA05-2020-ITU-Virtual-Digital-World.aspx" TargetMode="External"/><Relationship Id="rId523" Type="http://schemas.openxmlformats.org/officeDocument/2006/relationships/hyperlink" Target="https://www.itu.int/md/S20-CL-C-0009/es" TargetMode="External"/><Relationship Id="rId55" Type="http://schemas.openxmlformats.org/officeDocument/2006/relationships/hyperlink" Target="https://www.itu.int/en/ITU-T/focusgroups/vm/Pages/default.aspx" TargetMode="External"/><Relationship Id="rId97" Type="http://schemas.openxmlformats.org/officeDocument/2006/relationships/hyperlink" Target="https://weee-forum.org/iewd-about/" TargetMode="External"/><Relationship Id="rId120" Type="http://schemas.openxmlformats.org/officeDocument/2006/relationships/hyperlink" Target="https://www.itu.int/en/ITU-D/Cybersecurity/Documents/174revBusan.pdf" TargetMode="External"/><Relationship Id="rId358" Type="http://schemas.openxmlformats.org/officeDocument/2006/relationships/image" Target="media/image19.png"/><Relationship Id="rId565" Type="http://schemas.openxmlformats.org/officeDocument/2006/relationships/image" Target="media/image73.png"/><Relationship Id="rId162" Type="http://schemas.openxmlformats.org/officeDocument/2006/relationships/hyperlink" Target="https://www.itu.int/generationconnect/es/cumbre-juvenil-generation-connect-2022/" TargetMode="External"/><Relationship Id="rId218" Type="http://schemas.openxmlformats.org/officeDocument/2006/relationships/hyperlink" Target="https://broadbandcommission.org/Pages/default.aspx" TargetMode="External"/><Relationship Id="rId425" Type="http://schemas.openxmlformats.org/officeDocument/2006/relationships/hyperlink" Target="https://www.itu.int/rec/T-REC-K.Sup14/es" TargetMode="External"/><Relationship Id="rId467" Type="http://schemas.openxmlformats.org/officeDocument/2006/relationships/hyperlink" Target="https://www.itu.int/en/ITU-T/Workshops-and-Seminars/20180723/Pages/default.aspx" TargetMode="External"/><Relationship Id="rId632" Type="http://schemas.openxmlformats.org/officeDocument/2006/relationships/hyperlink" Target="https://www.itu.int/es/mediacentre/Pages/podcasts.aspx" TargetMode="External"/><Relationship Id="rId271" Type="http://schemas.openxmlformats.org/officeDocument/2006/relationships/hyperlink" Target="https://www.itu.int/en/ITU-D/Cybersecurity/Pages/Cybedrills-2020.aspx" TargetMode="External"/><Relationship Id="rId24" Type="http://schemas.openxmlformats.org/officeDocument/2006/relationships/hyperlink" Target="https://www.itu.int/pub/R-RES-R.2/es" TargetMode="External"/><Relationship Id="rId66" Type="http://schemas.openxmlformats.org/officeDocument/2006/relationships/hyperlink" Target="https://www.itu.int/en/action/ai/Pages/default.aspx" TargetMode="External"/><Relationship Id="rId131" Type="http://schemas.openxmlformats.org/officeDocument/2006/relationships/hyperlink" Target="https://academy.itu.int/training-courses/full-catalogue/lifecycle-principles-and-good-practices-national-cybersecurity-strategy-development-and" TargetMode="External"/><Relationship Id="rId327" Type="http://schemas.openxmlformats.org/officeDocument/2006/relationships/hyperlink" Target="https://www.itu.int/myworkspace/" TargetMode="External"/><Relationship Id="rId369" Type="http://schemas.openxmlformats.org/officeDocument/2006/relationships/image" Target="media/image30.png"/><Relationship Id="rId534" Type="http://schemas.openxmlformats.org/officeDocument/2006/relationships/image" Target="media/image42.png"/><Relationship Id="rId576" Type="http://schemas.openxmlformats.org/officeDocument/2006/relationships/image" Target="media/image84.png"/><Relationship Id="rId173" Type="http://schemas.openxmlformats.org/officeDocument/2006/relationships/hyperlink" Target="https://www.itu.int/en/ITU-D/Regional-Presence/Africa/Pages/EVENTS/2021/ICT-accessibility-in-africa.aspx" TargetMode="External"/><Relationship Id="rId229" Type="http://schemas.openxmlformats.org/officeDocument/2006/relationships/hyperlink" Target="https://www.equalsintech.org/" TargetMode="External"/><Relationship Id="rId380" Type="http://schemas.openxmlformats.org/officeDocument/2006/relationships/hyperlink" Target="https://www.itu.int/itu-d/reports/statistics/connectivity-in-the-least-developed-countries-status-report-2021/" TargetMode="External"/><Relationship Id="rId436" Type="http://schemas.openxmlformats.org/officeDocument/2006/relationships/hyperlink" Target="https://www.itu.int/en/ITU-D/Regional-Presence/CIS/Pages/Events/2021/SPB-Oct.aspx" TargetMode="External"/><Relationship Id="rId601" Type="http://schemas.openxmlformats.org/officeDocument/2006/relationships/image" Target="media/image109.png"/><Relationship Id="rId240" Type="http://schemas.openxmlformats.org/officeDocument/2006/relationships/hyperlink" Target="https://gigaconnect.org/1st-giga-ministerial-roundtable-in-africa/" TargetMode="External"/><Relationship Id="rId478" Type="http://schemas.openxmlformats.org/officeDocument/2006/relationships/hyperlink" Target="https://www.itu.int/net4/ITU-D/CDS/sg/rgqlist.asp?lg=1&amp;sp=2018&amp;rgq=D18-SG02-RGQ04.2&amp;stg=2http://itu.int/go/CI_Question4_2" TargetMode="External"/><Relationship Id="rId35" Type="http://schemas.openxmlformats.org/officeDocument/2006/relationships/hyperlink" Target="https://www.itu.int/es/ITU-T/studygroups/2017-2020/Pages/default.aspx" TargetMode="External"/><Relationship Id="rId77" Type="http://schemas.openxmlformats.org/officeDocument/2006/relationships/hyperlink" Target="https://www.itu.int/rec/T-REC-Y/es" TargetMode="External"/><Relationship Id="rId100" Type="http://schemas.openxmlformats.org/officeDocument/2006/relationships/hyperlink" Target="https://www.itu.int/en/ITU-D/Regional-Presence/AsiaPacific/Pages/Events/2020/E%20Waste/E-Waste-Webinar-Asia-and-the-Pacific.aspx" TargetMode="External"/><Relationship Id="rId282" Type="http://schemas.openxmlformats.org/officeDocument/2006/relationships/hyperlink" Target="http://www.wsis.org/prizes" TargetMode="External"/><Relationship Id="rId338" Type="http://schemas.openxmlformats.org/officeDocument/2006/relationships/hyperlink" Target="https://2050today.org/" TargetMode="External"/><Relationship Id="rId503" Type="http://schemas.openxmlformats.org/officeDocument/2006/relationships/hyperlink" Target="http://itu.int/en/ITU-T/studygroups/2017-2020/16/Pages/q22.aspx" TargetMode="External"/><Relationship Id="rId545" Type="http://schemas.openxmlformats.org/officeDocument/2006/relationships/image" Target="media/image53.png"/><Relationship Id="rId587" Type="http://schemas.openxmlformats.org/officeDocument/2006/relationships/image" Target="media/image95.png"/><Relationship Id="rId8" Type="http://schemas.openxmlformats.org/officeDocument/2006/relationships/image" Target="media/image1.jpeg"/><Relationship Id="rId142" Type="http://schemas.openxmlformats.org/officeDocument/2006/relationships/hyperlink" Target="https://www.saferinternetday.org/en-GB/home" TargetMode="External"/><Relationship Id="rId184" Type="http://schemas.openxmlformats.org/officeDocument/2006/relationships/hyperlink" Target="https://unsdg.un.org/sites/default/files/2021-05/BOS-Disability%20Inclusion-ICT%20Accessibility-Practice%20Note-20210303_F01.pdf" TargetMode="External"/><Relationship Id="rId391" Type="http://schemas.openxmlformats.org/officeDocument/2006/relationships/hyperlink" Target="https://itu.int/go/businessplan_toolkit" TargetMode="External"/><Relationship Id="rId405" Type="http://schemas.openxmlformats.org/officeDocument/2006/relationships/hyperlink" Target="https://www.itu.int/md/S22-CWGWSIS38-C-0014/es" TargetMode="External"/><Relationship Id="rId447" Type="http://schemas.openxmlformats.org/officeDocument/2006/relationships/hyperlink" Target="https://www.itu.int/en/myitu/Publications/2021/09/28/17/06/Assistance-to-developing-countries-to-implement-conformance-interoperability-anti-counterfeit" TargetMode="External"/><Relationship Id="rId612" Type="http://schemas.openxmlformats.org/officeDocument/2006/relationships/image" Target="media/image120.png"/><Relationship Id="rId251" Type="http://schemas.openxmlformats.org/officeDocument/2006/relationships/hyperlink" Target="https://www.itu.int/en/myitu/Publications/2020/08/31/08/38/Connecting-Humanity" TargetMode="External"/><Relationship Id="rId489" Type="http://schemas.openxmlformats.org/officeDocument/2006/relationships/hyperlink" Target="https://figi.itu.int/" TargetMode="External"/><Relationship Id="rId46" Type="http://schemas.openxmlformats.org/officeDocument/2006/relationships/hyperlink" Target="https://www.itu.int/es/ITU-T/studygroups/2017-2020/20/Pages/default.aspx" TargetMode="External"/><Relationship Id="rId293" Type="http://schemas.openxmlformats.org/officeDocument/2006/relationships/hyperlink" Target="https://www.youtube.com/c/aiforgood" TargetMode="External"/><Relationship Id="rId307" Type="http://schemas.openxmlformats.org/officeDocument/2006/relationships/hyperlink" Target="https://www.itu.int/es/ITU-D/Conferences/GSR/2019/Pages/default.aspx" TargetMode="External"/><Relationship Id="rId349" Type="http://schemas.openxmlformats.org/officeDocument/2006/relationships/image" Target="media/image10.png"/><Relationship Id="rId514" Type="http://schemas.openxmlformats.org/officeDocument/2006/relationships/hyperlink" Target="https://www.itu.int/en/ITU-T/webinars/Pages/dfs.aspx" TargetMode="External"/><Relationship Id="rId556" Type="http://schemas.openxmlformats.org/officeDocument/2006/relationships/image" Target="media/image64.png"/><Relationship Id="rId88" Type="http://schemas.openxmlformats.org/officeDocument/2006/relationships/hyperlink" Target="https://globalewaste.org/publications/" TargetMode="External"/><Relationship Id="rId111" Type="http://schemas.openxmlformats.org/officeDocument/2006/relationships/hyperlink" Target="https://www.itu.int/en/ITU-D/Emergency-Telecommunications/Pages/Response.aspx" TargetMode="External"/><Relationship Id="rId153" Type="http://schemas.openxmlformats.org/officeDocument/2006/relationships/hyperlink" Target="https://www.itu.int/en/ITU-D/Conferences/WTDC/WTDC21/NoW/Pages/default.aspx" TargetMode="External"/><Relationship Id="rId195" Type="http://schemas.openxmlformats.org/officeDocument/2006/relationships/hyperlink" Target="https://www.itu.int/en/ITU-D/Digital-Inclusion/Pages/ageing-in-a-digital-world/default.aspx" TargetMode="External"/><Relationship Id="rId209" Type="http://schemas.openxmlformats.org/officeDocument/2006/relationships/hyperlink" Target="https://aiforgood.itu.int/webinar/" TargetMode="External"/><Relationship Id="rId360" Type="http://schemas.openxmlformats.org/officeDocument/2006/relationships/image" Target="media/image21.png"/><Relationship Id="rId416" Type="http://schemas.openxmlformats.org/officeDocument/2006/relationships/hyperlink" Target="http://www.itu.int/imac" TargetMode="External"/><Relationship Id="rId598" Type="http://schemas.openxmlformats.org/officeDocument/2006/relationships/image" Target="media/image106.png"/><Relationship Id="rId220" Type="http://schemas.openxmlformats.org/officeDocument/2006/relationships/hyperlink" Target="https://broadbandcommission.org/working-groups/" TargetMode="External"/><Relationship Id="rId458" Type="http://schemas.openxmlformats.org/officeDocument/2006/relationships/hyperlink" Target="https://www.itu.int/en/ITU-T/studygroups/2017-2020/05/Pages/ITU-T-SG5-side-event-on-Vienna-Energy-Forum.aspx" TargetMode="External"/><Relationship Id="rId623" Type="http://schemas.openxmlformats.org/officeDocument/2006/relationships/image" Target="media/image131.png"/><Relationship Id="rId15" Type="http://schemas.openxmlformats.org/officeDocument/2006/relationships/footer" Target="footer1.xml"/><Relationship Id="rId57" Type="http://schemas.openxmlformats.org/officeDocument/2006/relationships/hyperlink" Target="https://www.itu.int/en/ITU-T/focusgroups/ml5g/Pages/default.aspx" TargetMode="External"/><Relationship Id="rId262" Type="http://schemas.openxmlformats.org/officeDocument/2006/relationships/hyperlink" Target="https://www.itu.int/es/ITU-R/terrestrial/broadcast/africa/Pages/1st_coord_meeting.aspx" TargetMode="External"/><Relationship Id="rId318" Type="http://schemas.openxmlformats.org/officeDocument/2006/relationships/hyperlink" Target="https://digital-world.itu.int/itu-digital-world-2020-sme-virtual-awards/" TargetMode="External"/><Relationship Id="rId525" Type="http://schemas.openxmlformats.org/officeDocument/2006/relationships/image" Target="media/image33.png"/><Relationship Id="rId567" Type="http://schemas.openxmlformats.org/officeDocument/2006/relationships/image" Target="media/image75.png"/><Relationship Id="rId99" Type="http://schemas.openxmlformats.org/officeDocument/2006/relationships/hyperlink" Target="https://www.itu.int/en/ITU-D/Environment/Pages/Spotlight/Harmonizing-regional-data-collection-in-East-Africa.aspx" TargetMode="External"/><Relationship Id="rId122" Type="http://schemas.openxmlformats.org/officeDocument/2006/relationships/hyperlink" Target="https://www.itu.int/en/ITU-D/Cybersecurity/Pages/default.aspx" TargetMode="External"/><Relationship Id="rId164" Type="http://schemas.openxmlformats.org/officeDocument/2006/relationships/hyperlink" Target="https://www.itu.int/itu-d/sites/partner2connect/es/" TargetMode="External"/><Relationship Id="rId371" Type="http://schemas.openxmlformats.org/officeDocument/2006/relationships/image" Target="media/image32.png"/><Relationship Id="rId427" Type="http://schemas.openxmlformats.org/officeDocument/2006/relationships/hyperlink" Target="https://www.itu.int/rec/T-REC-K.Sup16/es" TargetMode="External"/><Relationship Id="rId469" Type="http://schemas.openxmlformats.org/officeDocument/2006/relationships/hyperlink" Target="https://www.itu.int/en/ITU-T/webinars/20210531/Pages/default.aspx" TargetMode="External"/><Relationship Id="rId634" Type="http://schemas.openxmlformats.org/officeDocument/2006/relationships/image" Target="media/image140.png"/><Relationship Id="rId26" Type="http://schemas.openxmlformats.org/officeDocument/2006/relationships/hyperlink" Target="https://www.itu.int/pub/R-RES-R.5/es" TargetMode="External"/><Relationship Id="rId231" Type="http://schemas.openxmlformats.org/officeDocument/2006/relationships/hyperlink" Target="https://www.equalsintech.org/cisco-equals-learning-space" TargetMode="External"/><Relationship Id="rId273" Type="http://schemas.openxmlformats.org/officeDocument/2006/relationships/hyperlink" Target="https://www.itu.int/es/wtisd/2021/Pages/default.aspx" TargetMode="External"/><Relationship Id="rId329" Type="http://schemas.openxmlformats.org/officeDocument/2006/relationships/hyperlink" Target="https://www.itu.int/myworkspace/" TargetMode="External"/><Relationship Id="rId480" Type="http://schemas.openxmlformats.org/officeDocument/2006/relationships/hyperlink" Target="https://www.itu.int/dms_pub/itu-t/opb/tut/T-TUT-TLCMGT-2021-PDF-E.pdf" TargetMode="External"/><Relationship Id="rId536" Type="http://schemas.openxmlformats.org/officeDocument/2006/relationships/image" Target="media/image44.png"/><Relationship Id="rId68" Type="http://schemas.openxmlformats.org/officeDocument/2006/relationships/hyperlink" Target="https://www.itu.int/rec/T-REC-M/es" TargetMode="External"/><Relationship Id="rId133" Type="http://schemas.openxmlformats.org/officeDocument/2006/relationships/hyperlink" Target="https://www.itu.int/en/ITU-D/Cybersecurity/Pages/Covid-19-CNI-Solution.aspx" TargetMode="External"/><Relationship Id="rId175" Type="http://schemas.openxmlformats.org/officeDocument/2006/relationships/hyperlink" Target="https://www.itu.int/pub/D-PHCB-TOOLKIT.01-2021/es" TargetMode="External"/><Relationship Id="rId340" Type="http://schemas.openxmlformats.org/officeDocument/2006/relationships/image" Target="media/image2.png"/><Relationship Id="rId578" Type="http://schemas.openxmlformats.org/officeDocument/2006/relationships/image" Target="media/image86.png"/><Relationship Id="rId200" Type="http://schemas.openxmlformats.org/officeDocument/2006/relationships/hyperlink" Target="https://reg4covid.itu.int/wp-content/uploads/2020/05/ICTsector-response.jpg" TargetMode="External"/><Relationship Id="rId382" Type="http://schemas.openxmlformats.org/officeDocument/2006/relationships/hyperlink" Target="https://www.itu.int/en/ITU-D/Statistics/Pages/publications/handbook.aspx" TargetMode="External"/><Relationship Id="rId438" Type="http://schemas.openxmlformats.org/officeDocument/2006/relationships/hyperlink" Target="http://itu.int/go/CI_events" TargetMode="External"/><Relationship Id="rId603" Type="http://schemas.openxmlformats.org/officeDocument/2006/relationships/image" Target="media/image111.png"/><Relationship Id="rId242" Type="http://schemas.openxmlformats.org/officeDocument/2006/relationships/hyperlink" Target="https://www.un.org/es/content/common-agenda-report/" TargetMode="External"/><Relationship Id="rId284" Type="http://schemas.openxmlformats.org/officeDocument/2006/relationships/hyperlink" Target="https://www.itu.int/net4/wsis/stocktaking/Home/Reporting" TargetMode="External"/><Relationship Id="rId491" Type="http://schemas.openxmlformats.org/officeDocument/2006/relationships/hyperlink" Target="https://figi.itu.int/figi-resources/working-groups/" TargetMode="External"/><Relationship Id="rId505" Type="http://schemas.openxmlformats.org/officeDocument/2006/relationships/hyperlink" Target="https://www.itu.int/en/ITU-T/focusgroups/dlt" TargetMode="External"/><Relationship Id="rId37" Type="http://schemas.openxmlformats.org/officeDocument/2006/relationships/hyperlink" Target="https://www.itu.int/es/ITU-T/studygroups/2017-2020/03/Pages/default.aspx" TargetMode="External"/><Relationship Id="rId79" Type="http://schemas.openxmlformats.org/officeDocument/2006/relationships/hyperlink" Target="https://www.itu.int/en/ITU-T/webinars/qit/Pages/default.aspx" TargetMode="External"/><Relationship Id="rId102" Type="http://schemas.openxmlformats.org/officeDocument/2006/relationships/hyperlink" Target="https://www.itu.int/hub/2021/10/digital-solutions-for-a-circular-electronics-value-chain/" TargetMode="External"/><Relationship Id="rId144" Type="http://schemas.openxmlformats.org/officeDocument/2006/relationships/hyperlink" Target="https://www.itu.int/es/mediacentre/Pages/cm11-2020-ITU-SaudiArabia-partnership-COP-guidelines.aspx" TargetMode="External"/><Relationship Id="rId547" Type="http://schemas.openxmlformats.org/officeDocument/2006/relationships/image" Target="media/image55.png"/><Relationship Id="rId589" Type="http://schemas.openxmlformats.org/officeDocument/2006/relationships/image" Target="media/image97.png"/><Relationship Id="rId90" Type="http://schemas.openxmlformats.org/officeDocument/2006/relationships/hyperlink" Target="https://www.itu.int/en/council/Documents/basic-texts/RES-200-S.pdf" TargetMode="External"/><Relationship Id="rId186" Type="http://schemas.openxmlformats.org/officeDocument/2006/relationships/hyperlink" Target="https://www.itcilo.org/es/courses/digital-inclusion-summit-leaving-no-one-behind" TargetMode="External"/><Relationship Id="rId351" Type="http://schemas.openxmlformats.org/officeDocument/2006/relationships/image" Target="media/image12.png"/><Relationship Id="rId393" Type="http://schemas.openxmlformats.org/officeDocument/2006/relationships/hyperlink" Target="https://academy.itu.int/training-courses/full-catalogue/business-planning-ict-infrastructure-development-europe" TargetMode="External"/><Relationship Id="rId407" Type="http://schemas.openxmlformats.org/officeDocument/2006/relationships/hyperlink" Target="https://www.itu.int/md/S19-CL-C-0137/es" TargetMode="External"/><Relationship Id="rId449" Type="http://schemas.openxmlformats.org/officeDocument/2006/relationships/hyperlink" Target="https://itu.int/go/Q4/2" TargetMode="External"/><Relationship Id="rId614" Type="http://schemas.openxmlformats.org/officeDocument/2006/relationships/image" Target="media/image122.png"/><Relationship Id="rId211" Type="http://schemas.openxmlformats.org/officeDocument/2006/relationships/hyperlink" Target="https://academy.itu.int/main-activities/digital-transformation-centres-initiative" TargetMode="External"/><Relationship Id="rId253" Type="http://schemas.openxmlformats.org/officeDocument/2006/relationships/hyperlink" Target="https://www.who.int/publications/i/item/9789240029200" TargetMode="External"/><Relationship Id="rId295" Type="http://schemas.openxmlformats.org/officeDocument/2006/relationships/hyperlink" Target="https://www.itu.int/en/ITU-T/extcoop/ai-data-commons/Pages/default.aspx" TargetMode="External"/><Relationship Id="rId309" Type="http://schemas.openxmlformats.org/officeDocument/2006/relationships/hyperlink" Target="https://www.itu.int/en/ITU-D/Conferences/GSR/2019/Documents/ChairmansReport_Final_S.pdf" TargetMode="External"/><Relationship Id="rId460" Type="http://schemas.openxmlformats.org/officeDocument/2006/relationships/hyperlink" Target="https://www.itu.int/en/ITU-T/Workshops-and-Seminars/2021/0510/Pages/default.aspx" TargetMode="External"/><Relationship Id="rId516" Type="http://schemas.openxmlformats.org/officeDocument/2006/relationships/hyperlink" Target="https://www.itu.int/en/ITU-D/Conferences/GSR/Documents/GSR2016/Digital_financial_inclusion_GDDFI.pdf" TargetMode="External"/><Relationship Id="rId48" Type="http://schemas.openxmlformats.org/officeDocument/2006/relationships/hyperlink" Target="https://www.itu.int/en/ITU-T/gap/Pages/default.aspx" TargetMode="External"/><Relationship Id="rId113" Type="http://schemas.openxmlformats.org/officeDocument/2006/relationships/hyperlink" Target="https://news.itu.int/why-itu-is-joining-the-crisis-connectivity-charter-doreen-bogdan-martin/" TargetMode="External"/><Relationship Id="rId320" Type="http://schemas.openxmlformats.org/officeDocument/2006/relationships/hyperlink" Target="https://digital-world.itu.int/events/2021-event/sme-programme/" TargetMode="External"/><Relationship Id="rId558" Type="http://schemas.openxmlformats.org/officeDocument/2006/relationships/image" Target="media/image66.png"/><Relationship Id="rId155" Type="http://schemas.openxmlformats.org/officeDocument/2006/relationships/hyperlink" Target="https://www.itu.int/now4wrc23/" TargetMode="External"/><Relationship Id="rId197" Type="http://schemas.openxmlformats.org/officeDocument/2006/relationships/hyperlink" Target="https://www.itu.int/en/ITU-D/Regulatory-Market/Pages/REG4COVID.aspx" TargetMode="External"/><Relationship Id="rId362" Type="http://schemas.openxmlformats.org/officeDocument/2006/relationships/image" Target="media/image23.png"/><Relationship Id="rId418" Type="http://schemas.openxmlformats.org/officeDocument/2006/relationships/hyperlink" Target="https://www.itu.int/md/S20-CL-C-0053/es" TargetMode="External"/><Relationship Id="rId625" Type="http://schemas.openxmlformats.org/officeDocument/2006/relationships/image" Target="media/image133.png"/><Relationship Id="rId222" Type="http://schemas.openxmlformats.org/officeDocument/2006/relationships/hyperlink" Target="https://broadbandcommission.org/working-groups/digital-infrastructure-moonshot-for-africa/" TargetMode="External"/><Relationship Id="rId264" Type="http://schemas.openxmlformats.org/officeDocument/2006/relationships/hyperlink" Target="https://www.itu.int/es/ITU-D/Projects/ITU-EC-ACP/PRIDA/Pages/default.aspx" TargetMode="External"/><Relationship Id="rId471" Type="http://schemas.openxmlformats.org/officeDocument/2006/relationships/hyperlink" Target="https://www.itu.int/md/S18-CL-C-0107/es" TargetMode="External"/><Relationship Id="rId17" Type="http://schemas.openxmlformats.org/officeDocument/2006/relationships/header" Target="header3.xml"/><Relationship Id="rId59" Type="http://schemas.openxmlformats.org/officeDocument/2006/relationships/hyperlink" Target="https://www.itu.int/en/ITU-T/focusgroups/qit4n/Pages/default.aspx" TargetMode="External"/><Relationship Id="rId124" Type="http://schemas.openxmlformats.org/officeDocument/2006/relationships/hyperlink" Target="https://www.itu.int/en/ITU-T/studygroups/2017-2020/17/Pages/default.aspx" TargetMode="External"/><Relationship Id="rId527" Type="http://schemas.openxmlformats.org/officeDocument/2006/relationships/image" Target="media/image35.png"/><Relationship Id="rId569" Type="http://schemas.openxmlformats.org/officeDocument/2006/relationships/image" Target="media/image77.png"/><Relationship Id="rId70" Type="http://schemas.openxmlformats.org/officeDocument/2006/relationships/hyperlink" Target="https://www.itu.int/rec/T-REC-Y/es" TargetMode="External"/><Relationship Id="rId166" Type="http://schemas.openxmlformats.org/officeDocument/2006/relationships/hyperlink" Target="https://www.unmgcy.org/youth2030" TargetMode="External"/><Relationship Id="rId331" Type="http://schemas.openxmlformats.org/officeDocument/2006/relationships/hyperlink" Target="https://www.itu.int/myworkspace/" TargetMode="External"/><Relationship Id="rId373" Type="http://schemas.openxmlformats.org/officeDocument/2006/relationships/hyperlink" Target="https://www.itu.int/md/S20-CL-C-0050/en" TargetMode="External"/><Relationship Id="rId429" Type="http://schemas.openxmlformats.org/officeDocument/2006/relationships/hyperlink" Target="https://www.itu.int/rec/T-REC-K.Sup20/es" TargetMode="External"/><Relationship Id="rId580" Type="http://schemas.openxmlformats.org/officeDocument/2006/relationships/image" Target="media/image88.png"/><Relationship Id="rId636" Type="http://schemas.openxmlformats.org/officeDocument/2006/relationships/header" Target="header4.xml"/><Relationship Id="rId1" Type="http://schemas.openxmlformats.org/officeDocument/2006/relationships/customXml" Target="../customXml/item1.xml"/><Relationship Id="rId233" Type="http://schemas.openxmlformats.org/officeDocument/2006/relationships/hyperlink" Target="https://www.intgovforum.org/en/content/igf-2021" TargetMode="External"/><Relationship Id="rId440" Type="http://schemas.openxmlformats.org/officeDocument/2006/relationships/hyperlink" Target="https://academy.itu.int/training-courses/full-catalogue/conformity-and-interoperability-relating-5g" TargetMode="External"/><Relationship Id="rId28" Type="http://schemas.openxmlformats.org/officeDocument/2006/relationships/hyperlink" Target="https://www.itu.int/pub/R-RES-R.71/es" TargetMode="External"/><Relationship Id="rId275" Type="http://schemas.openxmlformats.org/officeDocument/2006/relationships/hyperlink" Target="https://www.itu.int/es/wtisd/2020/Pages/default.aspx" TargetMode="External"/><Relationship Id="rId300" Type="http://schemas.openxmlformats.org/officeDocument/2006/relationships/hyperlink" Target="https://www.itu.int/itu-t/recommendations/rec.aspx?rec=13894&amp;lang=es" TargetMode="External"/><Relationship Id="rId482" Type="http://schemas.openxmlformats.org/officeDocument/2006/relationships/hyperlink" Target="https://www.itu.int/itu-t/workprog/wp_search.aspx?isn_sp=3925&amp;isn_sg=3937&amp;isn_status=-1,2&amp;adf=2018-01-01&amp;adt=2021-11-01&amp;details=0&amp;field=acdefghijo" TargetMode="External"/><Relationship Id="rId538" Type="http://schemas.openxmlformats.org/officeDocument/2006/relationships/image" Target="media/image46.png"/><Relationship Id="rId81" Type="http://schemas.openxmlformats.org/officeDocument/2006/relationships/hyperlink" Target="https://www.itu.int/rec/R-REC-RS/es" TargetMode="External"/><Relationship Id="rId135" Type="http://schemas.openxmlformats.org/officeDocument/2006/relationships/hyperlink" Target="https://www.itu.int/net4/wsis/forum/2021/es/Agenda/Session/328" TargetMode="External"/><Relationship Id="rId177" Type="http://schemas.openxmlformats.org/officeDocument/2006/relationships/hyperlink" Target="https://www.itu.int/net4/wsis/forum/2021/es" TargetMode="External"/><Relationship Id="rId342" Type="http://schemas.openxmlformats.org/officeDocument/2006/relationships/hyperlink" Target="https://www.itu.int/en/ITU-D/Statistics/Documents/facts/FactsFigures2021.pdf" TargetMode="External"/><Relationship Id="rId384" Type="http://schemas.openxmlformats.org/officeDocument/2006/relationships/hyperlink" Target="https://academy.itu.int/training-courses/full-catalogue/measuring-digital-development-telecommunicationict-indicators" TargetMode="External"/><Relationship Id="rId591" Type="http://schemas.openxmlformats.org/officeDocument/2006/relationships/image" Target="media/image99.png"/><Relationship Id="rId605" Type="http://schemas.openxmlformats.org/officeDocument/2006/relationships/image" Target="media/image113.png"/><Relationship Id="rId202" Type="http://schemas.openxmlformats.org/officeDocument/2006/relationships/hyperlink" Target="https://thedocs.worldbank.org/en/doc/788991588006445890-0190022020/original/SpeedboatPartnersCOVID19DigitalDevelopmentJointActionPlan.pdf" TargetMode="External"/><Relationship Id="rId244" Type="http://schemas.openxmlformats.org/officeDocument/2006/relationships/hyperlink" Target="https://www.un.org/en/pdfs/DigitalCooperation-report-for%20web.pdf" TargetMode="External"/><Relationship Id="rId39" Type="http://schemas.openxmlformats.org/officeDocument/2006/relationships/hyperlink" Target="https://www.itu.int/es/ITU-T/studygroups/2017-2020/09/Pages/default.aspx" TargetMode="External"/><Relationship Id="rId286" Type="http://schemas.openxmlformats.org/officeDocument/2006/relationships/hyperlink" Target="https://www.itu.int/net4/wsis/forum/2019/Files/Outcomes/DRAFT-WSISStocktakingReport2019-en.pdf" TargetMode="External"/><Relationship Id="rId451" Type="http://schemas.openxmlformats.org/officeDocument/2006/relationships/hyperlink" Target="https://www.itu.int/en/myitu/News/2020/10/14/10/14/World-Standards-Day-renew-resolve-protect-planet-standards-Houlin-Zhao?utm_source=ground.news&amp;utm_medium=referral" TargetMode="External"/><Relationship Id="rId493" Type="http://schemas.openxmlformats.org/officeDocument/2006/relationships/hyperlink" Target="https://www.itu.int/en/ITU-T/webinars/dfs/sc/Pages/default.aspx" TargetMode="External"/><Relationship Id="rId507" Type="http://schemas.openxmlformats.org/officeDocument/2006/relationships/hyperlink" Target="http://www.itu.int/itu-t/workprog/wp_item.aspx?isn=14705" TargetMode="External"/><Relationship Id="rId549" Type="http://schemas.openxmlformats.org/officeDocument/2006/relationships/image" Target="media/image57.png"/><Relationship Id="rId50" Type="http://schemas.openxmlformats.org/officeDocument/2006/relationships/hyperlink" Target="https://www.itu.int/en/ITU-T/focusgroups/Pages/default.aspx" TargetMode="External"/><Relationship Id="rId104" Type="http://schemas.openxmlformats.org/officeDocument/2006/relationships/hyperlink" Target="https://www.itu.int/en/ITU-D/Emergency-Telecommunications/Pages/Events/2019/GET-2019/default.aspx" TargetMode="External"/><Relationship Id="rId146" Type="http://schemas.openxmlformats.org/officeDocument/2006/relationships/hyperlink" Target="https://news.itu.int/meet-sango-the-new-child-online-protection-mascot/" TargetMode="External"/><Relationship Id="rId188" Type="http://schemas.openxmlformats.org/officeDocument/2006/relationships/hyperlink" Target="https://universal.design/udday21" TargetMode="External"/><Relationship Id="rId311" Type="http://schemas.openxmlformats.org/officeDocument/2006/relationships/hyperlink" Target="https://www.itu.int/net4/ITU-D/CDS/GSR/2018/default.asp" TargetMode="External"/><Relationship Id="rId353" Type="http://schemas.openxmlformats.org/officeDocument/2006/relationships/image" Target="media/image14.png"/><Relationship Id="rId395" Type="http://schemas.openxmlformats.org/officeDocument/2006/relationships/hyperlink" Target="https://www.itu.int/en/myitu/Publications/2020/12/16/09/24/Last-mile-Internet-Connectivity-Solutions-Guide-2020" TargetMode="External"/><Relationship Id="rId409" Type="http://schemas.openxmlformats.org/officeDocument/2006/relationships/hyperlink" Target="https://www.itu.int/en/itu-wsis/Pages/Roadmaps.aspx" TargetMode="External"/><Relationship Id="rId560" Type="http://schemas.openxmlformats.org/officeDocument/2006/relationships/image" Target="media/image68.png"/><Relationship Id="rId92" Type="http://schemas.openxmlformats.org/officeDocument/2006/relationships/hyperlink" Target="https://www.itu.int/en/ITU-D/Regional-Presence/ArabStates/Pages/Projects/Ewaste.aspx" TargetMode="External"/><Relationship Id="rId213" Type="http://schemas.openxmlformats.org/officeDocument/2006/relationships/hyperlink" Target="https://www.itu.int/net4/wsis/stocktaking/Surveys/Surveys/Submit/15863048637525604" TargetMode="External"/><Relationship Id="rId420" Type="http://schemas.openxmlformats.org/officeDocument/2006/relationships/hyperlink" Target="https://www.itu.int/rec/T-REC-K.83/es" TargetMode="External"/><Relationship Id="rId616" Type="http://schemas.openxmlformats.org/officeDocument/2006/relationships/image" Target="media/image124.png"/><Relationship Id="rId255" Type="http://schemas.openxmlformats.org/officeDocument/2006/relationships/hyperlink" Target="http://www.itu.int/go/fgai4ndm" TargetMode="External"/><Relationship Id="rId297" Type="http://schemas.openxmlformats.org/officeDocument/2006/relationships/hyperlink" Target="https://www.itu.int/en/ITU-T/AI/challenge/2020/Pages/default.aspx" TargetMode="External"/><Relationship Id="rId462" Type="http://schemas.openxmlformats.org/officeDocument/2006/relationships/hyperlink" Target="https://www.itu.int/es/ITU-T/Workshops-and-Seminars/gsw/201910/Pages/default.aspx" TargetMode="External"/><Relationship Id="rId518" Type="http://schemas.openxmlformats.org/officeDocument/2006/relationships/hyperlink" Target="https://www.itu.int/rec/T-REC-D.262/es" TargetMode="External"/><Relationship Id="rId115" Type="http://schemas.openxmlformats.org/officeDocument/2006/relationships/hyperlink" Target="https://www.itu.int/en/ITU-D/Emergency-Telecommunications/Pages/Events.aspx" TargetMode="External"/><Relationship Id="rId157" Type="http://schemas.openxmlformats.org/officeDocument/2006/relationships/hyperlink" Target="https://www.itu.int/es/mediacentre/Pages/2019-CM10.aspx" TargetMode="External"/><Relationship Id="rId322" Type="http://schemas.openxmlformats.org/officeDocument/2006/relationships/hyperlink" Target="https://www.itu.int/wtpf21/es/" TargetMode="External"/><Relationship Id="rId364" Type="http://schemas.openxmlformats.org/officeDocument/2006/relationships/image" Target="media/image25.png"/><Relationship Id="rId61" Type="http://schemas.openxmlformats.org/officeDocument/2006/relationships/hyperlink" Target="https://www.itu.int/en/ITU-T/focusgroups/an/Pages/default.aspx" TargetMode="External"/><Relationship Id="rId199" Type="http://schemas.openxmlformats.org/officeDocument/2006/relationships/hyperlink" Target="https://reg4covid.itu.int/wp-content/uploads/2020/06/ITU_COVID-19_and_Telecom-ICT.pdf" TargetMode="External"/><Relationship Id="rId571" Type="http://schemas.openxmlformats.org/officeDocument/2006/relationships/image" Target="media/image79.png"/><Relationship Id="rId627" Type="http://schemas.openxmlformats.org/officeDocument/2006/relationships/image" Target="media/image135.png"/><Relationship Id="rId19" Type="http://schemas.openxmlformats.org/officeDocument/2006/relationships/hyperlink" Target="https://www.itu.int/es/mediacentre/Pages/CM01-2020-WRC19-Final-Acts.aspx" TargetMode="External"/><Relationship Id="rId224" Type="http://schemas.openxmlformats.org/officeDocument/2006/relationships/hyperlink" Target="https://www.broadbandcommission.org/Documents/BroadbandCommission_manifesto.pdf" TargetMode="External"/><Relationship Id="rId266" Type="http://schemas.openxmlformats.org/officeDocument/2006/relationships/hyperlink" Target="https://www.itu.int/es/ITU-R/2017-RegFreqCoord/Pages/3rdMeeting.aspx" TargetMode="External"/><Relationship Id="rId431" Type="http://schemas.openxmlformats.org/officeDocument/2006/relationships/hyperlink" Target="https://emfguide.itu.int/emfguide.html" TargetMode="External"/><Relationship Id="rId473" Type="http://schemas.openxmlformats.org/officeDocument/2006/relationships/hyperlink" Target="https://www.itu.int/rec/T-REC-Q.5052/es" TargetMode="External"/><Relationship Id="rId529" Type="http://schemas.openxmlformats.org/officeDocument/2006/relationships/image" Target="media/image37.png"/><Relationship Id="rId30" Type="http://schemas.openxmlformats.org/officeDocument/2006/relationships/hyperlink" Target="https://www.itu.int/pub/R-RES-R.35/es" TargetMode="External"/><Relationship Id="rId126" Type="http://schemas.openxmlformats.org/officeDocument/2006/relationships/hyperlink" Target="https://www.itu.int/en/ITU-T/studygroups/2017-2020/13/Pages/default.aspx" TargetMode="External"/><Relationship Id="rId168" Type="http://schemas.openxmlformats.org/officeDocument/2006/relationships/hyperlink" Target="https://www.itu.int/en/ITU-D/Digital-Inclusion/Youth-and-Children/Pages/Digital-Skills-Toolkit.aspx" TargetMode="External"/><Relationship Id="rId333" Type="http://schemas.openxmlformats.org/officeDocument/2006/relationships/hyperlink" Target="https://www.itu.int/myworkspace/" TargetMode="External"/><Relationship Id="rId540" Type="http://schemas.openxmlformats.org/officeDocument/2006/relationships/image" Target="media/image48.png"/><Relationship Id="rId72" Type="http://schemas.openxmlformats.org/officeDocument/2006/relationships/hyperlink" Target="https://aiforgood.itu.int/about/ai-ml-pre-standardization/ai4roadsafety/" TargetMode="External"/><Relationship Id="rId375" Type="http://schemas.openxmlformats.org/officeDocument/2006/relationships/hyperlink" Target="https://www.itu.int/md/S20-CL-C-0051/es" TargetMode="External"/><Relationship Id="rId582" Type="http://schemas.openxmlformats.org/officeDocument/2006/relationships/image" Target="media/image90.png"/><Relationship Id="rId638" Type="http://schemas.openxmlformats.org/officeDocument/2006/relationships/footer" Target="footer5.xml"/><Relationship Id="rId3" Type="http://schemas.openxmlformats.org/officeDocument/2006/relationships/styles" Target="styles.xml"/><Relationship Id="rId235" Type="http://schemas.openxmlformats.org/officeDocument/2006/relationships/hyperlink" Target="https://www.itu.int/es/ITU-D/Initiatives/GIGA/Pages/default.aspx" TargetMode="External"/><Relationship Id="rId277" Type="http://schemas.openxmlformats.org/officeDocument/2006/relationships/hyperlink" Target="https://www.itu.int/es/wtisd/2019/Pages/default.aspx" TargetMode="External"/><Relationship Id="rId400" Type="http://schemas.openxmlformats.org/officeDocument/2006/relationships/hyperlink" Target="https://itu.int/map-public" TargetMode="External"/><Relationship Id="rId442" Type="http://schemas.openxmlformats.org/officeDocument/2006/relationships/hyperlink" Target="https://itu.int/go/ci_training" TargetMode="External"/><Relationship Id="rId484" Type="http://schemas.openxmlformats.org/officeDocument/2006/relationships/hyperlink" Target="https://www.itu.int/rec/T-REC-Y.4201/es" TargetMode="External"/><Relationship Id="rId137" Type="http://schemas.openxmlformats.org/officeDocument/2006/relationships/hyperlink" Target="https://www.globalcyberalliance.org/" TargetMode="External"/><Relationship Id="rId302" Type="http://schemas.openxmlformats.org/officeDocument/2006/relationships/hyperlink" Target="https://www.itu.int/en/ITU-D/Conferences/GSR/2021/Documents/Global_Final%20outcome%20report/GSR-21_Chairman%27s%20report.pdf?csf=1&amp;e=bDh971" TargetMode="External"/><Relationship Id="rId344" Type="http://schemas.openxmlformats.org/officeDocument/2006/relationships/image" Target="media/image5.png"/><Relationship Id="rId41" Type="http://schemas.openxmlformats.org/officeDocument/2006/relationships/hyperlink" Target="https://www.itu.int/es/ITU-T/studygroups/2017-2020/12/Pages/default.aspx" TargetMode="External"/><Relationship Id="rId83" Type="http://schemas.openxmlformats.org/officeDocument/2006/relationships/hyperlink" Target="https://www.itu.int/en/ITU-D/Climate-Change/Pages/sgq.aspx" TargetMode="External"/><Relationship Id="rId179" Type="http://schemas.openxmlformats.org/officeDocument/2006/relationships/hyperlink" Target="https://academy.itu.int/training-courses/full-catalogue/ict-accessibility-key-inclusive-communication-line-self-paced-training" TargetMode="External"/><Relationship Id="rId386" Type="http://schemas.openxmlformats.org/officeDocument/2006/relationships/hyperlink" Target="https://www.itu.int/en/ITU-D/Statistics/Pages/events/egh2020/default.aspx" TargetMode="External"/><Relationship Id="rId551" Type="http://schemas.openxmlformats.org/officeDocument/2006/relationships/image" Target="media/image59.png"/><Relationship Id="rId593" Type="http://schemas.openxmlformats.org/officeDocument/2006/relationships/image" Target="media/image101.png"/><Relationship Id="rId607" Type="http://schemas.openxmlformats.org/officeDocument/2006/relationships/image" Target="media/image115.png"/><Relationship Id="rId190" Type="http://schemas.openxmlformats.org/officeDocument/2006/relationships/hyperlink" Target="https://www.itu.int/pub/T-TUT-FSTP-2020-ACC.WEBVRI/es" TargetMode="External"/><Relationship Id="rId204" Type="http://schemas.openxmlformats.org/officeDocument/2006/relationships/hyperlink" Target="https://www.itu.int/en/ITU-T/jca/dcc/Pages/default.aspx" TargetMode="External"/><Relationship Id="rId246" Type="http://schemas.openxmlformats.org/officeDocument/2006/relationships/hyperlink" Target="https://www.intgovforum.org/es" TargetMode="External"/><Relationship Id="rId288" Type="http://schemas.openxmlformats.org/officeDocument/2006/relationships/hyperlink" Target="https://www.itu.int/en/ITU-T/academia/kaleidoscope/2021/Pages/default.aspx" TargetMode="External"/><Relationship Id="rId411" Type="http://schemas.openxmlformats.org/officeDocument/2006/relationships/hyperlink" Target="https://www.itu.int/md/S20-CL-C-0028/es" TargetMode="External"/><Relationship Id="rId453" Type="http://schemas.openxmlformats.org/officeDocument/2006/relationships/hyperlink" Target="https://www.itu.int/es/ITU-T/Workshops-and-Seminars/sg05rg/sdtd/20210930/Pages/default.aspx" TargetMode="External"/><Relationship Id="rId509" Type="http://schemas.openxmlformats.org/officeDocument/2006/relationships/hyperlink" Target="https://www.itu.int/ITU-T/workprog/wp_search.aspx?isn_sp=3925&amp;isn_sg=3934&amp;isn_qu=7956&amp;isn_status=-1,1,3,7,2&amp;details=0&amp;field=acdefghijo" TargetMode="External"/><Relationship Id="rId106" Type="http://schemas.openxmlformats.org/officeDocument/2006/relationships/hyperlink" Target="https://www.itu.int/en/ITU-D/Emergency-Telecommunications/Pages/NETPs.aspx" TargetMode="External"/><Relationship Id="rId313" Type="http://schemas.openxmlformats.org/officeDocument/2006/relationships/hyperlink" Target="https://www.itu.int/en/ITU-D/Regulatory-Market/Pages/bestpractices.aspx" TargetMode="External"/><Relationship Id="rId495" Type="http://schemas.openxmlformats.org/officeDocument/2006/relationships/hyperlink" Target="https://www.itu.int/rec/T-REC-D.Sup4/es" TargetMode="External"/><Relationship Id="rId10" Type="http://schemas.openxmlformats.org/officeDocument/2006/relationships/hyperlink" Target="https://www.itu.int/en/council/Documents/basic-texts/RES-151-S.pdf" TargetMode="External"/><Relationship Id="rId52" Type="http://schemas.openxmlformats.org/officeDocument/2006/relationships/hyperlink" Target="https://www.itu.int/en/ITU-T/focusgroups/dfc/Pages/default.aspx" TargetMode="External"/><Relationship Id="rId94" Type="http://schemas.openxmlformats.org/officeDocument/2006/relationships/hyperlink" Target="https://www.itu.int/en/ITU-D/Climate-Change/Pages/Events/2019/Workshop-on-E-waste-India.aspx" TargetMode="External"/><Relationship Id="rId148" Type="http://schemas.openxmlformats.org/officeDocument/2006/relationships/hyperlink" Target="https://www.itu.int/women-and-girls/girls-in-ict/es/" TargetMode="External"/><Relationship Id="rId355" Type="http://schemas.openxmlformats.org/officeDocument/2006/relationships/image" Target="media/image16.png"/><Relationship Id="rId397" Type="http://schemas.openxmlformats.org/officeDocument/2006/relationships/hyperlink" Target="https://www.itu.int/es/ITU-D/Conferences/ET/2021/Pages/default.aspx" TargetMode="External"/><Relationship Id="rId520" Type="http://schemas.openxmlformats.org/officeDocument/2006/relationships/hyperlink" Target="https://www.itu.int/en/journal/j-fet/Pages/default.aspx" TargetMode="External"/><Relationship Id="rId562" Type="http://schemas.openxmlformats.org/officeDocument/2006/relationships/image" Target="media/image70.png"/><Relationship Id="rId618" Type="http://schemas.openxmlformats.org/officeDocument/2006/relationships/image" Target="media/image126.png"/><Relationship Id="rId215" Type="http://schemas.openxmlformats.org/officeDocument/2006/relationships/hyperlink" Target="https://www.itu.int/en/ITU-D/Emergency-Telecommunications/Pages/Publications/Guidelines-for-NETPs.aspx" TargetMode="External"/><Relationship Id="rId257" Type="http://schemas.openxmlformats.org/officeDocument/2006/relationships/hyperlink" Target="https://globalewaste.org/about-us/" TargetMode="External"/><Relationship Id="rId422" Type="http://schemas.openxmlformats.org/officeDocument/2006/relationships/hyperlink" Target="https://www.itu.int/rec/T-REC-K.91/es" TargetMode="External"/><Relationship Id="rId464" Type="http://schemas.openxmlformats.org/officeDocument/2006/relationships/hyperlink" Target="https://www.itu.int/en/ITU-T/studygroups/2017-2020/05/Pages/event-20190515.aspx" TargetMode="External"/><Relationship Id="rId299" Type="http://schemas.openxmlformats.org/officeDocument/2006/relationships/hyperlink" Target="https://aiforgood.itu.int/about/aiml-in-5g-challenge/" TargetMode="External"/><Relationship Id="rId63" Type="http://schemas.openxmlformats.org/officeDocument/2006/relationships/hyperlink" Target="https://www.itu.int/en/ITU-T/focusgroups/ai4a/Pages/default.aspx" TargetMode="External"/><Relationship Id="rId159" Type="http://schemas.openxmlformats.org/officeDocument/2006/relationships/hyperlink" Target="https://genderchampions.com/" TargetMode="External"/><Relationship Id="rId366" Type="http://schemas.openxmlformats.org/officeDocument/2006/relationships/image" Target="media/image27.png"/><Relationship Id="rId573" Type="http://schemas.openxmlformats.org/officeDocument/2006/relationships/image" Target="media/image81.png"/><Relationship Id="rId226" Type="http://schemas.openxmlformats.org/officeDocument/2006/relationships/hyperlink" Target="https://www.broadbandcommission.org/publications/Pages/SOB-2020.aspx" TargetMode="External"/><Relationship Id="rId433" Type="http://schemas.openxmlformats.org/officeDocument/2006/relationships/hyperlink" Target="http://www.itu.int/net/itu-t/cdb/ConformityDB.aspx" TargetMode="External"/><Relationship Id="rId640" Type="http://schemas.openxmlformats.org/officeDocument/2006/relationships/theme" Target="theme/theme1.xml"/><Relationship Id="rId74" Type="http://schemas.openxmlformats.org/officeDocument/2006/relationships/hyperlink" Target="https://www.itu.int/es/ITU-T/studygroups/2013-2016/20/Pages/default.aspx" TargetMode="External"/><Relationship Id="rId377" Type="http://schemas.openxmlformats.org/officeDocument/2006/relationships/hyperlink" Target="https://www.itu.int/en/ITU-D/Statistics/Pages/stat/default.aspx" TargetMode="External"/><Relationship Id="rId500" Type="http://schemas.openxmlformats.org/officeDocument/2006/relationships/hyperlink" Target="https://www.itu.int/itu-t/workprog/wp_search.aspx?isn_sp=3925&amp;isn_sg=3930&amp;isn_qu=4138&amp;isn_status=-1,1,3,7&amp;details=0&amp;field=acdefghijo" TargetMode="External"/><Relationship Id="rId584" Type="http://schemas.openxmlformats.org/officeDocument/2006/relationships/image" Target="media/image92.png"/><Relationship Id="rId5" Type="http://schemas.openxmlformats.org/officeDocument/2006/relationships/webSettings" Target="webSettings.xml"/><Relationship Id="rId237" Type="http://schemas.openxmlformats.org/officeDocument/2006/relationships/hyperlink" Target="https://www.itu.int/en/ITU-D/Technology/Pages/LMC/LMC-Home.aspx" TargetMode="External"/><Relationship Id="rId444" Type="http://schemas.openxmlformats.org/officeDocument/2006/relationships/hyperlink" Target="https://www.itu.int/en/ITU-D/Technology/Pages/CI_AssessmentStudyRegional.aspx" TargetMode="External"/><Relationship Id="rId290" Type="http://schemas.openxmlformats.org/officeDocument/2006/relationships/hyperlink" Target="https://www.itu.int/hub/2020/12/japans-nict-claims-kaleidoscope-1st-prize-for-research-in-machine-learning/" TargetMode="External"/><Relationship Id="rId304" Type="http://schemas.openxmlformats.org/officeDocument/2006/relationships/hyperlink" Target="https://www.itu.int/es/ITU-D/Conferences/GSR/2020/Pages/default.aspx" TargetMode="External"/><Relationship Id="rId388" Type="http://schemas.openxmlformats.org/officeDocument/2006/relationships/hyperlink" Target="https://www.itu.int/en/ITU-D/Statistics/Pages/intlcoop/default.aspx" TargetMode="External"/><Relationship Id="rId511" Type="http://schemas.openxmlformats.org/officeDocument/2006/relationships/hyperlink" Target="https://www.itu.int/rec/T-REC-X.1405/es" TargetMode="External"/><Relationship Id="rId609" Type="http://schemas.openxmlformats.org/officeDocument/2006/relationships/image" Target="media/image117.png"/><Relationship Id="rId85" Type="http://schemas.openxmlformats.org/officeDocument/2006/relationships/hyperlink" Target="https://www.itu.int/en/ITU-T/webinars/Pages/dt4cc.aspx" TargetMode="External"/><Relationship Id="rId150" Type="http://schemas.openxmlformats.org/officeDocument/2006/relationships/hyperlink" Target="https://www.itu.int/Pages/PageNotFoundError.aspx?requestUrl=https://www.itu.int/en/ITU-D/Regional-Presence/Africa/Pages/African-Girls-Can-Code.aspx" TargetMode="External"/><Relationship Id="rId595" Type="http://schemas.openxmlformats.org/officeDocument/2006/relationships/image" Target="media/image103.png"/><Relationship Id="rId248" Type="http://schemas.openxmlformats.org/officeDocument/2006/relationships/hyperlink" Target="https://www.un.org/es/content/digital-cooperation-roadmap/" TargetMode="External"/><Relationship Id="rId455" Type="http://schemas.openxmlformats.org/officeDocument/2006/relationships/hyperlink" Target="https://www.itu.int/en/ITU-T/Workshops-and-Seminars/sg05rg/sdtd/20210928/Pages/default.aspx" TargetMode="External"/><Relationship Id="rId12" Type="http://schemas.openxmlformats.org/officeDocument/2006/relationships/hyperlink" Target="http://www.itu.int" TargetMode="External"/><Relationship Id="rId108" Type="http://schemas.openxmlformats.org/officeDocument/2006/relationships/hyperlink" Target="https://www.itu.int/en/ITU-D/Emergency-Telecommunications/Pages/ITU-Online-Modules-on-Emergency-Telecommunications.aspx" TargetMode="External"/><Relationship Id="rId315" Type="http://schemas.openxmlformats.org/officeDocument/2006/relationships/hyperlink" Target="https://digital-world.itu.int/events/2019-budapest/highlights-from-telecom-world-2019-budapest/" TargetMode="External"/><Relationship Id="rId522" Type="http://schemas.openxmlformats.org/officeDocument/2006/relationships/hyperlink" Target="https://www.itu.int/md/S20-CL-C-0050/es" TargetMode="External"/><Relationship Id="rId96" Type="http://schemas.openxmlformats.org/officeDocument/2006/relationships/hyperlink" Target="https://www.itu.int/en/ITU-D/Environment/Documents/Publications/2020/Internet-Waste%202020.pdf?csf=1&amp;e=iQq5Zi" TargetMode="External"/><Relationship Id="rId161" Type="http://schemas.openxmlformats.org/officeDocument/2006/relationships/hyperlink" Target="https://www.itu.int/generationconnect/es/" TargetMode="External"/><Relationship Id="rId399" Type="http://schemas.openxmlformats.org/officeDocument/2006/relationships/hyperlink" Target="https://www.youtube.com/watch?v=zMIwISDVy_0" TargetMode="External"/><Relationship Id="rId259" Type="http://schemas.openxmlformats.org/officeDocument/2006/relationships/hyperlink" Target="https://www.itu.int/bestofwrs/" TargetMode="External"/><Relationship Id="rId466" Type="http://schemas.openxmlformats.org/officeDocument/2006/relationships/hyperlink" Target="https://www.itu.int/en/ITU-T/Workshops-and-Seminars/20180423/Pages/default.aspx" TargetMode="External"/><Relationship Id="rId23" Type="http://schemas.openxmlformats.org/officeDocument/2006/relationships/hyperlink" Target="https://www.itu.int/pub/R-RES-R.1/es" TargetMode="External"/><Relationship Id="rId119" Type="http://schemas.openxmlformats.org/officeDocument/2006/relationships/hyperlink" Target="https://www.itu.int/en/ITU-D/Cybersecurity/Documents/RES_130_rev_Dubai.pdf" TargetMode="External"/><Relationship Id="rId326" Type="http://schemas.openxmlformats.org/officeDocument/2006/relationships/hyperlink" Target="https://www.itu.int/myworkspace/" TargetMode="External"/><Relationship Id="rId533" Type="http://schemas.openxmlformats.org/officeDocument/2006/relationships/image" Target="media/image41.png"/><Relationship Id="rId172" Type="http://schemas.openxmlformats.org/officeDocument/2006/relationships/hyperlink" Target="https://www.itu.int/es/ITU-D/Regional-Presence/Americas/Pages/EVENTS/2021/26376.aspx" TargetMode="External"/><Relationship Id="rId477" Type="http://schemas.openxmlformats.org/officeDocument/2006/relationships/hyperlink" Target="https://www.itu.int/itu-t/workprog/wp_search.aspx?isn_sp=3925&amp;isn_sg=3930&amp;isn_qu=4143" TargetMode="External"/><Relationship Id="rId600" Type="http://schemas.openxmlformats.org/officeDocument/2006/relationships/image" Target="media/image108.png"/><Relationship Id="rId337" Type="http://schemas.openxmlformats.org/officeDocument/2006/relationships/hyperlink" Target="https://www.itu.int/en/ITU-D/Conferences/WTDC/WTDC17/Documents/WTDC17_final_report_es.pdf" TargetMode="External"/><Relationship Id="rId34" Type="http://schemas.openxmlformats.org/officeDocument/2006/relationships/hyperlink" Target="https://www.itu.int/itu-t/recommendations/index.aspx" TargetMode="External"/><Relationship Id="rId544" Type="http://schemas.openxmlformats.org/officeDocument/2006/relationships/image" Target="media/image52.png"/><Relationship Id="rId183" Type="http://schemas.openxmlformats.org/officeDocument/2006/relationships/hyperlink" Target="https://www.itu.int/dms_pub/itu-r/opb/rep/R-REP-BT.2207-5-2020-PDF-E.pdf" TargetMode="External"/><Relationship Id="rId390" Type="http://schemas.openxmlformats.org/officeDocument/2006/relationships/hyperlink" Target="https://youtu.be/zMIwISDVy_0" TargetMode="External"/><Relationship Id="rId404" Type="http://schemas.openxmlformats.org/officeDocument/2006/relationships/hyperlink" Target="https://www.itu.int/dms_pub/itu-t/opb/res/T-RES-T.75-2016-PDF-S.pdf" TargetMode="External"/><Relationship Id="rId611" Type="http://schemas.openxmlformats.org/officeDocument/2006/relationships/image" Target="media/image119.png"/><Relationship Id="rId250" Type="http://schemas.openxmlformats.org/officeDocument/2006/relationships/hyperlink" Target="https://www.un.org/es/un75/common-agenda" TargetMode="External"/><Relationship Id="rId488" Type="http://schemas.openxmlformats.org/officeDocument/2006/relationships/hyperlink" Target="https://www.itu.int/en/ITU-T/extcoop/figisymposium/2019/Pages/default.aspx" TargetMode="External"/><Relationship Id="rId45" Type="http://schemas.openxmlformats.org/officeDocument/2006/relationships/hyperlink" Target="https://www.itu.int/en/ITU-T/studygroups/2017-2020/17/Pages/default.aspx" TargetMode="External"/><Relationship Id="rId110" Type="http://schemas.openxmlformats.org/officeDocument/2006/relationships/hyperlink" Target="https://www.itu.int/en/ITU-D/Emergency-Telecommunications/Pages/Women-ICT-and-Emergency-Telecommunications.aspx" TargetMode="External"/><Relationship Id="rId348" Type="http://schemas.openxmlformats.org/officeDocument/2006/relationships/image" Target="media/image9.png"/><Relationship Id="rId555" Type="http://schemas.openxmlformats.org/officeDocument/2006/relationships/image" Target="media/image63.png"/><Relationship Id="rId194" Type="http://schemas.openxmlformats.org/officeDocument/2006/relationships/hyperlink" Target="https://academy.itu.int/training-courses/full-catalogue/icts-better-ageing-and-livelihood-digital-landscape" TargetMode="External"/><Relationship Id="rId208" Type="http://schemas.openxmlformats.org/officeDocument/2006/relationships/hyperlink" Target="https://www.itu.int/es/ITU-D/ICT-Applications/Pages/smart-village.aspx" TargetMode="External"/><Relationship Id="rId415" Type="http://schemas.openxmlformats.org/officeDocument/2006/relationships/hyperlink" Target="https://www.itu.int/md/S21-CL-C-0022/es" TargetMode="External"/><Relationship Id="rId622" Type="http://schemas.openxmlformats.org/officeDocument/2006/relationships/image" Target="media/image130.png"/><Relationship Id="rId261" Type="http://schemas.openxmlformats.org/officeDocument/2006/relationships/hyperlink" Target="https://www.itu.int/es/ITU-R/terrestrial/broadcast/africa/Pages/default.aspx" TargetMode="External"/><Relationship Id="rId499" Type="http://schemas.openxmlformats.org/officeDocument/2006/relationships/hyperlink" Target="https://www.itu.int/en/ITU-T/Workshops-and-Seminars/2021/1129/Pages/default.aspx" TargetMode="External"/><Relationship Id="rId56" Type="http://schemas.openxmlformats.org/officeDocument/2006/relationships/hyperlink" Target="https://www.itu.int/en/ITU-T/focusgroups/ai4h/Pages/default.aspx" TargetMode="External"/><Relationship Id="rId359" Type="http://schemas.openxmlformats.org/officeDocument/2006/relationships/image" Target="media/image20.png"/><Relationship Id="rId566" Type="http://schemas.openxmlformats.org/officeDocument/2006/relationships/image" Target="media/image74.png"/><Relationship Id="rId121" Type="http://schemas.openxmlformats.org/officeDocument/2006/relationships/hyperlink" Target="https://www.itu.int/en/ITU-D/Cybersecurity/Documents/RES_179_rev_Dubai.pdf" TargetMode="External"/><Relationship Id="rId219" Type="http://schemas.openxmlformats.org/officeDocument/2006/relationships/hyperlink" Target="https://broadbandcommission.org/report-type/state-of-broadband-report/" TargetMode="External"/><Relationship Id="rId426" Type="http://schemas.openxmlformats.org/officeDocument/2006/relationships/hyperlink" Target="https://www.itu.int/rec/T-REC-K.Sup9/es" TargetMode="External"/><Relationship Id="rId633" Type="http://schemas.openxmlformats.org/officeDocument/2006/relationships/hyperlink" Target="https://itu.foleon.com/itu/connect-2030-agenda/home/" TargetMode="External"/><Relationship Id="rId67" Type="http://schemas.openxmlformats.org/officeDocument/2006/relationships/hyperlink" Target="https://www.itu.int/rec/T-REC-L/es" TargetMode="External"/><Relationship Id="rId272" Type="http://schemas.openxmlformats.org/officeDocument/2006/relationships/hyperlink" Target="https://www.itu.int/en/ITU-D/Study-Groups/2018-2021/Pages/covid19/webinars/1stSeries.aspx" TargetMode="External"/><Relationship Id="rId577" Type="http://schemas.openxmlformats.org/officeDocument/2006/relationships/image" Target="media/image85.png"/><Relationship Id="rId132" Type="http://schemas.openxmlformats.org/officeDocument/2006/relationships/hyperlink" Target="https://academy.itu.int/training-courses/full-catalogue?search_api_fulltext=&amp;field_taxon_registration=All&amp;field_course_fee=All&amp;field_taxon_region=All&amp;field_taxon_type=All&amp;field_taxon_topics=109&amp;field_taxon_languages=All&amp;date_start=&amp;date_end=&amp;items_per_page=10" TargetMode="External"/><Relationship Id="rId437" Type="http://schemas.openxmlformats.org/officeDocument/2006/relationships/hyperlink" Target="https://www.itu.int/md/T17-SG11-R-0042/es" TargetMode="External"/><Relationship Id="rId283" Type="http://schemas.openxmlformats.org/officeDocument/2006/relationships/hyperlink" Target="https://wsisforum2020.pathable.co/" TargetMode="External"/><Relationship Id="rId490" Type="http://schemas.openxmlformats.org/officeDocument/2006/relationships/hyperlink" Target="https://www.itu.int/en/ITU-T/extcoop/figisymposium/Pages/FIGISITWG.aspx" TargetMode="External"/><Relationship Id="rId504" Type="http://schemas.openxmlformats.org/officeDocument/2006/relationships/hyperlink" Target="https://www.itu.int/en/ITU-T/focusgroups/dlt/Pages/default.aspx" TargetMode="External"/><Relationship Id="rId78" Type="http://schemas.openxmlformats.org/officeDocument/2006/relationships/hyperlink" Target="https://www.itu.int/en/ITU-T/focusgroups/qit4n/Pages/default.aspx" TargetMode="External"/><Relationship Id="rId143" Type="http://schemas.openxmlformats.org/officeDocument/2006/relationships/hyperlink" Target="https://www.efdn.org/blog/news/15th-efdn-conference-kicked-off-with-more-than-150-clubs-leagues-and-fas/" TargetMode="External"/><Relationship Id="rId350" Type="http://schemas.openxmlformats.org/officeDocument/2006/relationships/image" Target="media/image11.png"/><Relationship Id="rId588" Type="http://schemas.openxmlformats.org/officeDocument/2006/relationships/image" Target="media/image96.png"/><Relationship Id="rId9" Type="http://schemas.openxmlformats.org/officeDocument/2006/relationships/hyperlink" Target="https://www.itu.int/en/council/Documents/basic-texts/RES-071-S.pdf" TargetMode="External"/><Relationship Id="rId210" Type="http://schemas.openxmlformats.org/officeDocument/2006/relationships/hyperlink" Target="https://es.unesco.org/covid19/globaleducationcoalition" TargetMode="External"/><Relationship Id="rId448" Type="http://schemas.openxmlformats.org/officeDocument/2006/relationships/hyperlink" Target="https://youtu.be/IIt-CG0JHYQ"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itu.int/council"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itu.int/counci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riano\AppData\Roaming\Microsoft\Templates\POOL%20S%20-%20ITU\PS_C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spPr>
      <a:bodyPr wrap="square" lIns="0" tIns="0" rIns="0" bIns="0"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E41574-244D-4DFE-8733-8AA08529B2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PS_C22.dotx</Template>
  <TotalTime>0</TotalTime>
  <Pages>117</Pages>
  <Words>44609</Words>
  <Characters>286739</Characters>
  <Application>Microsoft Office Word</Application>
  <DocSecurity>4</DocSecurity>
  <Lines>2389</Lines>
  <Paragraphs>661</Paragraphs>
  <ScaleCrop>false</ScaleCrop>
  <HeadingPairs>
    <vt:vector size="4" baseType="variant">
      <vt:variant>
        <vt:lpstr>Title</vt:lpstr>
      </vt:variant>
      <vt:variant>
        <vt:i4>1</vt:i4>
      </vt:variant>
      <vt:variant>
        <vt:lpstr>UNIÓN INTERNACIONAL DE TELECOMUNICACIONES	</vt:lpstr>
      </vt:variant>
      <vt:variant>
        <vt:i4>0</vt:i4>
      </vt:variant>
    </vt:vector>
  </HeadingPairs>
  <TitlesOfParts>
    <vt:vector size="1" baseType="lpstr">
      <vt:lpstr/>
    </vt:vector>
  </TitlesOfParts>
  <Manager>Secretaría General - Pool</Manager>
  <Company>Unión Internacional de Telecomunicaciones (UIT)</Company>
  <LinksUpToDate>false</LinksUpToDate>
  <CharactersWithSpaces>330687</CharactersWithSpaces>
  <SharedDoc>false</SharedDoc>
  <HLinks>
    <vt:vector size="6" baseType="variant">
      <vt:variant>
        <vt:i4>3342371</vt:i4>
      </vt:variant>
      <vt:variant>
        <vt:i4>12</vt:i4>
      </vt:variant>
      <vt:variant>
        <vt:i4>0</vt:i4>
      </vt:variant>
      <vt:variant>
        <vt:i4>5</vt:i4>
      </vt:variant>
      <vt:variant>
        <vt:lpwstr>http://www.itu.int/council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sobre la aplicación del plan estratégico y las actividades de la Unión, abril de 2018 – febrero de 2022</dc:title>
  <dc:subject>Consejo 2022</dc:subject>
  <dc:creator>Spanish</dc:creator>
  <cp:keywords>C2022, C22, Council-22</cp:keywords>
  <dc:description/>
  <cp:lastModifiedBy>Xue, Kun</cp:lastModifiedBy>
  <cp:revision>2</cp:revision>
  <cp:lastPrinted>2006-03-24T09:51:00Z</cp:lastPrinted>
  <dcterms:created xsi:type="dcterms:W3CDTF">2022-03-13T16:40:00Z</dcterms:created>
  <dcterms:modified xsi:type="dcterms:W3CDTF">2022-03-13T16:40:00Z</dcterms:modified>
  <cp:category>Documento de conferencia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Documento C17/-S</vt:lpwstr>
  </property>
  <property fmtid="{D5CDD505-2E9C-101B-9397-08002B2CF9AE}" pid="3" name="Docdate">
    <vt:lpwstr>enero de 2017</vt:lpwstr>
  </property>
  <property fmtid="{D5CDD505-2E9C-101B-9397-08002B2CF9AE}" pid="4" name="Docorlang">
    <vt:lpwstr>Original: inglés</vt:lpwstr>
  </property>
  <property fmtid="{D5CDD505-2E9C-101B-9397-08002B2CF9AE}" pid="5" name="Docbluepink">
    <vt:lpwstr>Consejo 2017 Ginebra, 15-25 de mayo de 2017</vt:lpwstr>
  </property>
  <property fmtid="{D5CDD505-2E9C-101B-9397-08002B2CF9AE}" pid="6" name="Docdest">
    <vt:lpwstr/>
  </property>
  <property fmtid="{D5CDD505-2E9C-101B-9397-08002B2CF9AE}" pid="7" name="Docauthor">
    <vt:lpwstr/>
  </property>
</Properties>
</file>