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7D264F" w14:paraId="12570D30" w14:textId="77777777">
        <w:trPr>
          <w:cantSplit/>
        </w:trPr>
        <w:tc>
          <w:tcPr>
            <w:tcW w:w="6912" w:type="dxa"/>
          </w:tcPr>
          <w:p w14:paraId="5C518F52" w14:textId="77777777" w:rsidR="00520F36" w:rsidRPr="007D264F" w:rsidRDefault="00520F36" w:rsidP="00106B19">
            <w:pPr>
              <w:spacing w:before="360"/>
            </w:pPr>
            <w:bookmarkStart w:id="0" w:name="dc06"/>
            <w:bookmarkEnd w:id="0"/>
            <w:r w:rsidRPr="007D264F">
              <w:rPr>
                <w:b/>
                <w:bCs/>
                <w:sz w:val="30"/>
                <w:szCs w:val="30"/>
              </w:rPr>
              <w:t>Conseil 20</w:t>
            </w:r>
            <w:r w:rsidR="009C353C" w:rsidRPr="007D264F">
              <w:rPr>
                <w:b/>
                <w:bCs/>
                <w:sz w:val="30"/>
                <w:szCs w:val="30"/>
              </w:rPr>
              <w:t>2</w:t>
            </w:r>
            <w:r w:rsidR="0083391C" w:rsidRPr="007D264F">
              <w:rPr>
                <w:b/>
                <w:bCs/>
                <w:sz w:val="30"/>
                <w:szCs w:val="30"/>
              </w:rPr>
              <w:t>2</w:t>
            </w:r>
            <w:r w:rsidRPr="007D264F">
              <w:rPr>
                <w:rFonts w:ascii="Verdana" w:hAnsi="Verdana"/>
                <w:b/>
                <w:bCs/>
                <w:sz w:val="26"/>
                <w:szCs w:val="26"/>
              </w:rPr>
              <w:br/>
            </w:r>
            <w:r w:rsidR="0083391C" w:rsidRPr="007D264F">
              <w:rPr>
                <w:b/>
                <w:bCs/>
                <w:sz w:val="28"/>
                <w:szCs w:val="28"/>
              </w:rPr>
              <w:t>Genève</w:t>
            </w:r>
            <w:r w:rsidRPr="007D264F">
              <w:rPr>
                <w:b/>
                <w:bCs/>
                <w:sz w:val="28"/>
                <w:szCs w:val="28"/>
              </w:rPr>
              <w:t xml:space="preserve">, </w:t>
            </w:r>
            <w:r w:rsidR="0083391C" w:rsidRPr="007D264F">
              <w:rPr>
                <w:b/>
                <w:bCs/>
                <w:sz w:val="28"/>
                <w:szCs w:val="28"/>
              </w:rPr>
              <w:t>21</w:t>
            </w:r>
            <w:r w:rsidRPr="007D264F">
              <w:rPr>
                <w:b/>
                <w:bCs/>
                <w:sz w:val="28"/>
                <w:szCs w:val="28"/>
              </w:rPr>
              <w:t>-</w:t>
            </w:r>
            <w:r w:rsidR="0083391C" w:rsidRPr="007D264F">
              <w:rPr>
                <w:b/>
                <w:bCs/>
                <w:sz w:val="28"/>
                <w:szCs w:val="28"/>
              </w:rPr>
              <w:t>31</w:t>
            </w:r>
            <w:r w:rsidR="00106B19" w:rsidRPr="007D264F">
              <w:rPr>
                <w:b/>
                <w:bCs/>
                <w:sz w:val="28"/>
                <w:szCs w:val="28"/>
              </w:rPr>
              <w:t xml:space="preserve"> </w:t>
            </w:r>
            <w:r w:rsidR="0083391C" w:rsidRPr="007D264F">
              <w:rPr>
                <w:b/>
                <w:bCs/>
                <w:sz w:val="28"/>
                <w:szCs w:val="28"/>
              </w:rPr>
              <w:t>mars</w:t>
            </w:r>
            <w:r w:rsidRPr="007D264F">
              <w:rPr>
                <w:b/>
                <w:bCs/>
                <w:sz w:val="28"/>
                <w:szCs w:val="28"/>
              </w:rPr>
              <w:t xml:space="preserve"> 20</w:t>
            </w:r>
            <w:r w:rsidR="009C353C" w:rsidRPr="007D264F">
              <w:rPr>
                <w:b/>
                <w:bCs/>
                <w:sz w:val="28"/>
                <w:szCs w:val="28"/>
              </w:rPr>
              <w:t>2</w:t>
            </w:r>
            <w:r w:rsidR="0083391C" w:rsidRPr="007D264F">
              <w:rPr>
                <w:b/>
                <w:bCs/>
                <w:sz w:val="28"/>
                <w:szCs w:val="28"/>
              </w:rPr>
              <w:t>2</w:t>
            </w:r>
          </w:p>
        </w:tc>
        <w:tc>
          <w:tcPr>
            <w:tcW w:w="3261" w:type="dxa"/>
          </w:tcPr>
          <w:p w14:paraId="3FF4185A" w14:textId="77777777" w:rsidR="00520F36" w:rsidRPr="007D264F" w:rsidRDefault="009C353C" w:rsidP="009C353C">
            <w:pPr>
              <w:spacing w:before="0"/>
            </w:pPr>
            <w:bookmarkStart w:id="1" w:name="ditulogo"/>
            <w:bookmarkEnd w:id="1"/>
            <w:r w:rsidRPr="007D264F">
              <w:rPr>
                <w:noProof/>
                <w:lang w:eastAsia="zh-CN"/>
              </w:rPr>
              <w:drawing>
                <wp:inline distT="0" distB="0" distL="0" distR="0" wp14:anchorId="4D1682E7" wp14:editId="73A8C6B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7D264F" w14:paraId="60C8E8A0" w14:textId="77777777" w:rsidTr="00EF41DD">
        <w:trPr>
          <w:cantSplit/>
          <w:trHeight w:val="20"/>
        </w:trPr>
        <w:tc>
          <w:tcPr>
            <w:tcW w:w="6912" w:type="dxa"/>
            <w:tcBorders>
              <w:bottom w:val="single" w:sz="12" w:space="0" w:color="auto"/>
            </w:tcBorders>
            <w:vAlign w:val="center"/>
          </w:tcPr>
          <w:p w14:paraId="30A1B1C5" w14:textId="77777777" w:rsidR="00520F36" w:rsidRPr="007D264F" w:rsidRDefault="00520F36" w:rsidP="004C37A9">
            <w:pPr>
              <w:spacing w:before="0"/>
              <w:rPr>
                <w:b/>
                <w:bCs/>
                <w:sz w:val="26"/>
                <w:szCs w:val="26"/>
              </w:rPr>
            </w:pPr>
          </w:p>
        </w:tc>
        <w:tc>
          <w:tcPr>
            <w:tcW w:w="3261" w:type="dxa"/>
            <w:tcBorders>
              <w:bottom w:val="single" w:sz="12" w:space="0" w:color="auto"/>
            </w:tcBorders>
          </w:tcPr>
          <w:p w14:paraId="462DA969" w14:textId="77777777" w:rsidR="00520F36" w:rsidRPr="007D264F" w:rsidRDefault="00520F36" w:rsidP="00DF74DD">
            <w:pPr>
              <w:spacing w:before="0"/>
              <w:rPr>
                <w:b/>
                <w:bCs/>
              </w:rPr>
            </w:pPr>
          </w:p>
        </w:tc>
      </w:tr>
      <w:tr w:rsidR="00520F36" w:rsidRPr="007D264F" w14:paraId="43DA40D8" w14:textId="77777777">
        <w:trPr>
          <w:cantSplit/>
          <w:trHeight w:val="20"/>
        </w:trPr>
        <w:tc>
          <w:tcPr>
            <w:tcW w:w="6912" w:type="dxa"/>
            <w:tcBorders>
              <w:top w:val="single" w:sz="12" w:space="0" w:color="auto"/>
            </w:tcBorders>
          </w:tcPr>
          <w:p w14:paraId="169126E8" w14:textId="77777777" w:rsidR="00520F36" w:rsidRPr="007D264F" w:rsidRDefault="00520F36" w:rsidP="00DF74DD">
            <w:pPr>
              <w:spacing w:before="0"/>
              <w:rPr>
                <w:smallCaps/>
                <w:sz w:val="22"/>
              </w:rPr>
            </w:pPr>
          </w:p>
        </w:tc>
        <w:tc>
          <w:tcPr>
            <w:tcW w:w="3261" w:type="dxa"/>
            <w:tcBorders>
              <w:top w:val="single" w:sz="12" w:space="0" w:color="auto"/>
            </w:tcBorders>
          </w:tcPr>
          <w:p w14:paraId="598E5185" w14:textId="77777777" w:rsidR="00520F36" w:rsidRPr="007D264F" w:rsidRDefault="00520F36" w:rsidP="00DF74DD">
            <w:pPr>
              <w:spacing w:before="0"/>
              <w:rPr>
                <w:b/>
                <w:bCs/>
              </w:rPr>
            </w:pPr>
          </w:p>
        </w:tc>
      </w:tr>
      <w:tr w:rsidR="00520F36" w:rsidRPr="007D264F" w14:paraId="55706503" w14:textId="77777777">
        <w:trPr>
          <w:cantSplit/>
          <w:trHeight w:val="20"/>
        </w:trPr>
        <w:tc>
          <w:tcPr>
            <w:tcW w:w="6912" w:type="dxa"/>
            <w:vMerge w:val="restart"/>
          </w:tcPr>
          <w:p w14:paraId="26F67D08" w14:textId="6952C48C" w:rsidR="00520F36" w:rsidRPr="007D264F" w:rsidRDefault="00C71A05" w:rsidP="00DF74DD">
            <w:pPr>
              <w:spacing w:before="0"/>
              <w:rPr>
                <w:rFonts w:cs="Times"/>
                <w:b/>
                <w:bCs/>
                <w:szCs w:val="24"/>
              </w:rPr>
            </w:pPr>
            <w:bookmarkStart w:id="2" w:name="dnum" w:colFirst="1" w:colLast="1"/>
            <w:bookmarkStart w:id="3" w:name="dmeeting" w:colFirst="0" w:colLast="0"/>
            <w:r w:rsidRPr="007D264F">
              <w:rPr>
                <w:rFonts w:cs="Times"/>
                <w:b/>
                <w:bCs/>
                <w:szCs w:val="24"/>
              </w:rPr>
              <w:t xml:space="preserve">Point de l'ordre du </w:t>
            </w:r>
            <w:proofErr w:type="gramStart"/>
            <w:r w:rsidRPr="007D264F">
              <w:rPr>
                <w:rFonts w:cs="Times"/>
                <w:b/>
                <w:bCs/>
                <w:szCs w:val="24"/>
              </w:rPr>
              <w:t>jour:</w:t>
            </w:r>
            <w:proofErr w:type="gramEnd"/>
            <w:r w:rsidRPr="007D264F">
              <w:rPr>
                <w:rFonts w:cs="Times"/>
                <w:b/>
                <w:bCs/>
                <w:szCs w:val="24"/>
              </w:rPr>
              <w:t xml:space="preserve"> ADM </w:t>
            </w:r>
            <w:r w:rsidR="005A2CAC" w:rsidRPr="005A2CAC">
              <w:rPr>
                <w:rFonts w:cs="Times" w:hint="eastAsia"/>
                <w:b/>
                <w:bCs/>
                <w:szCs w:val="24"/>
              </w:rPr>
              <w:t>9</w:t>
            </w:r>
          </w:p>
        </w:tc>
        <w:tc>
          <w:tcPr>
            <w:tcW w:w="3261" w:type="dxa"/>
          </w:tcPr>
          <w:p w14:paraId="59275839" w14:textId="3E390D9A" w:rsidR="00520F36" w:rsidRPr="007D264F" w:rsidRDefault="00520F36" w:rsidP="00106B19">
            <w:pPr>
              <w:spacing w:before="0"/>
              <w:rPr>
                <w:b/>
                <w:bCs/>
              </w:rPr>
            </w:pPr>
            <w:r w:rsidRPr="007D264F">
              <w:rPr>
                <w:b/>
                <w:bCs/>
              </w:rPr>
              <w:t>Document C</w:t>
            </w:r>
            <w:r w:rsidR="009C353C" w:rsidRPr="007D264F">
              <w:rPr>
                <w:b/>
                <w:bCs/>
              </w:rPr>
              <w:t>2</w:t>
            </w:r>
            <w:r w:rsidR="0083391C" w:rsidRPr="007D264F">
              <w:rPr>
                <w:b/>
                <w:bCs/>
              </w:rPr>
              <w:t>2</w:t>
            </w:r>
            <w:r w:rsidRPr="007D264F">
              <w:rPr>
                <w:b/>
                <w:bCs/>
              </w:rPr>
              <w:t>/</w:t>
            </w:r>
            <w:r w:rsidR="00C71A05" w:rsidRPr="007D264F">
              <w:rPr>
                <w:b/>
                <w:bCs/>
              </w:rPr>
              <w:t>34</w:t>
            </w:r>
            <w:r w:rsidRPr="007D264F">
              <w:rPr>
                <w:b/>
                <w:bCs/>
              </w:rPr>
              <w:t>-F</w:t>
            </w:r>
          </w:p>
        </w:tc>
      </w:tr>
      <w:tr w:rsidR="00520F36" w:rsidRPr="007D264F" w14:paraId="15BFD140" w14:textId="77777777">
        <w:trPr>
          <w:cantSplit/>
          <w:trHeight w:val="20"/>
        </w:trPr>
        <w:tc>
          <w:tcPr>
            <w:tcW w:w="6912" w:type="dxa"/>
            <w:vMerge/>
          </w:tcPr>
          <w:p w14:paraId="53E009EB" w14:textId="77777777" w:rsidR="00520F36" w:rsidRPr="007D264F" w:rsidRDefault="00520F36" w:rsidP="00DF74DD">
            <w:pPr>
              <w:shd w:val="solid" w:color="FFFFFF" w:fill="FFFFFF"/>
              <w:spacing w:before="180"/>
              <w:rPr>
                <w:smallCaps/>
              </w:rPr>
            </w:pPr>
            <w:bookmarkStart w:id="4" w:name="ddate" w:colFirst="1" w:colLast="1"/>
            <w:bookmarkEnd w:id="2"/>
            <w:bookmarkEnd w:id="3"/>
          </w:p>
        </w:tc>
        <w:tc>
          <w:tcPr>
            <w:tcW w:w="3261" w:type="dxa"/>
          </w:tcPr>
          <w:p w14:paraId="54E95071" w14:textId="683AAAB7" w:rsidR="00520F36" w:rsidRPr="007D264F" w:rsidRDefault="00C71A05" w:rsidP="00106B19">
            <w:pPr>
              <w:spacing w:before="0"/>
              <w:rPr>
                <w:b/>
                <w:bCs/>
              </w:rPr>
            </w:pPr>
            <w:r w:rsidRPr="007D264F">
              <w:rPr>
                <w:b/>
                <w:bCs/>
              </w:rPr>
              <w:t>9 novembre 2021</w:t>
            </w:r>
          </w:p>
        </w:tc>
      </w:tr>
      <w:tr w:rsidR="00520F36" w:rsidRPr="007D264F" w14:paraId="47E2A372" w14:textId="77777777">
        <w:trPr>
          <w:cantSplit/>
          <w:trHeight w:val="20"/>
        </w:trPr>
        <w:tc>
          <w:tcPr>
            <w:tcW w:w="6912" w:type="dxa"/>
            <w:vMerge/>
          </w:tcPr>
          <w:p w14:paraId="7ACB41B0" w14:textId="77777777" w:rsidR="00520F36" w:rsidRPr="007D264F" w:rsidRDefault="00520F36" w:rsidP="00DF74DD">
            <w:pPr>
              <w:shd w:val="solid" w:color="FFFFFF" w:fill="FFFFFF"/>
              <w:spacing w:before="180"/>
              <w:rPr>
                <w:smallCaps/>
              </w:rPr>
            </w:pPr>
            <w:bookmarkStart w:id="5" w:name="dorlang" w:colFirst="1" w:colLast="1"/>
            <w:bookmarkEnd w:id="4"/>
          </w:p>
        </w:tc>
        <w:tc>
          <w:tcPr>
            <w:tcW w:w="3261" w:type="dxa"/>
          </w:tcPr>
          <w:p w14:paraId="62A3FB0A" w14:textId="77777777" w:rsidR="00520F36" w:rsidRPr="007D264F" w:rsidRDefault="00520F36" w:rsidP="00520F36">
            <w:pPr>
              <w:spacing w:before="0"/>
              <w:rPr>
                <w:b/>
                <w:bCs/>
              </w:rPr>
            </w:pPr>
            <w:r w:rsidRPr="007D264F">
              <w:rPr>
                <w:b/>
                <w:bCs/>
              </w:rPr>
              <w:t>Original: anglais</w:t>
            </w:r>
          </w:p>
        </w:tc>
      </w:tr>
      <w:tr w:rsidR="00520F36" w:rsidRPr="007D264F" w14:paraId="47BEF184" w14:textId="77777777">
        <w:trPr>
          <w:cantSplit/>
        </w:trPr>
        <w:tc>
          <w:tcPr>
            <w:tcW w:w="10173" w:type="dxa"/>
            <w:gridSpan w:val="2"/>
          </w:tcPr>
          <w:p w14:paraId="5CA52D12" w14:textId="0BD9B353" w:rsidR="00520F36" w:rsidRPr="007D264F" w:rsidRDefault="00C71A05" w:rsidP="00DF74DD">
            <w:pPr>
              <w:pStyle w:val="Source"/>
            </w:pPr>
            <w:bookmarkStart w:id="6" w:name="dsource" w:colFirst="0" w:colLast="0"/>
            <w:bookmarkEnd w:id="5"/>
            <w:r w:rsidRPr="007D264F">
              <w:t>Rapport du Secrétaire général</w:t>
            </w:r>
          </w:p>
        </w:tc>
      </w:tr>
      <w:tr w:rsidR="00520F36" w:rsidRPr="007D264F" w14:paraId="6AFD4552" w14:textId="77777777">
        <w:trPr>
          <w:cantSplit/>
        </w:trPr>
        <w:tc>
          <w:tcPr>
            <w:tcW w:w="10173" w:type="dxa"/>
            <w:gridSpan w:val="2"/>
          </w:tcPr>
          <w:p w14:paraId="034436F7" w14:textId="1B9B448B" w:rsidR="00520F36" w:rsidRPr="007D264F" w:rsidRDefault="00C71A05" w:rsidP="00DF74DD">
            <w:pPr>
              <w:pStyle w:val="Title1"/>
            </w:pPr>
            <w:bookmarkStart w:id="7" w:name="dtitle1" w:colFirst="0" w:colLast="0"/>
            <w:bookmarkStart w:id="8" w:name="_Hlk90471780"/>
            <w:bookmarkEnd w:id="6"/>
            <w:r w:rsidRPr="007D264F">
              <w:t xml:space="preserve">FONDS POUR LE DÉVELOPPEMENT DES TECHNOLOGIES DE L'INFORMATION </w:t>
            </w:r>
            <w:r w:rsidRPr="007D264F">
              <w:br/>
              <w:t>ET DE LA COMMUNICATION (FDTIC)</w:t>
            </w:r>
            <w:bookmarkEnd w:id="8"/>
          </w:p>
        </w:tc>
      </w:tr>
      <w:bookmarkEnd w:id="7"/>
    </w:tbl>
    <w:p w14:paraId="11593F59" w14:textId="77777777" w:rsidR="00520F36" w:rsidRPr="007D264F" w:rsidRDefault="00520F3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7D264F" w14:paraId="0BDB1D38"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27DFFABF" w14:textId="77777777" w:rsidR="00520F36" w:rsidRPr="007D264F" w:rsidRDefault="00520F36">
            <w:pPr>
              <w:pStyle w:val="Headingb"/>
            </w:pPr>
            <w:r w:rsidRPr="007D264F">
              <w:t>Résumé</w:t>
            </w:r>
          </w:p>
          <w:p w14:paraId="56A33AD1" w14:textId="56CC0B76" w:rsidR="00520F36" w:rsidRPr="007D264F" w:rsidRDefault="00C71A05">
            <w:r w:rsidRPr="007D264F">
              <w:t>Le présent document a pour objet de rendre compte de la situation du Fonds pour le développement des technologies de l'information et de la communication (FDTIC) en ce qui concerne son utilisation pour la mise en œuvre de projets de développement depuis mai 2021.</w:t>
            </w:r>
          </w:p>
          <w:p w14:paraId="4F143E10" w14:textId="77777777" w:rsidR="00520F36" w:rsidRPr="007D264F" w:rsidRDefault="00520F36">
            <w:pPr>
              <w:pStyle w:val="Headingb"/>
            </w:pPr>
            <w:r w:rsidRPr="007D264F">
              <w:t>Suite à donner</w:t>
            </w:r>
          </w:p>
          <w:p w14:paraId="569DD95B" w14:textId="506F43E1" w:rsidR="00520F36" w:rsidRPr="007D264F" w:rsidRDefault="00C71A05">
            <w:r w:rsidRPr="007D264F">
              <w:t xml:space="preserve">Le Conseil est invité à </w:t>
            </w:r>
            <w:r w:rsidRPr="007D264F">
              <w:rPr>
                <w:b/>
                <w:bCs/>
              </w:rPr>
              <w:t>prendre note</w:t>
            </w:r>
            <w:r w:rsidRPr="007D264F">
              <w:t xml:space="preserve"> du présent rapport et à formuler les avis qu'il jugera utiles.</w:t>
            </w:r>
          </w:p>
          <w:p w14:paraId="00A86755" w14:textId="77777777" w:rsidR="00520F36" w:rsidRPr="007D264F" w:rsidRDefault="00520F36">
            <w:pPr>
              <w:pStyle w:val="Table"/>
              <w:keepNext w:val="0"/>
              <w:spacing w:before="0" w:after="0"/>
              <w:rPr>
                <w:rFonts w:ascii="Calibri" w:hAnsi="Calibri"/>
                <w:caps w:val="0"/>
                <w:sz w:val="22"/>
                <w:lang w:val="fr-FR"/>
              </w:rPr>
            </w:pPr>
            <w:r w:rsidRPr="007D264F">
              <w:rPr>
                <w:rFonts w:ascii="Calibri" w:hAnsi="Calibri"/>
                <w:caps w:val="0"/>
                <w:sz w:val="22"/>
                <w:lang w:val="fr-FR"/>
              </w:rPr>
              <w:t>____________</w:t>
            </w:r>
          </w:p>
          <w:p w14:paraId="5790D13D" w14:textId="77777777" w:rsidR="00520F36" w:rsidRPr="007D264F" w:rsidRDefault="00520F36">
            <w:pPr>
              <w:pStyle w:val="Headingb"/>
            </w:pPr>
            <w:r w:rsidRPr="007D264F">
              <w:t>Références</w:t>
            </w:r>
          </w:p>
          <w:p w14:paraId="51462A8C" w14:textId="3B8C78F1" w:rsidR="00520F36" w:rsidRPr="007D264F" w:rsidRDefault="005A2CAC">
            <w:pPr>
              <w:spacing w:after="120"/>
              <w:rPr>
                <w:i/>
                <w:iCs/>
              </w:rPr>
            </w:pPr>
            <w:hyperlink r:id="rId9" w:history="1">
              <w:r w:rsidR="00C71A05" w:rsidRPr="007D264F">
                <w:rPr>
                  <w:rStyle w:val="Hyperlink"/>
                  <w:i/>
                  <w:iCs/>
                </w:rPr>
                <w:t>Résolution 11 (Rév. Dubaï, 2018)</w:t>
              </w:r>
            </w:hyperlink>
            <w:r w:rsidR="00C71A05" w:rsidRPr="007D264F">
              <w:rPr>
                <w:i/>
                <w:iCs/>
              </w:rPr>
              <w:t xml:space="preserve"> de la Conférence de plénipotentiaires; Résolutions </w:t>
            </w:r>
            <w:hyperlink r:id="rId10" w:history="1">
              <w:r w:rsidR="00C71A05" w:rsidRPr="007D264F">
                <w:rPr>
                  <w:rStyle w:val="Hyperlink"/>
                  <w:i/>
                  <w:iCs/>
                </w:rPr>
                <w:t>1111</w:t>
              </w:r>
            </w:hyperlink>
            <w:r w:rsidR="00C71A05" w:rsidRPr="007D264F">
              <w:rPr>
                <w:i/>
                <w:iCs/>
              </w:rPr>
              <w:t xml:space="preserve"> et </w:t>
            </w:r>
            <w:hyperlink r:id="rId11" w:history="1">
              <w:r w:rsidR="00C71A05" w:rsidRPr="007D264F">
                <w:rPr>
                  <w:rStyle w:val="Hyperlink"/>
                  <w:i/>
                  <w:iCs/>
                </w:rPr>
                <w:t>1338</w:t>
              </w:r>
            </w:hyperlink>
            <w:r w:rsidR="00C71A05" w:rsidRPr="007D264F">
              <w:rPr>
                <w:i/>
                <w:iCs/>
              </w:rPr>
              <w:t xml:space="preserve"> du Conseil; Documents </w:t>
            </w:r>
            <w:hyperlink r:id="rId12" w:history="1">
              <w:r w:rsidR="00C71A05" w:rsidRPr="007D264F">
                <w:rPr>
                  <w:rStyle w:val="Hyperlink"/>
                  <w:i/>
                  <w:iCs/>
                </w:rPr>
                <w:t>C20/34</w:t>
              </w:r>
            </w:hyperlink>
            <w:r w:rsidR="00C71A05" w:rsidRPr="007D264F">
              <w:rPr>
                <w:i/>
                <w:iCs/>
              </w:rPr>
              <w:t xml:space="preserve"> et </w:t>
            </w:r>
            <w:hyperlink r:id="rId13" w:history="1">
              <w:r w:rsidR="00C71A05" w:rsidRPr="007D264F">
                <w:rPr>
                  <w:rStyle w:val="Hyperlink"/>
                  <w:i/>
                  <w:iCs/>
                </w:rPr>
                <w:t>C21/34</w:t>
              </w:r>
            </w:hyperlink>
          </w:p>
        </w:tc>
      </w:tr>
    </w:tbl>
    <w:p w14:paraId="2E715705" w14:textId="5416B26A" w:rsidR="00C71A05" w:rsidRPr="007D264F" w:rsidRDefault="00C71A05" w:rsidP="00C71A05">
      <w:pPr>
        <w:pStyle w:val="Heading1"/>
      </w:pPr>
      <w:r w:rsidRPr="007D264F">
        <w:t>1</w:t>
      </w:r>
      <w:r w:rsidRPr="007D264F">
        <w:tab/>
        <w:t>Introduction</w:t>
      </w:r>
    </w:p>
    <w:p w14:paraId="4D241EED" w14:textId="77777777" w:rsidR="00C71A05" w:rsidRPr="007D264F" w:rsidRDefault="00C71A05" w:rsidP="00C71A05">
      <w:pPr>
        <w:rPr>
          <w:b/>
        </w:rPr>
      </w:pPr>
      <w:r w:rsidRPr="007D264F">
        <w:t>1.1</w:t>
      </w:r>
      <w:r w:rsidRPr="007D264F">
        <w:tab/>
        <w:t>Conformément à sa Constitution, l'UIT a une double responsabilité en tant qu'institution spécialisée des Nations Unies et agent d'exécution pour la mise en œuvre de projets. À cet égard, le Secteur du développement des télécommunications (UIT-D) joue un rôle clé dans la mise en œuvre de projets dans les pays pour favoriser le développement durable.</w:t>
      </w:r>
    </w:p>
    <w:p w14:paraId="7DC34834" w14:textId="77777777" w:rsidR="00C71A05" w:rsidRPr="007D264F" w:rsidRDefault="00C71A05" w:rsidP="00C71A05">
      <w:r w:rsidRPr="007D264F">
        <w:t>1.2</w:t>
      </w:r>
      <w:r w:rsidRPr="007D264F">
        <w:tab/>
        <w:t>Le Fonds pour le développement des technologies de l'information et de la communication (</w:t>
      </w:r>
      <w:hyperlink r:id="rId14" w:history="1">
        <w:r w:rsidRPr="007D264F">
          <w:rPr>
            <w:rStyle w:val="Hyperlink"/>
          </w:rPr>
          <w:t>FDTIC</w:t>
        </w:r>
      </w:hyperlink>
      <w:r w:rsidRPr="007D264F">
        <w:t>) est le fruit d'une initiative spéciale lancée en 1997, qui vise à soutenir la mise en œuvre de projets en faveur du développement en vue de parvenir au développement durable. Il s'appuie sur des partenariats multi-parties prenantes conclus par des États Membres de l'UIT, des Membres de Secteurs de l'UIT, des membres des secteurs public et privé, des organisations multilatérales, des fondations, des établissements financiers et des organismes de développement.</w:t>
      </w:r>
    </w:p>
    <w:p w14:paraId="47B5F87D" w14:textId="4D2CDBD3" w:rsidR="00C71A05" w:rsidRPr="007D264F" w:rsidRDefault="00C71A05" w:rsidP="00C71A05">
      <w:pPr>
        <w:pStyle w:val="Heading1"/>
      </w:pPr>
      <w:r w:rsidRPr="007D264F">
        <w:lastRenderedPageBreak/>
        <w:t>2</w:t>
      </w:r>
      <w:r w:rsidRPr="007D264F">
        <w:tab/>
        <w:t>Principales règles et procédures du FDTIC</w:t>
      </w:r>
    </w:p>
    <w:p w14:paraId="2B0AA828" w14:textId="77777777" w:rsidR="00C71A05" w:rsidRPr="007D264F" w:rsidRDefault="00C71A05" w:rsidP="00C71A05">
      <w:pPr>
        <w:rPr>
          <w:b/>
        </w:rPr>
      </w:pPr>
      <w:r w:rsidRPr="007D264F">
        <w:t>2.1</w:t>
      </w:r>
      <w:r w:rsidRPr="007D264F">
        <w:tab/>
        <w:t>En principe, le FDTIC finance jusqu'à 25% des contributions en espèces pour un projet. À titre exceptionnel, le FDTIC pourra financer plus de 25%. Ce capital de démarrage fourni par le Fonds est destiné à attirer des fonds extrabudgétaires levés en mobilisant des ressources sous la forme de contributions en espèces et, dans certains cas, en nature, pour financer des projets aux niveaux national, régional et international.</w:t>
      </w:r>
    </w:p>
    <w:p w14:paraId="52E1CAB7" w14:textId="77777777" w:rsidR="00C71A05" w:rsidRPr="007D264F" w:rsidRDefault="00C71A05" w:rsidP="00C71A05">
      <w:r w:rsidRPr="007D264F">
        <w:t>2.2</w:t>
      </w:r>
      <w:r w:rsidRPr="007D264F">
        <w:tab/>
        <w:t>Conformément à la procédure adoptée, les propositions de projets, y compris les contributions connexes des partenaires en espèces et en nature, peuvent être soumises à la Commission de direction du FDTIC</w:t>
      </w:r>
      <w:r w:rsidRPr="007D264F">
        <w:rPr>
          <w:vertAlign w:val="superscript"/>
        </w:rPr>
        <w:footnoteReference w:id="1"/>
      </w:r>
      <w:r w:rsidRPr="007D264F">
        <w:t>,</w:t>
      </w:r>
      <w:r w:rsidRPr="007D264F" w:rsidDel="00846C16">
        <w:t xml:space="preserve"> </w:t>
      </w:r>
      <w:r w:rsidRPr="007D264F">
        <w:t>afin que leur admissibilité à bénéficier d'un financement soit examinée à tout moment de l'année.</w:t>
      </w:r>
    </w:p>
    <w:p w14:paraId="3B2AB38F" w14:textId="77777777" w:rsidR="00C71A05" w:rsidRPr="007D264F" w:rsidRDefault="00C71A05" w:rsidP="00C71A05">
      <w:r w:rsidRPr="007D264F">
        <w:t>2.3</w:t>
      </w:r>
      <w:r w:rsidRPr="007D264F">
        <w:tab/>
        <w:t>La Commission de direction du FDTIC évalue les propositions de projets soumises pour examen au titre du Fonds, pour veiller à ce qu'elles soient conformes aux critères suivants en matière de sélection et d'éligibilité, entre autres:</w:t>
      </w:r>
    </w:p>
    <w:p w14:paraId="7037500F" w14:textId="10CBC8A1" w:rsidR="00C71A05" w:rsidRPr="007D264F" w:rsidRDefault="00C71A05" w:rsidP="00C71A05">
      <w:pPr>
        <w:pStyle w:val="enumlev1"/>
      </w:pPr>
      <w:r w:rsidRPr="007D264F">
        <w:t>•</w:t>
      </w:r>
      <w:r w:rsidRPr="007D264F">
        <w:tab/>
        <w:t>Le projet doit bénéficier à un pays au moins parmi les pays les moins avancés (PMA), les petits États insulaires en développement (PEID), les pays en développement sans littoral (PDSL), les pays dont l'économie est en transition et ceux ayant des besoins spéciaux.</w:t>
      </w:r>
    </w:p>
    <w:p w14:paraId="15074ADC" w14:textId="4930888A" w:rsidR="00C71A05" w:rsidRPr="007D264F" w:rsidRDefault="00C71A05" w:rsidP="00C71A05">
      <w:pPr>
        <w:pStyle w:val="enumlev1"/>
      </w:pPr>
      <w:r w:rsidRPr="007D264F">
        <w:t>•</w:t>
      </w:r>
      <w:r w:rsidRPr="007D264F">
        <w:tab/>
        <w:t>Le projet doit relever de l'une des catégories/de l'un des thèmes adoptés par la Conférence mondiale de développement des télécommunications (CMDT), ou de tout autre thème jugé important par la Commission de direction du FDTIC.</w:t>
      </w:r>
    </w:p>
    <w:p w14:paraId="53CF93B1" w14:textId="77777777" w:rsidR="00C71A05" w:rsidRPr="007D264F" w:rsidRDefault="00C71A05" w:rsidP="00C71A05">
      <w:bookmarkStart w:id="9" w:name="dnote"/>
      <w:bookmarkEnd w:id="9"/>
      <w:r w:rsidRPr="007D264F">
        <w:t>2.4</w:t>
      </w:r>
      <w:r w:rsidRPr="007D264F">
        <w:tab/>
        <w:t xml:space="preserve">La Commission de direction du FDTIC: a) examine et approuve les projets pour lesquels un financement est demandé; b) approuve le montant du financement à attribuer aux projets retenus par la Commission de direction du FDTIC; et c) suit l'évolution de la mise en œuvre et les résultats budgétaires des projets appuyés par le FDTIC. </w:t>
      </w:r>
    </w:p>
    <w:p w14:paraId="5D61C8DD" w14:textId="77777777" w:rsidR="00C71A05" w:rsidRPr="007D264F" w:rsidRDefault="00C71A05" w:rsidP="00C71A05">
      <w:r w:rsidRPr="007D264F">
        <w:t>2.5</w:t>
      </w:r>
      <w:r w:rsidRPr="007D264F">
        <w:tab/>
        <w:t>Un rapport annuel concernant la situation du FDTIC et l'état d'avancement des projets financés approuvés par la Commission de direction du FDTIC est présenté au Conseil de l'UIT en vue d'obtenir des avis et/ou son approbation, s'il y a lieu.</w:t>
      </w:r>
    </w:p>
    <w:p w14:paraId="0B639EC7" w14:textId="366558AE" w:rsidR="00C71A05" w:rsidRPr="007D264F" w:rsidRDefault="00C71A05" w:rsidP="00C71A05">
      <w:pPr>
        <w:pStyle w:val="Heading1"/>
      </w:pPr>
      <w:r w:rsidRPr="007D264F">
        <w:t>3</w:t>
      </w:r>
      <w:r w:rsidRPr="007D264F">
        <w:tab/>
        <w:t>Principales activités du FDTIC et évolution</w:t>
      </w:r>
    </w:p>
    <w:p w14:paraId="07CEFFA1" w14:textId="77777777" w:rsidR="00C71A05" w:rsidRPr="007D264F" w:rsidRDefault="00C71A05" w:rsidP="00C71A05">
      <w:pPr>
        <w:rPr>
          <w:u w:val="single"/>
        </w:rPr>
      </w:pPr>
      <w:r w:rsidRPr="007D264F">
        <w:rPr>
          <w:bCs/>
        </w:rPr>
        <w:t xml:space="preserve">La présente section rend compte des activités qui ont eu lieu au cours de la période considérée. Une page web présentant des informations sur le FDTIC et d'autres projets et offrant la possibilité de faire des recherches par pays, par région, par domaine d'activité et par état du projet (en cours et mis en œuvre) est disponible sur le Portail des projets de l'UIT, à l'adresse </w:t>
      </w:r>
      <w:hyperlink r:id="rId15" w:history="1">
        <w:r w:rsidRPr="007D264F">
          <w:rPr>
            <w:rStyle w:val="Hyperlink"/>
            <w:bCs/>
          </w:rPr>
          <w:t>https://www.itu.int/en/ITU-D/Projects</w:t>
        </w:r>
      </w:hyperlink>
      <w:r w:rsidRPr="007D264F">
        <w:t>.</w:t>
      </w:r>
    </w:p>
    <w:p w14:paraId="494883B6" w14:textId="77777777" w:rsidR="00A83B70" w:rsidRPr="007D264F" w:rsidRDefault="00A83B70" w:rsidP="00C71A05">
      <w:pPr>
        <w:spacing w:after="240"/>
      </w:pPr>
      <w:r w:rsidRPr="007D264F">
        <w:br w:type="page"/>
      </w:r>
    </w:p>
    <w:p w14:paraId="2B3173F8" w14:textId="0EB823F7" w:rsidR="00C71A05" w:rsidRPr="007D264F" w:rsidRDefault="00C71A05" w:rsidP="00C71A05">
      <w:pPr>
        <w:spacing w:after="240"/>
        <w:rPr>
          <w:u w:val="single"/>
        </w:rPr>
      </w:pPr>
      <w:r w:rsidRPr="007D264F">
        <w:lastRenderedPageBreak/>
        <w:t>3.1</w:t>
      </w:r>
      <w:r w:rsidRPr="007D264F">
        <w:tab/>
      </w:r>
      <w:r w:rsidRPr="007D264F">
        <w:rPr>
          <w:u w:val="single"/>
        </w:rPr>
        <w:t>56ème réunion de la Commission de direction du FDTIC (tenue en juillet 2021)</w:t>
      </w:r>
    </w:p>
    <w:tbl>
      <w:tblPr>
        <w:tblStyle w:val="TableGrid"/>
        <w:tblW w:w="0" w:type="auto"/>
        <w:tblLook w:val="04A0" w:firstRow="1" w:lastRow="0" w:firstColumn="1" w:lastColumn="0" w:noHBand="0" w:noVBand="1"/>
      </w:tblPr>
      <w:tblGrid>
        <w:gridCol w:w="2875"/>
        <w:gridCol w:w="1939"/>
        <w:gridCol w:w="1841"/>
        <w:gridCol w:w="2974"/>
      </w:tblGrid>
      <w:tr w:rsidR="00C71A05" w:rsidRPr="007D264F" w14:paraId="706C077D" w14:textId="77777777" w:rsidTr="00CB75D2">
        <w:trPr>
          <w:tblHeader/>
        </w:trPr>
        <w:tc>
          <w:tcPr>
            <w:tcW w:w="2875" w:type="dxa"/>
            <w:shd w:val="clear" w:color="auto" w:fill="D9D9D9" w:themeFill="background1" w:themeFillShade="D9"/>
            <w:vAlign w:val="center"/>
          </w:tcPr>
          <w:p w14:paraId="233AB894" w14:textId="77777777" w:rsidR="00C71A05" w:rsidRPr="007D264F" w:rsidRDefault="00C71A05" w:rsidP="00C71A05">
            <w:pPr>
              <w:pStyle w:val="Tablehead"/>
            </w:pPr>
            <w:r w:rsidRPr="007D264F">
              <w:t>Nouveaux projets approuvés</w:t>
            </w:r>
          </w:p>
        </w:tc>
        <w:tc>
          <w:tcPr>
            <w:tcW w:w="1939" w:type="dxa"/>
            <w:shd w:val="clear" w:color="auto" w:fill="D9D9D9" w:themeFill="background1" w:themeFillShade="D9"/>
            <w:vAlign w:val="center"/>
          </w:tcPr>
          <w:p w14:paraId="1EC7C42F" w14:textId="77777777" w:rsidR="00C71A05" w:rsidRPr="007D264F" w:rsidRDefault="00C71A05" w:rsidP="00C71A05">
            <w:pPr>
              <w:pStyle w:val="Tablehead"/>
            </w:pPr>
            <w:r w:rsidRPr="007D264F">
              <w:t>Contribution extérieure</w:t>
            </w:r>
          </w:p>
        </w:tc>
        <w:tc>
          <w:tcPr>
            <w:tcW w:w="1841" w:type="dxa"/>
            <w:shd w:val="clear" w:color="auto" w:fill="D9D9D9" w:themeFill="background1" w:themeFillShade="D9"/>
            <w:vAlign w:val="center"/>
          </w:tcPr>
          <w:p w14:paraId="70BDFE50" w14:textId="77777777" w:rsidR="00C71A05" w:rsidRPr="007D264F" w:rsidRDefault="00C71A05" w:rsidP="00C71A05">
            <w:pPr>
              <w:pStyle w:val="Tablehead"/>
            </w:pPr>
            <w:r w:rsidRPr="007D264F">
              <w:t>Contribution de l'UIT</w:t>
            </w:r>
          </w:p>
        </w:tc>
        <w:tc>
          <w:tcPr>
            <w:tcW w:w="2974" w:type="dxa"/>
            <w:shd w:val="clear" w:color="auto" w:fill="D9D9D9" w:themeFill="background1" w:themeFillShade="D9"/>
            <w:vAlign w:val="center"/>
          </w:tcPr>
          <w:p w14:paraId="43D22897" w14:textId="77777777" w:rsidR="00C71A05" w:rsidRPr="007D264F" w:rsidRDefault="00C71A05" w:rsidP="00C71A05">
            <w:pPr>
              <w:pStyle w:val="Tablehead"/>
            </w:pPr>
            <w:r w:rsidRPr="007D264F">
              <w:t>Observations</w:t>
            </w:r>
          </w:p>
        </w:tc>
      </w:tr>
      <w:tr w:rsidR="00C71A05" w:rsidRPr="007D264F" w14:paraId="7CC7F473" w14:textId="77777777" w:rsidTr="00CB75D2">
        <w:tc>
          <w:tcPr>
            <w:tcW w:w="2875" w:type="dxa"/>
          </w:tcPr>
          <w:p w14:paraId="7B68300E" w14:textId="77777777" w:rsidR="00C71A05" w:rsidRPr="007D264F" w:rsidRDefault="00C71A05" w:rsidP="00A83B70">
            <w:pPr>
              <w:pStyle w:val="Tabletext"/>
              <w:jc w:val="center"/>
            </w:pPr>
            <w:r w:rsidRPr="007D264F">
              <w:t>Deuxième phase du projet Giga</w:t>
            </w:r>
          </w:p>
          <w:p w14:paraId="67088DC8" w14:textId="77777777" w:rsidR="00C71A05" w:rsidRPr="007D264F" w:rsidRDefault="00C71A05" w:rsidP="00A83B70">
            <w:pPr>
              <w:pStyle w:val="Tabletext"/>
              <w:jc w:val="center"/>
            </w:pPr>
            <w:r w:rsidRPr="007D264F">
              <w:t>(2GLO20104-03)</w:t>
            </w:r>
          </w:p>
        </w:tc>
        <w:tc>
          <w:tcPr>
            <w:tcW w:w="1939" w:type="dxa"/>
          </w:tcPr>
          <w:p w14:paraId="5EEDB4D4" w14:textId="77777777" w:rsidR="00A83B70" w:rsidRPr="007D264F" w:rsidRDefault="00C71A05" w:rsidP="00A83B70">
            <w:pPr>
              <w:pStyle w:val="Tabletext"/>
              <w:jc w:val="center"/>
            </w:pPr>
            <w:r w:rsidRPr="007D264F">
              <w:t>550 000 USD</w:t>
            </w:r>
          </w:p>
          <w:p w14:paraId="4E3425DF" w14:textId="603F0DDE" w:rsidR="00C71A05" w:rsidRPr="007D264F" w:rsidRDefault="00C71A05" w:rsidP="00A83B70">
            <w:pPr>
              <w:pStyle w:val="Tabletext"/>
              <w:jc w:val="center"/>
            </w:pPr>
            <w:r w:rsidRPr="007D264F">
              <w:t xml:space="preserve">Partenaire: </w:t>
            </w:r>
            <w:r w:rsidRPr="007D264F">
              <w:br/>
              <w:t>UNICEF</w:t>
            </w:r>
          </w:p>
        </w:tc>
        <w:tc>
          <w:tcPr>
            <w:tcW w:w="1841" w:type="dxa"/>
          </w:tcPr>
          <w:p w14:paraId="419DAB49" w14:textId="273D47C1" w:rsidR="00C71A05" w:rsidRPr="007D264F" w:rsidRDefault="00C71A05" w:rsidP="00A83B70">
            <w:pPr>
              <w:pStyle w:val="Tabletext"/>
              <w:jc w:val="center"/>
            </w:pPr>
            <w:r w:rsidRPr="007D264F">
              <w:t>137 500 USD (20% du budget total de 687 500</w:t>
            </w:r>
            <w:r w:rsidR="00A83B70" w:rsidRPr="007D264F">
              <w:t> </w:t>
            </w:r>
            <w:r w:rsidRPr="007D264F">
              <w:t>USD)</w:t>
            </w:r>
          </w:p>
        </w:tc>
        <w:tc>
          <w:tcPr>
            <w:tcW w:w="2974" w:type="dxa"/>
          </w:tcPr>
          <w:p w14:paraId="58C0F01A" w14:textId="71035613" w:rsidR="00C71A05" w:rsidRPr="007D264F" w:rsidRDefault="00C71A05" w:rsidP="00A83B70">
            <w:pPr>
              <w:pStyle w:val="Tabletext"/>
              <w:jc w:val="center"/>
            </w:pPr>
            <w:r w:rsidRPr="007D264F">
              <w:t>La "deuxième phase du projet Giga" vise à consolider et améliorer les résultats obtenus lors de la première</w:t>
            </w:r>
            <w:r w:rsidR="00A83B70" w:rsidRPr="007D264F">
              <w:t> </w:t>
            </w:r>
            <w:r w:rsidRPr="007D264F">
              <w:t>phase dans les pays participant actuellement à l'initiative Giga. Les régions d'Afrique, d'Asie centrale et des Caraïbes orientales et centrales, qui étaient concernées dans le cadre de la première phase, en bénéficieront. Le champ d'application du projet sera également élargi pour inclure les régions Asie-Pacifique et Amérique du Sud. Les activités seront étendues aux PMA, aux PDSL et aux PEID.</w:t>
            </w:r>
          </w:p>
        </w:tc>
      </w:tr>
      <w:tr w:rsidR="00C71A05" w:rsidRPr="007D264F" w14:paraId="7DEA6F67" w14:textId="77777777" w:rsidTr="00CB75D2">
        <w:tc>
          <w:tcPr>
            <w:tcW w:w="2875" w:type="dxa"/>
          </w:tcPr>
          <w:p w14:paraId="1DF9EC45" w14:textId="77777777" w:rsidR="00C71A05" w:rsidRPr="007D264F" w:rsidRDefault="00C71A05" w:rsidP="00A83B70">
            <w:pPr>
              <w:pStyle w:val="Tabletext"/>
              <w:jc w:val="center"/>
            </w:pPr>
            <w:r w:rsidRPr="007D264F">
              <w:t>Giga et Programme d'accès numérique du FCDO – Promouvoir des politiques et des réglementations propices dans les PMA</w:t>
            </w:r>
          </w:p>
          <w:p w14:paraId="17E9DCB9" w14:textId="77777777" w:rsidR="00C71A05" w:rsidRPr="007D264F" w:rsidRDefault="00C71A05" w:rsidP="00A83B70">
            <w:pPr>
              <w:pStyle w:val="Tabletext"/>
              <w:jc w:val="center"/>
            </w:pPr>
            <w:r w:rsidRPr="007D264F">
              <w:t>(9GLO21116)</w:t>
            </w:r>
          </w:p>
        </w:tc>
        <w:tc>
          <w:tcPr>
            <w:tcW w:w="1939" w:type="dxa"/>
          </w:tcPr>
          <w:p w14:paraId="10A315E5" w14:textId="77777777" w:rsidR="00A86B9D" w:rsidRPr="007D264F" w:rsidRDefault="00C71A05" w:rsidP="00A83B70">
            <w:pPr>
              <w:pStyle w:val="Tabletext"/>
              <w:jc w:val="center"/>
            </w:pPr>
            <w:r w:rsidRPr="007D264F">
              <w:t>1 379 070 USD</w:t>
            </w:r>
          </w:p>
          <w:p w14:paraId="01C56DE4" w14:textId="3C71BDC5" w:rsidR="00C71A05" w:rsidRPr="007D264F" w:rsidRDefault="00C71A05" w:rsidP="00A83B70">
            <w:pPr>
              <w:pStyle w:val="Tabletext"/>
              <w:jc w:val="center"/>
            </w:pPr>
            <w:r w:rsidRPr="007D264F">
              <w:t>Partenaire: Ministère des affaires étrangères, du Commonwealth et du développement du Royaume-Uni de Grande</w:t>
            </w:r>
            <w:r w:rsidR="00A86B9D" w:rsidRPr="007D264F">
              <w:noBreakHyphen/>
            </w:r>
            <w:r w:rsidRPr="007D264F">
              <w:t>Bretagne et d'Irlande du Nord (FCDO)</w:t>
            </w:r>
          </w:p>
        </w:tc>
        <w:tc>
          <w:tcPr>
            <w:tcW w:w="1841" w:type="dxa"/>
          </w:tcPr>
          <w:p w14:paraId="0E157EA6" w14:textId="32B0E3A1" w:rsidR="00C71A05" w:rsidRPr="007D264F" w:rsidRDefault="00C71A05" w:rsidP="00A83B70">
            <w:pPr>
              <w:pStyle w:val="Tabletext"/>
              <w:jc w:val="center"/>
            </w:pPr>
            <w:r w:rsidRPr="007D264F">
              <w:t>276 000 USD (16,7% du budget total de 1 655 070</w:t>
            </w:r>
            <w:r w:rsidR="00A86B9D" w:rsidRPr="007D264F">
              <w:t> </w:t>
            </w:r>
            <w:r w:rsidRPr="007D264F">
              <w:t>USD)</w:t>
            </w:r>
          </w:p>
        </w:tc>
        <w:tc>
          <w:tcPr>
            <w:tcW w:w="2974" w:type="dxa"/>
            <w:tcMar>
              <w:left w:w="85" w:type="dxa"/>
              <w:right w:w="85" w:type="dxa"/>
            </w:tcMar>
          </w:tcPr>
          <w:p w14:paraId="69A87055" w14:textId="471967BD" w:rsidR="00C71A05" w:rsidRPr="007D264F" w:rsidRDefault="00C71A05" w:rsidP="00A83B70">
            <w:pPr>
              <w:pStyle w:val="Tabletext"/>
              <w:jc w:val="center"/>
            </w:pPr>
            <w:r w:rsidRPr="007D264F">
              <w:t>Ce projet vise à connecter davantage d'écoles en fournissant un appui aux quatre pays prioritaires dans le cadre du Programme d'accès numérique (DAP) du FCDO (Kenya, Nigéria, Brésil et Indonésie) et à achever un cadrage entamé dans le cinquième pays partenaire du Programme (République sudafricaine).</w:t>
            </w:r>
          </w:p>
        </w:tc>
      </w:tr>
      <w:tr w:rsidR="00C71A05" w:rsidRPr="007D264F" w14:paraId="4665DB74" w14:textId="77777777" w:rsidTr="00CB75D2">
        <w:tc>
          <w:tcPr>
            <w:tcW w:w="2875" w:type="dxa"/>
          </w:tcPr>
          <w:p w14:paraId="25C0AC4B" w14:textId="77777777" w:rsidR="00C71A05" w:rsidRPr="007D264F" w:rsidRDefault="00C71A05" w:rsidP="00A83B70">
            <w:pPr>
              <w:pStyle w:val="Tabletext"/>
              <w:jc w:val="center"/>
            </w:pPr>
            <w:r w:rsidRPr="007D264F">
              <w:t>Créer un cyberespace sain et sécurisé au profit des enfants (9GLO21112)</w:t>
            </w:r>
          </w:p>
        </w:tc>
        <w:tc>
          <w:tcPr>
            <w:tcW w:w="1939" w:type="dxa"/>
          </w:tcPr>
          <w:p w14:paraId="6B9E860C" w14:textId="2EA39C0B" w:rsidR="00C71A05" w:rsidRPr="007D264F" w:rsidRDefault="00C71A05" w:rsidP="00A83B70">
            <w:pPr>
              <w:pStyle w:val="Tabletext"/>
              <w:jc w:val="center"/>
            </w:pPr>
            <w:r w:rsidRPr="007D264F">
              <w:t>1 612 500 USD</w:t>
            </w:r>
          </w:p>
          <w:p w14:paraId="3B895B2B" w14:textId="77777777" w:rsidR="00C71A05" w:rsidRPr="007D264F" w:rsidRDefault="00C71A05" w:rsidP="00A83B70">
            <w:pPr>
              <w:pStyle w:val="Tabletext"/>
              <w:jc w:val="center"/>
            </w:pPr>
            <w:r w:rsidRPr="007D264F">
              <w:t>Partenaire:</w:t>
            </w:r>
            <w:r w:rsidRPr="007D264F">
              <w:br/>
              <w:t>Autorité nationale de cybersécurité (NCA) du Royaume d'Arabie saoudite</w:t>
            </w:r>
          </w:p>
        </w:tc>
        <w:tc>
          <w:tcPr>
            <w:tcW w:w="1841" w:type="dxa"/>
          </w:tcPr>
          <w:p w14:paraId="1F7B4E2D" w14:textId="7FF099D2" w:rsidR="00C71A05" w:rsidRPr="007D264F" w:rsidRDefault="00C71A05" w:rsidP="00A83B70">
            <w:pPr>
              <w:pStyle w:val="Tabletext"/>
              <w:jc w:val="center"/>
            </w:pPr>
            <w:r w:rsidRPr="007D264F">
              <w:t xml:space="preserve">400 000 USD </w:t>
            </w:r>
            <w:r w:rsidRPr="007D264F">
              <w:br/>
              <w:t>(20% du budget total de 2 012 500</w:t>
            </w:r>
            <w:r w:rsidR="00A86B9D" w:rsidRPr="007D264F">
              <w:t> </w:t>
            </w:r>
            <w:r w:rsidRPr="007D264F">
              <w:t>USD)</w:t>
            </w:r>
          </w:p>
        </w:tc>
        <w:tc>
          <w:tcPr>
            <w:tcW w:w="2974" w:type="dxa"/>
          </w:tcPr>
          <w:p w14:paraId="5872C7BF" w14:textId="77777777" w:rsidR="00C71A05" w:rsidRPr="007D264F" w:rsidRDefault="00C71A05" w:rsidP="00A83B70">
            <w:pPr>
              <w:pStyle w:val="Tabletext"/>
              <w:jc w:val="center"/>
            </w:pPr>
            <w:r w:rsidRPr="007D264F">
              <w:rPr>
                <w:bCs/>
              </w:rPr>
              <w:t>Ce projet favorisera la poursuite des travaux en matière de protection en ligne des enfants et appuiera les efforts déployés par les États Membres à l'échelle mondiale pour mettre en œuvre des normes internationales sur les droits de l'enfant dans l'environnement numérique.</w:t>
            </w:r>
          </w:p>
        </w:tc>
      </w:tr>
      <w:tr w:rsidR="00C71A05" w:rsidRPr="007D264F" w14:paraId="707501CA" w14:textId="77777777" w:rsidTr="00CB75D2">
        <w:tc>
          <w:tcPr>
            <w:tcW w:w="2875" w:type="dxa"/>
          </w:tcPr>
          <w:p w14:paraId="4CA0CEA7" w14:textId="55A61249" w:rsidR="00C71A05" w:rsidRPr="007D264F" w:rsidRDefault="00C71A05" w:rsidP="00A86B9D">
            <w:pPr>
              <w:pStyle w:val="Tabletext"/>
              <w:keepNext/>
              <w:keepLines/>
              <w:jc w:val="center"/>
            </w:pPr>
            <w:r w:rsidRPr="007D264F">
              <w:lastRenderedPageBreak/>
              <w:t>Accélérer la transformation numérique en Afrique grâce à la connectivité</w:t>
            </w:r>
          </w:p>
          <w:p w14:paraId="5024AA85" w14:textId="77777777" w:rsidR="00C71A05" w:rsidRPr="007D264F" w:rsidRDefault="00C71A05" w:rsidP="00A86B9D">
            <w:pPr>
              <w:pStyle w:val="Tabletext"/>
              <w:keepNext/>
              <w:keepLines/>
              <w:jc w:val="center"/>
            </w:pPr>
            <w:r w:rsidRPr="007D264F">
              <w:t>(9RAF21101)</w:t>
            </w:r>
          </w:p>
        </w:tc>
        <w:tc>
          <w:tcPr>
            <w:tcW w:w="1939" w:type="dxa"/>
          </w:tcPr>
          <w:p w14:paraId="4CC6F10B" w14:textId="77777777" w:rsidR="00A86B9D" w:rsidRPr="007D264F" w:rsidRDefault="00C71A05" w:rsidP="00A86B9D">
            <w:pPr>
              <w:pStyle w:val="Tabletext"/>
              <w:keepNext/>
              <w:keepLines/>
              <w:jc w:val="center"/>
            </w:pPr>
            <w:r w:rsidRPr="007D264F">
              <w:t>500 000 USD</w:t>
            </w:r>
          </w:p>
          <w:p w14:paraId="29AE7F98" w14:textId="0FA745AE" w:rsidR="00C71A05" w:rsidRPr="007D264F" w:rsidRDefault="00C71A05" w:rsidP="00A86B9D">
            <w:pPr>
              <w:pStyle w:val="Tabletext"/>
              <w:keepNext/>
              <w:keepLines/>
              <w:jc w:val="center"/>
            </w:pPr>
            <w:r w:rsidRPr="007D264F">
              <w:t>Partenaire:</w:t>
            </w:r>
            <w:r w:rsidRPr="007D264F">
              <w:br/>
              <w:t>Microsoft</w:t>
            </w:r>
          </w:p>
        </w:tc>
        <w:tc>
          <w:tcPr>
            <w:tcW w:w="1841" w:type="dxa"/>
          </w:tcPr>
          <w:p w14:paraId="2661A471" w14:textId="006B0422" w:rsidR="00C71A05" w:rsidRPr="007D264F" w:rsidRDefault="00C71A05" w:rsidP="00A86B9D">
            <w:pPr>
              <w:pStyle w:val="Tabletext"/>
              <w:keepNext/>
              <w:keepLines/>
              <w:jc w:val="center"/>
            </w:pPr>
            <w:r w:rsidRPr="007D264F">
              <w:t>100 000 USD (16,7% du budget total de 600 000</w:t>
            </w:r>
            <w:r w:rsidR="00A86B9D" w:rsidRPr="007D264F">
              <w:t> </w:t>
            </w:r>
            <w:r w:rsidRPr="007D264F">
              <w:t>USD)</w:t>
            </w:r>
          </w:p>
        </w:tc>
        <w:tc>
          <w:tcPr>
            <w:tcW w:w="2974" w:type="dxa"/>
          </w:tcPr>
          <w:p w14:paraId="0AEE3BB3" w14:textId="5015170F" w:rsidR="00C71A05" w:rsidRPr="007D264F" w:rsidRDefault="00C71A05" w:rsidP="00A86B9D">
            <w:pPr>
              <w:pStyle w:val="Tabletext"/>
              <w:keepNext/>
              <w:keepLines/>
              <w:jc w:val="center"/>
              <w:rPr>
                <w:bCs/>
              </w:rPr>
            </w:pPr>
            <w:r w:rsidRPr="007D264F">
              <w:rPr>
                <w:bCs/>
              </w:rPr>
              <w:t>Le projet "Accélérer la transformation numérique en Afrique grâce à la connectivité" favorisera la création d'une plate-forme multi-parties prenantes qui offrira aux entités du secteur privé, aux membres de la société civile et aux organismes universitaires la possibilité de participer</w:t>
            </w:r>
            <w:r w:rsidR="00A86B9D" w:rsidRPr="007D264F">
              <w:rPr>
                <w:bCs/>
              </w:rPr>
              <w:t>.</w:t>
            </w:r>
          </w:p>
        </w:tc>
      </w:tr>
    </w:tbl>
    <w:p w14:paraId="53D29253" w14:textId="77777777" w:rsidR="00C71A05" w:rsidRPr="007D264F" w:rsidRDefault="00C71A05" w:rsidP="00C71A05">
      <w:pPr>
        <w:spacing w:before="240" w:after="240"/>
        <w:rPr>
          <w:u w:val="single"/>
        </w:rPr>
      </w:pPr>
      <w:r w:rsidRPr="007D264F">
        <w:t>3.2</w:t>
      </w:r>
      <w:r w:rsidRPr="007D264F">
        <w:tab/>
      </w:r>
      <w:r w:rsidRPr="007D264F">
        <w:rPr>
          <w:u w:val="single"/>
        </w:rPr>
        <w:t>57ème réunion de la Commission de direction du FDTIC (tenue en septembre 2021)</w:t>
      </w:r>
    </w:p>
    <w:tbl>
      <w:tblPr>
        <w:tblStyle w:val="TableGrid"/>
        <w:tblW w:w="0" w:type="auto"/>
        <w:tblLook w:val="04A0" w:firstRow="1" w:lastRow="0" w:firstColumn="1" w:lastColumn="0" w:noHBand="0" w:noVBand="1"/>
      </w:tblPr>
      <w:tblGrid>
        <w:gridCol w:w="2875"/>
        <w:gridCol w:w="1939"/>
        <w:gridCol w:w="1841"/>
        <w:gridCol w:w="2974"/>
      </w:tblGrid>
      <w:tr w:rsidR="00C71A05" w:rsidRPr="007D264F" w14:paraId="6D4999E9" w14:textId="77777777" w:rsidTr="00CB75D2">
        <w:tc>
          <w:tcPr>
            <w:tcW w:w="2875" w:type="dxa"/>
            <w:shd w:val="clear" w:color="auto" w:fill="D9D9D9" w:themeFill="background1" w:themeFillShade="D9"/>
            <w:vAlign w:val="center"/>
          </w:tcPr>
          <w:p w14:paraId="50446260" w14:textId="77777777" w:rsidR="00C71A05" w:rsidRPr="007D264F" w:rsidRDefault="00C71A05" w:rsidP="00C71A05">
            <w:pPr>
              <w:pStyle w:val="Tablehead"/>
            </w:pPr>
            <w:r w:rsidRPr="007D264F">
              <w:t>Nouveau projet approuvé</w:t>
            </w:r>
          </w:p>
        </w:tc>
        <w:tc>
          <w:tcPr>
            <w:tcW w:w="1939" w:type="dxa"/>
            <w:shd w:val="clear" w:color="auto" w:fill="D9D9D9" w:themeFill="background1" w:themeFillShade="D9"/>
            <w:vAlign w:val="center"/>
          </w:tcPr>
          <w:p w14:paraId="6A7EF01D" w14:textId="77777777" w:rsidR="00C71A05" w:rsidRPr="007D264F" w:rsidRDefault="00C71A05" w:rsidP="00C71A05">
            <w:pPr>
              <w:pStyle w:val="Tablehead"/>
            </w:pPr>
            <w:r w:rsidRPr="007D264F">
              <w:t>Contribution extérieure</w:t>
            </w:r>
          </w:p>
        </w:tc>
        <w:tc>
          <w:tcPr>
            <w:tcW w:w="1841" w:type="dxa"/>
            <w:shd w:val="clear" w:color="auto" w:fill="D9D9D9" w:themeFill="background1" w:themeFillShade="D9"/>
            <w:vAlign w:val="center"/>
          </w:tcPr>
          <w:p w14:paraId="22CE7050" w14:textId="77777777" w:rsidR="00C71A05" w:rsidRPr="007D264F" w:rsidRDefault="00C71A05" w:rsidP="00C71A05">
            <w:pPr>
              <w:pStyle w:val="Tablehead"/>
            </w:pPr>
            <w:r w:rsidRPr="007D264F">
              <w:t>Contribution de l'UIT</w:t>
            </w:r>
          </w:p>
        </w:tc>
        <w:tc>
          <w:tcPr>
            <w:tcW w:w="2974" w:type="dxa"/>
            <w:shd w:val="clear" w:color="auto" w:fill="D9D9D9" w:themeFill="background1" w:themeFillShade="D9"/>
            <w:vAlign w:val="center"/>
          </w:tcPr>
          <w:p w14:paraId="64B7767E" w14:textId="77777777" w:rsidR="00C71A05" w:rsidRPr="007D264F" w:rsidRDefault="00C71A05" w:rsidP="00C71A05">
            <w:pPr>
              <w:pStyle w:val="Tablehead"/>
            </w:pPr>
            <w:r w:rsidRPr="007D264F">
              <w:t>Observations</w:t>
            </w:r>
          </w:p>
        </w:tc>
      </w:tr>
      <w:tr w:rsidR="00C71A05" w:rsidRPr="007D264F" w14:paraId="2632DDAF" w14:textId="77777777" w:rsidTr="00CB75D2">
        <w:tc>
          <w:tcPr>
            <w:tcW w:w="2875" w:type="dxa"/>
          </w:tcPr>
          <w:p w14:paraId="3BA26D31" w14:textId="77777777" w:rsidR="00C71A05" w:rsidRPr="007D264F" w:rsidRDefault="00C71A05" w:rsidP="00A86B9D">
            <w:pPr>
              <w:pStyle w:val="Tabletext"/>
              <w:jc w:val="center"/>
            </w:pPr>
            <w:r w:rsidRPr="007D264F">
              <w:t>Assistance technique et formation proposées à l'Ouganda concernant la Stratégie de développement national des TIC</w:t>
            </w:r>
          </w:p>
          <w:p w14:paraId="6143B9DB" w14:textId="77777777" w:rsidR="00C71A05" w:rsidRPr="007D264F" w:rsidRDefault="00C71A05" w:rsidP="00A86B9D">
            <w:pPr>
              <w:pStyle w:val="Tabletext"/>
              <w:jc w:val="center"/>
            </w:pPr>
            <w:r w:rsidRPr="007D264F">
              <w:t>(9UGA21008)</w:t>
            </w:r>
          </w:p>
        </w:tc>
        <w:tc>
          <w:tcPr>
            <w:tcW w:w="1939" w:type="dxa"/>
          </w:tcPr>
          <w:p w14:paraId="7E3DE437" w14:textId="3EAD2867" w:rsidR="00C71A05" w:rsidRPr="007D264F" w:rsidRDefault="00C71A05" w:rsidP="00A86B9D">
            <w:pPr>
              <w:pStyle w:val="Tabletext"/>
              <w:jc w:val="center"/>
            </w:pPr>
            <w:r w:rsidRPr="007D264F">
              <w:t>1 800 000 USD</w:t>
            </w:r>
          </w:p>
          <w:p w14:paraId="27691422" w14:textId="77777777" w:rsidR="00C71A05" w:rsidRPr="007D264F" w:rsidRDefault="00C71A05" w:rsidP="00A86B9D">
            <w:pPr>
              <w:pStyle w:val="Tabletext"/>
              <w:jc w:val="center"/>
            </w:pPr>
            <w:r w:rsidRPr="007D264F">
              <w:t>Partenaire:</w:t>
            </w:r>
            <w:r w:rsidRPr="007D264F">
              <w:br/>
              <w:t>Ministère de l'industrie et des technologies de l'information de la République populaire de Chine (MIIT), appuyé par le Fonds d'assistance pour la coopération Sud-Sud</w:t>
            </w:r>
          </w:p>
        </w:tc>
        <w:tc>
          <w:tcPr>
            <w:tcW w:w="1841" w:type="dxa"/>
          </w:tcPr>
          <w:p w14:paraId="05362376" w14:textId="1B265EAF" w:rsidR="00C71A05" w:rsidRPr="007D264F" w:rsidRDefault="00C71A05" w:rsidP="00A86B9D">
            <w:pPr>
              <w:pStyle w:val="Tabletext"/>
              <w:jc w:val="center"/>
            </w:pPr>
            <w:r w:rsidRPr="007D264F">
              <w:t>100 000 USD (5%</w:t>
            </w:r>
            <w:r w:rsidR="00A86B9D" w:rsidRPr="007D264F">
              <w:t> </w:t>
            </w:r>
            <w:r w:rsidRPr="007D264F">
              <w:t>du budget total de 1 800 000</w:t>
            </w:r>
            <w:r w:rsidR="00A86B9D" w:rsidRPr="007D264F">
              <w:t> </w:t>
            </w:r>
            <w:r w:rsidRPr="007D264F">
              <w:t>USD consacré au projet)</w:t>
            </w:r>
          </w:p>
        </w:tc>
        <w:tc>
          <w:tcPr>
            <w:tcW w:w="2974" w:type="dxa"/>
          </w:tcPr>
          <w:p w14:paraId="08FB27CF" w14:textId="2A0B29FB" w:rsidR="00C71A05" w:rsidRPr="007D264F" w:rsidRDefault="00C71A05" w:rsidP="00A86B9D">
            <w:pPr>
              <w:pStyle w:val="Tabletext"/>
              <w:jc w:val="center"/>
            </w:pPr>
            <w:r w:rsidRPr="007D264F">
              <w:t>Le projet vise à apporter un appui à l'Ouganda dans le cadre de son processus de transformation numérique, en contribuant à la mise en place d'une société autonome sur le plan numérique et d'une économie du savoir.</w:t>
            </w:r>
          </w:p>
        </w:tc>
      </w:tr>
    </w:tbl>
    <w:p w14:paraId="086F3FDF" w14:textId="77777777" w:rsidR="00C71A05" w:rsidRPr="007D264F" w:rsidRDefault="00C71A05" w:rsidP="00C71A05">
      <w:pPr>
        <w:spacing w:before="240"/>
      </w:pPr>
      <w:r w:rsidRPr="007D264F">
        <w:t>3.3</w:t>
      </w:r>
      <w:r w:rsidRPr="007D264F">
        <w:tab/>
        <w:t>La Commission de direction du FDTIC a en outre examiné les progrès accomplis dans l'exécution des projets financés par le FDTIC et a approuvé la restitution au FDTIC de certains financements attribués au départ pour la mise en œuvre de projets de développement pour lesquels aucun partenaire n'a ensuite été trouvé, à savoir:</w:t>
      </w:r>
    </w:p>
    <w:p w14:paraId="2EF1F174" w14:textId="1035A0E7" w:rsidR="00C71A05" w:rsidRPr="007D264F" w:rsidRDefault="00C71A05" w:rsidP="00C71A05">
      <w:pPr>
        <w:pStyle w:val="enumlev1"/>
      </w:pPr>
      <w:r w:rsidRPr="007D264F">
        <w:t>–</w:t>
      </w:r>
      <w:r w:rsidRPr="007D264F">
        <w:tab/>
        <w:t>Projet sur le large bande en faveur de Madagascar (numéro du projet: 7MAG17004)</w:t>
      </w:r>
      <w:r w:rsidR="00A86B9D" w:rsidRPr="007D264F">
        <w:t>.</w:t>
      </w:r>
    </w:p>
    <w:p w14:paraId="12C8C5C3" w14:textId="1FEBDBC0" w:rsidR="00C71A05" w:rsidRPr="007D264F" w:rsidRDefault="00C71A05" w:rsidP="00C71A05">
      <w:pPr>
        <w:pStyle w:val="enumlev1"/>
      </w:pPr>
      <w:r w:rsidRPr="007D264F">
        <w:t>–</w:t>
      </w:r>
      <w:r w:rsidRPr="007D264F">
        <w:tab/>
        <w:t>Centre régional sur l'accessibilité des TIC pour les personnes handicapées (Égypte, numéro</w:t>
      </w:r>
      <w:r w:rsidR="00D05F53" w:rsidRPr="007D264F">
        <w:t> </w:t>
      </w:r>
      <w:r w:rsidRPr="007D264F">
        <w:t>du projet: 7RAB16025)</w:t>
      </w:r>
      <w:r w:rsidR="00A86B9D" w:rsidRPr="007D264F">
        <w:t>.</w:t>
      </w:r>
    </w:p>
    <w:p w14:paraId="3B577C6B" w14:textId="35AC1D69" w:rsidR="00C71A05" w:rsidRPr="007D264F" w:rsidRDefault="00C71A05" w:rsidP="00C71A05">
      <w:r w:rsidRPr="007D264F">
        <w:t>3.4</w:t>
      </w:r>
      <w:r w:rsidRPr="007D264F">
        <w:tab/>
        <w:t>En septembre 2021, parmi les projets financés par le FDTIC, onze étaient en cours (voir l'Annexe). Dans la Figure 1, ces projets sont présentés par région.</w:t>
      </w:r>
    </w:p>
    <w:p w14:paraId="264CDFA7" w14:textId="1A01AF77" w:rsidR="00C71A05" w:rsidRPr="007D264F" w:rsidRDefault="00A86B9D" w:rsidP="00A86B9D">
      <w:pPr>
        <w:jc w:val="center"/>
      </w:pPr>
      <w:r w:rsidRPr="007D264F">
        <w:rPr>
          <w:noProof/>
        </w:rPr>
        <w:lastRenderedPageBreak/>
        <w:drawing>
          <wp:inline distT="0" distB="0" distL="0" distR="0" wp14:anchorId="4DB51E67" wp14:editId="58F9D27B">
            <wp:extent cx="6120765" cy="2806700"/>
            <wp:effectExtent l="0" t="0" r="0" b="0"/>
            <wp:docPr id="4" name="Chart 4">
              <a:extLst xmlns:a="http://schemas.openxmlformats.org/drawingml/2006/main">
                <a:ext uri="{FF2B5EF4-FFF2-40B4-BE49-F238E27FC236}">
                  <a16:creationId xmlns:a16="http://schemas.microsoft.com/office/drawing/2014/main" id="{E5EE85C2-0238-45AF-83AA-805552BB2E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6F933C0" w14:textId="1F565E3D" w:rsidR="00C71A05" w:rsidRPr="007D264F" w:rsidRDefault="00C71A05" w:rsidP="00C71A05">
      <w:pPr>
        <w:spacing w:after="120"/>
      </w:pPr>
      <w:r w:rsidRPr="007D264F">
        <w:t>3.5</w:t>
      </w:r>
      <w:r w:rsidRPr="007D264F">
        <w:tab/>
        <w:t>Depuis 2009, 48 projets du FDTIC ont été clôturés et 4 projets sont actuellement en cours de clôture (voir les Figures 2.1 et 2.2). La Figure 2.3 donne la répartition des projets par région.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310"/>
        <w:gridCol w:w="5329"/>
      </w:tblGrid>
      <w:tr w:rsidR="00CE0460" w:rsidRPr="007D264F" w14:paraId="6F4C134D" w14:textId="77777777" w:rsidTr="00CE0460">
        <w:tc>
          <w:tcPr>
            <w:tcW w:w="4310" w:type="dxa"/>
            <w:vAlign w:val="center"/>
          </w:tcPr>
          <w:p w14:paraId="61431C66" w14:textId="3E049D70" w:rsidR="00C71A05" w:rsidRPr="007D264F" w:rsidRDefault="00A86B9D" w:rsidP="00C71A05">
            <w:r w:rsidRPr="007D264F">
              <w:rPr>
                <w:noProof/>
              </w:rPr>
              <w:drawing>
                <wp:inline distT="0" distB="0" distL="0" distR="0" wp14:anchorId="5218B68A" wp14:editId="3C9F7901">
                  <wp:extent cx="2631057" cy="2682240"/>
                  <wp:effectExtent l="0" t="0" r="17145" b="3810"/>
                  <wp:docPr id="7" name="Chart 7">
                    <a:extLst xmlns:a="http://schemas.openxmlformats.org/drawingml/2006/main">
                      <a:ext uri="{FF2B5EF4-FFF2-40B4-BE49-F238E27FC236}">
                        <a16:creationId xmlns:a16="http://schemas.microsoft.com/office/drawing/2014/main" id="{B0329E6E-BF43-42C0-81A1-E4A4E20EE8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5329" w:type="dxa"/>
            <w:vAlign w:val="center"/>
          </w:tcPr>
          <w:p w14:paraId="66A5521D" w14:textId="41A3831A" w:rsidR="00C71A05" w:rsidRPr="007D264F" w:rsidRDefault="00CE0460" w:rsidP="00C71A05">
            <w:r w:rsidRPr="007D264F">
              <w:rPr>
                <w:noProof/>
              </w:rPr>
              <w:drawing>
                <wp:inline distT="0" distB="0" distL="0" distR="0" wp14:anchorId="38E962CC" wp14:editId="221DD625">
                  <wp:extent cx="3277786" cy="2933700"/>
                  <wp:effectExtent l="0" t="0" r="18415" b="0"/>
                  <wp:docPr id="9" name="Chart 9">
                    <a:extLst xmlns:a="http://schemas.openxmlformats.org/drawingml/2006/main">
                      <a:ext uri="{FF2B5EF4-FFF2-40B4-BE49-F238E27FC236}">
                        <a16:creationId xmlns:a16="http://schemas.microsoft.com/office/drawing/2014/main" id="{0D883AD2-B97D-4DCE-B1CD-C9C954D56F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14:paraId="3B865E68" w14:textId="41321049" w:rsidR="00CE0460" w:rsidRPr="007D264F" w:rsidRDefault="00CE0460" w:rsidP="00C71A05">
      <w:r w:rsidRPr="007D264F">
        <w:rPr>
          <w:noProof/>
        </w:rPr>
        <w:lastRenderedPageBreak/>
        <w:drawing>
          <wp:inline distT="0" distB="0" distL="0" distR="0" wp14:anchorId="38A799FC" wp14:editId="3BE60F7A">
            <wp:extent cx="6120765" cy="3566795"/>
            <wp:effectExtent l="0" t="0" r="0" b="0"/>
            <wp:docPr id="11" name="Chart 11">
              <a:extLst xmlns:a="http://schemas.openxmlformats.org/drawingml/2006/main">
                <a:ext uri="{FF2B5EF4-FFF2-40B4-BE49-F238E27FC236}">
                  <a16:creationId xmlns:a16="http://schemas.microsoft.com/office/drawing/2014/main" id="{76D196D1-58A5-4B80-BB7A-C9491CD177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0EBF908" w14:textId="7918C564" w:rsidR="00C71A05" w:rsidRPr="007D264F" w:rsidRDefault="00C71A05" w:rsidP="00C71A05">
      <w:r w:rsidRPr="007D264F">
        <w:t>3.6</w:t>
      </w:r>
      <w:r w:rsidRPr="007D264F">
        <w:tab/>
        <w:t>En septembre 2021, la valeur totale des projets en cours financés par le FDTIC était de 23,6</w:t>
      </w:r>
      <w:r w:rsidR="00CE0460" w:rsidRPr="007D264F">
        <w:t> </w:t>
      </w:r>
      <w:r w:rsidRPr="007D264F">
        <w:t>millions CHF (financement extérieur en espèces: 75%; FDTIC: 25%; et financement du Plan opérationnel en espèces: 1%) (Voir la Figure 3).</w:t>
      </w:r>
    </w:p>
    <w:p w14:paraId="77BD5216" w14:textId="5F879397" w:rsidR="00C71A05" w:rsidRPr="007D264F" w:rsidRDefault="00CE0460" w:rsidP="00CE0460">
      <w:pPr>
        <w:jc w:val="center"/>
      </w:pPr>
      <w:r w:rsidRPr="007D264F">
        <w:rPr>
          <w:noProof/>
        </w:rPr>
        <w:drawing>
          <wp:inline distT="0" distB="0" distL="0" distR="0" wp14:anchorId="6F35E37D" wp14:editId="166157E4">
            <wp:extent cx="6120765" cy="2379345"/>
            <wp:effectExtent l="0" t="0" r="0" b="1905"/>
            <wp:docPr id="1" name="Chart 1">
              <a:extLst xmlns:a="http://schemas.openxmlformats.org/drawingml/2006/main">
                <a:ext uri="{FF2B5EF4-FFF2-40B4-BE49-F238E27FC236}">
                  <a16:creationId xmlns:a16="http://schemas.microsoft.com/office/drawing/2014/main" id="{206B08AD-137E-4BF0-8F78-84A5709775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ECE6774" w14:textId="29F115B7" w:rsidR="00C71A05" w:rsidRPr="007D264F" w:rsidRDefault="00C71A05" w:rsidP="00C71A05">
      <w:r w:rsidRPr="007D264F">
        <w:t>3.7</w:t>
      </w:r>
      <w:r w:rsidRPr="007D264F">
        <w:tab/>
        <w:t>Le BDT continuera de suivre la mise en œuvre efficace des autres projets. La Commission de direction du FDTIC continuera d</w:t>
      </w:r>
      <w:r w:rsidR="00CE0460" w:rsidRPr="007D264F">
        <w:t>'</w:t>
      </w:r>
      <w:r w:rsidRPr="007D264F">
        <w:t>examiner des propositions de projet et de</w:t>
      </w:r>
      <w:r w:rsidR="00CE0460" w:rsidRPr="007D264F">
        <w:t xml:space="preserve"> </w:t>
      </w:r>
      <w:r w:rsidRPr="007D264F">
        <w:t>financer les projets sélectionnés dans différents domaines d'activité, en accordant une attention particulière aux initiatives régionales approuvées par la CMDT-17, compte tenu des règles et des critères définis dans les règles et procédures du FDTIC et dans les limites du compte de capital du FDTIC.</w:t>
      </w:r>
    </w:p>
    <w:p w14:paraId="7F63B91C" w14:textId="77777777" w:rsidR="00C71A05" w:rsidRPr="007D264F" w:rsidRDefault="00C71A05" w:rsidP="00C71A05">
      <w:r w:rsidRPr="007D264F">
        <w:t>3.8</w:t>
      </w:r>
      <w:r w:rsidRPr="007D264F">
        <w:tab/>
        <w:t>La prochaine réunion de la Commission de direction du FDTIC aura lieu après réception de nouvelles propositions de projets qui remplissent les critères de sélection.</w:t>
      </w:r>
    </w:p>
    <w:p w14:paraId="2FC15DA3" w14:textId="7C2AB8CD" w:rsidR="00C71A05" w:rsidRPr="007D264F" w:rsidRDefault="00C71A05" w:rsidP="00C71A05">
      <w:pPr>
        <w:pStyle w:val="Heading1"/>
      </w:pPr>
      <w:r w:rsidRPr="007D264F">
        <w:lastRenderedPageBreak/>
        <w:t>4</w:t>
      </w:r>
      <w:r w:rsidRPr="007D264F">
        <w:tab/>
        <w:t>Évolution du compte de capital du FDTIC</w:t>
      </w:r>
      <w:r w:rsidRPr="007D264F">
        <w:rPr>
          <w:rStyle w:val="FootnoteReference"/>
        </w:rPr>
        <w:footnoteReference w:id="2"/>
      </w:r>
    </w:p>
    <w:p w14:paraId="2831F070" w14:textId="77777777" w:rsidR="00C71A05" w:rsidRPr="007D264F" w:rsidRDefault="00C71A05" w:rsidP="00C71A05">
      <w:r w:rsidRPr="007D264F">
        <w:t>4.1</w:t>
      </w:r>
      <w:r w:rsidRPr="007D264F">
        <w:tab/>
        <w:t>Le montant total des intérêts perçus en 2020 pour le compte de capital du FDTIC était de 41 209,71 USD et les intérêts des projets s'élevaient à 18 094 USD.</w:t>
      </w:r>
    </w:p>
    <w:p w14:paraId="1EE1B156" w14:textId="055DD015" w:rsidR="00C71A05" w:rsidRPr="007D264F" w:rsidRDefault="00C71A05" w:rsidP="00C71A05">
      <w:r w:rsidRPr="007D264F">
        <w:t>4.2</w:t>
      </w:r>
      <w:r w:rsidRPr="007D264F">
        <w:tab/>
        <w:t>En octobre 2021, le solde disponible du compte de capital du FDTIC s'élevait à 3 473 898,20</w:t>
      </w:r>
      <w:r w:rsidR="00C62A95" w:rsidRPr="007D264F">
        <w:t> </w:t>
      </w:r>
      <w:r w:rsidRPr="007D264F">
        <w:t>USD</w:t>
      </w:r>
      <w:r w:rsidRPr="007D264F" w:rsidDel="00CB56AF">
        <w:t xml:space="preserve"> </w:t>
      </w:r>
      <w:r w:rsidRPr="007D264F">
        <w:t>(voir la Figure 4), tandis que celui du Fonds de roulement des expositions (EWCF) s'élevait à 6 607 613,63 USD.</w:t>
      </w:r>
    </w:p>
    <w:p w14:paraId="535CF001" w14:textId="77777777" w:rsidR="00C71A05" w:rsidRPr="007D264F" w:rsidRDefault="00C71A05" w:rsidP="00C71A05">
      <w:bookmarkStart w:id="10" w:name="_Hlk65835106"/>
      <w:r w:rsidRPr="007D264F">
        <w:rPr>
          <w:noProof/>
        </w:rPr>
        <w:drawing>
          <wp:inline distT="0" distB="0" distL="0" distR="0" wp14:anchorId="5E4DFF05" wp14:editId="5D2D3962">
            <wp:extent cx="5715000" cy="2743200"/>
            <wp:effectExtent l="0" t="0" r="0" b="0"/>
            <wp:docPr id="8" name="Chart 8">
              <a:extLst xmlns:a="http://schemas.openxmlformats.org/drawingml/2006/main">
                <a:ext uri="{FF2B5EF4-FFF2-40B4-BE49-F238E27FC236}">
                  <a16:creationId xmlns:a16="http://schemas.microsoft.com/office/drawing/2014/main" id="{590E629B-F7FB-4603-B2E6-F5E4398C72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F70464F" w14:textId="77777777" w:rsidR="00C71A05" w:rsidRPr="007D264F" w:rsidRDefault="00C71A05" w:rsidP="00C71A05">
      <w:r w:rsidRPr="007D264F">
        <w:t>4.3</w:t>
      </w:r>
      <w:r w:rsidRPr="007D264F">
        <w:tab/>
        <w:t>Il est à noter que les dispositions ci-après de la Résolution 11 (Rév. Dubaï, 2018) de la Conférence de plénipotentiaires de l'UIT peuvent avoir une incidence sur le Fonds de roulement des expositions (EWCF) et, par conséquent, sur le FDTIC:</w:t>
      </w:r>
    </w:p>
    <w:p w14:paraId="0146066A" w14:textId="4730E938" w:rsidR="00C71A05" w:rsidRPr="007D264F" w:rsidRDefault="00C71A05" w:rsidP="00C71A05">
      <w:pPr>
        <w:pStyle w:val="enumlev1"/>
      </w:pPr>
      <w:r w:rsidRPr="007D264F">
        <w:t>•</w:t>
      </w:r>
      <w:r w:rsidRPr="007D264F">
        <w:tab/>
      </w:r>
      <w:r w:rsidRPr="007D264F">
        <w:rPr>
          <w:b/>
          <w:bCs/>
        </w:rPr>
        <w:t xml:space="preserve">Point 4 du </w:t>
      </w:r>
      <w:r w:rsidRPr="007D264F">
        <w:rPr>
          <w:b/>
          <w:bCs/>
          <w:i/>
          <w:iCs/>
        </w:rPr>
        <w:t>décide</w:t>
      </w:r>
      <w:r w:rsidRPr="007D264F">
        <w:rPr>
          <w:i/>
          <w:iCs/>
        </w:rPr>
        <w:t>: que le cahier des charges établi à partir des contributions soumises par les membres de l'UIT, pour le recrutement du cabinet de conseil en gestion externe indépendant sera soumis pour approbation au Groupe de travail du Conseil sur les ressources financières et les ressources humaines (GTC-FHR) et que les honoraires dudit cabinet de conseil seront couverts par le Fonds de roulement des expositions (EWCF).</w:t>
      </w:r>
    </w:p>
    <w:p w14:paraId="7670CF72" w14:textId="7CE28510" w:rsidR="00C71A05" w:rsidRPr="007D264F" w:rsidRDefault="00C71A05" w:rsidP="00C71A05">
      <w:pPr>
        <w:pStyle w:val="enumlev1"/>
      </w:pPr>
      <w:r w:rsidRPr="007D264F">
        <w:t>•</w:t>
      </w:r>
      <w:r w:rsidRPr="007D264F">
        <w:tab/>
      </w:r>
      <w:r w:rsidRPr="007D264F">
        <w:rPr>
          <w:b/>
          <w:bCs/>
        </w:rPr>
        <w:t xml:space="preserve">Point 10 du </w:t>
      </w:r>
      <w:r w:rsidRPr="007D264F">
        <w:rPr>
          <w:b/>
          <w:bCs/>
          <w:i/>
          <w:iCs/>
        </w:rPr>
        <w:t>décide</w:t>
      </w:r>
      <w:r w:rsidRPr="007D264F">
        <w:rPr>
          <w:i/>
          <w:iCs/>
        </w:rPr>
        <w:t>: que le Fonds EWCF doit être doté d'une réserve minimale de cinq millions de francs suisses (5 000 000 CHF).</w:t>
      </w:r>
    </w:p>
    <w:p w14:paraId="60D3386E" w14:textId="77777777" w:rsidR="00C71A05" w:rsidRPr="007D264F" w:rsidRDefault="00C71A05" w:rsidP="00C71A05">
      <w:r w:rsidRPr="007D264F">
        <w:t xml:space="preserve">Au 31 décembre 2020, les honoraires du cabinet de conseil Dalberg se chiffraient à </w:t>
      </w:r>
      <w:r w:rsidRPr="007D264F">
        <w:rPr>
          <w:b/>
        </w:rPr>
        <w:t>225 915 CHF</w:t>
      </w:r>
      <w:r w:rsidRPr="007D264F">
        <w:t xml:space="preserve"> et le solde du Fonds</w:t>
      </w:r>
      <w:r w:rsidRPr="007D264F">
        <w:rPr>
          <w:rStyle w:val="FootnoteReference"/>
        </w:rPr>
        <w:footnoteReference w:id="3"/>
      </w:r>
      <w:r w:rsidRPr="007D264F">
        <w:t xml:space="preserve"> s'élevait à </w:t>
      </w:r>
      <w:r w:rsidRPr="007D264F">
        <w:rPr>
          <w:b/>
          <w:bCs/>
        </w:rPr>
        <w:t>6 607 613,63 CHF</w:t>
      </w:r>
      <w:r w:rsidRPr="007D264F">
        <w:t>.</w:t>
      </w:r>
    </w:p>
    <w:bookmarkEnd w:id="10"/>
    <w:p w14:paraId="2228CE9F" w14:textId="3BA17F8C" w:rsidR="00C71A05" w:rsidRPr="007D264F" w:rsidRDefault="00C71A05" w:rsidP="00C71A05">
      <w:pPr>
        <w:pStyle w:val="Heading1"/>
      </w:pPr>
      <w:r w:rsidRPr="007D264F">
        <w:t>5</w:t>
      </w:r>
      <w:r w:rsidRPr="007D264F">
        <w:tab/>
        <w:t>Perspectives d'avenir</w:t>
      </w:r>
    </w:p>
    <w:p w14:paraId="128B6A81" w14:textId="77777777" w:rsidR="00C71A05" w:rsidRPr="007D264F" w:rsidRDefault="00C71A05" w:rsidP="00C71A05">
      <w:r w:rsidRPr="007D264F">
        <w:t>5.1</w:t>
      </w:r>
      <w:r w:rsidRPr="007D264F">
        <w:tab/>
        <w:t xml:space="preserve">La progression de la mise en œuvre des projets financés par le FDTIC sera analysée et mise à jour à intervalles réguliers à l'adresse </w:t>
      </w:r>
      <w:hyperlink r:id="rId22" w:history="1">
        <w:r w:rsidRPr="007D264F">
          <w:rPr>
            <w:rStyle w:val="Hyperlink"/>
          </w:rPr>
          <w:t>https://www.itu.int/en/ITU-D/Projects/Pages/ICT-DF.aspx</w:t>
        </w:r>
      </w:hyperlink>
      <w:r w:rsidRPr="007D264F">
        <w:t>.</w:t>
      </w:r>
    </w:p>
    <w:p w14:paraId="7CB242D9" w14:textId="77777777" w:rsidR="00C62A95" w:rsidRPr="007D264F" w:rsidRDefault="00C62A95" w:rsidP="00C71A05">
      <w:r w:rsidRPr="007D264F">
        <w:br w:type="page"/>
      </w:r>
    </w:p>
    <w:p w14:paraId="098187F2" w14:textId="37D83692" w:rsidR="00C71A05" w:rsidRPr="007D264F" w:rsidRDefault="00C71A05" w:rsidP="00C71A05">
      <w:r w:rsidRPr="007D264F">
        <w:lastRenderedPageBreak/>
        <w:t>5.2</w:t>
      </w:r>
      <w:r w:rsidRPr="007D264F">
        <w:tab/>
        <w:t>Compte tenu du fait que le FDTIC est conçu pour répondre à une demande et pour fournir des capitaux de démarrage, la Commission de direction du FDTIC continuera à examiner les projets proposés à la lumière des règles et des critères tout en rentrant dans les limites du compte de capital du FDTIC, afin de soutenir le développement des télécommunications/TIC dans les États Membres de l'UIT et de contribuer à la réalisation des Objectifs de développement durable.</w:t>
      </w:r>
    </w:p>
    <w:p w14:paraId="4949016A" w14:textId="77777777" w:rsidR="00C71A05" w:rsidRPr="007D264F" w:rsidRDefault="00C71A05" w:rsidP="00C71A05">
      <w:r w:rsidRPr="007D264F">
        <w:t>5.3</w:t>
      </w:r>
      <w:r w:rsidRPr="007D264F">
        <w:tab/>
        <w:t>La Commission de direction du FDTIC doit tenir dûment compte des dispositions pertinentes de la Résolution 11 (Rév. Dubaï, 2018) de la Conférence de plénipotentiaires dont il est fait mention au paragraphe 4.3 ci-avant, avant d'envisager le financement de nouveaux projets par le FDTIC.</w:t>
      </w:r>
    </w:p>
    <w:p w14:paraId="10C829AF" w14:textId="77777777" w:rsidR="00C71A05" w:rsidRPr="007D264F" w:rsidRDefault="00C71A05" w:rsidP="00C71A05">
      <w:r w:rsidRPr="007D264F">
        <w:t>5.4</w:t>
      </w:r>
      <w:r w:rsidRPr="007D264F">
        <w:tab/>
        <w:t xml:space="preserve">Le Conseil est invité à </w:t>
      </w:r>
      <w:r w:rsidRPr="007D264F">
        <w:rPr>
          <w:b/>
          <w:bCs/>
        </w:rPr>
        <w:t>prendre note du présent rapport et à formuler les avis qu'il jugera utiles</w:t>
      </w:r>
      <w:r w:rsidRPr="007D264F">
        <w:t>.</w:t>
      </w:r>
    </w:p>
    <w:p w14:paraId="69F3E0CF" w14:textId="77777777" w:rsidR="00C71A05" w:rsidRPr="007D264F" w:rsidRDefault="00C71A05" w:rsidP="00C71A05">
      <w:r w:rsidRPr="007D264F">
        <w:br w:type="page"/>
      </w:r>
    </w:p>
    <w:p w14:paraId="4C0454EB" w14:textId="77777777" w:rsidR="00C71A05" w:rsidRPr="007D264F" w:rsidRDefault="00C71A05" w:rsidP="00C71A05">
      <w:pPr>
        <w:sectPr w:rsidR="00C71A05" w:rsidRPr="007D264F" w:rsidSect="004D1851">
          <w:headerReference w:type="default" r:id="rId23"/>
          <w:footerReference w:type="default" r:id="rId24"/>
          <w:footerReference w:type="first" r:id="rId25"/>
          <w:pgSz w:w="11907" w:h="16834"/>
          <w:pgMar w:top="1418" w:right="1134" w:bottom="1418" w:left="1134" w:header="720" w:footer="720" w:gutter="0"/>
          <w:paperSrc w:first="15" w:other="15"/>
          <w:cols w:space="720"/>
          <w:titlePg/>
        </w:sectPr>
      </w:pPr>
    </w:p>
    <w:p w14:paraId="5D3A8E8A" w14:textId="77777777" w:rsidR="00C71A05" w:rsidRPr="007D264F" w:rsidRDefault="00C71A05" w:rsidP="007D264F">
      <w:pPr>
        <w:pStyle w:val="AnnexNo"/>
        <w:spacing w:before="120"/>
        <w:rPr>
          <w:b/>
        </w:rPr>
      </w:pPr>
      <w:r w:rsidRPr="007D264F">
        <w:lastRenderedPageBreak/>
        <w:t>ANNEXE</w:t>
      </w:r>
    </w:p>
    <w:p w14:paraId="2A7B35CD" w14:textId="77777777" w:rsidR="00C71A05" w:rsidRPr="007D264F" w:rsidRDefault="00C71A05" w:rsidP="007D264F">
      <w:pPr>
        <w:pStyle w:val="Annextitle"/>
        <w:spacing w:before="120"/>
      </w:pPr>
      <w:r w:rsidRPr="007D264F">
        <w:t>Projets en cours financés par le FDTIC au troisième trimestre de 2021</w:t>
      </w:r>
    </w:p>
    <w:tbl>
      <w:tblPr>
        <w:tblStyle w:val="TableGrid"/>
        <w:tblpPr w:leftFromText="141" w:rightFromText="141" w:vertAnchor="text" w:tblpXSpec="center" w:tblpY="1"/>
        <w:tblOverlap w:val="never"/>
        <w:tblW w:w="14975" w:type="dxa"/>
        <w:tblBorders>
          <w:insideV w:val="none" w:sz="0" w:space="0" w:color="auto"/>
        </w:tblBorders>
        <w:tblLayout w:type="fixed"/>
        <w:tblLook w:val="04A0" w:firstRow="1" w:lastRow="0" w:firstColumn="1" w:lastColumn="0" w:noHBand="0" w:noVBand="1"/>
      </w:tblPr>
      <w:tblGrid>
        <w:gridCol w:w="1559"/>
        <w:gridCol w:w="2306"/>
        <w:gridCol w:w="1170"/>
        <w:gridCol w:w="1289"/>
        <w:gridCol w:w="1311"/>
        <w:gridCol w:w="1231"/>
        <w:gridCol w:w="1749"/>
        <w:gridCol w:w="2610"/>
        <w:gridCol w:w="1750"/>
      </w:tblGrid>
      <w:tr w:rsidR="00C71A05" w:rsidRPr="007D264F" w14:paraId="233960CB" w14:textId="77777777" w:rsidTr="00C71A05">
        <w:trPr>
          <w:trHeight w:val="404"/>
          <w:tblHeader/>
        </w:trPr>
        <w:tc>
          <w:tcPr>
            <w:tcW w:w="1559" w:type="dxa"/>
            <w:shd w:val="clear" w:color="auto" w:fill="D9D9D9" w:themeFill="background1" w:themeFillShade="D9"/>
            <w:tcMar>
              <w:left w:w="85" w:type="dxa"/>
              <w:right w:w="85" w:type="dxa"/>
            </w:tcMar>
            <w:vAlign w:val="center"/>
          </w:tcPr>
          <w:p w14:paraId="53CBC201" w14:textId="77777777" w:rsidR="00C71A05" w:rsidRPr="007D264F" w:rsidRDefault="00C71A05" w:rsidP="00C71A05">
            <w:pPr>
              <w:pStyle w:val="Tablehead"/>
              <w:rPr>
                <w:sz w:val="18"/>
                <w:szCs w:val="18"/>
              </w:rPr>
            </w:pPr>
            <w:r w:rsidRPr="007D264F">
              <w:rPr>
                <w:sz w:val="18"/>
                <w:szCs w:val="18"/>
              </w:rPr>
              <w:t>N° du projet</w:t>
            </w:r>
          </w:p>
        </w:tc>
        <w:tc>
          <w:tcPr>
            <w:tcW w:w="2306" w:type="dxa"/>
            <w:shd w:val="clear" w:color="auto" w:fill="D9D9D9" w:themeFill="background1" w:themeFillShade="D9"/>
            <w:tcMar>
              <w:left w:w="85" w:type="dxa"/>
              <w:right w:w="85" w:type="dxa"/>
            </w:tcMar>
            <w:vAlign w:val="center"/>
          </w:tcPr>
          <w:p w14:paraId="4ADE739C" w14:textId="77777777" w:rsidR="00C71A05" w:rsidRPr="007D264F" w:rsidRDefault="00C71A05" w:rsidP="00C71A05">
            <w:pPr>
              <w:pStyle w:val="Tablehead"/>
              <w:rPr>
                <w:sz w:val="18"/>
                <w:szCs w:val="18"/>
              </w:rPr>
            </w:pPr>
            <w:r w:rsidRPr="007D264F">
              <w:rPr>
                <w:sz w:val="18"/>
                <w:szCs w:val="18"/>
              </w:rPr>
              <w:t>Titre</w:t>
            </w:r>
          </w:p>
        </w:tc>
        <w:tc>
          <w:tcPr>
            <w:tcW w:w="1170" w:type="dxa"/>
            <w:shd w:val="clear" w:color="auto" w:fill="D9D9D9" w:themeFill="background1" w:themeFillShade="D9"/>
            <w:tcMar>
              <w:left w:w="85" w:type="dxa"/>
              <w:right w:w="85" w:type="dxa"/>
            </w:tcMar>
            <w:vAlign w:val="center"/>
          </w:tcPr>
          <w:p w14:paraId="5305F9F1" w14:textId="77777777" w:rsidR="00C71A05" w:rsidRPr="007D264F" w:rsidRDefault="00C71A05" w:rsidP="00C71A05">
            <w:pPr>
              <w:pStyle w:val="Tablehead"/>
              <w:rPr>
                <w:sz w:val="18"/>
                <w:szCs w:val="18"/>
              </w:rPr>
            </w:pPr>
            <w:r w:rsidRPr="007D264F">
              <w:rPr>
                <w:sz w:val="18"/>
                <w:szCs w:val="18"/>
              </w:rPr>
              <w:t>Date de début</w:t>
            </w:r>
          </w:p>
        </w:tc>
        <w:tc>
          <w:tcPr>
            <w:tcW w:w="1289" w:type="dxa"/>
            <w:shd w:val="clear" w:color="auto" w:fill="D9D9D9" w:themeFill="background1" w:themeFillShade="D9"/>
            <w:tcMar>
              <w:left w:w="85" w:type="dxa"/>
              <w:right w:w="85" w:type="dxa"/>
            </w:tcMar>
            <w:vAlign w:val="center"/>
          </w:tcPr>
          <w:p w14:paraId="27527D53" w14:textId="77777777" w:rsidR="00C71A05" w:rsidRPr="007D264F" w:rsidRDefault="00C71A05" w:rsidP="00C71A05">
            <w:pPr>
              <w:pStyle w:val="Tablehead"/>
              <w:rPr>
                <w:sz w:val="18"/>
                <w:szCs w:val="18"/>
              </w:rPr>
            </w:pPr>
            <w:r w:rsidRPr="007D264F">
              <w:rPr>
                <w:sz w:val="18"/>
                <w:szCs w:val="18"/>
              </w:rPr>
              <w:t>Date de fin</w:t>
            </w:r>
          </w:p>
        </w:tc>
        <w:tc>
          <w:tcPr>
            <w:tcW w:w="1311" w:type="dxa"/>
            <w:shd w:val="clear" w:color="auto" w:fill="D9D9D9" w:themeFill="background1" w:themeFillShade="D9"/>
            <w:tcMar>
              <w:left w:w="85" w:type="dxa"/>
              <w:right w:w="85" w:type="dxa"/>
            </w:tcMar>
            <w:vAlign w:val="center"/>
          </w:tcPr>
          <w:p w14:paraId="229EACC6" w14:textId="77777777" w:rsidR="00C71A05" w:rsidRPr="007D264F" w:rsidRDefault="00C71A05" w:rsidP="00C71A05">
            <w:pPr>
              <w:pStyle w:val="Tablehead"/>
              <w:rPr>
                <w:sz w:val="18"/>
                <w:szCs w:val="18"/>
              </w:rPr>
            </w:pPr>
            <w:r w:rsidRPr="007D264F">
              <w:rPr>
                <w:sz w:val="18"/>
                <w:szCs w:val="18"/>
              </w:rPr>
              <w:t>Région</w:t>
            </w:r>
          </w:p>
        </w:tc>
        <w:tc>
          <w:tcPr>
            <w:tcW w:w="1231" w:type="dxa"/>
            <w:shd w:val="clear" w:color="auto" w:fill="D9D9D9" w:themeFill="background1" w:themeFillShade="D9"/>
            <w:tcMar>
              <w:left w:w="85" w:type="dxa"/>
              <w:right w:w="85" w:type="dxa"/>
            </w:tcMar>
            <w:vAlign w:val="center"/>
          </w:tcPr>
          <w:p w14:paraId="3C56F6AE" w14:textId="77777777" w:rsidR="00C71A05" w:rsidRPr="007D264F" w:rsidRDefault="00C71A05" w:rsidP="00C71A05">
            <w:pPr>
              <w:pStyle w:val="Tablehead"/>
              <w:rPr>
                <w:sz w:val="18"/>
                <w:szCs w:val="18"/>
              </w:rPr>
            </w:pPr>
            <w:r w:rsidRPr="007D264F">
              <w:rPr>
                <w:sz w:val="18"/>
                <w:szCs w:val="18"/>
              </w:rPr>
              <w:t>Date de signature</w:t>
            </w:r>
          </w:p>
        </w:tc>
        <w:tc>
          <w:tcPr>
            <w:tcW w:w="1749" w:type="dxa"/>
            <w:shd w:val="clear" w:color="auto" w:fill="D9D9D9" w:themeFill="background1" w:themeFillShade="D9"/>
            <w:tcMar>
              <w:left w:w="85" w:type="dxa"/>
              <w:right w:w="85" w:type="dxa"/>
            </w:tcMar>
            <w:vAlign w:val="center"/>
          </w:tcPr>
          <w:p w14:paraId="6F424760" w14:textId="77777777" w:rsidR="00C71A05" w:rsidRPr="007D264F" w:rsidRDefault="00C71A05" w:rsidP="00C71A05">
            <w:pPr>
              <w:pStyle w:val="Tablehead"/>
              <w:rPr>
                <w:sz w:val="18"/>
                <w:szCs w:val="18"/>
              </w:rPr>
            </w:pPr>
            <w:r w:rsidRPr="007D264F">
              <w:rPr>
                <w:sz w:val="18"/>
                <w:szCs w:val="18"/>
              </w:rPr>
              <w:t>Partenaire(s)</w:t>
            </w:r>
          </w:p>
        </w:tc>
        <w:tc>
          <w:tcPr>
            <w:tcW w:w="2610" w:type="dxa"/>
            <w:shd w:val="clear" w:color="auto" w:fill="D9D9D9" w:themeFill="background1" w:themeFillShade="D9"/>
            <w:tcMar>
              <w:left w:w="85" w:type="dxa"/>
              <w:right w:w="85" w:type="dxa"/>
            </w:tcMar>
            <w:vAlign w:val="center"/>
          </w:tcPr>
          <w:p w14:paraId="5CB929BB" w14:textId="77777777" w:rsidR="00C71A05" w:rsidRPr="007D264F" w:rsidRDefault="00C71A05" w:rsidP="00C71A05">
            <w:pPr>
              <w:pStyle w:val="Tablehead"/>
              <w:rPr>
                <w:sz w:val="18"/>
                <w:szCs w:val="18"/>
              </w:rPr>
            </w:pPr>
            <w:r w:rsidRPr="007D264F">
              <w:rPr>
                <w:sz w:val="18"/>
                <w:szCs w:val="18"/>
              </w:rPr>
              <w:t xml:space="preserve">Budget </w:t>
            </w:r>
            <w:r w:rsidRPr="007D264F">
              <w:rPr>
                <w:sz w:val="18"/>
                <w:szCs w:val="18"/>
              </w:rPr>
              <w:br/>
              <w:t>signé</w:t>
            </w:r>
          </w:p>
        </w:tc>
        <w:tc>
          <w:tcPr>
            <w:tcW w:w="1750" w:type="dxa"/>
            <w:shd w:val="clear" w:color="auto" w:fill="D9D9D9" w:themeFill="background1" w:themeFillShade="D9"/>
            <w:tcMar>
              <w:left w:w="85" w:type="dxa"/>
              <w:right w:w="85" w:type="dxa"/>
            </w:tcMar>
            <w:vAlign w:val="center"/>
          </w:tcPr>
          <w:p w14:paraId="4682CE83" w14:textId="77777777" w:rsidR="00C71A05" w:rsidRPr="007D264F" w:rsidRDefault="00C71A05" w:rsidP="00C71A05">
            <w:pPr>
              <w:pStyle w:val="Tablehead"/>
              <w:rPr>
                <w:sz w:val="18"/>
                <w:szCs w:val="18"/>
              </w:rPr>
            </w:pPr>
            <w:r w:rsidRPr="007D264F">
              <w:rPr>
                <w:sz w:val="18"/>
                <w:szCs w:val="18"/>
              </w:rPr>
              <w:t xml:space="preserve">Budget restant </w:t>
            </w:r>
            <w:r w:rsidRPr="007D264F">
              <w:rPr>
                <w:sz w:val="18"/>
                <w:szCs w:val="18"/>
              </w:rPr>
              <w:br/>
              <w:t>(après déduction des engagements de dépenses)</w:t>
            </w:r>
          </w:p>
        </w:tc>
      </w:tr>
      <w:tr w:rsidR="00C71A05" w:rsidRPr="007D264F" w14:paraId="1544DAB5" w14:textId="77777777" w:rsidTr="00C71A05">
        <w:trPr>
          <w:trHeight w:val="404"/>
        </w:trPr>
        <w:tc>
          <w:tcPr>
            <w:tcW w:w="1559" w:type="dxa"/>
            <w:tcMar>
              <w:left w:w="85" w:type="dxa"/>
              <w:right w:w="85" w:type="dxa"/>
            </w:tcMar>
            <w:vAlign w:val="center"/>
          </w:tcPr>
          <w:p w14:paraId="6B43001E" w14:textId="77777777" w:rsidR="00C71A05" w:rsidRPr="007D264F" w:rsidRDefault="00C71A05" w:rsidP="00C62A95">
            <w:pPr>
              <w:pStyle w:val="Tabletext"/>
              <w:jc w:val="center"/>
              <w:rPr>
                <w:sz w:val="18"/>
                <w:szCs w:val="18"/>
              </w:rPr>
            </w:pPr>
            <w:r w:rsidRPr="007D264F">
              <w:rPr>
                <w:sz w:val="18"/>
                <w:szCs w:val="18"/>
              </w:rPr>
              <w:t>7GLO03043</w:t>
            </w:r>
          </w:p>
        </w:tc>
        <w:tc>
          <w:tcPr>
            <w:tcW w:w="2306" w:type="dxa"/>
            <w:tcMar>
              <w:left w:w="85" w:type="dxa"/>
              <w:right w:w="85" w:type="dxa"/>
            </w:tcMar>
            <w:vAlign w:val="center"/>
          </w:tcPr>
          <w:p w14:paraId="04687DD5" w14:textId="77777777" w:rsidR="00C71A05" w:rsidRPr="007D264F" w:rsidRDefault="00C71A05" w:rsidP="00C62A95">
            <w:pPr>
              <w:pStyle w:val="Tabletext"/>
              <w:jc w:val="center"/>
              <w:rPr>
                <w:sz w:val="18"/>
                <w:szCs w:val="18"/>
              </w:rPr>
            </w:pPr>
            <w:r w:rsidRPr="007D264F">
              <w:rPr>
                <w:sz w:val="18"/>
                <w:szCs w:val="18"/>
              </w:rPr>
              <w:t>Développement des télécommunications rurales dans les pays les moins avancés</w:t>
            </w:r>
          </w:p>
        </w:tc>
        <w:tc>
          <w:tcPr>
            <w:tcW w:w="1170" w:type="dxa"/>
            <w:tcMar>
              <w:left w:w="85" w:type="dxa"/>
              <w:right w:w="85" w:type="dxa"/>
            </w:tcMar>
            <w:vAlign w:val="center"/>
          </w:tcPr>
          <w:p w14:paraId="37AFFC77" w14:textId="77777777" w:rsidR="00C71A05" w:rsidRPr="007D264F" w:rsidRDefault="00C71A05" w:rsidP="00C62A95">
            <w:pPr>
              <w:pStyle w:val="Tabletext"/>
              <w:jc w:val="center"/>
              <w:rPr>
                <w:sz w:val="18"/>
                <w:szCs w:val="18"/>
              </w:rPr>
            </w:pPr>
            <w:r w:rsidRPr="007D264F">
              <w:rPr>
                <w:sz w:val="18"/>
                <w:szCs w:val="18"/>
              </w:rPr>
              <w:t>Jan. 2003</w:t>
            </w:r>
          </w:p>
        </w:tc>
        <w:tc>
          <w:tcPr>
            <w:tcW w:w="1289" w:type="dxa"/>
            <w:tcMar>
              <w:left w:w="85" w:type="dxa"/>
              <w:right w:w="85" w:type="dxa"/>
            </w:tcMar>
            <w:vAlign w:val="center"/>
          </w:tcPr>
          <w:p w14:paraId="757541E3" w14:textId="797BD6AD" w:rsidR="00C71A05" w:rsidRPr="007D264F" w:rsidRDefault="00C71A05" w:rsidP="00C62A95">
            <w:pPr>
              <w:pStyle w:val="Tabletext"/>
              <w:jc w:val="center"/>
              <w:rPr>
                <w:sz w:val="18"/>
                <w:szCs w:val="18"/>
              </w:rPr>
            </w:pPr>
            <w:r w:rsidRPr="007D264F">
              <w:rPr>
                <w:sz w:val="18"/>
                <w:szCs w:val="18"/>
              </w:rPr>
              <w:t>Août 2023</w:t>
            </w:r>
          </w:p>
        </w:tc>
        <w:tc>
          <w:tcPr>
            <w:tcW w:w="1311" w:type="dxa"/>
            <w:tcMar>
              <w:left w:w="85" w:type="dxa"/>
              <w:right w:w="85" w:type="dxa"/>
            </w:tcMar>
            <w:vAlign w:val="center"/>
          </w:tcPr>
          <w:p w14:paraId="2E6D8772" w14:textId="77777777" w:rsidR="00C71A05" w:rsidRPr="007D264F" w:rsidRDefault="00C71A05" w:rsidP="00C62A95">
            <w:pPr>
              <w:pStyle w:val="Tabletext"/>
              <w:jc w:val="center"/>
              <w:rPr>
                <w:sz w:val="18"/>
                <w:szCs w:val="18"/>
              </w:rPr>
            </w:pPr>
            <w:r w:rsidRPr="007D264F">
              <w:rPr>
                <w:sz w:val="18"/>
                <w:szCs w:val="18"/>
              </w:rPr>
              <w:t>Projet multirégional</w:t>
            </w:r>
          </w:p>
        </w:tc>
        <w:tc>
          <w:tcPr>
            <w:tcW w:w="1231" w:type="dxa"/>
            <w:tcMar>
              <w:left w:w="85" w:type="dxa"/>
              <w:right w:w="85" w:type="dxa"/>
            </w:tcMar>
            <w:vAlign w:val="center"/>
          </w:tcPr>
          <w:p w14:paraId="3AF1DC22" w14:textId="77777777" w:rsidR="00C71A05" w:rsidRPr="007D264F" w:rsidRDefault="00C71A05" w:rsidP="00C62A95">
            <w:pPr>
              <w:pStyle w:val="Tabletext"/>
              <w:jc w:val="center"/>
              <w:rPr>
                <w:sz w:val="18"/>
                <w:szCs w:val="18"/>
              </w:rPr>
            </w:pPr>
            <w:r w:rsidRPr="007D264F">
              <w:rPr>
                <w:sz w:val="18"/>
                <w:szCs w:val="18"/>
              </w:rPr>
              <w:t>Déc. 2002</w:t>
            </w:r>
          </w:p>
        </w:tc>
        <w:tc>
          <w:tcPr>
            <w:tcW w:w="1749" w:type="dxa"/>
            <w:tcMar>
              <w:left w:w="85" w:type="dxa"/>
              <w:right w:w="85" w:type="dxa"/>
            </w:tcMar>
            <w:vAlign w:val="center"/>
          </w:tcPr>
          <w:p w14:paraId="6B96D546" w14:textId="77777777" w:rsidR="00C71A05" w:rsidRPr="007D264F" w:rsidRDefault="00C71A05" w:rsidP="00C62A95">
            <w:pPr>
              <w:pStyle w:val="Tabletext"/>
              <w:jc w:val="center"/>
              <w:rPr>
                <w:sz w:val="18"/>
                <w:szCs w:val="18"/>
              </w:rPr>
            </w:pPr>
          </w:p>
        </w:tc>
        <w:tc>
          <w:tcPr>
            <w:tcW w:w="2610" w:type="dxa"/>
            <w:tcMar>
              <w:left w:w="85" w:type="dxa"/>
              <w:right w:w="85" w:type="dxa"/>
            </w:tcMar>
            <w:vAlign w:val="center"/>
          </w:tcPr>
          <w:p w14:paraId="1480BEDE" w14:textId="77777777" w:rsidR="00C71A05" w:rsidRPr="007D264F" w:rsidRDefault="00C71A05" w:rsidP="00C62A95">
            <w:pPr>
              <w:pStyle w:val="Tabletext"/>
              <w:jc w:val="center"/>
              <w:rPr>
                <w:sz w:val="18"/>
                <w:szCs w:val="18"/>
              </w:rPr>
            </w:pPr>
            <w:r w:rsidRPr="007D264F">
              <w:rPr>
                <w:sz w:val="18"/>
                <w:szCs w:val="18"/>
              </w:rPr>
              <w:t xml:space="preserve">FDTIC: </w:t>
            </w:r>
            <w:r w:rsidRPr="007D264F">
              <w:rPr>
                <w:sz w:val="18"/>
                <w:szCs w:val="18"/>
              </w:rPr>
              <w:br/>
              <w:t xml:space="preserve">Solde (01.01.10): </w:t>
            </w:r>
            <w:r w:rsidRPr="007D264F">
              <w:rPr>
                <w:sz w:val="18"/>
                <w:szCs w:val="18"/>
              </w:rPr>
              <w:br/>
              <w:t>509 035 USD</w:t>
            </w:r>
          </w:p>
          <w:p w14:paraId="2A26F56F" w14:textId="77777777" w:rsidR="00C71A05" w:rsidRPr="007D264F" w:rsidRDefault="00C71A05" w:rsidP="00C62A95">
            <w:pPr>
              <w:pStyle w:val="Tabletext"/>
              <w:jc w:val="center"/>
              <w:rPr>
                <w:sz w:val="18"/>
                <w:szCs w:val="18"/>
              </w:rPr>
            </w:pPr>
            <w:r w:rsidRPr="007D264F">
              <w:rPr>
                <w:sz w:val="18"/>
                <w:szCs w:val="18"/>
              </w:rPr>
              <w:t xml:space="preserve">Fonds supplémentaires alloués: (15.01.10): </w:t>
            </w:r>
            <w:r w:rsidRPr="007D264F">
              <w:rPr>
                <w:sz w:val="18"/>
                <w:szCs w:val="18"/>
              </w:rPr>
              <w:br/>
              <w:t>1 000 000 USD</w:t>
            </w:r>
          </w:p>
          <w:p w14:paraId="33A2724D" w14:textId="77777777" w:rsidR="00C71A05" w:rsidRPr="007D264F" w:rsidRDefault="00C71A05" w:rsidP="00C62A95">
            <w:pPr>
              <w:pStyle w:val="Tabletext"/>
              <w:jc w:val="center"/>
              <w:rPr>
                <w:sz w:val="18"/>
                <w:szCs w:val="18"/>
              </w:rPr>
            </w:pPr>
            <w:r w:rsidRPr="007D264F">
              <w:rPr>
                <w:sz w:val="18"/>
                <w:szCs w:val="18"/>
              </w:rPr>
              <w:t xml:space="preserve">Fonds supplémentaires alloués depuis le FDTIC: (14.11.13) </w:t>
            </w:r>
            <w:r w:rsidRPr="007D264F">
              <w:rPr>
                <w:sz w:val="18"/>
                <w:szCs w:val="18"/>
              </w:rPr>
              <w:br/>
              <w:t>1 000 000 USD</w:t>
            </w:r>
          </w:p>
        </w:tc>
        <w:tc>
          <w:tcPr>
            <w:tcW w:w="1750" w:type="dxa"/>
            <w:tcMar>
              <w:left w:w="85" w:type="dxa"/>
              <w:right w:w="85" w:type="dxa"/>
            </w:tcMar>
            <w:vAlign w:val="center"/>
          </w:tcPr>
          <w:p w14:paraId="7A07B8AE" w14:textId="77777777" w:rsidR="00C71A05" w:rsidRPr="007D264F" w:rsidRDefault="00C71A05" w:rsidP="00C62A95">
            <w:pPr>
              <w:pStyle w:val="Tabletext"/>
              <w:jc w:val="center"/>
              <w:rPr>
                <w:sz w:val="18"/>
                <w:szCs w:val="18"/>
              </w:rPr>
            </w:pPr>
            <w:r w:rsidRPr="007D264F">
              <w:rPr>
                <w:sz w:val="18"/>
                <w:szCs w:val="18"/>
              </w:rPr>
              <w:t>852 434 CHF</w:t>
            </w:r>
          </w:p>
        </w:tc>
      </w:tr>
      <w:tr w:rsidR="00C71A05" w:rsidRPr="007D264F" w14:paraId="6AB60390" w14:textId="77777777" w:rsidTr="00C71A05">
        <w:trPr>
          <w:trHeight w:val="404"/>
        </w:trPr>
        <w:tc>
          <w:tcPr>
            <w:tcW w:w="1559" w:type="dxa"/>
            <w:tcMar>
              <w:left w:w="85" w:type="dxa"/>
              <w:right w:w="85" w:type="dxa"/>
            </w:tcMar>
            <w:vAlign w:val="center"/>
          </w:tcPr>
          <w:p w14:paraId="0D871006" w14:textId="77777777" w:rsidR="00C71A05" w:rsidRPr="007D264F" w:rsidRDefault="00C71A05" w:rsidP="00C62A95">
            <w:pPr>
              <w:pStyle w:val="Tabletext"/>
              <w:jc w:val="center"/>
              <w:rPr>
                <w:sz w:val="18"/>
                <w:szCs w:val="18"/>
              </w:rPr>
            </w:pPr>
            <w:r w:rsidRPr="007D264F">
              <w:rPr>
                <w:sz w:val="18"/>
                <w:szCs w:val="18"/>
              </w:rPr>
              <w:t>7OMA13005</w:t>
            </w:r>
          </w:p>
        </w:tc>
        <w:tc>
          <w:tcPr>
            <w:tcW w:w="2306" w:type="dxa"/>
            <w:tcMar>
              <w:left w:w="85" w:type="dxa"/>
              <w:right w:w="85" w:type="dxa"/>
            </w:tcMar>
            <w:vAlign w:val="center"/>
          </w:tcPr>
          <w:p w14:paraId="117E677C" w14:textId="77777777" w:rsidR="00C71A05" w:rsidRPr="007D264F" w:rsidRDefault="00C71A05" w:rsidP="00C62A95">
            <w:pPr>
              <w:pStyle w:val="Tabletext"/>
              <w:jc w:val="center"/>
              <w:rPr>
                <w:sz w:val="18"/>
                <w:szCs w:val="18"/>
              </w:rPr>
            </w:pPr>
            <w:r w:rsidRPr="007D264F">
              <w:rPr>
                <w:sz w:val="18"/>
                <w:szCs w:val="18"/>
              </w:rPr>
              <w:t>Création d'un centre pour l'innovation en matière de cybersécurité pour la région des États arabes</w:t>
            </w:r>
          </w:p>
        </w:tc>
        <w:tc>
          <w:tcPr>
            <w:tcW w:w="1170" w:type="dxa"/>
            <w:tcMar>
              <w:left w:w="85" w:type="dxa"/>
              <w:right w:w="85" w:type="dxa"/>
            </w:tcMar>
            <w:vAlign w:val="center"/>
          </w:tcPr>
          <w:p w14:paraId="3954C774" w14:textId="77777777" w:rsidR="00C71A05" w:rsidRPr="007D264F" w:rsidRDefault="00C71A05" w:rsidP="00C62A95">
            <w:pPr>
              <w:pStyle w:val="Tabletext"/>
              <w:jc w:val="center"/>
              <w:rPr>
                <w:sz w:val="18"/>
                <w:szCs w:val="18"/>
              </w:rPr>
            </w:pPr>
            <w:r w:rsidRPr="007D264F">
              <w:rPr>
                <w:sz w:val="18"/>
                <w:szCs w:val="18"/>
              </w:rPr>
              <w:t>Fév. 2013</w:t>
            </w:r>
          </w:p>
        </w:tc>
        <w:tc>
          <w:tcPr>
            <w:tcW w:w="1289" w:type="dxa"/>
            <w:tcMar>
              <w:left w:w="85" w:type="dxa"/>
              <w:right w:w="85" w:type="dxa"/>
            </w:tcMar>
            <w:vAlign w:val="center"/>
          </w:tcPr>
          <w:p w14:paraId="04748AF4" w14:textId="77777777" w:rsidR="00C71A05" w:rsidRPr="007D264F" w:rsidRDefault="00C71A05" w:rsidP="00C62A95">
            <w:pPr>
              <w:pStyle w:val="Tabletext"/>
              <w:jc w:val="center"/>
              <w:rPr>
                <w:sz w:val="18"/>
                <w:szCs w:val="18"/>
              </w:rPr>
            </w:pPr>
            <w:r w:rsidRPr="007D264F">
              <w:rPr>
                <w:sz w:val="18"/>
                <w:szCs w:val="18"/>
              </w:rPr>
              <w:t>Sep. 2030</w:t>
            </w:r>
          </w:p>
        </w:tc>
        <w:tc>
          <w:tcPr>
            <w:tcW w:w="1311" w:type="dxa"/>
            <w:tcMar>
              <w:left w:w="85" w:type="dxa"/>
              <w:right w:w="85" w:type="dxa"/>
            </w:tcMar>
            <w:vAlign w:val="center"/>
          </w:tcPr>
          <w:p w14:paraId="06037601" w14:textId="77777777" w:rsidR="00C71A05" w:rsidRPr="007D264F" w:rsidRDefault="00C71A05" w:rsidP="00C62A95">
            <w:pPr>
              <w:pStyle w:val="Tabletext"/>
              <w:jc w:val="center"/>
              <w:rPr>
                <w:sz w:val="18"/>
                <w:szCs w:val="18"/>
              </w:rPr>
            </w:pPr>
            <w:r w:rsidRPr="007D264F">
              <w:rPr>
                <w:sz w:val="18"/>
                <w:szCs w:val="18"/>
              </w:rPr>
              <w:t>États arabes</w:t>
            </w:r>
          </w:p>
        </w:tc>
        <w:tc>
          <w:tcPr>
            <w:tcW w:w="1231" w:type="dxa"/>
            <w:tcMar>
              <w:left w:w="85" w:type="dxa"/>
              <w:right w:w="85" w:type="dxa"/>
            </w:tcMar>
            <w:vAlign w:val="center"/>
          </w:tcPr>
          <w:p w14:paraId="4DD2C327" w14:textId="77777777" w:rsidR="00C71A05" w:rsidRPr="007D264F" w:rsidRDefault="00C71A05" w:rsidP="00C62A95">
            <w:pPr>
              <w:pStyle w:val="Tabletext"/>
              <w:jc w:val="center"/>
              <w:rPr>
                <w:sz w:val="18"/>
                <w:szCs w:val="18"/>
              </w:rPr>
            </w:pPr>
            <w:r w:rsidRPr="007D264F">
              <w:rPr>
                <w:sz w:val="18"/>
                <w:szCs w:val="18"/>
              </w:rPr>
              <w:t>Déc. 2012</w:t>
            </w:r>
          </w:p>
        </w:tc>
        <w:tc>
          <w:tcPr>
            <w:tcW w:w="1749" w:type="dxa"/>
            <w:tcMar>
              <w:left w:w="85" w:type="dxa"/>
              <w:right w:w="85" w:type="dxa"/>
            </w:tcMar>
            <w:vAlign w:val="center"/>
          </w:tcPr>
          <w:p w14:paraId="29959140" w14:textId="77777777" w:rsidR="00C71A05" w:rsidRPr="007D264F" w:rsidRDefault="00C71A05" w:rsidP="00C62A95">
            <w:pPr>
              <w:pStyle w:val="Tabletext"/>
              <w:jc w:val="center"/>
              <w:rPr>
                <w:sz w:val="18"/>
                <w:szCs w:val="18"/>
              </w:rPr>
            </w:pPr>
            <w:r w:rsidRPr="007D264F">
              <w:rPr>
                <w:sz w:val="18"/>
                <w:szCs w:val="18"/>
              </w:rPr>
              <w:t>Oman</w:t>
            </w:r>
          </w:p>
        </w:tc>
        <w:tc>
          <w:tcPr>
            <w:tcW w:w="2610" w:type="dxa"/>
            <w:tcMar>
              <w:left w:w="85" w:type="dxa"/>
              <w:right w:w="85" w:type="dxa"/>
            </w:tcMar>
            <w:vAlign w:val="center"/>
          </w:tcPr>
          <w:p w14:paraId="69F2152C" w14:textId="77777777" w:rsidR="00C71A05" w:rsidRPr="007D264F" w:rsidRDefault="00C71A05" w:rsidP="00C62A95">
            <w:pPr>
              <w:pStyle w:val="Tabletext"/>
              <w:jc w:val="center"/>
              <w:rPr>
                <w:sz w:val="18"/>
                <w:szCs w:val="18"/>
              </w:rPr>
            </w:pPr>
            <w:r w:rsidRPr="007D264F">
              <w:rPr>
                <w:sz w:val="18"/>
                <w:szCs w:val="18"/>
              </w:rPr>
              <w:t>Oman: 1 966 000 CHF</w:t>
            </w:r>
          </w:p>
          <w:p w14:paraId="0723196C" w14:textId="77777777" w:rsidR="00C71A05" w:rsidRPr="007D264F" w:rsidRDefault="00C71A05" w:rsidP="00C62A95">
            <w:pPr>
              <w:pStyle w:val="Tabletext"/>
              <w:jc w:val="center"/>
              <w:rPr>
                <w:sz w:val="18"/>
                <w:szCs w:val="18"/>
              </w:rPr>
            </w:pPr>
            <w:r w:rsidRPr="007D264F">
              <w:rPr>
                <w:sz w:val="18"/>
                <w:szCs w:val="18"/>
              </w:rPr>
              <w:t>FDTIC: 739 708 CHF</w:t>
            </w:r>
          </w:p>
        </w:tc>
        <w:tc>
          <w:tcPr>
            <w:tcW w:w="1750" w:type="dxa"/>
            <w:tcMar>
              <w:left w:w="85" w:type="dxa"/>
              <w:right w:w="85" w:type="dxa"/>
            </w:tcMar>
            <w:vAlign w:val="center"/>
          </w:tcPr>
          <w:p w14:paraId="6892EEF1" w14:textId="77777777" w:rsidR="00C71A05" w:rsidRPr="007D264F" w:rsidRDefault="00C71A05" w:rsidP="00C62A95">
            <w:pPr>
              <w:pStyle w:val="Tabletext"/>
              <w:jc w:val="center"/>
              <w:rPr>
                <w:sz w:val="18"/>
                <w:szCs w:val="18"/>
              </w:rPr>
            </w:pPr>
            <w:r w:rsidRPr="007D264F">
              <w:rPr>
                <w:sz w:val="18"/>
                <w:szCs w:val="18"/>
              </w:rPr>
              <w:t>143 470 CHF</w:t>
            </w:r>
          </w:p>
          <w:p w14:paraId="67E581EB" w14:textId="77777777" w:rsidR="00C71A05" w:rsidRPr="007D264F" w:rsidRDefault="00C71A05" w:rsidP="00C62A95">
            <w:pPr>
              <w:pStyle w:val="Tabletext"/>
              <w:jc w:val="center"/>
              <w:rPr>
                <w:sz w:val="18"/>
                <w:szCs w:val="18"/>
              </w:rPr>
            </w:pPr>
          </w:p>
        </w:tc>
      </w:tr>
      <w:tr w:rsidR="00C71A05" w:rsidRPr="007D264F" w14:paraId="67782EDE" w14:textId="77777777" w:rsidTr="00C71A05">
        <w:trPr>
          <w:trHeight w:val="404"/>
        </w:trPr>
        <w:tc>
          <w:tcPr>
            <w:tcW w:w="1559" w:type="dxa"/>
            <w:tcMar>
              <w:left w:w="85" w:type="dxa"/>
              <w:right w:w="85" w:type="dxa"/>
            </w:tcMar>
            <w:vAlign w:val="center"/>
          </w:tcPr>
          <w:p w14:paraId="63B39A6E" w14:textId="77777777" w:rsidR="00C71A05" w:rsidRPr="007D264F" w:rsidRDefault="00C71A05" w:rsidP="00C62A95">
            <w:pPr>
              <w:pStyle w:val="Tabletext"/>
              <w:jc w:val="center"/>
              <w:rPr>
                <w:sz w:val="18"/>
                <w:szCs w:val="18"/>
              </w:rPr>
            </w:pPr>
            <w:r w:rsidRPr="007D264F">
              <w:rPr>
                <w:sz w:val="18"/>
                <w:szCs w:val="18"/>
              </w:rPr>
              <w:t>9RAF18089</w:t>
            </w:r>
          </w:p>
        </w:tc>
        <w:tc>
          <w:tcPr>
            <w:tcW w:w="2306" w:type="dxa"/>
            <w:tcMar>
              <w:left w:w="85" w:type="dxa"/>
              <w:right w:w="85" w:type="dxa"/>
            </w:tcMar>
            <w:vAlign w:val="center"/>
          </w:tcPr>
          <w:p w14:paraId="7C38561C" w14:textId="77777777" w:rsidR="00C71A05" w:rsidRPr="007D264F" w:rsidRDefault="00C71A05" w:rsidP="00C62A95">
            <w:pPr>
              <w:pStyle w:val="Tabletext"/>
              <w:jc w:val="center"/>
              <w:rPr>
                <w:sz w:val="18"/>
                <w:szCs w:val="18"/>
              </w:rPr>
            </w:pPr>
            <w:r w:rsidRPr="007D264F">
              <w:rPr>
                <w:sz w:val="18"/>
                <w:szCs w:val="18"/>
              </w:rPr>
              <w:t>Convention de délégation PRIDA-UIT en vue de l'action</w:t>
            </w:r>
          </w:p>
        </w:tc>
        <w:tc>
          <w:tcPr>
            <w:tcW w:w="1170" w:type="dxa"/>
            <w:tcMar>
              <w:left w:w="85" w:type="dxa"/>
              <w:right w:w="85" w:type="dxa"/>
            </w:tcMar>
            <w:vAlign w:val="center"/>
          </w:tcPr>
          <w:p w14:paraId="184C5C72" w14:textId="77777777" w:rsidR="00C71A05" w:rsidRPr="007D264F" w:rsidRDefault="00C71A05" w:rsidP="00C62A95">
            <w:pPr>
              <w:pStyle w:val="Tabletext"/>
              <w:jc w:val="center"/>
              <w:rPr>
                <w:sz w:val="18"/>
                <w:szCs w:val="18"/>
              </w:rPr>
            </w:pPr>
            <w:r w:rsidRPr="007D264F">
              <w:rPr>
                <w:sz w:val="18"/>
                <w:szCs w:val="18"/>
              </w:rPr>
              <w:t>Déc. 2018</w:t>
            </w:r>
          </w:p>
        </w:tc>
        <w:tc>
          <w:tcPr>
            <w:tcW w:w="1289" w:type="dxa"/>
            <w:tcMar>
              <w:left w:w="85" w:type="dxa"/>
              <w:right w:w="85" w:type="dxa"/>
            </w:tcMar>
            <w:vAlign w:val="center"/>
          </w:tcPr>
          <w:p w14:paraId="44834706" w14:textId="77777777" w:rsidR="00C71A05" w:rsidRPr="007D264F" w:rsidRDefault="00C71A05" w:rsidP="00C62A95">
            <w:pPr>
              <w:pStyle w:val="Tabletext"/>
              <w:jc w:val="center"/>
              <w:rPr>
                <w:sz w:val="18"/>
                <w:szCs w:val="18"/>
              </w:rPr>
            </w:pPr>
            <w:r w:rsidRPr="007D264F">
              <w:rPr>
                <w:sz w:val="18"/>
                <w:szCs w:val="18"/>
              </w:rPr>
              <w:t>Mai 2023</w:t>
            </w:r>
          </w:p>
        </w:tc>
        <w:tc>
          <w:tcPr>
            <w:tcW w:w="1311" w:type="dxa"/>
            <w:tcMar>
              <w:left w:w="85" w:type="dxa"/>
              <w:right w:w="85" w:type="dxa"/>
            </w:tcMar>
            <w:vAlign w:val="center"/>
          </w:tcPr>
          <w:p w14:paraId="7B488133" w14:textId="77777777" w:rsidR="00C71A05" w:rsidRPr="007D264F" w:rsidRDefault="00C71A05" w:rsidP="00C62A95">
            <w:pPr>
              <w:pStyle w:val="Tabletext"/>
              <w:jc w:val="center"/>
              <w:rPr>
                <w:sz w:val="18"/>
                <w:szCs w:val="18"/>
              </w:rPr>
            </w:pPr>
            <w:r w:rsidRPr="007D264F">
              <w:rPr>
                <w:sz w:val="18"/>
                <w:szCs w:val="18"/>
              </w:rPr>
              <w:t>Afrique</w:t>
            </w:r>
          </w:p>
        </w:tc>
        <w:tc>
          <w:tcPr>
            <w:tcW w:w="1231" w:type="dxa"/>
            <w:tcMar>
              <w:left w:w="85" w:type="dxa"/>
              <w:right w:w="85" w:type="dxa"/>
            </w:tcMar>
            <w:vAlign w:val="center"/>
          </w:tcPr>
          <w:p w14:paraId="2791816F" w14:textId="77777777" w:rsidR="00C71A05" w:rsidRPr="007D264F" w:rsidRDefault="00C71A05" w:rsidP="00C62A95">
            <w:pPr>
              <w:pStyle w:val="Tabletext"/>
              <w:jc w:val="center"/>
              <w:rPr>
                <w:sz w:val="18"/>
                <w:szCs w:val="18"/>
              </w:rPr>
            </w:pPr>
            <w:r w:rsidRPr="007D264F">
              <w:rPr>
                <w:sz w:val="18"/>
                <w:szCs w:val="18"/>
              </w:rPr>
              <w:t>Nov. 2018</w:t>
            </w:r>
          </w:p>
        </w:tc>
        <w:tc>
          <w:tcPr>
            <w:tcW w:w="1749" w:type="dxa"/>
            <w:tcMar>
              <w:left w:w="85" w:type="dxa"/>
              <w:right w:w="85" w:type="dxa"/>
            </w:tcMar>
            <w:vAlign w:val="center"/>
          </w:tcPr>
          <w:p w14:paraId="141F3533" w14:textId="77777777" w:rsidR="00C71A05" w:rsidRPr="007D264F" w:rsidRDefault="00C71A05" w:rsidP="00C62A95">
            <w:pPr>
              <w:pStyle w:val="Tabletext"/>
              <w:jc w:val="center"/>
              <w:rPr>
                <w:sz w:val="18"/>
                <w:szCs w:val="18"/>
              </w:rPr>
            </w:pPr>
            <w:r w:rsidRPr="007D264F">
              <w:rPr>
                <w:sz w:val="18"/>
                <w:szCs w:val="18"/>
              </w:rPr>
              <w:t>UE</w:t>
            </w:r>
          </w:p>
        </w:tc>
        <w:tc>
          <w:tcPr>
            <w:tcW w:w="2610" w:type="dxa"/>
            <w:tcMar>
              <w:left w:w="85" w:type="dxa"/>
              <w:right w:w="85" w:type="dxa"/>
            </w:tcMar>
            <w:vAlign w:val="center"/>
          </w:tcPr>
          <w:p w14:paraId="0C48B002" w14:textId="77777777" w:rsidR="00C71A05" w:rsidRPr="007D264F" w:rsidRDefault="00C71A05" w:rsidP="00C62A95">
            <w:pPr>
              <w:pStyle w:val="Tabletext"/>
              <w:jc w:val="center"/>
              <w:rPr>
                <w:sz w:val="18"/>
                <w:szCs w:val="18"/>
              </w:rPr>
            </w:pPr>
            <w:r w:rsidRPr="007D264F">
              <w:rPr>
                <w:sz w:val="18"/>
                <w:szCs w:val="18"/>
              </w:rPr>
              <w:t>UE: 5 000 000 EUR</w:t>
            </w:r>
          </w:p>
          <w:p w14:paraId="5B950555" w14:textId="77777777" w:rsidR="00C71A05" w:rsidRPr="007D264F" w:rsidRDefault="00C71A05" w:rsidP="00C62A95">
            <w:pPr>
              <w:pStyle w:val="Tabletext"/>
              <w:jc w:val="center"/>
              <w:rPr>
                <w:sz w:val="18"/>
                <w:szCs w:val="18"/>
              </w:rPr>
            </w:pPr>
            <w:r w:rsidRPr="007D264F">
              <w:rPr>
                <w:sz w:val="18"/>
                <w:szCs w:val="18"/>
              </w:rPr>
              <w:t>FDTIC: 500 000 EUR</w:t>
            </w:r>
          </w:p>
        </w:tc>
        <w:tc>
          <w:tcPr>
            <w:tcW w:w="1750" w:type="dxa"/>
            <w:tcMar>
              <w:left w:w="85" w:type="dxa"/>
              <w:right w:w="85" w:type="dxa"/>
            </w:tcMar>
            <w:vAlign w:val="center"/>
          </w:tcPr>
          <w:p w14:paraId="7EFA6817" w14:textId="77777777" w:rsidR="00C71A05" w:rsidRPr="007D264F" w:rsidRDefault="00C71A05" w:rsidP="00C62A95">
            <w:pPr>
              <w:pStyle w:val="Tabletext"/>
              <w:jc w:val="center"/>
              <w:rPr>
                <w:sz w:val="18"/>
                <w:szCs w:val="18"/>
              </w:rPr>
            </w:pPr>
            <w:r w:rsidRPr="007D264F">
              <w:rPr>
                <w:sz w:val="18"/>
                <w:szCs w:val="18"/>
              </w:rPr>
              <w:t>4 517 000 EUR</w:t>
            </w:r>
          </w:p>
        </w:tc>
      </w:tr>
      <w:tr w:rsidR="00C71A05" w:rsidRPr="007D264F" w14:paraId="6D31BCAD" w14:textId="77777777" w:rsidTr="00C71A05">
        <w:trPr>
          <w:trHeight w:val="404"/>
        </w:trPr>
        <w:tc>
          <w:tcPr>
            <w:tcW w:w="1559" w:type="dxa"/>
            <w:tcMar>
              <w:left w:w="85" w:type="dxa"/>
              <w:right w:w="85" w:type="dxa"/>
            </w:tcMar>
            <w:vAlign w:val="center"/>
          </w:tcPr>
          <w:p w14:paraId="08AAE5E0" w14:textId="77777777" w:rsidR="00C71A05" w:rsidRPr="007D264F" w:rsidRDefault="00C71A05" w:rsidP="00C62A95">
            <w:pPr>
              <w:pStyle w:val="Tabletext"/>
              <w:jc w:val="center"/>
              <w:rPr>
                <w:sz w:val="18"/>
                <w:szCs w:val="18"/>
              </w:rPr>
            </w:pPr>
            <w:r w:rsidRPr="007D264F">
              <w:rPr>
                <w:sz w:val="18"/>
                <w:szCs w:val="18"/>
              </w:rPr>
              <w:t>7GLO20106</w:t>
            </w:r>
          </w:p>
        </w:tc>
        <w:tc>
          <w:tcPr>
            <w:tcW w:w="2306" w:type="dxa"/>
            <w:tcMar>
              <w:left w:w="85" w:type="dxa"/>
              <w:right w:w="85" w:type="dxa"/>
            </w:tcMar>
            <w:vAlign w:val="center"/>
          </w:tcPr>
          <w:p w14:paraId="1F417315" w14:textId="77777777" w:rsidR="00C71A05" w:rsidRPr="007D264F" w:rsidRDefault="00C71A05" w:rsidP="00C62A95">
            <w:pPr>
              <w:pStyle w:val="Tabletext"/>
              <w:jc w:val="center"/>
              <w:rPr>
                <w:sz w:val="18"/>
                <w:szCs w:val="18"/>
              </w:rPr>
            </w:pPr>
            <w:r w:rsidRPr="007D264F">
              <w:rPr>
                <w:sz w:val="18"/>
                <w:szCs w:val="18"/>
              </w:rPr>
              <w:t>Renforcer l'écosystème numérique et les compétences numériques pour autonomiser les femmes sur le plan économique dans les PMA</w:t>
            </w:r>
          </w:p>
        </w:tc>
        <w:tc>
          <w:tcPr>
            <w:tcW w:w="1170" w:type="dxa"/>
            <w:tcMar>
              <w:left w:w="85" w:type="dxa"/>
              <w:right w:w="85" w:type="dxa"/>
            </w:tcMar>
            <w:vAlign w:val="center"/>
          </w:tcPr>
          <w:p w14:paraId="2CE8A2A7" w14:textId="77777777" w:rsidR="00C71A05" w:rsidRPr="007D264F" w:rsidRDefault="00C71A05" w:rsidP="00C62A95">
            <w:pPr>
              <w:pStyle w:val="Tabletext"/>
              <w:jc w:val="center"/>
              <w:rPr>
                <w:sz w:val="18"/>
                <w:szCs w:val="18"/>
              </w:rPr>
            </w:pPr>
            <w:r w:rsidRPr="007D264F">
              <w:rPr>
                <w:sz w:val="18"/>
                <w:szCs w:val="18"/>
              </w:rPr>
              <w:t>Juil. 2020</w:t>
            </w:r>
          </w:p>
        </w:tc>
        <w:tc>
          <w:tcPr>
            <w:tcW w:w="1289" w:type="dxa"/>
            <w:tcMar>
              <w:left w:w="85" w:type="dxa"/>
              <w:right w:w="85" w:type="dxa"/>
            </w:tcMar>
            <w:vAlign w:val="center"/>
          </w:tcPr>
          <w:p w14:paraId="73B4B915" w14:textId="77777777" w:rsidR="00C71A05" w:rsidRPr="007D264F" w:rsidRDefault="00C71A05" w:rsidP="00C62A95">
            <w:pPr>
              <w:pStyle w:val="Tabletext"/>
              <w:jc w:val="center"/>
              <w:rPr>
                <w:sz w:val="18"/>
                <w:szCs w:val="18"/>
              </w:rPr>
            </w:pPr>
            <w:r w:rsidRPr="007D264F">
              <w:rPr>
                <w:sz w:val="18"/>
                <w:szCs w:val="18"/>
              </w:rPr>
              <w:t>Juin 2022</w:t>
            </w:r>
          </w:p>
        </w:tc>
        <w:tc>
          <w:tcPr>
            <w:tcW w:w="1311" w:type="dxa"/>
            <w:tcMar>
              <w:left w:w="85" w:type="dxa"/>
              <w:right w:w="85" w:type="dxa"/>
            </w:tcMar>
            <w:vAlign w:val="center"/>
          </w:tcPr>
          <w:p w14:paraId="772D415A" w14:textId="77777777" w:rsidR="00C71A05" w:rsidRPr="007D264F" w:rsidRDefault="00C71A05" w:rsidP="00C62A95">
            <w:pPr>
              <w:pStyle w:val="Tabletext"/>
              <w:jc w:val="center"/>
              <w:rPr>
                <w:sz w:val="18"/>
                <w:szCs w:val="18"/>
              </w:rPr>
            </w:pPr>
            <w:r w:rsidRPr="007D264F">
              <w:rPr>
                <w:sz w:val="18"/>
                <w:szCs w:val="18"/>
              </w:rPr>
              <w:t>Projet multirégional</w:t>
            </w:r>
          </w:p>
        </w:tc>
        <w:tc>
          <w:tcPr>
            <w:tcW w:w="1231" w:type="dxa"/>
            <w:tcMar>
              <w:left w:w="85" w:type="dxa"/>
              <w:right w:w="85" w:type="dxa"/>
            </w:tcMar>
            <w:vAlign w:val="center"/>
          </w:tcPr>
          <w:p w14:paraId="1E311B19" w14:textId="5DBB676E" w:rsidR="00C71A05" w:rsidRPr="007D264F" w:rsidRDefault="00C71A05" w:rsidP="00C62A95">
            <w:pPr>
              <w:pStyle w:val="Tabletext"/>
              <w:jc w:val="center"/>
              <w:rPr>
                <w:sz w:val="18"/>
                <w:szCs w:val="18"/>
              </w:rPr>
            </w:pPr>
            <w:r w:rsidRPr="007D264F">
              <w:rPr>
                <w:sz w:val="18"/>
                <w:szCs w:val="18"/>
              </w:rPr>
              <w:t>Juil. 2020</w:t>
            </w:r>
          </w:p>
        </w:tc>
        <w:tc>
          <w:tcPr>
            <w:tcW w:w="1749" w:type="dxa"/>
            <w:tcMar>
              <w:left w:w="85" w:type="dxa"/>
              <w:right w:w="85" w:type="dxa"/>
            </w:tcMar>
            <w:vAlign w:val="center"/>
          </w:tcPr>
          <w:p w14:paraId="5CE95C3B" w14:textId="77777777" w:rsidR="00C71A05" w:rsidRPr="007D264F" w:rsidRDefault="00C71A05" w:rsidP="00C62A95">
            <w:pPr>
              <w:pStyle w:val="Tabletext"/>
              <w:jc w:val="center"/>
              <w:rPr>
                <w:sz w:val="18"/>
                <w:szCs w:val="18"/>
              </w:rPr>
            </w:pPr>
            <w:r w:rsidRPr="007D264F">
              <w:rPr>
                <w:sz w:val="18"/>
                <w:szCs w:val="18"/>
              </w:rPr>
              <w:t>CIR, UNOPS</w:t>
            </w:r>
          </w:p>
        </w:tc>
        <w:tc>
          <w:tcPr>
            <w:tcW w:w="2610" w:type="dxa"/>
            <w:tcMar>
              <w:left w:w="85" w:type="dxa"/>
              <w:right w:w="85" w:type="dxa"/>
            </w:tcMar>
            <w:vAlign w:val="center"/>
          </w:tcPr>
          <w:p w14:paraId="7F842E94" w14:textId="77777777" w:rsidR="00C71A05" w:rsidRPr="007D264F" w:rsidRDefault="00C71A05" w:rsidP="00C62A95">
            <w:pPr>
              <w:pStyle w:val="Tabletext"/>
              <w:jc w:val="center"/>
              <w:rPr>
                <w:sz w:val="18"/>
                <w:szCs w:val="18"/>
              </w:rPr>
            </w:pPr>
            <w:r w:rsidRPr="007D264F">
              <w:rPr>
                <w:sz w:val="18"/>
                <w:szCs w:val="18"/>
              </w:rPr>
              <w:t>CIR: 798 104 USD</w:t>
            </w:r>
          </w:p>
          <w:p w14:paraId="0CFBDA3B" w14:textId="77777777" w:rsidR="00C71A05" w:rsidRPr="007D264F" w:rsidRDefault="00C71A05" w:rsidP="00C62A95">
            <w:pPr>
              <w:pStyle w:val="Tabletext"/>
              <w:jc w:val="center"/>
              <w:rPr>
                <w:sz w:val="18"/>
                <w:szCs w:val="18"/>
              </w:rPr>
            </w:pPr>
            <w:r w:rsidRPr="007D264F">
              <w:rPr>
                <w:sz w:val="18"/>
                <w:szCs w:val="18"/>
              </w:rPr>
              <w:t>FDTIC: 430 245 USD</w:t>
            </w:r>
          </w:p>
        </w:tc>
        <w:tc>
          <w:tcPr>
            <w:tcW w:w="1750" w:type="dxa"/>
            <w:tcMar>
              <w:left w:w="85" w:type="dxa"/>
              <w:right w:w="85" w:type="dxa"/>
            </w:tcMar>
            <w:vAlign w:val="center"/>
          </w:tcPr>
          <w:p w14:paraId="34EFC3A7" w14:textId="77777777" w:rsidR="00C71A05" w:rsidRPr="007D264F" w:rsidRDefault="00C71A05" w:rsidP="00C62A95">
            <w:pPr>
              <w:pStyle w:val="Tabletext"/>
              <w:jc w:val="center"/>
              <w:rPr>
                <w:sz w:val="18"/>
                <w:szCs w:val="18"/>
              </w:rPr>
            </w:pPr>
            <w:r w:rsidRPr="007D264F">
              <w:rPr>
                <w:sz w:val="18"/>
                <w:szCs w:val="18"/>
              </w:rPr>
              <w:t>1 228 349 USD</w:t>
            </w:r>
          </w:p>
        </w:tc>
      </w:tr>
      <w:tr w:rsidR="00C71A05" w:rsidRPr="007D264F" w14:paraId="02E8305C" w14:textId="77777777" w:rsidTr="00C71A05">
        <w:trPr>
          <w:trHeight w:val="404"/>
        </w:trPr>
        <w:tc>
          <w:tcPr>
            <w:tcW w:w="1559" w:type="dxa"/>
            <w:tcMar>
              <w:left w:w="85" w:type="dxa"/>
              <w:right w:w="85" w:type="dxa"/>
            </w:tcMar>
            <w:vAlign w:val="center"/>
          </w:tcPr>
          <w:p w14:paraId="28201EFA" w14:textId="77777777" w:rsidR="00C71A05" w:rsidRPr="007D264F" w:rsidRDefault="00C71A05" w:rsidP="00C62A95">
            <w:pPr>
              <w:pStyle w:val="Tabletext"/>
              <w:jc w:val="center"/>
              <w:rPr>
                <w:sz w:val="18"/>
                <w:szCs w:val="18"/>
              </w:rPr>
            </w:pPr>
            <w:r w:rsidRPr="007D264F">
              <w:rPr>
                <w:sz w:val="18"/>
                <w:szCs w:val="18"/>
              </w:rPr>
              <w:t>7GLO20108</w:t>
            </w:r>
          </w:p>
        </w:tc>
        <w:tc>
          <w:tcPr>
            <w:tcW w:w="2306" w:type="dxa"/>
            <w:tcMar>
              <w:left w:w="85" w:type="dxa"/>
              <w:right w:w="85" w:type="dxa"/>
            </w:tcMar>
            <w:vAlign w:val="center"/>
          </w:tcPr>
          <w:p w14:paraId="73512679" w14:textId="77777777" w:rsidR="00C71A05" w:rsidRPr="007D264F" w:rsidRDefault="00C71A05" w:rsidP="00C62A95">
            <w:pPr>
              <w:pStyle w:val="Tabletext"/>
              <w:jc w:val="center"/>
              <w:rPr>
                <w:sz w:val="18"/>
                <w:szCs w:val="18"/>
              </w:rPr>
            </w:pPr>
            <w:r w:rsidRPr="007D264F">
              <w:rPr>
                <w:sz w:val="18"/>
                <w:szCs w:val="18"/>
              </w:rPr>
              <w:t>Renforcer les compétences numériques au moyen des Centres de transformation numérique</w:t>
            </w:r>
          </w:p>
        </w:tc>
        <w:tc>
          <w:tcPr>
            <w:tcW w:w="1170" w:type="dxa"/>
            <w:tcMar>
              <w:left w:w="85" w:type="dxa"/>
              <w:right w:w="85" w:type="dxa"/>
            </w:tcMar>
            <w:vAlign w:val="center"/>
          </w:tcPr>
          <w:p w14:paraId="0B3DDF01" w14:textId="77777777" w:rsidR="00C71A05" w:rsidRPr="007D264F" w:rsidRDefault="00C71A05" w:rsidP="00C62A95">
            <w:pPr>
              <w:pStyle w:val="Tabletext"/>
              <w:jc w:val="center"/>
              <w:rPr>
                <w:sz w:val="18"/>
                <w:szCs w:val="18"/>
              </w:rPr>
            </w:pPr>
            <w:r w:rsidRPr="007D264F">
              <w:rPr>
                <w:sz w:val="18"/>
                <w:szCs w:val="18"/>
              </w:rPr>
              <w:t>Jan. 2021</w:t>
            </w:r>
          </w:p>
        </w:tc>
        <w:tc>
          <w:tcPr>
            <w:tcW w:w="1289" w:type="dxa"/>
            <w:tcMar>
              <w:left w:w="85" w:type="dxa"/>
              <w:right w:w="85" w:type="dxa"/>
            </w:tcMar>
            <w:vAlign w:val="center"/>
          </w:tcPr>
          <w:p w14:paraId="5FA0E455" w14:textId="77777777" w:rsidR="00C71A05" w:rsidRPr="007D264F" w:rsidRDefault="00C71A05" w:rsidP="00C62A95">
            <w:pPr>
              <w:pStyle w:val="Tabletext"/>
              <w:jc w:val="center"/>
              <w:rPr>
                <w:sz w:val="18"/>
                <w:szCs w:val="18"/>
              </w:rPr>
            </w:pPr>
            <w:r w:rsidRPr="007D264F">
              <w:rPr>
                <w:sz w:val="18"/>
                <w:szCs w:val="18"/>
              </w:rPr>
              <w:t>Déc. 2023</w:t>
            </w:r>
          </w:p>
        </w:tc>
        <w:tc>
          <w:tcPr>
            <w:tcW w:w="1311" w:type="dxa"/>
            <w:tcMar>
              <w:left w:w="85" w:type="dxa"/>
              <w:right w:w="85" w:type="dxa"/>
            </w:tcMar>
            <w:vAlign w:val="center"/>
          </w:tcPr>
          <w:p w14:paraId="3A6468D8" w14:textId="77777777" w:rsidR="00C71A05" w:rsidRPr="007D264F" w:rsidRDefault="00C71A05" w:rsidP="00C62A95">
            <w:pPr>
              <w:pStyle w:val="Tabletext"/>
              <w:jc w:val="center"/>
              <w:rPr>
                <w:sz w:val="18"/>
                <w:szCs w:val="18"/>
              </w:rPr>
            </w:pPr>
            <w:r w:rsidRPr="007D264F">
              <w:rPr>
                <w:sz w:val="18"/>
                <w:szCs w:val="18"/>
              </w:rPr>
              <w:t>Projet multirégional</w:t>
            </w:r>
          </w:p>
        </w:tc>
        <w:tc>
          <w:tcPr>
            <w:tcW w:w="1231" w:type="dxa"/>
            <w:tcMar>
              <w:left w:w="85" w:type="dxa"/>
              <w:right w:w="85" w:type="dxa"/>
            </w:tcMar>
            <w:vAlign w:val="center"/>
          </w:tcPr>
          <w:p w14:paraId="391709C0" w14:textId="77777777" w:rsidR="00C71A05" w:rsidRPr="007D264F" w:rsidRDefault="00C71A05" w:rsidP="00C62A95">
            <w:pPr>
              <w:pStyle w:val="Tabletext"/>
              <w:jc w:val="center"/>
              <w:rPr>
                <w:sz w:val="18"/>
                <w:szCs w:val="18"/>
              </w:rPr>
            </w:pPr>
            <w:r w:rsidRPr="007D264F">
              <w:rPr>
                <w:sz w:val="18"/>
                <w:szCs w:val="18"/>
              </w:rPr>
              <w:t>Nov. 2020</w:t>
            </w:r>
          </w:p>
        </w:tc>
        <w:tc>
          <w:tcPr>
            <w:tcW w:w="1749" w:type="dxa"/>
            <w:tcMar>
              <w:left w:w="85" w:type="dxa"/>
              <w:right w:w="85" w:type="dxa"/>
            </w:tcMar>
            <w:vAlign w:val="center"/>
          </w:tcPr>
          <w:p w14:paraId="43DDD813" w14:textId="77777777" w:rsidR="00C71A05" w:rsidRPr="007D264F" w:rsidRDefault="00C71A05" w:rsidP="00C62A95">
            <w:pPr>
              <w:pStyle w:val="Tabletext"/>
              <w:jc w:val="center"/>
              <w:rPr>
                <w:sz w:val="18"/>
                <w:szCs w:val="18"/>
              </w:rPr>
            </w:pPr>
            <w:r w:rsidRPr="007D264F">
              <w:rPr>
                <w:sz w:val="18"/>
                <w:szCs w:val="18"/>
              </w:rPr>
              <w:t>NORAD</w:t>
            </w:r>
          </w:p>
        </w:tc>
        <w:tc>
          <w:tcPr>
            <w:tcW w:w="2610" w:type="dxa"/>
            <w:tcMar>
              <w:left w:w="85" w:type="dxa"/>
              <w:right w:w="85" w:type="dxa"/>
            </w:tcMar>
            <w:vAlign w:val="center"/>
          </w:tcPr>
          <w:p w14:paraId="30B73C20" w14:textId="77777777" w:rsidR="00C71A05" w:rsidRPr="007D264F" w:rsidRDefault="00C71A05" w:rsidP="00C62A95">
            <w:pPr>
              <w:pStyle w:val="Tabletext"/>
              <w:jc w:val="center"/>
              <w:rPr>
                <w:sz w:val="18"/>
                <w:szCs w:val="18"/>
              </w:rPr>
            </w:pPr>
            <w:r w:rsidRPr="007D264F">
              <w:rPr>
                <w:sz w:val="18"/>
                <w:szCs w:val="18"/>
              </w:rPr>
              <w:t>NORAD: 3 008 468 CHF</w:t>
            </w:r>
          </w:p>
          <w:p w14:paraId="008A6EB2" w14:textId="77777777" w:rsidR="00C71A05" w:rsidRPr="007D264F" w:rsidRDefault="00C71A05" w:rsidP="00C62A95">
            <w:pPr>
              <w:pStyle w:val="Tabletext"/>
              <w:jc w:val="center"/>
              <w:rPr>
                <w:sz w:val="18"/>
                <w:szCs w:val="18"/>
              </w:rPr>
            </w:pPr>
            <w:r w:rsidRPr="007D264F">
              <w:rPr>
                <w:sz w:val="18"/>
                <w:szCs w:val="18"/>
              </w:rPr>
              <w:t>FDTIC: 759 024 CHF</w:t>
            </w:r>
          </w:p>
        </w:tc>
        <w:tc>
          <w:tcPr>
            <w:tcW w:w="1750" w:type="dxa"/>
            <w:tcMar>
              <w:left w:w="85" w:type="dxa"/>
              <w:right w:w="85" w:type="dxa"/>
            </w:tcMar>
            <w:vAlign w:val="center"/>
          </w:tcPr>
          <w:p w14:paraId="59C558B0" w14:textId="77777777" w:rsidR="00C71A05" w:rsidRPr="007D264F" w:rsidRDefault="00C71A05" w:rsidP="00C62A95">
            <w:pPr>
              <w:pStyle w:val="Tabletext"/>
              <w:jc w:val="center"/>
              <w:rPr>
                <w:sz w:val="18"/>
                <w:szCs w:val="18"/>
              </w:rPr>
            </w:pPr>
            <w:r w:rsidRPr="007D264F">
              <w:rPr>
                <w:sz w:val="18"/>
                <w:szCs w:val="18"/>
              </w:rPr>
              <w:t>3 767 492 CHF</w:t>
            </w:r>
          </w:p>
        </w:tc>
      </w:tr>
      <w:tr w:rsidR="00C71A05" w:rsidRPr="007D264F" w14:paraId="3618B086" w14:textId="77777777" w:rsidTr="00C71A05">
        <w:trPr>
          <w:trHeight w:val="404"/>
        </w:trPr>
        <w:tc>
          <w:tcPr>
            <w:tcW w:w="1559" w:type="dxa"/>
            <w:tcMar>
              <w:left w:w="85" w:type="dxa"/>
              <w:right w:w="85" w:type="dxa"/>
            </w:tcMar>
            <w:vAlign w:val="center"/>
          </w:tcPr>
          <w:p w14:paraId="2093DEE3" w14:textId="77777777" w:rsidR="00C71A05" w:rsidRPr="007D264F" w:rsidRDefault="00C71A05" w:rsidP="00C62A95">
            <w:pPr>
              <w:pStyle w:val="Tabletext"/>
              <w:keepNext/>
              <w:keepLines/>
              <w:jc w:val="center"/>
              <w:rPr>
                <w:sz w:val="18"/>
                <w:szCs w:val="18"/>
              </w:rPr>
            </w:pPr>
            <w:r w:rsidRPr="007D264F">
              <w:rPr>
                <w:sz w:val="18"/>
                <w:szCs w:val="18"/>
              </w:rPr>
              <w:t>7RAF21102</w:t>
            </w:r>
          </w:p>
        </w:tc>
        <w:tc>
          <w:tcPr>
            <w:tcW w:w="2306" w:type="dxa"/>
            <w:tcMar>
              <w:left w:w="85" w:type="dxa"/>
              <w:right w:w="85" w:type="dxa"/>
            </w:tcMar>
            <w:vAlign w:val="center"/>
          </w:tcPr>
          <w:p w14:paraId="63DA7D69" w14:textId="77777777" w:rsidR="00C71A05" w:rsidRPr="007D264F" w:rsidRDefault="00C71A05" w:rsidP="00C62A95">
            <w:pPr>
              <w:pStyle w:val="Tabletext"/>
              <w:keepNext/>
              <w:keepLines/>
              <w:jc w:val="center"/>
              <w:rPr>
                <w:sz w:val="18"/>
                <w:szCs w:val="18"/>
              </w:rPr>
            </w:pPr>
            <w:r w:rsidRPr="007D264F">
              <w:rPr>
                <w:sz w:val="18"/>
                <w:szCs w:val="18"/>
              </w:rPr>
              <w:t>Benchmarking des TIC en Afrique Centrale</w:t>
            </w:r>
          </w:p>
        </w:tc>
        <w:tc>
          <w:tcPr>
            <w:tcW w:w="1170" w:type="dxa"/>
            <w:tcMar>
              <w:left w:w="85" w:type="dxa"/>
              <w:right w:w="85" w:type="dxa"/>
            </w:tcMar>
            <w:vAlign w:val="center"/>
          </w:tcPr>
          <w:p w14:paraId="500A18E8" w14:textId="77777777" w:rsidR="00C71A05" w:rsidRPr="007D264F" w:rsidRDefault="00C71A05" w:rsidP="00C62A95">
            <w:pPr>
              <w:pStyle w:val="Tabletext"/>
              <w:keepNext/>
              <w:keepLines/>
              <w:jc w:val="center"/>
              <w:rPr>
                <w:sz w:val="18"/>
                <w:szCs w:val="18"/>
              </w:rPr>
            </w:pPr>
            <w:r w:rsidRPr="007D264F">
              <w:rPr>
                <w:sz w:val="18"/>
                <w:szCs w:val="18"/>
              </w:rPr>
              <w:t>Juin 2021</w:t>
            </w:r>
          </w:p>
        </w:tc>
        <w:tc>
          <w:tcPr>
            <w:tcW w:w="1289" w:type="dxa"/>
            <w:tcMar>
              <w:left w:w="85" w:type="dxa"/>
              <w:right w:w="85" w:type="dxa"/>
            </w:tcMar>
            <w:vAlign w:val="center"/>
          </w:tcPr>
          <w:p w14:paraId="2E6A6E79" w14:textId="77777777" w:rsidR="00C71A05" w:rsidRPr="007D264F" w:rsidRDefault="00C71A05" w:rsidP="00C62A95">
            <w:pPr>
              <w:pStyle w:val="Tabletext"/>
              <w:keepNext/>
              <w:keepLines/>
              <w:jc w:val="center"/>
              <w:rPr>
                <w:sz w:val="18"/>
                <w:szCs w:val="18"/>
              </w:rPr>
            </w:pPr>
            <w:r w:rsidRPr="007D264F">
              <w:rPr>
                <w:sz w:val="18"/>
                <w:szCs w:val="18"/>
              </w:rPr>
              <w:t>Déc. 2023</w:t>
            </w:r>
          </w:p>
        </w:tc>
        <w:tc>
          <w:tcPr>
            <w:tcW w:w="1311" w:type="dxa"/>
            <w:tcMar>
              <w:left w:w="85" w:type="dxa"/>
              <w:right w:w="85" w:type="dxa"/>
            </w:tcMar>
            <w:vAlign w:val="center"/>
          </w:tcPr>
          <w:p w14:paraId="441CEAE7" w14:textId="77777777" w:rsidR="00C71A05" w:rsidRPr="007D264F" w:rsidRDefault="00C71A05" w:rsidP="00C62A95">
            <w:pPr>
              <w:pStyle w:val="Tabletext"/>
              <w:keepNext/>
              <w:keepLines/>
              <w:jc w:val="center"/>
              <w:rPr>
                <w:sz w:val="18"/>
                <w:szCs w:val="18"/>
              </w:rPr>
            </w:pPr>
            <w:r w:rsidRPr="007D264F">
              <w:rPr>
                <w:sz w:val="18"/>
                <w:szCs w:val="18"/>
              </w:rPr>
              <w:t>Afrique</w:t>
            </w:r>
          </w:p>
        </w:tc>
        <w:tc>
          <w:tcPr>
            <w:tcW w:w="1231" w:type="dxa"/>
            <w:tcMar>
              <w:left w:w="85" w:type="dxa"/>
              <w:right w:w="85" w:type="dxa"/>
            </w:tcMar>
            <w:vAlign w:val="center"/>
          </w:tcPr>
          <w:p w14:paraId="246C7CAE" w14:textId="77777777" w:rsidR="00C71A05" w:rsidRPr="007D264F" w:rsidRDefault="00C71A05" w:rsidP="00C62A95">
            <w:pPr>
              <w:pStyle w:val="Tabletext"/>
              <w:keepNext/>
              <w:keepLines/>
              <w:jc w:val="center"/>
              <w:rPr>
                <w:sz w:val="18"/>
                <w:szCs w:val="18"/>
              </w:rPr>
            </w:pPr>
            <w:r w:rsidRPr="007D264F">
              <w:rPr>
                <w:sz w:val="18"/>
                <w:szCs w:val="18"/>
              </w:rPr>
              <w:t>Juin 2021</w:t>
            </w:r>
          </w:p>
        </w:tc>
        <w:tc>
          <w:tcPr>
            <w:tcW w:w="1749" w:type="dxa"/>
            <w:tcMar>
              <w:left w:w="85" w:type="dxa"/>
              <w:right w:w="85" w:type="dxa"/>
            </w:tcMar>
            <w:vAlign w:val="center"/>
          </w:tcPr>
          <w:p w14:paraId="70F7F41A" w14:textId="77777777" w:rsidR="00C71A05" w:rsidRPr="007D264F" w:rsidRDefault="00C71A05" w:rsidP="00C62A95">
            <w:pPr>
              <w:pStyle w:val="Tabletext"/>
              <w:keepNext/>
              <w:keepLines/>
              <w:jc w:val="center"/>
              <w:rPr>
                <w:sz w:val="18"/>
                <w:szCs w:val="18"/>
              </w:rPr>
            </w:pPr>
            <w:r w:rsidRPr="007D264F">
              <w:rPr>
                <w:sz w:val="18"/>
                <w:szCs w:val="18"/>
              </w:rPr>
              <w:t>COFED</w:t>
            </w:r>
          </w:p>
        </w:tc>
        <w:tc>
          <w:tcPr>
            <w:tcW w:w="2610" w:type="dxa"/>
            <w:tcMar>
              <w:left w:w="85" w:type="dxa"/>
              <w:right w:w="85" w:type="dxa"/>
            </w:tcMar>
            <w:vAlign w:val="center"/>
          </w:tcPr>
          <w:p w14:paraId="735C81ED" w14:textId="77777777" w:rsidR="00C71A05" w:rsidRPr="007D264F" w:rsidRDefault="00C71A05" w:rsidP="00C62A95">
            <w:pPr>
              <w:pStyle w:val="Tabletext"/>
              <w:keepNext/>
              <w:keepLines/>
              <w:jc w:val="center"/>
              <w:rPr>
                <w:sz w:val="18"/>
                <w:szCs w:val="18"/>
              </w:rPr>
            </w:pPr>
            <w:r w:rsidRPr="007D264F">
              <w:rPr>
                <w:sz w:val="18"/>
                <w:szCs w:val="18"/>
              </w:rPr>
              <w:t>COFED (UE):</w:t>
            </w:r>
          </w:p>
          <w:p w14:paraId="3EF1644C" w14:textId="77777777" w:rsidR="00C71A05" w:rsidRPr="007D264F" w:rsidRDefault="00C71A05" w:rsidP="00C62A95">
            <w:pPr>
              <w:pStyle w:val="Tabletext"/>
              <w:keepNext/>
              <w:keepLines/>
              <w:jc w:val="center"/>
              <w:rPr>
                <w:sz w:val="18"/>
                <w:szCs w:val="18"/>
              </w:rPr>
            </w:pPr>
            <w:r w:rsidRPr="007D264F">
              <w:rPr>
                <w:sz w:val="18"/>
                <w:szCs w:val="18"/>
              </w:rPr>
              <w:t>1 000 000 EUR</w:t>
            </w:r>
          </w:p>
          <w:p w14:paraId="4AA636D4" w14:textId="6B0D1496" w:rsidR="00C71A05" w:rsidRPr="007D264F" w:rsidRDefault="00C71A05" w:rsidP="007D264F">
            <w:pPr>
              <w:pStyle w:val="Tabletext"/>
              <w:keepNext/>
              <w:keepLines/>
              <w:jc w:val="center"/>
              <w:rPr>
                <w:sz w:val="18"/>
                <w:szCs w:val="18"/>
              </w:rPr>
            </w:pPr>
            <w:r w:rsidRPr="007D264F">
              <w:rPr>
                <w:sz w:val="18"/>
                <w:szCs w:val="18"/>
              </w:rPr>
              <w:t>FDTIC:</w:t>
            </w:r>
            <w:r w:rsidR="007D264F" w:rsidRPr="007D264F">
              <w:rPr>
                <w:sz w:val="18"/>
                <w:szCs w:val="18"/>
              </w:rPr>
              <w:t xml:space="preserve"> </w:t>
            </w:r>
            <w:r w:rsidRPr="007D264F">
              <w:rPr>
                <w:sz w:val="18"/>
                <w:szCs w:val="18"/>
              </w:rPr>
              <w:t>300 000 EUR</w:t>
            </w:r>
          </w:p>
        </w:tc>
        <w:tc>
          <w:tcPr>
            <w:tcW w:w="1750" w:type="dxa"/>
            <w:tcMar>
              <w:left w:w="85" w:type="dxa"/>
              <w:right w:w="85" w:type="dxa"/>
            </w:tcMar>
            <w:vAlign w:val="center"/>
          </w:tcPr>
          <w:p w14:paraId="65923C1A" w14:textId="77777777" w:rsidR="00C71A05" w:rsidRPr="007D264F" w:rsidRDefault="00C71A05" w:rsidP="00C62A95">
            <w:pPr>
              <w:pStyle w:val="Tabletext"/>
              <w:keepNext/>
              <w:keepLines/>
              <w:jc w:val="center"/>
              <w:rPr>
                <w:sz w:val="18"/>
                <w:szCs w:val="18"/>
              </w:rPr>
            </w:pPr>
            <w:r w:rsidRPr="007D264F">
              <w:rPr>
                <w:sz w:val="18"/>
                <w:szCs w:val="18"/>
              </w:rPr>
              <w:t>1 300 000 EUR</w:t>
            </w:r>
          </w:p>
        </w:tc>
      </w:tr>
      <w:tr w:rsidR="00C71A05" w:rsidRPr="007D264F" w14:paraId="66991ED9" w14:textId="77777777" w:rsidTr="00C71A05">
        <w:trPr>
          <w:trHeight w:val="404"/>
        </w:trPr>
        <w:tc>
          <w:tcPr>
            <w:tcW w:w="1559" w:type="dxa"/>
            <w:tcMar>
              <w:left w:w="85" w:type="dxa"/>
              <w:right w:w="85" w:type="dxa"/>
            </w:tcMar>
            <w:vAlign w:val="center"/>
          </w:tcPr>
          <w:p w14:paraId="6C38E0EA" w14:textId="77777777" w:rsidR="00C71A05" w:rsidRPr="007D264F" w:rsidRDefault="00C71A05" w:rsidP="00C62A95">
            <w:pPr>
              <w:pStyle w:val="Tabletext"/>
              <w:jc w:val="center"/>
              <w:rPr>
                <w:sz w:val="18"/>
                <w:szCs w:val="18"/>
              </w:rPr>
            </w:pPr>
            <w:r w:rsidRPr="007D264F">
              <w:rPr>
                <w:sz w:val="18"/>
                <w:szCs w:val="18"/>
              </w:rPr>
              <w:lastRenderedPageBreak/>
              <w:t>9GLO21116</w:t>
            </w:r>
          </w:p>
        </w:tc>
        <w:tc>
          <w:tcPr>
            <w:tcW w:w="2306" w:type="dxa"/>
            <w:tcMar>
              <w:left w:w="85" w:type="dxa"/>
              <w:right w:w="85" w:type="dxa"/>
            </w:tcMar>
            <w:vAlign w:val="center"/>
          </w:tcPr>
          <w:p w14:paraId="31CBB0F4" w14:textId="7E1D95B6" w:rsidR="00C71A05" w:rsidRPr="007D264F" w:rsidRDefault="00C71A05" w:rsidP="00C62A95">
            <w:pPr>
              <w:pStyle w:val="Tabletext"/>
              <w:jc w:val="center"/>
              <w:rPr>
                <w:sz w:val="18"/>
                <w:szCs w:val="18"/>
              </w:rPr>
            </w:pPr>
            <w:r w:rsidRPr="007D264F">
              <w:rPr>
                <w:sz w:val="18"/>
                <w:szCs w:val="18"/>
              </w:rPr>
              <w:t>Giga et Programme d'accès numérique – Promouvoir des politiques et des réglementations propices dans les PMA</w:t>
            </w:r>
          </w:p>
        </w:tc>
        <w:tc>
          <w:tcPr>
            <w:tcW w:w="1170" w:type="dxa"/>
            <w:tcMar>
              <w:left w:w="85" w:type="dxa"/>
              <w:right w:w="85" w:type="dxa"/>
            </w:tcMar>
            <w:vAlign w:val="center"/>
          </w:tcPr>
          <w:p w14:paraId="6E50426D" w14:textId="77777777" w:rsidR="00C71A05" w:rsidRPr="007D264F" w:rsidRDefault="00C71A05" w:rsidP="00C62A95">
            <w:pPr>
              <w:pStyle w:val="Tabletext"/>
              <w:jc w:val="center"/>
              <w:rPr>
                <w:sz w:val="18"/>
                <w:szCs w:val="18"/>
              </w:rPr>
            </w:pPr>
            <w:r w:rsidRPr="007D264F">
              <w:rPr>
                <w:sz w:val="18"/>
                <w:szCs w:val="18"/>
              </w:rPr>
              <w:t>Mars 2021</w:t>
            </w:r>
          </w:p>
        </w:tc>
        <w:tc>
          <w:tcPr>
            <w:tcW w:w="1289" w:type="dxa"/>
            <w:tcMar>
              <w:left w:w="85" w:type="dxa"/>
              <w:right w:w="85" w:type="dxa"/>
            </w:tcMar>
            <w:vAlign w:val="center"/>
          </w:tcPr>
          <w:p w14:paraId="18113BDF" w14:textId="77777777" w:rsidR="00C71A05" w:rsidRPr="007D264F" w:rsidRDefault="00C71A05" w:rsidP="00C62A95">
            <w:pPr>
              <w:pStyle w:val="Tabletext"/>
              <w:jc w:val="center"/>
              <w:rPr>
                <w:sz w:val="18"/>
                <w:szCs w:val="18"/>
              </w:rPr>
            </w:pPr>
            <w:r w:rsidRPr="007D264F">
              <w:rPr>
                <w:sz w:val="18"/>
                <w:szCs w:val="18"/>
              </w:rPr>
              <w:t>Mars 2022</w:t>
            </w:r>
          </w:p>
        </w:tc>
        <w:tc>
          <w:tcPr>
            <w:tcW w:w="1311" w:type="dxa"/>
            <w:tcMar>
              <w:left w:w="85" w:type="dxa"/>
              <w:right w:w="85" w:type="dxa"/>
            </w:tcMar>
            <w:vAlign w:val="center"/>
          </w:tcPr>
          <w:p w14:paraId="68329F9E" w14:textId="77777777" w:rsidR="00C71A05" w:rsidRPr="007D264F" w:rsidRDefault="00C71A05" w:rsidP="00C62A95">
            <w:pPr>
              <w:pStyle w:val="Tabletext"/>
              <w:jc w:val="center"/>
              <w:rPr>
                <w:sz w:val="18"/>
                <w:szCs w:val="18"/>
              </w:rPr>
            </w:pPr>
            <w:r w:rsidRPr="007D264F">
              <w:rPr>
                <w:sz w:val="18"/>
                <w:szCs w:val="18"/>
              </w:rPr>
              <w:t>Projet multirégional</w:t>
            </w:r>
          </w:p>
        </w:tc>
        <w:tc>
          <w:tcPr>
            <w:tcW w:w="1231" w:type="dxa"/>
            <w:tcMar>
              <w:left w:w="85" w:type="dxa"/>
              <w:right w:w="85" w:type="dxa"/>
            </w:tcMar>
            <w:vAlign w:val="center"/>
          </w:tcPr>
          <w:p w14:paraId="792266C8" w14:textId="77777777" w:rsidR="00C71A05" w:rsidRPr="007D264F" w:rsidRDefault="00C71A05" w:rsidP="00C62A95">
            <w:pPr>
              <w:pStyle w:val="Tabletext"/>
              <w:jc w:val="center"/>
              <w:rPr>
                <w:sz w:val="18"/>
                <w:szCs w:val="18"/>
              </w:rPr>
            </w:pPr>
            <w:r w:rsidRPr="007D264F">
              <w:rPr>
                <w:sz w:val="18"/>
                <w:szCs w:val="18"/>
              </w:rPr>
              <w:t>Mars 2021</w:t>
            </w:r>
          </w:p>
        </w:tc>
        <w:tc>
          <w:tcPr>
            <w:tcW w:w="1749" w:type="dxa"/>
            <w:tcMar>
              <w:left w:w="85" w:type="dxa"/>
              <w:right w:w="85" w:type="dxa"/>
            </w:tcMar>
            <w:vAlign w:val="center"/>
          </w:tcPr>
          <w:p w14:paraId="37CE068F" w14:textId="77777777" w:rsidR="00C71A05" w:rsidRPr="007D264F" w:rsidRDefault="00C71A05" w:rsidP="00C62A95">
            <w:pPr>
              <w:pStyle w:val="Tabletext"/>
              <w:jc w:val="center"/>
              <w:rPr>
                <w:sz w:val="18"/>
                <w:szCs w:val="18"/>
              </w:rPr>
            </w:pPr>
            <w:r w:rsidRPr="007D264F">
              <w:rPr>
                <w:sz w:val="18"/>
                <w:szCs w:val="18"/>
              </w:rPr>
              <w:t xml:space="preserve">Ministère des affaires étrangères, du Commonwealth et du développement du Royaume-Uni </w:t>
            </w:r>
            <w:r w:rsidRPr="007D264F">
              <w:rPr>
                <w:sz w:val="18"/>
                <w:szCs w:val="18"/>
              </w:rPr>
              <w:br/>
              <w:t>(FCDO)</w:t>
            </w:r>
          </w:p>
        </w:tc>
        <w:tc>
          <w:tcPr>
            <w:tcW w:w="2610" w:type="dxa"/>
            <w:tcMar>
              <w:left w:w="85" w:type="dxa"/>
              <w:right w:w="85" w:type="dxa"/>
            </w:tcMar>
            <w:vAlign w:val="center"/>
          </w:tcPr>
          <w:p w14:paraId="75DE782F" w14:textId="77777777" w:rsidR="00C71A05" w:rsidRPr="007D264F" w:rsidRDefault="00C71A05" w:rsidP="00C62A95">
            <w:pPr>
              <w:pStyle w:val="Tabletext"/>
              <w:jc w:val="center"/>
              <w:rPr>
                <w:sz w:val="18"/>
                <w:szCs w:val="18"/>
              </w:rPr>
            </w:pPr>
            <w:r w:rsidRPr="007D264F">
              <w:rPr>
                <w:sz w:val="18"/>
                <w:szCs w:val="18"/>
              </w:rPr>
              <w:t xml:space="preserve">FCDO: </w:t>
            </w:r>
            <w:r w:rsidRPr="007D264F">
              <w:rPr>
                <w:sz w:val="18"/>
                <w:szCs w:val="18"/>
              </w:rPr>
              <w:br/>
              <w:t>999 648 GBP</w:t>
            </w:r>
          </w:p>
          <w:p w14:paraId="72B593EA" w14:textId="77777777" w:rsidR="00C71A05" w:rsidRPr="007D264F" w:rsidRDefault="00C71A05" w:rsidP="00C62A95">
            <w:pPr>
              <w:pStyle w:val="Tabletext"/>
              <w:jc w:val="center"/>
              <w:rPr>
                <w:sz w:val="18"/>
                <w:szCs w:val="18"/>
              </w:rPr>
            </w:pPr>
            <w:r w:rsidRPr="007D264F">
              <w:rPr>
                <w:sz w:val="18"/>
                <w:szCs w:val="18"/>
              </w:rPr>
              <w:t xml:space="preserve">FDTIC: </w:t>
            </w:r>
            <w:r w:rsidRPr="007D264F">
              <w:rPr>
                <w:sz w:val="18"/>
                <w:szCs w:val="18"/>
              </w:rPr>
              <w:br/>
              <w:t>276 000 USD</w:t>
            </w:r>
          </w:p>
        </w:tc>
        <w:tc>
          <w:tcPr>
            <w:tcW w:w="1750" w:type="dxa"/>
            <w:tcMar>
              <w:left w:w="85" w:type="dxa"/>
              <w:right w:w="85" w:type="dxa"/>
            </w:tcMar>
            <w:vAlign w:val="center"/>
          </w:tcPr>
          <w:p w14:paraId="3AF86721" w14:textId="77777777" w:rsidR="00C71A05" w:rsidRPr="007D264F" w:rsidRDefault="00C71A05" w:rsidP="00C62A95">
            <w:pPr>
              <w:pStyle w:val="Tabletext"/>
              <w:jc w:val="center"/>
              <w:rPr>
                <w:sz w:val="18"/>
                <w:szCs w:val="18"/>
              </w:rPr>
            </w:pPr>
            <w:r w:rsidRPr="007D264F">
              <w:rPr>
                <w:sz w:val="18"/>
                <w:szCs w:val="18"/>
              </w:rPr>
              <w:t>821 478 CHF</w:t>
            </w:r>
          </w:p>
        </w:tc>
      </w:tr>
      <w:tr w:rsidR="00C71A05" w:rsidRPr="007D264F" w14:paraId="408F921B" w14:textId="77777777" w:rsidTr="00C71A05">
        <w:trPr>
          <w:trHeight w:val="404"/>
        </w:trPr>
        <w:tc>
          <w:tcPr>
            <w:tcW w:w="1559" w:type="dxa"/>
            <w:tcMar>
              <w:left w:w="85" w:type="dxa"/>
              <w:right w:w="85" w:type="dxa"/>
            </w:tcMar>
            <w:vAlign w:val="center"/>
          </w:tcPr>
          <w:p w14:paraId="1B415E13" w14:textId="77777777" w:rsidR="00C71A05" w:rsidRPr="007D264F" w:rsidRDefault="00C71A05" w:rsidP="00C62A95">
            <w:pPr>
              <w:pStyle w:val="Tabletext"/>
              <w:jc w:val="center"/>
              <w:rPr>
                <w:sz w:val="18"/>
                <w:szCs w:val="18"/>
              </w:rPr>
            </w:pPr>
            <w:r w:rsidRPr="007D264F">
              <w:rPr>
                <w:sz w:val="18"/>
                <w:szCs w:val="18"/>
              </w:rPr>
              <w:t>9GLO21112</w:t>
            </w:r>
          </w:p>
        </w:tc>
        <w:tc>
          <w:tcPr>
            <w:tcW w:w="2306" w:type="dxa"/>
            <w:tcMar>
              <w:left w:w="85" w:type="dxa"/>
              <w:right w:w="85" w:type="dxa"/>
            </w:tcMar>
            <w:vAlign w:val="center"/>
          </w:tcPr>
          <w:p w14:paraId="35C2C051" w14:textId="77777777" w:rsidR="00C71A05" w:rsidRPr="007D264F" w:rsidRDefault="00C71A05" w:rsidP="00C62A95">
            <w:pPr>
              <w:pStyle w:val="Tabletext"/>
              <w:jc w:val="center"/>
              <w:rPr>
                <w:sz w:val="18"/>
                <w:szCs w:val="18"/>
              </w:rPr>
            </w:pPr>
            <w:r w:rsidRPr="007D264F">
              <w:rPr>
                <w:sz w:val="18"/>
                <w:szCs w:val="18"/>
              </w:rPr>
              <w:t>Créer un cyberespace sain et sécurisé au profit des enfants</w:t>
            </w:r>
          </w:p>
        </w:tc>
        <w:tc>
          <w:tcPr>
            <w:tcW w:w="1170" w:type="dxa"/>
            <w:tcMar>
              <w:left w:w="85" w:type="dxa"/>
              <w:right w:w="85" w:type="dxa"/>
            </w:tcMar>
            <w:vAlign w:val="center"/>
          </w:tcPr>
          <w:p w14:paraId="0B58ACDC" w14:textId="77777777" w:rsidR="00C71A05" w:rsidRPr="007D264F" w:rsidRDefault="00C71A05" w:rsidP="00C62A95">
            <w:pPr>
              <w:pStyle w:val="Tabletext"/>
              <w:jc w:val="center"/>
              <w:rPr>
                <w:sz w:val="18"/>
                <w:szCs w:val="18"/>
              </w:rPr>
            </w:pPr>
            <w:r w:rsidRPr="007D264F">
              <w:rPr>
                <w:sz w:val="18"/>
                <w:szCs w:val="18"/>
              </w:rPr>
              <w:t>Août 2021</w:t>
            </w:r>
          </w:p>
        </w:tc>
        <w:tc>
          <w:tcPr>
            <w:tcW w:w="1289" w:type="dxa"/>
            <w:tcMar>
              <w:left w:w="85" w:type="dxa"/>
              <w:right w:w="85" w:type="dxa"/>
            </w:tcMar>
            <w:vAlign w:val="center"/>
          </w:tcPr>
          <w:p w14:paraId="63EC27B2" w14:textId="77777777" w:rsidR="00C71A05" w:rsidRPr="007D264F" w:rsidRDefault="00C71A05" w:rsidP="00C62A95">
            <w:pPr>
              <w:pStyle w:val="Tabletext"/>
              <w:jc w:val="center"/>
              <w:rPr>
                <w:sz w:val="18"/>
                <w:szCs w:val="18"/>
              </w:rPr>
            </w:pPr>
            <w:r w:rsidRPr="007D264F">
              <w:rPr>
                <w:sz w:val="18"/>
                <w:szCs w:val="18"/>
              </w:rPr>
              <w:t>Déc. 2024</w:t>
            </w:r>
          </w:p>
        </w:tc>
        <w:tc>
          <w:tcPr>
            <w:tcW w:w="1311" w:type="dxa"/>
            <w:tcMar>
              <w:left w:w="85" w:type="dxa"/>
              <w:right w:w="85" w:type="dxa"/>
            </w:tcMar>
            <w:vAlign w:val="center"/>
          </w:tcPr>
          <w:p w14:paraId="3F897186" w14:textId="50055A5B" w:rsidR="00C71A05" w:rsidRPr="007D264F" w:rsidRDefault="00C71A05" w:rsidP="00C62A95">
            <w:pPr>
              <w:pStyle w:val="Tabletext"/>
              <w:jc w:val="center"/>
              <w:rPr>
                <w:sz w:val="18"/>
                <w:szCs w:val="18"/>
              </w:rPr>
            </w:pPr>
            <w:r w:rsidRPr="007D264F">
              <w:rPr>
                <w:sz w:val="18"/>
                <w:szCs w:val="18"/>
              </w:rPr>
              <w:t>Projet multirégional</w:t>
            </w:r>
          </w:p>
        </w:tc>
        <w:tc>
          <w:tcPr>
            <w:tcW w:w="1231" w:type="dxa"/>
            <w:tcMar>
              <w:left w:w="85" w:type="dxa"/>
              <w:right w:w="85" w:type="dxa"/>
            </w:tcMar>
            <w:vAlign w:val="center"/>
          </w:tcPr>
          <w:p w14:paraId="16D4F17B" w14:textId="77777777" w:rsidR="00C71A05" w:rsidRPr="007D264F" w:rsidRDefault="00C71A05" w:rsidP="00C62A95">
            <w:pPr>
              <w:pStyle w:val="Tabletext"/>
              <w:jc w:val="center"/>
              <w:rPr>
                <w:sz w:val="18"/>
                <w:szCs w:val="18"/>
              </w:rPr>
            </w:pPr>
            <w:r w:rsidRPr="007D264F">
              <w:rPr>
                <w:sz w:val="18"/>
                <w:szCs w:val="18"/>
              </w:rPr>
              <w:t>Août 2021</w:t>
            </w:r>
          </w:p>
        </w:tc>
        <w:tc>
          <w:tcPr>
            <w:tcW w:w="1749" w:type="dxa"/>
            <w:tcMar>
              <w:left w:w="85" w:type="dxa"/>
              <w:right w:w="85" w:type="dxa"/>
            </w:tcMar>
            <w:vAlign w:val="center"/>
          </w:tcPr>
          <w:p w14:paraId="0240C052" w14:textId="77777777" w:rsidR="00C71A05" w:rsidRPr="007D264F" w:rsidRDefault="00C71A05" w:rsidP="00C62A95">
            <w:pPr>
              <w:pStyle w:val="Tabletext"/>
              <w:jc w:val="center"/>
              <w:rPr>
                <w:sz w:val="18"/>
                <w:szCs w:val="18"/>
              </w:rPr>
            </w:pPr>
            <w:r w:rsidRPr="007D264F">
              <w:rPr>
                <w:sz w:val="18"/>
                <w:szCs w:val="18"/>
              </w:rPr>
              <w:t>NCA de l'Arabie saoudite</w:t>
            </w:r>
          </w:p>
        </w:tc>
        <w:tc>
          <w:tcPr>
            <w:tcW w:w="2610" w:type="dxa"/>
            <w:tcMar>
              <w:left w:w="85" w:type="dxa"/>
              <w:right w:w="85" w:type="dxa"/>
            </w:tcMar>
            <w:vAlign w:val="center"/>
          </w:tcPr>
          <w:p w14:paraId="091ECBF4" w14:textId="78683CFB" w:rsidR="00C71A05" w:rsidRPr="007D264F" w:rsidRDefault="00C71A05" w:rsidP="00C62A95">
            <w:pPr>
              <w:pStyle w:val="Tabletext"/>
              <w:jc w:val="center"/>
              <w:rPr>
                <w:sz w:val="18"/>
                <w:szCs w:val="18"/>
              </w:rPr>
            </w:pPr>
            <w:r w:rsidRPr="007D264F">
              <w:rPr>
                <w:sz w:val="18"/>
                <w:szCs w:val="18"/>
              </w:rPr>
              <w:t>NCA de l'Arabie saoudite:</w:t>
            </w:r>
            <w:r w:rsidRPr="007D264F">
              <w:rPr>
                <w:sz w:val="18"/>
                <w:szCs w:val="18"/>
              </w:rPr>
              <w:br/>
              <w:t>1 612 500 USD</w:t>
            </w:r>
          </w:p>
          <w:p w14:paraId="7D831207" w14:textId="77777777" w:rsidR="00C71A05" w:rsidRPr="007D264F" w:rsidRDefault="00C71A05" w:rsidP="00C62A95">
            <w:pPr>
              <w:pStyle w:val="Tabletext"/>
              <w:jc w:val="center"/>
              <w:rPr>
                <w:sz w:val="18"/>
                <w:szCs w:val="18"/>
              </w:rPr>
            </w:pPr>
            <w:r w:rsidRPr="007D264F">
              <w:rPr>
                <w:sz w:val="18"/>
                <w:szCs w:val="18"/>
              </w:rPr>
              <w:t xml:space="preserve">FDTIC: </w:t>
            </w:r>
            <w:r w:rsidRPr="007D264F">
              <w:rPr>
                <w:sz w:val="18"/>
                <w:szCs w:val="18"/>
              </w:rPr>
              <w:br/>
              <w:t>400 000 USD</w:t>
            </w:r>
          </w:p>
        </w:tc>
        <w:tc>
          <w:tcPr>
            <w:tcW w:w="1750" w:type="dxa"/>
            <w:tcMar>
              <w:left w:w="85" w:type="dxa"/>
              <w:right w:w="85" w:type="dxa"/>
            </w:tcMar>
            <w:vAlign w:val="center"/>
          </w:tcPr>
          <w:p w14:paraId="285784D4" w14:textId="77777777" w:rsidR="00C71A05" w:rsidRPr="007D264F" w:rsidRDefault="00C71A05" w:rsidP="00C62A95">
            <w:pPr>
              <w:pStyle w:val="Tabletext"/>
              <w:jc w:val="center"/>
              <w:rPr>
                <w:sz w:val="18"/>
                <w:szCs w:val="18"/>
              </w:rPr>
            </w:pPr>
            <w:r w:rsidRPr="007D264F">
              <w:rPr>
                <w:sz w:val="18"/>
                <w:szCs w:val="18"/>
              </w:rPr>
              <w:t>1 213 896 CHF</w:t>
            </w:r>
          </w:p>
        </w:tc>
      </w:tr>
      <w:tr w:rsidR="00C71A05" w:rsidRPr="007D264F" w14:paraId="0B7931EB" w14:textId="77777777" w:rsidTr="00C71A05">
        <w:trPr>
          <w:trHeight w:val="404"/>
        </w:trPr>
        <w:tc>
          <w:tcPr>
            <w:tcW w:w="1559" w:type="dxa"/>
            <w:tcMar>
              <w:left w:w="85" w:type="dxa"/>
              <w:right w:w="85" w:type="dxa"/>
            </w:tcMar>
            <w:vAlign w:val="center"/>
          </w:tcPr>
          <w:p w14:paraId="5EE4EE86" w14:textId="77777777" w:rsidR="00C71A05" w:rsidRPr="007D264F" w:rsidRDefault="00C71A05" w:rsidP="00C62A95">
            <w:pPr>
              <w:pStyle w:val="Tabletext"/>
              <w:jc w:val="center"/>
              <w:rPr>
                <w:sz w:val="18"/>
                <w:szCs w:val="18"/>
              </w:rPr>
            </w:pPr>
            <w:r w:rsidRPr="007D264F">
              <w:rPr>
                <w:sz w:val="18"/>
                <w:szCs w:val="18"/>
              </w:rPr>
              <w:t>2GLO20104-03</w:t>
            </w:r>
          </w:p>
        </w:tc>
        <w:tc>
          <w:tcPr>
            <w:tcW w:w="2306" w:type="dxa"/>
            <w:tcMar>
              <w:left w:w="85" w:type="dxa"/>
              <w:right w:w="85" w:type="dxa"/>
            </w:tcMar>
            <w:vAlign w:val="center"/>
          </w:tcPr>
          <w:p w14:paraId="0F9F66EB" w14:textId="4190F10E" w:rsidR="00C71A05" w:rsidRPr="007D264F" w:rsidRDefault="00C71A05" w:rsidP="00C62A95">
            <w:pPr>
              <w:pStyle w:val="Tabletext"/>
              <w:jc w:val="center"/>
              <w:rPr>
                <w:sz w:val="18"/>
                <w:szCs w:val="18"/>
              </w:rPr>
            </w:pPr>
            <w:r w:rsidRPr="007D264F">
              <w:rPr>
                <w:sz w:val="18"/>
                <w:szCs w:val="18"/>
              </w:rPr>
              <w:t>Deuxième phase du projet</w:t>
            </w:r>
            <w:r w:rsidR="00C62A95" w:rsidRPr="007D264F">
              <w:rPr>
                <w:sz w:val="18"/>
                <w:szCs w:val="18"/>
              </w:rPr>
              <w:t> </w:t>
            </w:r>
            <w:r w:rsidRPr="007D264F">
              <w:rPr>
                <w:sz w:val="18"/>
                <w:szCs w:val="18"/>
              </w:rPr>
              <w:t>Giga</w:t>
            </w:r>
          </w:p>
        </w:tc>
        <w:tc>
          <w:tcPr>
            <w:tcW w:w="1170" w:type="dxa"/>
            <w:tcMar>
              <w:left w:w="85" w:type="dxa"/>
              <w:right w:w="85" w:type="dxa"/>
            </w:tcMar>
            <w:vAlign w:val="center"/>
          </w:tcPr>
          <w:p w14:paraId="713C0FD9" w14:textId="77777777" w:rsidR="00C71A05" w:rsidRPr="007D264F" w:rsidRDefault="00C71A05" w:rsidP="00C62A95">
            <w:pPr>
              <w:pStyle w:val="Tabletext"/>
              <w:jc w:val="center"/>
              <w:rPr>
                <w:sz w:val="18"/>
                <w:szCs w:val="18"/>
              </w:rPr>
            </w:pPr>
            <w:r w:rsidRPr="007D264F">
              <w:rPr>
                <w:sz w:val="18"/>
                <w:szCs w:val="18"/>
              </w:rPr>
              <w:t>Août 2021</w:t>
            </w:r>
          </w:p>
        </w:tc>
        <w:tc>
          <w:tcPr>
            <w:tcW w:w="1289" w:type="dxa"/>
            <w:tcMar>
              <w:left w:w="85" w:type="dxa"/>
              <w:right w:w="85" w:type="dxa"/>
            </w:tcMar>
            <w:vAlign w:val="center"/>
          </w:tcPr>
          <w:p w14:paraId="2838E6CD" w14:textId="77777777" w:rsidR="00C71A05" w:rsidRPr="007D264F" w:rsidRDefault="00C71A05" w:rsidP="00C62A95">
            <w:pPr>
              <w:pStyle w:val="Tabletext"/>
              <w:jc w:val="center"/>
              <w:rPr>
                <w:sz w:val="18"/>
                <w:szCs w:val="18"/>
              </w:rPr>
            </w:pPr>
            <w:r w:rsidRPr="007D264F">
              <w:rPr>
                <w:sz w:val="18"/>
                <w:szCs w:val="18"/>
              </w:rPr>
              <w:t>Mars 2023</w:t>
            </w:r>
          </w:p>
        </w:tc>
        <w:tc>
          <w:tcPr>
            <w:tcW w:w="1311" w:type="dxa"/>
            <w:tcMar>
              <w:left w:w="85" w:type="dxa"/>
              <w:right w:w="85" w:type="dxa"/>
            </w:tcMar>
            <w:vAlign w:val="center"/>
          </w:tcPr>
          <w:p w14:paraId="2224ADF6" w14:textId="707C7BF3" w:rsidR="00C71A05" w:rsidRPr="007D264F" w:rsidRDefault="00C71A05" w:rsidP="00C62A95">
            <w:pPr>
              <w:pStyle w:val="Tabletext"/>
              <w:jc w:val="center"/>
              <w:rPr>
                <w:sz w:val="18"/>
                <w:szCs w:val="18"/>
              </w:rPr>
            </w:pPr>
            <w:r w:rsidRPr="007D264F">
              <w:rPr>
                <w:sz w:val="18"/>
                <w:szCs w:val="18"/>
              </w:rPr>
              <w:t>Projet multirégional</w:t>
            </w:r>
          </w:p>
        </w:tc>
        <w:tc>
          <w:tcPr>
            <w:tcW w:w="1231" w:type="dxa"/>
            <w:tcMar>
              <w:left w:w="85" w:type="dxa"/>
              <w:right w:w="85" w:type="dxa"/>
            </w:tcMar>
            <w:vAlign w:val="center"/>
          </w:tcPr>
          <w:p w14:paraId="74327707" w14:textId="77777777" w:rsidR="00C71A05" w:rsidRPr="007D264F" w:rsidRDefault="00C71A05" w:rsidP="00C62A95">
            <w:pPr>
              <w:pStyle w:val="Tabletext"/>
              <w:jc w:val="center"/>
              <w:rPr>
                <w:sz w:val="18"/>
                <w:szCs w:val="18"/>
              </w:rPr>
            </w:pPr>
            <w:r w:rsidRPr="007D264F">
              <w:rPr>
                <w:sz w:val="18"/>
                <w:szCs w:val="18"/>
              </w:rPr>
              <w:t>Août 2021</w:t>
            </w:r>
          </w:p>
        </w:tc>
        <w:tc>
          <w:tcPr>
            <w:tcW w:w="1749" w:type="dxa"/>
            <w:tcMar>
              <w:left w:w="85" w:type="dxa"/>
              <w:right w:w="85" w:type="dxa"/>
            </w:tcMar>
            <w:vAlign w:val="center"/>
          </w:tcPr>
          <w:p w14:paraId="4F0D3E61" w14:textId="77777777" w:rsidR="00C71A05" w:rsidRPr="007D264F" w:rsidRDefault="00C71A05" w:rsidP="00C62A95">
            <w:pPr>
              <w:pStyle w:val="Tabletext"/>
              <w:jc w:val="center"/>
              <w:rPr>
                <w:sz w:val="18"/>
                <w:szCs w:val="18"/>
              </w:rPr>
            </w:pPr>
            <w:r w:rsidRPr="007D264F">
              <w:rPr>
                <w:sz w:val="18"/>
                <w:szCs w:val="18"/>
              </w:rPr>
              <w:t>UNICEF</w:t>
            </w:r>
          </w:p>
        </w:tc>
        <w:tc>
          <w:tcPr>
            <w:tcW w:w="2610" w:type="dxa"/>
            <w:tcMar>
              <w:left w:w="85" w:type="dxa"/>
              <w:right w:w="85" w:type="dxa"/>
            </w:tcMar>
            <w:vAlign w:val="center"/>
          </w:tcPr>
          <w:p w14:paraId="4A1EEC60" w14:textId="77777777" w:rsidR="00C71A05" w:rsidRPr="007D264F" w:rsidRDefault="00C71A05" w:rsidP="00C62A95">
            <w:pPr>
              <w:pStyle w:val="Tabletext"/>
              <w:jc w:val="center"/>
              <w:rPr>
                <w:sz w:val="18"/>
                <w:szCs w:val="18"/>
              </w:rPr>
            </w:pPr>
            <w:r w:rsidRPr="007D264F">
              <w:rPr>
                <w:sz w:val="18"/>
                <w:szCs w:val="18"/>
              </w:rPr>
              <w:t xml:space="preserve">UNICEF: </w:t>
            </w:r>
            <w:r w:rsidRPr="007D264F">
              <w:rPr>
                <w:sz w:val="18"/>
                <w:szCs w:val="18"/>
              </w:rPr>
              <w:br/>
              <w:t>550 000 USD</w:t>
            </w:r>
          </w:p>
          <w:p w14:paraId="1F5EF040" w14:textId="77777777" w:rsidR="00C71A05" w:rsidRPr="007D264F" w:rsidRDefault="00C71A05" w:rsidP="00C62A95">
            <w:pPr>
              <w:pStyle w:val="Tabletext"/>
              <w:jc w:val="center"/>
              <w:rPr>
                <w:sz w:val="18"/>
                <w:szCs w:val="18"/>
              </w:rPr>
            </w:pPr>
            <w:r w:rsidRPr="007D264F">
              <w:rPr>
                <w:sz w:val="18"/>
                <w:szCs w:val="18"/>
              </w:rPr>
              <w:t xml:space="preserve">FDTIC: </w:t>
            </w:r>
            <w:r w:rsidRPr="007D264F">
              <w:rPr>
                <w:sz w:val="18"/>
                <w:szCs w:val="18"/>
              </w:rPr>
              <w:br/>
              <w:t>137 500 USD</w:t>
            </w:r>
          </w:p>
        </w:tc>
        <w:tc>
          <w:tcPr>
            <w:tcW w:w="1750" w:type="dxa"/>
            <w:tcMar>
              <w:left w:w="85" w:type="dxa"/>
              <w:right w:w="85" w:type="dxa"/>
            </w:tcMar>
            <w:vAlign w:val="center"/>
          </w:tcPr>
          <w:p w14:paraId="183384C5" w14:textId="77777777" w:rsidR="00C71A05" w:rsidRPr="007D264F" w:rsidRDefault="00C71A05" w:rsidP="00C62A95">
            <w:pPr>
              <w:pStyle w:val="Tabletext"/>
              <w:jc w:val="center"/>
              <w:rPr>
                <w:sz w:val="18"/>
                <w:szCs w:val="18"/>
              </w:rPr>
            </w:pPr>
            <w:r w:rsidRPr="007D264F">
              <w:rPr>
                <w:sz w:val="18"/>
                <w:szCs w:val="18"/>
              </w:rPr>
              <w:t>506 440 CHF</w:t>
            </w:r>
          </w:p>
        </w:tc>
      </w:tr>
      <w:tr w:rsidR="00C71A05" w:rsidRPr="007D264F" w14:paraId="5B6D5C90" w14:textId="77777777" w:rsidTr="00C71A05">
        <w:trPr>
          <w:trHeight w:val="404"/>
        </w:trPr>
        <w:tc>
          <w:tcPr>
            <w:tcW w:w="1559" w:type="dxa"/>
            <w:tcMar>
              <w:left w:w="85" w:type="dxa"/>
              <w:right w:w="85" w:type="dxa"/>
            </w:tcMar>
            <w:vAlign w:val="center"/>
          </w:tcPr>
          <w:p w14:paraId="437CA843" w14:textId="77777777" w:rsidR="00C71A05" w:rsidRPr="007D264F" w:rsidRDefault="00C71A05" w:rsidP="00C62A95">
            <w:pPr>
              <w:pStyle w:val="Tabletext"/>
              <w:jc w:val="center"/>
              <w:rPr>
                <w:sz w:val="18"/>
                <w:szCs w:val="18"/>
              </w:rPr>
            </w:pPr>
            <w:r w:rsidRPr="007D264F">
              <w:rPr>
                <w:sz w:val="18"/>
                <w:szCs w:val="18"/>
              </w:rPr>
              <w:t>9RAF21101</w:t>
            </w:r>
          </w:p>
        </w:tc>
        <w:tc>
          <w:tcPr>
            <w:tcW w:w="2306" w:type="dxa"/>
            <w:tcMar>
              <w:left w:w="85" w:type="dxa"/>
              <w:right w:w="85" w:type="dxa"/>
            </w:tcMar>
            <w:vAlign w:val="center"/>
          </w:tcPr>
          <w:p w14:paraId="204FEC68" w14:textId="77777777" w:rsidR="00C71A05" w:rsidRPr="007D264F" w:rsidRDefault="00C71A05" w:rsidP="00C62A95">
            <w:pPr>
              <w:pStyle w:val="Tabletext"/>
              <w:jc w:val="center"/>
              <w:rPr>
                <w:sz w:val="18"/>
                <w:szCs w:val="18"/>
              </w:rPr>
            </w:pPr>
            <w:r w:rsidRPr="007D264F">
              <w:rPr>
                <w:sz w:val="18"/>
                <w:szCs w:val="18"/>
              </w:rPr>
              <w:t>Accélérer la transformation numérique en Afrique grâce à la connectivité</w:t>
            </w:r>
          </w:p>
        </w:tc>
        <w:tc>
          <w:tcPr>
            <w:tcW w:w="1170" w:type="dxa"/>
            <w:tcMar>
              <w:left w:w="85" w:type="dxa"/>
              <w:right w:w="85" w:type="dxa"/>
            </w:tcMar>
            <w:vAlign w:val="center"/>
          </w:tcPr>
          <w:p w14:paraId="352D11FF" w14:textId="77777777" w:rsidR="00C71A05" w:rsidRPr="007D264F" w:rsidRDefault="00C71A05" w:rsidP="00C62A95">
            <w:pPr>
              <w:pStyle w:val="Tabletext"/>
              <w:jc w:val="center"/>
              <w:rPr>
                <w:sz w:val="18"/>
                <w:szCs w:val="18"/>
              </w:rPr>
            </w:pPr>
            <w:r w:rsidRPr="007D264F">
              <w:rPr>
                <w:sz w:val="18"/>
                <w:szCs w:val="18"/>
              </w:rPr>
              <w:t>Août 2021</w:t>
            </w:r>
          </w:p>
        </w:tc>
        <w:tc>
          <w:tcPr>
            <w:tcW w:w="1289" w:type="dxa"/>
            <w:tcMar>
              <w:left w:w="85" w:type="dxa"/>
              <w:right w:w="85" w:type="dxa"/>
            </w:tcMar>
            <w:vAlign w:val="center"/>
          </w:tcPr>
          <w:p w14:paraId="1D1830AA" w14:textId="77777777" w:rsidR="00C71A05" w:rsidRPr="007D264F" w:rsidRDefault="00C71A05" w:rsidP="00C62A95">
            <w:pPr>
              <w:pStyle w:val="Tabletext"/>
              <w:jc w:val="center"/>
              <w:rPr>
                <w:sz w:val="18"/>
                <w:szCs w:val="18"/>
              </w:rPr>
            </w:pPr>
            <w:r w:rsidRPr="007D264F">
              <w:rPr>
                <w:sz w:val="18"/>
                <w:szCs w:val="18"/>
              </w:rPr>
              <w:t>Déc. 2022</w:t>
            </w:r>
          </w:p>
        </w:tc>
        <w:tc>
          <w:tcPr>
            <w:tcW w:w="1311" w:type="dxa"/>
            <w:tcMar>
              <w:left w:w="85" w:type="dxa"/>
              <w:right w:w="85" w:type="dxa"/>
            </w:tcMar>
            <w:vAlign w:val="center"/>
          </w:tcPr>
          <w:p w14:paraId="440FB91B" w14:textId="77777777" w:rsidR="00C71A05" w:rsidRPr="007D264F" w:rsidRDefault="00C71A05" w:rsidP="00C62A95">
            <w:pPr>
              <w:pStyle w:val="Tabletext"/>
              <w:jc w:val="center"/>
              <w:rPr>
                <w:sz w:val="18"/>
                <w:szCs w:val="18"/>
              </w:rPr>
            </w:pPr>
            <w:r w:rsidRPr="007D264F">
              <w:rPr>
                <w:sz w:val="18"/>
                <w:szCs w:val="18"/>
              </w:rPr>
              <w:t>Afrique</w:t>
            </w:r>
          </w:p>
        </w:tc>
        <w:tc>
          <w:tcPr>
            <w:tcW w:w="1231" w:type="dxa"/>
            <w:tcMar>
              <w:left w:w="85" w:type="dxa"/>
              <w:right w:w="85" w:type="dxa"/>
            </w:tcMar>
            <w:vAlign w:val="center"/>
          </w:tcPr>
          <w:p w14:paraId="2A3D285C" w14:textId="77777777" w:rsidR="00C71A05" w:rsidRPr="007D264F" w:rsidRDefault="00C71A05" w:rsidP="00C62A95">
            <w:pPr>
              <w:pStyle w:val="Tabletext"/>
              <w:jc w:val="center"/>
              <w:rPr>
                <w:sz w:val="18"/>
                <w:szCs w:val="18"/>
              </w:rPr>
            </w:pPr>
            <w:r w:rsidRPr="007D264F">
              <w:rPr>
                <w:sz w:val="18"/>
                <w:szCs w:val="18"/>
              </w:rPr>
              <w:t>Août 2021</w:t>
            </w:r>
          </w:p>
        </w:tc>
        <w:tc>
          <w:tcPr>
            <w:tcW w:w="1749" w:type="dxa"/>
            <w:tcMar>
              <w:left w:w="85" w:type="dxa"/>
              <w:right w:w="85" w:type="dxa"/>
            </w:tcMar>
            <w:vAlign w:val="center"/>
          </w:tcPr>
          <w:p w14:paraId="07422C50" w14:textId="77777777" w:rsidR="00C71A05" w:rsidRPr="007D264F" w:rsidRDefault="00C71A05" w:rsidP="00C62A95">
            <w:pPr>
              <w:pStyle w:val="Tabletext"/>
              <w:jc w:val="center"/>
              <w:rPr>
                <w:sz w:val="18"/>
                <w:szCs w:val="18"/>
              </w:rPr>
            </w:pPr>
            <w:r w:rsidRPr="007D264F">
              <w:rPr>
                <w:sz w:val="18"/>
                <w:szCs w:val="18"/>
              </w:rPr>
              <w:t>Microsoft</w:t>
            </w:r>
          </w:p>
        </w:tc>
        <w:tc>
          <w:tcPr>
            <w:tcW w:w="2610" w:type="dxa"/>
            <w:tcMar>
              <w:left w:w="85" w:type="dxa"/>
              <w:right w:w="85" w:type="dxa"/>
            </w:tcMar>
            <w:vAlign w:val="center"/>
          </w:tcPr>
          <w:p w14:paraId="10AAB934" w14:textId="77777777" w:rsidR="00C71A05" w:rsidRPr="007D264F" w:rsidRDefault="00C71A05" w:rsidP="00C62A95">
            <w:pPr>
              <w:pStyle w:val="Tabletext"/>
              <w:jc w:val="center"/>
              <w:rPr>
                <w:sz w:val="18"/>
                <w:szCs w:val="18"/>
              </w:rPr>
            </w:pPr>
            <w:r w:rsidRPr="007D264F">
              <w:rPr>
                <w:sz w:val="18"/>
                <w:szCs w:val="18"/>
              </w:rPr>
              <w:t xml:space="preserve">Microsoft: </w:t>
            </w:r>
            <w:r w:rsidRPr="007D264F">
              <w:rPr>
                <w:sz w:val="18"/>
                <w:szCs w:val="18"/>
              </w:rPr>
              <w:br/>
              <w:t>500 000 USD</w:t>
            </w:r>
          </w:p>
          <w:p w14:paraId="008FC5F4" w14:textId="77777777" w:rsidR="00C71A05" w:rsidRPr="007D264F" w:rsidRDefault="00C71A05" w:rsidP="00C62A95">
            <w:pPr>
              <w:pStyle w:val="Tabletext"/>
              <w:jc w:val="center"/>
              <w:rPr>
                <w:sz w:val="18"/>
                <w:szCs w:val="18"/>
              </w:rPr>
            </w:pPr>
            <w:r w:rsidRPr="007D264F">
              <w:rPr>
                <w:sz w:val="18"/>
                <w:szCs w:val="18"/>
              </w:rPr>
              <w:t xml:space="preserve">FDTIC: </w:t>
            </w:r>
            <w:r w:rsidRPr="007D264F">
              <w:rPr>
                <w:sz w:val="18"/>
                <w:szCs w:val="18"/>
              </w:rPr>
              <w:br/>
              <w:t>100 000 USD</w:t>
            </w:r>
          </w:p>
        </w:tc>
        <w:tc>
          <w:tcPr>
            <w:tcW w:w="1750" w:type="dxa"/>
            <w:tcMar>
              <w:left w:w="85" w:type="dxa"/>
              <w:right w:w="85" w:type="dxa"/>
            </w:tcMar>
            <w:vAlign w:val="center"/>
          </w:tcPr>
          <w:p w14:paraId="26A9CEC0" w14:textId="77777777" w:rsidR="00C71A05" w:rsidRPr="007D264F" w:rsidRDefault="00C71A05" w:rsidP="00C62A95">
            <w:pPr>
              <w:pStyle w:val="Tabletext"/>
              <w:jc w:val="center"/>
              <w:rPr>
                <w:sz w:val="18"/>
                <w:szCs w:val="18"/>
              </w:rPr>
            </w:pPr>
            <w:r w:rsidRPr="007D264F">
              <w:rPr>
                <w:sz w:val="18"/>
                <w:szCs w:val="18"/>
              </w:rPr>
              <w:t>558 600 CHF</w:t>
            </w:r>
          </w:p>
        </w:tc>
      </w:tr>
      <w:tr w:rsidR="00C71A05" w:rsidRPr="007D264F" w14:paraId="3767660A" w14:textId="77777777" w:rsidTr="00C71A05">
        <w:trPr>
          <w:trHeight w:val="404"/>
        </w:trPr>
        <w:tc>
          <w:tcPr>
            <w:tcW w:w="1559" w:type="dxa"/>
            <w:tcMar>
              <w:left w:w="85" w:type="dxa"/>
              <w:right w:w="85" w:type="dxa"/>
            </w:tcMar>
            <w:vAlign w:val="center"/>
          </w:tcPr>
          <w:p w14:paraId="0D84EA3A" w14:textId="77777777" w:rsidR="00C71A05" w:rsidRPr="007D264F" w:rsidRDefault="00C71A05" w:rsidP="00C62A95">
            <w:pPr>
              <w:pStyle w:val="Tabletext"/>
              <w:jc w:val="center"/>
              <w:rPr>
                <w:sz w:val="18"/>
                <w:szCs w:val="18"/>
              </w:rPr>
            </w:pPr>
            <w:r w:rsidRPr="007D264F">
              <w:rPr>
                <w:sz w:val="18"/>
                <w:szCs w:val="18"/>
              </w:rPr>
              <w:t>9UGA21008</w:t>
            </w:r>
          </w:p>
        </w:tc>
        <w:tc>
          <w:tcPr>
            <w:tcW w:w="2306" w:type="dxa"/>
            <w:tcMar>
              <w:left w:w="85" w:type="dxa"/>
              <w:right w:w="85" w:type="dxa"/>
            </w:tcMar>
            <w:vAlign w:val="center"/>
          </w:tcPr>
          <w:p w14:paraId="3F1A7010" w14:textId="77777777" w:rsidR="00C71A05" w:rsidRPr="007D264F" w:rsidRDefault="00C71A05" w:rsidP="00C62A95">
            <w:pPr>
              <w:pStyle w:val="Tabletext"/>
              <w:jc w:val="center"/>
              <w:rPr>
                <w:sz w:val="18"/>
                <w:szCs w:val="18"/>
              </w:rPr>
            </w:pPr>
            <w:r w:rsidRPr="007D264F">
              <w:rPr>
                <w:sz w:val="18"/>
                <w:szCs w:val="18"/>
              </w:rPr>
              <w:t>Assistance technique et formation proposées à l'Ouganda concernant la Stratégie de développement national des TIC</w:t>
            </w:r>
          </w:p>
        </w:tc>
        <w:tc>
          <w:tcPr>
            <w:tcW w:w="1170" w:type="dxa"/>
            <w:tcMar>
              <w:left w:w="85" w:type="dxa"/>
              <w:right w:w="85" w:type="dxa"/>
            </w:tcMar>
            <w:vAlign w:val="center"/>
          </w:tcPr>
          <w:p w14:paraId="7449EA1B" w14:textId="77777777" w:rsidR="00C71A05" w:rsidRPr="007D264F" w:rsidRDefault="00C71A05" w:rsidP="00C62A95">
            <w:pPr>
              <w:pStyle w:val="Tabletext"/>
              <w:jc w:val="center"/>
              <w:rPr>
                <w:sz w:val="18"/>
                <w:szCs w:val="18"/>
              </w:rPr>
            </w:pPr>
            <w:r w:rsidRPr="007D264F">
              <w:rPr>
                <w:sz w:val="18"/>
                <w:szCs w:val="18"/>
              </w:rPr>
              <w:t>Jan. 2021</w:t>
            </w:r>
          </w:p>
        </w:tc>
        <w:tc>
          <w:tcPr>
            <w:tcW w:w="1289" w:type="dxa"/>
            <w:tcMar>
              <w:left w:w="85" w:type="dxa"/>
              <w:right w:w="85" w:type="dxa"/>
            </w:tcMar>
            <w:vAlign w:val="center"/>
          </w:tcPr>
          <w:p w14:paraId="52A6F4E9" w14:textId="77777777" w:rsidR="00C71A05" w:rsidRPr="007D264F" w:rsidRDefault="00C71A05" w:rsidP="00C62A95">
            <w:pPr>
              <w:pStyle w:val="Tabletext"/>
              <w:jc w:val="center"/>
              <w:rPr>
                <w:sz w:val="18"/>
                <w:szCs w:val="18"/>
              </w:rPr>
            </w:pPr>
            <w:r w:rsidRPr="007D264F">
              <w:rPr>
                <w:sz w:val="18"/>
                <w:szCs w:val="18"/>
              </w:rPr>
              <w:t>Juin 2022</w:t>
            </w:r>
          </w:p>
        </w:tc>
        <w:tc>
          <w:tcPr>
            <w:tcW w:w="1311" w:type="dxa"/>
            <w:tcMar>
              <w:left w:w="85" w:type="dxa"/>
              <w:right w:w="85" w:type="dxa"/>
            </w:tcMar>
            <w:vAlign w:val="center"/>
          </w:tcPr>
          <w:p w14:paraId="6A0E6615" w14:textId="77777777" w:rsidR="00C71A05" w:rsidRPr="007D264F" w:rsidRDefault="00C71A05" w:rsidP="00C62A95">
            <w:pPr>
              <w:pStyle w:val="Tabletext"/>
              <w:jc w:val="center"/>
              <w:rPr>
                <w:sz w:val="18"/>
                <w:szCs w:val="18"/>
              </w:rPr>
            </w:pPr>
            <w:r w:rsidRPr="007D264F">
              <w:rPr>
                <w:sz w:val="18"/>
                <w:szCs w:val="18"/>
              </w:rPr>
              <w:t>Afrique</w:t>
            </w:r>
          </w:p>
        </w:tc>
        <w:tc>
          <w:tcPr>
            <w:tcW w:w="1231" w:type="dxa"/>
            <w:tcMar>
              <w:left w:w="85" w:type="dxa"/>
              <w:right w:w="85" w:type="dxa"/>
            </w:tcMar>
            <w:vAlign w:val="center"/>
          </w:tcPr>
          <w:p w14:paraId="456F32DB" w14:textId="77777777" w:rsidR="00C71A05" w:rsidRPr="007D264F" w:rsidRDefault="00C71A05" w:rsidP="00C62A95">
            <w:pPr>
              <w:pStyle w:val="Tabletext"/>
              <w:jc w:val="center"/>
              <w:rPr>
                <w:sz w:val="18"/>
                <w:szCs w:val="18"/>
              </w:rPr>
            </w:pPr>
            <w:r w:rsidRPr="007D264F">
              <w:rPr>
                <w:sz w:val="18"/>
                <w:szCs w:val="18"/>
              </w:rPr>
              <w:t>Fév. 2021</w:t>
            </w:r>
          </w:p>
        </w:tc>
        <w:tc>
          <w:tcPr>
            <w:tcW w:w="1749" w:type="dxa"/>
            <w:tcMar>
              <w:left w:w="85" w:type="dxa"/>
              <w:right w:w="85" w:type="dxa"/>
            </w:tcMar>
            <w:vAlign w:val="center"/>
          </w:tcPr>
          <w:p w14:paraId="55FEE5BB" w14:textId="77777777" w:rsidR="00C71A05" w:rsidRPr="007D264F" w:rsidRDefault="00C71A05" w:rsidP="00C62A95">
            <w:pPr>
              <w:pStyle w:val="Tabletext"/>
              <w:jc w:val="center"/>
              <w:rPr>
                <w:sz w:val="18"/>
                <w:szCs w:val="18"/>
              </w:rPr>
            </w:pPr>
            <w:r w:rsidRPr="007D264F">
              <w:rPr>
                <w:sz w:val="18"/>
                <w:szCs w:val="18"/>
              </w:rPr>
              <w:t>Ministère de l'industrie et des technologies de l'information de la République populaire de Chine (MIIT)</w:t>
            </w:r>
          </w:p>
        </w:tc>
        <w:tc>
          <w:tcPr>
            <w:tcW w:w="2610" w:type="dxa"/>
            <w:tcMar>
              <w:left w:w="85" w:type="dxa"/>
              <w:right w:w="85" w:type="dxa"/>
            </w:tcMar>
            <w:vAlign w:val="center"/>
          </w:tcPr>
          <w:p w14:paraId="2EC01F89" w14:textId="77777777" w:rsidR="00C71A05" w:rsidRPr="007D264F" w:rsidRDefault="00C71A05" w:rsidP="00C62A95">
            <w:pPr>
              <w:pStyle w:val="Tabletext"/>
              <w:jc w:val="center"/>
              <w:rPr>
                <w:sz w:val="18"/>
                <w:szCs w:val="18"/>
              </w:rPr>
            </w:pPr>
            <w:r w:rsidRPr="007D264F">
              <w:rPr>
                <w:sz w:val="18"/>
                <w:szCs w:val="18"/>
              </w:rPr>
              <w:t>MIIT:</w:t>
            </w:r>
            <w:r w:rsidRPr="007D264F">
              <w:rPr>
                <w:sz w:val="18"/>
                <w:szCs w:val="18"/>
              </w:rPr>
              <w:br/>
              <w:t>1 800 000 USD</w:t>
            </w:r>
          </w:p>
          <w:p w14:paraId="14ED62CC" w14:textId="030D4F79" w:rsidR="00C71A05" w:rsidRPr="007D264F" w:rsidRDefault="00C71A05" w:rsidP="00C62A95">
            <w:pPr>
              <w:pStyle w:val="Tabletext"/>
              <w:jc w:val="center"/>
              <w:rPr>
                <w:sz w:val="18"/>
                <w:szCs w:val="18"/>
              </w:rPr>
            </w:pPr>
            <w:r w:rsidRPr="007D264F">
              <w:rPr>
                <w:sz w:val="18"/>
                <w:szCs w:val="18"/>
              </w:rPr>
              <w:t>FDTIC:</w:t>
            </w:r>
            <w:r w:rsidR="00C62A95" w:rsidRPr="007D264F">
              <w:rPr>
                <w:sz w:val="18"/>
                <w:szCs w:val="18"/>
              </w:rPr>
              <w:br/>
            </w:r>
            <w:r w:rsidRPr="007D264F">
              <w:rPr>
                <w:sz w:val="18"/>
                <w:szCs w:val="18"/>
              </w:rPr>
              <w:t>100 000 USD</w:t>
            </w:r>
          </w:p>
        </w:tc>
        <w:tc>
          <w:tcPr>
            <w:tcW w:w="1750" w:type="dxa"/>
            <w:tcMar>
              <w:left w:w="85" w:type="dxa"/>
              <w:right w:w="85" w:type="dxa"/>
            </w:tcMar>
            <w:vAlign w:val="center"/>
          </w:tcPr>
          <w:p w14:paraId="71F3F769" w14:textId="77777777" w:rsidR="00C71A05" w:rsidRPr="007D264F" w:rsidRDefault="00C71A05" w:rsidP="00C62A95">
            <w:pPr>
              <w:pStyle w:val="Tabletext"/>
              <w:jc w:val="center"/>
              <w:rPr>
                <w:sz w:val="18"/>
                <w:szCs w:val="18"/>
              </w:rPr>
            </w:pPr>
            <w:r w:rsidRPr="007D264F">
              <w:rPr>
                <w:sz w:val="18"/>
                <w:szCs w:val="18"/>
              </w:rPr>
              <w:t>945 603 CHF</w:t>
            </w:r>
          </w:p>
        </w:tc>
      </w:tr>
    </w:tbl>
    <w:p w14:paraId="6FFCB772" w14:textId="30AE75C7" w:rsidR="00897553" w:rsidRPr="007D264F" w:rsidRDefault="00C71A05" w:rsidP="00C71A05">
      <w:pPr>
        <w:spacing w:before="360"/>
        <w:jc w:val="center"/>
      </w:pPr>
      <w:r w:rsidRPr="007D264F">
        <w:t>______________</w:t>
      </w:r>
    </w:p>
    <w:sectPr w:rsidR="00897553" w:rsidRPr="007D264F" w:rsidSect="00C71A05">
      <w:headerReference w:type="even" r:id="rId26"/>
      <w:headerReference w:type="default" r:id="rId27"/>
      <w:footerReference w:type="even" r:id="rId28"/>
      <w:footerReference w:type="default" r:id="rId29"/>
      <w:headerReference w:type="first" r:id="rId30"/>
      <w:footerReference w:type="first" r:id="rId31"/>
      <w:pgSz w:w="16840" w:h="11907" w:orient="landscape" w:code="9"/>
      <w:pgMar w:top="1134" w:right="1418" w:bottom="1134" w:left="1418" w:header="720" w:footer="720"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7DE2E" w14:textId="77777777" w:rsidR="00C71A05" w:rsidRDefault="00C71A05">
      <w:r>
        <w:separator/>
      </w:r>
    </w:p>
  </w:endnote>
  <w:endnote w:type="continuationSeparator" w:id="0">
    <w:p w14:paraId="67551722" w14:textId="77777777" w:rsidR="00C71A05" w:rsidRDefault="00C7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6590B" w14:textId="335E7254" w:rsidR="00C71A05" w:rsidRPr="008250AC" w:rsidRDefault="005A2CAC">
    <w:pPr>
      <w:pStyle w:val="Footer"/>
      <w:rPr>
        <w:color w:val="F2F2F2" w:themeColor="background1" w:themeShade="F2"/>
      </w:rPr>
    </w:pPr>
    <w:r w:rsidRPr="005A2CAC">
      <w:rPr>
        <w:color w:val="F2F2F2" w:themeColor="background1" w:themeShade="F2"/>
      </w:rPr>
      <w:fldChar w:fldCharType="begin"/>
    </w:r>
    <w:r w:rsidRPr="005A2CAC">
      <w:rPr>
        <w:color w:val="F2F2F2" w:themeColor="background1" w:themeShade="F2"/>
      </w:rPr>
      <w:instrText xml:space="preserve"> FILENAME \p  \* MERGEFORMAT </w:instrText>
    </w:r>
    <w:r w:rsidRPr="005A2CAC">
      <w:rPr>
        <w:color w:val="F2F2F2" w:themeColor="background1" w:themeShade="F2"/>
      </w:rPr>
      <w:fldChar w:fldCharType="separate"/>
    </w:r>
    <w:r w:rsidR="00C62A95" w:rsidRPr="005A2CAC">
      <w:rPr>
        <w:color w:val="F2F2F2" w:themeColor="background1" w:themeShade="F2"/>
      </w:rPr>
      <w:t>P:\FRA\SG\CONSEIL\C22\000\034F.docx</w:t>
    </w:r>
    <w:r w:rsidRPr="005A2CAC">
      <w:rPr>
        <w:color w:val="F2F2F2" w:themeColor="background1" w:themeShade="F2"/>
      </w:rPr>
      <w:fldChar w:fldCharType="end"/>
    </w:r>
    <w:r w:rsidR="00C62A95" w:rsidRPr="005A2CAC">
      <w:rPr>
        <w:color w:val="F2F2F2" w:themeColor="background1" w:themeShade="F2"/>
      </w:rPr>
      <w:t xml:space="preserve"> (498304)</w:t>
    </w:r>
    <w:r w:rsidR="00C71A05" w:rsidRPr="008250AC">
      <w:rPr>
        <w:color w:val="F2F2F2" w:themeColor="background1" w:themeShade="F2"/>
      </w:rPr>
      <w:tab/>
    </w:r>
    <w:r w:rsidR="00C71A05" w:rsidRPr="008250AC">
      <w:rPr>
        <w:color w:val="F2F2F2" w:themeColor="background1" w:themeShade="F2"/>
      </w:rPr>
      <w:fldChar w:fldCharType="begin"/>
    </w:r>
    <w:r w:rsidR="00C71A05" w:rsidRPr="008250AC">
      <w:rPr>
        <w:color w:val="F2F2F2" w:themeColor="background1" w:themeShade="F2"/>
      </w:rPr>
      <w:instrText xml:space="preserve"> SAVEDATE \@ DD.MM.YY </w:instrText>
    </w:r>
    <w:r w:rsidR="00C71A05" w:rsidRPr="008250AC">
      <w:rPr>
        <w:color w:val="F2F2F2" w:themeColor="background1" w:themeShade="F2"/>
      </w:rPr>
      <w:fldChar w:fldCharType="separate"/>
    </w:r>
    <w:r>
      <w:rPr>
        <w:color w:val="F2F2F2" w:themeColor="background1" w:themeShade="F2"/>
      </w:rPr>
      <w:t>15.12.21</w:t>
    </w:r>
    <w:r w:rsidR="00C71A05" w:rsidRPr="008250AC">
      <w:rPr>
        <w:color w:val="F2F2F2" w:themeColor="background1" w:themeShade="F2"/>
      </w:rPr>
      <w:fldChar w:fldCharType="end"/>
    </w:r>
    <w:r w:rsidR="00C71A05" w:rsidRPr="008250AC">
      <w:rPr>
        <w:color w:val="F2F2F2" w:themeColor="background1" w:themeShade="F2"/>
      </w:rPr>
      <w:tab/>
    </w:r>
    <w:r w:rsidR="00C71A05" w:rsidRPr="008250AC">
      <w:rPr>
        <w:color w:val="F2F2F2" w:themeColor="background1" w:themeShade="F2"/>
      </w:rPr>
      <w:fldChar w:fldCharType="begin"/>
    </w:r>
    <w:r w:rsidR="00C71A05" w:rsidRPr="008250AC">
      <w:rPr>
        <w:color w:val="F2F2F2" w:themeColor="background1" w:themeShade="F2"/>
      </w:rPr>
      <w:instrText xml:space="preserve"> PRINTDATE \@ DD.MM.YY </w:instrText>
    </w:r>
    <w:r w:rsidR="00C71A05" w:rsidRPr="008250AC">
      <w:rPr>
        <w:color w:val="F2F2F2" w:themeColor="background1" w:themeShade="F2"/>
      </w:rPr>
      <w:fldChar w:fldCharType="separate"/>
    </w:r>
    <w:r w:rsidR="00C62A95">
      <w:rPr>
        <w:color w:val="F2F2F2" w:themeColor="background1" w:themeShade="F2"/>
      </w:rPr>
      <w:t>18.07.00</w:t>
    </w:r>
    <w:r w:rsidR="00C71A05" w:rsidRPr="008250AC">
      <w:rPr>
        <w:color w:val="F2F2F2" w:themeColor="background1" w:themeShade="F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4916D" w14:textId="77777777" w:rsidR="00C71A05" w:rsidRDefault="00C71A05">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A7B0" w14:textId="174EF21A" w:rsidR="00732045" w:rsidRDefault="005A2CAC">
    <w:pPr>
      <w:pStyle w:val="Footer"/>
    </w:pPr>
    <w:r>
      <w:fldChar w:fldCharType="begin"/>
    </w:r>
    <w:r>
      <w:instrText xml:space="preserve"> FILENAME \p \* MERGEFORMAT </w:instrText>
    </w:r>
    <w:r>
      <w:fldChar w:fldCharType="separate"/>
    </w:r>
    <w:r w:rsidR="00C62A95">
      <w:t>P:\FRA\SG\CONSEIL\C22\000\034F.docx</w:t>
    </w:r>
    <w:r>
      <w:fldChar w:fldCharType="end"/>
    </w:r>
    <w:r w:rsidR="00732045">
      <w:tab/>
    </w:r>
    <w:r w:rsidR="002F1B76">
      <w:fldChar w:fldCharType="begin"/>
    </w:r>
    <w:r w:rsidR="00732045">
      <w:instrText xml:space="preserve"> savedate \@ dd.MM.yy </w:instrText>
    </w:r>
    <w:r w:rsidR="002F1B76">
      <w:fldChar w:fldCharType="separate"/>
    </w:r>
    <w:r>
      <w:t>15.12.21</w:t>
    </w:r>
    <w:r w:rsidR="002F1B76">
      <w:fldChar w:fldCharType="end"/>
    </w:r>
    <w:r w:rsidR="00732045">
      <w:tab/>
    </w:r>
    <w:r w:rsidR="002F1B76">
      <w:fldChar w:fldCharType="begin"/>
    </w:r>
    <w:r w:rsidR="00732045">
      <w:instrText xml:space="preserve"> printdate \@ dd.MM.yy </w:instrText>
    </w:r>
    <w:r w:rsidR="002F1B76">
      <w:fldChar w:fldCharType="separate"/>
    </w:r>
    <w:r w:rsidR="00C62A95">
      <w:t>18.07.00</w:t>
    </w:r>
    <w:r w:rsidR="002F1B76">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94537" w14:textId="012E54C4" w:rsidR="00732045" w:rsidRPr="005A2CAC" w:rsidRDefault="005A2CAC">
    <w:pPr>
      <w:pStyle w:val="Footer"/>
      <w:rPr>
        <w:color w:val="F2F2F2" w:themeColor="background1" w:themeShade="F2"/>
      </w:rPr>
    </w:pPr>
    <w:r w:rsidRPr="005A2CAC">
      <w:rPr>
        <w:color w:val="F2F2F2" w:themeColor="background1" w:themeShade="F2"/>
      </w:rPr>
      <w:fldChar w:fldCharType="begin"/>
    </w:r>
    <w:r w:rsidRPr="005A2CAC">
      <w:rPr>
        <w:color w:val="F2F2F2" w:themeColor="background1" w:themeShade="F2"/>
      </w:rPr>
      <w:instrText xml:space="preserve"> FILENAME \p  \* MERGEFORMAT </w:instrText>
    </w:r>
    <w:r w:rsidRPr="005A2CAC">
      <w:rPr>
        <w:color w:val="F2F2F2" w:themeColor="background1" w:themeShade="F2"/>
      </w:rPr>
      <w:fldChar w:fldCharType="separate"/>
    </w:r>
    <w:r w:rsidR="00C62A95" w:rsidRPr="005A2CAC">
      <w:rPr>
        <w:color w:val="F2F2F2" w:themeColor="background1" w:themeShade="F2"/>
      </w:rPr>
      <w:t>P:\FRA\SG\CONSEIL\C22\000\034F.docx</w:t>
    </w:r>
    <w:r w:rsidRPr="005A2CAC">
      <w:rPr>
        <w:color w:val="F2F2F2" w:themeColor="background1" w:themeShade="F2"/>
      </w:rPr>
      <w:fldChar w:fldCharType="end"/>
    </w:r>
    <w:r w:rsidR="00C62A95" w:rsidRPr="005A2CAC">
      <w:rPr>
        <w:color w:val="F2F2F2" w:themeColor="background1" w:themeShade="F2"/>
      </w:rPr>
      <w:t xml:space="preserve"> (498304)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698E4" w14:textId="03155EB1" w:rsidR="00732045" w:rsidRPr="005A2CAC" w:rsidRDefault="005A2CAC" w:rsidP="00C62A95">
    <w:pPr>
      <w:pStyle w:val="Footer"/>
      <w:rPr>
        <w:color w:val="F2F2F2" w:themeColor="background1" w:themeShade="F2"/>
      </w:rPr>
    </w:pPr>
    <w:r w:rsidRPr="005A2CAC">
      <w:rPr>
        <w:color w:val="F2F2F2" w:themeColor="background1" w:themeShade="F2"/>
      </w:rPr>
      <w:fldChar w:fldCharType="begin"/>
    </w:r>
    <w:r w:rsidRPr="005A2CAC">
      <w:rPr>
        <w:color w:val="F2F2F2" w:themeColor="background1" w:themeShade="F2"/>
      </w:rPr>
      <w:instrText xml:space="preserve"> FILENAME \p  \* MERGEFORMAT </w:instrText>
    </w:r>
    <w:r w:rsidRPr="005A2CAC">
      <w:rPr>
        <w:color w:val="F2F2F2" w:themeColor="background1" w:themeShade="F2"/>
      </w:rPr>
      <w:fldChar w:fldCharType="separate"/>
    </w:r>
    <w:r w:rsidR="00C62A95" w:rsidRPr="005A2CAC">
      <w:rPr>
        <w:color w:val="F2F2F2" w:themeColor="background1" w:themeShade="F2"/>
      </w:rPr>
      <w:t>P:\FRA\SG\CONSEIL\C22\000\034F.docx</w:t>
    </w:r>
    <w:r w:rsidRPr="005A2CAC">
      <w:rPr>
        <w:color w:val="F2F2F2" w:themeColor="background1" w:themeShade="F2"/>
      </w:rPr>
      <w:fldChar w:fldCharType="end"/>
    </w:r>
    <w:r w:rsidR="00C62A95" w:rsidRPr="005A2CAC">
      <w:rPr>
        <w:color w:val="F2F2F2" w:themeColor="background1" w:themeShade="F2"/>
      </w:rPr>
      <w:t xml:space="preserve"> (498304)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629BB" w14:textId="77777777" w:rsidR="00C71A05" w:rsidRDefault="00C71A05">
      <w:r>
        <w:t>____________________</w:t>
      </w:r>
    </w:p>
  </w:footnote>
  <w:footnote w:type="continuationSeparator" w:id="0">
    <w:p w14:paraId="524ADF2E" w14:textId="77777777" w:rsidR="00C71A05" w:rsidRDefault="00C71A05">
      <w:r>
        <w:continuationSeparator/>
      </w:r>
    </w:p>
  </w:footnote>
  <w:footnote w:id="1">
    <w:p w14:paraId="59FE54A5" w14:textId="1E2974B9" w:rsidR="00C71A05" w:rsidRPr="007427C4" w:rsidRDefault="00C71A05" w:rsidP="00C62A95">
      <w:pPr>
        <w:pStyle w:val="FootnoteText"/>
        <w:tabs>
          <w:tab w:val="clear" w:pos="256"/>
          <w:tab w:val="clear" w:pos="567"/>
          <w:tab w:val="clear" w:pos="1134"/>
          <w:tab w:val="clear" w:pos="1701"/>
          <w:tab w:val="clear" w:pos="2268"/>
          <w:tab w:val="clear" w:pos="2835"/>
          <w:tab w:val="left" w:pos="284"/>
        </w:tabs>
        <w:spacing w:before="0"/>
        <w:ind w:left="284" w:hanging="284"/>
        <w:rPr>
          <w:i/>
          <w:iCs/>
          <w:sz w:val="18"/>
          <w:szCs w:val="18"/>
        </w:rPr>
      </w:pPr>
      <w:r w:rsidRPr="0013310F">
        <w:rPr>
          <w:rStyle w:val="FootnoteReference"/>
          <w:i/>
          <w:iCs/>
          <w:sz w:val="18"/>
          <w:szCs w:val="18"/>
        </w:rPr>
        <w:footnoteRef/>
      </w:r>
      <w:r w:rsidRPr="007427C4">
        <w:rPr>
          <w:i/>
          <w:iCs/>
          <w:sz w:val="18"/>
          <w:szCs w:val="18"/>
        </w:rPr>
        <w:tab/>
      </w:r>
      <w:r w:rsidRPr="00A83B70">
        <w:rPr>
          <w:i/>
          <w:iCs/>
          <w:spacing w:val="-2"/>
          <w:sz w:val="20"/>
        </w:rPr>
        <w:t>La Commission de direction du FDTIC est composée du Secrétaire général de l</w:t>
      </w:r>
      <w:r w:rsidR="00C62A95">
        <w:rPr>
          <w:i/>
          <w:iCs/>
          <w:spacing w:val="-2"/>
          <w:sz w:val="20"/>
        </w:rPr>
        <w:t>'</w:t>
      </w:r>
      <w:r w:rsidRPr="00A83B70">
        <w:rPr>
          <w:i/>
          <w:iCs/>
          <w:spacing w:val="-2"/>
          <w:sz w:val="20"/>
        </w:rPr>
        <w:t>UIT, qui la préside, du Vice-Secrétaire général de l</w:t>
      </w:r>
      <w:r w:rsidR="00C62A95">
        <w:rPr>
          <w:i/>
          <w:iCs/>
          <w:spacing w:val="-2"/>
          <w:sz w:val="20"/>
        </w:rPr>
        <w:t>'</w:t>
      </w:r>
      <w:r w:rsidRPr="00A83B70">
        <w:rPr>
          <w:i/>
          <w:iCs/>
          <w:spacing w:val="-2"/>
          <w:sz w:val="20"/>
        </w:rPr>
        <w:t>UIT et de la Directrice du BDT.</w:t>
      </w:r>
    </w:p>
  </w:footnote>
  <w:footnote w:id="2">
    <w:p w14:paraId="0D021B15" w14:textId="51D42FCB" w:rsidR="00C71A05" w:rsidRPr="00FD2863" w:rsidRDefault="00C71A05" w:rsidP="00C62A95">
      <w:pPr>
        <w:pStyle w:val="FootnoteText"/>
        <w:spacing w:before="0"/>
        <w:ind w:left="0" w:firstLine="0"/>
        <w:rPr>
          <w14:textOutline w14:w="9525" w14:cap="rnd" w14:cmpd="sng" w14:algn="ctr">
            <w14:solidFill>
              <w14:schemeClr w14:val="accent1"/>
            </w14:solidFill>
            <w14:prstDash w14:val="solid"/>
            <w14:bevel/>
          </w14:textOutline>
        </w:rPr>
      </w:pPr>
      <w:r>
        <w:rPr>
          <w:rStyle w:val="FootnoteReference"/>
        </w:rPr>
        <w:footnoteRef/>
      </w:r>
      <w:r w:rsidRPr="00FD2863">
        <w:tab/>
      </w:r>
      <w:r w:rsidRPr="00C62A95">
        <w:rPr>
          <w:i/>
          <w:iCs/>
          <w:sz w:val="20"/>
        </w:rPr>
        <w:t>Les informations définitives seront disponibles à la clôture des comptes financiers de l</w:t>
      </w:r>
      <w:r w:rsidR="00C62A95" w:rsidRPr="00C62A95">
        <w:rPr>
          <w:i/>
          <w:iCs/>
          <w:sz w:val="20"/>
        </w:rPr>
        <w:t>'</w:t>
      </w:r>
      <w:r w:rsidRPr="00C62A95">
        <w:rPr>
          <w:i/>
          <w:iCs/>
          <w:sz w:val="20"/>
        </w:rPr>
        <w:t>UIT.</w:t>
      </w:r>
    </w:p>
  </w:footnote>
  <w:footnote w:id="3">
    <w:p w14:paraId="24D59FA4" w14:textId="5CCA0B25" w:rsidR="00C71A05" w:rsidRPr="009A67F7" w:rsidRDefault="00C71A05" w:rsidP="00C62A95">
      <w:pPr>
        <w:pStyle w:val="FootnoteText"/>
        <w:spacing w:before="0"/>
        <w:rPr>
          <w:i/>
          <w:iCs/>
          <w:sz w:val="18"/>
          <w:szCs w:val="18"/>
        </w:rPr>
      </w:pPr>
      <w:r w:rsidRPr="00A0771A">
        <w:rPr>
          <w:rStyle w:val="FootnoteReference"/>
          <w:i/>
          <w:iCs/>
          <w:sz w:val="18"/>
          <w:szCs w:val="18"/>
        </w:rPr>
        <w:footnoteRef/>
      </w:r>
      <w:r w:rsidRPr="009A67F7">
        <w:rPr>
          <w:i/>
          <w:iCs/>
          <w:sz w:val="18"/>
          <w:szCs w:val="18"/>
        </w:rPr>
        <w:tab/>
      </w:r>
      <w:r w:rsidRPr="00C62A95">
        <w:rPr>
          <w:i/>
          <w:iCs/>
          <w:sz w:val="20"/>
        </w:rPr>
        <w:t>Les informations définitives seront disponibles à la clôture des comptes financiers de l</w:t>
      </w:r>
      <w:r w:rsidR="00C62A95" w:rsidRPr="00C62A95">
        <w:rPr>
          <w:i/>
          <w:iCs/>
          <w:sz w:val="20"/>
        </w:rPr>
        <w:t>'</w:t>
      </w:r>
      <w:r w:rsidRPr="00C62A95">
        <w:rPr>
          <w:i/>
          <w:iCs/>
          <w:sz w:val="20"/>
        </w:rPr>
        <w:t>UIT.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A1418" w14:textId="77777777" w:rsidR="00C71A05" w:rsidRDefault="00C71A05" w:rsidP="00CE433C">
    <w:pPr>
      <w:pStyle w:val="Header"/>
    </w:pPr>
    <w:r>
      <w:fldChar w:fldCharType="begin"/>
    </w:r>
    <w:r>
      <w:instrText>PAGE</w:instrText>
    </w:r>
    <w:r>
      <w:fldChar w:fldCharType="separate"/>
    </w:r>
    <w:r>
      <w:rPr>
        <w:noProof/>
      </w:rPr>
      <w:t>5</w:t>
    </w:r>
    <w:r>
      <w:rPr>
        <w:noProof/>
      </w:rPr>
      <w:fldChar w:fldCharType="end"/>
    </w:r>
  </w:p>
  <w:p w14:paraId="44C1BB6E" w14:textId="77777777" w:rsidR="00C71A05" w:rsidRPr="00623AE3" w:rsidRDefault="00C71A05" w:rsidP="00FB1279">
    <w:pPr>
      <w:pStyle w:val="Header"/>
      <w:rPr>
        <w:bCs/>
      </w:rPr>
    </w:pPr>
    <w:r w:rsidRPr="00623AE3">
      <w:rPr>
        <w:bCs/>
      </w:rPr>
      <w:t>C</w:t>
    </w:r>
    <w:r>
      <w:rPr>
        <w:bCs/>
      </w:rPr>
      <w:t>22</w:t>
    </w:r>
    <w:r w:rsidRPr="00623AE3">
      <w:rPr>
        <w:bCs/>
      </w:rPr>
      <w:t>/</w:t>
    </w:r>
    <w:r>
      <w:rPr>
        <w:bCs/>
      </w:rPr>
      <w:t>34-F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295BA"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356CC78" w14:textId="77777777" w:rsidR="00732045" w:rsidRDefault="00732045">
    <w:pPr>
      <w:pStyle w:val="Header"/>
    </w:pPr>
    <w:r>
      <w:t>C2001/#-F</w:t>
    </w:r>
  </w:p>
  <w:p w14:paraId="6578D68C" w14:textId="77777777" w:rsidR="00782C38" w:rsidRDefault="00782C3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39EA6" w14:textId="77777777" w:rsidR="00732045" w:rsidRDefault="00C27A7C" w:rsidP="00475FB3">
    <w:pPr>
      <w:pStyle w:val="Header"/>
    </w:pPr>
    <w:r>
      <w:fldChar w:fldCharType="begin"/>
    </w:r>
    <w:r>
      <w:instrText>PAGE</w:instrText>
    </w:r>
    <w:r>
      <w:fldChar w:fldCharType="separate"/>
    </w:r>
    <w:r w:rsidR="00106B19">
      <w:rPr>
        <w:noProof/>
      </w:rPr>
      <w:t>2</w:t>
    </w:r>
    <w:r>
      <w:rPr>
        <w:noProof/>
      </w:rPr>
      <w:fldChar w:fldCharType="end"/>
    </w:r>
  </w:p>
  <w:p w14:paraId="7C9A41EF" w14:textId="2BC0303B" w:rsidR="00732045" w:rsidRDefault="00732045" w:rsidP="00106B19">
    <w:pPr>
      <w:pStyle w:val="Header"/>
    </w:pPr>
    <w:r>
      <w:t>C</w:t>
    </w:r>
    <w:r w:rsidR="009C353C">
      <w:t>2</w:t>
    </w:r>
    <w:r w:rsidR="0083391C">
      <w:t>2</w:t>
    </w:r>
    <w:r>
      <w:t>/</w:t>
    </w:r>
    <w:r w:rsidR="00C71A05">
      <w:t>34</w:t>
    </w:r>
    <w:r>
      <w:t>-F</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AB55D" w14:textId="77777777" w:rsidR="00C62A95" w:rsidRDefault="00C62A95" w:rsidP="00C62A95">
    <w:pPr>
      <w:pStyle w:val="Header"/>
    </w:pPr>
    <w:r>
      <w:fldChar w:fldCharType="begin"/>
    </w:r>
    <w:r>
      <w:instrText>PAGE</w:instrText>
    </w:r>
    <w:r>
      <w:fldChar w:fldCharType="separate"/>
    </w:r>
    <w:r>
      <w:t>10</w:t>
    </w:r>
    <w:r>
      <w:rPr>
        <w:noProof/>
      </w:rPr>
      <w:fldChar w:fldCharType="end"/>
    </w:r>
  </w:p>
  <w:p w14:paraId="2BBD0377" w14:textId="204C6F0E" w:rsidR="00C62A95" w:rsidRDefault="00C62A95" w:rsidP="00C62A95">
    <w:pPr>
      <w:pStyle w:val="Header"/>
    </w:pPr>
    <w:r>
      <w:t>C22/34-F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E4BD2"/>
    <w:multiLevelType w:val="hybridMultilevel"/>
    <w:tmpl w:val="C408D856"/>
    <w:lvl w:ilvl="0" w:tplc="1726911A">
      <w:start w:val="1"/>
      <w:numFmt w:val="decimal"/>
      <w:lvlText w:val="%1."/>
      <w:lvlJc w:val="left"/>
      <w:pPr>
        <w:ind w:left="3905"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405D6A"/>
    <w:multiLevelType w:val="hybridMultilevel"/>
    <w:tmpl w:val="ACE2DA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E87391"/>
    <w:multiLevelType w:val="hybridMultilevel"/>
    <w:tmpl w:val="95BCE81E"/>
    <w:lvl w:ilvl="0" w:tplc="04090001">
      <w:start w:val="1"/>
      <w:numFmt w:val="bullet"/>
      <w:lvlText w:val=""/>
      <w:lvlJc w:val="left"/>
      <w:pPr>
        <w:ind w:left="366" w:hanging="360"/>
      </w:pPr>
      <w:rPr>
        <w:rFonts w:ascii="Symbol" w:hAnsi="Symbol" w:hint="default"/>
      </w:rPr>
    </w:lvl>
    <w:lvl w:ilvl="1" w:tplc="04090003">
      <w:start w:val="1"/>
      <w:numFmt w:val="bullet"/>
      <w:lvlText w:val="o"/>
      <w:lvlJc w:val="left"/>
      <w:pPr>
        <w:ind w:left="1086" w:hanging="360"/>
      </w:pPr>
      <w:rPr>
        <w:rFonts w:ascii="Courier New" w:hAnsi="Courier New" w:cs="Courier New" w:hint="default"/>
      </w:rPr>
    </w:lvl>
    <w:lvl w:ilvl="2" w:tplc="04090005">
      <w:start w:val="1"/>
      <w:numFmt w:val="bullet"/>
      <w:lvlText w:val=""/>
      <w:lvlJc w:val="left"/>
      <w:pPr>
        <w:ind w:left="1806" w:hanging="360"/>
      </w:pPr>
      <w:rPr>
        <w:rFonts w:ascii="Wingdings" w:hAnsi="Wingdings" w:hint="default"/>
      </w:rPr>
    </w:lvl>
    <w:lvl w:ilvl="3" w:tplc="0409000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3" w15:restartNumberingAfterBreak="0">
    <w:nsid w:val="76991932"/>
    <w:multiLevelType w:val="hybridMultilevel"/>
    <w:tmpl w:val="3D520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A05"/>
    <w:rsid w:val="000D0D0A"/>
    <w:rsid w:val="00103163"/>
    <w:rsid w:val="00106B19"/>
    <w:rsid w:val="00115D93"/>
    <w:rsid w:val="001247A8"/>
    <w:rsid w:val="001378C0"/>
    <w:rsid w:val="0018694A"/>
    <w:rsid w:val="001A3287"/>
    <w:rsid w:val="001A6508"/>
    <w:rsid w:val="001D4C31"/>
    <w:rsid w:val="001E4D21"/>
    <w:rsid w:val="00207CD1"/>
    <w:rsid w:val="002477A2"/>
    <w:rsid w:val="00263A51"/>
    <w:rsid w:val="00267E02"/>
    <w:rsid w:val="002A5D44"/>
    <w:rsid w:val="002E0BC4"/>
    <w:rsid w:val="002F1B76"/>
    <w:rsid w:val="0033568E"/>
    <w:rsid w:val="00355FF5"/>
    <w:rsid w:val="00361350"/>
    <w:rsid w:val="003C3FAE"/>
    <w:rsid w:val="004038CB"/>
    <w:rsid w:val="0040546F"/>
    <w:rsid w:val="0042404A"/>
    <w:rsid w:val="0044618F"/>
    <w:rsid w:val="0046769A"/>
    <w:rsid w:val="00475FB3"/>
    <w:rsid w:val="004C37A9"/>
    <w:rsid w:val="004D1D50"/>
    <w:rsid w:val="004F259E"/>
    <w:rsid w:val="00511F1D"/>
    <w:rsid w:val="00520F36"/>
    <w:rsid w:val="00540615"/>
    <w:rsid w:val="00540A6D"/>
    <w:rsid w:val="00571EEA"/>
    <w:rsid w:val="00575417"/>
    <w:rsid w:val="005768E1"/>
    <w:rsid w:val="005A2CAC"/>
    <w:rsid w:val="005B1938"/>
    <w:rsid w:val="005C3890"/>
    <w:rsid w:val="005F7BFE"/>
    <w:rsid w:val="00600017"/>
    <w:rsid w:val="006235CA"/>
    <w:rsid w:val="006643AB"/>
    <w:rsid w:val="007210CD"/>
    <w:rsid w:val="00732045"/>
    <w:rsid w:val="007369DB"/>
    <w:rsid w:val="00782C38"/>
    <w:rsid w:val="007956C2"/>
    <w:rsid w:val="007A187E"/>
    <w:rsid w:val="007C72C2"/>
    <w:rsid w:val="007D264F"/>
    <w:rsid w:val="007D4436"/>
    <w:rsid w:val="007F257A"/>
    <w:rsid w:val="007F3665"/>
    <w:rsid w:val="00800037"/>
    <w:rsid w:val="0083391C"/>
    <w:rsid w:val="00861D73"/>
    <w:rsid w:val="00897553"/>
    <w:rsid w:val="008A4E87"/>
    <w:rsid w:val="008D76E6"/>
    <w:rsid w:val="0092392D"/>
    <w:rsid w:val="0093234A"/>
    <w:rsid w:val="0097363B"/>
    <w:rsid w:val="009C307F"/>
    <w:rsid w:val="009C353C"/>
    <w:rsid w:val="00A2113E"/>
    <w:rsid w:val="00A23A51"/>
    <w:rsid w:val="00A24607"/>
    <w:rsid w:val="00A25CD3"/>
    <w:rsid w:val="00A709FE"/>
    <w:rsid w:val="00A82767"/>
    <w:rsid w:val="00A83B70"/>
    <w:rsid w:val="00A86B9D"/>
    <w:rsid w:val="00AA332F"/>
    <w:rsid w:val="00AA7BBB"/>
    <w:rsid w:val="00AB64A8"/>
    <w:rsid w:val="00AC0266"/>
    <w:rsid w:val="00AD24EC"/>
    <w:rsid w:val="00B309F9"/>
    <w:rsid w:val="00B32B60"/>
    <w:rsid w:val="00B61619"/>
    <w:rsid w:val="00BB4545"/>
    <w:rsid w:val="00BB4C2F"/>
    <w:rsid w:val="00BD5873"/>
    <w:rsid w:val="00C04BE3"/>
    <w:rsid w:val="00C25D29"/>
    <w:rsid w:val="00C27A7C"/>
    <w:rsid w:val="00C62A95"/>
    <w:rsid w:val="00C71A05"/>
    <w:rsid w:val="00CA08ED"/>
    <w:rsid w:val="00CE0460"/>
    <w:rsid w:val="00CF183B"/>
    <w:rsid w:val="00D05F53"/>
    <w:rsid w:val="00D375CD"/>
    <w:rsid w:val="00D553A2"/>
    <w:rsid w:val="00D774D3"/>
    <w:rsid w:val="00D904E8"/>
    <w:rsid w:val="00DA08C3"/>
    <w:rsid w:val="00DB5A3E"/>
    <w:rsid w:val="00DC22AA"/>
    <w:rsid w:val="00DF74DD"/>
    <w:rsid w:val="00E25AD0"/>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284C94"/>
  <w15:docId w15:val="{A1A05356-6809-47AC-8557-D8D7335C1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UnresolvedMention">
    <w:name w:val="Unresolved Mention"/>
    <w:basedOn w:val="DefaultParagraphFont"/>
    <w:uiPriority w:val="99"/>
    <w:semiHidden/>
    <w:unhideWhenUsed/>
    <w:rsid w:val="00C71A05"/>
    <w:rPr>
      <w:color w:val="605E5C"/>
      <w:shd w:val="clear" w:color="auto" w:fill="E1DFDD"/>
    </w:rPr>
  </w:style>
  <w:style w:type="table" w:styleId="TableGrid">
    <w:name w:val="Table Grid"/>
    <w:basedOn w:val="TableNormal"/>
    <w:rsid w:val="00C71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CL-C-0034/en" TargetMode="External"/><Relationship Id="rId18" Type="http://schemas.openxmlformats.org/officeDocument/2006/relationships/chart" Target="charts/chart3.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hyperlink" Target="https://www.itu.int/md/S20-CL-C-0034/en" TargetMode="External"/><Relationship Id="rId17" Type="http://schemas.openxmlformats.org/officeDocument/2006/relationships/chart" Target="charts/chart2.xm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1-CL-C-0106/fr" TargetMode="Externa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fr/ITU-D/Projects/Pages/default.aspx"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itu.int/council/index97/1997/131/131.html" TargetMode="External"/><Relationship Id="rId19" Type="http://schemas.openxmlformats.org/officeDocument/2006/relationships/chart" Target="charts/chart4.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itu.int/en/council/Documents/basic-texts/RES-011-F.pdf" TargetMode="External"/><Relationship Id="rId14" Type="http://schemas.openxmlformats.org/officeDocument/2006/relationships/hyperlink" Target="http://www.itu.int/en/ITU-D/Partners/Pages/ICT-DF/default.aspx" TargetMode="External"/><Relationship Id="rId22" Type="http://schemas.openxmlformats.org/officeDocument/2006/relationships/hyperlink" Target="https://www.itu.int/en/ITU-D/Projects/Pages/ICT-DF.aspx?ICTDF=1" TargetMode="External"/><Relationship Id="rId27" Type="http://schemas.openxmlformats.org/officeDocument/2006/relationships/header" Target="header3.xml"/><Relationship Id="rId30" Type="http://schemas.openxmlformats.org/officeDocument/2006/relationships/header" Target="header4.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2.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blue\dfs\appxchg\APP\CONF\RefDocs\CONSEIL\498304\034e-figures-for-tra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blue\dfs\appxchg\APP\CONF\RefDocs\CONSEIL\498304\034e-figures-for-tra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blue\dfs\appxchg\APP\CONF\RefDocs\CONSEIL\498304\034e-figures-for-trad.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blue\dfs\appxchg\APP\CONF\RefDocs\CONSEIL\498304\034e-figures-for-trad.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blue\dfs\appxchg\APP\CONF\RefDocs\CONSEIL\498304\034e-figures-for-trad.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0" baseline="0">
                <a:effectLst/>
              </a:rPr>
              <a:t>Figure 1: Projets en cours financés par le FDTIC</a:t>
            </a:r>
          </a:p>
          <a:p>
            <a:pPr>
              <a:defRPr/>
            </a:pPr>
            <a:r>
              <a:rPr lang="en-US" sz="1100" b="0" i="0" baseline="0">
                <a:effectLst/>
              </a:rPr>
              <a:t>(septembre 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E3F-4F85-99AC-85A024F16F2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E3F-4F85-99AC-85A024F16F2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E3F-4F85-99AC-85A024F16F2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E3F-4F85-99AC-85A024F16F2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Sheet1!$A$20:$A$23</c:f>
              <c:strCache>
                <c:ptCount val="4"/>
                <c:pt idx="0">
                  <c:v>Afrique</c:v>
                </c:pt>
                <c:pt idx="1">
                  <c:v>Amériques</c:v>
                </c:pt>
                <c:pt idx="2">
                  <c:v>États arabes </c:v>
                </c:pt>
                <c:pt idx="3">
                  <c:v>Projets mondiaux ou multirégionaux</c:v>
                </c:pt>
              </c:strCache>
            </c:strRef>
          </c:cat>
          <c:val>
            <c:numRef>
              <c:f>Sheet1!$B$20:$B$23</c:f>
              <c:numCache>
                <c:formatCode>General</c:formatCode>
                <c:ptCount val="4"/>
                <c:pt idx="0">
                  <c:v>4</c:v>
                </c:pt>
                <c:pt idx="1">
                  <c:v>1</c:v>
                </c:pt>
                <c:pt idx="2">
                  <c:v>1</c:v>
                </c:pt>
                <c:pt idx="3">
                  <c:v>6</c:v>
                </c:pt>
              </c:numCache>
            </c:numRef>
          </c:val>
          <c:extLst>
            <c:ext xmlns:c16="http://schemas.microsoft.com/office/drawing/2014/chart" uri="{C3380CC4-5D6E-409C-BE32-E72D297353CC}">
              <c16:uniqueId val="{00000008-CE3F-4F85-99AC-85A024F16F2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50" b="0" i="0" baseline="0">
                <a:effectLst/>
              </a:rPr>
              <a:t>Figure 2.1: </a:t>
            </a:r>
            <a:br>
              <a:rPr lang="en-US" sz="1050" b="0" i="0" baseline="0">
                <a:effectLst/>
              </a:rPr>
            </a:br>
            <a:r>
              <a:rPr lang="en-US" sz="1050" b="0" i="0" baseline="0">
                <a:effectLst/>
              </a:rPr>
              <a:t>Aperçu du statut des projets financés par le FDTIC </a:t>
            </a:r>
          </a:p>
          <a:p>
            <a:pPr>
              <a:defRPr/>
            </a:pPr>
            <a:r>
              <a:rPr lang="en-US" sz="1050" b="0" i="0" baseline="0">
                <a:effectLst/>
              </a:rPr>
              <a:t>(2009-2021)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Sheet2!$B$3</c:f>
              <c:strCache>
                <c:ptCount val="1"/>
                <c:pt idx="0">
                  <c:v>Count of Project No</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2C8-4EC1-B27B-2E5CC15F5DF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2C8-4EC1-B27B-2E5CC15F5DF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2C8-4EC1-B27B-2E5CC15F5DF9}"/>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Sheet2!$A$4:$A$6</c:f>
              <c:strCache>
                <c:ptCount val="3"/>
                <c:pt idx="0">
                  <c:v>Clôturés</c:v>
                </c:pt>
                <c:pt idx="1">
                  <c:v>En cours</c:v>
                </c:pt>
                <c:pt idx="2">
                  <c:v>En cours de clôture</c:v>
                </c:pt>
              </c:strCache>
            </c:strRef>
          </c:cat>
          <c:val>
            <c:numRef>
              <c:f>Sheet2!$B$4:$B$6</c:f>
              <c:numCache>
                <c:formatCode>General</c:formatCode>
                <c:ptCount val="3"/>
                <c:pt idx="0">
                  <c:v>46</c:v>
                </c:pt>
                <c:pt idx="1">
                  <c:v>12</c:v>
                </c:pt>
                <c:pt idx="2">
                  <c:v>4</c:v>
                </c:pt>
              </c:numCache>
            </c:numRef>
          </c:val>
          <c:extLst>
            <c:ext xmlns:c16="http://schemas.microsoft.com/office/drawing/2014/chart" uri="{C3380CC4-5D6E-409C-BE32-E72D297353CC}">
              <c16:uniqueId val="{00000006-42C8-4EC1-B27B-2E5CC15F5DF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50" b="0" i="0" baseline="0">
                <a:effectLst/>
              </a:rPr>
              <a:t>Figure 2.2:</a:t>
            </a:r>
            <a:br>
              <a:rPr lang="en-US" sz="1050" b="0" i="0" baseline="0">
                <a:effectLst/>
              </a:rPr>
            </a:br>
            <a:r>
              <a:rPr lang="en-US" sz="1050" b="0" i="0" baseline="0">
                <a:effectLst/>
              </a:rPr>
              <a:t>Financement prévu par le FDTIC</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Sheet2!$A$33</c:f>
              <c:strCache>
                <c:ptCount val="1"/>
                <c:pt idx="0">
                  <c:v>Clôturés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Sheet2!$B$32:$D$32</c:f>
              <c:strCache>
                <c:ptCount val="3"/>
                <c:pt idx="0">
                  <c:v>Contribution extérieure en espèces</c:v>
                </c:pt>
                <c:pt idx="1">
                  <c:v>Contribution du FDTIC en espèces</c:v>
                </c:pt>
                <c:pt idx="2">
                  <c:v>Montant total des contributions (CHF)</c:v>
                </c:pt>
              </c:strCache>
            </c:strRef>
          </c:cat>
          <c:val>
            <c:numRef>
              <c:f>Sheet2!$B$33:$D$33</c:f>
              <c:numCache>
                <c:formatCode>_(* #\ ##0.00_);_(* \(#\ ##0.00\);_(* "-"??_);_(@_)</c:formatCode>
                <c:ptCount val="3"/>
                <c:pt idx="0">
                  <c:v>13901608</c:v>
                </c:pt>
                <c:pt idx="1">
                  <c:v>8672431</c:v>
                </c:pt>
                <c:pt idx="2">
                  <c:v>29500325</c:v>
                </c:pt>
              </c:numCache>
            </c:numRef>
          </c:val>
          <c:extLst>
            <c:ext xmlns:c16="http://schemas.microsoft.com/office/drawing/2014/chart" uri="{C3380CC4-5D6E-409C-BE32-E72D297353CC}">
              <c16:uniqueId val="{00000000-E5C4-4717-9ADE-24651B7E7986}"/>
            </c:ext>
          </c:extLst>
        </c:ser>
        <c:ser>
          <c:idx val="1"/>
          <c:order val="1"/>
          <c:tx>
            <c:strRef>
              <c:f>Sheet2!$A$34</c:f>
              <c:strCache>
                <c:ptCount val="1"/>
                <c:pt idx="0">
                  <c:v>En cours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Sheet2!$B$32:$D$32</c:f>
              <c:strCache>
                <c:ptCount val="3"/>
                <c:pt idx="0">
                  <c:v>Contribution extérieure en espèces</c:v>
                </c:pt>
                <c:pt idx="1">
                  <c:v>Contribution du FDTIC en espèces</c:v>
                </c:pt>
                <c:pt idx="2">
                  <c:v>Montant total des contributions (CHF)</c:v>
                </c:pt>
              </c:strCache>
            </c:strRef>
          </c:cat>
          <c:val>
            <c:numRef>
              <c:f>Sheet2!$B$34:$D$34</c:f>
              <c:numCache>
                <c:formatCode>_(* #\ ##0.00_);_(* \(#\ ##0.00\);_(* "-"??_);_(@_)</c:formatCode>
                <c:ptCount val="3"/>
                <c:pt idx="0">
                  <c:v>17825951</c:v>
                </c:pt>
                <c:pt idx="1">
                  <c:v>5674419</c:v>
                </c:pt>
                <c:pt idx="2">
                  <c:v>23647997</c:v>
                </c:pt>
              </c:numCache>
            </c:numRef>
          </c:val>
          <c:extLst>
            <c:ext xmlns:c16="http://schemas.microsoft.com/office/drawing/2014/chart" uri="{C3380CC4-5D6E-409C-BE32-E72D297353CC}">
              <c16:uniqueId val="{00000001-E5C4-4717-9ADE-24651B7E7986}"/>
            </c:ext>
          </c:extLst>
        </c:ser>
        <c:ser>
          <c:idx val="2"/>
          <c:order val="2"/>
          <c:tx>
            <c:strRef>
              <c:f>Sheet2!$A$35</c:f>
              <c:strCache>
                <c:ptCount val="1"/>
                <c:pt idx="0">
                  <c:v>En cours de clôture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Sheet2!$B$32:$D$32</c:f>
              <c:strCache>
                <c:ptCount val="3"/>
                <c:pt idx="0">
                  <c:v>Contribution extérieure en espèces</c:v>
                </c:pt>
                <c:pt idx="1">
                  <c:v>Contribution du FDTIC en espèces</c:v>
                </c:pt>
                <c:pt idx="2">
                  <c:v>Montant total des contributions (CHF)</c:v>
                </c:pt>
              </c:strCache>
            </c:strRef>
          </c:cat>
          <c:val>
            <c:numRef>
              <c:f>Sheet2!$B$35:$D$35</c:f>
              <c:numCache>
                <c:formatCode>_(* #\ ##0.00_);_(* \(#\ ##0.00\);_(* "-"??_);_(@_)</c:formatCode>
                <c:ptCount val="3"/>
                <c:pt idx="0">
                  <c:v>942172</c:v>
                </c:pt>
                <c:pt idx="1">
                  <c:v>1445096</c:v>
                </c:pt>
                <c:pt idx="2">
                  <c:v>2805068</c:v>
                </c:pt>
              </c:numCache>
            </c:numRef>
          </c:val>
          <c:extLst>
            <c:ext xmlns:c16="http://schemas.microsoft.com/office/drawing/2014/chart" uri="{C3380CC4-5D6E-409C-BE32-E72D297353CC}">
              <c16:uniqueId val="{00000002-E5C4-4717-9ADE-24651B7E7986}"/>
            </c:ext>
          </c:extLst>
        </c:ser>
        <c:dLbls>
          <c:showLegendKey val="0"/>
          <c:showVal val="0"/>
          <c:showCatName val="0"/>
          <c:showSerName val="0"/>
          <c:showPercent val="0"/>
          <c:showBubbleSize val="0"/>
        </c:dLbls>
        <c:gapWidth val="219"/>
        <c:overlap val="-27"/>
        <c:axId val="1271722928"/>
        <c:axId val="1270061408"/>
      </c:barChart>
      <c:catAx>
        <c:axId val="1271722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0061408"/>
        <c:crosses val="autoZero"/>
        <c:auto val="1"/>
        <c:lblAlgn val="ctr"/>
        <c:lblOffset val="100"/>
        <c:noMultiLvlLbl val="0"/>
      </c:catAx>
      <c:valAx>
        <c:axId val="1270061408"/>
        <c:scaling>
          <c:orientation val="minMax"/>
        </c:scaling>
        <c:delete val="0"/>
        <c:axPos val="l"/>
        <c:majorGridlines>
          <c:spPr>
            <a:ln w="9525" cap="flat" cmpd="sng" algn="ctr">
              <a:solidFill>
                <a:schemeClr val="tx1">
                  <a:lumMod val="15000"/>
                  <a:lumOff val="85000"/>
                </a:schemeClr>
              </a:solidFill>
              <a:round/>
            </a:ln>
            <a:effectLst/>
          </c:spPr>
        </c:majorGridlines>
        <c:numFmt formatCode="_(* #\ ##0.00_);_(* \(#\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1722928"/>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GB" sz="1100" b="0" i="0" baseline="0">
                <a:solidFill>
                  <a:sysClr val="windowText" lastClr="000000"/>
                </a:solidFill>
                <a:effectLst/>
              </a:rPr>
              <a:t>Figure 2.3: Valeur des projets financés par le FDTIC, par région</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GB" sz="1100" b="0" i="0" baseline="0">
                <a:solidFill>
                  <a:sysClr val="windowText" lastClr="000000"/>
                </a:solidFill>
                <a:effectLst/>
              </a:rPr>
              <a:t>(projets signés depuis 2009)</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Sheet1!$B$66</c:f>
              <c:strCache>
                <c:ptCount val="1"/>
                <c:pt idx="0">
                  <c:v>Contribution extérieure en espèces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Sheet1!$A$67:$A$73</c:f>
              <c:strCache>
                <c:ptCount val="7"/>
                <c:pt idx="0">
                  <c:v>Afrique</c:v>
                </c:pt>
                <c:pt idx="1">
                  <c:v>Amériques</c:v>
                </c:pt>
                <c:pt idx="2">
                  <c:v>États arabes </c:v>
                </c:pt>
                <c:pt idx="3">
                  <c:v>Asie-Pacifique</c:v>
                </c:pt>
                <c:pt idx="4">
                  <c:v>Pays de la CEI</c:v>
                </c:pt>
                <c:pt idx="5">
                  <c:v>Europe</c:v>
                </c:pt>
                <c:pt idx="6">
                  <c:v>Projets mondiaux ou multirégionaux</c:v>
                </c:pt>
              </c:strCache>
            </c:strRef>
          </c:cat>
          <c:val>
            <c:numRef>
              <c:f>Sheet1!$B$67:$B$73</c:f>
              <c:numCache>
                <c:formatCode>0.00</c:formatCode>
                <c:ptCount val="7"/>
                <c:pt idx="0">
                  <c:v>16284288</c:v>
                </c:pt>
                <c:pt idx="1">
                  <c:v>2101392</c:v>
                </c:pt>
                <c:pt idx="2">
                  <c:v>3033165</c:v>
                </c:pt>
                <c:pt idx="3">
                  <c:v>2736255</c:v>
                </c:pt>
                <c:pt idx="5">
                  <c:v>134995</c:v>
                </c:pt>
                <c:pt idx="6">
                  <c:v>8379636</c:v>
                </c:pt>
              </c:numCache>
            </c:numRef>
          </c:val>
          <c:extLst>
            <c:ext xmlns:c16="http://schemas.microsoft.com/office/drawing/2014/chart" uri="{C3380CC4-5D6E-409C-BE32-E72D297353CC}">
              <c16:uniqueId val="{00000000-E8B2-4251-9F5C-4C78E8C32DDE}"/>
            </c:ext>
          </c:extLst>
        </c:ser>
        <c:ser>
          <c:idx val="1"/>
          <c:order val="1"/>
          <c:tx>
            <c:strRef>
              <c:f>Sheet1!$C$66</c:f>
              <c:strCache>
                <c:ptCount val="1"/>
                <c:pt idx="0">
                  <c:v>Contribution du FDTIC en espèces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Sheet1!$A$67:$A$73</c:f>
              <c:strCache>
                <c:ptCount val="7"/>
                <c:pt idx="0">
                  <c:v>Afrique</c:v>
                </c:pt>
                <c:pt idx="1">
                  <c:v>Amériques</c:v>
                </c:pt>
                <c:pt idx="2">
                  <c:v>États arabes </c:v>
                </c:pt>
                <c:pt idx="3">
                  <c:v>Asie-Pacifique</c:v>
                </c:pt>
                <c:pt idx="4">
                  <c:v>Pays de la CEI</c:v>
                </c:pt>
                <c:pt idx="5">
                  <c:v>Europe</c:v>
                </c:pt>
                <c:pt idx="6">
                  <c:v>Projets mondiaux ou multirégionaux</c:v>
                </c:pt>
              </c:strCache>
            </c:strRef>
          </c:cat>
          <c:val>
            <c:numRef>
              <c:f>Sheet1!$C$67:$C$73</c:f>
              <c:numCache>
                <c:formatCode>0.00</c:formatCode>
                <c:ptCount val="7"/>
                <c:pt idx="0">
                  <c:v>4684332</c:v>
                </c:pt>
                <c:pt idx="1">
                  <c:v>599251</c:v>
                </c:pt>
                <c:pt idx="2">
                  <c:v>1748095</c:v>
                </c:pt>
                <c:pt idx="3">
                  <c:v>1627310</c:v>
                </c:pt>
                <c:pt idx="4">
                  <c:v>564070</c:v>
                </c:pt>
                <c:pt idx="5">
                  <c:v>136857</c:v>
                </c:pt>
                <c:pt idx="6">
                  <c:v>6432031</c:v>
                </c:pt>
              </c:numCache>
            </c:numRef>
          </c:val>
          <c:extLst>
            <c:ext xmlns:c16="http://schemas.microsoft.com/office/drawing/2014/chart" uri="{C3380CC4-5D6E-409C-BE32-E72D297353CC}">
              <c16:uniqueId val="{00000001-E8B2-4251-9F5C-4C78E8C32DDE}"/>
            </c:ext>
          </c:extLst>
        </c:ser>
        <c:ser>
          <c:idx val="2"/>
          <c:order val="2"/>
          <c:tx>
            <c:strRef>
              <c:f>Sheet1!$D$66</c:f>
              <c:strCache>
                <c:ptCount val="1"/>
                <c:pt idx="0">
                  <c:v>Total (CHF)</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Sheet1!$A$67:$A$73</c:f>
              <c:strCache>
                <c:ptCount val="7"/>
                <c:pt idx="0">
                  <c:v>Afrique</c:v>
                </c:pt>
                <c:pt idx="1">
                  <c:v>Amériques</c:v>
                </c:pt>
                <c:pt idx="2">
                  <c:v>États arabes </c:v>
                </c:pt>
                <c:pt idx="3">
                  <c:v>Asie-Pacifique</c:v>
                </c:pt>
                <c:pt idx="4">
                  <c:v>Pays de la CEI</c:v>
                </c:pt>
                <c:pt idx="5">
                  <c:v>Europe</c:v>
                </c:pt>
                <c:pt idx="6">
                  <c:v>Projets mondiaux ou multirégionaux</c:v>
                </c:pt>
              </c:strCache>
            </c:strRef>
          </c:cat>
          <c:val>
            <c:numRef>
              <c:f>Sheet1!$D$67:$D$73</c:f>
              <c:numCache>
                <c:formatCode>0.00</c:formatCode>
                <c:ptCount val="7"/>
                <c:pt idx="0">
                  <c:v>25684362</c:v>
                </c:pt>
                <c:pt idx="1">
                  <c:v>2848269</c:v>
                </c:pt>
                <c:pt idx="2">
                  <c:v>5288655</c:v>
                </c:pt>
                <c:pt idx="3">
                  <c:v>4590463</c:v>
                </c:pt>
                <c:pt idx="4">
                  <c:v>930697</c:v>
                </c:pt>
                <c:pt idx="5">
                  <c:v>322592</c:v>
                </c:pt>
                <c:pt idx="6">
                  <c:v>16288352</c:v>
                </c:pt>
              </c:numCache>
            </c:numRef>
          </c:val>
          <c:extLst>
            <c:ext xmlns:c16="http://schemas.microsoft.com/office/drawing/2014/chart" uri="{C3380CC4-5D6E-409C-BE32-E72D297353CC}">
              <c16:uniqueId val="{00000002-E8B2-4251-9F5C-4C78E8C32DDE}"/>
            </c:ext>
          </c:extLst>
        </c:ser>
        <c:dLbls>
          <c:showLegendKey val="0"/>
          <c:showVal val="0"/>
          <c:showCatName val="0"/>
          <c:showSerName val="0"/>
          <c:showPercent val="0"/>
          <c:showBubbleSize val="0"/>
        </c:dLbls>
        <c:gapWidth val="219"/>
        <c:overlap val="-27"/>
        <c:axId val="1275019392"/>
        <c:axId val="1174172544"/>
      </c:barChart>
      <c:catAx>
        <c:axId val="1275019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4172544"/>
        <c:crosses val="autoZero"/>
        <c:auto val="1"/>
        <c:lblAlgn val="ctr"/>
        <c:lblOffset val="100"/>
        <c:noMultiLvlLbl val="0"/>
      </c:catAx>
      <c:valAx>
        <c:axId val="1174172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5019392"/>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050" b="0" i="0" baseline="0">
                <a:effectLst/>
              </a:rPr>
              <a:t>Figure 3: Valeur des projets en cours financés par le FDTIC, par région</a:t>
            </a:r>
            <a:br>
              <a:rPr lang="en-GB" sz="1050" b="0" i="0" baseline="0">
                <a:effectLst/>
              </a:rPr>
            </a:br>
            <a:r>
              <a:rPr lang="en-GB" sz="1050" b="0" i="0" baseline="0">
                <a:effectLst/>
              </a:rPr>
              <a:t>(septembre 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Sheet1!$B$38</c:f>
              <c:strCache>
                <c:ptCount val="1"/>
                <c:pt idx="0">
                  <c:v>Contribution extérieure en espèces</c:v>
                </c:pt>
              </c:strCache>
            </c:strRef>
          </c:tx>
          <c:spPr>
            <a:solidFill>
              <a:schemeClr val="accent1"/>
            </a:solidFill>
            <a:ln>
              <a:noFill/>
            </a:ln>
            <a:effectLst/>
          </c:spPr>
          <c:invertIfNegative val="0"/>
          <c:dLbls>
            <c:dLbl>
              <c:idx val="1"/>
              <c:layout>
                <c:manualLayout>
                  <c:x val="-5.0000000000000051E-2"/>
                  <c:y val="-4.166666666666666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979-42F6-998C-64F385DE0201}"/>
                </c:ext>
              </c:extLst>
            </c:dLbl>
            <c:dLbl>
              <c:idx val="2"/>
              <c:layout>
                <c:manualLayout>
                  <c:x val="-2.7777777777777779E-3"/>
                  <c:y val="-8.4875562720133283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979-42F6-998C-64F385DE020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Sheet1!$A$39:$A$43</c:f>
              <c:strCache>
                <c:ptCount val="5"/>
                <c:pt idx="0">
                  <c:v>Afrique</c:v>
                </c:pt>
                <c:pt idx="1">
                  <c:v>Amériques</c:v>
                </c:pt>
                <c:pt idx="2">
                  <c:v>États arabes</c:v>
                </c:pt>
                <c:pt idx="3">
                  <c:v>Projets mondiaux ou multirégionaux</c:v>
                </c:pt>
                <c:pt idx="4">
                  <c:v>Total</c:v>
                </c:pt>
              </c:strCache>
            </c:strRef>
          </c:cat>
          <c:val>
            <c:numRef>
              <c:f>Sheet1!$B$39:$B$43</c:f>
              <c:numCache>
                <c:formatCode>_(* #\ ##0.00_);_(* \(#\ ##0.00\);_(* "-"??_);_(@_)</c:formatCode>
                <c:ptCount val="5"/>
                <c:pt idx="0">
                  <c:v>8636649</c:v>
                </c:pt>
                <c:pt idx="1">
                  <c:v>125320</c:v>
                </c:pt>
                <c:pt idx="2">
                  <c:v>1862000</c:v>
                </c:pt>
                <c:pt idx="3">
                  <c:v>7201982</c:v>
                </c:pt>
                <c:pt idx="4">
                  <c:v>17825951</c:v>
                </c:pt>
              </c:numCache>
            </c:numRef>
          </c:val>
          <c:extLst>
            <c:ext xmlns:c16="http://schemas.microsoft.com/office/drawing/2014/chart" uri="{C3380CC4-5D6E-409C-BE32-E72D297353CC}">
              <c16:uniqueId val="{00000002-6979-42F6-998C-64F385DE0201}"/>
            </c:ext>
          </c:extLst>
        </c:ser>
        <c:ser>
          <c:idx val="1"/>
          <c:order val="1"/>
          <c:tx>
            <c:strRef>
              <c:f>Sheet1!$C$38</c:f>
              <c:strCache>
                <c:ptCount val="1"/>
                <c:pt idx="0">
                  <c:v>Contribution du FDTIC en espèces</c:v>
                </c:pt>
              </c:strCache>
            </c:strRef>
          </c:tx>
          <c:spPr>
            <a:solidFill>
              <a:schemeClr val="accent2"/>
            </a:solidFill>
            <a:ln>
              <a:noFill/>
            </a:ln>
            <a:effectLst/>
          </c:spPr>
          <c:invertIfNegative val="0"/>
          <c:dLbls>
            <c:dLbl>
              <c:idx val="0"/>
              <c:layout>
                <c:manualLayout>
                  <c:x val="4.4444444444444446E-2"/>
                  <c:y val="-4.629629629629629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979-42F6-998C-64F385DE0201}"/>
                </c:ext>
              </c:extLst>
            </c:dLbl>
            <c:dLbl>
              <c:idx val="1"/>
              <c:layout>
                <c:manualLayout>
                  <c:x val="0"/>
                  <c:y val="-6.944444444444444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979-42F6-998C-64F385DE0201}"/>
                </c:ext>
              </c:extLst>
            </c:dLbl>
            <c:dLbl>
              <c:idx val="2"/>
              <c:layout>
                <c:manualLayout>
                  <c:x val="4.7222222222222117E-2"/>
                  <c:y val="9.259259259259258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979-42F6-998C-64F385DE0201}"/>
                </c:ext>
              </c:extLst>
            </c:dLbl>
            <c:dLbl>
              <c:idx val="3"/>
              <c:layout>
                <c:manualLayout>
                  <c:x val="4.4444444444444446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979-42F6-998C-64F385DE020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Sheet1!$A$39:$A$43</c:f>
              <c:strCache>
                <c:ptCount val="5"/>
                <c:pt idx="0">
                  <c:v>Afrique</c:v>
                </c:pt>
                <c:pt idx="1">
                  <c:v>Amériques</c:v>
                </c:pt>
                <c:pt idx="2">
                  <c:v>États arabes</c:v>
                </c:pt>
                <c:pt idx="3">
                  <c:v>Projets mondiaux ou multirégionaux</c:v>
                </c:pt>
                <c:pt idx="4">
                  <c:v>Total</c:v>
                </c:pt>
              </c:strCache>
            </c:strRef>
          </c:cat>
          <c:val>
            <c:numRef>
              <c:f>Sheet1!$C$39:$C$43</c:f>
              <c:numCache>
                <c:formatCode>_(* #\ ##0.00_);_(* \(#\ ##0.00\);_(* "-"??_);_(@_)</c:formatCode>
                <c:ptCount val="5"/>
                <c:pt idx="0">
                  <c:v>1052246</c:v>
                </c:pt>
                <c:pt idx="1">
                  <c:v>116576</c:v>
                </c:pt>
                <c:pt idx="2">
                  <c:v>700578</c:v>
                </c:pt>
                <c:pt idx="3">
                  <c:v>3805019</c:v>
                </c:pt>
                <c:pt idx="4">
                  <c:v>5674419</c:v>
                </c:pt>
              </c:numCache>
            </c:numRef>
          </c:val>
          <c:extLst>
            <c:ext xmlns:c16="http://schemas.microsoft.com/office/drawing/2014/chart" uri="{C3380CC4-5D6E-409C-BE32-E72D297353CC}">
              <c16:uniqueId val="{00000007-6979-42F6-998C-64F385DE0201}"/>
            </c:ext>
          </c:extLst>
        </c:ser>
        <c:ser>
          <c:idx val="2"/>
          <c:order val="2"/>
          <c:tx>
            <c:strRef>
              <c:f>Sheet1!$D$38</c:f>
              <c:strCache>
                <c:ptCount val="1"/>
                <c:pt idx="0">
                  <c:v>Financement du Plan opérationnel en espèces</c:v>
                </c:pt>
              </c:strCache>
            </c:strRef>
          </c:tx>
          <c:spPr>
            <a:solidFill>
              <a:schemeClr val="accent3"/>
            </a:solidFill>
            <a:ln>
              <a:noFill/>
            </a:ln>
            <a:effectLst/>
          </c:spPr>
          <c:invertIfNegative val="0"/>
          <c:dLbls>
            <c:dLbl>
              <c:idx val="1"/>
              <c:layout>
                <c:manualLayout>
                  <c:x val="3.3333333333333333E-2"/>
                  <c:y val="-3.24074074074074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979-42F6-998C-64F385DE020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Sheet1!$A$39:$A$43</c:f>
              <c:strCache>
                <c:ptCount val="5"/>
                <c:pt idx="0">
                  <c:v>Afrique</c:v>
                </c:pt>
                <c:pt idx="1">
                  <c:v>Amériques</c:v>
                </c:pt>
                <c:pt idx="2">
                  <c:v>États arabes</c:v>
                </c:pt>
                <c:pt idx="3">
                  <c:v>Projets mondiaux ou multirégionaux</c:v>
                </c:pt>
                <c:pt idx="4">
                  <c:v>Total</c:v>
                </c:pt>
              </c:strCache>
            </c:strRef>
          </c:cat>
          <c:val>
            <c:numRef>
              <c:f>Sheet1!$D$39:$D$43</c:f>
              <c:numCache>
                <c:formatCode>_(* #\ ##0.00_);_(* \(#\ ##0.00\);_(* "-"??_);_(@_)</c:formatCode>
                <c:ptCount val="5"/>
                <c:pt idx="1">
                  <c:v>147626</c:v>
                </c:pt>
                <c:pt idx="4">
                  <c:v>147626</c:v>
                </c:pt>
              </c:numCache>
            </c:numRef>
          </c:val>
          <c:extLst>
            <c:ext xmlns:c16="http://schemas.microsoft.com/office/drawing/2014/chart" uri="{C3380CC4-5D6E-409C-BE32-E72D297353CC}">
              <c16:uniqueId val="{00000009-6979-42F6-998C-64F385DE0201}"/>
            </c:ext>
          </c:extLst>
        </c:ser>
        <c:ser>
          <c:idx val="3"/>
          <c:order val="3"/>
          <c:tx>
            <c:strRef>
              <c:f>Sheet1!$E$38</c:f>
              <c:strCache>
                <c:ptCount val="1"/>
                <c:pt idx="0">
                  <c:v>Total (CHF)</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Sheet1!$A$39:$A$43</c:f>
              <c:strCache>
                <c:ptCount val="5"/>
                <c:pt idx="0">
                  <c:v>Afrique</c:v>
                </c:pt>
                <c:pt idx="1">
                  <c:v>Amériques</c:v>
                </c:pt>
                <c:pt idx="2">
                  <c:v>États arabes</c:v>
                </c:pt>
                <c:pt idx="3">
                  <c:v>Projets mondiaux ou multirégionaux</c:v>
                </c:pt>
                <c:pt idx="4">
                  <c:v>Total</c:v>
                </c:pt>
              </c:strCache>
            </c:strRef>
          </c:cat>
          <c:val>
            <c:numRef>
              <c:f>Sheet1!$E$39:$E$43</c:f>
              <c:numCache>
                <c:formatCode>_(* #\ ##0.00_);_(* \(#\ ##0.00\);_(* "-"??_);_(@_)</c:formatCode>
                <c:ptCount val="5"/>
                <c:pt idx="0">
                  <c:v>9688896</c:v>
                </c:pt>
                <c:pt idx="1">
                  <c:v>389522</c:v>
                </c:pt>
                <c:pt idx="2">
                  <c:v>2562578</c:v>
                </c:pt>
                <c:pt idx="3">
                  <c:v>11007001</c:v>
                </c:pt>
                <c:pt idx="4">
                  <c:v>23647997</c:v>
                </c:pt>
              </c:numCache>
            </c:numRef>
          </c:val>
          <c:extLst>
            <c:ext xmlns:c16="http://schemas.microsoft.com/office/drawing/2014/chart" uri="{C3380CC4-5D6E-409C-BE32-E72D297353CC}">
              <c16:uniqueId val="{0000000A-6979-42F6-998C-64F385DE0201}"/>
            </c:ext>
          </c:extLst>
        </c:ser>
        <c:dLbls>
          <c:dLblPos val="outEnd"/>
          <c:showLegendKey val="0"/>
          <c:showVal val="1"/>
          <c:showCatName val="0"/>
          <c:showSerName val="0"/>
          <c:showPercent val="0"/>
          <c:showBubbleSize val="0"/>
        </c:dLbls>
        <c:gapWidth val="219"/>
        <c:overlap val="-27"/>
        <c:axId val="871872944"/>
        <c:axId val="871892080"/>
      </c:barChart>
      <c:catAx>
        <c:axId val="871872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1892080"/>
        <c:crosses val="autoZero"/>
        <c:auto val="1"/>
        <c:lblAlgn val="ctr"/>
        <c:lblOffset val="100"/>
        <c:noMultiLvlLbl val="0"/>
      </c:catAx>
      <c:valAx>
        <c:axId val="871892080"/>
        <c:scaling>
          <c:orientation val="minMax"/>
        </c:scaling>
        <c:delete val="0"/>
        <c:axPos val="l"/>
        <c:majorGridlines>
          <c:spPr>
            <a:ln w="9525" cap="flat" cmpd="sng" algn="ctr">
              <a:solidFill>
                <a:schemeClr val="tx1">
                  <a:lumMod val="15000"/>
                  <a:lumOff val="85000"/>
                </a:schemeClr>
              </a:solidFill>
              <a:round/>
            </a:ln>
            <a:effectLst/>
          </c:spPr>
        </c:majorGridlines>
        <c:numFmt formatCode="_(* #\ ##0.00_);_(* \(#\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1872944"/>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layout>
        <c:manualLayout>
          <c:xMode val="edge"/>
          <c:yMode val="edge"/>
          <c:x val="0.12982217092144527"/>
          <c:y val="0.7958354084842677"/>
          <c:w val="0.83372617638481461"/>
          <c:h val="0.1721389710193351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GB" sz="1000" b="0" i="0" baseline="0">
                <a:solidFill>
                  <a:sysClr val="windowText" lastClr="000000"/>
                </a:solidFill>
                <a:effectLst/>
              </a:rPr>
              <a:t>Figure 4: </a:t>
            </a:r>
            <a:r>
              <a:rPr lang="en-GB" sz="1000" b="0" i="0" baseline="0">
                <a:solidFill>
                  <a:sysClr val="windowText" lastClr="000000"/>
                </a:solidFill>
                <a:effectLst/>
                <a:latin typeface="Calibri" panose="020F0502020204030204" pitchFamily="34" charset="0"/>
              </a:rPr>
              <a:t>É</a:t>
            </a:r>
            <a:r>
              <a:rPr lang="en-GB" sz="1000" b="0" i="0" baseline="0">
                <a:solidFill>
                  <a:sysClr val="windowText" lastClr="000000"/>
                </a:solidFill>
                <a:effectLst/>
              </a:rPr>
              <a:t>volution du compte de capital du FDTIC (USD) </a:t>
            </a:r>
            <a:br>
              <a:rPr lang="en-GB" sz="1000" b="0" i="0" baseline="0">
                <a:solidFill>
                  <a:sysClr val="windowText" lastClr="000000"/>
                </a:solidFill>
                <a:effectLst/>
              </a:rPr>
            </a:br>
            <a:r>
              <a:rPr lang="en-GB" sz="1000" b="0" i="0" baseline="0">
                <a:solidFill>
                  <a:sysClr val="windowText" lastClr="000000"/>
                </a:solidFill>
                <a:effectLst/>
              </a:rPr>
              <a:t>(octobre 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8.55531496062992E-2"/>
          <c:y val="0.16708333333333336"/>
          <c:w val="0.88389129483814521"/>
          <c:h val="0.72088764946048411"/>
        </c:manualLayout>
      </c:layout>
      <c:lineChart>
        <c:grouping val="standard"/>
        <c:varyColors val="0"/>
        <c:ser>
          <c:idx val="0"/>
          <c:order val="0"/>
          <c:spPr>
            <a:ln w="28575" cap="rnd">
              <a:solidFill>
                <a:schemeClr val="accent1"/>
              </a:solidFill>
              <a:round/>
            </a:ln>
            <a:effectLst/>
          </c:spPr>
          <c:marker>
            <c:symbol val="none"/>
          </c:marker>
          <c:dLbls>
            <c:dLbl>
              <c:idx val="0"/>
              <c:layout>
                <c:manualLayout>
                  <c:x val="-3.6111111111111108E-2"/>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C4F-4971-B0C6-27DD424D8026}"/>
                </c:ext>
              </c:extLst>
            </c:dLbl>
            <c:dLbl>
              <c:idx val="1"/>
              <c:layout>
                <c:manualLayout>
                  <c:x val="-3.3333333333333381E-2"/>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C4F-4971-B0C6-27DD424D8026}"/>
                </c:ext>
              </c:extLst>
            </c:dLbl>
            <c:dLbl>
              <c:idx val="2"/>
              <c:layout>
                <c:manualLayout>
                  <c:x val="-2.7777777777777779E-3"/>
                  <c:y val="-3.7037037037037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C4F-4971-B0C6-27DD424D8026}"/>
                </c:ext>
              </c:extLst>
            </c:dLbl>
            <c:dLbl>
              <c:idx val="3"/>
              <c:layout>
                <c:manualLayout>
                  <c:x val="-1.1111111111111112E-2"/>
                  <c:y val="-3.70370370370370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C4F-4971-B0C6-27DD424D8026}"/>
                </c:ext>
              </c:extLst>
            </c:dLbl>
            <c:dLbl>
              <c:idx val="4"/>
              <c:layout>
                <c:manualLayout>
                  <c:x val="-8.3333333333333332E-3"/>
                  <c:y val="-2.77777777777778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C4F-4971-B0C6-27DD424D802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[ictdf_council21.xlsx]Sheet1!$A$1:$A$5</c:f>
              <c:numCache>
                <c:formatCode>0</c:formatCode>
                <c:ptCount val="5"/>
                <c:pt idx="0">
                  <c:v>2017</c:v>
                </c:pt>
                <c:pt idx="1">
                  <c:v>2018</c:v>
                </c:pt>
                <c:pt idx="2">
                  <c:v>2019</c:v>
                </c:pt>
                <c:pt idx="3">
                  <c:v>2020</c:v>
                </c:pt>
                <c:pt idx="4">
                  <c:v>2021</c:v>
                </c:pt>
              </c:numCache>
            </c:numRef>
          </c:cat>
          <c:val>
            <c:numRef>
              <c:f>[ictdf_council21.xlsx]Sheet1!$B$1:$B$5</c:f>
              <c:numCache>
                <c:formatCode>0.00</c:formatCode>
                <c:ptCount val="5"/>
                <c:pt idx="0">
                  <c:v>4.5599999999999996</c:v>
                </c:pt>
                <c:pt idx="1">
                  <c:v>4.38</c:v>
                </c:pt>
                <c:pt idx="2">
                  <c:v>4.3099999999999996</c:v>
                </c:pt>
                <c:pt idx="3">
                  <c:v>4.0999999999999996</c:v>
                </c:pt>
                <c:pt idx="4">
                  <c:v>3.47</c:v>
                </c:pt>
              </c:numCache>
            </c:numRef>
          </c:val>
          <c:smooth val="0"/>
          <c:extLst>
            <c:ext xmlns:c16="http://schemas.microsoft.com/office/drawing/2014/chart" uri="{C3380CC4-5D6E-409C-BE32-E72D297353CC}">
              <c16:uniqueId val="{00000005-9C4F-4971-B0C6-27DD424D8026}"/>
            </c:ext>
          </c:extLst>
        </c:ser>
        <c:dLbls>
          <c:showLegendKey val="0"/>
          <c:showVal val="0"/>
          <c:showCatName val="0"/>
          <c:showSerName val="0"/>
          <c:showPercent val="0"/>
          <c:showBubbleSize val="0"/>
        </c:dLbls>
        <c:smooth val="0"/>
        <c:axId val="58469712"/>
        <c:axId val="58470128"/>
      </c:lineChart>
      <c:catAx>
        <c:axId val="58469712"/>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8470128"/>
        <c:crosses val="autoZero"/>
        <c:auto val="1"/>
        <c:lblAlgn val="ctr"/>
        <c:lblOffset val="100"/>
        <c:noMultiLvlLbl val="0"/>
      </c:catAx>
      <c:valAx>
        <c:axId val="584701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800"/>
                  <a:t>Millions</a:t>
                </a:r>
              </a:p>
            </c:rich>
          </c:tx>
          <c:layout>
            <c:manualLayout>
              <c:xMode val="edge"/>
              <c:yMode val="edge"/>
              <c:x val="6.9693788276465446E-4"/>
              <c:y val="0.7678743802857975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84697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24D8E-10FD-4DD5-B9CC-7AC810DF1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PF_C22.dotx</Template>
  <TotalTime>1</TotalTime>
  <Pages>10</Pages>
  <Words>2303</Words>
  <Characters>12713</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14987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2022</dc:subject>
  <dc:creator>Chanavat, Emilie</dc:creator>
  <cp:keywords>Fonds pour le Développement des Technologies de l'Information et de la Communication (FDTIC)</cp:keywords>
  <dc:description/>
  <cp:lastModifiedBy>Xue, Kun</cp:lastModifiedBy>
  <cp:revision>2</cp:revision>
  <cp:lastPrinted>2000-07-18T08:55:00Z</cp:lastPrinted>
  <dcterms:created xsi:type="dcterms:W3CDTF">2021-12-15T13:44:00Z</dcterms:created>
  <dcterms:modified xsi:type="dcterms:W3CDTF">2021-12-15T13:44:00Z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