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7546EF64" w14:textId="77777777">
        <w:trPr>
          <w:cantSplit/>
        </w:trPr>
        <w:tc>
          <w:tcPr>
            <w:tcW w:w="6912" w:type="dxa"/>
          </w:tcPr>
          <w:p w14:paraId="652C47C9" w14:textId="77777777"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w:t>
            </w:r>
            <w:r w:rsidR="00D50A36">
              <w:rPr>
                <w:b/>
                <w:bCs/>
                <w:sz w:val="30"/>
                <w:szCs w:val="30"/>
              </w:rPr>
              <w:t>2</w:t>
            </w:r>
            <w:r w:rsidRPr="00093EEB">
              <w:rPr>
                <w:b/>
                <w:bCs/>
                <w:sz w:val="26"/>
                <w:szCs w:val="26"/>
              </w:rPr>
              <w:br/>
            </w:r>
            <w:r w:rsidR="00D50A36">
              <w:rPr>
                <w:b/>
                <w:bCs/>
                <w:sz w:val="26"/>
                <w:szCs w:val="26"/>
              </w:rPr>
              <w:t>Ginebra</w:t>
            </w:r>
            <w:r w:rsidRPr="000007D1">
              <w:rPr>
                <w:b/>
                <w:bCs/>
                <w:sz w:val="26"/>
                <w:szCs w:val="26"/>
              </w:rPr>
              <w:t xml:space="preserve">, </w:t>
            </w:r>
            <w:r w:rsidR="00D50A36">
              <w:rPr>
                <w:b/>
                <w:bCs/>
                <w:sz w:val="26"/>
                <w:szCs w:val="26"/>
              </w:rPr>
              <w:t>21</w:t>
            </w:r>
            <w:r w:rsidRPr="000007D1">
              <w:rPr>
                <w:b/>
                <w:bCs/>
                <w:sz w:val="26"/>
                <w:szCs w:val="26"/>
              </w:rPr>
              <w:t>-</w:t>
            </w:r>
            <w:r w:rsidR="00D50A36">
              <w:rPr>
                <w:b/>
                <w:bCs/>
                <w:sz w:val="26"/>
                <w:szCs w:val="26"/>
              </w:rPr>
              <w:t>31</w:t>
            </w:r>
            <w:r w:rsidRPr="000007D1">
              <w:rPr>
                <w:b/>
                <w:bCs/>
                <w:sz w:val="26"/>
                <w:szCs w:val="26"/>
              </w:rPr>
              <w:t xml:space="preserve"> de </w:t>
            </w:r>
            <w:r w:rsidR="00D50A36">
              <w:rPr>
                <w:b/>
                <w:bCs/>
                <w:sz w:val="26"/>
                <w:szCs w:val="26"/>
              </w:rPr>
              <w:t>marzo</w:t>
            </w:r>
            <w:r w:rsidRPr="000007D1">
              <w:rPr>
                <w:b/>
                <w:bCs/>
                <w:sz w:val="26"/>
                <w:szCs w:val="26"/>
              </w:rPr>
              <w:t xml:space="preserve"> de 20</w:t>
            </w:r>
            <w:r w:rsidR="007955DA" w:rsidRPr="000007D1">
              <w:rPr>
                <w:b/>
                <w:bCs/>
                <w:sz w:val="26"/>
                <w:szCs w:val="26"/>
              </w:rPr>
              <w:t>2</w:t>
            </w:r>
            <w:r w:rsidR="00D50A36">
              <w:rPr>
                <w:b/>
                <w:bCs/>
                <w:sz w:val="26"/>
                <w:szCs w:val="26"/>
              </w:rPr>
              <w:t>2</w:t>
            </w:r>
          </w:p>
        </w:tc>
        <w:tc>
          <w:tcPr>
            <w:tcW w:w="3261" w:type="dxa"/>
          </w:tcPr>
          <w:p w14:paraId="6ECACDD2" w14:textId="77777777" w:rsidR="00093EEB" w:rsidRPr="000B0D00" w:rsidRDefault="007955DA" w:rsidP="007955DA">
            <w:pPr>
              <w:spacing w:before="0"/>
              <w:rPr>
                <w:szCs w:val="24"/>
              </w:rPr>
            </w:pPr>
            <w:bookmarkStart w:id="2" w:name="ditulogo"/>
            <w:bookmarkEnd w:id="2"/>
            <w:r>
              <w:rPr>
                <w:noProof/>
                <w:lang w:val="en-US"/>
              </w:rPr>
              <w:drawing>
                <wp:inline distT="0" distB="0" distL="0" distR="0" wp14:anchorId="789D7959" wp14:editId="4C453535">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5E2379CF" w14:textId="77777777">
        <w:trPr>
          <w:cantSplit/>
          <w:trHeight w:val="20"/>
        </w:trPr>
        <w:tc>
          <w:tcPr>
            <w:tcW w:w="10173" w:type="dxa"/>
            <w:gridSpan w:val="2"/>
            <w:tcBorders>
              <w:bottom w:val="single" w:sz="12" w:space="0" w:color="auto"/>
            </w:tcBorders>
          </w:tcPr>
          <w:p w14:paraId="3D5AC424" w14:textId="77777777" w:rsidR="00093EEB" w:rsidRPr="00EB1212" w:rsidRDefault="00093EEB">
            <w:pPr>
              <w:spacing w:before="0"/>
              <w:rPr>
                <w:b/>
                <w:bCs/>
                <w:szCs w:val="24"/>
              </w:rPr>
            </w:pPr>
          </w:p>
        </w:tc>
      </w:tr>
      <w:tr w:rsidR="00093EEB" w:rsidRPr="000B0D00" w14:paraId="49C3E4D8" w14:textId="77777777">
        <w:trPr>
          <w:cantSplit/>
          <w:trHeight w:val="20"/>
        </w:trPr>
        <w:tc>
          <w:tcPr>
            <w:tcW w:w="6912" w:type="dxa"/>
            <w:tcBorders>
              <w:top w:val="single" w:sz="12" w:space="0" w:color="auto"/>
            </w:tcBorders>
          </w:tcPr>
          <w:p w14:paraId="1204E726" w14:textId="77777777"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61245453" w14:textId="77777777" w:rsidR="00093EEB" w:rsidRPr="000B0D00" w:rsidRDefault="00093EEB">
            <w:pPr>
              <w:spacing w:before="0"/>
              <w:rPr>
                <w:b/>
                <w:bCs/>
                <w:szCs w:val="24"/>
              </w:rPr>
            </w:pPr>
          </w:p>
        </w:tc>
      </w:tr>
      <w:tr w:rsidR="00093EEB" w:rsidRPr="000B0D00" w14:paraId="5E343F8E" w14:textId="77777777">
        <w:trPr>
          <w:cantSplit/>
          <w:trHeight w:val="20"/>
        </w:trPr>
        <w:tc>
          <w:tcPr>
            <w:tcW w:w="6912" w:type="dxa"/>
            <w:shd w:val="clear" w:color="auto" w:fill="auto"/>
          </w:tcPr>
          <w:p w14:paraId="7B2F137F" w14:textId="29210889" w:rsidR="00093EEB" w:rsidRPr="00093EEB" w:rsidRDefault="00D82393">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Pr>
                <w:rFonts w:cs="Times"/>
                <w:b/>
                <w:szCs w:val="24"/>
              </w:rPr>
              <w:t>Punto del orden del día: PL 1.4</w:t>
            </w:r>
          </w:p>
        </w:tc>
        <w:tc>
          <w:tcPr>
            <w:tcW w:w="3261" w:type="dxa"/>
          </w:tcPr>
          <w:p w14:paraId="580BF7F4" w14:textId="19B0FD4A" w:rsidR="00093EEB" w:rsidRPr="00093EEB" w:rsidRDefault="00093EEB" w:rsidP="00C2727F">
            <w:pPr>
              <w:spacing w:before="0"/>
              <w:rPr>
                <w:b/>
                <w:bCs/>
                <w:szCs w:val="24"/>
              </w:rPr>
            </w:pPr>
            <w:r>
              <w:rPr>
                <w:b/>
                <w:bCs/>
                <w:szCs w:val="24"/>
              </w:rPr>
              <w:t>Documento C</w:t>
            </w:r>
            <w:r w:rsidR="007955DA">
              <w:rPr>
                <w:b/>
                <w:bCs/>
                <w:szCs w:val="24"/>
              </w:rPr>
              <w:t>2</w:t>
            </w:r>
            <w:r w:rsidR="00D50A36">
              <w:rPr>
                <w:b/>
                <w:bCs/>
                <w:szCs w:val="24"/>
              </w:rPr>
              <w:t>2</w:t>
            </w:r>
            <w:r>
              <w:rPr>
                <w:b/>
                <w:bCs/>
                <w:szCs w:val="24"/>
              </w:rPr>
              <w:t>/</w:t>
            </w:r>
            <w:r w:rsidR="00D82393">
              <w:rPr>
                <w:b/>
                <w:bCs/>
                <w:szCs w:val="24"/>
              </w:rPr>
              <w:t>32</w:t>
            </w:r>
            <w:r>
              <w:rPr>
                <w:b/>
                <w:bCs/>
                <w:szCs w:val="24"/>
              </w:rPr>
              <w:t>-S</w:t>
            </w:r>
          </w:p>
        </w:tc>
      </w:tr>
      <w:tr w:rsidR="00093EEB" w:rsidRPr="000B0D00" w14:paraId="0E981592" w14:textId="77777777">
        <w:trPr>
          <w:cantSplit/>
          <w:trHeight w:val="20"/>
        </w:trPr>
        <w:tc>
          <w:tcPr>
            <w:tcW w:w="6912" w:type="dxa"/>
            <w:shd w:val="clear" w:color="auto" w:fill="auto"/>
          </w:tcPr>
          <w:p w14:paraId="1577045A" w14:textId="77777777"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14:paraId="11EEBB67" w14:textId="2397B951" w:rsidR="00093EEB" w:rsidRPr="00093EEB" w:rsidRDefault="00D82393" w:rsidP="00C2727F">
            <w:pPr>
              <w:spacing w:before="0"/>
              <w:rPr>
                <w:b/>
                <w:bCs/>
                <w:szCs w:val="24"/>
              </w:rPr>
            </w:pPr>
            <w:r>
              <w:rPr>
                <w:b/>
                <w:bCs/>
                <w:szCs w:val="24"/>
              </w:rPr>
              <w:t>1</w:t>
            </w:r>
            <w:r w:rsidR="00D8236F">
              <w:rPr>
                <w:b/>
                <w:bCs/>
                <w:szCs w:val="24"/>
              </w:rPr>
              <w:t>8</w:t>
            </w:r>
            <w:r>
              <w:rPr>
                <w:b/>
                <w:bCs/>
                <w:szCs w:val="24"/>
              </w:rPr>
              <w:t xml:space="preserve"> de febrero de 2022</w:t>
            </w:r>
          </w:p>
        </w:tc>
      </w:tr>
      <w:tr w:rsidR="00093EEB" w:rsidRPr="000B0D00" w14:paraId="0A7AD729" w14:textId="77777777">
        <w:trPr>
          <w:cantSplit/>
          <w:trHeight w:val="20"/>
        </w:trPr>
        <w:tc>
          <w:tcPr>
            <w:tcW w:w="6912" w:type="dxa"/>
            <w:shd w:val="clear" w:color="auto" w:fill="auto"/>
          </w:tcPr>
          <w:p w14:paraId="7B802986" w14:textId="77777777" w:rsidR="00093EEB" w:rsidRPr="000B0D00" w:rsidRDefault="00093EEB">
            <w:pPr>
              <w:shd w:val="solid" w:color="FFFFFF" w:fill="FFFFFF"/>
              <w:spacing w:before="0"/>
              <w:rPr>
                <w:smallCaps/>
                <w:szCs w:val="24"/>
              </w:rPr>
            </w:pPr>
            <w:bookmarkStart w:id="6" w:name="dorlang" w:colFirst="1" w:colLast="1"/>
            <w:bookmarkEnd w:id="5"/>
          </w:p>
        </w:tc>
        <w:tc>
          <w:tcPr>
            <w:tcW w:w="3261" w:type="dxa"/>
          </w:tcPr>
          <w:p w14:paraId="7EC5EF50" w14:textId="77777777" w:rsidR="00093EEB" w:rsidRPr="00093EEB" w:rsidRDefault="00093EEB" w:rsidP="00093EEB">
            <w:pPr>
              <w:spacing w:before="0"/>
              <w:rPr>
                <w:b/>
                <w:bCs/>
                <w:szCs w:val="24"/>
              </w:rPr>
            </w:pPr>
            <w:r>
              <w:rPr>
                <w:b/>
                <w:bCs/>
                <w:szCs w:val="24"/>
              </w:rPr>
              <w:t>Original: inglés</w:t>
            </w:r>
          </w:p>
        </w:tc>
      </w:tr>
      <w:tr w:rsidR="00093EEB" w:rsidRPr="000B0D00" w14:paraId="14113414" w14:textId="77777777">
        <w:trPr>
          <w:cantSplit/>
        </w:trPr>
        <w:tc>
          <w:tcPr>
            <w:tcW w:w="10173" w:type="dxa"/>
            <w:gridSpan w:val="2"/>
          </w:tcPr>
          <w:p w14:paraId="259D068E" w14:textId="63A58751" w:rsidR="00093EEB" w:rsidRPr="000B0D00" w:rsidRDefault="00D82393" w:rsidP="00C54D13">
            <w:pPr>
              <w:pStyle w:val="Source"/>
              <w:spacing w:before="720"/>
            </w:pPr>
            <w:bookmarkStart w:id="7" w:name="dsource" w:colFirst="0" w:colLast="0"/>
            <w:bookmarkEnd w:id="1"/>
            <w:bookmarkEnd w:id="6"/>
            <w:r w:rsidRPr="00D82393">
              <w:t>Informe del Secretario General</w:t>
            </w:r>
          </w:p>
        </w:tc>
      </w:tr>
      <w:tr w:rsidR="00093EEB" w:rsidRPr="000B0D00" w14:paraId="07FD685E" w14:textId="77777777">
        <w:trPr>
          <w:cantSplit/>
        </w:trPr>
        <w:tc>
          <w:tcPr>
            <w:tcW w:w="10173" w:type="dxa"/>
            <w:gridSpan w:val="2"/>
          </w:tcPr>
          <w:p w14:paraId="7307A978" w14:textId="0671B310" w:rsidR="00093EEB" w:rsidRPr="000B0D00" w:rsidRDefault="00287BBE" w:rsidP="003B5326">
            <w:pPr>
              <w:pStyle w:val="Title1"/>
            </w:pPr>
            <w:bookmarkStart w:id="8" w:name="dtitle1" w:colFirst="0" w:colLast="0"/>
            <w:bookmarkStart w:id="9" w:name="_Hlk97018126"/>
            <w:bookmarkEnd w:id="7"/>
            <w:r>
              <w:t xml:space="preserve">PROYECTO DE </w:t>
            </w:r>
            <w:r w:rsidR="00D82393" w:rsidRPr="00D82393">
              <w:t>DIRECTRICES PARA LA UTILIZACIÓN DE LA AGENDA</w:t>
            </w:r>
            <w:r w:rsidR="00113754">
              <w:br/>
            </w:r>
            <w:r w:rsidR="00D82393" w:rsidRPr="00D82393">
              <w:t>SOBRE CIBERSEGURIDAD GLOBAL</w:t>
            </w:r>
            <w:r>
              <w:t xml:space="preserve"> POR LA UIT</w:t>
            </w:r>
            <w:bookmarkEnd w:id="9"/>
          </w:p>
        </w:tc>
      </w:tr>
      <w:bookmarkEnd w:id="8"/>
    </w:tbl>
    <w:p w14:paraId="1F9996B9" w14:textId="1F51AF54" w:rsidR="00093EEB" w:rsidRDefault="00093EEB"/>
    <w:p w14:paraId="1BBFF8F1" w14:textId="77777777" w:rsidR="00C54D13" w:rsidRPr="000B0D00" w:rsidRDefault="00C54D13"/>
    <w:tbl>
      <w:tblPr>
        <w:tblW w:w="8079"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9"/>
      </w:tblGrid>
      <w:tr w:rsidR="00ED4208" w:rsidRPr="00F539CB" w14:paraId="716C6088" w14:textId="77777777" w:rsidTr="00C54D13">
        <w:trPr>
          <w:trHeight w:val="20"/>
        </w:trPr>
        <w:tc>
          <w:tcPr>
            <w:tcW w:w="8079" w:type="dxa"/>
            <w:tcBorders>
              <w:top w:val="single" w:sz="12" w:space="0" w:color="auto"/>
              <w:left w:val="single" w:sz="12" w:space="0" w:color="auto"/>
              <w:bottom w:val="single" w:sz="12" w:space="0" w:color="auto"/>
              <w:right w:val="single" w:sz="12" w:space="0" w:color="auto"/>
            </w:tcBorders>
          </w:tcPr>
          <w:p w14:paraId="6237F000" w14:textId="77777777" w:rsidR="00093EEB" w:rsidRPr="000B0D00" w:rsidRDefault="00093EEB" w:rsidP="00ED4208">
            <w:pPr>
              <w:pStyle w:val="Headingb"/>
              <w:keepNext w:val="0"/>
              <w:keepLines w:val="0"/>
              <w:rPr>
                <w:lang w:val="es-ES"/>
              </w:rPr>
            </w:pPr>
            <w:r w:rsidRPr="000B0D00">
              <w:rPr>
                <w:lang w:val="es-ES"/>
              </w:rPr>
              <w:t>Resumen</w:t>
            </w:r>
          </w:p>
          <w:p w14:paraId="4B0DAC03" w14:textId="148D6EBE" w:rsidR="00D82393" w:rsidRPr="00D82393" w:rsidRDefault="00D82393" w:rsidP="00ED4208">
            <w:bookmarkStart w:id="10" w:name="_Hlk97018062"/>
            <w:r w:rsidRPr="00D82393">
              <w:t xml:space="preserve">En su reunión de 2019, el Consejo encargó al Secretario General que, en paralelo, presentara a la próxima reunión del Consejo: 1) un informe en el que se explique cómo utiliza actualmente la UIT la </w:t>
            </w:r>
            <w:hyperlink r:id="rId9" w:history="1">
              <w:r w:rsidRPr="00D82393">
                <w:rPr>
                  <w:rStyle w:val="Hyperlink"/>
                </w:rPr>
                <w:t>Agenda sobre Ciberseguridad Global</w:t>
              </w:r>
            </w:hyperlink>
            <w:r w:rsidRPr="00D82393">
              <w:t xml:space="preserve"> (ACG), y 2) con la participación de los Estados Miembros, unas directrices apropiadas para la utilización de la ACG por la UIT para su examen y aprobación por el Consejo (</w:t>
            </w:r>
            <w:hyperlink r:id="rId10" w:history="1">
              <w:r w:rsidRPr="00D82393">
                <w:rPr>
                  <w:rStyle w:val="Hyperlink"/>
                </w:rPr>
                <w:t>C19/117</w:t>
              </w:r>
            </w:hyperlink>
            <w:r w:rsidRPr="00D82393">
              <w:t xml:space="preserve">, </w:t>
            </w:r>
            <w:hyperlink r:id="rId11" w:history="1">
              <w:r w:rsidRPr="00D82393">
                <w:rPr>
                  <w:rStyle w:val="Hyperlink"/>
                </w:rPr>
                <w:t>C19/58</w:t>
              </w:r>
            </w:hyperlink>
            <w:r w:rsidRPr="00D82393">
              <w:t>).</w:t>
            </w:r>
          </w:p>
          <w:p w14:paraId="668CC5A1" w14:textId="1DF08BD5" w:rsidR="00D82393" w:rsidRPr="00A46090" w:rsidRDefault="00D82393" w:rsidP="00ED4208">
            <w:pPr>
              <w:rPr>
                <w:bCs/>
                <w:szCs w:val="24"/>
              </w:rPr>
            </w:pPr>
            <w:r w:rsidRPr="00A46090">
              <w:rPr>
                <w:szCs w:val="24"/>
              </w:rPr>
              <w:t xml:space="preserve">De conformidad con estas instrucciones, se </w:t>
            </w:r>
            <w:r w:rsidR="0014664F" w:rsidRPr="00A46090">
              <w:rPr>
                <w:szCs w:val="24"/>
              </w:rPr>
              <w:t xml:space="preserve">elaboró </w:t>
            </w:r>
            <w:r w:rsidRPr="00A46090">
              <w:rPr>
                <w:szCs w:val="24"/>
              </w:rPr>
              <w:t xml:space="preserve">el proyecto de Directrices con el apoyo del Alto Magistrado (retirado) Stein </w:t>
            </w:r>
            <w:proofErr w:type="spellStart"/>
            <w:r w:rsidRPr="00A46090">
              <w:rPr>
                <w:szCs w:val="24"/>
              </w:rPr>
              <w:t>Schjolberg</w:t>
            </w:r>
            <w:proofErr w:type="spellEnd"/>
            <w:r w:rsidRPr="00A46090">
              <w:rPr>
                <w:szCs w:val="24"/>
              </w:rPr>
              <w:t xml:space="preserve"> (Expresidente del GEAN), la Prof. </w:t>
            </w:r>
            <w:proofErr w:type="spellStart"/>
            <w:r w:rsidRPr="00A46090">
              <w:rPr>
                <w:szCs w:val="24"/>
              </w:rPr>
              <w:t>Solagne</w:t>
            </w:r>
            <w:proofErr w:type="spellEnd"/>
            <w:r w:rsidRPr="00A46090">
              <w:rPr>
                <w:szCs w:val="24"/>
              </w:rPr>
              <w:t xml:space="preserve"> </w:t>
            </w:r>
            <w:proofErr w:type="spellStart"/>
            <w:r w:rsidRPr="00A46090">
              <w:rPr>
                <w:szCs w:val="24"/>
              </w:rPr>
              <w:t>Ghernaouti</w:t>
            </w:r>
            <w:proofErr w:type="spellEnd"/>
            <w:r w:rsidRPr="00A46090">
              <w:rPr>
                <w:szCs w:val="24"/>
              </w:rPr>
              <w:t xml:space="preserve"> y el Sr. </w:t>
            </w:r>
            <w:proofErr w:type="spellStart"/>
            <w:r w:rsidRPr="00A46090">
              <w:rPr>
                <w:szCs w:val="24"/>
              </w:rPr>
              <w:t>Noburo</w:t>
            </w:r>
            <w:proofErr w:type="spellEnd"/>
            <w:r w:rsidRPr="00A46090">
              <w:rPr>
                <w:szCs w:val="24"/>
              </w:rPr>
              <w:t xml:space="preserve"> </w:t>
            </w:r>
            <w:proofErr w:type="spellStart"/>
            <w:r w:rsidRPr="00A46090">
              <w:rPr>
                <w:szCs w:val="24"/>
              </w:rPr>
              <w:t>Nakatani</w:t>
            </w:r>
            <w:proofErr w:type="spellEnd"/>
            <w:r w:rsidRPr="00A46090">
              <w:rPr>
                <w:szCs w:val="24"/>
              </w:rPr>
              <w:t xml:space="preserve">, y con la participación de los Estados Miembros y otros interesados, </w:t>
            </w:r>
            <w:r w:rsidR="0014664F" w:rsidRPr="00A46090">
              <w:rPr>
                <w:szCs w:val="24"/>
              </w:rPr>
              <w:t>que fue presentado, junto con el informe de la Secretaría (C21/36)</w:t>
            </w:r>
            <w:r w:rsidR="00332958" w:rsidRPr="00A46090">
              <w:rPr>
                <w:szCs w:val="24"/>
              </w:rPr>
              <w:t xml:space="preserve"> a la Consulta </w:t>
            </w:r>
            <w:r w:rsidR="00497582" w:rsidRPr="00A46090">
              <w:rPr>
                <w:szCs w:val="24"/>
              </w:rPr>
              <w:t>V</w:t>
            </w:r>
            <w:r w:rsidR="00332958" w:rsidRPr="00A46090">
              <w:rPr>
                <w:szCs w:val="24"/>
              </w:rPr>
              <w:t>irtu</w:t>
            </w:r>
            <w:r w:rsidR="00497582" w:rsidRPr="00A46090">
              <w:rPr>
                <w:szCs w:val="24"/>
              </w:rPr>
              <w:t>al de los C</w:t>
            </w:r>
            <w:r w:rsidR="0014664F" w:rsidRPr="00A46090">
              <w:rPr>
                <w:szCs w:val="24"/>
              </w:rPr>
              <w:t xml:space="preserve">onsejeros de 2021 (C21/CVC-1) </w:t>
            </w:r>
            <w:r w:rsidRPr="00A46090">
              <w:rPr>
                <w:szCs w:val="24"/>
              </w:rPr>
              <w:t>para su examen y aprobación</w:t>
            </w:r>
            <w:r w:rsidR="0014664F" w:rsidRPr="00A46090">
              <w:rPr>
                <w:szCs w:val="24"/>
              </w:rPr>
              <w:t xml:space="preserve"> (C21/71)</w:t>
            </w:r>
            <w:r w:rsidR="00C9108A">
              <w:rPr>
                <w:szCs w:val="24"/>
              </w:rPr>
              <w:t>.</w:t>
            </w:r>
          </w:p>
          <w:p w14:paraId="77069EF5" w14:textId="0C2567CD" w:rsidR="006E77F5" w:rsidRDefault="00332958" w:rsidP="00ED4208">
            <w:bookmarkStart w:id="11" w:name="lt_pId016"/>
            <w:r w:rsidRPr="00A46090">
              <w:rPr>
                <w:lang w:val="es-ES"/>
              </w:rPr>
              <w:t xml:space="preserve">Tras </w:t>
            </w:r>
            <w:r w:rsidR="00C6077D" w:rsidRPr="00A46090">
              <w:rPr>
                <w:lang w:val="es-ES"/>
              </w:rPr>
              <w:t>la consulta (C21-CVC-1)</w:t>
            </w:r>
            <w:r w:rsidR="00D82393" w:rsidRPr="00A46090">
              <w:rPr>
                <w:b/>
                <w:lang w:val="es-ES"/>
              </w:rPr>
              <w:t>,</w:t>
            </w:r>
            <w:r w:rsidR="00027A4E">
              <w:rPr>
                <w:b/>
                <w:lang w:val="es-ES"/>
              </w:rPr>
              <w:t xml:space="preserve"> </w:t>
            </w:r>
            <w:r w:rsidRPr="00A46090">
              <w:rPr>
                <w:lang w:val="es-ES"/>
              </w:rPr>
              <w:t>los Estados Miembros del Consejo tomaron nota del informe de la Secretaría y adoptaron por correspondencia</w:t>
            </w:r>
            <w:r w:rsidR="009041D1" w:rsidRPr="00A46090">
              <w:rPr>
                <w:lang w:val="es-ES"/>
              </w:rPr>
              <w:t xml:space="preserve"> </w:t>
            </w:r>
            <w:r w:rsidR="00755B13" w:rsidRPr="00A46090">
              <w:rPr>
                <w:lang w:val="es-ES"/>
              </w:rPr>
              <w:t xml:space="preserve">la decisión relativa al </w:t>
            </w:r>
            <w:r w:rsidR="007A5222" w:rsidRPr="00A46090">
              <w:rPr>
                <w:lang w:val="es-ES"/>
              </w:rPr>
              <w:t xml:space="preserve">proyecto de Directrices en la </w:t>
            </w:r>
            <w:r w:rsidR="009041D1" w:rsidRPr="00A46090">
              <w:rPr>
                <w:lang w:val="es-ES"/>
              </w:rPr>
              <w:t>que</w:t>
            </w:r>
            <w:r w:rsidR="00755B13" w:rsidRPr="00A46090">
              <w:rPr>
                <w:lang w:val="es-ES"/>
              </w:rPr>
              <w:t xml:space="preserve"> </w:t>
            </w:r>
            <w:r w:rsidR="00306670">
              <w:rPr>
                <w:lang w:val="es-ES"/>
              </w:rPr>
              <w:t>se</w:t>
            </w:r>
            <w:r w:rsidR="00D82393" w:rsidRPr="00A46090">
              <w:t xml:space="preserve"> encarga a la </w:t>
            </w:r>
            <w:r w:rsidRPr="00A46090">
              <w:t>S</w:t>
            </w:r>
            <w:r w:rsidR="00D82393" w:rsidRPr="00A46090">
              <w:t>ecretaría que</w:t>
            </w:r>
            <w:r w:rsidR="00306670">
              <w:t xml:space="preserve"> </w:t>
            </w:r>
            <w:r w:rsidR="00D82393" w:rsidRPr="00A46090">
              <w:t>celebr</w:t>
            </w:r>
            <w:r w:rsidR="00027A4E">
              <w:t>e</w:t>
            </w:r>
            <w:r w:rsidR="00D82393" w:rsidRPr="00A46090">
              <w:t xml:space="preserve"> nuevas consultas con los Estados Miembros del Consejo, </w:t>
            </w:r>
            <w:r w:rsidR="00B576A6" w:rsidRPr="00A46090">
              <w:t xml:space="preserve">teniendo en </w:t>
            </w:r>
            <w:r w:rsidR="00D82393" w:rsidRPr="00A46090">
              <w:t xml:space="preserve">cuenta las contribuciones recibidas y los comentarios </w:t>
            </w:r>
            <w:r w:rsidR="00B576A6" w:rsidRPr="00A46090">
              <w:t xml:space="preserve">formulados </w:t>
            </w:r>
            <w:r w:rsidR="0014664F" w:rsidRPr="00A46090">
              <w:t xml:space="preserve">durante esa </w:t>
            </w:r>
            <w:r w:rsidR="00D82393" w:rsidRPr="00A46090">
              <w:t xml:space="preserve">reunión. La </w:t>
            </w:r>
            <w:r w:rsidR="00B576A6" w:rsidRPr="00A46090">
              <w:t>S</w:t>
            </w:r>
            <w:r w:rsidR="00D82393" w:rsidRPr="00A46090">
              <w:t>ecretaría debería presentar un documento revisado para su examen y aprobación en la próxima reunión del Consejo.</w:t>
            </w:r>
          </w:p>
          <w:p w14:paraId="03857454" w14:textId="73218241" w:rsidR="00D82393" w:rsidRPr="006E77F5" w:rsidRDefault="00B576A6" w:rsidP="00C54D13">
            <w:pPr>
              <w:spacing w:after="120"/>
              <w:rPr>
                <w:bCs/>
                <w:sz w:val="22"/>
                <w:lang w:val="es-ES"/>
              </w:rPr>
            </w:pPr>
            <w:r w:rsidRPr="006E77F5">
              <w:rPr>
                <w:bCs/>
                <w:lang w:val="es-ES"/>
              </w:rPr>
              <w:t>Por consiguiente, se llevaron a cabo nuevas consultas con los Estados Miembros del Consejo y, teniendo en cuenta las contribuciones recibidas, se elaboró el siguiente proyecto revisado de Directrices junto con un documento de información</w:t>
            </w:r>
            <w:r w:rsidR="009041D1" w:rsidRPr="006E77F5">
              <w:rPr>
                <w:bCs/>
                <w:lang w:val="es-ES"/>
              </w:rPr>
              <w:t xml:space="preserve"> complementaria</w:t>
            </w:r>
            <w:r w:rsidRPr="006E77F5">
              <w:rPr>
                <w:bCs/>
                <w:lang w:val="es-ES"/>
              </w:rPr>
              <w:t xml:space="preserve"> </w:t>
            </w:r>
            <w:r w:rsidR="00C749F0">
              <w:rPr>
                <w:bCs/>
                <w:lang w:val="es-ES"/>
              </w:rPr>
              <w:t>(</w:t>
            </w:r>
            <w:hyperlink r:id="rId12" w:history="1">
              <w:r w:rsidR="00C749F0">
                <w:rPr>
                  <w:rStyle w:val="Hyperlink"/>
                  <w:bCs/>
                  <w:lang w:val="es-ES"/>
                </w:rPr>
                <w:t>C22/INF/8</w:t>
              </w:r>
            </w:hyperlink>
            <w:r w:rsidR="00C749F0">
              <w:rPr>
                <w:bCs/>
                <w:lang w:val="es-ES"/>
              </w:rPr>
              <w:t>)</w:t>
            </w:r>
            <w:r w:rsidRPr="006E77F5">
              <w:rPr>
                <w:bCs/>
                <w:lang w:val="es-ES"/>
              </w:rPr>
              <w:t xml:space="preserve">. </w:t>
            </w:r>
            <w:r w:rsidR="008C3865" w:rsidRPr="006E77F5">
              <w:rPr>
                <w:bCs/>
                <w:lang w:val="es-ES"/>
              </w:rPr>
              <w:t>Es importante señalar</w:t>
            </w:r>
            <w:r w:rsidR="007F3AF3" w:rsidRPr="006E77F5">
              <w:rPr>
                <w:bCs/>
                <w:lang w:val="es-ES"/>
              </w:rPr>
              <w:t xml:space="preserve"> </w:t>
            </w:r>
            <w:r w:rsidR="00F539CB" w:rsidRPr="006E77F5">
              <w:rPr>
                <w:bCs/>
                <w:lang w:val="es-ES"/>
              </w:rPr>
              <w:t xml:space="preserve">que el propósito de </w:t>
            </w:r>
            <w:r w:rsidR="007F3AF3" w:rsidRPr="006E77F5">
              <w:rPr>
                <w:bCs/>
                <w:lang w:val="es-ES"/>
              </w:rPr>
              <w:t>esta</w:t>
            </w:r>
            <w:r w:rsidRPr="006E77F5">
              <w:rPr>
                <w:bCs/>
                <w:lang w:val="es-ES"/>
              </w:rPr>
              <w:t xml:space="preserve"> labor no</w:t>
            </w:r>
            <w:r w:rsidR="007F3AF3" w:rsidRPr="006E77F5">
              <w:rPr>
                <w:bCs/>
                <w:lang w:val="es-ES"/>
              </w:rPr>
              <w:t xml:space="preserve"> </w:t>
            </w:r>
            <w:r w:rsidR="00F539CB" w:rsidRPr="006E77F5">
              <w:rPr>
                <w:bCs/>
                <w:lang w:val="es-ES"/>
              </w:rPr>
              <w:t>es abordar</w:t>
            </w:r>
            <w:r w:rsidR="007F3AF3" w:rsidRPr="006E77F5">
              <w:rPr>
                <w:bCs/>
                <w:lang w:val="es-ES"/>
              </w:rPr>
              <w:t xml:space="preserve"> </w:t>
            </w:r>
            <w:r w:rsidR="00F539CB" w:rsidRPr="006E77F5">
              <w:rPr>
                <w:bCs/>
                <w:lang w:val="es-ES"/>
              </w:rPr>
              <w:t>cu</w:t>
            </w:r>
            <w:r w:rsidRPr="006E77F5">
              <w:rPr>
                <w:bCs/>
                <w:lang w:val="es-ES"/>
              </w:rPr>
              <w:t>estiones relacionadas con la revisión de la ACG.</w:t>
            </w:r>
          </w:p>
          <w:bookmarkEnd w:id="11"/>
          <w:bookmarkEnd w:id="10"/>
          <w:p w14:paraId="55176183" w14:textId="77777777" w:rsidR="00093EEB" w:rsidRPr="000B0D00" w:rsidRDefault="00093EEB" w:rsidP="00C54D13">
            <w:pPr>
              <w:pStyle w:val="Headingb"/>
              <w:rPr>
                <w:lang w:val="es-ES"/>
              </w:rPr>
            </w:pPr>
            <w:r w:rsidRPr="000B0D00">
              <w:rPr>
                <w:lang w:val="es-ES"/>
              </w:rPr>
              <w:lastRenderedPageBreak/>
              <w:t>Acción solicitada</w:t>
            </w:r>
          </w:p>
          <w:p w14:paraId="7D04C769" w14:textId="5133623B" w:rsidR="00093EEB" w:rsidRDefault="00D82393" w:rsidP="00C54D13">
            <w:pPr>
              <w:keepNext/>
              <w:keepLines/>
            </w:pPr>
            <w:bookmarkStart w:id="12" w:name="lt_pId018"/>
            <w:r>
              <w:t xml:space="preserve">Este documento se presenta al </w:t>
            </w:r>
            <w:r w:rsidR="00F539CB">
              <w:t>C</w:t>
            </w:r>
            <w:r>
              <w:t xml:space="preserve">onsejo para su </w:t>
            </w:r>
            <w:r>
              <w:rPr>
                <w:b/>
                <w:bCs/>
              </w:rPr>
              <w:t xml:space="preserve">consideración </w:t>
            </w:r>
            <w:r>
              <w:t xml:space="preserve">y </w:t>
            </w:r>
            <w:r>
              <w:rPr>
                <w:b/>
                <w:bCs/>
              </w:rPr>
              <w:t>aprobación</w:t>
            </w:r>
            <w:r>
              <w:t>, según proceda</w:t>
            </w:r>
            <w:r w:rsidRPr="00002757">
              <w:t>.</w:t>
            </w:r>
            <w:bookmarkEnd w:id="12"/>
          </w:p>
          <w:p w14:paraId="69008561" w14:textId="7621BB7D" w:rsidR="00D82393" w:rsidRPr="00A46090" w:rsidRDefault="00F539CB" w:rsidP="00ED4208">
            <w:pPr>
              <w:spacing w:after="120"/>
              <w:jc w:val="both"/>
              <w:rPr>
                <w:rFonts w:asciiTheme="minorHAnsi" w:hAnsiTheme="minorHAnsi" w:cstheme="minorHAnsi"/>
                <w:b/>
                <w:i/>
                <w:sz w:val="22"/>
                <w:szCs w:val="22"/>
                <w:lang w:val="es-ES"/>
              </w:rPr>
            </w:pPr>
            <w:r w:rsidRPr="00A46090">
              <w:rPr>
                <w:rFonts w:asciiTheme="minorHAnsi" w:hAnsiTheme="minorHAnsi" w:cstheme="minorHAnsi"/>
                <w:b/>
                <w:i/>
                <w:sz w:val="22"/>
                <w:szCs w:val="22"/>
                <w:lang w:val="es-ES"/>
              </w:rPr>
              <w:t xml:space="preserve">Nota: Este proyecto de Directrices </w:t>
            </w:r>
            <w:r>
              <w:rPr>
                <w:rFonts w:asciiTheme="minorHAnsi" w:hAnsiTheme="minorHAnsi" w:cstheme="minorHAnsi"/>
                <w:b/>
                <w:i/>
                <w:sz w:val="22"/>
                <w:szCs w:val="22"/>
                <w:lang w:val="es-ES"/>
              </w:rPr>
              <w:t>es</w:t>
            </w:r>
            <w:r w:rsidR="009041D1">
              <w:rPr>
                <w:rFonts w:asciiTheme="minorHAnsi" w:hAnsiTheme="minorHAnsi" w:cstheme="minorHAnsi"/>
                <w:b/>
                <w:i/>
                <w:sz w:val="22"/>
                <w:szCs w:val="22"/>
                <w:lang w:val="es-ES"/>
              </w:rPr>
              <w:t xml:space="preserve">tá siendo debatido </w:t>
            </w:r>
            <w:r w:rsidRPr="00A46090">
              <w:rPr>
                <w:rFonts w:asciiTheme="minorHAnsi" w:hAnsiTheme="minorHAnsi" w:cstheme="minorHAnsi"/>
                <w:b/>
                <w:i/>
                <w:sz w:val="22"/>
                <w:szCs w:val="22"/>
                <w:lang w:val="es-ES"/>
              </w:rPr>
              <w:t>actualmente</w:t>
            </w:r>
            <w:r w:rsidR="009041D1">
              <w:rPr>
                <w:rFonts w:asciiTheme="minorHAnsi" w:hAnsiTheme="minorHAnsi" w:cstheme="minorHAnsi"/>
                <w:b/>
                <w:i/>
                <w:sz w:val="22"/>
                <w:szCs w:val="22"/>
                <w:lang w:val="es-ES"/>
              </w:rPr>
              <w:t xml:space="preserve"> entre</w:t>
            </w:r>
            <w:r w:rsidRPr="00A46090">
              <w:rPr>
                <w:rFonts w:asciiTheme="minorHAnsi" w:hAnsiTheme="minorHAnsi" w:cstheme="minorHAnsi"/>
                <w:b/>
                <w:i/>
                <w:sz w:val="22"/>
                <w:szCs w:val="22"/>
                <w:lang w:val="es-ES"/>
              </w:rPr>
              <w:t xml:space="preserve"> los Estados </w:t>
            </w:r>
            <w:r>
              <w:rPr>
                <w:rFonts w:asciiTheme="minorHAnsi" w:hAnsiTheme="minorHAnsi" w:cstheme="minorHAnsi"/>
                <w:b/>
                <w:i/>
                <w:sz w:val="22"/>
                <w:szCs w:val="22"/>
                <w:lang w:val="es-ES"/>
              </w:rPr>
              <w:t>M</w:t>
            </w:r>
            <w:r w:rsidRPr="00A46090">
              <w:rPr>
                <w:rFonts w:asciiTheme="minorHAnsi" w:hAnsiTheme="minorHAnsi" w:cstheme="minorHAnsi"/>
                <w:b/>
                <w:i/>
                <w:sz w:val="22"/>
                <w:szCs w:val="22"/>
                <w:lang w:val="es-ES"/>
              </w:rPr>
              <w:t>iembros del Consejo</w:t>
            </w:r>
            <w:r>
              <w:rPr>
                <w:rFonts w:asciiTheme="minorHAnsi" w:hAnsiTheme="minorHAnsi" w:cstheme="minorHAnsi"/>
                <w:b/>
                <w:i/>
                <w:sz w:val="22"/>
                <w:szCs w:val="22"/>
                <w:lang w:val="es-ES"/>
              </w:rPr>
              <w:t xml:space="preserve">. </w:t>
            </w:r>
            <w:r w:rsidRPr="006057EE">
              <w:rPr>
                <w:rFonts w:asciiTheme="minorHAnsi" w:hAnsiTheme="minorHAnsi" w:cstheme="minorHAnsi"/>
                <w:b/>
                <w:i/>
                <w:sz w:val="22"/>
                <w:szCs w:val="22"/>
                <w:lang w:val="es-ES"/>
              </w:rPr>
              <w:t>S</w:t>
            </w:r>
            <w:r w:rsidRPr="00A46090">
              <w:rPr>
                <w:rFonts w:asciiTheme="minorHAnsi" w:hAnsiTheme="minorHAnsi" w:cstheme="minorHAnsi"/>
                <w:b/>
                <w:i/>
                <w:sz w:val="22"/>
                <w:szCs w:val="22"/>
                <w:lang w:val="es-ES"/>
              </w:rPr>
              <w:t xml:space="preserve">e han previsto nuevas consultas en el período previo a la reunión de 2022 del Consejo para </w:t>
            </w:r>
            <w:r w:rsidR="00D21883">
              <w:rPr>
                <w:rFonts w:asciiTheme="minorHAnsi" w:hAnsiTheme="minorHAnsi" w:cstheme="minorHAnsi"/>
                <w:b/>
                <w:i/>
                <w:sz w:val="22"/>
                <w:szCs w:val="22"/>
                <w:lang w:val="es-ES"/>
              </w:rPr>
              <w:t>examinar</w:t>
            </w:r>
            <w:r w:rsidRPr="00A46090">
              <w:rPr>
                <w:rFonts w:asciiTheme="minorHAnsi" w:hAnsiTheme="minorHAnsi" w:cstheme="minorHAnsi"/>
                <w:b/>
                <w:i/>
                <w:sz w:val="22"/>
                <w:szCs w:val="22"/>
                <w:lang w:val="es-ES"/>
              </w:rPr>
              <w:t xml:space="preserve"> las cuestiones pendientes (indicadas entre corchetes) en este documento</w:t>
            </w:r>
            <w:r w:rsidR="00BA06C7">
              <w:rPr>
                <w:rFonts w:asciiTheme="minorHAnsi" w:hAnsiTheme="minorHAnsi" w:cstheme="minorHAnsi"/>
                <w:b/>
                <w:i/>
                <w:sz w:val="22"/>
                <w:szCs w:val="22"/>
                <w:lang w:val="es-ES"/>
              </w:rPr>
              <w:t>.</w:t>
            </w:r>
          </w:p>
          <w:p w14:paraId="7F946239" w14:textId="77777777" w:rsidR="00C54D13" w:rsidRPr="00C54D13" w:rsidRDefault="00C54D13" w:rsidP="00C54D13">
            <w:pPr>
              <w:pStyle w:val="Headingb"/>
              <w:jc w:val="center"/>
              <w:rPr>
                <w:b w:val="0"/>
                <w:bCs/>
              </w:rPr>
            </w:pPr>
            <w:r w:rsidRPr="00C54D13">
              <w:rPr>
                <w:b w:val="0"/>
                <w:bCs/>
              </w:rPr>
              <w:t>____________</w:t>
            </w:r>
          </w:p>
          <w:p w14:paraId="61C74B86" w14:textId="77777777" w:rsidR="00093EEB" w:rsidRPr="000B0D00" w:rsidRDefault="00093EEB" w:rsidP="00ED4208">
            <w:pPr>
              <w:pStyle w:val="Headingb"/>
              <w:keepLines w:val="0"/>
              <w:rPr>
                <w:lang w:val="es-ES"/>
              </w:rPr>
            </w:pPr>
            <w:r w:rsidRPr="000B0D00">
              <w:rPr>
                <w:lang w:val="es-ES"/>
              </w:rPr>
              <w:t>Referencia</w:t>
            </w:r>
          </w:p>
          <w:bookmarkStart w:id="13" w:name="lt_pId021"/>
          <w:p w14:paraId="36583815" w14:textId="5AB558CB" w:rsidR="00093EEB" w:rsidRPr="00F539CB" w:rsidRDefault="00D82393" w:rsidP="00ED4208">
            <w:pPr>
              <w:pStyle w:val="Normalaftertitle"/>
              <w:spacing w:before="120" w:after="120"/>
              <w:rPr>
                <w:i/>
                <w:iCs/>
                <w:lang w:val="es-ES"/>
              </w:rPr>
            </w:pPr>
            <w:r w:rsidRPr="00D82393">
              <w:rPr>
                <w:i/>
                <w:iCs/>
              </w:rPr>
              <w:fldChar w:fldCharType="begin"/>
            </w:r>
            <w:r w:rsidR="00C9108A">
              <w:rPr>
                <w:i/>
                <w:iCs/>
              </w:rPr>
              <w:instrText>HYPERLINK "https://www.itu.int/en/council/Documents/basic-texts/RES-130-E.pdf"</w:instrText>
            </w:r>
            <w:r w:rsidRPr="00D82393">
              <w:rPr>
                <w:i/>
                <w:iCs/>
              </w:rPr>
              <w:fldChar w:fldCharType="separate"/>
            </w:r>
            <w:r w:rsidRPr="00D82393">
              <w:rPr>
                <w:rStyle w:val="Hyperlink"/>
                <w:i/>
                <w:iCs/>
              </w:rPr>
              <w:t>Resolución 130 (Rev. Dubái, 2018)</w:t>
            </w:r>
            <w:bookmarkEnd w:id="13"/>
            <w:r w:rsidRPr="00ED4208">
              <w:t xml:space="preserve"> de la Conferencia de Plenipotenciarios</w:t>
            </w:r>
            <w:r w:rsidRPr="00D82393">
              <w:rPr>
                <w:i/>
                <w:iCs/>
                <w:lang w:val="es-ES"/>
              </w:rPr>
              <w:fldChar w:fldCharType="end"/>
            </w:r>
            <w:r w:rsidRPr="00ED4208">
              <w:t>,</w:t>
            </w:r>
            <w:bookmarkStart w:id="14" w:name="lt_pId022"/>
            <w:r w:rsidR="00BA06C7" w:rsidRPr="00D82393">
              <w:rPr>
                <w:i/>
                <w:iCs/>
              </w:rPr>
              <w:t xml:space="preserve"> </w:t>
            </w:r>
            <w:r w:rsidRPr="00D82393">
              <w:rPr>
                <w:i/>
                <w:iCs/>
              </w:rPr>
              <w:br/>
            </w:r>
            <w:hyperlink r:id="rId13" w:history="1">
              <w:r w:rsidRPr="00D82393">
                <w:rPr>
                  <w:rStyle w:val="Hyperlink"/>
                  <w:i/>
                  <w:iCs/>
                </w:rPr>
                <w:t>Agenda de Ciberseguridad Global (ACG)</w:t>
              </w:r>
            </w:hyperlink>
            <w:r w:rsidRPr="00D82393">
              <w:rPr>
                <w:i/>
                <w:iCs/>
              </w:rPr>
              <w:t>,</w:t>
            </w:r>
            <w:r w:rsidR="00ED4208">
              <w:t xml:space="preserve"> </w:t>
            </w:r>
            <w:hyperlink r:id="rId14" w:history="1">
              <w:r w:rsidRPr="00BA06C7">
                <w:t>Documento</w:t>
              </w:r>
              <w:r w:rsidR="00D21883" w:rsidRPr="00BA06C7">
                <w:t>s</w:t>
              </w:r>
              <w:r w:rsidRPr="00BA06C7">
                <w:t xml:space="preserve"> </w:t>
              </w:r>
              <w:r w:rsidR="00D21883" w:rsidRPr="00BA06C7">
                <w:t>del Consejo</w:t>
              </w:r>
              <w:r w:rsidR="00BA06C7">
                <w:t xml:space="preserve"> </w:t>
              </w:r>
              <w:r w:rsidRPr="00D82393">
                <w:rPr>
                  <w:rStyle w:val="Hyperlink"/>
                  <w:i/>
                  <w:iCs/>
                </w:rPr>
                <w:t>C21/36</w:t>
              </w:r>
            </w:hyperlink>
            <w:bookmarkEnd w:id="14"/>
            <w:r w:rsidR="00BA06C7">
              <w:rPr>
                <w:i/>
                <w:iCs/>
              </w:rPr>
              <w:t>,</w:t>
            </w:r>
            <w:r w:rsidRPr="00A46090">
              <w:rPr>
                <w:i/>
                <w:iCs/>
                <w:sz w:val="22"/>
                <w:szCs w:val="18"/>
                <w:lang w:val="es-ES"/>
              </w:rPr>
              <w:t xml:space="preserve"> </w:t>
            </w:r>
            <w:hyperlink r:id="rId15" w:history="1">
              <w:r w:rsidRPr="00A46090">
                <w:rPr>
                  <w:rStyle w:val="Hyperlink"/>
                  <w:i/>
                  <w:iCs/>
                  <w:sz w:val="22"/>
                  <w:szCs w:val="18"/>
                  <w:lang w:val="es-ES"/>
                </w:rPr>
                <w:t>C21/71</w:t>
              </w:r>
            </w:hyperlink>
            <w:r w:rsidRPr="00A46090">
              <w:rPr>
                <w:i/>
                <w:iCs/>
                <w:sz w:val="22"/>
                <w:szCs w:val="18"/>
                <w:lang w:val="es-ES"/>
              </w:rPr>
              <w:t xml:space="preserve">, </w:t>
            </w:r>
            <w:hyperlink r:id="rId16" w:tgtFrame="_blank" w:history="1">
              <w:r w:rsidRPr="00A46090">
                <w:rPr>
                  <w:rStyle w:val="Hyperlink"/>
                  <w:rFonts w:asciiTheme="minorHAnsi" w:hAnsiTheme="minorHAnsi" w:cstheme="minorHAnsi"/>
                  <w:i/>
                  <w:iCs/>
                  <w:sz w:val="22"/>
                  <w:szCs w:val="22"/>
                  <w:lang w:val="es-ES"/>
                </w:rPr>
                <w:t>C19/117</w:t>
              </w:r>
            </w:hyperlink>
            <w:r w:rsidRPr="00A46090">
              <w:rPr>
                <w:rFonts w:asciiTheme="minorHAnsi" w:hAnsiTheme="minorHAnsi" w:cstheme="minorHAnsi"/>
                <w:i/>
                <w:iCs/>
                <w:sz w:val="22"/>
                <w:szCs w:val="22"/>
                <w:lang w:val="es-ES"/>
              </w:rPr>
              <w:t xml:space="preserve">, </w:t>
            </w:r>
            <w:hyperlink r:id="rId17" w:tgtFrame="_blank" w:history="1">
              <w:r w:rsidRPr="00A46090">
                <w:rPr>
                  <w:rStyle w:val="Hyperlink"/>
                  <w:rFonts w:asciiTheme="minorHAnsi" w:hAnsiTheme="minorHAnsi" w:cstheme="minorHAnsi"/>
                  <w:i/>
                  <w:iCs/>
                  <w:sz w:val="22"/>
                  <w:szCs w:val="22"/>
                  <w:lang w:val="es-ES"/>
                </w:rPr>
                <w:t>C19/58</w:t>
              </w:r>
            </w:hyperlink>
            <w:r w:rsidRPr="00A46090">
              <w:rPr>
                <w:rStyle w:val="Hyperlink"/>
                <w:rFonts w:asciiTheme="minorHAnsi" w:hAnsiTheme="minorHAnsi" w:cstheme="minorHAnsi"/>
                <w:i/>
                <w:iCs/>
                <w:sz w:val="22"/>
                <w:szCs w:val="22"/>
                <w:lang w:val="es-ES"/>
              </w:rPr>
              <w:t xml:space="preserve">, </w:t>
            </w:r>
            <w:hyperlink r:id="rId18" w:history="1">
              <w:r w:rsidRPr="00A46090">
                <w:rPr>
                  <w:rStyle w:val="Hyperlink"/>
                  <w:i/>
                  <w:iCs/>
                  <w:sz w:val="22"/>
                  <w:szCs w:val="18"/>
                  <w:lang w:val="es-ES"/>
                </w:rPr>
                <w:t>C22/INF/8</w:t>
              </w:r>
            </w:hyperlink>
          </w:p>
        </w:tc>
      </w:tr>
    </w:tbl>
    <w:p w14:paraId="50E7E6B0" w14:textId="1EDED92F" w:rsidR="00ED4208" w:rsidRDefault="00ED4208" w:rsidP="00ED4208">
      <w:pPr>
        <w:rPr>
          <w:lang w:val="es-ES"/>
        </w:rPr>
      </w:pPr>
      <w:bookmarkStart w:id="15" w:name="lt_pId024"/>
      <w:bookmarkStart w:id="16" w:name="_Toc37331397"/>
      <w:bookmarkStart w:id="17" w:name="_Toc41378325"/>
      <w:r>
        <w:rPr>
          <w:lang w:val="es-ES"/>
        </w:rPr>
        <w:lastRenderedPageBreak/>
        <w:br w:type="page"/>
      </w:r>
    </w:p>
    <w:p w14:paraId="7F5EDDFD" w14:textId="695DDCAE" w:rsidR="00D82393" w:rsidRPr="00DE11C4" w:rsidRDefault="00D82393" w:rsidP="00D82393">
      <w:pPr>
        <w:pStyle w:val="Heading1"/>
        <w:rPr>
          <w:lang w:val="es-ES"/>
        </w:rPr>
      </w:pPr>
      <w:r w:rsidRPr="00DE11C4">
        <w:rPr>
          <w:lang w:val="es-ES"/>
        </w:rPr>
        <w:lastRenderedPageBreak/>
        <w:t>Sección 1</w:t>
      </w:r>
      <w:bookmarkEnd w:id="15"/>
      <w:r w:rsidR="00BA06C7">
        <w:rPr>
          <w:lang w:val="es-ES"/>
        </w:rPr>
        <w:t>.</w:t>
      </w:r>
      <w:r w:rsidRPr="00DE11C4">
        <w:rPr>
          <w:lang w:val="es-ES"/>
        </w:rPr>
        <w:tab/>
      </w:r>
      <w:bookmarkEnd w:id="16"/>
      <w:r w:rsidRPr="00DE11C4">
        <w:rPr>
          <w:lang w:val="es-ES"/>
        </w:rPr>
        <w:t>Introducción</w:t>
      </w:r>
      <w:bookmarkEnd w:id="17"/>
    </w:p>
    <w:p w14:paraId="75772CBE" w14:textId="23384896" w:rsidR="00D82393" w:rsidRPr="00824C56" w:rsidRDefault="00D82393" w:rsidP="003251DE">
      <w:pPr>
        <w:rPr>
          <w:bCs/>
          <w:i/>
          <w:iCs/>
          <w:szCs w:val="24"/>
        </w:rPr>
      </w:pPr>
      <w:r w:rsidRPr="00002757">
        <w:rPr>
          <w:b/>
          <w:bCs/>
        </w:rPr>
        <w:t>1.1</w:t>
      </w:r>
      <w:r w:rsidRPr="00002757">
        <w:tab/>
      </w:r>
      <w:bookmarkStart w:id="18" w:name="lt_pId027"/>
      <w:r w:rsidRPr="00002757">
        <w:t xml:space="preserve">La Conferencia de Plenipotenciarios de la UIT de 2018, celebrada en Dubái, adoptó la </w:t>
      </w:r>
      <w:hyperlink r:id="rId19" w:history="1">
        <w:r w:rsidRPr="00002757">
          <w:rPr>
            <w:rStyle w:val="Hyperlink"/>
            <w:rFonts w:asciiTheme="minorHAnsi" w:hAnsiTheme="minorHAnsi" w:cstheme="minorHAnsi"/>
            <w:szCs w:val="24"/>
          </w:rPr>
          <w:t>Resolución 130</w:t>
        </w:r>
      </w:hyperlink>
      <w:r w:rsidRPr="00002757">
        <w:t>:</w:t>
      </w:r>
      <w:r w:rsidRPr="00002757">
        <w:rPr>
          <w:b/>
        </w:rPr>
        <w:t xml:space="preserve"> </w:t>
      </w:r>
      <w:r w:rsidRPr="00002757">
        <w:rPr>
          <w:i/>
        </w:rPr>
        <w:t xml:space="preserve">Fortalecimiento del papel de la UIT en </w:t>
      </w:r>
      <w:r w:rsidRPr="00824C56">
        <w:rPr>
          <w:i/>
          <w:szCs w:val="24"/>
        </w:rPr>
        <w:t>la creación de confianza y seguridad en la utilización de las tecnologías de la información y la comunicación</w:t>
      </w:r>
      <w:r w:rsidRPr="00824C56">
        <w:rPr>
          <w:bCs/>
          <w:szCs w:val="24"/>
        </w:rPr>
        <w:t>.</w:t>
      </w:r>
      <w:bookmarkEnd w:id="18"/>
      <w:r w:rsidRPr="00824C56">
        <w:rPr>
          <w:bCs/>
          <w:szCs w:val="24"/>
        </w:rPr>
        <w:t xml:space="preserve"> </w:t>
      </w:r>
      <w:bookmarkStart w:id="19" w:name="lt_pId028"/>
      <w:r w:rsidRPr="00824C56">
        <w:rPr>
          <w:bCs/>
          <w:szCs w:val="24"/>
        </w:rPr>
        <w:t>La Resolución resuelve, entre otras cosas</w:t>
      </w:r>
      <w:r w:rsidRPr="00824C56">
        <w:rPr>
          <w:bCs/>
          <w:i/>
          <w:iCs/>
          <w:szCs w:val="24"/>
        </w:rPr>
        <w:t xml:space="preserve"> se utilice el marco de la Agenda sobre Ciberseguridad Global (ACG) para seguir encauzando la labor de la Unión</w:t>
      </w:r>
      <w:r w:rsidRPr="00824C56">
        <w:rPr>
          <w:bCs/>
          <w:szCs w:val="24"/>
        </w:rPr>
        <w:t xml:space="preserve">, </w:t>
      </w:r>
      <w:r w:rsidRPr="00824C56">
        <w:rPr>
          <w:bCs/>
          <w:i/>
          <w:iCs/>
          <w:szCs w:val="24"/>
        </w:rPr>
        <w:t>que en sus esfuerzos por crear confianza y seguridad en la utilización de las tecnologías de la información y la comunicación (TIC).</w:t>
      </w:r>
      <w:bookmarkEnd w:id="19"/>
    </w:p>
    <w:p w14:paraId="77FC5C59" w14:textId="4BC98E93" w:rsidR="00D82393" w:rsidRPr="00BA06C7" w:rsidRDefault="00D82393" w:rsidP="00D82393">
      <w:r w:rsidRPr="00F46E47">
        <w:rPr>
          <w:rFonts w:asciiTheme="minorHAnsi" w:hAnsiTheme="minorHAnsi" w:cstheme="minorHAnsi"/>
          <w:b/>
          <w:szCs w:val="24"/>
        </w:rPr>
        <w:t>1</w:t>
      </w:r>
      <w:r w:rsidRPr="003251DE">
        <w:t>.</w:t>
      </w:r>
      <w:r w:rsidRPr="00365705">
        <w:rPr>
          <w:b/>
          <w:bCs/>
        </w:rPr>
        <w:t>2</w:t>
      </w:r>
      <w:r w:rsidRPr="003251DE">
        <w:tab/>
      </w:r>
      <w:bookmarkStart w:id="20" w:name="lt_pId032"/>
      <w:r w:rsidRPr="003251DE">
        <w:t xml:space="preserve">Durante las discusiones plenarias justo antes de la adopción de la Resolución 130, el Secretario General de la UIT </w:t>
      </w:r>
      <w:r w:rsidRPr="001C07A8">
        <w:rPr>
          <w:i/>
          <w:iCs/>
        </w:rPr>
        <w:t xml:space="preserve">observó con satisfacción que en las deliberaciones sobre el proyecto de Resolución se había reconocido ampliamente el valor de la ACG. Instó a la Plenaria a que </w:t>
      </w:r>
      <w:proofErr w:type="gramStart"/>
      <w:r w:rsidRPr="001C07A8">
        <w:rPr>
          <w:i/>
          <w:iCs/>
        </w:rPr>
        <w:t>aceptara</w:t>
      </w:r>
      <w:proofErr w:type="gramEnd"/>
      <w:r w:rsidRPr="001C07A8">
        <w:rPr>
          <w:i/>
          <w:iCs/>
        </w:rPr>
        <w:t xml:space="preserve"> conservar el resuelve</w:t>
      </w:r>
      <w:r w:rsidR="00296379">
        <w:rPr>
          <w:i/>
          <w:iCs/>
        </w:rPr>
        <w:t> </w:t>
      </w:r>
      <w:r w:rsidRPr="00296379">
        <w:t>12.1</w:t>
      </w:r>
      <w:r w:rsidRPr="001C07A8">
        <w:rPr>
          <w:i/>
          <w:iCs/>
        </w:rPr>
        <w:t xml:space="preserve">, que permitirá a la UIT utilizar la ACG para orientar su labor relativa a la creación de confianza y seguridad en las TIC. A ese respecto, solicitaría el asesoramiento del Consejo y del expresidente del Grupo de Expertos de Alto Nivel que se ocupa de la ACG, el Magistrado Stein </w:t>
      </w:r>
      <w:proofErr w:type="spellStart"/>
      <w:r w:rsidRPr="001C07A8">
        <w:rPr>
          <w:i/>
          <w:iCs/>
        </w:rPr>
        <w:t>Schjolberg</w:t>
      </w:r>
      <w:bookmarkEnd w:id="20"/>
      <w:proofErr w:type="spellEnd"/>
      <w:r w:rsidR="00BA06C7">
        <w:rPr>
          <w:rStyle w:val="FootnoteReference"/>
        </w:rPr>
        <w:footnoteReference w:id="1"/>
      </w:r>
      <w:r w:rsidR="00BA06C7">
        <w:t>.</w:t>
      </w:r>
    </w:p>
    <w:p w14:paraId="276FAEC1" w14:textId="731EA613" w:rsidR="00D82393" w:rsidRPr="00A46090" w:rsidRDefault="00D82393" w:rsidP="003251DE">
      <w:pPr>
        <w:rPr>
          <w:rFonts w:asciiTheme="minorHAnsi" w:hAnsiTheme="minorHAnsi" w:cstheme="minorHAnsi"/>
          <w:iCs/>
          <w:szCs w:val="24"/>
        </w:rPr>
      </w:pPr>
      <w:r w:rsidRPr="00F46E47">
        <w:rPr>
          <w:rFonts w:asciiTheme="minorHAnsi" w:hAnsiTheme="minorHAnsi" w:cstheme="minorHAnsi"/>
          <w:b/>
          <w:bCs/>
          <w:iCs/>
          <w:szCs w:val="24"/>
        </w:rPr>
        <w:t>1.3</w:t>
      </w:r>
      <w:r w:rsidRPr="00F46E47">
        <w:rPr>
          <w:rFonts w:asciiTheme="minorHAnsi" w:hAnsiTheme="minorHAnsi" w:cstheme="minorHAnsi"/>
          <w:iCs/>
          <w:szCs w:val="24"/>
        </w:rPr>
        <w:tab/>
      </w:r>
      <w:r w:rsidRPr="003251DE">
        <w:t>Se presentó a la reunión de 2019 del Consejo un informe del Expresidente del Grupo de Expertos de Alto Nivel (GEAN) de la</w:t>
      </w:r>
      <w:r w:rsidR="00064A27" w:rsidRPr="00D8236F">
        <w:rPr>
          <w:lang w:val="fr-FR"/>
        </w:rPr>
        <w:t xml:space="preserve"> </w:t>
      </w:r>
      <w:hyperlink r:id="rId20" w:history="1">
        <w:r w:rsidR="00064A27" w:rsidRPr="00D8236F">
          <w:rPr>
            <w:rStyle w:val="Hyperlink"/>
            <w:iCs/>
            <w:lang w:val="fr-FR"/>
          </w:rPr>
          <w:t>ACG</w:t>
        </w:r>
      </w:hyperlink>
      <w:r w:rsidRPr="003251DE">
        <w:t>, en el que se aconsejaba que se elaboraran directrices apropiadas para una mejor utilización de la AGC</w:t>
      </w:r>
      <w:r w:rsidR="00BA06C7">
        <w:rPr>
          <w:rStyle w:val="FootnoteReference"/>
        </w:rPr>
        <w:footnoteReference w:id="2"/>
      </w:r>
      <w:r w:rsidRPr="003251DE">
        <w:t xml:space="preserve">. </w:t>
      </w:r>
      <w:r w:rsidR="003C15D8" w:rsidRPr="003251DE">
        <w:t>En esa reunión, e</w:t>
      </w:r>
      <w:r w:rsidRPr="003251DE">
        <w:t>l Consejo encargó al Secretario General que, en paralelo, presentara a la próxima reunión del Consejo: 1)</w:t>
      </w:r>
      <w:r w:rsidR="00064A27">
        <w:t> </w:t>
      </w:r>
      <w:r w:rsidRPr="003251DE">
        <w:t>un informe en el que se explicara cómo utilizaba actualmente la UIT el marco de la Agenda sobre Ciberseguridad Global (ACG), y 2) con la participación de los Estados Miembros, unas directrices apropiadas para la utilización de la ACG por la UIT para su examen y aprobación por el Consejo</w:t>
      </w:r>
      <w:r w:rsidR="00064A27">
        <w:t>.</w:t>
      </w:r>
      <w:r w:rsidR="00BA06C7">
        <w:rPr>
          <w:rStyle w:val="FootnoteReference"/>
        </w:rPr>
        <w:footnoteReference w:id="3"/>
      </w:r>
    </w:p>
    <w:p w14:paraId="46B1D352" w14:textId="3A9469A9" w:rsidR="00D82393" w:rsidRDefault="00D82393" w:rsidP="006056AF">
      <w:r w:rsidRPr="00A46090">
        <w:rPr>
          <w:b/>
          <w:bCs/>
          <w:lang w:val="es-ES"/>
        </w:rPr>
        <w:t>1.4</w:t>
      </w:r>
      <w:r w:rsidRPr="00A46090">
        <w:rPr>
          <w:lang w:val="es-ES"/>
        </w:rPr>
        <w:tab/>
      </w:r>
      <w:bookmarkStart w:id="22" w:name="lt_pId037"/>
      <w:r w:rsidRPr="00A46090">
        <w:rPr>
          <w:lang w:val="es-ES"/>
        </w:rPr>
        <w:t xml:space="preserve">De conformidad con estas instrucciones, se </w:t>
      </w:r>
      <w:r w:rsidR="003C15D8" w:rsidRPr="00F46E47">
        <w:rPr>
          <w:lang w:val="es-ES"/>
        </w:rPr>
        <w:t>definió el proceso para la elaboración del proyecto de Directrices en la Carta Circular (</w:t>
      </w:r>
      <w:hyperlink r:id="rId21" w:history="1">
        <w:r w:rsidR="00737059" w:rsidRPr="00737059">
          <w:rPr>
            <w:rStyle w:val="Hyperlink"/>
            <w:rFonts w:asciiTheme="minorHAnsi" w:hAnsiTheme="minorHAnsi" w:cstheme="minorHAnsi"/>
            <w:iCs/>
            <w:szCs w:val="24"/>
            <w:lang w:val="es-ES"/>
          </w:rPr>
          <w:t>CL-20/55</w:t>
        </w:r>
      </w:hyperlink>
      <w:r w:rsidR="003C15D8" w:rsidRPr="00F46E47">
        <w:rPr>
          <w:lang w:val="es-ES"/>
        </w:rPr>
        <w:t xml:space="preserve">) y se celebraron dos consultas abiertas </w:t>
      </w:r>
      <w:r w:rsidR="00D21883" w:rsidRPr="00F46E47">
        <w:rPr>
          <w:lang w:val="es-ES"/>
        </w:rPr>
        <w:t>para</w:t>
      </w:r>
      <w:r w:rsidR="003C15D8" w:rsidRPr="00F46E47">
        <w:rPr>
          <w:lang w:val="es-ES"/>
        </w:rPr>
        <w:t xml:space="preserve"> todas las partes interesadas de la CMSI el 23 de abril de 2020 y el 1 de marzo de 2021, con el fin de que </w:t>
      </w:r>
      <w:r w:rsidR="00D21883" w:rsidRPr="00F46E47">
        <w:rPr>
          <w:lang w:val="es-ES"/>
        </w:rPr>
        <w:t>formularan observaciones</w:t>
      </w:r>
      <w:r w:rsidR="003C15D8" w:rsidRPr="00F46E47">
        <w:rPr>
          <w:lang w:val="es-ES"/>
        </w:rPr>
        <w:t xml:space="preserve"> sob</w:t>
      </w:r>
      <w:r w:rsidR="00CD67D2" w:rsidRPr="00F46E47">
        <w:rPr>
          <w:lang w:val="es-ES"/>
        </w:rPr>
        <w:t>re el proyecto de Directrices (c</w:t>
      </w:r>
      <w:r w:rsidR="003C15D8" w:rsidRPr="00F46E47">
        <w:rPr>
          <w:lang w:val="es-ES"/>
        </w:rPr>
        <w:t>onsulta abierta</w:t>
      </w:r>
      <w:r w:rsidR="00CD67D2" w:rsidRPr="00F46E47">
        <w:rPr>
          <w:lang w:val="es-ES"/>
        </w:rPr>
        <w:t xml:space="preserve">) </w:t>
      </w:r>
      <w:r w:rsidR="00CC7258" w:rsidRPr="00824C56">
        <w:t>Más de 160</w:t>
      </w:r>
      <w:r w:rsidR="006056AF">
        <w:t> </w:t>
      </w:r>
      <w:r w:rsidR="00CC7258" w:rsidRPr="00824C56">
        <w:t xml:space="preserve">participantes asistieron a </w:t>
      </w:r>
      <w:r w:rsidR="00CD67D2" w:rsidRPr="00824C56">
        <w:t>esas</w:t>
      </w:r>
      <w:r w:rsidR="008C3865" w:rsidRPr="00824C56">
        <w:t xml:space="preserve"> </w:t>
      </w:r>
      <w:r w:rsidR="00CD67D2" w:rsidRPr="00824C56">
        <w:t>reuniones</w:t>
      </w:r>
      <w:r w:rsidR="00306670">
        <w:t xml:space="preserve"> </w:t>
      </w:r>
      <w:r w:rsidR="00CC7258" w:rsidRPr="00824C56">
        <w:t xml:space="preserve">y </w:t>
      </w:r>
      <w:r w:rsidR="00CD67D2" w:rsidRPr="00824C56">
        <w:t>formularon observaciones</w:t>
      </w:r>
      <w:r w:rsidR="00CC7258" w:rsidRPr="00824C56">
        <w:t xml:space="preserve"> sección por sección sobre el proyecto de </w:t>
      </w:r>
      <w:r w:rsidR="00CD67D2" w:rsidRPr="00824C56">
        <w:t>D</w:t>
      </w:r>
      <w:r w:rsidR="00CC7258" w:rsidRPr="00824C56">
        <w:t xml:space="preserve">irectrices. Se han publicado en el </w:t>
      </w:r>
      <w:hyperlink r:id="rId22" w:history="1">
        <w:r w:rsidR="00CC7258" w:rsidRPr="00F46E47">
          <w:rPr>
            <w:rStyle w:val="Hyperlink"/>
            <w:rFonts w:asciiTheme="minorHAnsi" w:hAnsiTheme="minorHAnsi" w:cstheme="minorHAnsi"/>
            <w:szCs w:val="24"/>
          </w:rPr>
          <w:t>sitio web</w:t>
        </w:r>
      </w:hyperlink>
      <w:r w:rsidR="00CC7258" w:rsidRPr="00F46E47">
        <w:rPr>
          <w:rStyle w:val="Hyperlink"/>
          <w:rFonts w:asciiTheme="minorHAnsi" w:hAnsiTheme="minorHAnsi" w:cstheme="minorHAnsi"/>
          <w:color w:val="auto"/>
          <w:szCs w:val="24"/>
          <w:u w:val="none"/>
        </w:rPr>
        <w:t xml:space="preserve"> de la ACG</w:t>
      </w:r>
      <w:r w:rsidR="00CC7258" w:rsidRPr="00824C56">
        <w:t xml:space="preserve"> todas las observaciones recibidas por escrito de los participantes antes o después de las consultas abiertas.</w:t>
      </w:r>
    </w:p>
    <w:p w14:paraId="028FF5AA" w14:textId="0EA97B4C" w:rsidR="00D82393" w:rsidRPr="00F46E47" w:rsidRDefault="00D82393" w:rsidP="003B5326">
      <w:pPr>
        <w:rPr>
          <w:rFonts w:asciiTheme="minorHAnsi" w:hAnsiTheme="minorHAnsi" w:cstheme="minorHAnsi"/>
          <w:iCs/>
          <w:szCs w:val="24"/>
        </w:rPr>
      </w:pPr>
      <w:r w:rsidRPr="00A46090">
        <w:rPr>
          <w:rFonts w:asciiTheme="minorHAnsi" w:hAnsiTheme="minorHAnsi" w:cstheme="minorHAnsi"/>
          <w:b/>
          <w:bCs/>
          <w:iCs/>
          <w:szCs w:val="24"/>
          <w:lang w:val="es-ES"/>
        </w:rPr>
        <w:t>1.5</w:t>
      </w:r>
      <w:r w:rsidRPr="00A46090">
        <w:rPr>
          <w:rFonts w:asciiTheme="minorHAnsi" w:hAnsiTheme="minorHAnsi" w:cstheme="minorHAnsi"/>
          <w:iCs/>
          <w:szCs w:val="24"/>
          <w:lang w:val="es-ES"/>
        </w:rPr>
        <w:tab/>
      </w:r>
      <w:r w:rsidR="00CD67D2" w:rsidRPr="003C5A2C">
        <w:t>Sobre la base de las contribuciones recibidas, la Secretaría elaboró el informe en que se explica la manera en que la UIT utiliza actualmente el marco de la ACG (</w:t>
      </w:r>
      <w:hyperlink r:id="rId23" w:history="1">
        <w:r w:rsidR="0073793F" w:rsidRPr="0073793F">
          <w:rPr>
            <w:rStyle w:val="Hyperlink"/>
          </w:rPr>
          <w:t>Informe de la Secretaría</w:t>
        </w:r>
      </w:hyperlink>
      <w:r w:rsidR="00CD67D2" w:rsidRPr="003C5A2C">
        <w:t xml:space="preserve">) y </w:t>
      </w:r>
      <w:r w:rsidR="008C3865" w:rsidRPr="003C5A2C">
        <w:t xml:space="preserve">preparó </w:t>
      </w:r>
      <w:r w:rsidR="00CD67D2" w:rsidRPr="003C5A2C">
        <w:t xml:space="preserve">el proyecto </w:t>
      </w:r>
      <w:r w:rsidRPr="003C5A2C">
        <w:t xml:space="preserve">de </w:t>
      </w:r>
      <w:r w:rsidR="00CD67D2" w:rsidRPr="003C5A2C">
        <w:t>D</w:t>
      </w:r>
      <w:r w:rsidRPr="003C5A2C">
        <w:t xml:space="preserve">irectrices para la utilización de la ACG </w:t>
      </w:r>
      <w:r w:rsidR="006B39D1" w:rsidRPr="003C5A2C">
        <w:t>(</w:t>
      </w:r>
      <w:hyperlink r:id="rId24" w:history="1">
        <w:r w:rsidR="00C749F0" w:rsidRPr="00C749F0">
          <w:rPr>
            <w:rStyle w:val="Hyperlink"/>
          </w:rPr>
          <w:t>proyecto de Directrices</w:t>
        </w:r>
      </w:hyperlink>
      <w:r w:rsidR="006B39D1" w:rsidRPr="003C5A2C">
        <w:t>)</w:t>
      </w:r>
      <w:r w:rsidRPr="003C5A2C">
        <w:t xml:space="preserve">, con el apoyo del Alto Magistrado (retirado) Stein </w:t>
      </w:r>
      <w:proofErr w:type="spellStart"/>
      <w:r w:rsidRPr="003C5A2C">
        <w:t>Schjolberg</w:t>
      </w:r>
      <w:proofErr w:type="spellEnd"/>
      <w:r w:rsidRPr="003C5A2C">
        <w:t xml:space="preserve"> (Expresidente del GEAN) y con la participación de los Estados Miembros, para su examen y aprobación por el Consejo.</w:t>
      </w:r>
      <w:bookmarkEnd w:id="22"/>
      <w:r w:rsidRPr="003C5A2C">
        <w:t xml:space="preserve"> </w:t>
      </w:r>
      <w:bookmarkStart w:id="23" w:name="lt_pId038"/>
      <w:r w:rsidRPr="003C5A2C">
        <w:t xml:space="preserve">El Secretario General también agradece la orientación y contribución de la Prof. Solange </w:t>
      </w:r>
      <w:proofErr w:type="spellStart"/>
      <w:r w:rsidRPr="003C5A2C">
        <w:t>Ghernaouti</w:t>
      </w:r>
      <w:proofErr w:type="spellEnd"/>
      <w:r w:rsidRPr="003C5A2C">
        <w:t xml:space="preserve"> (Swiss </w:t>
      </w:r>
      <w:proofErr w:type="spellStart"/>
      <w:r w:rsidRPr="003C5A2C">
        <w:t>Cybersecurity</w:t>
      </w:r>
      <w:proofErr w:type="spellEnd"/>
      <w:r w:rsidRPr="003C5A2C">
        <w:t xml:space="preserve"> </w:t>
      </w:r>
      <w:proofErr w:type="spellStart"/>
      <w:r w:rsidRPr="003C5A2C">
        <w:t>Advisory</w:t>
      </w:r>
      <w:proofErr w:type="spellEnd"/>
      <w:r w:rsidRPr="003C5A2C">
        <w:t xml:space="preserve"> &amp; </w:t>
      </w:r>
      <w:proofErr w:type="spellStart"/>
      <w:r w:rsidRPr="003C5A2C">
        <w:t>Research</w:t>
      </w:r>
      <w:proofErr w:type="spellEnd"/>
      <w:r w:rsidRPr="003C5A2C">
        <w:t xml:space="preserve"> </w:t>
      </w:r>
      <w:proofErr w:type="spellStart"/>
      <w:r w:rsidRPr="003C5A2C">
        <w:t>Group</w:t>
      </w:r>
      <w:proofErr w:type="spellEnd"/>
      <w:r w:rsidRPr="003C5A2C">
        <w:t xml:space="preserve">, Universidad de Lausana) a las secciones relacionadas con los Pilares 2 y 4 de la ACG, y la del Sr. Noboru </w:t>
      </w:r>
      <w:proofErr w:type="spellStart"/>
      <w:r w:rsidRPr="003C5A2C">
        <w:t>Nakatani</w:t>
      </w:r>
      <w:proofErr w:type="spellEnd"/>
      <w:r w:rsidRPr="003C5A2C">
        <w:t xml:space="preserve"> (Exdirector Ejecutivo del Global </w:t>
      </w:r>
      <w:proofErr w:type="spellStart"/>
      <w:r w:rsidRPr="003C5A2C">
        <w:t>Complex</w:t>
      </w:r>
      <w:proofErr w:type="spellEnd"/>
      <w:r w:rsidRPr="003C5A2C">
        <w:t xml:space="preserve"> </w:t>
      </w:r>
      <w:proofErr w:type="spellStart"/>
      <w:r w:rsidRPr="003C5A2C">
        <w:t>for</w:t>
      </w:r>
      <w:proofErr w:type="spellEnd"/>
      <w:r w:rsidRPr="003C5A2C">
        <w:t xml:space="preserve"> </w:t>
      </w:r>
      <w:proofErr w:type="spellStart"/>
      <w:r w:rsidRPr="003C5A2C">
        <w:t>Innovation</w:t>
      </w:r>
      <w:proofErr w:type="spellEnd"/>
      <w:r w:rsidRPr="003C5A2C">
        <w:t xml:space="preserve"> de INTERPOL) a la sección relativa al Pilar 3 de la ACG. </w:t>
      </w:r>
      <w:bookmarkStart w:id="24" w:name="lt_pId039"/>
      <w:bookmarkEnd w:id="23"/>
      <w:r w:rsidR="008C3865" w:rsidRPr="003C5A2C">
        <w:t xml:space="preserve">Es importante </w:t>
      </w:r>
      <w:r w:rsidR="008C3865" w:rsidRPr="003C5A2C">
        <w:lastRenderedPageBreak/>
        <w:t>señalar</w:t>
      </w:r>
      <w:r w:rsidR="006B39D1" w:rsidRPr="003C5A2C">
        <w:t xml:space="preserve"> que el propósito de esta labor no es abordar cuestiones relacionadas con la revisión de la</w:t>
      </w:r>
      <w:r w:rsidR="00A63097">
        <w:t> </w:t>
      </w:r>
      <w:r w:rsidR="006B39D1" w:rsidRPr="003C5A2C">
        <w:t>ACG.</w:t>
      </w:r>
      <w:bookmarkEnd w:id="24"/>
    </w:p>
    <w:p w14:paraId="3789DA92" w14:textId="35223C65" w:rsidR="00CC7258" w:rsidRPr="00A46090" w:rsidRDefault="00CC7258" w:rsidP="003B5326">
      <w:pPr>
        <w:rPr>
          <w:rFonts w:asciiTheme="minorHAnsi" w:hAnsiTheme="minorHAnsi" w:cstheme="minorHAnsi"/>
          <w:iCs/>
          <w:szCs w:val="24"/>
          <w:lang w:val="es-ES"/>
        </w:rPr>
      </w:pPr>
      <w:bookmarkStart w:id="25" w:name="lt_pId043"/>
      <w:r w:rsidRPr="00A46090">
        <w:rPr>
          <w:rFonts w:asciiTheme="minorHAnsi" w:hAnsiTheme="minorHAnsi" w:cstheme="minorHAnsi"/>
          <w:b/>
          <w:bCs/>
          <w:iCs/>
          <w:szCs w:val="24"/>
          <w:lang w:val="es-ES"/>
        </w:rPr>
        <w:t>1.6</w:t>
      </w:r>
      <w:r w:rsidRPr="00A46090">
        <w:rPr>
          <w:rFonts w:asciiTheme="minorHAnsi" w:hAnsiTheme="minorHAnsi" w:cstheme="minorHAnsi"/>
          <w:iCs/>
          <w:szCs w:val="24"/>
          <w:lang w:val="es-ES"/>
        </w:rPr>
        <w:tab/>
      </w:r>
      <w:r w:rsidR="006F5020" w:rsidRPr="003C5A2C">
        <w:t>Debido a la pandemia de COVID-19, la presentación de estos documentos se pospuso a la</w:t>
      </w:r>
      <w:r w:rsidR="00E74436">
        <w:t> </w:t>
      </w:r>
      <w:r w:rsidR="006F5020" w:rsidRPr="003C5A2C">
        <w:t xml:space="preserve">CVC de 2021, que tuvo lugar del 8 al 18 de junio de 2021. Tras la CVC de 2021, los Estados Miembros del Consejo tomaron nota del informe de la Secretaría y adoptaron por correspondencia la decisión sobre el proyecto de Directrices </w:t>
      </w:r>
      <w:r w:rsidR="00755B13" w:rsidRPr="003C5A2C">
        <w:t xml:space="preserve">en la que se </w:t>
      </w:r>
      <w:r w:rsidRPr="003C5A2C">
        <w:t>"</w:t>
      </w:r>
      <w:r w:rsidR="00377953" w:rsidRPr="003C5A2C">
        <w:rPr>
          <w:i/>
          <w:iCs/>
        </w:rPr>
        <w:t xml:space="preserve">encarga a la </w:t>
      </w:r>
      <w:r w:rsidR="006F5020" w:rsidRPr="003C5A2C">
        <w:rPr>
          <w:i/>
          <w:iCs/>
        </w:rPr>
        <w:t>S</w:t>
      </w:r>
      <w:r w:rsidR="00377953" w:rsidRPr="003C5A2C">
        <w:rPr>
          <w:i/>
          <w:iCs/>
        </w:rPr>
        <w:t xml:space="preserve">ecretaría que celebre nuevas consultas con los Estados Miembros del Consejo, </w:t>
      </w:r>
      <w:r w:rsidR="00755B13" w:rsidRPr="003C5A2C">
        <w:rPr>
          <w:i/>
          <w:iCs/>
        </w:rPr>
        <w:t>teniendo en</w:t>
      </w:r>
      <w:r w:rsidR="00377953" w:rsidRPr="003C5A2C">
        <w:rPr>
          <w:i/>
          <w:iCs/>
        </w:rPr>
        <w:t xml:space="preserve"> cuenta de las contribuciones recibidas y los comentarios </w:t>
      </w:r>
      <w:r w:rsidR="003723E2" w:rsidRPr="003C5A2C">
        <w:rPr>
          <w:i/>
          <w:iCs/>
        </w:rPr>
        <w:t>formulados durante esa</w:t>
      </w:r>
      <w:r w:rsidR="00377953" w:rsidRPr="003C5A2C">
        <w:rPr>
          <w:i/>
          <w:iCs/>
        </w:rPr>
        <w:t xml:space="preserve"> reunión. La </w:t>
      </w:r>
      <w:r w:rsidR="003723E2" w:rsidRPr="003C5A2C">
        <w:rPr>
          <w:i/>
          <w:iCs/>
        </w:rPr>
        <w:t>S</w:t>
      </w:r>
      <w:r w:rsidR="00377953" w:rsidRPr="003C5A2C">
        <w:rPr>
          <w:i/>
          <w:iCs/>
        </w:rPr>
        <w:t>ecretaría debería presentar</w:t>
      </w:r>
      <w:r w:rsidR="00C749F0">
        <w:rPr>
          <w:i/>
          <w:iCs/>
        </w:rPr>
        <w:t xml:space="preserve"> el</w:t>
      </w:r>
      <w:r w:rsidR="00377953" w:rsidRPr="003C5A2C">
        <w:rPr>
          <w:i/>
          <w:iCs/>
        </w:rPr>
        <w:t xml:space="preserve"> </w:t>
      </w:r>
      <w:hyperlink r:id="rId25" w:history="1">
        <w:r w:rsidR="00A63097">
          <w:rPr>
            <w:rStyle w:val="Hyperlink"/>
            <w:i/>
            <w:iCs/>
          </w:rPr>
          <w:t>Documento 71</w:t>
        </w:r>
      </w:hyperlink>
      <w:r w:rsidR="00377953" w:rsidRPr="003C5A2C">
        <w:rPr>
          <w:i/>
          <w:iCs/>
        </w:rPr>
        <w:t xml:space="preserve"> revisado para su examen y aprobación en la próxima reunión del Consejo</w:t>
      </w:r>
      <w:r w:rsidRPr="003C5A2C">
        <w:rPr>
          <w:i/>
          <w:iCs/>
        </w:rPr>
        <w:t>"</w:t>
      </w:r>
      <w:r w:rsidRPr="003C5A2C">
        <w:t>.</w:t>
      </w:r>
    </w:p>
    <w:p w14:paraId="0E776132" w14:textId="21BCF23C" w:rsidR="003723E2" w:rsidRPr="00A46090" w:rsidRDefault="00CC7258" w:rsidP="003723E2">
      <w:pPr>
        <w:rPr>
          <w:rFonts w:eastAsia="Calibri"/>
          <w:szCs w:val="24"/>
          <w:lang w:val="es-ES"/>
        </w:rPr>
      </w:pPr>
      <w:r w:rsidRPr="00A46090">
        <w:rPr>
          <w:rFonts w:asciiTheme="minorHAnsi" w:hAnsiTheme="minorHAnsi" w:cstheme="minorHAnsi"/>
          <w:b/>
          <w:bCs/>
          <w:iCs/>
          <w:szCs w:val="24"/>
          <w:lang w:val="es-ES"/>
        </w:rPr>
        <w:t>1.7</w:t>
      </w:r>
      <w:r w:rsidRPr="00A46090">
        <w:rPr>
          <w:rFonts w:asciiTheme="minorHAnsi" w:hAnsiTheme="minorHAnsi" w:cstheme="minorHAnsi"/>
          <w:b/>
          <w:bCs/>
          <w:iCs/>
          <w:szCs w:val="24"/>
          <w:lang w:val="es-ES"/>
        </w:rPr>
        <w:tab/>
      </w:r>
      <w:r w:rsidR="003723E2" w:rsidRPr="00A46090">
        <w:rPr>
          <w:rFonts w:eastAsia="Calibri"/>
          <w:szCs w:val="24"/>
          <w:lang w:val="es-ES"/>
        </w:rPr>
        <w:t>En consecuencia, se llevaron a cabo nuevas consultas con los Estados Miembros del Consejo y, teniendo en cuenta las contribuciones recibidas, se elaboraron dos documentos:</w:t>
      </w:r>
    </w:p>
    <w:p w14:paraId="2445F48B" w14:textId="0A5571A8" w:rsidR="00CC7258" w:rsidRPr="00A46090" w:rsidRDefault="00CC7258" w:rsidP="003B5326">
      <w:pPr>
        <w:pStyle w:val="enumlev1"/>
        <w:rPr>
          <w:rFonts w:asciiTheme="minorHAnsi" w:hAnsiTheme="minorHAnsi" w:cstheme="minorHAnsi"/>
          <w:iCs/>
          <w:lang w:val="es-ES"/>
        </w:rPr>
      </w:pPr>
      <w:r w:rsidRPr="00A46090">
        <w:rPr>
          <w:rFonts w:asciiTheme="minorHAnsi" w:hAnsiTheme="minorHAnsi" w:cstheme="minorHAnsi"/>
          <w:iCs/>
          <w:lang w:val="es-ES"/>
        </w:rPr>
        <w:t>a)</w:t>
      </w:r>
      <w:r w:rsidRPr="00A46090">
        <w:rPr>
          <w:rFonts w:asciiTheme="minorHAnsi" w:hAnsiTheme="minorHAnsi" w:cstheme="minorHAnsi"/>
          <w:iCs/>
          <w:lang w:val="es-ES"/>
        </w:rPr>
        <w:tab/>
      </w:r>
      <w:r w:rsidR="003723E2" w:rsidRPr="00A46090">
        <w:rPr>
          <w:rFonts w:eastAsia="Calibri"/>
          <w:lang w:val="es-ES"/>
        </w:rPr>
        <w:t>un documento de información (</w:t>
      </w:r>
      <w:hyperlink r:id="rId26" w:history="1">
        <w:r w:rsidR="003723E2" w:rsidRPr="00C749F0">
          <w:rPr>
            <w:rStyle w:val="Hyperlink"/>
            <w:rFonts w:eastAsia="Calibri"/>
            <w:lang w:val="es-ES"/>
          </w:rPr>
          <w:t>C22/INF/8</w:t>
        </w:r>
      </w:hyperlink>
      <w:r w:rsidR="003723E2" w:rsidRPr="00A46090">
        <w:rPr>
          <w:rFonts w:eastAsia="Calibri"/>
          <w:lang w:val="es-ES"/>
        </w:rPr>
        <w:t xml:space="preserve">) en el que se </w:t>
      </w:r>
      <w:r w:rsidR="00755B13" w:rsidRPr="00A46090">
        <w:rPr>
          <w:rFonts w:eastAsia="Calibri"/>
          <w:lang w:val="es-ES"/>
        </w:rPr>
        <w:t>exponen</w:t>
      </w:r>
      <w:r w:rsidR="003723E2" w:rsidRPr="00A46090">
        <w:rPr>
          <w:rFonts w:eastAsia="Calibri"/>
          <w:lang w:val="es-ES"/>
        </w:rPr>
        <w:t xml:space="preserve"> los antecedentes, </w:t>
      </w:r>
      <w:r w:rsidR="001E4318" w:rsidRPr="00A46090">
        <w:rPr>
          <w:rFonts w:eastAsia="Calibri"/>
          <w:lang w:val="es-ES"/>
        </w:rPr>
        <w:t>la evolución del entorno y e</w:t>
      </w:r>
      <w:r w:rsidR="003723E2" w:rsidRPr="00A46090">
        <w:rPr>
          <w:rFonts w:eastAsia="Calibri"/>
          <w:lang w:val="es-ES"/>
        </w:rPr>
        <w:t xml:space="preserve">l contexto </w:t>
      </w:r>
      <w:r w:rsidR="001E4318" w:rsidRPr="00A46090">
        <w:rPr>
          <w:rFonts w:eastAsia="Calibri"/>
          <w:lang w:val="es-ES"/>
        </w:rPr>
        <w:t>para</w:t>
      </w:r>
      <w:r w:rsidR="009E06CC" w:rsidRPr="00A46090">
        <w:rPr>
          <w:rFonts w:eastAsia="Calibri"/>
          <w:lang w:val="es-ES"/>
        </w:rPr>
        <w:t xml:space="preserve"> la </w:t>
      </w:r>
      <w:r w:rsidR="003723E2" w:rsidRPr="00A46090">
        <w:rPr>
          <w:rFonts w:eastAsia="Calibri"/>
          <w:lang w:val="es-ES"/>
        </w:rPr>
        <w:t>elaboración de este proyecto de</w:t>
      </w:r>
      <w:r w:rsidR="009E06CC" w:rsidRPr="00A46090">
        <w:rPr>
          <w:rFonts w:eastAsia="Calibri"/>
          <w:lang w:val="es-ES"/>
        </w:rPr>
        <w:t xml:space="preserve"> Di</w:t>
      </w:r>
      <w:r w:rsidR="003723E2" w:rsidRPr="00A46090">
        <w:rPr>
          <w:rFonts w:eastAsia="Calibri"/>
          <w:lang w:val="es-ES"/>
        </w:rPr>
        <w:t>rectrices; y</w:t>
      </w:r>
    </w:p>
    <w:p w14:paraId="2AC34154" w14:textId="7645D044" w:rsidR="00CC7258" w:rsidRPr="00A46090" w:rsidRDefault="00CC7258" w:rsidP="00A46090">
      <w:pPr>
        <w:pStyle w:val="enumlev1"/>
        <w:rPr>
          <w:lang w:val="es-ES"/>
        </w:rPr>
      </w:pPr>
      <w:r w:rsidRPr="00A46090">
        <w:rPr>
          <w:lang w:val="es-ES"/>
        </w:rPr>
        <w:t>b)</w:t>
      </w:r>
      <w:r w:rsidRPr="00A46090">
        <w:rPr>
          <w:lang w:val="es-ES"/>
        </w:rPr>
        <w:tab/>
      </w:r>
      <w:r w:rsidR="001E4318" w:rsidRPr="00A46090">
        <w:rPr>
          <w:lang w:val="es-ES"/>
        </w:rPr>
        <w:t xml:space="preserve">este </w:t>
      </w:r>
      <w:r w:rsidR="009E06CC" w:rsidRPr="00A46090">
        <w:rPr>
          <w:lang w:val="es-ES"/>
        </w:rPr>
        <w:t>p</w:t>
      </w:r>
      <w:r w:rsidR="003723E2" w:rsidRPr="00A46090">
        <w:rPr>
          <w:lang w:val="es-ES"/>
        </w:rPr>
        <w:t xml:space="preserve">royecto de Directrices que se expone a continuación y que se ha elaborado para su examen y aprobación por el Consejo </w:t>
      </w:r>
      <w:r w:rsidR="009E06CC" w:rsidRPr="00A46090">
        <w:rPr>
          <w:lang w:val="es-ES"/>
        </w:rPr>
        <w:t xml:space="preserve">en su reunión de </w:t>
      </w:r>
      <w:r w:rsidR="003723E2" w:rsidRPr="00A46090">
        <w:rPr>
          <w:lang w:val="es-ES"/>
        </w:rPr>
        <w:t>2022.</w:t>
      </w:r>
    </w:p>
    <w:p w14:paraId="5917BDFD" w14:textId="6D6EB567" w:rsidR="00D82393" w:rsidRPr="003A6210" w:rsidRDefault="009E06CC" w:rsidP="003A6210">
      <w:pPr>
        <w:rPr>
          <w:rFonts w:cs="Calibri"/>
          <w:b/>
        </w:rPr>
      </w:pPr>
      <w:r>
        <w:t>Para la elaboración de estos documentos</w:t>
      </w:r>
      <w:r w:rsidR="00CC7258" w:rsidRPr="00002757">
        <w:t xml:space="preserve"> </w:t>
      </w:r>
      <w:bookmarkStart w:id="26" w:name="lt_pId127"/>
      <w:bookmarkEnd w:id="25"/>
      <w:r w:rsidR="001E4318">
        <w:t xml:space="preserve">se </w:t>
      </w:r>
      <w:r w:rsidR="00D82393" w:rsidRPr="00002757">
        <w:t xml:space="preserve">han tenido en cuenta las recomendaciones del Informe del GEAN de 2008, las actividades desplegadas desde entonces por la UIT, las novedades en esta materia desde 2008 y las </w:t>
      </w:r>
      <w:hyperlink r:id="rId27" w:history="1">
        <w:r w:rsidR="00D82393" w:rsidRPr="005A25E7">
          <w:rPr>
            <w:rStyle w:val="Hyperlink"/>
            <w:rFonts w:asciiTheme="minorHAnsi" w:hAnsiTheme="minorHAnsi" w:cstheme="minorHAnsi"/>
            <w:szCs w:val="24"/>
          </w:rPr>
          <w:t>aportaciones recibidas de los Estados Miembros y otros interesados</w:t>
        </w:r>
      </w:hyperlink>
      <w:r w:rsidR="00D82393" w:rsidRPr="00002757">
        <w:t xml:space="preserve"> (de conformidad con la</w:t>
      </w:r>
      <w:r w:rsidR="00D82393">
        <w:t>s</w:t>
      </w:r>
      <w:r w:rsidR="00D82393" w:rsidRPr="00002757">
        <w:t xml:space="preserve"> </w:t>
      </w:r>
      <w:r w:rsidR="00D82393" w:rsidRPr="005A25E7">
        <w:rPr>
          <w:szCs w:val="24"/>
        </w:rPr>
        <w:t>Cartas Circulares (</w:t>
      </w:r>
      <w:hyperlink r:id="rId28" w:history="1">
        <w:r w:rsidR="00D82393" w:rsidRPr="005A25E7">
          <w:rPr>
            <w:rStyle w:val="Hyperlink"/>
            <w:rFonts w:asciiTheme="minorHAnsi" w:hAnsiTheme="minorHAnsi" w:cstheme="minorHAnsi"/>
            <w:szCs w:val="24"/>
          </w:rPr>
          <w:t>CL-20/18</w:t>
        </w:r>
      </w:hyperlink>
      <w:r w:rsidR="00D82393" w:rsidRPr="005A25E7">
        <w:rPr>
          <w:rStyle w:val="Hyperlink"/>
          <w:rFonts w:asciiTheme="minorHAnsi" w:hAnsiTheme="minorHAnsi" w:cstheme="minorHAnsi"/>
          <w:color w:val="auto"/>
          <w:szCs w:val="24"/>
          <w:u w:val="none"/>
        </w:rPr>
        <w:t xml:space="preserve"> y </w:t>
      </w:r>
      <w:hyperlink r:id="rId29" w:history="1">
        <w:r w:rsidR="00D82393" w:rsidRPr="005A25E7">
          <w:rPr>
            <w:rStyle w:val="Hyperlink"/>
            <w:rFonts w:asciiTheme="minorHAnsi" w:hAnsiTheme="minorHAnsi" w:cstheme="minorHAnsi"/>
            <w:szCs w:val="24"/>
          </w:rPr>
          <w:t>CL-20/55</w:t>
        </w:r>
      </w:hyperlink>
      <w:r w:rsidR="00D82393" w:rsidRPr="00002757">
        <w:t>).</w:t>
      </w:r>
    </w:p>
    <w:bookmarkEnd w:id="26"/>
    <w:p w14:paraId="7EE066C0" w14:textId="15AA22BA" w:rsidR="00D82393" w:rsidRDefault="00D82393" w:rsidP="003A6210">
      <w:pPr>
        <w:keepLines/>
      </w:pPr>
      <w:r w:rsidRPr="00002757">
        <w:rPr>
          <w:b/>
          <w:bCs/>
        </w:rPr>
        <w:t>1.</w:t>
      </w:r>
      <w:r w:rsidR="00377953" w:rsidRPr="00A46090">
        <w:rPr>
          <w:b/>
          <w:bCs/>
          <w:iCs/>
          <w:lang w:val="es-ES"/>
        </w:rPr>
        <w:t>8</w:t>
      </w:r>
      <w:r w:rsidR="00377953" w:rsidRPr="00A46090">
        <w:rPr>
          <w:b/>
          <w:bCs/>
          <w:lang w:val="es-ES"/>
        </w:rPr>
        <w:tab/>
      </w:r>
      <w:bookmarkStart w:id="27" w:name="lt_pId133"/>
      <w:r w:rsidRPr="00002757">
        <w:t>Si bien se reconoce la mutua interdependencia de los cinco Pilares, en cada sección se aborda un pilar específico de la ACG y se proponen directrices concretas para su utilización. La sección</w:t>
      </w:r>
      <w:r w:rsidR="00A81426">
        <w:t> </w:t>
      </w:r>
      <w:r w:rsidRPr="00002757">
        <w:t xml:space="preserve">2 se centra en las medidas </w:t>
      </w:r>
      <w:r w:rsidR="00D54AAA">
        <w:t>jurídicas</w:t>
      </w:r>
      <w:r w:rsidRPr="00002757">
        <w:t xml:space="preserve">. La sección 3 trata de las medidas técnicas y de procedimiento. La sección 4 trata de la capacitación. La sección 5 trata de las estructuras organizativas y la sección 6 se refiere a la cooperación internacional. La </w:t>
      </w:r>
      <w:r w:rsidR="00A63097" w:rsidRPr="00002757">
        <w:t xml:space="preserve">sección </w:t>
      </w:r>
      <w:r w:rsidRPr="00002757">
        <w:t xml:space="preserve">7 contiene algunas directrices transversales generales para el uso del marco de la </w:t>
      </w:r>
      <w:bookmarkStart w:id="28" w:name="lt_pId138"/>
      <w:bookmarkEnd w:id="27"/>
      <w:r w:rsidRPr="00002757">
        <w:t>ACG.</w:t>
      </w:r>
      <w:bookmarkEnd w:id="28"/>
    </w:p>
    <w:p w14:paraId="01D2DDC6" w14:textId="67F6C9B0" w:rsidR="00D82393" w:rsidRPr="006E77F5" w:rsidRDefault="00D82393" w:rsidP="006E77F5">
      <w:pPr>
        <w:pStyle w:val="Heading1"/>
      </w:pPr>
      <w:bookmarkStart w:id="29" w:name="lt_pId139"/>
      <w:bookmarkStart w:id="30" w:name="_Toc37331401"/>
      <w:bookmarkStart w:id="31" w:name="_Toc41378329"/>
      <w:r w:rsidRPr="006E77F5">
        <w:t>Sección 2</w:t>
      </w:r>
      <w:bookmarkStart w:id="32" w:name="lt_pId140"/>
      <w:bookmarkEnd w:id="29"/>
      <w:r w:rsidR="00322361" w:rsidRPr="006E77F5">
        <w:t xml:space="preserve">. </w:t>
      </w:r>
      <w:r w:rsidRPr="006E77F5">
        <w:t>Pilar 1</w:t>
      </w:r>
      <w:r w:rsidR="001F2AA9" w:rsidRPr="006E77F5">
        <w:t>–</w:t>
      </w:r>
      <w:r w:rsidRPr="006E77F5">
        <w:t xml:space="preserve"> </w:t>
      </w:r>
      <w:bookmarkEnd w:id="30"/>
      <w:bookmarkEnd w:id="32"/>
      <w:r w:rsidRPr="006E77F5">
        <w:t>Medidas jurídicas</w:t>
      </w:r>
      <w:bookmarkEnd w:id="31"/>
    </w:p>
    <w:p w14:paraId="2CEE41E7" w14:textId="6154969D" w:rsidR="001F2AA9" w:rsidRPr="00002757" w:rsidRDefault="001F2AA9" w:rsidP="003A6210">
      <w:pPr>
        <w:tabs>
          <w:tab w:val="clear" w:pos="567"/>
          <w:tab w:val="clear" w:pos="1134"/>
          <w:tab w:val="clear" w:pos="1701"/>
          <w:tab w:val="clear" w:pos="2268"/>
          <w:tab w:val="clear" w:pos="2835"/>
        </w:tabs>
        <w:spacing w:after="120"/>
        <w:rPr>
          <w:rFonts w:asciiTheme="minorHAnsi" w:hAnsiTheme="minorHAnsi" w:cstheme="minorHAnsi"/>
          <w:b/>
          <w:bCs/>
          <w:szCs w:val="24"/>
        </w:rPr>
      </w:pPr>
      <w:r>
        <w:rPr>
          <w:rFonts w:asciiTheme="minorHAnsi" w:hAnsiTheme="minorHAnsi" w:cstheme="minorHAnsi"/>
          <w:b/>
          <w:bCs/>
          <w:szCs w:val="24"/>
        </w:rPr>
        <w:t>2</w:t>
      </w:r>
      <w:r w:rsidRPr="00002757">
        <w:rPr>
          <w:rFonts w:asciiTheme="minorHAnsi" w:hAnsiTheme="minorHAnsi" w:cstheme="minorHAnsi"/>
          <w:szCs w:val="24"/>
        </w:rPr>
        <w:tab/>
      </w:r>
      <w:bookmarkStart w:id="33" w:name="lt_pId202"/>
      <w:r w:rsidR="006868E6">
        <w:rPr>
          <w:rFonts w:asciiTheme="minorHAnsi" w:hAnsiTheme="minorHAnsi" w:cstheme="minorHAnsi"/>
          <w:szCs w:val="24"/>
        </w:rPr>
        <w:t xml:space="preserve">En vista </w:t>
      </w:r>
      <w:r w:rsidRPr="00002757">
        <w:rPr>
          <w:rFonts w:asciiTheme="minorHAnsi" w:hAnsiTheme="minorHAnsi" w:cstheme="minorHAnsi"/>
          <w:szCs w:val="24"/>
        </w:rPr>
        <w:t>de los rápidos avances de la tecnología, es necesario que las medidas adoptadas por las organizaciones y los países evolucionen al ritmo de dichos cambios. Esto</w:t>
      </w:r>
      <w:r w:rsidR="00D54AAA">
        <w:rPr>
          <w:rFonts w:asciiTheme="minorHAnsi" w:hAnsiTheme="minorHAnsi" w:cstheme="minorHAnsi"/>
          <w:szCs w:val="24"/>
        </w:rPr>
        <w:t xml:space="preserve"> añade complejidad </w:t>
      </w:r>
      <w:r w:rsidRPr="00002757">
        <w:rPr>
          <w:rFonts w:asciiTheme="minorHAnsi" w:hAnsiTheme="minorHAnsi" w:cstheme="minorHAnsi"/>
          <w:szCs w:val="24"/>
        </w:rPr>
        <w:t>al reto de la ciberseguridad, que requiere un examen detenido desde diversas perspectivas. En este contexto, se exponen a continuación las directrices propuestas para la utilización del Pilar 1</w:t>
      </w:r>
      <w:bookmarkStart w:id="34" w:name="lt_pId204"/>
      <w:bookmarkEnd w:id="33"/>
      <w:r w:rsidRPr="00002757">
        <w:rPr>
          <w:rFonts w:asciiTheme="minorHAnsi" w:hAnsiTheme="minorHAnsi" w:cstheme="minorHAnsi"/>
          <w:szCs w:val="24"/>
        </w:rPr>
        <w:t>:</w:t>
      </w:r>
      <w:bookmarkEnd w:id="34"/>
    </w:p>
    <w:p w14:paraId="6F7C8623" w14:textId="62B229B4" w:rsidR="001F2AA9" w:rsidRDefault="003A6210" w:rsidP="003A6210">
      <w:pPr>
        <w:pStyle w:val="enumlev1"/>
        <w:rPr>
          <w:b/>
          <w:bCs/>
        </w:rPr>
      </w:pPr>
      <w:r w:rsidRPr="003A6210">
        <w:t>a)</w:t>
      </w:r>
      <w:r w:rsidR="001F2AA9" w:rsidRPr="00002757">
        <w:rPr>
          <w:b/>
          <w:bCs/>
        </w:rPr>
        <w:tab/>
      </w:r>
      <w:bookmarkStart w:id="35" w:name="lt_pId206"/>
      <w:r w:rsidR="001F2AA9" w:rsidRPr="00002757">
        <w:t xml:space="preserve">La UIT debe seguir esforzándose </w:t>
      </w:r>
      <w:r w:rsidR="00D54AAA">
        <w:t xml:space="preserve">[en el marco de su mandato] </w:t>
      </w:r>
      <w:r w:rsidR="001F2AA9" w:rsidRPr="00002757">
        <w:t xml:space="preserve">por facilitar los debates y la colaboración entre las múltiples partes interesadas </w:t>
      </w:r>
      <w:r w:rsidR="00D54AAA">
        <w:t>para hacer frente a</w:t>
      </w:r>
      <w:r w:rsidR="00A81426">
        <w:t xml:space="preserve"> </w:t>
      </w:r>
      <w:r w:rsidR="001F2AA9" w:rsidRPr="00002757">
        <w:t xml:space="preserve">los retos </w:t>
      </w:r>
      <w:r w:rsidR="00D54AAA">
        <w:t xml:space="preserve">relacionados con </w:t>
      </w:r>
      <w:r w:rsidR="001F2AA9" w:rsidRPr="00002757">
        <w:t xml:space="preserve">la ciberseguridad y, en particular, fortalecer su relación con </w:t>
      </w:r>
      <w:r w:rsidR="00735164">
        <w:t xml:space="preserve">todas las </w:t>
      </w:r>
      <w:r w:rsidR="001F2AA9" w:rsidRPr="00002757">
        <w:t>partes interesadas para prestar asistencia a los Estados Miembros en esta materia.</w:t>
      </w:r>
      <w:bookmarkEnd w:id="35"/>
    </w:p>
    <w:p w14:paraId="1732E7C0" w14:textId="196C16C4" w:rsidR="001F2AA9" w:rsidRPr="00002757" w:rsidRDefault="001F2AA9" w:rsidP="001E4318">
      <w:pPr>
        <w:pStyle w:val="enumlev1"/>
        <w:rPr>
          <w:rFonts w:asciiTheme="minorHAnsi" w:hAnsiTheme="minorHAnsi" w:cstheme="minorHAnsi"/>
          <w:szCs w:val="24"/>
        </w:rPr>
      </w:pPr>
      <w:bookmarkStart w:id="36" w:name="lt_pId207"/>
      <w:r w:rsidRPr="003A6210">
        <w:rPr>
          <w:rFonts w:asciiTheme="minorHAnsi" w:hAnsiTheme="minorHAnsi" w:cstheme="minorHAnsi"/>
          <w:szCs w:val="24"/>
        </w:rPr>
        <w:t>b</w:t>
      </w:r>
      <w:bookmarkEnd w:id="36"/>
      <w:r w:rsidRPr="003A6210">
        <w:rPr>
          <w:rFonts w:asciiTheme="minorHAnsi" w:hAnsiTheme="minorHAnsi" w:cstheme="minorHAnsi"/>
          <w:szCs w:val="24"/>
        </w:rPr>
        <w:t>)</w:t>
      </w:r>
      <w:r w:rsidRPr="00002757">
        <w:rPr>
          <w:rFonts w:asciiTheme="minorHAnsi" w:hAnsiTheme="minorHAnsi" w:cstheme="minorHAnsi"/>
          <w:b/>
          <w:bCs/>
          <w:szCs w:val="24"/>
        </w:rPr>
        <w:tab/>
      </w:r>
      <w:bookmarkStart w:id="37" w:name="lt_pId208"/>
      <w:r w:rsidRPr="00002757">
        <w:rPr>
          <w:rFonts w:asciiTheme="minorHAnsi" w:hAnsiTheme="minorHAnsi" w:cstheme="minorHAnsi"/>
          <w:szCs w:val="24"/>
        </w:rPr>
        <w:t>La UIT debe seguir colaborando</w:t>
      </w:r>
      <w:r>
        <w:rPr>
          <w:rFonts w:asciiTheme="minorHAnsi" w:hAnsiTheme="minorHAnsi" w:cstheme="minorHAnsi"/>
          <w:szCs w:val="24"/>
        </w:rPr>
        <w:t xml:space="preserve">, </w:t>
      </w:r>
      <w:r w:rsidR="00735164">
        <w:rPr>
          <w:rFonts w:asciiTheme="minorHAnsi" w:hAnsiTheme="minorHAnsi" w:cstheme="minorHAnsi"/>
          <w:szCs w:val="24"/>
        </w:rPr>
        <w:t xml:space="preserve">en el marco de su mandato, </w:t>
      </w:r>
      <w:r w:rsidRPr="00002757">
        <w:rPr>
          <w:rFonts w:asciiTheme="minorHAnsi" w:hAnsiTheme="minorHAnsi" w:cstheme="minorHAnsi"/>
          <w:szCs w:val="24"/>
        </w:rPr>
        <w:t>con los asociados</w:t>
      </w:r>
      <w:r w:rsidR="00735164">
        <w:rPr>
          <w:rFonts w:asciiTheme="minorHAnsi" w:hAnsiTheme="minorHAnsi" w:cstheme="minorHAnsi"/>
          <w:szCs w:val="24"/>
        </w:rPr>
        <w:t xml:space="preserve"> pertinentes</w:t>
      </w:r>
      <w:r w:rsidR="00A81426">
        <w:rPr>
          <w:rFonts w:asciiTheme="minorHAnsi" w:hAnsiTheme="minorHAnsi" w:cstheme="minorHAnsi"/>
          <w:szCs w:val="24"/>
        </w:rPr>
        <w:t xml:space="preserve"> </w:t>
      </w:r>
      <w:r w:rsidRPr="00002757">
        <w:rPr>
          <w:rFonts w:asciiTheme="minorHAnsi" w:hAnsiTheme="minorHAnsi" w:cstheme="minorHAnsi"/>
          <w:szCs w:val="24"/>
        </w:rPr>
        <w:t>para</w:t>
      </w:r>
      <w:r w:rsidR="00735164">
        <w:rPr>
          <w:rFonts w:asciiTheme="minorHAnsi" w:hAnsiTheme="minorHAnsi" w:cstheme="minorHAnsi"/>
          <w:szCs w:val="24"/>
        </w:rPr>
        <w:t xml:space="preserve"> fomentar la creación y el mantenimiento de</w:t>
      </w:r>
      <w:r w:rsidRPr="00002757">
        <w:rPr>
          <w:rFonts w:asciiTheme="minorHAnsi" w:hAnsiTheme="minorHAnsi" w:cstheme="minorHAnsi"/>
          <w:szCs w:val="24"/>
        </w:rPr>
        <w:t xml:space="preserve"> recursos</w:t>
      </w:r>
      <w:r w:rsidR="00735164">
        <w:rPr>
          <w:rFonts w:asciiTheme="minorHAnsi" w:hAnsiTheme="minorHAnsi" w:cstheme="minorHAnsi"/>
          <w:szCs w:val="24"/>
        </w:rPr>
        <w:t xml:space="preserve"> relativos a la legislación sobre ciberseguridad y c</w:t>
      </w:r>
      <w:r w:rsidRPr="00002757">
        <w:rPr>
          <w:rFonts w:asciiTheme="minorHAnsi" w:hAnsiTheme="minorHAnsi" w:cstheme="minorHAnsi"/>
          <w:szCs w:val="24"/>
        </w:rPr>
        <w:t xml:space="preserve">iberdelincuencia, </w:t>
      </w:r>
      <w:r w:rsidR="00735164">
        <w:rPr>
          <w:rFonts w:asciiTheme="minorHAnsi" w:hAnsiTheme="minorHAnsi" w:cstheme="minorHAnsi"/>
          <w:szCs w:val="24"/>
        </w:rPr>
        <w:t xml:space="preserve">a fin de </w:t>
      </w:r>
      <w:r w:rsidRPr="00002757">
        <w:rPr>
          <w:rFonts w:asciiTheme="minorHAnsi" w:hAnsiTheme="minorHAnsi" w:cstheme="minorHAnsi"/>
          <w:szCs w:val="24"/>
        </w:rPr>
        <w:t xml:space="preserve">ayudar a los Estados Miembros a entender los </w:t>
      </w:r>
      <w:r w:rsidRPr="00002757">
        <w:rPr>
          <w:bCs/>
        </w:rPr>
        <w:t>aspectos</w:t>
      </w:r>
      <w:r w:rsidRPr="00002757">
        <w:rPr>
          <w:rFonts w:asciiTheme="minorHAnsi" w:hAnsiTheme="minorHAnsi" w:cstheme="minorHAnsi"/>
          <w:szCs w:val="24"/>
        </w:rPr>
        <w:t xml:space="preserve"> jurídicos de la ciberseguridad, </w:t>
      </w:r>
      <w:r w:rsidR="00735164">
        <w:rPr>
          <w:rFonts w:asciiTheme="minorHAnsi" w:hAnsiTheme="minorHAnsi" w:cstheme="minorHAnsi"/>
          <w:szCs w:val="24"/>
        </w:rPr>
        <w:t xml:space="preserve">facilitando </w:t>
      </w:r>
      <w:r w:rsidRPr="00002757">
        <w:rPr>
          <w:rFonts w:asciiTheme="minorHAnsi" w:hAnsiTheme="minorHAnsi" w:cstheme="minorHAnsi"/>
          <w:szCs w:val="24"/>
        </w:rPr>
        <w:t xml:space="preserve">al mismo tiempo el intercambio de experiencias y conocimientos entre los Estados Miembros </w:t>
      </w:r>
      <w:r w:rsidR="00735164">
        <w:rPr>
          <w:rFonts w:asciiTheme="minorHAnsi" w:hAnsiTheme="minorHAnsi" w:cstheme="minorHAnsi"/>
          <w:szCs w:val="24"/>
        </w:rPr>
        <w:t xml:space="preserve">y respaldando </w:t>
      </w:r>
      <w:r w:rsidRPr="00002757">
        <w:rPr>
          <w:rFonts w:asciiTheme="minorHAnsi" w:hAnsiTheme="minorHAnsi" w:cstheme="minorHAnsi"/>
          <w:szCs w:val="24"/>
        </w:rPr>
        <w:t xml:space="preserve">sus esfuerzos en la elaboración de marcos en esta materia, </w:t>
      </w:r>
      <w:r w:rsidR="00163038">
        <w:rPr>
          <w:rFonts w:asciiTheme="minorHAnsi" w:hAnsiTheme="minorHAnsi" w:cstheme="minorHAnsi"/>
          <w:szCs w:val="24"/>
        </w:rPr>
        <w:t>[incluidos los marcos normativos internacionales]</w:t>
      </w:r>
      <w:r w:rsidRPr="00002757">
        <w:rPr>
          <w:rFonts w:asciiTheme="minorHAnsi" w:hAnsiTheme="minorHAnsi" w:cstheme="minorHAnsi"/>
          <w:szCs w:val="24"/>
        </w:rPr>
        <w:t>.</w:t>
      </w:r>
    </w:p>
    <w:p w14:paraId="16F16E1E" w14:textId="524FE71C" w:rsidR="001F2AA9" w:rsidRPr="00F46E47" w:rsidRDefault="001F2AA9" w:rsidP="003A6210">
      <w:pPr>
        <w:pStyle w:val="enumlev1"/>
        <w:rPr>
          <w:rFonts w:asciiTheme="minorHAnsi" w:hAnsiTheme="minorHAnsi" w:cstheme="minorHAnsi"/>
          <w:szCs w:val="24"/>
        </w:rPr>
      </w:pPr>
      <w:bookmarkStart w:id="38" w:name="lt_pId209"/>
      <w:bookmarkEnd w:id="37"/>
      <w:r w:rsidRPr="003A6210">
        <w:rPr>
          <w:rFonts w:asciiTheme="minorHAnsi" w:hAnsiTheme="minorHAnsi" w:cstheme="minorHAnsi"/>
          <w:szCs w:val="24"/>
        </w:rPr>
        <w:lastRenderedPageBreak/>
        <w:t>c</w:t>
      </w:r>
      <w:bookmarkEnd w:id="38"/>
      <w:r w:rsidRPr="003A6210">
        <w:rPr>
          <w:rFonts w:asciiTheme="minorHAnsi" w:hAnsiTheme="minorHAnsi" w:cstheme="minorHAnsi"/>
          <w:szCs w:val="24"/>
        </w:rPr>
        <w:t>)</w:t>
      </w:r>
      <w:r w:rsidRPr="00002757">
        <w:rPr>
          <w:rFonts w:asciiTheme="minorHAnsi" w:hAnsiTheme="minorHAnsi" w:cstheme="minorHAnsi"/>
          <w:szCs w:val="24"/>
        </w:rPr>
        <w:tab/>
      </w:r>
      <w:bookmarkStart w:id="39" w:name="lt_pId210"/>
      <w:r w:rsidRPr="00002757">
        <w:rPr>
          <w:rFonts w:asciiTheme="minorHAnsi" w:hAnsiTheme="minorHAnsi" w:cstheme="minorHAnsi"/>
          <w:szCs w:val="24"/>
        </w:rPr>
        <w:t xml:space="preserve">La UIT, en colaboración con </w:t>
      </w:r>
      <w:r w:rsidR="006D6895">
        <w:rPr>
          <w:rFonts w:asciiTheme="minorHAnsi" w:hAnsiTheme="minorHAnsi" w:cstheme="minorHAnsi"/>
          <w:szCs w:val="24"/>
        </w:rPr>
        <w:t xml:space="preserve">todas las partes interesadas </w:t>
      </w:r>
      <w:r w:rsidR="009E0031" w:rsidRPr="00002757">
        <w:rPr>
          <w:rFonts w:asciiTheme="minorHAnsi" w:hAnsiTheme="minorHAnsi" w:cstheme="minorHAnsi"/>
          <w:szCs w:val="24"/>
        </w:rPr>
        <w:t>apropiad</w:t>
      </w:r>
      <w:r w:rsidR="009E0031">
        <w:rPr>
          <w:rFonts w:asciiTheme="minorHAnsi" w:hAnsiTheme="minorHAnsi" w:cstheme="minorHAnsi"/>
          <w:szCs w:val="24"/>
        </w:rPr>
        <w:t>a</w:t>
      </w:r>
      <w:r w:rsidR="009E0031" w:rsidRPr="00002757">
        <w:rPr>
          <w:rFonts w:asciiTheme="minorHAnsi" w:hAnsiTheme="minorHAnsi" w:cstheme="minorHAnsi"/>
          <w:szCs w:val="24"/>
        </w:rPr>
        <w:t>s</w:t>
      </w:r>
      <w:r w:rsidRPr="00002757">
        <w:rPr>
          <w:rFonts w:asciiTheme="minorHAnsi" w:hAnsiTheme="minorHAnsi" w:cstheme="minorHAnsi"/>
          <w:szCs w:val="24"/>
        </w:rPr>
        <w:t xml:space="preserve">, debería promover una mejor comprensión de los retos y riesgos </w:t>
      </w:r>
      <w:r w:rsidR="006D6895">
        <w:rPr>
          <w:rFonts w:asciiTheme="minorHAnsi" w:hAnsiTheme="minorHAnsi" w:cstheme="minorHAnsi"/>
          <w:szCs w:val="24"/>
        </w:rPr>
        <w:t xml:space="preserve">jurídicos </w:t>
      </w:r>
      <w:r w:rsidRPr="00002757">
        <w:rPr>
          <w:rFonts w:asciiTheme="minorHAnsi" w:hAnsiTheme="minorHAnsi" w:cstheme="minorHAnsi"/>
          <w:szCs w:val="24"/>
        </w:rPr>
        <w:t xml:space="preserve">relacionados con la </w:t>
      </w:r>
      <w:r w:rsidRPr="00F46E47">
        <w:rPr>
          <w:rFonts w:asciiTheme="minorHAnsi" w:hAnsiTheme="minorHAnsi" w:cstheme="minorHAnsi"/>
          <w:szCs w:val="24"/>
        </w:rPr>
        <w:t>ciberseguridad que plantean las nuevas tecnologías, y facilitar el intercambio de estudios de casos y buenas prácticas</w:t>
      </w:r>
      <w:r w:rsidR="006D6895" w:rsidRPr="00F46E47">
        <w:rPr>
          <w:rFonts w:asciiTheme="minorHAnsi" w:hAnsiTheme="minorHAnsi" w:cstheme="minorHAnsi"/>
          <w:szCs w:val="24"/>
        </w:rPr>
        <w:t xml:space="preserve"> </w:t>
      </w:r>
      <w:r w:rsidRPr="00F46E47">
        <w:rPr>
          <w:rFonts w:asciiTheme="minorHAnsi" w:hAnsiTheme="minorHAnsi" w:cstheme="minorHAnsi"/>
          <w:szCs w:val="24"/>
        </w:rPr>
        <w:t xml:space="preserve">a nivel nacional, </w:t>
      </w:r>
      <w:r w:rsidRPr="00824C56">
        <w:rPr>
          <w:bCs/>
          <w:szCs w:val="24"/>
        </w:rPr>
        <w:t>regional</w:t>
      </w:r>
      <w:r w:rsidRPr="00F46E47">
        <w:rPr>
          <w:rFonts w:asciiTheme="minorHAnsi" w:hAnsiTheme="minorHAnsi" w:cstheme="minorHAnsi"/>
          <w:szCs w:val="24"/>
        </w:rPr>
        <w:t xml:space="preserve"> e internacional.</w:t>
      </w:r>
      <w:bookmarkEnd w:id="39"/>
    </w:p>
    <w:p w14:paraId="5E3848ED" w14:textId="1AA00664" w:rsidR="00D82393" w:rsidRPr="00F46E47" w:rsidRDefault="001F2AA9" w:rsidP="003A6210">
      <w:pPr>
        <w:pStyle w:val="enumlev1"/>
        <w:rPr>
          <w:rFonts w:asciiTheme="minorHAnsi" w:hAnsiTheme="minorHAnsi" w:cstheme="minorHAnsi"/>
          <w:szCs w:val="24"/>
        </w:rPr>
      </w:pPr>
      <w:bookmarkStart w:id="40" w:name="lt_pId211"/>
      <w:r w:rsidRPr="003A6210">
        <w:rPr>
          <w:rFonts w:asciiTheme="minorHAnsi" w:hAnsiTheme="minorHAnsi" w:cstheme="minorHAnsi"/>
          <w:iCs/>
          <w:szCs w:val="24"/>
        </w:rPr>
        <w:t>d</w:t>
      </w:r>
      <w:bookmarkEnd w:id="40"/>
      <w:r w:rsidRPr="003A6210">
        <w:rPr>
          <w:rFonts w:asciiTheme="minorHAnsi" w:hAnsiTheme="minorHAnsi" w:cstheme="minorHAnsi"/>
          <w:iCs/>
          <w:szCs w:val="24"/>
        </w:rPr>
        <w:t>)</w:t>
      </w:r>
      <w:r w:rsidRPr="00F46E47">
        <w:rPr>
          <w:rFonts w:asciiTheme="minorHAnsi" w:hAnsiTheme="minorHAnsi" w:cstheme="minorHAnsi"/>
          <w:szCs w:val="24"/>
        </w:rPr>
        <w:tab/>
      </w:r>
      <w:r w:rsidR="009E0031" w:rsidRPr="00F46E47">
        <w:rPr>
          <w:rFonts w:asciiTheme="minorHAnsi" w:hAnsiTheme="minorHAnsi" w:cstheme="minorHAnsi"/>
          <w:szCs w:val="24"/>
        </w:rPr>
        <w:t>[</w:t>
      </w:r>
      <w:r w:rsidRPr="00F46E47">
        <w:rPr>
          <w:rFonts w:asciiTheme="minorHAnsi" w:hAnsiTheme="minorHAnsi" w:cstheme="minorHAnsi"/>
          <w:szCs w:val="24"/>
        </w:rPr>
        <w:t xml:space="preserve">También es necesario que todas las partes interesadas adopten medidas jurídicas apropiadas para aplicar programas eficaces que impidan o prohíban la difusión de material en línea relacionado con la explotación y el abuso sexuales de los niños, incluida la adopción de medidas preventivas para detectar, obstaculizar y desmantelar las redes, organizaciones o estructuras utilizadas para la producción y/o distribución de </w:t>
      </w:r>
      <w:r w:rsidRPr="00E12CEE">
        <w:rPr>
          <w:szCs w:val="24"/>
        </w:rPr>
        <w:t>material</w:t>
      </w:r>
      <w:r w:rsidRPr="00E12CEE">
        <w:rPr>
          <w:rFonts w:asciiTheme="minorHAnsi" w:hAnsiTheme="minorHAnsi" w:cstheme="minorHAnsi"/>
          <w:szCs w:val="24"/>
        </w:rPr>
        <w:t xml:space="preserve"> </w:t>
      </w:r>
      <w:r w:rsidRPr="00F46E47">
        <w:rPr>
          <w:rFonts w:asciiTheme="minorHAnsi" w:hAnsiTheme="minorHAnsi" w:cstheme="minorHAnsi"/>
          <w:szCs w:val="24"/>
        </w:rPr>
        <w:t xml:space="preserve">en línea relacionado con el abuso sexual y de otro tipo de los niños, y para establecer mecanismos que permitan detectar y enjuiciar a los </w:t>
      </w:r>
      <w:r w:rsidR="006D6895" w:rsidRPr="00F46E47">
        <w:rPr>
          <w:rFonts w:asciiTheme="minorHAnsi" w:hAnsiTheme="minorHAnsi" w:cstheme="minorHAnsi"/>
          <w:szCs w:val="24"/>
        </w:rPr>
        <w:t xml:space="preserve">autores de esos delitos y, al mismo tiempo, identificar y proteger </w:t>
      </w:r>
      <w:r w:rsidRPr="00F46E47">
        <w:rPr>
          <w:rFonts w:asciiTheme="minorHAnsi" w:hAnsiTheme="minorHAnsi" w:cstheme="minorHAnsi"/>
          <w:szCs w:val="24"/>
        </w:rPr>
        <w:t xml:space="preserve">a las víctimas. </w:t>
      </w:r>
      <w:r w:rsidR="004B227D">
        <w:rPr>
          <w:rFonts w:asciiTheme="minorHAnsi" w:hAnsiTheme="minorHAnsi" w:cstheme="minorHAnsi"/>
          <w:szCs w:val="24"/>
        </w:rPr>
        <w:t>a</w:t>
      </w:r>
      <w:r w:rsidRPr="00F46E47">
        <w:rPr>
          <w:rFonts w:asciiTheme="minorHAnsi" w:hAnsiTheme="minorHAnsi" w:cstheme="minorHAnsi"/>
          <w:szCs w:val="24"/>
        </w:rPr>
        <w:t xml:space="preserve"> este respecto,</w:t>
      </w:r>
      <w:r w:rsidR="009E0031" w:rsidRPr="00F46E47">
        <w:rPr>
          <w:rFonts w:asciiTheme="minorHAnsi" w:hAnsiTheme="minorHAnsi" w:cstheme="minorHAnsi"/>
          <w:szCs w:val="24"/>
        </w:rPr>
        <w:t>]</w:t>
      </w:r>
      <w:r w:rsidRPr="00F46E47">
        <w:rPr>
          <w:rFonts w:asciiTheme="minorHAnsi" w:hAnsiTheme="minorHAnsi" w:cstheme="minorHAnsi"/>
          <w:szCs w:val="24"/>
        </w:rPr>
        <w:t xml:space="preserve"> la UIT debería seguir fortaleciendo el programa de protección de la infancia en línea</w:t>
      </w:r>
      <w:r w:rsidR="006D6895" w:rsidRPr="00F46E47">
        <w:rPr>
          <w:rFonts w:asciiTheme="minorHAnsi" w:hAnsiTheme="minorHAnsi" w:cstheme="minorHAnsi"/>
          <w:szCs w:val="24"/>
        </w:rPr>
        <w:t xml:space="preserve">, que es una </w:t>
      </w:r>
      <w:r w:rsidRPr="00F46E47">
        <w:rPr>
          <w:rFonts w:asciiTheme="minorHAnsi" w:hAnsiTheme="minorHAnsi" w:cstheme="minorHAnsi"/>
          <w:szCs w:val="24"/>
        </w:rPr>
        <w:t xml:space="preserve">plataforma </w:t>
      </w:r>
      <w:r w:rsidR="006D6895" w:rsidRPr="00F46E47">
        <w:rPr>
          <w:rFonts w:asciiTheme="minorHAnsi" w:hAnsiTheme="minorHAnsi" w:cstheme="minorHAnsi"/>
          <w:szCs w:val="24"/>
        </w:rPr>
        <w:t xml:space="preserve">que permite </w:t>
      </w:r>
      <w:r w:rsidRPr="00F46E47">
        <w:rPr>
          <w:rFonts w:asciiTheme="minorHAnsi" w:hAnsiTheme="minorHAnsi" w:cstheme="minorHAnsi"/>
          <w:szCs w:val="24"/>
        </w:rPr>
        <w:t>trabajar con los asociados y las partes interesadas a fin de promover el intercambio de conocimientos, información</w:t>
      </w:r>
      <w:r w:rsidR="003C3FFE" w:rsidRPr="00F46E47">
        <w:rPr>
          <w:rFonts w:asciiTheme="minorHAnsi" w:hAnsiTheme="minorHAnsi" w:cstheme="minorHAnsi"/>
          <w:szCs w:val="24"/>
        </w:rPr>
        <w:t xml:space="preserve"> y</w:t>
      </w:r>
      <w:r w:rsidRPr="00F46E47">
        <w:rPr>
          <w:rFonts w:asciiTheme="minorHAnsi" w:hAnsiTheme="minorHAnsi" w:cstheme="minorHAnsi"/>
          <w:szCs w:val="24"/>
        </w:rPr>
        <w:t xml:space="preserve"> actividades, </w:t>
      </w:r>
      <w:r w:rsidR="003C3FFE" w:rsidRPr="00F46E47">
        <w:rPr>
          <w:rFonts w:asciiTheme="minorHAnsi" w:hAnsiTheme="minorHAnsi" w:cstheme="minorHAnsi"/>
          <w:szCs w:val="24"/>
        </w:rPr>
        <w:t>(</w:t>
      </w:r>
      <w:r w:rsidRPr="00F46E47">
        <w:rPr>
          <w:rFonts w:asciiTheme="minorHAnsi" w:hAnsiTheme="minorHAnsi" w:cstheme="minorHAnsi"/>
          <w:szCs w:val="24"/>
        </w:rPr>
        <w:t xml:space="preserve">incluidas </w:t>
      </w:r>
      <w:r w:rsidR="003C3FFE" w:rsidRPr="00F46E47">
        <w:rPr>
          <w:rFonts w:asciiTheme="minorHAnsi" w:hAnsiTheme="minorHAnsi" w:cstheme="minorHAnsi"/>
          <w:szCs w:val="24"/>
        </w:rPr>
        <w:t xml:space="preserve">las relacionadas con </w:t>
      </w:r>
      <w:r w:rsidRPr="00F46E47">
        <w:rPr>
          <w:rFonts w:asciiTheme="minorHAnsi" w:hAnsiTheme="minorHAnsi" w:cstheme="minorHAnsi"/>
          <w:szCs w:val="24"/>
        </w:rPr>
        <w:t>las medidas jurídicas</w:t>
      </w:r>
      <w:r w:rsidR="003C3FFE" w:rsidRPr="00F46E47">
        <w:rPr>
          <w:rFonts w:asciiTheme="minorHAnsi" w:hAnsiTheme="minorHAnsi" w:cstheme="minorHAnsi"/>
          <w:szCs w:val="24"/>
        </w:rPr>
        <w:t>)</w:t>
      </w:r>
      <w:r w:rsidRPr="00F46E47">
        <w:rPr>
          <w:rFonts w:asciiTheme="minorHAnsi" w:hAnsiTheme="minorHAnsi" w:cstheme="minorHAnsi"/>
          <w:szCs w:val="24"/>
        </w:rPr>
        <w:t xml:space="preserve"> que puedan facilitar y </w:t>
      </w:r>
      <w:r w:rsidR="003C3FFE" w:rsidRPr="00F46E47">
        <w:rPr>
          <w:rFonts w:asciiTheme="minorHAnsi" w:hAnsiTheme="minorHAnsi" w:cstheme="minorHAnsi"/>
          <w:szCs w:val="24"/>
        </w:rPr>
        <w:t xml:space="preserve">servir de apoyo </w:t>
      </w:r>
      <w:r w:rsidRPr="00F46E47">
        <w:rPr>
          <w:rFonts w:asciiTheme="minorHAnsi" w:hAnsiTheme="minorHAnsi" w:cstheme="minorHAnsi"/>
          <w:szCs w:val="24"/>
        </w:rPr>
        <w:t xml:space="preserve">a las medidas </w:t>
      </w:r>
      <w:r w:rsidR="001824B8" w:rsidRPr="00F46E47">
        <w:rPr>
          <w:rFonts w:asciiTheme="minorHAnsi" w:hAnsiTheme="minorHAnsi" w:cstheme="minorHAnsi"/>
          <w:szCs w:val="24"/>
        </w:rPr>
        <w:t xml:space="preserve">adoptadas por </w:t>
      </w:r>
      <w:r w:rsidRPr="00F46E47">
        <w:rPr>
          <w:rFonts w:asciiTheme="minorHAnsi" w:hAnsiTheme="minorHAnsi" w:cstheme="minorHAnsi"/>
          <w:szCs w:val="24"/>
        </w:rPr>
        <w:t>los países en este ámbito fundamental.</w:t>
      </w:r>
    </w:p>
    <w:p w14:paraId="60108411" w14:textId="62345009" w:rsidR="00D82393" w:rsidRPr="006E77F5" w:rsidRDefault="00D82393" w:rsidP="006E77F5">
      <w:pPr>
        <w:pStyle w:val="Heading1"/>
      </w:pPr>
      <w:bookmarkStart w:id="41" w:name="lt_pId222"/>
      <w:bookmarkStart w:id="42" w:name="_Toc37331405"/>
      <w:bookmarkStart w:id="43" w:name="_Toc41378335"/>
      <w:r w:rsidRPr="006E77F5">
        <w:t>Sección 3</w:t>
      </w:r>
      <w:bookmarkStart w:id="44" w:name="lt_pId223"/>
      <w:bookmarkEnd w:id="41"/>
      <w:r w:rsidR="00322361" w:rsidRPr="006E77F5">
        <w:t>.</w:t>
      </w:r>
      <w:r w:rsidR="00B91EC7" w:rsidRPr="006E77F5">
        <w:t xml:space="preserve"> </w:t>
      </w:r>
      <w:r w:rsidRPr="006E77F5">
        <w:t>Pilar 2</w:t>
      </w:r>
      <w:r w:rsidR="00B91EC7" w:rsidRPr="006E77F5">
        <w:t xml:space="preserve"> –</w:t>
      </w:r>
      <w:r w:rsidRPr="006E77F5">
        <w:t xml:space="preserve"> </w:t>
      </w:r>
      <w:bookmarkEnd w:id="42"/>
      <w:bookmarkEnd w:id="44"/>
      <w:r w:rsidRPr="006E77F5">
        <w:t>Medidas técnicas y de procedimiento</w:t>
      </w:r>
      <w:bookmarkEnd w:id="43"/>
      <w:r w:rsidRPr="006E77F5">
        <w:t xml:space="preserve"> </w:t>
      </w:r>
    </w:p>
    <w:p w14:paraId="01ABCFEA" w14:textId="61C6C693" w:rsidR="00B91EC7" w:rsidRPr="00F46E47" w:rsidRDefault="00B91EC7" w:rsidP="003A6210">
      <w:r w:rsidRPr="00F46E47">
        <w:rPr>
          <w:b/>
          <w:bCs/>
          <w:color w:val="000000" w:themeColor="text1"/>
        </w:rPr>
        <w:t>3</w:t>
      </w:r>
      <w:r w:rsidRPr="00F46E47">
        <w:tab/>
      </w:r>
      <w:bookmarkStart w:id="45" w:name="lt_pId267"/>
      <w:r w:rsidRPr="00F46E47">
        <w:t xml:space="preserve">Las Recomendaciones relacionadas con el Pilar 2 del Informe del GEAN de 2008 siguen siendo válidas. </w:t>
      </w:r>
      <w:r w:rsidR="009E0031" w:rsidRPr="00A46090">
        <w:t xml:space="preserve">Por consiguiente, </w:t>
      </w:r>
      <w:r w:rsidRPr="00F46E47">
        <w:t>se proponen las siguientes directrices para el Pilar 2:</w:t>
      </w:r>
      <w:bookmarkEnd w:id="45"/>
    </w:p>
    <w:p w14:paraId="3753E846" w14:textId="439FF866" w:rsidR="00B91EC7" w:rsidRDefault="00B91EC7" w:rsidP="003A6210">
      <w:pPr>
        <w:pStyle w:val="enumlev1"/>
        <w:rPr>
          <w:szCs w:val="24"/>
        </w:rPr>
      </w:pPr>
      <w:bookmarkStart w:id="46" w:name="lt_pId269"/>
      <w:r w:rsidRPr="003A6210">
        <w:rPr>
          <w:szCs w:val="24"/>
        </w:rPr>
        <w:t>a</w:t>
      </w:r>
      <w:bookmarkEnd w:id="46"/>
      <w:r w:rsidRPr="003A6210">
        <w:rPr>
          <w:szCs w:val="24"/>
        </w:rPr>
        <w:t>)</w:t>
      </w:r>
      <w:r w:rsidRPr="00824C56">
        <w:rPr>
          <w:szCs w:val="24"/>
        </w:rPr>
        <w:tab/>
      </w:r>
      <w:bookmarkStart w:id="47" w:name="lt_pId270"/>
      <w:r w:rsidRPr="00824C56">
        <w:rPr>
          <w:szCs w:val="24"/>
        </w:rPr>
        <w:t xml:space="preserve">Las Comisiones de Estudio de la UIT deberían centrarse en tecnologías emergentes </w:t>
      </w:r>
      <w:r w:rsidR="006868E6" w:rsidRPr="00A46090">
        <w:rPr>
          <w:szCs w:val="24"/>
        </w:rPr>
        <w:t xml:space="preserve">relacionadas con las telecomunicaciones/TIC </w:t>
      </w:r>
      <w:r w:rsidRPr="00824C56">
        <w:rPr>
          <w:szCs w:val="24"/>
        </w:rPr>
        <w:t xml:space="preserve">a fin de estudiar y </w:t>
      </w:r>
      <w:r w:rsidR="006868E6" w:rsidRPr="00A46090">
        <w:rPr>
          <w:szCs w:val="24"/>
        </w:rPr>
        <w:t>proponer</w:t>
      </w:r>
      <w:r w:rsidRPr="00824C56">
        <w:rPr>
          <w:szCs w:val="24"/>
        </w:rPr>
        <w:t xml:space="preserve"> directrices de </w:t>
      </w:r>
      <w:r w:rsidR="006868E6" w:rsidRPr="00A46090">
        <w:rPr>
          <w:szCs w:val="24"/>
        </w:rPr>
        <w:t>en materia de ciber</w:t>
      </w:r>
      <w:r w:rsidR="006868E6" w:rsidRPr="00824C56">
        <w:rPr>
          <w:szCs w:val="24"/>
        </w:rPr>
        <w:t>seguridad</w:t>
      </w:r>
      <w:r w:rsidR="006868E6" w:rsidRPr="00A46090">
        <w:rPr>
          <w:szCs w:val="24"/>
        </w:rPr>
        <w:t xml:space="preserve"> y Recomendaciones para general confianza y seguridad en </w:t>
      </w:r>
      <w:r w:rsidRPr="00824C56">
        <w:rPr>
          <w:szCs w:val="24"/>
        </w:rPr>
        <w:t xml:space="preserve">la utilización de </w:t>
      </w:r>
      <w:r w:rsidR="006868E6" w:rsidRPr="00A46090">
        <w:rPr>
          <w:szCs w:val="24"/>
        </w:rPr>
        <w:t>esas</w:t>
      </w:r>
      <w:r w:rsidR="00027A4E">
        <w:rPr>
          <w:szCs w:val="24"/>
        </w:rPr>
        <w:t xml:space="preserve"> </w:t>
      </w:r>
      <w:r w:rsidRPr="00824C56">
        <w:rPr>
          <w:szCs w:val="24"/>
        </w:rPr>
        <w:t>tecnologías, y recomendar a los Estados Miembros que las apliquen voluntaria y oportunamente</w:t>
      </w:r>
      <w:r w:rsidR="00A632CA">
        <w:rPr>
          <w:szCs w:val="24"/>
        </w:rPr>
        <w:t>.</w:t>
      </w:r>
    </w:p>
    <w:p w14:paraId="29029BFA" w14:textId="59422A13" w:rsidR="00B91EC7" w:rsidRPr="00824C56" w:rsidRDefault="00B91EC7" w:rsidP="003A6210">
      <w:pPr>
        <w:pStyle w:val="enumlev1"/>
        <w:rPr>
          <w:szCs w:val="24"/>
        </w:rPr>
      </w:pPr>
      <w:bookmarkStart w:id="48" w:name="lt_pId271"/>
      <w:bookmarkEnd w:id="47"/>
      <w:r w:rsidRPr="003A6210">
        <w:rPr>
          <w:szCs w:val="24"/>
        </w:rPr>
        <w:t>b</w:t>
      </w:r>
      <w:bookmarkEnd w:id="48"/>
      <w:r w:rsidRPr="003A6210">
        <w:rPr>
          <w:szCs w:val="24"/>
        </w:rPr>
        <w:t>)</w:t>
      </w:r>
      <w:r w:rsidRPr="00824C56">
        <w:rPr>
          <w:szCs w:val="24"/>
        </w:rPr>
        <w:tab/>
      </w:r>
      <w:bookmarkStart w:id="49" w:name="lt_pId272"/>
      <w:r w:rsidRPr="00824C56">
        <w:rPr>
          <w:szCs w:val="24"/>
        </w:rPr>
        <w:t xml:space="preserve">Debería crearse un mecanismo </w:t>
      </w:r>
      <w:r w:rsidR="006868E6" w:rsidRPr="00A46090">
        <w:rPr>
          <w:szCs w:val="24"/>
        </w:rPr>
        <w:t xml:space="preserve">que posibilite la </w:t>
      </w:r>
      <w:r w:rsidRPr="00824C56">
        <w:rPr>
          <w:szCs w:val="24"/>
        </w:rPr>
        <w:t xml:space="preserve">cooperación </w:t>
      </w:r>
      <w:r w:rsidR="006868E6" w:rsidRPr="00A46090">
        <w:rPr>
          <w:szCs w:val="24"/>
        </w:rPr>
        <w:t xml:space="preserve">estrecha </w:t>
      </w:r>
      <w:r w:rsidRPr="00824C56">
        <w:rPr>
          <w:szCs w:val="24"/>
        </w:rPr>
        <w:t>entre las diversas Comisiones de Estudio del UIT-T en lo que respecta al estudio de</w:t>
      </w:r>
      <w:r w:rsidR="00027A4E">
        <w:rPr>
          <w:szCs w:val="24"/>
        </w:rPr>
        <w:t xml:space="preserve"> </w:t>
      </w:r>
      <w:r w:rsidRPr="00824C56">
        <w:rPr>
          <w:szCs w:val="24"/>
        </w:rPr>
        <w:t xml:space="preserve">cuestiones relacionadas con la </w:t>
      </w:r>
      <w:r w:rsidR="006868E6" w:rsidRPr="00A46090">
        <w:rPr>
          <w:szCs w:val="24"/>
        </w:rPr>
        <w:t>ciber</w:t>
      </w:r>
      <w:r w:rsidRPr="00824C56">
        <w:rPr>
          <w:szCs w:val="24"/>
        </w:rPr>
        <w:t>seguridad, en el que la CE 17 desempeñe una función coordinadora y rectora, de modo que se mantenga el mayor grado posible de seguridad de extremo a extremo a lo largo del proceso de normalización de todos los componentes e interfaces de los productos de las TIC.</w:t>
      </w:r>
    </w:p>
    <w:p w14:paraId="6426886E" w14:textId="78E88BB6" w:rsidR="00B91EC7" w:rsidRPr="00824C56" w:rsidRDefault="00B91EC7" w:rsidP="003A6210">
      <w:pPr>
        <w:pStyle w:val="enumlev1"/>
        <w:rPr>
          <w:szCs w:val="24"/>
        </w:rPr>
      </w:pPr>
      <w:bookmarkStart w:id="50" w:name="lt_pId273"/>
      <w:bookmarkEnd w:id="49"/>
      <w:r w:rsidRPr="003A6210">
        <w:rPr>
          <w:szCs w:val="24"/>
        </w:rPr>
        <w:t>c</w:t>
      </w:r>
      <w:bookmarkEnd w:id="50"/>
      <w:r w:rsidRPr="003A6210">
        <w:rPr>
          <w:szCs w:val="24"/>
        </w:rPr>
        <w:t>)</w:t>
      </w:r>
      <w:r w:rsidRPr="00824C56">
        <w:rPr>
          <w:szCs w:val="24"/>
        </w:rPr>
        <w:tab/>
      </w:r>
      <w:bookmarkStart w:id="51" w:name="lt_pId274"/>
      <w:r w:rsidRPr="00824C56">
        <w:rPr>
          <w:szCs w:val="24"/>
        </w:rPr>
        <w:t>Se debe alentar una estrecha coordinación y colaboración</w:t>
      </w:r>
      <w:r w:rsidR="00027A4E">
        <w:rPr>
          <w:szCs w:val="24"/>
        </w:rPr>
        <w:t xml:space="preserve"> </w:t>
      </w:r>
      <w:r w:rsidRPr="00824C56">
        <w:rPr>
          <w:szCs w:val="24"/>
        </w:rPr>
        <w:t xml:space="preserve">de la UIT con otras </w:t>
      </w:r>
      <w:r w:rsidR="004D68BB" w:rsidRPr="00A46090">
        <w:rPr>
          <w:szCs w:val="24"/>
        </w:rPr>
        <w:t xml:space="preserve">organizaciones de normalización </w:t>
      </w:r>
      <w:r w:rsidRPr="00824C56">
        <w:rPr>
          <w:szCs w:val="24"/>
        </w:rPr>
        <w:t xml:space="preserve">sobre </w:t>
      </w:r>
      <w:r w:rsidR="004D68BB" w:rsidRPr="00A46090">
        <w:rPr>
          <w:szCs w:val="24"/>
        </w:rPr>
        <w:t>una</w:t>
      </w:r>
      <w:r w:rsidRPr="00824C56">
        <w:rPr>
          <w:szCs w:val="24"/>
        </w:rPr>
        <w:t xml:space="preserve"> base de reciprocidad, para garantizar que se </w:t>
      </w:r>
      <w:r w:rsidR="009E0031" w:rsidRPr="00824C56">
        <w:rPr>
          <w:szCs w:val="24"/>
        </w:rPr>
        <w:t>mantenga</w:t>
      </w:r>
      <w:r w:rsidRPr="00824C56">
        <w:rPr>
          <w:szCs w:val="24"/>
        </w:rPr>
        <w:t xml:space="preserve"> la seguridad de extremo a extremo de los productos de las diversas aplicaciones y servicios a lo largo de todo el ciclo del producto.</w:t>
      </w:r>
    </w:p>
    <w:p w14:paraId="354CD029" w14:textId="1E65067F" w:rsidR="00B91EC7" w:rsidRPr="00824C56" w:rsidRDefault="00B91EC7" w:rsidP="003A6210">
      <w:pPr>
        <w:pStyle w:val="enumlev1"/>
        <w:rPr>
          <w:szCs w:val="24"/>
        </w:rPr>
      </w:pPr>
      <w:bookmarkStart w:id="52" w:name="lt_pId275"/>
      <w:bookmarkEnd w:id="51"/>
      <w:r w:rsidRPr="003A6210">
        <w:rPr>
          <w:szCs w:val="24"/>
        </w:rPr>
        <w:t>d</w:t>
      </w:r>
      <w:bookmarkEnd w:id="52"/>
      <w:r w:rsidRPr="003A6210">
        <w:rPr>
          <w:szCs w:val="24"/>
        </w:rPr>
        <w:t>)</w:t>
      </w:r>
      <w:r w:rsidRPr="00824C56">
        <w:rPr>
          <w:szCs w:val="24"/>
        </w:rPr>
        <w:tab/>
      </w:r>
      <w:bookmarkStart w:id="53" w:name="lt_pId276"/>
      <w:r w:rsidRPr="00824C56">
        <w:rPr>
          <w:szCs w:val="24"/>
        </w:rPr>
        <w:t>La UIT debería seguir divulgando normas de seguridad de las TIC a nivel mundial</w:t>
      </w:r>
      <w:r w:rsidR="004D68BB" w:rsidRPr="00A46090">
        <w:rPr>
          <w:szCs w:val="24"/>
        </w:rPr>
        <w:t xml:space="preserve"> y colaborar con </w:t>
      </w:r>
      <w:r w:rsidRPr="00824C56">
        <w:rPr>
          <w:szCs w:val="24"/>
        </w:rPr>
        <w:t>otras organizaciones de normalización y grupos industriales</w:t>
      </w:r>
      <w:r w:rsidR="004D68BB" w:rsidRPr="00A46090">
        <w:rPr>
          <w:szCs w:val="24"/>
        </w:rPr>
        <w:t xml:space="preserve">, </w:t>
      </w:r>
      <w:r w:rsidR="00290CF2" w:rsidRPr="00A46090">
        <w:rPr>
          <w:szCs w:val="24"/>
        </w:rPr>
        <w:t xml:space="preserve">alentándolos </w:t>
      </w:r>
      <w:r w:rsidRPr="00824C56">
        <w:rPr>
          <w:szCs w:val="24"/>
        </w:rPr>
        <w:t>a que presenten sus normas sobre medidas técnicas y de procedimiento al UIT-T</w:t>
      </w:r>
      <w:r w:rsidR="004D68BB" w:rsidRPr="00A46090">
        <w:rPr>
          <w:szCs w:val="24"/>
        </w:rPr>
        <w:t xml:space="preserve"> y al UIT-R</w:t>
      </w:r>
      <w:r w:rsidRPr="00824C56">
        <w:rPr>
          <w:szCs w:val="24"/>
        </w:rPr>
        <w:t xml:space="preserve"> para su </w:t>
      </w:r>
      <w:r w:rsidR="004D68BB" w:rsidRPr="00A46090">
        <w:rPr>
          <w:szCs w:val="24"/>
        </w:rPr>
        <w:t>aprobación</w:t>
      </w:r>
      <w:r w:rsidRPr="00824C56">
        <w:rPr>
          <w:szCs w:val="24"/>
        </w:rPr>
        <w:t xml:space="preserve"> como Recomendaciones del UIT-T</w:t>
      </w:r>
      <w:r w:rsidR="004D68BB" w:rsidRPr="00A46090">
        <w:rPr>
          <w:szCs w:val="24"/>
        </w:rPr>
        <w:t xml:space="preserve"> y del UIT-R</w:t>
      </w:r>
      <w:r w:rsidRPr="00824C56">
        <w:rPr>
          <w:szCs w:val="24"/>
        </w:rPr>
        <w:t>.</w:t>
      </w:r>
    </w:p>
    <w:p w14:paraId="5EDA7375" w14:textId="7B81CA58" w:rsidR="00B91EC7" w:rsidRPr="00824C56" w:rsidRDefault="00B91EC7" w:rsidP="003A6210">
      <w:pPr>
        <w:pStyle w:val="enumlev1"/>
        <w:rPr>
          <w:szCs w:val="24"/>
        </w:rPr>
      </w:pPr>
      <w:bookmarkStart w:id="54" w:name="lt_pId278"/>
      <w:bookmarkEnd w:id="53"/>
      <w:r w:rsidRPr="003A6210">
        <w:rPr>
          <w:szCs w:val="24"/>
        </w:rPr>
        <w:t>e</w:t>
      </w:r>
      <w:bookmarkEnd w:id="54"/>
      <w:r w:rsidRPr="003A6210">
        <w:rPr>
          <w:szCs w:val="24"/>
        </w:rPr>
        <w:t>)</w:t>
      </w:r>
      <w:r w:rsidRPr="00824C56">
        <w:rPr>
          <w:b/>
          <w:bCs/>
          <w:szCs w:val="24"/>
        </w:rPr>
        <w:tab/>
      </w:r>
      <w:bookmarkStart w:id="55" w:name="lt_pId279"/>
      <w:r w:rsidRPr="00824C56">
        <w:rPr>
          <w:szCs w:val="24"/>
        </w:rPr>
        <w:t xml:space="preserve">La UIT debe proseguir sus esfuerzos para la elaboración de recomendaciones </w:t>
      </w:r>
      <w:r w:rsidR="00D469AC" w:rsidRPr="00A46090">
        <w:rPr>
          <w:szCs w:val="24"/>
        </w:rPr>
        <w:t xml:space="preserve">[voluntarias] </w:t>
      </w:r>
      <w:r w:rsidRPr="00824C56">
        <w:rPr>
          <w:szCs w:val="24"/>
        </w:rPr>
        <w:t>sobre medidas técnicas y de procedimiento en materia de ciberseguridad en los ámbitos abarcados por su mandato, incentivando a sus Miembros a intensificar su participación en las actividades de normalización de la UIT y creando asociaciones estratégicas</w:t>
      </w:r>
      <w:r w:rsidR="00D469AC" w:rsidRPr="00A46090">
        <w:rPr>
          <w:szCs w:val="24"/>
        </w:rPr>
        <w:t xml:space="preserve">, y las consultas con las universidades y </w:t>
      </w:r>
      <w:r w:rsidR="00290CF2" w:rsidRPr="00A46090">
        <w:rPr>
          <w:szCs w:val="24"/>
        </w:rPr>
        <w:t xml:space="preserve">las </w:t>
      </w:r>
      <w:r w:rsidR="00D469AC" w:rsidRPr="00A46090">
        <w:rPr>
          <w:szCs w:val="24"/>
        </w:rPr>
        <w:t>organizaciones de normalización</w:t>
      </w:r>
      <w:r w:rsidRPr="00824C56">
        <w:rPr>
          <w:szCs w:val="24"/>
        </w:rPr>
        <w:t>.</w:t>
      </w:r>
    </w:p>
    <w:p w14:paraId="4AF3B6EB" w14:textId="1220EC91" w:rsidR="00D82393" w:rsidRDefault="00B91EC7" w:rsidP="003A6210">
      <w:pPr>
        <w:pStyle w:val="enumlev1"/>
        <w:rPr>
          <w:szCs w:val="24"/>
        </w:rPr>
      </w:pPr>
      <w:bookmarkStart w:id="56" w:name="lt_pId280"/>
      <w:bookmarkEnd w:id="55"/>
      <w:r w:rsidRPr="003A6210">
        <w:rPr>
          <w:rFonts w:eastAsiaTheme="minorEastAsia"/>
          <w:szCs w:val="24"/>
          <w:lang w:eastAsia="zh-CN"/>
        </w:rPr>
        <w:lastRenderedPageBreak/>
        <w:t>f</w:t>
      </w:r>
      <w:bookmarkEnd w:id="56"/>
      <w:r w:rsidRPr="003A6210">
        <w:rPr>
          <w:szCs w:val="24"/>
        </w:rPr>
        <w:t>)</w:t>
      </w:r>
      <w:r w:rsidRPr="00824C56">
        <w:rPr>
          <w:szCs w:val="24"/>
        </w:rPr>
        <w:tab/>
      </w:r>
      <w:bookmarkStart w:id="57" w:name="lt_pId281"/>
      <w:r w:rsidR="00D469AC" w:rsidRPr="00A46090">
        <w:rPr>
          <w:szCs w:val="24"/>
        </w:rPr>
        <w:t>[</w:t>
      </w:r>
      <w:r w:rsidRPr="00824C56">
        <w:rPr>
          <w:szCs w:val="24"/>
        </w:rPr>
        <w:t>La UIT debe seguir alentando a sus Miembros a concluir/participar en acuerdos de certificación mutua con miras a la creación de un marco internacional de certificación de la ciberseguridad global basado en normas armonizadas.</w:t>
      </w:r>
      <w:bookmarkEnd w:id="57"/>
      <w:r w:rsidR="00D469AC" w:rsidRPr="00A46090">
        <w:rPr>
          <w:szCs w:val="24"/>
        </w:rPr>
        <w:t>]</w:t>
      </w:r>
    </w:p>
    <w:p w14:paraId="52130F25" w14:textId="25089F75" w:rsidR="00D82393" w:rsidRPr="006E77F5" w:rsidRDefault="00D82393" w:rsidP="006E77F5">
      <w:pPr>
        <w:pStyle w:val="Heading1"/>
      </w:pPr>
      <w:bookmarkStart w:id="58" w:name="lt_pId282"/>
      <w:bookmarkStart w:id="59" w:name="_Toc37331409"/>
      <w:bookmarkStart w:id="60" w:name="_Toc41378340"/>
      <w:r w:rsidRPr="006E77F5">
        <w:t>Sección 4</w:t>
      </w:r>
      <w:bookmarkStart w:id="61" w:name="lt_pId283"/>
      <w:bookmarkEnd w:id="58"/>
      <w:r w:rsidR="00322361" w:rsidRPr="006E77F5">
        <w:t>.</w:t>
      </w:r>
      <w:r w:rsidR="00B91EC7" w:rsidRPr="006E77F5">
        <w:t xml:space="preserve"> </w:t>
      </w:r>
      <w:r w:rsidR="00D469AC" w:rsidRPr="006E77F5">
        <w:t xml:space="preserve">Directrices para la utilización del </w:t>
      </w:r>
      <w:r w:rsidRPr="006E77F5">
        <w:t>Pilar 3</w:t>
      </w:r>
      <w:r w:rsidR="00322361" w:rsidRPr="006E77F5">
        <w:t xml:space="preserve"> –</w:t>
      </w:r>
      <w:r w:rsidRPr="006E77F5">
        <w:t xml:space="preserve"> </w:t>
      </w:r>
      <w:bookmarkEnd w:id="59"/>
      <w:bookmarkEnd w:id="61"/>
      <w:r w:rsidRPr="006E77F5">
        <w:t>Estructura</w:t>
      </w:r>
      <w:r w:rsidR="00D469AC" w:rsidRPr="006E77F5">
        <w:t>s organizativas</w:t>
      </w:r>
      <w:bookmarkEnd w:id="60"/>
    </w:p>
    <w:p w14:paraId="2C42E1BA" w14:textId="54E7F59F" w:rsidR="00B91EC7" w:rsidRPr="00F46E47" w:rsidRDefault="00B91EC7" w:rsidP="009103A0">
      <w:r w:rsidRPr="00F46E47">
        <w:rPr>
          <w:b/>
          <w:bCs/>
        </w:rPr>
        <w:t>4</w:t>
      </w:r>
      <w:r w:rsidRPr="00F46E47">
        <w:tab/>
      </w:r>
      <w:bookmarkStart w:id="62" w:name="lt_pId319"/>
      <w:r w:rsidRPr="00F46E47">
        <w:t>A</w:t>
      </w:r>
      <w:r w:rsidRPr="00824C56">
        <w:t>unque</w:t>
      </w:r>
      <w:r w:rsidRPr="00F46E47">
        <w:t xml:space="preserve"> se reconoce que las recomendaciones del Informe del G</w:t>
      </w:r>
      <w:r w:rsidRPr="00824C56">
        <w:t xml:space="preserve">EAN </w:t>
      </w:r>
      <w:r w:rsidRPr="00F46E47">
        <w:t>de 2008 han servido para orientar los esfuerzos de la UIT en relación con el Pilar 3 y siguen siendo pertinentes, las siguientes directrices propuestas, e</w:t>
      </w:r>
      <w:r w:rsidRPr="00824C56">
        <w:t xml:space="preserve">specialmente </w:t>
      </w:r>
      <w:r w:rsidRPr="00F46E47">
        <w:t>pertinentes pa</w:t>
      </w:r>
      <w:r w:rsidRPr="00824C56">
        <w:t xml:space="preserve">ra </w:t>
      </w:r>
      <w:r w:rsidRPr="00F46E47">
        <w:t>la labor de la Oficina de Desarrollo de la UIT (BDT), podrían contribuir a fortalecer los esfuerzos a este respecto:</w:t>
      </w:r>
      <w:bookmarkEnd w:id="62"/>
    </w:p>
    <w:p w14:paraId="1CDA6D32" w14:textId="5DC10B44" w:rsidR="00B91EC7" w:rsidRPr="00824C56" w:rsidRDefault="00B91EC7" w:rsidP="009B29EC">
      <w:pPr>
        <w:pStyle w:val="enumlev1"/>
        <w:rPr>
          <w:b/>
          <w:bCs/>
          <w:szCs w:val="24"/>
        </w:rPr>
      </w:pPr>
      <w:bookmarkStart w:id="63" w:name="lt_pId320"/>
      <w:r w:rsidRPr="009103A0">
        <w:rPr>
          <w:szCs w:val="24"/>
        </w:rPr>
        <w:t>a</w:t>
      </w:r>
      <w:bookmarkEnd w:id="63"/>
      <w:r w:rsidRPr="009103A0">
        <w:rPr>
          <w:szCs w:val="24"/>
        </w:rPr>
        <w:t>)</w:t>
      </w:r>
      <w:r w:rsidRPr="00824C56">
        <w:rPr>
          <w:szCs w:val="24"/>
        </w:rPr>
        <w:tab/>
      </w:r>
      <w:bookmarkStart w:id="64" w:name="lt_pId321"/>
      <w:r w:rsidRPr="00824C56">
        <w:rPr>
          <w:szCs w:val="24"/>
        </w:rPr>
        <w:t>La UIT debe seguir prestando asistencia a los países en desarrollo</w:t>
      </w:r>
      <w:r w:rsidR="00D469AC" w:rsidRPr="00A46090">
        <w:rPr>
          <w:szCs w:val="24"/>
        </w:rPr>
        <w:t>, los países menos adelantados y los pequeños Estados insulares en desarrollo (PEID) en la c</w:t>
      </w:r>
      <w:r w:rsidR="00F320F0" w:rsidRPr="00A46090">
        <w:rPr>
          <w:szCs w:val="24"/>
        </w:rPr>
        <w:t>oncepción e</w:t>
      </w:r>
      <w:r w:rsidR="00D469AC" w:rsidRPr="00A46090">
        <w:rPr>
          <w:szCs w:val="24"/>
        </w:rPr>
        <w:t xml:space="preserve"> </w:t>
      </w:r>
      <w:r w:rsidRPr="00824C56">
        <w:rPr>
          <w:szCs w:val="24"/>
        </w:rPr>
        <w:t>implementación de los EIII nacionales y otras unidades/organizaciones técnicas conexas.</w:t>
      </w:r>
      <w:bookmarkEnd w:id="64"/>
    </w:p>
    <w:p w14:paraId="304929C4" w14:textId="633238A8" w:rsidR="00B91EC7" w:rsidRPr="00824C56" w:rsidRDefault="00B91EC7" w:rsidP="009B29EC">
      <w:pPr>
        <w:pStyle w:val="enumlev1"/>
        <w:rPr>
          <w:szCs w:val="24"/>
        </w:rPr>
      </w:pPr>
      <w:bookmarkStart w:id="65" w:name="lt_pId322"/>
      <w:r w:rsidRPr="009103A0">
        <w:rPr>
          <w:szCs w:val="24"/>
        </w:rPr>
        <w:t>b</w:t>
      </w:r>
      <w:bookmarkEnd w:id="65"/>
      <w:r w:rsidRPr="009103A0">
        <w:rPr>
          <w:szCs w:val="24"/>
        </w:rPr>
        <w:t>)</w:t>
      </w:r>
      <w:r w:rsidRPr="00824C56">
        <w:rPr>
          <w:szCs w:val="24"/>
        </w:rPr>
        <w:tab/>
      </w:r>
      <w:bookmarkStart w:id="66" w:name="lt_pId323"/>
      <w:r w:rsidR="00F320F0" w:rsidRPr="00A46090">
        <w:rPr>
          <w:szCs w:val="24"/>
        </w:rPr>
        <w:t>Para evitar la duplicación de esfuerzos, l</w:t>
      </w:r>
      <w:r w:rsidRPr="00824C56">
        <w:rPr>
          <w:szCs w:val="24"/>
        </w:rPr>
        <w:t xml:space="preserve">a UIT debe </w:t>
      </w:r>
      <w:bookmarkStart w:id="67" w:name="lt_pId325"/>
      <w:bookmarkEnd w:id="66"/>
      <w:r w:rsidR="00F320F0" w:rsidRPr="00A46090">
        <w:rPr>
          <w:szCs w:val="24"/>
        </w:rPr>
        <w:t>seguir promoviendo</w:t>
      </w:r>
      <w:r w:rsidRPr="00824C56">
        <w:rPr>
          <w:szCs w:val="24"/>
        </w:rPr>
        <w:t xml:space="preserve"> una colaboración abierta e inclusiva, así como la coordinación</w:t>
      </w:r>
      <w:r w:rsidR="00F320F0" w:rsidRPr="00A46090">
        <w:rPr>
          <w:szCs w:val="24"/>
        </w:rPr>
        <w:t>, en el marco de su mandato,</w:t>
      </w:r>
      <w:r w:rsidRPr="00824C56">
        <w:rPr>
          <w:szCs w:val="24"/>
        </w:rPr>
        <w:t xml:space="preserve"> entre las diversas organizaciones nacionales, regionales o internacionales que participan en el esfuerzo por establecer estructuras organizativas nacionales sostenibles</w:t>
      </w:r>
      <w:bookmarkEnd w:id="67"/>
      <w:r w:rsidR="009B29EC">
        <w:rPr>
          <w:szCs w:val="24"/>
        </w:rPr>
        <w:t>.</w:t>
      </w:r>
    </w:p>
    <w:p w14:paraId="01D40AB8" w14:textId="3CB59A57" w:rsidR="00B91EC7" w:rsidRDefault="00B91EC7" w:rsidP="009B29EC">
      <w:pPr>
        <w:pStyle w:val="enumlev1"/>
        <w:rPr>
          <w:szCs w:val="24"/>
        </w:rPr>
      </w:pPr>
      <w:bookmarkStart w:id="68" w:name="lt_pId326"/>
      <w:r w:rsidRPr="009103A0">
        <w:rPr>
          <w:szCs w:val="24"/>
        </w:rPr>
        <w:t>d</w:t>
      </w:r>
      <w:bookmarkEnd w:id="68"/>
      <w:r w:rsidRPr="009103A0">
        <w:rPr>
          <w:szCs w:val="24"/>
        </w:rPr>
        <w:t>)</w:t>
      </w:r>
      <w:r w:rsidRPr="00824C56">
        <w:rPr>
          <w:szCs w:val="24"/>
        </w:rPr>
        <w:tab/>
      </w:r>
      <w:bookmarkStart w:id="69" w:name="lt_pId327"/>
      <w:r w:rsidRPr="00824C56">
        <w:rPr>
          <w:szCs w:val="24"/>
        </w:rPr>
        <w:t>La UIT debería aumentar sus esfuerzos para medir los compromisos institucionales de los Estados Miembros, aprovechando instrumentos como el Índice Mundial de Ciberseguridad, para promover la ciberseguridad como factor transversal de sus esfuerzos en la transformación digital.</w:t>
      </w:r>
      <w:bookmarkEnd w:id="69"/>
    </w:p>
    <w:p w14:paraId="3EABD60A" w14:textId="43FC05AA" w:rsidR="00B91EC7" w:rsidRPr="00824C56" w:rsidRDefault="00B91EC7" w:rsidP="009103A0">
      <w:pPr>
        <w:pStyle w:val="enumlev1"/>
        <w:rPr>
          <w:szCs w:val="24"/>
        </w:rPr>
      </w:pPr>
      <w:bookmarkStart w:id="70" w:name="lt_pId328"/>
      <w:r w:rsidRPr="009103A0">
        <w:rPr>
          <w:szCs w:val="24"/>
        </w:rPr>
        <w:t>e</w:t>
      </w:r>
      <w:bookmarkEnd w:id="70"/>
      <w:r w:rsidRPr="009103A0">
        <w:rPr>
          <w:szCs w:val="24"/>
        </w:rPr>
        <w:t>)</w:t>
      </w:r>
      <w:r w:rsidRPr="00824C56">
        <w:rPr>
          <w:szCs w:val="24"/>
        </w:rPr>
        <w:tab/>
      </w:r>
      <w:bookmarkStart w:id="71" w:name="lt_pId329"/>
      <w:r w:rsidRPr="00824C56">
        <w:rPr>
          <w:szCs w:val="24"/>
        </w:rPr>
        <w:t>En lo que respecta en particular a las estructuras nacionales</w:t>
      </w:r>
      <w:r w:rsidR="001C239C" w:rsidRPr="00A46090">
        <w:rPr>
          <w:szCs w:val="24"/>
        </w:rPr>
        <w:t xml:space="preserve"> y a petición de los Estados Miembros</w:t>
      </w:r>
      <w:r w:rsidRPr="00824C56">
        <w:rPr>
          <w:szCs w:val="24"/>
        </w:rPr>
        <w:t xml:space="preserve">, la UIT debería </w:t>
      </w:r>
      <w:r w:rsidR="001C239C" w:rsidRPr="00A46090">
        <w:rPr>
          <w:szCs w:val="24"/>
        </w:rPr>
        <w:t xml:space="preserve">prestarles </w:t>
      </w:r>
      <w:r w:rsidRPr="00824C56">
        <w:rPr>
          <w:szCs w:val="24"/>
        </w:rPr>
        <w:t>ayuda</w:t>
      </w:r>
      <w:r w:rsidR="001C239C" w:rsidRPr="00A46090">
        <w:rPr>
          <w:szCs w:val="24"/>
        </w:rPr>
        <w:t xml:space="preserve"> en la elaboración de</w:t>
      </w:r>
      <w:r w:rsidRPr="00824C56">
        <w:rPr>
          <w:szCs w:val="24"/>
        </w:rPr>
        <w:t xml:space="preserve"> estrategias de coordinación a escala de todo el gobierno, </w:t>
      </w:r>
      <w:r w:rsidR="001C239C" w:rsidRPr="00A46090">
        <w:rPr>
          <w:szCs w:val="24"/>
        </w:rPr>
        <w:t xml:space="preserve">destinadas a </w:t>
      </w:r>
      <w:r w:rsidRPr="00824C56">
        <w:rPr>
          <w:szCs w:val="24"/>
        </w:rPr>
        <w:t>mejorar la aplicación coherente y transversal de los esfuerzos nacionales de ciberseguridad.</w:t>
      </w:r>
    </w:p>
    <w:bookmarkEnd w:id="71"/>
    <w:p w14:paraId="3AD573DD" w14:textId="12505380" w:rsidR="00D82393" w:rsidRDefault="00B91EC7" w:rsidP="009103A0">
      <w:pPr>
        <w:pStyle w:val="enumlev1"/>
        <w:rPr>
          <w:rFonts w:asciiTheme="minorHAnsi" w:hAnsiTheme="minorHAnsi" w:cstheme="minorHAnsi"/>
          <w:bCs/>
          <w:szCs w:val="24"/>
        </w:rPr>
      </w:pPr>
      <w:r w:rsidRPr="009103A0">
        <w:rPr>
          <w:szCs w:val="24"/>
        </w:rPr>
        <w:t>f)</w:t>
      </w:r>
      <w:r w:rsidRPr="00824C56">
        <w:rPr>
          <w:szCs w:val="24"/>
        </w:rPr>
        <w:tab/>
        <w:t>La UIT debería seguir fomentando una mayor colaboración entre las estructuras organizativas de la ciberseguridad a nivel regional y mundial mediante actividades como los</w:t>
      </w:r>
      <w:r w:rsidRPr="00F46E47">
        <w:rPr>
          <w:rFonts w:asciiTheme="minorHAnsi" w:hAnsiTheme="minorHAnsi" w:cstheme="minorHAnsi"/>
          <w:bCs/>
          <w:szCs w:val="24"/>
        </w:rPr>
        <w:t xml:space="preserve"> simulacros cibernéticos, entre otras.</w:t>
      </w:r>
    </w:p>
    <w:p w14:paraId="580FFDC2" w14:textId="73D5DFBC" w:rsidR="00D82393" w:rsidRPr="006E77F5" w:rsidRDefault="00D82393" w:rsidP="006E77F5">
      <w:pPr>
        <w:pStyle w:val="Heading1"/>
      </w:pPr>
      <w:bookmarkStart w:id="72" w:name="lt_pId332"/>
      <w:bookmarkStart w:id="73" w:name="_Toc37331413"/>
      <w:bookmarkStart w:id="74" w:name="_Toc41378344"/>
      <w:r w:rsidRPr="006E77F5">
        <w:t>Sección 5</w:t>
      </w:r>
      <w:bookmarkStart w:id="75" w:name="lt_pId333"/>
      <w:bookmarkEnd w:id="72"/>
      <w:r w:rsidR="00322361" w:rsidRPr="006E77F5">
        <w:t>.</w:t>
      </w:r>
      <w:r w:rsidR="00B91EC7" w:rsidRPr="006E77F5">
        <w:t xml:space="preserve"> </w:t>
      </w:r>
      <w:r w:rsidR="001C239C" w:rsidRPr="006E77F5">
        <w:t xml:space="preserve">Directrices para la utilización del </w:t>
      </w:r>
      <w:r w:rsidRPr="006E77F5">
        <w:t>Pilar 4</w:t>
      </w:r>
      <w:r w:rsidR="00B91EC7" w:rsidRPr="006E77F5">
        <w:t xml:space="preserve"> –</w:t>
      </w:r>
      <w:r w:rsidRPr="006E77F5">
        <w:t xml:space="preserve"> </w:t>
      </w:r>
      <w:bookmarkEnd w:id="73"/>
      <w:bookmarkEnd w:id="75"/>
      <w:r w:rsidRPr="006E77F5">
        <w:t>Capacitación</w:t>
      </w:r>
      <w:bookmarkEnd w:id="74"/>
    </w:p>
    <w:p w14:paraId="76163E51" w14:textId="6168B774" w:rsidR="00B91EC7" w:rsidRPr="00F46E47" w:rsidRDefault="00BB24E4" w:rsidP="009103A0">
      <w:pPr>
        <w:widowControl w:val="0"/>
        <w:tabs>
          <w:tab w:val="clear" w:pos="567"/>
          <w:tab w:val="clear" w:pos="1134"/>
          <w:tab w:val="clear" w:pos="1701"/>
          <w:tab w:val="clear" w:pos="2268"/>
          <w:tab w:val="clear" w:pos="2835"/>
        </w:tabs>
        <w:spacing w:after="120"/>
        <w:rPr>
          <w:rFonts w:asciiTheme="minorHAnsi" w:hAnsiTheme="minorHAnsi" w:cstheme="minorHAnsi"/>
          <w:szCs w:val="24"/>
        </w:rPr>
      </w:pPr>
      <w:r w:rsidRPr="00F46E47">
        <w:rPr>
          <w:rFonts w:asciiTheme="minorHAnsi" w:hAnsiTheme="minorHAnsi" w:cstheme="minorHAnsi"/>
          <w:b/>
          <w:bCs/>
          <w:szCs w:val="24"/>
        </w:rPr>
        <w:t>5</w:t>
      </w:r>
      <w:r w:rsidR="00B91EC7" w:rsidRPr="00F46E47">
        <w:rPr>
          <w:rFonts w:asciiTheme="minorHAnsi" w:hAnsiTheme="minorHAnsi" w:cstheme="minorHAnsi"/>
          <w:b/>
          <w:bCs/>
          <w:szCs w:val="24"/>
        </w:rPr>
        <w:tab/>
      </w:r>
      <w:bookmarkStart w:id="76" w:name="lt_pId384"/>
      <w:r w:rsidR="00B91EC7" w:rsidRPr="00F46E47">
        <w:rPr>
          <w:rFonts w:asciiTheme="minorHAnsi" w:hAnsiTheme="minorHAnsi" w:cstheme="minorHAnsi"/>
          <w:szCs w:val="24"/>
        </w:rPr>
        <w:t>Habida cuenta de lo anterior, la ACG y las recomendaciones con arreglo a este Pilar del Informe del GEAN de 2008 siguen proporcionando un marco sólido que mejora y promueve un enfoque interdisciplinario de la creación de capacidad. Teniendo esto en cuenta, se propone que la UIT, a través de su Oficina de Desarrollo de las Telecomunicaciones (BDT):</w:t>
      </w:r>
      <w:bookmarkEnd w:id="76"/>
    </w:p>
    <w:p w14:paraId="4E6196F8" w14:textId="76C91209" w:rsidR="00B91EC7" w:rsidRPr="00824C56" w:rsidRDefault="00B91EC7" w:rsidP="009103A0">
      <w:pPr>
        <w:pStyle w:val="enumlev1"/>
        <w:rPr>
          <w:szCs w:val="24"/>
        </w:rPr>
      </w:pPr>
      <w:bookmarkStart w:id="77" w:name="lt_pId386"/>
      <w:r w:rsidRPr="009103A0">
        <w:rPr>
          <w:szCs w:val="24"/>
        </w:rPr>
        <w:t>a</w:t>
      </w:r>
      <w:bookmarkEnd w:id="77"/>
      <w:r w:rsidRPr="009103A0">
        <w:rPr>
          <w:szCs w:val="24"/>
        </w:rPr>
        <w:t>)</w:t>
      </w:r>
      <w:r w:rsidRPr="00824C56">
        <w:rPr>
          <w:szCs w:val="24"/>
        </w:rPr>
        <w:tab/>
      </w:r>
      <w:bookmarkStart w:id="78" w:name="lt_pId387"/>
      <w:r w:rsidRPr="00824C56">
        <w:rPr>
          <w:szCs w:val="24"/>
        </w:rPr>
        <w:t xml:space="preserve">Siga promoviendo una colaboración más abierta e inclusiva, </w:t>
      </w:r>
      <w:r w:rsidR="006057EE" w:rsidRPr="00A46090">
        <w:rPr>
          <w:szCs w:val="24"/>
        </w:rPr>
        <w:t xml:space="preserve">y </w:t>
      </w:r>
      <w:r w:rsidRPr="00824C56">
        <w:rPr>
          <w:szCs w:val="24"/>
        </w:rPr>
        <w:t>la coordinación entre las diversas organizaciones nacionales, regionales o internacionales dedicadas a la capacitación en materia de ciberseguridad, a fin de garantizar la eficacia y de evitar la duplicación de esfuerzos.</w:t>
      </w:r>
      <w:bookmarkEnd w:id="78"/>
    </w:p>
    <w:p w14:paraId="10E99784" w14:textId="7155993F" w:rsidR="00B91EC7" w:rsidRPr="00824C56" w:rsidRDefault="00B91EC7" w:rsidP="009103A0">
      <w:pPr>
        <w:pStyle w:val="enumlev1"/>
        <w:rPr>
          <w:szCs w:val="24"/>
        </w:rPr>
      </w:pPr>
      <w:bookmarkStart w:id="79" w:name="lt_pId388"/>
      <w:r w:rsidRPr="009103A0">
        <w:rPr>
          <w:szCs w:val="24"/>
        </w:rPr>
        <w:t>b</w:t>
      </w:r>
      <w:bookmarkEnd w:id="79"/>
      <w:r w:rsidRPr="009103A0">
        <w:rPr>
          <w:szCs w:val="24"/>
        </w:rPr>
        <w:t>)</w:t>
      </w:r>
      <w:r w:rsidRPr="00824C56">
        <w:rPr>
          <w:szCs w:val="24"/>
        </w:rPr>
        <w:tab/>
      </w:r>
      <w:bookmarkStart w:id="80" w:name="lt_pId389"/>
      <w:r w:rsidRPr="00824C56">
        <w:rPr>
          <w:szCs w:val="24"/>
        </w:rPr>
        <w:t>Siga prestando apoyo a los países en desarrollo</w:t>
      </w:r>
      <w:r w:rsidR="006057EE" w:rsidRPr="00A46090">
        <w:rPr>
          <w:szCs w:val="24"/>
        </w:rPr>
        <w:t xml:space="preserve">, a los países menos adelantados y a los PEID </w:t>
      </w:r>
      <w:r w:rsidRPr="00824C56">
        <w:rPr>
          <w:szCs w:val="24"/>
        </w:rPr>
        <w:t>para las actividades de capacitación en materia de ciberseguridad, con el apoyo de las comunidades de creación de capacidad en materia de ciberseguridad nacionales e internacionales.</w:t>
      </w:r>
      <w:bookmarkEnd w:id="80"/>
    </w:p>
    <w:p w14:paraId="6C665A3F" w14:textId="4F6E5924" w:rsidR="00B91EC7" w:rsidRPr="00824C56" w:rsidRDefault="00B91EC7" w:rsidP="009103A0">
      <w:pPr>
        <w:pStyle w:val="enumlev1"/>
        <w:rPr>
          <w:szCs w:val="24"/>
        </w:rPr>
      </w:pPr>
      <w:bookmarkStart w:id="81" w:name="lt_pId390"/>
      <w:r w:rsidRPr="009103A0">
        <w:rPr>
          <w:szCs w:val="24"/>
        </w:rPr>
        <w:lastRenderedPageBreak/>
        <w:t>c</w:t>
      </w:r>
      <w:bookmarkEnd w:id="81"/>
      <w:r w:rsidRPr="009103A0">
        <w:rPr>
          <w:szCs w:val="24"/>
        </w:rPr>
        <w:t>)</w:t>
      </w:r>
      <w:r w:rsidRPr="00824C56">
        <w:rPr>
          <w:szCs w:val="24"/>
        </w:rPr>
        <w:tab/>
      </w:r>
      <w:bookmarkStart w:id="82" w:name="lt_pId391"/>
      <w:r w:rsidRPr="00824C56">
        <w:rPr>
          <w:szCs w:val="24"/>
        </w:rPr>
        <w:t>Siga prestando asistencia a los países en desarrollo</w:t>
      </w:r>
      <w:r w:rsidR="006057EE" w:rsidRPr="00A46090">
        <w:rPr>
          <w:szCs w:val="24"/>
        </w:rPr>
        <w:t>, a los países menos adelantados y a los PEID</w:t>
      </w:r>
      <w:r w:rsidRPr="00824C56">
        <w:rPr>
          <w:szCs w:val="24"/>
        </w:rPr>
        <w:t xml:space="preserve">, en colaboración con los asociados interesados y </w:t>
      </w:r>
      <w:r w:rsidR="00290CF2" w:rsidRPr="00A46090">
        <w:rPr>
          <w:szCs w:val="24"/>
        </w:rPr>
        <w:t xml:space="preserve">las </w:t>
      </w:r>
      <w:r w:rsidRPr="00824C56">
        <w:rPr>
          <w:szCs w:val="24"/>
        </w:rPr>
        <w:t xml:space="preserve">comunidades de </w:t>
      </w:r>
      <w:r w:rsidR="006057EE" w:rsidRPr="00A46090">
        <w:rPr>
          <w:szCs w:val="24"/>
        </w:rPr>
        <w:t>creación de</w:t>
      </w:r>
      <w:r w:rsidRPr="00824C56">
        <w:rPr>
          <w:szCs w:val="24"/>
        </w:rPr>
        <w:t xml:space="preserve"> capacidad, en la elaboración de estrategias, planes y políticas nacionales de ciberseguridad y </w:t>
      </w:r>
      <w:r w:rsidR="00290CF2" w:rsidRPr="00A46090">
        <w:rPr>
          <w:szCs w:val="24"/>
        </w:rPr>
        <w:t xml:space="preserve">la </w:t>
      </w:r>
      <w:r w:rsidRPr="00824C56">
        <w:rPr>
          <w:szCs w:val="24"/>
        </w:rPr>
        <w:t>capacidad de respuesta en caso de incidente.</w:t>
      </w:r>
      <w:bookmarkEnd w:id="82"/>
    </w:p>
    <w:p w14:paraId="2DA1250A" w14:textId="77777777" w:rsidR="00B91EC7" w:rsidRPr="00824C56" w:rsidRDefault="00B91EC7" w:rsidP="009103A0">
      <w:pPr>
        <w:pStyle w:val="enumlev1"/>
        <w:rPr>
          <w:szCs w:val="24"/>
        </w:rPr>
      </w:pPr>
      <w:r w:rsidRPr="009103A0">
        <w:rPr>
          <w:szCs w:val="24"/>
        </w:rPr>
        <w:t>d)</w:t>
      </w:r>
      <w:r w:rsidRPr="00824C56">
        <w:rPr>
          <w:b/>
          <w:bCs/>
          <w:szCs w:val="24"/>
        </w:rPr>
        <w:tab/>
      </w:r>
      <w:r w:rsidRPr="00824C56">
        <w:rPr>
          <w:szCs w:val="24"/>
        </w:rPr>
        <w:t>Siga impartiendo capacitación para cerrar la brecha de normalización, incluso mediante la prestación de asistencia técnica a los países que la soliciten.</w:t>
      </w:r>
    </w:p>
    <w:p w14:paraId="1A16B7BE" w14:textId="520385BE" w:rsidR="00B91EC7" w:rsidRDefault="00B91EC7" w:rsidP="009103A0">
      <w:pPr>
        <w:pStyle w:val="enumlev1"/>
        <w:rPr>
          <w:szCs w:val="24"/>
        </w:rPr>
      </w:pPr>
      <w:bookmarkStart w:id="83" w:name="lt_pId392"/>
      <w:r w:rsidRPr="009103A0">
        <w:rPr>
          <w:szCs w:val="24"/>
        </w:rPr>
        <w:t>e</w:t>
      </w:r>
      <w:bookmarkEnd w:id="83"/>
      <w:r w:rsidRPr="009103A0">
        <w:rPr>
          <w:szCs w:val="24"/>
        </w:rPr>
        <w:t>)</w:t>
      </w:r>
      <w:r w:rsidRPr="00824C56">
        <w:rPr>
          <w:szCs w:val="24"/>
        </w:rPr>
        <w:tab/>
      </w:r>
      <w:bookmarkStart w:id="84" w:name="lt_pId393"/>
      <w:r w:rsidRPr="00824C56">
        <w:rPr>
          <w:szCs w:val="24"/>
        </w:rPr>
        <w:t xml:space="preserve">Mejore y facilite el intercambio de buenas prácticas de los Estados Miembros a fin de ayudar a los países rezagados en materia de </w:t>
      </w:r>
      <w:r w:rsidR="00E64079" w:rsidRPr="00A46090">
        <w:rPr>
          <w:szCs w:val="24"/>
        </w:rPr>
        <w:t xml:space="preserve">conocimientos sobre la </w:t>
      </w:r>
      <w:r w:rsidRPr="00824C56">
        <w:rPr>
          <w:szCs w:val="24"/>
        </w:rPr>
        <w:t>ciberseguridad a mejorar su situación en dicho ámbito y a reducir el déficit de capacidad.</w:t>
      </w:r>
      <w:bookmarkEnd w:id="84"/>
    </w:p>
    <w:p w14:paraId="6C2EB086" w14:textId="0ABD4F70" w:rsidR="009103A0" w:rsidRPr="00824C56" w:rsidRDefault="009103A0" w:rsidP="009103A0">
      <w:pPr>
        <w:pStyle w:val="enumlev1"/>
        <w:rPr>
          <w:szCs w:val="24"/>
        </w:rPr>
      </w:pPr>
      <w:bookmarkStart w:id="85" w:name="lt_pId395"/>
      <w:r>
        <w:rPr>
          <w:szCs w:val="24"/>
        </w:rPr>
        <w:t>f)</w:t>
      </w:r>
      <w:r>
        <w:rPr>
          <w:szCs w:val="24"/>
        </w:rPr>
        <w:tab/>
      </w:r>
      <w:r w:rsidRPr="00824C56">
        <w:rPr>
          <w:szCs w:val="24"/>
        </w:rPr>
        <w:t xml:space="preserve">Siga desarrollando sus actividades de capacitación, teniendo en cuenta la necesidad de nuevas calificaciones para adaptarse a las </w:t>
      </w:r>
      <w:r w:rsidRPr="00A46090">
        <w:rPr>
          <w:szCs w:val="24"/>
        </w:rPr>
        <w:t>oportunidades y retos que plantean</w:t>
      </w:r>
      <w:r w:rsidRPr="00824C56">
        <w:rPr>
          <w:szCs w:val="24"/>
        </w:rPr>
        <w:t xml:space="preserve"> las tecnologías emergentes</w:t>
      </w:r>
      <w:r w:rsidRPr="00A46090">
        <w:rPr>
          <w:szCs w:val="24"/>
        </w:rPr>
        <w:t xml:space="preserve"> en el ámbito de la ciberseguridad</w:t>
      </w:r>
      <w:r w:rsidRPr="00824C56">
        <w:rPr>
          <w:szCs w:val="24"/>
        </w:rPr>
        <w:t xml:space="preserve">. A este respecto, debería fomentarse una mayor colaboración con </w:t>
      </w:r>
      <w:bookmarkStart w:id="86" w:name="lt_pId396"/>
      <w:bookmarkEnd w:id="85"/>
      <w:r w:rsidRPr="00824C56">
        <w:rPr>
          <w:szCs w:val="24"/>
        </w:rPr>
        <w:t>las instituciones académicas, el sector privado y los Estados Miembros.</w:t>
      </w:r>
      <w:bookmarkEnd w:id="86"/>
    </w:p>
    <w:p w14:paraId="61B87236" w14:textId="2BD9F82B" w:rsidR="00B91EC7" w:rsidRPr="00824C56" w:rsidRDefault="00B91EC7" w:rsidP="009103A0">
      <w:pPr>
        <w:pStyle w:val="enumlev1"/>
        <w:rPr>
          <w:szCs w:val="24"/>
        </w:rPr>
      </w:pPr>
      <w:bookmarkStart w:id="87" w:name="lt_pId397"/>
      <w:r w:rsidRPr="009103A0">
        <w:rPr>
          <w:szCs w:val="24"/>
        </w:rPr>
        <w:t>g</w:t>
      </w:r>
      <w:bookmarkEnd w:id="87"/>
      <w:r w:rsidRPr="009103A0">
        <w:rPr>
          <w:szCs w:val="24"/>
        </w:rPr>
        <w:t>)</w:t>
      </w:r>
      <w:r w:rsidRPr="00824C56">
        <w:rPr>
          <w:szCs w:val="24"/>
        </w:rPr>
        <w:tab/>
      </w:r>
      <w:bookmarkStart w:id="88" w:name="lt_pId398"/>
      <w:r w:rsidRPr="00824C56">
        <w:rPr>
          <w:szCs w:val="24"/>
        </w:rPr>
        <w:t xml:space="preserve">Siga prestando especial atención en sus actividades de capacitación a las necesidades de los grupos más vulnerables como las mujeres, los niños, las personas con discapacidad y las personas con </w:t>
      </w:r>
      <w:r w:rsidR="00027A4E">
        <w:rPr>
          <w:szCs w:val="24"/>
        </w:rPr>
        <w:t>n</w:t>
      </w:r>
      <w:r w:rsidRPr="00824C56">
        <w:rPr>
          <w:szCs w:val="24"/>
        </w:rPr>
        <w:t xml:space="preserve">ecesidades específicas, así como las personas </w:t>
      </w:r>
      <w:r w:rsidR="0047042F" w:rsidRPr="00A46090">
        <w:rPr>
          <w:szCs w:val="24"/>
        </w:rPr>
        <w:t xml:space="preserve">con discapacidad relacionada con la </w:t>
      </w:r>
      <w:r w:rsidRPr="00824C56">
        <w:rPr>
          <w:szCs w:val="24"/>
        </w:rPr>
        <w:t>edad.</w:t>
      </w:r>
      <w:bookmarkEnd w:id="88"/>
    </w:p>
    <w:p w14:paraId="7C026558" w14:textId="21490331" w:rsidR="00B91EC7" w:rsidRPr="00824C56" w:rsidRDefault="00B91EC7" w:rsidP="009103A0">
      <w:pPr>
        <w:pStyle w:val="enumlev1"/>
        <w:rPr>
          <w:bCs/>
          <w:szCs w:val="24"/>
        </w:rPr>
      </w:pPr>
      <w:bookmarkStart w:id="89" w:name="lt_pId399"/>
      <w:r w:rsidRPr="009103A0">
        <w:rPr>
          <w:bCs/>
          <w:szCs w:val="24"/>
        </w:rPr>
        <w:t>h</w:t>
      </w:r>
      <w:bookmarkEnd w:id="89"/>
      <w:r w:rsidRPr="009103A0">
        <w:rPr>
          <w:bCs/>
          <w:szCs w:val="24"/>
        </w:rPr>
        <w:t>)</w:t>
      </w:r>
      <w:r w:rsidRPr="00824C56">
        <w:rPr>
          <w:bCs/>
          <w:szCs w:val="24"/>
        </w:rPr>
        <w:tab/>
        <w:t xml:space="preserve">Siga desarrollando y fortaleciendo el </w:t>
      </w:r>
      <w:r w:rsidR="0047042F" w:rsidRPr="00A46090">
        <w:rPr>
          <w:bCs/>
          <w:szCs w:val="24"/>
        </w:rPr>
        <w:t>Índice Mundial de Ciberseguridad (</w:t>
      </w:r>
      <w:r w:rsidRPr="00824C56">
        <w:rPr>
          <w:bCs/>
          <w:szCs w:val="24"/>
        </w:rPr>
        <w:t>GCI</w:t>
      </w:r>
      <w:r w:rsidR="0047042F" w:rsidRPr="00A46090">
        <w:rPr>
          <w:bCs/>
          <w:szCs w:val="24"/>
        </w:rPr>
        <w:t>)</w:t>
      </w:r>
      <w:r w:rsidRPr="00824C56">
        <w:rPr>
          <w:bCs/>
          <w:szCs w:val="24"/>
        </w:rPr>
        <w:t xml:space="preserve"> como herramienta para la capacitación y la sensibilización.</w:t>
      </w:r>
    </w:p>
    <w:p w14:paraId="02F6D81C" w14:textId="4ADF045B" w:rsidR="00B91EC7" w:rsidRPr="00824C56" w:rsidRDefault="00B91EC7" w:rsidP="009103A0">
      <w:pPr>
        <w:pStyle w:val="enumlev1"/>
        <w:rPr>
          <w:szCs w:val="24"/>
        </w:rPr>
      </w:pPr>
      <w:bookmarkStart w:id="90" w:name="lt_pId401"/>
      <w:r w:rsidRPr="009103A0">
        <w:rPr>
          <w:szCs w:val="24"/>
        </w:rPr>
        <w:t>i</w:t>
      </w:r>
      <w:bookmarkEnd w:id="90"/>
      <w:r w:rsidRPr="009103A0">
        <w:rPr>
          <w:szCs w:val="24"/>
        </w:rPr>
        <w:t>)</w:t>
      </w:r>
      <w:r w:rsidRPr="00824C56">
        <w:rPr>
          <w:szCs w:val="24"/>
        </w:rPr>
        <w:tab/>
      </w:r>
      <w:bookmarkStart w:id="91" w:name="lt_pId402"/>
      <w:r w:rsidR="0047042F" w:rsidRPr="00A46090">
        <w:rPr>
          <w:szCs w:val="24"/>
        </w:rPr>
        <w:t>[</w:t>
      </w:r>
      <w:r w:rsidRPr="00824C56">
        <w:rPr>
          <w:szCs w:val="24"/>
        </w:rPr>
        <w:t>Elabore una "Guía para la definición y aplicación del programa de educación en materia de ciberseguridad" con el fin de prestar apoyo a los Estados Miembros en la elaboración y adopción de cursos de ciberseguridad para jóvenes en los sistemas de enseñanza primaria, secundaria, y para adultos en la enseñanza universitaria y profesional, a fin de contribuir a la formación de más profesionales de la ciberseguridad a nivel mundial e incluir el elemento de ciberseguridad en todas las disciplinas y sensibilizar a todos los futuros profesionales.</w:t>
      </w:r>
      <w:r w:rsidR="0047042F" w:rsidRPr="00A46090">
        <w:rPr>
          <w:szCs w:val="24"/>
        </w:rPr>
        <w:t>]</w:t>
      </w:r>
    </w:p>
    <w:p w14:paraId="52CD5674" w14:textId="35BDFEE2" w:rsidR="00B91EC7" w:rsidRPr="00824C56" w:rsidRDefault="00B91EC7" w:rsidP="009103A0">
      <w:pPr>
        <w:pStyle w:val="enumlev1"/>
        <w:rPr>
          <w:szCs w:val="24"/>
        </w:rPr>
      </w:pPr>
      <w:bookmarkStart w:id="92" w:name="lt_pId403"/>
      <w:bookmarkEnd w:id="91"/>
      <w:r w:rsidRPr="009103A0">
        <w:rPr>
          <w:szCs w:val="24"/>
        </w:rPr>
        <w:t>j</w:t>
      </w:r>
      <w:bookmarkEnd w:id="92"/>
      <w:r w:rsidRPr="009103A0">
        <w:rPr>
          <w:szCs w:val="24"/>
        </w:rPr>
        <w:t>)</w:t>
      </w:r>
      <w:r w:rsidRPr="00824C56">
        <w:rPr>
          <w:szCs w:val="24"/>
        </w:rPr>
        <w:tab/>
      </w:r>
      <w:bookmarkStart w:id="93" w:name="lt_pId404"/>
      <w:r w:rsidRPr="00824C56">
        <w:rPr>
          <w:szCs w:val="24"/>
        </w:rPr>
        <w:t>Siga facilitando la identificación de actividades de investigación relacionadas con la ciberseguridad entre las partes interesadas, especialmente en las nuevas esferas tecnológicas, aprovechando los miembros académicos y del sector privado de la UIT</w:t>
      </w:r>
      <w:r w:rsidR="003B5326">
        <w:rPr>
          <w:szCs w:val="24"/>
        </w:rPr>
        <w:t>.</w:t>
      </w:r>
    </w:p>
    <w:p w14:paraId="2A7A8765" w14:textId="1EB6C7DE" w:rsidR="00B91EC7" w:rsidRPr="00824C56" w:rsidRDefault="00B91EC7" w:rsidP="009103A0">
      <w:pPr>
        <w:pStyle w:val="enumlev1"/>
        <w:rPr>
          <w:szCs w:val="24"/>
        </w:rPr>
      </w:pPr>
      <w:bookmarkStart w:id="94" w:name="lt_pId405"/>
      <w:bookmarkEnd w:id="93"/>
      <w:r w:rsidRPr="009103A0">
        <w:rPr>
          <w:szCs w:val="24"/>
        </w:rPr>
        <w:t>k</w:t>
      </w:r>
      <w:bookmarkEnd w:id="94"/>
      <w:r w:rsidRPr="009103A0">
        <w:rPr>
          <w:szCs w:val="24"/>
        </w:rPr>
        <w:t>)</w:t>
      </w:r>
      <w:r w:rsidRPr="00824C56">
        <w:rPr>
          <w:szCs w:val="24"/>
        </w:rPr>
        <w:tab/>
        <w:t>Difunda herramientas, recursos y buenas prácticas a los Estados Miembros, la industria y otras partes interesadas con el fin de apoyar sus esfuerzos en la creación de capacidad de las MIPYMES para crear confianza en el uso de las TIC</w:t>
      </w:r>
      <w:r w:rsidR="0047042F" w:rsidRPr="00A46090">
        <w:rPr>
          <w:szCs w:val="24"/>
        </w:rPr>
        <w:t xml:space="preserve"> y seguir fomentando una cultura de ciberseguridad</w:t>
      </w:r>
      <w:r w:rsidRPr="00824C56">
        <w:rPr>
          <w:szCs w:val="24"/>
        </w:rPr>
        <w:t>.</w:t>
      </w:r>
    </w:p>
    <w:p w14:paraId="34E66392" w14:textId="1DE1AB57" w:rsidR="00D82393" w:rsidRPr="006E77F5" w:rsidRDefault="00D82393" w:rsidP="006E77F5">
      <w:pPr>
        <w:pStyle w:val="Heading1"/>
      </w:pPr>
      <w:bookmarkStart w:id="95" w:name="lt_pId409"/>
      <w:bookmarkStart w:id="96" w:name="_Toc37331417"/>
      <w:bookmarkStart w:id="97" w:name="_Toc41378348"/>
      <w:r w:rsidRPr="006E77F5">
        <w:t>Sección 6</w:t>
      </w:r>
      <w:bookmarkStart w:id="98" w:name="lt_pId410"/>
      <w:bookmarkEnd w:id="95"/>
      <w:r w:rsidR="00322361" w:rsidRPr="006E77F5">
        <w:t xml:space="preserve">. </w:t>
      </w:r>
      <w:r w:rsidR="0047042F" w:rsidRPr="006E77F5">
        <w:t xml:space="preserve">Directrices para la utilización del </w:t>
      </w:r>
      <w:r w:rsidRPr="006E77F5">
        <w:t>Pilar 5</w:t>
      </w:r>
      <w:r w:rsidR="00322361" w:rsidRPr="006E77F5">
        <w:t xml:space="preserve"> –</w:t>
      </w:r>
      <w:r w:rsidRPr="006E77F5">
        <w:t xml:space="preserve"> </w:t>
      </w:r>
      <w:bookmarkEnd w:id="96"/>
      <w:bookmarkEnd w:id="98"/>
      <w:r w:rsidRPr="006E77F5">
        <w:t>Cooperación internacional</w:t>
      </w:r>
      <w:bookmarkEnd w:id="97"/>
    </w:p>
    <w:p w14:paraId="13820C83" w14:textId="6FF76C87" w:rsidR="00322361" w:rsidRPr="00824C56" w:rsidRDefault="00322361" w:rsidP="009103A0">
      <w:pPr>
        <w:rPr>
          <w:szCs w:val="24"/>
        </w:rPr>
      </w:pPr>
      <w:r w:rsidRPr="00824C56">
        <w:rPr>
          <w:b/>
          <w:bCs/>
          <w:szCs w:val="24"/>
        </w:rPr>
        <w:t>6</w:t>
      </w:r>
      <w:r w:rsidRPr="00824C56">
        <w:rPr>
          <w:b/>
          <w:bCs/>
          <w:szCs w:val="24"/>
        </w:rPr>
        <w:tab/>
      </w:r>
      <w:r w:rsidRPr="00824C56">
        <w:rPr>
          <w:szCs w:val="24"/>
        </w:rPr>
        <w:t xml:space="preserve">Dado el carácter intersectorial de este pilar, y teniendo en cuenta la gama de colaboraciones y asociaciones en los diferentes sectores de la UIT, es importante que todos los sectores de la UIT trabajen en estrecha colaboración y coordinen sus esfuerzos, tanto a nivel interno como externo, utilizando mecanismos eficaces de coordinación intersectorial y coordinadores designados. </w:t>
      </w:r>
      <w:bookmarkStart w:id="99" w:name="lt_pId463"/>
      <w:r w:rsidRPr="00824C56">
        <w:rPr>
          <w:szCs w:val="24"/>
        </w:rPr>
        <w:t>Las recomendaciones del Informe del GEAN de 2008 a este respecto siguen siendo pertinentes y, sobre la base de la información proporcionada en la sección anterior, se proponen además las siguientes directrices para la utilización del Pilar 5:</w:t>
      </w:r>
      <w:bookmarkEnd w:id="99"/>
    </w:p>
    <w:p w14:paraId="7F26B9AE" w14:textId="05EFDD7A" w:rsidR="00322361" w:rsidRPr="00824C56" w:rsidRDefault="00322361" w:rsidP="009103A0">
      <w:pPr>
        <w:pStyle w:val="enumlev1"/>
        <w:rPr>
          <w:szCs w:val="24"/>
        </w:rPr>
      </w:pPr>
      <w:bookmarkStart w:id="100" w:name="lt_pId464"/>
      <w:r w:rsidRPr="009103A0">
        <w:rPr>
          <w:szCs w:val="24"/>
        </w:rPr>
        <w:lastRenderedPageBreak/>
        <w:t>a</w:t>
      </w:r>
      <w:bookmarkEnd w:id="100"/>
      <w:r w:rsidRPr="009103A0">
        <w:rPr>
          <w:szCs w:val="24"/>
        </w:rPr>
        <w:t>)</w:t>
      </w:r>
      <w:r w:rsidRPr="00824C56">
        <w:rPr>
          <w:b/>
          <w:bCs/>
          <w:szCs w:val="24"/>
        </w:rPr>
        <w:tab/>
      </w:r>
      <w:bookmarkStart w:id="101" w:name="lt_pId465"/>
      <w:r w:rsidR="002E44EE" w:rsidRPr="00A81426">
        <w:rPr>
          <w:szCs w:val="24"/>
        </w:rPr>
        <w:t>[</w:t>
      </w:r>
      <w:r w:rsidRPr="00824C56">
        <w:rPr>
          <w:szCs w:val="24"/>
        </w:rPr>
        <w:t xml:space="preserve">Las Naciones Unidas desempeñan un papel singular en el fomento de la cooperación, el diálogo y la coordinación en cuestiones de ciberseguridad a escala mundial entre todas las naciones, así como con el sector privado y otras partes interesadas. Habida cuenta de su posición dentro del sistema de las Naciones Unidas como organismo especializado en las TIC y única facilitadora de la Línea de Acción C5 (Fomento de la confianza y la seguridad en la utilización de las TIC), la UIT debe seguir desempeñando un papel destacado, en </w:t>
      </w:r>
      <w:r w:rsidR="002E44EE" w:rsidRPr="00A46090">
        <w:rPr>
          <w:szCs w:val="24"/>
        </w:rPr>
        <w:t xml:space="preserve">las esferas comprendidas en </w:t>
      </w:r>
      <w:r w:rsidRPr="00824C56">
        <w:rPr>
          <w:szCs w:val="24"/>
        </w:rPr>
        <w:t>su mandato, en los acontecimientos conexos.</w:t>
      </w:r>
      <w:bookmarkEnd w:id="101"/>
      <w:r w:rsidR="002E44EE" w:rsidRPr="00A46090">
        <w:rPr>
          <w:szCs w:val="24"/>
        </w:rPr>
        <w:t>]</w:t>
      </w:r>
    </w:p>
    <w:p w14:paraId="0BAE3BFB" w14:textId="050B9DAA" w:rsidR="00322361" w:rsidRPr="00824C56" w:rsidRDefault="00322361" w:rsidP="009103A0">
      <w:pPr>
        <w:pStyle w:val="enumlev1"/>
        <w:rPr>
          <w:szCs w:val="24"/>
        </w:rPr>
      </w:pPr>
      <w:bookmarkStart w:id="102" w:name="lt_pId467"/>
      <w:r w:rsidRPr="009103A0">
        <w:rPr>
          <w:szCs w:val="24"/>
        </w:rPr>
        <w:t>b</w:t>
      </w:r>
      <w:bookmarkEnd w:id="102"/>
      <w:r w:rsidRPr="009103A0">
        <w:rPr>
          <w:szCs w:val="24"/>
        </w:rPr>
        <w:t>)</w:t>
      </w:r>
      <w:r w:rsidRPr="00824C56">
        <w:rPr>
          <w:b/>
          <w:bCs/>
          <w:szCs w:val="24"/>
        </w:rPr>
        <w:tab/>
      </w:r>
      <w:bookmarkStart w:id="103" w:name="lt_pId468"/>
      <w:r w:rsidR="002E44EE" w:rsidRPr="00A81426">
        <w:rPr>
          <w:szCs w:val="24"/>
        </w:rPr>
        <w:t>[</w:t>
      </w:r>
      <w:r w:rsidRPr="00824C56">
        <w:rPr>
          <w:szCs w:val="24"/>
        </w:rPr>
        <w:t xml:space="preserve">Sobre la base del proceso de la CMSI y teniendo en cuenta </w:t>
      </w:r>
      <w:r w:rsidR="00E42D86" w:rsidRPr="00A46090">
        <w:rPr>
          <w:szCs w:val="24"/>
        </w:rPr>
        <w:t xml:space="preserve">la labor </w:t>
      </w:r>
      <w:r w:rsidRPr="00824C56">
        <w:rPr>
          <w:szCs w:val="24"/>
        </w:rPr>
        <w:t xml:space="preserve">del </w:t>
      </w:r>
      <w:r w:rsidR="002E44EE" w:rsidRPr="00A46090">
        <w:rPr>
          <w:szCs w:val="24"/>
        </w:rPr>
        <w:t>Panel</w:t>
      </w:r>
      <w:r w:rsidR="00E42D86" w:rsidRPr="00A46090">
        <w:rPr>
          <w:szCs w:val="24"/>
        </w:rPr>
        <w:t xml:space="preserve"> </w:t>
      </w:r>
      <w:r w:rsidRPr="00824C56">
        <w:rPr>
          <w:szCs w:val="24"/>
        </w:rPr>
        <w:t xml:space="preserve">de Alto Nivel sobre </w:t>
      </w:r>
      <w:r w:rsidR="002E44EE" w:rsidRPr="00A46090">
        <w:rPr>
          <w:szCs w:val="24"/>
        </w:rPr>
        <w:t xml:space="preserve">la </w:t>
      </w:r>
      <w:r w:rsidRPr="00824C56">
        <w:rPr>
          <w:szCs w:val="24"/>
        </w:rPr>
        <w:t xml:space="preserve">Cooperación Digital del Secretario General de las Naciones Unidas, especialmente la </w:t>
      </w:r>
      <w:r w:rsidR="00296379" w:rsidRPr="00824C56">
        <w:rPr>
          <w:szCs w:val="24"/>
        </w:rPr>
        <w:t>Recomendación</w:t>
      </w:r>
      <w:r w:rsidR="00296379">
        <w:rPr>
          <w:szCs w:val="24"/>
        </w:rPr>
        <w:t> </w:t>
      </w:r>
      <w:r w:rsidRPr="00824C56">
        <w:rPr>
          <w:szCs w:val="24"/>
        </w:rPr>
        <w:t xml:space="preserve">4 (Compromiso Mundial sobre Confianza y Seguridad), la UIT debería contribuir a fortalecer los esfuerzos de facilitación para reunir a los diferentes actores. Esto podría hacerse a través de los mecanismos </w:t>
      </w:r>
      <w:r w:rsidR="00E42D86" w:rsidRPr="00A46090">
        <w:rPr>
          <w:szCs w:val="24"/>
        </w:rPr>
        <w:t xml:space="preserve">previstos </w:t>
      </w:r>
      <w:r w:rsidRPr="00824C56">
        <w:rPr>
          <w:szCs w:val="24"/>
        </w:rPr>
        <w:t xml:space="preserve">en el marco de los procesos relacionados con la Línea de Acción C5 a través del Foro de la CMSI, así como los </w:t>
      </w:r>
      <w:r w:rsidR="00E42D86" w:rsidRPr="00A46090">
        <w:rPr>
          <w:szCs w:val="24"/>
        </w:rPr>
        <w:t xml:space="preserve">previstos en el marco del </w:t>
      </w:r>
      <w:r w:rsidRPr="00824C56">
        <w:rPr>
          <w:szCs w:val="24"/>
        </w:rPr>
        <w:t>IGF, entre otros.</w:t>
      </w:r>
      <w:r w:rsidR="00E42D86" w:rsidRPr="00A46090">
        <w:rPr>
          <w:szCs w:val="24"/>
        </w:rPr>
        <w:t>]</w:t>
      </w:r>
    </w:p>
    <w:p w14:paraId="363FB1B9" w14:textId="50D1A967" w:rsidR="00322361" w:rsidRPr="00824C56" w:rsidRDefault="00322361" w:rsidP="009103A0">
      <w:pPr>
        <w:pStyle w:val="enumlev1"/>
        <w:rPr>
          <w:szCs w:val="24"/>
        </w:rPr>
      </w:pPr>
      <w:bookmarkStart w:id="104" w:name="lt_pId470"/>
      <w:bookmarkEnd w:id="103"/>
      <w:r w:rsidRPr="009103A0">
        <w:rPr>
          <w:bCs/>
          <w:szCs w:val="24"/>
        </w:rPr>
        <w:t>c</w:t>
      </w:r>
      <w:bookmarkEnd w:id="104"/>
      <w:r w:rsidRPr="009103A0">
        <w:rPr>
          <w:bCs/>
          <w:szCs w:val="24"/>
        </w:rPr>
        <w:t>)</w:t>
      </w:r>
      <w:r w:rsidRPr="00824C56">
        <w:rPr>
          <w:b/>
          <w:szCs w:val="24"/>
        </w:rPr>
        <w:tab/>
      </w:r>
      <w:bookmarkStart w:id="105" w:name="lt_pId471"/>
      <w:r w:rsidRPr="00824C56">
        <w:rPr>
          <w:szCs w:val="24"/>
        </w:rPr>
        <w:t xml:space="preserve">Al tiempo que deben seguir alentándose los debates bilaterales y multilaterales entre los principales actores, dado el carácter mundial de </w:t>
      </w:r>
      <w:r w:rsidR="00E42D86" w:rsidRPr="00A46090">
        <w:rPr>
          <w:szCs w:val="24"/>
        </w:rPr>
        <w:t>la ciberseguridad</w:t>
      </w:r>
      <w:r w:rsidRPr="00824C56">
        <w:rPr>
          <w:szCs w:val="24"/>
        </w:rPr>
        <w:t xml:space="preserve">, también es </w:t>
      </w:r>
      <w:r w:rsidR="00E42D86" w:rsidRPr="00A46090">
        <w:rPr>
          <w:szCs w:val="24"/>
        </w:rPr>
        <w:t>necesario</w:t>
      </w:r>
      <w:r w:rsidRPr="00824C56">
        <w:rPr>
          <w:szCs w:val="24"/>
        </w:rPr>
        <w:t xml:space="preserve"> que se faciliten debates de mayor alcance entre grupos más amplios, incluidos el sector privado</w:t>
      </w:r>
      <w:r w:rsidR="00E42D86" w:rsidRPr="00A46090">
        <w:rPr>
          <w:szCs w:val="24"/>
        </w:rPr>
        <w:t xml:space="preserve">, los organismos de las Naciones Unidas, las instituciones académicas, la sociedad civil </w:t>
      </w:r>
      <w:r w:rsidRPr="00824C56">
        <w:rPr>
          <w:szCs w:val="24"/>
        </w:rPr>
        <w:t>y otras partes interesadas</w:t>
      </w:r>
      <w:r w:rsidR="00E42D86" w:rsidRPr="00A46090">
        <w:rPr>
          <w:szCs w:val="24"/>
        </w:rPr>
        <w:t>[</w:t>
      </w:r>
      <w:r w:rsidR="00B72D5E" w:rsidRPr="00A46090">
        <w:rPr>
          <w:szCs w:val="24"/>
        </w:rPr>
        <w:t>,</w:t>
      </w:r>
      <w:r w:rsidR="00E42D86" w:rsidRPr="00A46090">
        <w:rPr>
          <w:szCs w:val="24"/>
        </w:rPr>
        <w:t xml:space="preserve"> con </w:t>
      </w:r>
      <w:r w:rsidR="00B72D5E" w:rsidRPr="00A46090">
        <w:rPr>
          <w:szCs w:val="24"/>
        </w:rPr>
        <w:t>miras a la adopción de medidas equitativas</w:t>
      </w:r>
      <w:r w:rsidR="007C2D93" w:rsidRPr="00A46090">
        <w:rPr>
          <w:szCs w:val="24"/>
        </w:rPr>
        <w:t>,</w:t>
      </w:r>
      <w:r w:rsidR="00B72D5E" w:rsidRPr="00A46090">
        <w:rPr>
          <w:szCs w:val="24"/>
        </w:rPr>
        <w:t xml:space="preserve"> exhaustivas y de alcance mundial que permitan </w:t>
      </w:r>
      <w:r w:rsidR="007C2D93" w:rsidRPr="00A46090">
        <w:rPr>
          <w:szCs w:val="24"/>
        </w:rPr>
        <w:t>superar</w:t>
      </w:r>
      <w:r w:rsidR="00B72D5E" w:rsidRPr="00A46090">
        <w:rPr>
          <w:szCs w:val="24"/>
        </w:rPr>
        <w:t xml:space="preserve"> los diversos retos que plantea la ciberseguridad]</w:t>
      </w:r>
      <w:r w:rsidRPr="00824C56">
        <w:rPr>
          <w:szCs w:val="24"/>
        </w:rPr>
        <w:t xml:space="preserve">. La UIT podría, </w:t>
      </w:r>
      <w:r w:rsidR="00B72D5E" w:rsidRPr="00A46090">
        <w:rPr>
          <w:szCs w:val="24"/>
        </w:rPr>
        <w:t>en las esferas comprendidas en su mandato</w:t>
      </w:r>
      <w:r w:rsidRPr="00824C56">
        <w:rPr>
          <w:szCs w:val="24"/>
        </w:rPr>
        <w:t>,</w:t>
      </w:r>
      <w:r w:rsidR="00027A4E">
        <w:rPr>
          <w:szCs w:val="24"/>
        </w:rPr>
        <w:t xml:space="preserve"> </w:t>
      </w:r>
      <w:r w:rsidRPr="00824C56">
        <w:rPr>
          <w:szCs w:val="24"/>
        </w:rPr>
        <w:t>desempeñar una función de facilitación a este respecto, colaborando con los asociados para ayudar a reunir a todos los interesados en el contexto global más amplio de las Naciones Unidas.</w:t>
      </w:r>
    </w:p>
    <w:p w14:paraId="4491E01F" w14:textId="77777777" w:rsidR="00322361" w:rsidRPr="00824C56" w:rsidRDefault="00322361" w:rsidP="009103A0">
      <w:pPr>
        <w:pStyle w:val="enumlev1"/>
        <w:rPr>
          <w:szCs w:val="24"/>
        </w:rPr>
      </w:pPr>
      <w:bookmarkStart w:id="106" w:name="lt_pId473"/>
      <w:bookmarkEnd w:id="105"/>
      <w:r w:rsidRPr="009103A0">
        <w:rPr>
          <w:szCs w:val="24"/>
        </w:rPr>
        <w:t>d</w:t>
      </w:r>
      <w:bookmarkEnd w:id="106"/>
      <w:r w:rsidRPr="009103A0">
        <w:rPr>
          <w:szCs w:val="24"/>
        </w:rPr>
        <w:t>)</w:t>
      </w:r>
      <w:r w:rsidRPr="00824C56">
        <w:rPr>
          <w:b/>
          <w:bCs/>
          <w:szCs w:val="24"/>
        </w:rPr>
        <w:tab/>
      </w:r>
      <w:bookmarkStart w:id="107" w:name="lt_pId474"/>
      <w:r w:rsidRPr="00824C56">
        <w:rPr>
          <w:szCs w:val="24"/>
        </w:rPr>
        <w:t>La UIT debería seguir explorando mecanismos innovadores, flexibles y ágiles para crear asociaciones, teniendo en cuenta la rápida evolución del sector tecnológico y la gama de nuevas entidades que están surgiendo, especialmente las empresas de nueva creación y las MIPYME.</w:t>
      </w:r>
      <w:bookmarkEnd w:id="107"/>
    </w:p>
    <w:p w14:paraId="34C0DDF7" w14:textId="68F0843F" w:rsidR="00D82393" w:rsidRDefault="00322361" w:rsidP="009103A0">
      <w:pPr>
        <w:pStyle w:val="enumlev1"/>
        <w:rPr>
          <w:szCs w:val="24"/>
        </w:rPr>
      </w:pPr>
      <w:bookmarkStart w:id="108" w:name="lt_pId475"/>
      <w:r w:rsidRPr="009103A0">
        <w:rPr>
          <w:szCs w:val="24"/>
        </w:rPr>
        <w:t>e</w:t>
      </w:r>
      <w:bookmarkEnd w:id="108"/>
      <w:r w:rsidRPr="009103A0">
        <w:rPr>
          <w:szCs w:val="24"/>
        </w:rPr>
        <w:t>)</w:t>
      </w:r>
      <w:r w:rsidRPr="00824C56">
        <w:rPr>
          <w:b/>
          <w:bCs/>
          <w:szCs w:val="24"/>
        </w:rPr>
        <w:tab/>
      </w:r>
      <w:bookmarkStart w:id="109" w:name="lt_pId476"/>
      <w:r w:rsidRPr="00824C56">
        <w:rPr>
          <w:szCs w:val="24"/>
        </w:rPr>
        <w:t xml:space="preserve">La UIT debe seguir colaborando con otros organismos clave del sistema de las Naciones Unidas </w:t>
      </w:r>
      <w:r w:rsidR="00B72D5E" w:rsidRPr="00A46090">
        <w:rPr>
          <w:szCs w:val="24"/>
        </w:rPr>
        <w:t xml:space="preserve">con objeto de respaldar la labor </w:t>
      </w:r>
      <w:r w:rsidR="002E49C9" w:rsidRPr="00A46090">
        <w:rPr>
          <w:szCs w:val="24"/>
        </w:rPr>
        <w:t xml:space="preserve">que realiza </w:t>
      </w:r>
      <w:r w:rsidRPr="00824C56">
        <w:rPr>
          <w:szCs w:val="24"/>
        </w:rPr>
        <w:t xml:space="preserve">la Secretaría de las Naciones Unidas </w:t>
      </w:r>
      <w:r w:rsidR="002E49C9" w:rsidRPr="00A46090">
        <w:rPr>
          <w:szCs w:val="24"/>
        </w:rPr>
        <w:t xml:space="preserve">para armonizar </w:t>
      </w:r>
      <w:r w:rsidRPr="00824C56">
        <w:rPr>
          <w:szCs w:val="24"/>
        </w:rPr>
        <w:t>y racionalizar sus programas y actividades en materia de ciberseguridad, a fin de prestar servicio</w:t>
      </w:r>
      <w:r w:rsidR="002E49C9" w:rsidRPr="00A46090">
        <w:rPr>
          <w:szCs w:val="24"/>
        </w:rPr>
        <w:t>s</w:t>
      </w:r>
      <w:r w:rsidRPr="00824C56">
        <w:rPr>
          <w:szCs w:val="24"/>
        </w:rPr>
        <w:t xml:space="preserve"> más efica</w:t>
      </w:r>
      <w:r w:rsidR="002E49C9" w:rsidRPr="00A46090">
        <w:rPr>
          <w:szCs w:val="24"/>
        </w:rPr>
        <w:t>ces</w:t>
      </w:r>
      <w:r w:rsidRPr="00824C56">
        <w:rPr>
          <w:szCs w:val="24"/>
        </w:rPr>
        <w:t xml:space="preserve"> a la comunidad </w:t>
      </w:r>
      <w:r w:rsidR="002E49C9" w:rsidRPr="00A46090">
        <w:rPr>
          <w:szCs w:val="24"/>
        </w:rPr>
        <w:t>internacional</w:t>
      </w:r>
      <w:r w:rsidRPr="00824C56">
        <w:rPr>
          <w:szCs w:val="24"/>
        </w:rPr>
        <w:t>.</w:t>
      </w:r>
      <w:bookmarkEnd w:id="109"/>
    </w:p>
    <w:p w14:paraId="152F4AEB" w14:textId="24C5C730" w:rsidR="00D82393" w:rsidRPr="006E77F5" w:rsidRDefault="00D82393" w:rsidP="006E77F5">
      <w:pPr>
        <w:pStyle w:val="Heading1"/>
      </w:pPr>
      <w:bookmarkStart w:id="110" w:name="lt_pId477"/>
      <w:bookmarkStart w:id="111" w:name="_Toc37331422"/>
      <w:bookmarkStart w:id="112" w:name="_Toc41378355"/>
      <w:r w:rsidRPr="006E77F5">
        <w:t>Sección 7</w:t>
      </w:r>
      <w:bookmarkStart w:id="113" w:name="lt_pId478"/>
      <w:bookmarkEnd w:id="110"/>
      <w:r w:rsidR="00322361" w:rsidRPr="006E77F5">
        <w:t xml:space="preserve">. </w:t>
      </w:r>
      <w:r w:rsidRPr="006E77F5">
        <w:t>Directrices generales para el marco de la ACG</w:t>
      </w:r>
      <w:bookmarkEnd w:id="111"/>
      <w:bookmarkEnd w:id="112"/>
      <w:bookmarkEnd w:id="113"/>
    </w:p>
    <w:p w14:paraId="5D2EC4E8" w14:textId="77777777" w:rsidR="009103A0" w:rsidRDefault="00322361" w:rsidP="009103A0">
      <w:pPr>
        <w:rPr>
          <w:szCs w:val="24"/>
        </w:rPr>
      </w:pPr>
      <w:r w:rsidRPr="00824C56">
        <w:rPr>
          <w:b/>
          <w:bCs/>
          <w:szCs w:val="24"/>
        </w:rPr>
        <w:t>7</w:t>
      </w:r>
      <w:r w:rsidRPr="00824C56">
        <w:rPr>
          <w:b/>
          <w:bCs/>
          <w:szCs w:val="24"/>
        </w:rPr>
        <w:tab/>
      </w:r>
      <w:bookmarkStart w:id="114" w:name="lt_pId480"/>
      <w:r w:rsidRPr="00824C56">
        <w:rPr>
          <w:szCs w:val="24"/>
        </w:rPr>
        <w:t>En el proceso de elaboración de directrices para la utilización de la ACG surgieron algunas directrices transversales amplias que son aplicables y pertinentes para toda la labor de la UIT y los cinco Pilares de la ACG.</w:t>
      </w:r>
      <w:r w:rsidRPr="00824C56">
        <w:rPr>
          <w:b/>
          <w:bCs/>
          <w:szCs w:val="24"/>
        </w:rPr>
        <w:t xml:space="preserve"> </w:t>
      </w:r>
      <w:bookmarkStart w:id="115" w:name="lt_pId481"/>
      <w:bookmarkEnd w:id="114"/>
      <w:r w:rsidRPr="00824C56">
        <w:rPr>
          <w:szCs w:val="24"/>
        </w:rPr>
        <w:t>Al reconocer las fuertes interrelaciones entre los Pilares, así como la necesidad de que la UIT y sus miembros trabajen en pro de una visión global y exhaustiva de la acción en materia de ciberseguridad, se proponen las siguientes directrices generales:</w:t>
      </w:r>
      <w:bookmarkEnd w:id="115"/>
    </w:p>
    <w:p w14:paraId="616F74A4" w14:textId="77777777" w:rsidR="009103A0" w:rsidRDefault="009103A0" w:rsidP="009103A0">
      <w:pPr>
        <w:pStyle w:val="enumlev1"/>
      </w:pPr>
      <w:r>
        <w:t>a)</w:t>
      </w:r>
      <w:r w:rsidR="00322361" w:rsidRPr="00824C56">
        <w:tab/>
      </w:r>
      <w:bookmarkStart w:id="116" w:name="lt_pId483"/>
      <w:r w:rsidR="00322361" w:rsidRPr="00824C56">
        <w:t>Habida cuenta de la proliferación de partes interesadas, organizaciones, asociaciones y lugares que trabajan en el ámbito de la ciberseguridad y que impulsan diferentes aspectos de los avances, la UIT debe seguir fortaleciendo y ampliando sus colaboraciones e implicaciones en beneficio colectivo de todas esas partes interesadas, a fin de mejorar el intercambio de conocimientos, de información y de experiencias, evitando al mismo tiempo la duplicación de esfuerzos.</w:t>
      </w:r>
      <w:bookmarkEnd w:id="116"/>
    </w:p>
    <w:p w14:paraId="30BC1C7D" w14:textId="77777777" w:rsidR="00D73CC4" w:rsidRDefault="009103A0" w:rsidP="00D73CC4">
      <w:pPr>
        <w:pStyle w:val="enumlev1"/>
      </w:pPr>
      <w:r>
        <w:lastRenderedPageBreak/>
        <w:t>b)</w:t>
      </w:r>
      <w:r w:rsidR="00322361" w:rsidRPr="00F46E47">
        <w:rPr>
          <w:rFonts w:asciiTheme="minorHAnsi" w:hAnsiTheme="minorHAnsi" w:cstheme="minorHAnsi"/>
          <w:b/>
          <w:bCs/>
          <w:szCs w:val="24"/>
        </w:rPr>
        <w:tab/>
      </w:r>
      <w:r w:rsidR="00322361" w:rsidRPr="00D73CC4">
        <w:t>La UIT debe servir de depósito de información para las diversas actividades, iniciativas y proyectos mundiales que están llevando a cabo en las diferentes facetas de la ciberseguridad otras partes interesadas y organizaciones activas en esta esfera, y que pueden tener el mandato, la función y/o las responsabilidades principales en esas facetas específicas, a fin de que la comunidad internacional pueda tener un punto de acceso fácil a todos esos recursos.</w:t>
      </w:r>
      <w:bookmarkStart w:id="117" w:name="lt_pId487"/>
    </w:p>
    <w:p w14:paraId="4289CF2D" w14:textId="77777777" w:rsidR="00D73CC4" w:rsidRPr="00D73CC4" w:rsidRDefault="00D73CC4" w:rsidP="00D73CC4">
      <w:pPr>
        <w:pStyle w:val="enumlev1"/>
      </w:pPr>
      <w:r>
        <w:t>c)</w:t>
      </w:r>
      <w:r>
        <w:tab/>
      </w:r>
      <w:r w:rsidR="00322361" w:rsidRPr="00D73CC4">
        <w:t>Toda labor que lleve a cabo la UIT de conformidad con la ACG debe basarse en una evaluación clara de las necesidades y los objetivos de sus miembros utilizando herramientas como el GCI, los productos necesarios para satisfacerlos y responder a los sistemas de medición y las medidas apropiadas que se han diseñado específicamente con este fin.</w:t>
      </w:r>
      <w:bookmarkStart w:id="118" w:name="lt_pId489"/>
      <w:bookmarkEnd w:id="117"/>
    </w:p>
    <w:p w14:paraId="5F631E02" w14:textId="3F2D6E7C" w:rsidR="00322361" w:rsidRPr="00D73CC4" w:rsidRDefault="00D73CC4" w:rsidP="00D73CC4">
      <w:pPr>
        <w:pStyle w:val="enumlev1"/>
      </w:pPr>
      <w:r>
        <w:t>d)</w:t>
      </w:r>
      <w:r>
        <w:tab/>
      </w:r>
      <w:r w:rsidR="00322361" w:rsidRPr="00D73CC4">
        <w:t xml:space="preserve">La UIT debería seguir realizando el seguimiento del desarrollo y la utilización de las TIC nuevas y emergentes, a fin de orientar a los Estados Miembros y las partes interesadas acerca de los aspectos de seguridad de esas tecnologías, dentro de su ámbito de competencia, y, cuando proceda, la posible aplicación de las mismas para contrarrestar las </w:t>
      </w:r>
      <w:proofErr w:type="spellStart"/>
      <w:r w:rsidR="00322361" w:rsidRPr="00D73CC4">
        <w:t>ciberamenazas</w:t>
      </w:r>
      <w:proofErr w:type="spellEnd"/>
      <w:r w:rsidR="00322361" w:rsidRPr="00D73CC4">
        <w:t>.</w:t>
      </w:r>
      <w:bookmarkEnd w:id="118"/>
    </w:p>
    <w:p w14:paraId="1A48DEF1" w14:textId="30EDD1EC" w:rsidR="007955DA" w:rsidRPr="00F46E47" w:rsidRDefault="00322361" w:rsidP="00D73CC4">
      <w:pPr>
        <w:pStyle w:val="enumlev1"/>
        <w:rPr>
          <w:bCs/>
          <w:iCs/>
        </w:rPr>
      </w:pPr>
      <w:bookmarkStart w:id="119" w:name="lt_pId490"/>
      <w:r w:rsidRPr="00D73CC4">
        <w:rPr>
          <w:lang w:eastAsia="zh-CN"/>
        </w:rPr>
        <w:t>e</w:t>
      </w:r>
      <w:bookmarkEnd w:id="119"/>
      <w:r w:rsidRPr="00D73CC4">
        <w:rPr>
          <w:lang w:eastAsia="zh-CN"/>
        </w:rPr>
        <w:t>)</w:t>
      </w:r>
      <w:r w:rsidRPr="00F46E47">
        <w:rPr>
          <w:lang w:eastAsia="zh-CN"/>
        </w:rPr>
        <w:tab/>
      </w:r>
      <w:bookmarkStart w:id="120" w:name="lt_pId491"/>
      <w:r w:rsidRPr="00D73CC4">
        <w:t>Habida cuenta de las repercusiones intrínsecamente transnacionales e intersectoriales de la ciberseguridad, la UIT debe promover actividades, iniciativas y proyectos que puedan ayudar a los Estados Miembros a propiciar un mismo enfoque a escala de todo el gobierno para abordar la cuestión.</w:t>
      </w:r>
      <w:bookmarkEnd w:id="120"/>
    </w:p>
    <w:p w14:paraId="24EE0453" w14:textId="77777777" w:rsidR="00322361" w:rsidRDefault="00322361" w:rsidP="00322361"/>
    <w:p w14:paraId="2E9B295F" w14:textId="199A434D" w:rsidR="00322361" w:rsidRDefault="00322361" w:rsidP="00322361">
      <w:pPr>
        <w:jc w:val="center"/>
      </w:pPr>
      <w:r>
        <w:t>______________</w:t>
      </w:r>
      <w:bookmarkStart w:id="121" w:name="_GoBack"/>
      <w:bookmarkEnd w:id="121"/>
    </w:p>
    <w:sectPr w:rsidR="00322361" w:rsidSect="006710F6">
      <w:headerReference w:type="default" r:id="rId30"/>
      <w:footerReference w:type="default" r:id="rId31"/>
      <w:footerReference w:type="first" r:id="rId3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6893C" w14:textId="77777777" w:rsidR="006057EE" w:rsidRDefault="006057EE">
      <w:r>
        <w:separator/>
      </w:r>
    </w:p>
  </w:endnote>
  <w:endnote w:type="continuationSeparator" w:id="0">
    <w:p w14:paraId="76B4280A" w14:textId="77777777" w:rsidR="006057EE" w:rsidRDefault="0060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1042" w14:textId="6C71BEF2" w:rsidR="006057EE" w:rsidRPr="00D8236F" w:rsidRDefault="00D73CC4" w:rsidP="00D73CC4">
    <w:pPr>
      <w:pStyle w:val="Footer"/>
      <w:rPr>
        <w:color w:val="F2F2F2" w:themeColor="background1" w:themeShade="F2"/>
        <w:lang w:val="es-CO"/>
      </w:rPr>
    </w:pPr>
    <w:r w:rsidRPr="00D8236F">
      <w:rPr>
        <w:color w:val="F2F2F2" w:themeColor="background1" w:themeShade="F2"/>
        <w:lang w:val="fr-FR"/>
      </w:rPr>
      <w:t xml:space="preserve">P:\ESP\SG\CONSEIL\c22\000\032s.docx </w:t>
    </w:r>
    <w:r w:rsidRPr="00D8236F">
      <w:rPr>
        <w:color w:val="F2F2F2" w:themeColor="background1" w:themeShade="F2"/>
        <w:lang w:val="es-CO"/>
      </w:rPr>
      <w:t>(498302)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D0C1" w14:textId="77777777" w:rsidR="006057EE" w:rsidRDefault="006057EE">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6648C" w14:textId="77777777" w:rsidR="006057EE" w:rsidRDefault="006057EE">
      <w:r>
        <w:t>____________________</w:t>
      </w:r>
    </w:p>
  </w:footnote>
  <w:footnote w:type="continuationSeparator" w:id="0">
    <w:p w14:paraId="48A1E63C" w14:textId="77777777" w:rsidR="006057EE" w:rsidRDefault="006057EE">
      <w:r>
        <w:continuationSeparator/>
      </w:r>
    </w:p>
  </w:footnote>
  <w:footnote w:id="1">
    <w:p w14:paraId="6B2841AC" w14:textId="18550EAB" w:rsidR="00BA06C7" w:rsidRPr="00BA06C7" w:rsidRDefault="00BA06C7">
      <w:pPr>
        <w:pStyle w:val="FootnoteText"/>
        <w:rPr>
          <w:lang w:val="es-ES"/>
        </w:rPr>
      </w:pPr>
      <w:r>
        <w:rPr>
          <w:rStyle w:val="FootnoteReference"/>
        </w:rPr>
        <w:footnoteRef/>
      </w:r>
      <w:r>
        <w:t xml:space="preserve"> </w:t>
      </w:r>
      <w:r>
        <w:tab/>
      </w:r>
      <w:bookmarkStart w:id="21" w:name="lt_pId588"/>
      <w:r w:rsidRPr="00AD1C79">
        <w:rPr>
          <w:rFonts w:asciiTheme="minorHAnsi" w:hAnsiTheme="minorHAnsi" w:cstheme="minorHAnsi"/>
          <w:sz w:val="20"/>
        </w:rPr>
        <w:t xml:space="preserve">Actas de la decimoséptima Sesión Plenaria de la Conferencia de Plenipotenciarios, Dubái, 15 de noviembre de 2018, disponible en </w:t>
      </w:r>
      <w:hyperlink r:id="rId1" w:history="1">
        <w:r w:rsidRPr="00AD1C79">
          <w:rPr>
            <w:rStyle w:val="Hyperlink"/>
            <w:rFonts w:asciiTheme="minorHAnsi" w:hAnsiTheme="minorHAnsi" w:cstheme="minorHAnsi"/>
            <w:sz w:val="20"/>
          </w:rPr>
          <w:t>https://www.itu.int/md/S18-PP-C-0174/es</w:t>
        </w:r>
      </w:hyperlink>
      <w:bookmarkEnd w:id="21"/>
      <w:r w:rsidRPr="00AD1C79">
        <w:rPr>
          <w:sz w:val="20"/>
        </w:rPr>
        <w:t>.</w:t>
      </w:r>
    </w:p>
  </w:footnote>
  <w:footnote w:id="2">
    <w:p w14:paraId="60F509FE" w14:textId="68E686ED" w:rsidR="00BA06C7" w:rsidRPr="00BA06C7" w:rsidRDefault="00BA06C7">
      <w:pPr>
        <w:pStyle w:val="FootnoteText"/>
        <w:rPr>
          <w:lang w:val="es-ES"/>
        </w:rPr>
      </w:pPr>
      <w:r>
        <w:rPr>
          <w:rStyle w:val="FootnoteReference"/>
        </w:rPr>
        <w:footnoteRef/>
      </w:r>
      <w:r>
        <w:t xml:space="preserve"> </w:t>
      </w:r>
      <w:r>
        <w:rPr>
          <w:lang w:val="es-ES"/>
        </w:rPr>
        <w:tab/>
      </w:r>
      <w:r w:rsidRPr="00AD1C79">
        <w:rPr>
          <w:rFonts w:asciiTheme="minorHAnsi" w:hAnsiTheme="minorHAnsi" w:cstheme="minorHAnsi"/>
          <w:sz w:val="20"/>
          <w:lang w:val="es-ES"/>
        </w:rPr>
        <w:t xml:space="preserve">Transmisión del Informe del Expresidente del Grupo de Expertos de Alto Nivel de la Agenda sobre Ciberseguridad Global (C19/58), UIT, 8 de mayo de 2019, disponible en </w:t>
      </w:r>
      <w:hyperlink r:id="rId2" w:history="1">
        <w:r w:rsidRPr="00AD1C79">
          <w:rPr>
            <w:rStyle w:val="Hyperlink"/>
            <w:rFonts w:asciiTheme="minorHAnsi" w:hAnsiTheme="minorHAnsi" w:cstheme="minorHAnsi"/>
            <w:sz w:val="20"/>
            <w:lang w:val="es-ES"/>
          </w:rPr>
          <w:t>https://www.itu.int/md/S19-CL-C-0058/es</w:t>
        </w:r>
      </w:hyperlink>
      <w:r w:rsidRPr="00AD1C79">
        <w:rPr>
          <w:sz w:val="20"/>
        </w:rPr>
        <w:t>.</w:t>
      </w:r>
    </w:p>
  </w:footnote>
  <w:footnote w:id="3">
    <w:p w14:paraId="5DB28324" w14:textId="10790EDC" w:rsidR="00BA06C7" w:rsidRPr="00BA06C7" w:rsidRDefault="00BA06C7">
      <w:pPr>
        <w:pStyle w:val="FootnoteText"/>
        <w:rPr>
          <w:lang w:val="es-ES"/>
        </w:rPr>
      </w:pPr>
      <w:r>
        <w:rPr>
          <w:rStyle w:val="FootnoteReference"/>
        </w:rPr>
        <w:footnoteRef/>
      </w:r>
      <w:r>
        <w:t xml:space="preserve"> </w:t>
      </w:r>
      <w:r>
        <w:rPr>
          <w:lang w:val="es-ES"/>
        </w:rPr>
        <w:tab/>
      </w:r>
      <w:r w:rsidRPr="00AD1C79">
        <w:rPr>
          <w:rFonts w:asciiTheme="minorHAnsi" w:hAnsiTheme="minorHAnsi" w:cstheme="minorHAnsi"/>
          <w:sz w:val="20"/>
        </w:rPr>
        <w:t xml:space="preserve">Resumen de los debates de la sexta Sesión Plenaria (C19/117), UIT, 20 de junio de 2019, disponible en </w:t>
      </w:r>
      <w:hyperlink r:id="rId3" w:history="1">
        <w:r w:rsidRPr="00AD1C79">
          <w:rPr>
            <w:rStyle w:val="Hyperlink"/>
            <w:rFonts w:asciiTheme="minorHAnsi" w:hAnsiTheme="minorHAnsi" w:cstheme="minorHAnsi"/>
            <w:sz w:val="20"/>
          </w:rPr>
          <w:t>https://www.itu.int/md/S19-CL-C-0117/es</w:t>
        </w:r>
      </w:hyperlink>
      <w:r w:rsidRPr="00AD1C79">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81AD" w14:textId="5C51E72F" w:rsidR="006057EE" w:rsidRDefault="006057EE" w:rsidP="007657F0">
    <w:pPr>
      <w:pStyle w:val="Header"/>
    </w:pPr>
    <w:r>
      <w:fldChar w:fldCharType="begin"/>
    </w:r>
    <w:r>
      <w:instrText>PAGE</w:instrText>
    </w:r>
    <w:r>
      <w:fldChar w:fldCharType="separate"/>
    </w:r>
    <w:r w:rsidR="00F46E47">
      <w:rPr>
        <w:noProof/>
      </w:rPr>
      <w:t>2</w:t>
    </w:r>
    <w:r>
      <w:rPr>
        <w:noProof/>
      </w:rPr>
      <w:fldChar w:fldCharType="end"/>
    </w:r>
  </w:p>
  <w:p w14:paraId="7DEB899C" w14:textId="71CB4523" w:rsidR="006057EE" w:rsidRDefault="006057EE" w:rsidP="00C2727F">
    <w:pPr>
      <w:pStyle w:val="Header"/>
    </w:pPr>
    <w:r>
      <w:t>C22/32-S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8B5"/>
    <w:multiLevelType w:val="hybridMultilevel"/>
    <w:tmpl w:val="215AC8C2"/>
    <w:lvl w:ilvl="0" w:tplc="78328982">
      <w:start w:val="1"/>
      <w:numFmt w:val="bullet"/>
      <w:lvlText w:val=""/>
      <w:lvlJc w:val="left"/>
      <w:pPr>
        <w:ind w:left="720" w:hanging="360"/>
      </w:pPr>
      <w:rPr>
        <w:rFonts w:ascii="Symbol" w:hAnsi="Symbol" w:hint="default"/>
      </w:rPr>
    </w:lvl>
    <w:lvl w:ilvl="1" w:tplc="BE707ACE">
      <w:start w:val="1"/>
      <w:numFmt w:val="bullet"/>
      <w:lvlText w:val="o"/>
      <w:lvlJc w:val="left"/>
      <w:pPr>
        <w:ind w:left="1440" w:hanging="360"/>
      </w:pPr>
      <w:rPr>
        <w:rFonts w:ascii="Courier New" w:hAnsi="Courier New" w:cs="Courier New" w:hint="default"/>
      </w:rPr>
    </w:lvl>
    <w:lvl w:ilvl="2" w:tplc="A21A30BE" w:tentative="1">
      <w:start w:val="1"/>
      <w:numFmt w:val="bullet"/>
      <w:lvlText w:val=""/>
      <w:lvlJc w:val="left"/>
      <w:pPr>
        <w:ind w:left="2160" w:hanging="360"/>
      </w:pPr>
      <w:rPr>
        <w:rFonts w:ascii="Wingdings" w:hAnsi="Wingdings" w:hint="default"/>
      </w:rPr>
    </w:lvl>
    <w:lvl w:ilvl="3" w:tplc="5DEECCBA" w:tentative="1">
      <w:start w:val="1"/>
      <w:numFmt w:val="bullet"/>
      <w:lvlText w:val=""/>
      <w:lvlJc w:val="left"/>
      <w:pPr>
        <w:ind w:left="2880" w:hanging="360"/>
      </w:pPr>
      <w:rPr>
        <w:rFonts w:ascii="Symbol" w:hAnsi="Symbol" w:hint="default"/>
      </w:rPr>
    </w:lvl>
    <w:lvl w:ilvl="4" w:tplc="BB66EF64" w:tentative="1">
      <w:start w:val="1"/>
      <w:numFmt w:val="bullet"/>
      <w:lvlText w:val="o"/>
      <w:lvlJc w:val="left"/>
      <w:pPr>
        <w:ind w:left="3600" w:hanging="360"/>
      </w:pPr>
      <w:rPr>
        <w:rFonts w:ascii="Courier New" w:hAnsi="Courier New" w:cs="Courier New" w:hint="default"/>
      </w:rPr>
    </w:lvl>
    <w:lvl w:ilvl="5" w:tplc="5C70AD38" w:tentative="1">
      <w:start w:val="1"/>
      <w:numFmt w:val="bullet"/>
      <w:lvlText w:val=""/>
      <w:lvlJc w:val="left"/>
      <w:pPr>
        <w:ind w:left="4320" w:hanging="360"/>
      </w:pPr>
      <w:rPr>
        <w:rFonts w:ascii="Wingdings" w:hAnsi="Wingdings" w:hint="default"/>
      </w:rPr>
    </w:lvl>
    <w:lvl w:ilvl="6" w:tplc="E35CD31E" w:tentative="1">
      <w:start w:val="1"/>
      <w:numFmt w:val="bullet"/>
      <w:lvlText w:val=""/>
      <w:lvlJc w:val="left"/>
      <w:pPr>
        <w:ind w:left="5040" w:hanging="360"/>
      </w:pPr>
      <w:rPr>
        <w:rFonts w:ascii="Symbol" w:hAnsi="Symbol" w:hint="default"/>
      </w:rPr>
    </w:lvl>
    <w:lvl w:ilvl="7" w:tplc="D0C0FE2C" w:tentative="1">
      <w:start w:val="1"/>
      <w:numFmt w:val="bullet"/>
      <w:lvlText w:val="o"/>
      <w:lvlJc w:val="left"/>
      <w:pPr>
        <w:ind w:left="5760" w:hanging="360"/>
      </w:pPr>
      <w:rPr>
        <w:rFonts w:ascii="Courier New" w:hAnsi="Courier New" w:cs="Courier New" w:hint="default"/>
      </w:rPr>
    </w:lvl>
    <w:lvl w:ilvl="8" w:tplc="754A1F70" w:tentative="1">
      <w:start w:val="1"/>
      <w:numFmt w:val="bullet"/>
      <w:lvlText w:val=""/>
      <w:lvlJc w:val="left"/>
      <w:pPr>
        <w:ind w:left="6480" w:hanging="360"/>
      </w:pPr>
      <w:rPr>
        <w:rFonts w:ascii="Wingdings" w:hAnsi="Wingdings" w:hint="default"/>
      </w:rPr>
    </w:lvl>
  </w:abstractNum>
  <w:abstractNum w:abstractNumId="1" w15:restartNumberingAfterBreak="0">
    <w:nsid w:val="161422A1"/>
    <w:multiLevelType w:val="hybridMultilevel"/>
    <w:tmpl w:val="7E949B8A"/>
    <w:lvl w:ilvl="0" w:tplc="AE884B52">
      <w:start w:val="1"/>
      <w:numFmt w:val="bullet"/>
      <w:lvlText w:val=""/>
      <w:lvlJc w:val="left"/>
      <w:pPr>
        <w:ind w:left="927" w:hanging="360"/>
      </w:pPr>
      <w:rPr>
        <w:rFonts w:ascii="Symbol" w:hAnsi="Symbol" w:hint="default"/>
      </w:rPr>
    </w:lvl>
    <w:lvl w:ilvl="1" w:tplc="D9C05D3C" w:tentative="1">
      <w:start w:val="1"/>
      <w:numFmt w:val="bullet"/>
      <w:lvlText w:val="o"/>
      <w:lvlJc w:val="left"/>
      <w:pPr>
        <w:ind w:left="1647" w:hanging="360"/>
      </w:pPr>
      <w:rPr>
        <w:rFonts w:ascii="Courier New" w:hAnsi="Courier New" w:cs="Courier New" w:hint="default"/>
      </w:rPr>
    </w:lvl>
    <w:lvl w:ilvl="2" w:tplc="6512DB9A" w:tentative="1">
      <w:start w:val="1"/>
      <w:numFmt w:val="bullet"/>
      <w:lvlText w:val=""/>
      <w:lvlJc w:val="left"/>
      <w:pPr>
        <w:ind w:left="2367" w:hanging="360"/>
      </w:pPr>
      <w:rPr>
        <w:rFonts w:ascii="Wingdings" w:hAnsi="Wingdings" w:hint="default"/>
      </w:rPr>
    </w:lvl>
    <w:lvl w:ilvl="3" w:tplc="35AC901C" w:tentative="1">
      <w:start w:val="1"/>
      <w:numFmt w:val="bullet"/>
      <w:lvlText w:val=""/>
      <w:lvlJc w:val="left"/>
      <w:pPr>
        <w:ind w:left="3087" w:hanging="360"/>
      </w:pPr>
      <w:rPr>
        <w:rFonts w:ascii="Symbol" w:hAnsi="Symbol" w:hint="default"/>
      </w:rPr>
    </w:lvl>
    <w:lvl w:ilvl="4" w:tplc="E6C6ECF0" w:tentative="1">
      <w:start w:val="1"/>
      <w:numFmt w:val="bullet"/>
      <w:lvlText w:val="o"/>
      <w:lvlJc w:val="left"/>
      <w:pPr>
        <w:ind w:left="3807" w:hanging="360"/>
      </w:pPr>
      <w:rPr>
        <w:rFonts w:ascii="Courier New" w:hAnsi="Courier New" w:cs="Courier New" w:hint="default"/>
      </w:rPr>
    </w:lvl>
    <w:lvl w:ilvl="5" w:tplc="3A22B368" w:tentative="1">
      <w:start w:val="1"/>
      <w:numFmt w:val="bullet"/>
      <w:lvlText w:val=""/>
      <w:lvlJc w:val="left"/>
      <w:pPr>
        <w:ind w:left="4527" w:hanging="360"/>
      </w:pPr>
      <w:rPr>
        <w:rFonts w:ascii="Wingdings" w:hAnsi="Wingdings" w:hint="default"/>
      </w:rPr>
    </w:lvl>
    <w:lvl w:ilvl="6" w:tplc="2AEAB08E" w:tentative="1">
      <w:start w:val="1"/>
      <w:numFmt w:val="bullet"/>
      <w:lvlText w:val=""/>
      <w:lvlJc w:val="left"/>
      <w:pPr>
        <w:ind w:left="5247" w:hanging="360"/>
      </w:pPr>
      <w:rPr>
        <w:rFonts w:ascii="Symbol" w:hAnsi="Symbol" w:hint="default"/>
      </w:rPr>
    </w:lvl>
    <w:lvl w:ilvl="7" w:tplc="D41E065A" w:tentative="1">
      <w:start w:val="1"/>
      <w:numFmt w:val="bullet"/>
      <w:lvlText w:val="o"/>
      <w:lvlJc w:val="left"/>
      <w:pPr>
        <w:ind w:left="5967" w:hanging="360"/>
      </w:pPr>
      <w:rPr>
        <w:rFonts w:ascii="Courier New" w:hAnsi="Courier New" w:cs="Courier New" w:hint="default"/>
      </w:rPr>
    </w:lvl>
    <w:lvl w:ilvl="8" w:tplc="F1EA2C30" w:tentative="1">
      <w:start w:val="1"/>
      <w:numFmt w:val="bullet"/>
      <w:lvlText w:val=""/>
      <w:lvlJc w:val="left"/>
      <w:pPr>
        <w:ind w:left="6687" w:hanging="360"/>
      </w:pPr>
      <w:rPr>
        <w:rFonts w:ascii="Wingdings" w:hAnsi="Wingdings" w:hint="default"/>
      </w:rPr>
    </w:lvl>
  </w:abstractNum>
  <w:abstractNum w:abstractNumId="2" w15:restartNumberingAfterBreak="0">
    <w:nsid w:val="1D8659A1"/>
    <w:multiLevelType w:val="hybridMultilevel"/>
    <w:tmpl w:val="8CB213DE"/>
    <w:lvl w:ilvl="0" w:tplc="013A65CC">
      <w:start w:val="1"/>
      <w:numFmt w:val="bullet"/>
      <w:lvlText w:val=""/>
      <w:lvlJc w:val="left"/>
      <w:pPr>
        <w:ind w:left="720" w:hanging="360"/>
      </w:pPr>
      <w:rPr>
        <w:rFonts w:ascii="Symbol" w:hAnsi="Symbol" w:hint="default"/>
      </w:rPr>
    </w:lvl>
    <w:lvl w:ilvl="1" w:tplc="AED83B88" w:tentative="1">
      <w:start w:val="1"/>
      <w:numFmt w:val="bullet"/>
      <w:lvlText w:val="o"/>
      <w:lvlJc w:val="left"/>
      <w:pPr>
        <w:ind w:left="1440" w:hanging="360"/>
      </w:pPr>
      <w:rPr>
        <w:rFonts w:ascii="Courier New" w:hAnsi="Courier New" w:cs="Courier New" w:hint="default"/>
      </w:rPr>
    </w:lvl>
    <w:lvl w:ilvl="2" w:tplc="2F7611E4" w:tentative="1">
      <w:start w:val="1"/>
      <w:numFmt w:val="bullet"/>
      <w:lvlText w:val=""/>
      <w:lvlJc w:val="left"/>
      <w:pPr>
        <w:ind w:left="2160" w:hanging="360"/>
      </w:pPr>
      <w:rPr>
        <w:rFonts w:ascii="Wingdings" w:hAnsi="Wingdings" w:hint="default"/>
      </w:rPr>
    </w:lvl>
    <w:lvl w:ilvl="3" w:tplc="D9A8C2BE" w:tentative="1">
      <w:start w:val="1"/>
      <w:numFmt w:val="bullet"/>
      <w:lvlText w:val=""/>
      <w:lvlJc w:val="left"/>
      <w:pPr>
        <w:ind w:left="2880" w:hanging="360"/>
      </w:pPr>
      <w:rPr>
        <w:rFonts w:ascii="Symbol" w:hAnsi="Symbol" w:hint="default"/>
      </w:rPr>
    </w:lvl>
    <w:lvl w:ilvl="4" w:tplc="6646181E" w:tentative="1">
      <w:start w:val="1"/>
      <w:numFmt w:val="bullet"/>
      <w:lvlText w:val="o"/>
      <w:lvlJc w:val="left"/>
      <w:pPr>
        <w:ind w:left="3600" w:hanging="360"/>
      </w:pPr>
      <w:rPr>
        <w:rFonts w:ascii="Courier New" w:hAnsi="Courier New" w:cs="Courier New" w:hint="default"/>
      </w:rPr>
    </w:lvl>
    <w:lvl w:ilvl="5" w:tplc="83FC04D8" w:tentative="1">
      <w:start w:val="1"/>
      <w:numFmt w:val="bullet"/>
      <w:lvlText w:val=""/>
      <w:lvlJc w:val="left"/>
      <w:pPr>
        <w:ind w:left="4320" w:hanging="360"/>
      </w:pPr>
      <w:rPr>
        <w:rFonts w:ascii="Wingdings" w:hAnsi="Wingdings" w:hint="default"/>
      </w:rPr>
    </w:lvl>
    <w:lvl w:ilvl="6" w:tplc="4B5EC54E" w:tentative="1">
      <w:start w:val="1"/>
      <w:numFmt w:val="bullet"/>
      <w:lvlText w:val=""/>
      <w:lvlJc w:val="left"/>
      <w:pPr>
        <w:ind w:left="5040" w:hanging="360"/>
      </w:pPr>
      <w:rPr>
        <w:rFonts w:ascii="Symbol" w:hAnsi="Symbol" w:hint="default"/>
      </w:rPr>
    </w:lvl>
    <w:lvl w:ilvl="7" w:tplc="EE1AF448" w:tentative="1">
      <w:start w:val="1"/>
      <w:numFmt w:val="bullet"/>
      <w:lvlText w:val="o"/>
      <w:lvlJc w:val="left"/>
      <w:pPr>
        <w:ind w:left="5760" w:hanging="360"/>
      </w:pPr>
      <w:rPr>
        <w:rFonts w:ascii="Courier New" w:hAnsi="Courier New" w:cs="Courier New" w:hint="default"/>
      </w:rPr>
    </w:lvl>
    <w:lvl w:ilvl="8" w:tplc="FA787A36" w:tentative="1">
      <w:start w:val="1"/>
      <w:numFmt w:val="bullet"/>
      <w:lvlText w:val=""/>
      <w:lvlJc w:val="left"/>
      <w:pPr>
        <w:ind w:left="6480" w:hanging="360"/>
      </w:pPr>
      <w:rPr>
        <w:rFonts w:ascii="Wingdings" w:hAnsi="Wingdings" w:hint="default"/>
      </w:rPr>
    </w:lvl>
  </w:abstractNum>
  <w:abstractNum w:abstractNumId="3" w15:restartNumberingAfterBreak="0">
    <w:nsid w:val="424106E6"/>
    <w:multiLevelType w:val="hybridMultilevel"/>
    <w:tmpl w:val="A23096D0"/>
    <w:lvl w:ilvl="0" w:tplc="CAF0D04A">
      <w:start w:val="1"/>
      <w:numFmt w:val="bullet"/>
      <w:lvlText w:val=""/>
      <w:lvlJc w:val="left"/>
      <w:pPr>
        <w:ind w:left="720" w:hanging="360"/>
      </w:pPr>
      <w:rPr>
        <w:rFonts w:ascii="Symbol" w:hAnsi="Symbol" w:hint="default"/>
      </w:rPr>
    </w:lvl>
    <w:lvl w:ilvl="1" w:tplc="60A8AC36">
      <w:start w:val="1"/>
      <w:numFmt w:val="bullet"/>
      <w:lvlText w:val="o"/>
      <w:lvlJc w:val="left"/>
      <w:pPr>
        <w:ind w:left="1440" w:hanging="360"/>
      </w:pPr>
      <w:rPr>
        <w:rFonts w:ascii="Courier New" w:hAnsi="Courier New" w:hint="default"/>
      </w:rPr>
    </w:lvl>
    <w:lvl w:ilvl="2" w:tplc="1286DB88" w:tentative="1">
      <w:start w:val="1"/>
      <w:numFmt w:val="bullet"/>
      <w:lvlText w:val=""/>
      <w:lvlJc w:val="left"/>
      <w:pPr>
        <w:ind w:left="2160" w:hanging="360"/>
      </w:pPr>
      <w:rPr>
        <w:rFonts w:ascii="Wingdings" w:hAnsi="Wingdings" w:hint="default"/>
      </w:rPr>
    </w:lvl>
    <w:lvl w:ilvl="3" w:tplc="8922441C" w:tentative="1">
      <w:start w:val="1"/>
      <w:numFmt w:val="bullet"/>
      <w:lvlText w:val=""/>
      <w:lvlJc w:val="left"/>
      <w:pPr>
        <w:ind w:left="2880" w:hanging="360"/>
      </w:pPr>
      <w:rPr>
        <w:rFonts w:ascii="Symbol" w:hAnsi="Symbol" w:hint="default"/>
      </w:rPr>
    </w:lvl>
    <w:lvl w:ilvl="4" w:tplc="505C57D0" w:tentative="1">
      <w:start w:val="1"/>
      <w:numFmt w:val="bullet"/>
      <w:lvlText w:val="o"/>
      <w:lvlJc w:val="left"/>
      <w:pPr>
        <w:ind w:left="3600" w:hanging="360"/>
      </w:pPr>
      <w:rPr>
        <w:rFonts w:ascii="Courier New" w:hAnsi="Courier New" w:hint="default"/>
      </w:rPr>
    </w:lvl>
    <w:lvl w:ilvl="5" w:tplc="1B6A371E" w:tentative="1">
      <w:start w:val="1"/>
      <w:numFmt w:val="bullet"/>
      <w:lvlText w:val=""/>
      <w:lvlJc w:val="left"/>
      <w:pPr>
        <w:ind w:left="4320" w:hanging="360"/>
      </w:pPr>
      <w:rPr>
        <w:rFonts w:ascii="Wingdings" w:hAnsi="Wingdings" w:hint="default"/>
      </w:rPr>
    </w:lvl>
    <w:lvl w:ilvl="6" w:tplc="E44A92B0" w:tentative="1">
      <w:start w:val="1"/>
      <w:numFmt w:val="bullet"/>
      <w:lvlText w:val=""/>
      <w:lvlJc w:val="left"/>
      <w:pPr>
        <w:ind w:left="5040" w:hanging="360"/>
      </w:pPr>
      <w:rPr>
        <w:rFonts w:ascii="Symbol" w:hAnsi="Symbol" w:hint="default"/>
      </w:rPr>
    </w:lvl>
    <w:lvl w:ilvl="7" w:tplc="F3E8CE94" w:tentative="1">
      <w:start w:val="1"/>
      <w:numFmt w:val="bullet"/>
      <w:lvlText w:val="o"/>
      <w:lvlJc w:val="left"/>
      <w:pPr>
        <w:ind w:left="5760" w:hanging="360"/>
      </w:pPr>
      <w:rPr>
        <w:rFonts w:ascii="Courier New" w:hAnsi="Courier New" w:hint="default"/>
      </w:rPr>
    </w:lvl>
    <w:lvl w:ilvl="8" w:tplc="B6AA2F10" w:tentative="1">
      <w:start w:val="1"/>
      <w:numFmt w:val="bullet"/>
      <w:lvlText w:val=""/>
      <w:lvlJc w:val="left"/>
      <w:pPr>
        <w:ind w:left="6480" w:hanging="360"/>
      </w:pPr>
      <w:rPr>
        <w:rFonts w:ascii="Wingdings" w:hAnsi="Wingdings" w:hint="default"/>
      </w:rPr>
    </w:lvl>
  </w:abstractNum>
  <w:abstractNum w:abstractNumId="4" w15:restartNumberingAfterBreak="0">
    <w:nsid w:val="50396B55"/>
    <w:multiLevelType w:val="hybridMultilevel"/>
    <w:tmpl w:val="5BBCA5B2"/>
    <w:lvl w:ilvl="0" w:tplc="0D1E81F2">
      <w:start w:val="1"/>
      <w:numFmt w:val="bullet"/>
      <w:pStyle w:val="ennum"/>
      <w:lvlText w:val=""/>
      <w:lvlJc w:val="left"/>
      <w:pPr>
        <w:ind w:left="1080" w:hanging="360"/>
      </w:pPr>
      <w:rPr>
        <w:rFonts w:ascii="Symbol" w:hAnsi="Symbol" w:hint="default"/>
      </w:rPr>
    </w:lvl>
    <w:lvl w:ilvl="1" w:tplc="96A4A1FA" w:tentative="1">
      <w:start w:val="1"/>
      <w:numFmt w:val="bullet"/>
      <w:lvlText w:val="o"/>
      <w:lvlJc w:val="left"/>
      <w:pPr>
        <w:ind w:left="1800" w:hanging="360"/>
      </w:pPr>
      <w:rPr>
        <w:rFonts w:ascii="Courier New" w:hAnsi="Courier New" w:cs="Courier New" w:hint="default"/>
      </w:rPr>
    </w:lvl>
    <w:lvl w:ilvl="2" w:tplc="94E6A3B4" w:tentative="1">
      <w:start w:val="1"/>
      <w:numFmt w:val="bullet"/>
      <w:lvlText w:val=""/>
      <w:lvlJc w:val="left"/>
      <w:pPr>
        <w:ind w:left="2520" w:hanging="360"/>
      </w:pPr>
      <w:rPr>
        <w:rFonts w:ascii="Wingdings" w:hAnsi="Wingdings" w:hint="default"/>
      </w:rPr>
    </w:lvl>
    <w:lvl w:ilvl="3" w:tplc="DE04E4A4" w:tentative="1">
      <w:start w:val="1"/>
      <w:numFmt w:val="bullet"/>
      <w:lvlText w:val=""/>
      <w:lvlJc w:val="left"/>
      <w:pPr>
        <w:ind w:left="3240" w:hanging="360"/>
      </w:pPr>
      <w:rPr>
        <w:rFonts w:ascii="Symbol" w:hAnsi="Symbol" w:hint="default"/>
      </w:rPr>
    </w:lvl>
    <w:lvl w:ilvl="4" w:tplc="E95CEFF2" w:tentative="1">
      <w:start w:val="1"/>
      <w:numFmt w:val="bullet"/>
      <w:lvlText w:val="o"/>
      <w:lvlJc w:val="left"/>
      <w:pPr>
        <w:ind w:left="3960" w:hanging="360"/>
      </w:pPr>
      <w:rPr>
        <w:rFonts w:ascii="Courier New" w:hAnsi="Courier New" w:cs="Courier New" w:hint="default"/>
      </w:rPr>
    </w:lvl>
    <w:lvl w:ilvl="5" w:tplc="CF6A9242" w:tentative="1">
      <w:start w:val="1"/>
      <w:numFmt w:val="bullet"/>
      <w:lvlText w:val=""/>
      <w:lvlJc w:val="left"/>
      <w:pPr>
        <w:ind w:left="4680" w:hanging="360"/>
      </w:pPr>
      <w:rPr>
        <w:rFonts w:ascii="Wingdings" w:hAnsi="Wingdings" w:hint="default"/>
      </w:rPr>
    </w:lvl>
    <w:lvl w:ilvl="6" w:tplc="6BE23242" w:tentative="1">
      <w:start w:val="1"/>
      <w:numFmt w:val="bullet"/>
      <w:lvlText w:val=""/>
      <w:lvlJc w:val="left"/>
      <w:pPr>
        <w:ind w:left="5400" w:hanging="360"/>
      </w:pPr>
      <w:rPr>
        <w:rFonts w:ascii="Symbol" w:hAnsi="Symbol" w:hint="default"/>
      </w:rPr>
    </w:lvl>
    <w:lvl w:ilvl="7" w:tplc="53263676" w:tentative="1">
      <w:start w:val="1"/>
      <w:numFmt w:val="bullet"/>
      <w:lvlText w:val="o"/>
      <w:lvlJc w:val="left"/>
      <w:pPr>
        <w:ind w:left="6120" w:hanging="360"/>
      </w:pPr>
      <w:rPr>
        <w:rFonts w:ascii="Courier New" w:hAnsi="Courier New" w:cs="Courier New" w:hint="default"/>
      </w:rPr>
    </w:lvl>
    <w:lvl w:ilvl="8" w:tplc="B510BE76" w:tentative="1">
      <w:start w:val="1"/>
      <w:numFmt w:val="bullet"/>
      <w:lvlText w:val=""/>
      <w:lvlJc w:val="left"/>
      <w:pPr>
        <w:ind w:left="6840" w:hanging="360"/>
      </w:pPr>
      <w:rPr>
        <w:rFonts w:ascii="Wingdings" w:hAnsi="Wingdings" w:hint="default"/>
      </w:rPr>
    </w:lvl>
  </w:abstractNum>
  <w:abstractNum w:abstractNumId="5" w15:restartNumberingAfterBreak="0">
    <w:nsid w:val="56856E3A"/>
    <w:multiLevelType w:val="hybridMultilevel"/>
    <w:tmpl w:val="E26A918A"/>
    <w:lvl w:ilvl="0" w:tplc="EC984848">
      <w:start w:val="1"/>
      <w:numFmt w:val="bullet"/>
      <w:pStyle w:val="Inmu"/>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7C5ABC"/>
    <w:multiLevelType w:val="hybridMultilevel"/>
    <w:tmpl w:val="4EBE3678"/>
    <w:lvl w:ilvl="0" w:tplc="52F039C2">
      <w:start w:val="1"/>
      <w:numFmt w:val="lowerLetter"/>
      <w:lvlText w:val="%1)"/>
      <w:lvlJc w:val="left"/>
      <w:pPr>
        <w:ind w:left="720" w:hanging="360"/>
      </w:pPr>
    </w:lvl>
    <w:lvl w:ilvl="1" w:tplc="40623FEE" w:tentative="1">
      <w:start w:val="1"/>
      <w:numFmt w:val="lowerLetter"/>
      <w:lvlText w:val="%2."/>
      <w:lvlJc w:val="left"/>
      <w:pPr>
        <w:ind w:left="1440" w:hanging="360"/>
      </w:pPr>
    </w:lvl>
    <w:lvl w:ilvl="2" w:tplc="F656C83A" w:tentative="1">
      <w:start w:val="1"/>
      <w:numFmt w:val="lowerRoman"/>
      <w:lvlText w:val="%3."/>
      <w:lvlJc w:val="right"/>
      <w:pPr>
        <w:ind w:left="2160" w:hanging="180"/>
      </w:pPr>
    </w:lvl>
    <w:lvl w:ilvl="3" w:tplc="D61C8910" w:tentative="1">
      <w:start w:val="1"/>
      <w:numFmt w:val="decimal"/>
      <w:lvlText w:val="%4."/>
      <w:lvlJc w:val="left"/>
      <w:pPr>
        <w:ind w:left="2880" w:hanging="360"/>
      </w:pPr>
    </w:lvl>
    <w:lvl w:ilvl="4" w:tplc="C8B4595A" w:tentative="1">
      <w:start w:val="1"/>
      <w:numFmt w:val="lowerLetter"/>
      <w:lvlText w:val="%5."/>
      <w:lvlJc w:val="left"/>
      <w:pPr>
        <w:ind w:left="3600" w:hanging="360"/>
      </w:pPr>
    </w:lvl>
    <w:lvl w:ilvl="5" w:tplc="6EE25124" w:tentative="1">
      <w:start w:val="1"/>
      <w:numFmt w:val="lowerRoman"/>
      <w:lvlText w:val="%6."/>
      <w:lvlJc w:val="right"/>
      <w:pPr>
        <w:ind w:left="4320" w:hanging="180"/>
      </w:pPr>
    </w:lvl>
    <w:lvl w:ilvl="6" w:tplc="426483F2" w:tentative="1">
      <w:start w:val="1"/>
      <w:numFmt w:val="decimal"/>
      <w:lvlText w:val="%7."/>
      <w:lvlJc w:val="left"/>
      <w:pPr>
        <w:ind w:left="5040" w:hanging="360"/>
      </w:pPr>
    </w:lvl>
    <w:lvl w:ilvl="7" w:tplc="7124CCB0" w:tentative="1">
      <w:start w:val="1"/>
      <w:numFmt w:val="lowerLetter"/>
      <w:lvlText w:val="%8."/>
      <w:lvlJc w:val="left"/>
      <w:pPr>
        <w:ind w:left="5760" w:hanging="360"/>
      </w:pPr>
    </w:lvl>
    <w:lvl w:ilvl="8" w:tplc="F6B41CBA"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93"/>
    <w:rsid w:val="000007D1"/>
    <w:rsid w:val="00027A4E"/>
    <w:rsid w:val="00064A27"/>
    <w:rsid w:val="000811DD"/>
    <w:rsid w:val="00093EEB"/>
    <w:rsid w:val="000B0D00"/>
    <w:rsid w:val="000B7C15"/>
    <w:rsid w:val="000D1D0F"/>
    <w:rsid w:val="000F0CDC"/>
    <w:rsid w:val="000F5290"/>
    <w:rsid w:val="0010165C"/>
    <w:rsid w:val="00113754"/>
    <w:rsid w:val="0014664F"/>
    <w:rsid w:val="00146BFB"/>
    <w:rsid w:val="00163038"/>
    <w:rsid w:val="001824B8"/>
    <w:rsid w:val="001C07A8"/>
    <w:rsid w:val="001C239C"/>
    <w:rsid w:val="001E4318"/>
    <w:rsid w:val="001F14A2"/>
    <w:rsid w:val="001F2AA9"/>
    <w:rsid w:val="0020780B"/>
    <w:rsid w:val="002801AA"/>
    <w:rsid w:val="00287BBE"/>
    <w:rsid w:val="00290CF2"/>
    <w:rsid w:val="0029188D"/>
    <w:rsid w:val="00296379"/>
    <w:rsid w:val="002C07EC"/>
    <w:rsid w:val="002C4676"/>
    <w:rsid w:val="002C70B0"/>
    <w:rsid w:val="002E44EE"/>
    <w:rsid w:val="002E49C9"/>
    <w:rsid w:val="002F3CC4"/>
    <w:rsid w:val="00306670"/>
    <w:rsid w:val="00322361"/>
    <w:rsid w:val="003251DE"/>
    <w:rsid w:val="00332958"/>
    <w:rsid w:val="00365705"/>
    <w:rsid w:val="003723E2"/>
    <w:rsid w:val="00377953"/>
    <w:rsid w:val="003A6210"/>
    <w:rsid w:val="003B5326"/>
    <w:rsid w:val="003C15D8"/>
    <w:rsid w:val="003C3FFE"/>
    <w:rsid w:val="003C5A2C"/>
    <w:rsid w:val="0041204C"/>
    <w:rsid w:val="0047042F"/>
    <w:rsid w:val="00497582"/>
    <w:rsid w:val="004B227D"/>
    <w:rsid w:val="004D68BB"/>
    <w:rsid w:val="00513630"/>
    <w:rsid w:val="00560125"/>
    <w:rsid w:val="00585553"/>
    <w:rsid w:val="005B34D9"/>
    <w:rsid w:val="005D0CCF"/>
    <w:rsid w:val="005F3BCB"/>
    <w:rsid w:val="005F410F"/>
    <w:rsid w:val="0060149A"/>
    <w:rsid w:val="00601924"/>
    <w:rsid w:val="006056AF"/>
    <w:rsid w:val="006057EE"/>
    <w:rsid w:val="0063117E"/>
    <w:rsid w:val="006447EA"/>
    <w:rsid w:val="0064731F"/>
    <w:rsid w:val="00661C23"/>
    <w:rsid w:val="00664572"/>
    <w:rsid w:val="00670891"/>
    <w:rsid w:val="006710F6"/>
    <w:rsid w:val="006868E6"/>
    <w:rsid w:val="006B39D1"/>
    <w:rsid w:val="006C1B56"/>
    <w:rsid w:val="006D2A9C"/>
    <w:rsid w:val="006D4761"/>
    <w:rsid w:val="006D6895"/>
    <w:rsid w:val="006E77F5"/>
    <w:rsid w:val="006F5020"/>
    <w:rsid w:val="00726872"/>
    <w:rsid w:val="00735164"/>
    <w:rsid w:val="00737059"/>
    <w:rsid w:val="0073793F"/>
    <w:rsid w:val="00755B13"/>
    <w:rsid w:val="00760F1C"/>
    <w:rsid w:val="007657F0"/>
    <w:rsid w:val="0077252D"/>
    <w:rsid w:val="007955DA"/>
    <w:rsid w:val="007A5222"/>
    <w:rsid w:val="007C2D93"/>
    <w:rsid w:val="007E57CC"/>
    <w:rsid w:val="007E5DD3"/>
    <w:rsid w:val="007F350B"/>
    <w:rsid w:val="007F3AF3"/>
    <w:rsid w:val="00820BE4"/>
    <w:rsid w:val="00824C56"/>
    <w:rsid w:val="008424CA"/>
    <w:rsid w:val="008451E8"/>
    <w:rsid w:val="008C3865"/>
    <w:rsid w:val="009041D1"/>
    <w:rsid w:val="009103A0"/>
    <w:rsid w:val="00913B9C"/>
    <w:rsid w:val="0091455E"/>
    <w:rsid w:val="00927B9E"/>
    <w:rsid w:val="00956E77"/>
    <w:rsid w:val="009B29EC"/>
    <w:rsid w:val="009E0031"/>
    <w:rsid w:val="009E06CC"/>
    <w:rsid w:val="009F4811"/>
    <w:rsid w:val="00A46090"/>
    <w:rsid w:val="00A63097"/>
    <w:rsid w:val="00A632CA"/>
    <w:rsid w:val="00A81426"/>
    <w:rsid w:val="00AA390C"/>
    <w:rsid w:val="00B0200A"/>
    <w:rsid w:val="00B574DB"/>
    <w:rsid w:val="00B576A6"/>
    <w:rsid w:val="00B72D5E"/>
    <w:rsid w:val="00B826C2"/>
    <w:rsid w:val="00B8298E"/>
    <w:rsid w:val="00B91EC7"/>
    <w:rsid w:val="00BA06C7"/>
    <w:rsid w:val="00BB24E4"/>
    <w:rsid w:val="00BB2CAB"/>
    <w:rsid w:val="00BD0723"/>
    <w:rsid w:val="00BD2518"/>
    <w:rsid w:val="00BF1D1C"/>
    <w:rsid w:val="00C20C59"/>
    <w:rsid w:val="00C2727F"/>
    <w:rsid w:val="00C54D13"/>
    <w:rsid w:val="00C55B1F"/>
    <w:rsid w:val="00C6077D"/>
    <w:rsid w:val="00C749F0"/>
    <w:rsid w:val="00C9108A"/>
    <w:rsid w:val="00CC7258"/>
    <w:rsid w:val="00CD67D2"/>
    <w:rsid w:val="00CF1A67"/>
    <w:rsid w:val="00D21883"/>
    <w:rsid w:val="00D2750E"/>
    <w:rsid w:val="00D469AC"/>
    <w:rsid w:val="00D50A36"/>
    <w:rsid w:val="00D54AAA"/>
    <w:rsid w:val="00D62446"/>
    <w:rsid w:val="00D73CC4"/>
    <w:rsid w:val="00D8236F"/>
    <w:rsid w:val="00D82393"/>
    <w:rsid w:val="00DA4EA2"/>
    <w:rsid w:val="00DB3787"/>
    <w:rsid w:val="00DC3D3E"/>
    <w:rsid w:val="00DE2C90"/>
    <w:rsid w:val="00DE3B24"/>
    <w:rsid w:val="00E015C1"/>
    <w:rsid w:val="00E06947"/>
    <w:rsid w:val="00E12CEE"/>
    <w:rsid w:val="00E3592D"/>
    <w:rsid w:val="00E42D86"/>
    <w:rsid w:val="00E64079"/>
    <w:rsid w:val="00E74436"/>
    <w:rsid w:val="00E92DE8"/>
    <w:rsid w:val="00EA726E"/>
    <w:rsid w:val="00EB1212"/>
    <w:rsid w:val="00ED4208"/>
    <w:rsid w:val="00ED65AB"/>
    <w:rsid w:val="00F12850"/>
    <w:rsid w:val="00F320F0"/>
    <w:rsid w:val="00F33BF4"/>
    <w:rsid w:val="00F46E47"/>
    <w:rsid w:val="00F5285B"/>
    <w:rsid w:val="00F539CB"/>
    <w:rsid w:val="00F7105E"/>
    <w:rsid w:val="00F75F57"/>
    <w:rsid w:val="00F82FEE"/>
    <w:rsid w:val="00FB5951"/>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16A54EE"/>
  <w15:docId w15:val="{58086B01-49BB-4548-AC65-5A88DD3F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uiPriority w:val="9"/>
    <w:qFormat/>
    <w:rsid w:val="000B0D00"/>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Appel note de bas de p + 11 pt,Italic"/>
    <w:basedOn w:val="DefaultParagraphFont"/>
    <w:rsid w:val="000B0D00"/>
    <w:rPr>
      <w:position w:val="6"/>
      <w:sz w:val="16"/>
    </w:rPr>
  </w:style>
  <w:style w:type="paragraph" w:styleId="FootnoteText">
    <w:name w:val="footnote text"/>
    <w:aliases w:val="FA Fußnotentext"/>
    <w:basedOn w:val="Normal"/>
    <w:link w:val="FootnoteTextChar"/>
    <w:uiPriority w:val="99"/>
    <w:qFormat/>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超级链接"/>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UnresolvedMention1">
    <w:name w:val="Unresolved Mention1"/>
    <w:basedOn w:val="DefaultParagraphFont"/>
    <w:uiPriority w:val="99"/>
    <w:semiHidden/>
    <w:unhideWhenUsed/>
    <w:rsid w:val="00D82393"/>
    <w:rPr>
      <w:color w:val="605E5C"/>
      <w:shd w:val="clear" w:color="auto" w:fill="E1DFDD"/>
    </w:rPr>
  </w:style>
  <w:style w:type="paragraph" w:styleId="Revision">
    <w:name w:val="Revision"/>
    <w:hidden/>
    <w:uiPriority w:val="99"/>
    <w:semiHidden/>
    <w:rsid w:val="00D82393"/>
    <w:rPr>
      <w:rFonts w:ascii="Calibri" w:hAnsi="Calibri"/>
      <w:sz w:val="24"/>
      <w:lang w:val="es-ES_tradnl" w:eastAsia="en-US"/>
    </w:rPr>
  </w:style>
  <w:style w:type="character" w:customStyle="1" w:styleId="FootnoteTextChar">
    <w:name w:val="Footnote Text Char"/>
    <w:aliases w:val="FA Fußnotentext Char"/>
    <w:basedOn w:val="DefaultParagraphFont"/>
    <w:link w:val="FootnoteText"/>
    <w:uiPriority w:val="99"/>
    <w:rsid w:val="00D82393"/>
    <w:rPr>
      <w:rFonts w:ascii="Calibri" w:hAnsi="Calibri"/>
      <w:sz w:val="24"/>
      <w:lang w:val="es-ES_tradnl" w:eastAsia="en-US"/>
    </w:rPr>
  </w:style>
  <w:style w:type="paragraph" w:customStyle="1" w:styleId="Default">
    <w:name w:val="Default"/>
    <w:rsid w:val="00D82393"/>
    <w:pPr>
      <w:widowControl w:val="0"/>
      <w:autoSpaceDE w:val="0"/>
      <w:autoSpaceDN w:val="0"/>
      <w:adjustRightInd w:val="0"/>
    </w:pPr>
    <w:rPr>
      <w:rFonts w:ascii="Calibri" w:eastAsiaTheme="minorEastAsia" w:hAnsi="Calibri" w:cs="Calibri"/>
      <w:color w:val="000000"/>
      <w:sz w:val="24"/>
      <w:szCs w:val="24"/>
      <w:lang w:val="fr-FR"/>
    </w:rPr>
  </w:style>
  <w:style w:type="table" w:styleId="TableGrid">
    <w:name w:val="Table Grid"/>
    <w:basedOn w:val="TableNormal"/>
    <w:uiPriority w:val="39"/>
    <w:rsid w:val="00D8239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82393"/>
    <w:pPr>
      <w:ind w:left="720"/>
      <w:contextualSpacing/>
    </w:pPr>
    <w:rPr>
      <w:lang w:val="en-GB"/>
    </w:rPr>
  </w:style>
  <w:style w:type="character" w:customStyle="1" w:styleId="ListParagraphChar">
    <w:name w:val="List Paragraph Char"/>
    <w:basedOn w:val="DefaultParagraphFont"/>
    <w:link w:val="ListParagraph"/>
    <w:uiPriority w:val="34"/>
    <w:locked/>
    <w:rsid w:val="00D82393"/>
    <w:rPr>
      <w:rFonts w:ascii="Calibri" w:hAnsi="Calibri"/>
      <w:sz w:val="24"/>
      <w:lang w:val="en-GB" w:eastAsia="en-US"/>
    </w:rPr>
  </w:style>
  <w:style w:type="character" w:customStyle="1" w:styleId="UnresolvedMention10">
    <w:name w:val="Unresolved Mention1"/>
    <w:basedOn w:val="DefaultParagraphFont"/>
    <w:uiPriority w:val="99"/>
    <w:semiHidden/>
    <w:unhideWhenUsed/>
    <w:rsid w:val="00D82393"/>
    <w:rPr>
      <w:color w:val="605E5C"/>
      <w:shd w:val="clear" w:color="auto" w:fill="E1DFDD"/>
    </w:rPr>
  </w:style>
  <w:style w:type="paragraph" w:styleId="BalloonText">
    <w:name w:val="Balloon Text"/>
    <w:basedOn w:val="Normal"/>
    <w:link w:val="BalloonTextChar"/>
    <w:semiHidden/>
    <w:unhideWhenUsed/>
    <w:rsid w:val="00D8239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82393"/>
    <w:rPr>
      <w:rFonts w:ascii="Segoe UI" w:hAnsi="Segoe UI" w:cs="Segoe UI"/>
      <w:sz w:val="18"/>
      <w:szCs w:val="18"/>
      <w:lang w:val="es-ES_tradnl" w:eastAsia="en-US"/>
    </w:rPr>
  </w:style>
  <w:style w:type="paragraph" w:customStyle="1" w:styleId="Inmu">
    <w:name w:val="Inmu"/>
    <w:basedOn w:val="ListParagraph"/>
    <w:rsid w:val="00D82393"/>
    <w:pPr>
      <w:numPr>
        <w:numId w:val="7"/>
      </w:numPr>
    </w:pPr>
    <w:rPr>
      <w:szCs w:val="24"/>
      <w:lang w:val="es-ES_tradnl"/>
    </w:rPr>
  </w:style>
  <w:style w:type="paragraph" w:styleId="TOCHeading">
    <w:name w:val="TOC Heading"/>
    <w:basedOn w:val="Heading1"/>
    <w:next w:val="Normal"/>
    <w:uiPriority w:val="39"/>
    <w:unhideWhenUsed/>
    <w:qFormat/>
    <w:rsid w:val="00D82393"/>
    <w:pPr>
      <w:spacing w:before="240"/>
      <w:ind w:left="0" w:firstLine="0"/>
      <w:outlineLvl w:val="9"/>
    </w:pPr>
    <w:rPr>
      <w:rFonts w:asciiTheme="majorHAnsi" w:eastAsiaTheme="majorEastAsia" w:hAnsiTheme="majorHAnsi" w:cstheme="majorBidi"/>
      <w:b w:val="0"/>
      <w:color w:val="365F91" w:themeColor="accent1" w:themeShade="BF"/>
      <w:sz w:val="32"/>
      <w:szCs w:val="32"/>
      <w:lang w:val="en-GB"/>
    </w:rPr>
  </w:style>
  <w:style w:type="paragraph" w:customStyle="1" w:styleId="ennum">
    <w:name w:val="ennum"/>
    <w:basedOn w:val="ListParagraph"/>
    <w:rsid w:val="00D82393"/>
    <w:pPr>
      <w:numPr>
        <w:numId w:val="3"/>
      </w:numPr>
      <w:tabs>
        <w:tab w:val="clear" w:pos="1134"/>
      </w:tabs>
      <w:spacing w:after="120"/>
      <w:ind w:left="993" w:hanging="426"/>
    </w:pPr>
    <w:rPr>
      <w:rFonts w:asciiTheme="minorHAnsi" w:hAnsiTheme="minorHAnsi" w:cstheme="minorHAnsi"/>
      <w:szCs w:val="24"/>
      <w:lang w:val="es-ES_tradnl"/>
    </w:rPr>
  </w:style>
  <w:style w:type="character" w:customStyle="1" w:styleId="Heading2Char">
    <w:name w:val="Heading 2 Char"/>
    <w:basedOn w:val="DefaultParagraphFont"/>
    <w:link w:val="Heading2"/>
    <w:uiPriority w:val="9"/>
    <w:rsid w:val="00D82393"/>
    <w:rPr>
      <w:rFonts w:ascii="Calibri" w:hAnsi="Calibri"/>
      <w:b/>
      <w:sz w:val="24"/>
      <w:lang w:val="es-ES_tradnl" w:eastAsia="en-US"/>
    </w:rPr>
  </w:style>
  <w:style w:type="character" w:customStyle="1" w:styleId="Heading1Char">
    <w:name w:val="Heading 1 Char"/>
    <w:basedOn w:val="DefaultParagraphFont"/>
    <w:link w:val="Heading1"/>
    <w:uiPriority w:val="9"/>
    <w:rsid w:val="00D82393"/>
    <w:rPr>
      <w:rFonts w:ascii="Calibri" w:hAnsi="Calibri"/>
      <w:b/>
      <w:sz w:val="28"/>
      <w:lang w:val="es-ES_tradnl" w:eastAsia="en-US"/>
    </w:rPr>
  </w:style>
  <w:style w:type="paragraph" w:customStyle="1" w:styleId="StyleHeadingbBodyCalibriAccent1">
    <w:name w:val="Style Heading_b + +Body (Calibri) Accent 1"/>
    <w:basedOn w:val="Headingb"/>
    <w:rsid w:val="00D82393"/>
    <w:rPr>
      <w:rFonts w:asciiTheme="minorHAnsi" w:hAnsiTheme="minorHAnsi"/>
      <w:bCs/>
      <w:color w:val="365F91" w:themeColor="accent1" w:themeShade="BF"/>
      <w:sz w:val="28"/>
    </w:rPr>
  </w:style>
  <w:style w:type="character" w:styleId="UnresolvedMention">
    <w:name w:val="Unresolved Mention"/>
    <w:basedOn w:val="DefaultParagraphFont"/>
    <w:uiPriority w:val="99"/>
    <w:semiHidden/>
    <w:unhideWhenUsed/>
    <w:rsid w:val="0073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en/action/cybersecurity/Pages/gca.aspx" TargetMode="External"/><Relationship Id="rId18" Type="http://schemas.openxmlformats.org/officeDocument/2006/relationships/hyperlink" Target="https://www.itu.int/md/S22-CL-INF-0008/es" TargetMode="External"/><Relationship Id="rId26" Type="http://schemas.openxmlformats.org/officeDocument/2006/relationships/hyperlink" Target="https://www.itu.int/md/S22-CL-INF-0008/es" TargetMode="External"/><Relationship Id="rId3" Type="http://schemas.openxmlformats.org/officeDocument/2006/relationships/styles" Target="styles.xml"/><Relationship Id="rId21" Type="http://schemas.openxmlformats.org/officeDocument/2006/relationships/hyperlink" Target="https://www.itu.int/md/S20-SG-CIR-0055/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2-CL-INF-0008/es" TargetMode="External"/><Relationship Id="rId17" Type="http://schemas.openxmlformats.org/officeDocument/2006/relationships/hyperlink" Target="https://www.itu.int/md/S19-CL-C-0058/es" TargetMode="External"/><Relationship Id="rId25" Type="http://schemas.openxmlformats.org/officeDocument/2006/relationships/hyperlink" Target="https://www.itu.int/md/S21-CL-C-0071/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19-CL-C-0117/es" TargetMode="External"/><Relationship Id="rId20" Type="http://schemas.openxmlformats.org/officeDocument/2006/relationships/hyperlink" Target="https://www.itu.int/en/action/cybersecurity/Pages/gca.aspx" TargetMode="External"/><Relationship Id="rId29" Type="http://schemas.openxmlformats.org/officeDocument/2006/relationships/hyperlink" Target="https://www.itu.int/md/S20-SG-CIR-0055/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058/es" TargetMode="External"/><Relationship Id="rId24" Type="http://schemas.openxmlformats.org/officeDocument/2006/relationships/hyperlink" Target="https://www.itu.int/md/S21-CL-C-0071/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S21-CL-C-0071/es" TargetMode="External"/><Relationship Id="rId23" Type="http://schemas.openxmlformats.org/officeDocument/2006/relationships/hyperlink" Target="https://www.itu.int/md/S21-CL-C-0036/es" TargetMode="External"/><Relationship Id="rId28" Type="http://schemas.openxmlformats.org/officeDocument/2006/relationships/hyperlink" Target="https://www.itu.int/md/S20-SG-CIR-0018/es" TargetMode="External"/><Relationship Id="rId10" Type="http://schemas.openxmlformats.org/officeDocument/2006/relationships/hyperlink" Target="https://www.itu.int/md/S19-CL-C-0117/es" TargetMode="External"/><Relationship Id="rId19" Type="http://schemas.openxmlformats.org/officeDocument/2006/relationships/hyperlink" Target="https://www.itu.int/en/council/Documents/basic-texts/RES-130-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action/cybersecurity/Pages/gca.aspx" TargetMode="External"/><Relationship Id="rId14" Type="http://schemas.openxmlformats.org/officeDocument/2006/relationships/hyperlink" Target="https://www.itu.int/md/S21-CL-C-0036/es" TargetMode="External"/><Relationship Id="rId22" Type="http://schemas.openxmlformats.org/officeDocument/2006/relationships/hyperlink" Target="https://www.itu.int/en/action/cybersecurity/Pages/gca-guidelines.aspx" TargetMode="External"/><Relationship Id="rId27" Type="http://schemas.openxmlformats.org/officeDocument/2006/relationships/hyperlink" Target="https://www.itu.int/md/S20-GCA-C/es"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S19-CL-C-0117/es" TargetMode="External"/><Relationship Id="rId2" Type="http://schemas.openxmlformats.org/officeDocument/2006/relationships/hyperlink" Target="https://www.itu.int/md/S19-CL-C-0058/es" TargetMode="External"/><Relationship Id="rId1" Type="http://schemas.openxmlformats.org/officeDocument/2006/relationships/hyperlink" Target="https://www.itu.int/md/S18-PP-C-0174/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D6806-EE95-487C-8E5D-48B54D54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PS_C22.dotx</Template>
  <TotalTime>0</TotalTime>
  <Pages>9</Pages>
  <Words>3827</Words>
  <Characters>22017</Characters>
  <Application>Microsoft Office Word</Application>
  <DocSecurity>4</DocSecurity>
  <Lines>183</Lines>
  <Paragraphs>51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25793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directrices para la utilización de la Agenda sobre Ciberseguridad Global por la UIT</dc:title>
  <dc:subject>Consejo 2022</dc:subject>
  <dc:creator>SPANISH</dc:creator>
  <cp:keywords>C2022, C22, Council-22</cp:keywords>
  <dc:description/>
  <cp:lastModifiedBy>Xue, Kun</cp:lastModifiedBy>
  <cp:revision>2</cp:revision>
  <cp:lastPrinted>2006-03-24T09:51:00Z</cp:lastPrinted>
  <dcterms:created xsi:type="dcterms:W3CDTF">2022-03-01T08:10:00Z</dcterms:created>
  <dcterms:modified xsi:type="dcterms:W3CDTF">2022-03-01T08:10:00Z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