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7F36104E" w14:textId="77777777">
        <w:trPr>
          <w:cantSplit/>
        </w:trPr>
        <w:tc>
          <w:tcPr>
            <w:tcW w:w="6912" w:type="dxa"/>
          </w:tcPr>
          <w:p w14:paraId="01DDACE9"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303F15DA" w14:textId="77777777" w:rsidR="00093EEB" w:rsidRPr="000B0D00" w:rsidRDefault="007955DA" w:rsidP="007955DA">
            <w:pPr>
              <w:spacing w:before="0"/>
              <w:rPr>
                <w:szCs w:val="24"/>
              </w:rPr>
            </w:pPr>
            <w:bookmarkStart w:id="2" w:name="ditulogo"/>
            <w:bookmarkEnd w:id="2"/>
            <w:r>
              <w:rPr>
                <w:noProof/>
                <w:lang w:val="en-US"/>
              </w:rPr>
              <w:drawing>
                <wp:inline distT="0" distB="0" distL="0" distR="0" wp14:anchorId="7272ACAF" wp14:editId="3457B27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56D29305" w14:textId="77777777">
        <w:trPr>
          <w:cantSplit/>
          <w:trHeight w:val="20"/>
        </w:trPr>
        <w:tc>
          <w:tcPr>
            <w:tcW w:w="10173" w:type="dxa"/>
            <w:gridSpan w:val="2"/>
            <w:tcBorders>
              <w:bottom w:val="single" w:sz="12" w:space="0" w:color="auto"/>
            </w:tcBorders>
          </w:tcPr>
          <w:p w14:paraId="581C7573" w14:textId="77777777" w:rsidR="00093EEB" w:rsidRPr="00EB1212" w:rsidRDefault="00093EEB">
            <w:pPr>
              <w:spacing w:before="0"/>
              <w:rPr>
                <w:b/>
                <w:bCs/>
                <w:szCs w:val="24"/>
              </w:rPr>
            </w:pPr>
          </w:p>
        </w:tc>
      </w:tr>
      <w:tr w:rsidR="00093EEB" w:rsidRPr="000B0D00" w14:paraId="7BE092F3" w14:textId="77777777">
        <w:trPr>
          <w:cantSplit/>
          <w:trHeight w:val="20"/>
        </w:trPr>
        <w:tc>
          <w:tcPr>
            <w:tcW w:w="6912" w:type="dxa"/>
            <w:tcBorders>
              <w:top w:val="single" w:sz="12" w:space="0" w:color="auto"/>
            </w:tcBorders>
          </w:tcPr>
          <w:p w14:paraId="675F0347"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30D9A2D" w14:textId="77777777" w:rsidR="00093EEB" w:rsidRPr="000B0D00" w:rsidRDefault="00093EEB">
            <w:pPr>
              <w:spacing w:before="0"/>
              <w:rPr>
                <w:b/>
                <w:bCs/>
                <w:szCs w:val="24"/>
              </w:rPr>
            </w:pPr>
          </w:p>
        </w:tc>
      </w:tr>
      <w:tr w:rsidR="00093EEB" w:rsidRPr="000B0D00" w14:paraId="54F8F635" w14:textId="77777777">
        <w:trPr>
          <w:cantSplit/>
          <w:trHeight w:val="20"/>
        </w:trPr>
        <w:tc>
          <w:tcPr>
            <w:tcW w:w="6912" w:type="dxa"/>
            <w:shd w:val="clear" w:color="auto" w:fill="auto"/>
          </w:tcPr>
          <w:p w14:paraId="717275FA" w14:textId="24B29E6E" w:rsidR="00093EEB" w:rsidRPr="00093EEB" w:rsidRDefault="00C0097A">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b/>
              </w:rPr>
              <w:t>Punto del orden del día</w:t>
            </w:r>
            <w:r w:rsidR="00354246">
              <w:rPr>
                <w:b/>
              </w:rPr>
              <w:t>: PL 2.7</w:t>
            </w:r>
          </w:p>
        </w:tc>
        <w:tc>
          <w:tcPr>
            <w:tcW w:w="3261" w:type="dxa"/>
          </w:tcPr>
          <w:p w14:paraId="4F24E1D8" w14:textId="57D4EC5D" w:rsidR="00093EEB" w:rsidRPr="00093EEB" w:rsidRDefault="00E139CB" w:rsidP="00C2727F">
            <w:pPr>
              <w:spacing w:before="0"/>
              <w:rPr>
                <w:b/>
                <w:bCs/>
                <w:szCs w:val="24"/>
              </w:rPr>
            </w:pPr>
            <w:r>
              <w:rPr>
                <w:b/>
                <w:bCs/>
                <w:szCs w:val="24"/>
              </w:rPr>
              <w:t xml:space="preserve">Revisión 1 al </w:t>
            </w:r>
            <w:r w:rsidR="00F43D30">
              <w:rPr>
                <w:b/>
                <w:bCs/>
                <w:szCs w:val="24"/>
              </w:rPr>
              <w:br/>
            </w:r>
            <w:r w:rsidR="00093EEB">
              <w:rPr>
                <w:b/>
                <w:bCs/>
                <w:szCs w:val="24"/>
              </w:rPr>
              <w:t>Documento C</w:t>
            </w:r>
            <w:r w:rsidR="007955DA">
              <w:rPr>
                <w:b/>
                <w:bCs/>
                <w:szCs w:val="24"/>
              </w:rPr>
              <w:t>2</w:t>
            </w:r>
            <w:r w:rsidR="00D50A36">
              <w:rPr>
                <w:b/>
                <w:bCs/>
                <w:szCs w:val="24"/>
              </w:rPr>
              <w:t>2</w:t>
            </w:r>
            <w:r w:rsidR="00093EEB">
              <w:rPr>
                <w:b/>
                <w:bCs/>
                <w:szCs w:val="24"/>
              </w:rPr>
              <w:t>/</w:t>
            </w:r>
            <w:r w:rsidR="00354246">
              <w:rPr>
                <w:b/>
                <w:bCs/>
                <w:szCs w:val="24"/>
              </w:rPr>
              <w:t>30</w:t>
            </w:r>
            <w:r w:rsidR="00093EEB">
              <w:rPr>
                <w:b/>
                <w:bCs/>
                <w:szCs w:val="24"/>
              </w:rPr>
              <w:t>-S</w:t>
            </w:r>
          </w:p>
        </w:tc>
      </w:tr>
      <w:tr w:rsidR="00093EEB" w:rsidRPr="000B0D00" w14:paraId="0A6080A8" w14:textId="77777777">
        <w:trPr>
          <w:cantSplit/>
          <w:trHeight w:val="20"/>
        </w:trPr>
        <w:tc>
          <w:tcPr>
            <w:tcW w:w="6912" w:type="dxa"/>
            <w:shd w:val="clear" w:color="auto" w:fill="auto"/>
          </w:tcPr>
          <w:p w14:paraId="6E0A27D1"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16A67198" w14:textId="6A8C5958" w:rsidR="00093EEB" w:rsidRPr="00093EEB" w:rsidRDefault="00354246" w:rsidP="00C2727F">
            <w:pPr>
              <w:spacing w:before="0"/>
              <w:rPr>
                <w:b/>
                <w:bCs/>
                <w:szCs w:val="24"/>
              </w:rPr>
            </w:pPr>
            <w:r>
              <w:rPr>
                <w:b/>
                <w:bCs/>
                <w:szCs w:val="24"/>
              </w:rPr>
              <w:t>1</w:t>
            </w:r>
            <w:r w:rsidR="00E139CB">
              <w:rPr>
                <w:b/>
                <w:bCs/>
                <w:szCs w:val="24"/>
              </w:rPr>
              <w:t>6</w:t>
            </w:r>
            <w:r>
              <w:rPr>
                <w:b/>
                <w:bCs/>
                <w:szCs w:val="24"/>
              </w:rPr>
              <w:t xml:space="preserve"> de </w:t>
            </w:r>
            <w:r w:rsidR="00E139CB">
              <w:rPr>
                <w:b/>
                <w:bCs/>
                <w:szCs w:val="24"/>
              </w:rPr>
              <w:t xml:space="preserve">marzo de </w:t>
            </w:r>
            <w:r w:rsidR="00093EEB">
              <w:rPr>
                <w:b/>
                <w:bCs/>
                <w:szCs w:val="24"/>
              </w:rPr>
              <w:t>20</w:t>
            </w:r>
            <w:r w:rsidR="007955DA">
              <w:rPr>
                <w:b/>
                <w:bCs/>
                <w:szCs w:val="24"/>
              </w:rPr>
              <w:t>2</w:t>
            </w:r>
            <w:r>
              <w:rPr>
                <w:b/>
                <w:bCs/>
                <w:szCs w:val="24"/>
              </w:rPr>
              <w:t>2</w:t>
            </w:r>
          </w:p>
        </w:tc>
      </w:tr>
      <w:tr w:rsidR="00093EEB" w:rsidRPr="000B0D00" w14:paraId="6DC37F04" w14:textId="77777777">
        <w:trPr>
          <w:cantSplit/>
          <w:trHeight w:val="20"/>
        </w:trPr>
        <w:tc>
          <w:tcPr>
            <w:tcW w:w="6912" w:type="dxa"/>
            <w:shd w:val="clear" w:color="auto" w:fill="auto"/>
          </w:tcPr>
          <w:p w14:paraId="3334557E"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79C09FE8" w14:textId="77777777" w:rsidR="00093EEB" w:rsidRPr="00093EEB" w:rsidRDefault="00093EEB" w:rsidP="00093EEB">
            <w:pPr>
              <w:spacing w:before="0"/>
              <w:rPr>
                <w:b/>
                <w:bCs/>
                <w:szCs w:val="24"/>
              </w:rPr>
            </w:pPr>
            <w:r>
              <w:rPr>
                <w:b/>
                <w:bCs/>
                <w:szCs w:val="24"/>
              </w:rPr>
              <w:t>Original: inglés</w:t>
            </w:r>
          </w:p>
        </w:tc>
      </w:tr>
      <w:tr w:rsidR="00093EEB" w:rsidRPr="00D35CBB" w14:paraId="33D57B68" w14:textId="77777777">
        <w:trPr>
          <w:cantSplit/>
        </w:trPr>
        <w:tc>
          <w:tcPr>
            <w:tcW w:w="10173" w:type="dxa"/>
            <w:gridSpan w:val="2"/>
          </w:tcPr>
          <w:p w14:paraId="7FECA07B" w14:textId="7BE98CD2" w:rsidR="00093EEB" w:rsidRPr="00354246" w:rsidRDefault="00D35CBB">
            <w:pPr>
              <w:pStyle w:val="Source"/>
              <w:rPr>
                <w:lang w:val="en-US"/>
              </w:rPr>
            </w:pPr>
            <w:bookmarkStart w:id="7" w:name="dsource" w:colFirst="0" w:colLast="0"/>
            <w:bookmarkEnd w:id="1"/>
            <w:bookmarkEnd w:id="6"/>
            <w:r>
              <w:rPr>
                <w:lang w:val="en-US"/>
              </w:rPr>
              <w:t xml:space="preserve">Informe del Secretario </w:t>
            </w:r>
            <w:r w:rsidR="00354246" w:rsidRPr="00354246">
              <w:rPr>
                <w:lang w:val="en-US"/>
              </w:rPr>
              <w:t>General</w:t>
            </w:r>
          </w:p>
        </w:tc>
      </w:tr>
      <w:tr w:rsidR="00093EEB" w:rsidRPr="00354246" w14:paraId="3DDBA867" w14:textId="77777777">
        <w:trPr>
          <w:cantSplit/>
        </w:trPr>
        <w:tc>
          <w:tcPr>
            <w:tcW w:w="10173" w:type="dxa"/>
            <w:gridSpan w:val="2"/>
          </w:tcPr>
          <w:p w14:paraId="1FEC0DD7" w14:textId="53C5D5C0" w:rsidR="00093EEB" w:rsidRPr="00E00791" w:rsidRDefault="00E00791" w:rsidP="004F1A2A">
            <w:pPr>
              <w:pStyle w:val="Title1"/>
              <w:rPr>
                <w:lang w:val="es-ES"/>
              </w:rPr>
            </w:pPr>
            <w:bookmarkStart w:id="8" w:name="_Hlk97015910"/>
            <w:bookmarkStart w:id="9" w:name="dtitle1" w:colFirst="0" w:colLast="0"/>
            <w:bookmarkEnd w:id="7"/>
            <w:r>
              <w:t xml:space="preserve">PREPARATIVOS Y </w:t>
            </w:r>
            <w:r w:rsidR="004F1A2A">
              <w:t>ORDEN DEL DÍA</w:t>
            </w:r>
            <w:r>
              <w:t xml:space="preserve"> DE LA CMDT</w:t>
            </w:r>
            <w:bookmarkEnd w:id="8"/>
          </w:p>
        </w:tc>
      </w:tr>
      <w:bookmarkEnd w:id="9"/>
    </w:tbl>
    <w:p w14:paraId="2ED85335" w14:textId="77777777" w:rsidR="00093EEB" w:rsidRPr="00E00791" w:rsidRDefault="00093EEB">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54246" w14:paraId="42B8E5F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BFCDF49" w14:textId="77777777" w:rsidR="00093EEB" w:rsidRPr="00663A3A" w:rsidRDefault="00093EEB">
            <w:pPr>
              <w:pStyle w:val="Headingb"/>
              <w:rPr>
                <w:lang w:val="es-ES"/>
              </w:rPr>
            </w:pPr>
            <w:r w:rsidRPr="00663A3A">
              <w:rPr>
                <w:lang w:val="es-ES"/>
              </w:rPr>
              <w:t>Resumen</w:t>
            </w:r>
          </w:p>
          <w:p w14:paraId="38EC0258" w14:textId="3E28461C" w:rsidR="00354246" w:rsidRPr="00D35CBB" w:rsidRDefault="00D35CBB" w:rsidP="00F17E6E">
            <w:pPr>
              <w:rPr>
                <w:lang w:val="es-ES"/>
              </w:rPr>
            </w:pPr>
            <w:bookmarkStart w:id="10" w:name="_Hlk97015980"/>
            <w:r w:rsidRPr="00701510">
              <w:t xml:space="preserve">Este documento trata de los preparativos </w:t>
            </w:r>
            <w:r>
              <w:t xml:space="preserve">hasta la fecha </w:t>
            </w:r>
            <w:r w:rsidRPr="00701510">
              <w:t xml:space="preserve">para la organización de la Conferencia Mundial de Desarrollo de las Telecomunicaciones (CMDT), que está previsto se celebre en </w:t>
            </w:r>
            <w:r>
              <w:t xml:space="preserve">Kigali </w:t>
            </w:r>
            <w:r w:rsidRPr="00701510">
              <w:t>(</w:t>
            </w:r>
            <w:r>
              <w:t>Rwanda</w:t>
            </w:r>
            <w:r w:rsidRPr="00701510">
              <w:t xml:space="preserve">), del </w:t>
            </w:r>
            <w:r>
              <w:t xml:space="preserve">6 </w:t>
            </w:r>
            <w:r w:rsidRPr="00701510">
              <w:t xml:space="preserve">al </w:t>
            </w:r>
            <w:r>
              <w:t xml:space="preserve">16 </w:t>
            </w:r>
            <w:r w:rsidRPr="00701510">
              <w:t xml:space="preserve">de </w:t>
            </w:r>
            <w:r>
              <w:t xml:space="preserve">junio </w:t>
            </w:r>
            <w:r w:rsidRPr="00701510">
              <w:t>de 202</w:t>
            </w:r>
            <w:r>
              <w:t xml:space="preserve">2. </w:t>
            </w:r>
            <w:r w:rsidRPr="00D35CBB">
              <w:rPr>
                <w:lang w:val="es-ES"/>
              </w:rPr>
              <w:t xml:space="preserve">Además, </w:t>
            </w:r>
            <w:r>
              <w:rPr>
                <w:lang w:val="es-ES"/>
              </w:rPr>
              <w:t>incluye el p</w:t>
            </w:r>
            <w:r w:rsidRPr="00D35CBB">
              <w:rPr>
                <w:lang w:val="es-ES"/>
              </w:rPr>
              <w:t xml:space="preserve">royecto de </w:t>
            </w:r>
            <w:r w:rsidR="006449EB">
              <w:rPr>
                <w:lang w:val="es-ES"/>
              </w:rPr>
              <w:t>orden del día</w:t>
            </w:r>
            <w:r w:rsidR="006449EB" w:rsidRPr="00D35CBB">
              <w:rPr>
                <w:lang w:val="es-ES"/>
              </w:rPr>
              <w:t xml:space="preserve"> </w:t>
            </w:r>
            <w:r w:rsidRPr="00D35CBB">
              <w:rPr>
                <w:lang w:val="es-ES"/>
              </w:rPr>
              <w:t>para la Conferencia</w:t>
            </w:r>
            <w:r>
              <w:rPr>
                <w:lang w:val="es-ES"/>
              </w:rPr>
              <w:t xml:space="preserve"> a fin de que sea aprobado del Consejo</w:t>
            </w:r>
            <w:r w:rsidR="00354246" w:rsidRPr="00D35CBB">
              <w:rPr>
                <w:lang w:val="es-ES"/>
              </w:rPr>
              <w:t>.</w:t>
            </w:r>
          </w:p>
          <w:bookmarkEnd w:id="10"/>
          <w:p w14:paraId="2708872A" w14:textId="77777777" w:rsidR="00093EEB" w:rsidRPr="00663A3A" w:rsidRDefault="00093EEB">
            <w:pPr>
              <w:pStyle w:val="Headingb"/>
              <w:rPr>
                <w:lang w:val="es-ES"/>
              </w:rPr>
            </w:pPr>
            <w:r w:rsidRPr="00663A3A">
              <w:rPr>
                <w:lang w:val="es-ES"/>
              </w:rPr>
              <w:t>Acción solicitada</w:t>
            </w:r>
          </w:p>
          <w:p w14:paraId="0D361354" w14:textId="2A167E35" w:rsidR="00093EEB" w:rsidRPr="00393B44" w:rsidRDefault="00D35CBB" w:rsidP="00F17E6E">
            <w:r w:rsidRPr="00393B44">
              <w:t xml:space="preserve">Se invita al Consejo a </w:t>
            </w:r>
            <w:r w:rsidRPr="00393B44">
              <w:rPr>
                <w:b/>
                <w:bCs/>
              </w:rPr>
              <w:t>tomar nota</w:t>
            </w:r>
            <w:r w:rsidRPr="00393B44">
              <w:t xml:space="preserve"> del presente documento sobre los preparativos para la CMDT y a </w:t>
            </w:r>
            <w:r w:rsidRPr="00393B44">
              <w:rPr>
                <w:b/>
                <w:bCs/>
              </w:rPr>
              <w:t>aprobar</w:t>
            </w:r>
            <w:r w:rsidRPr="00393B44">
              <w:t xml:space="preserve"> el proyecto de </w:t>
            </w:r>
            <w:r w:rsidR="006449EB" w:rsidRPr="00393B44">
              <w:t xml:space="preserve">orden del día </w:t>
            </w:r>
            <w:r w:rsidRPr="00393B44">
              <w:t>que se adjunta en el Anexo</w:t>
            </w:r>
            <w:r w:rsidR="00354246" w:rsidRPr="00393B44">
              <w:t>.</w:t>
            </w:r>
          </w:p>
          <w:p w14:paraId="6E90326A" w14:textId="77777777" w:rsidR="00093EEB" w:rsidRPr="003D11D4" w:rsidRDefault="00093EEB">
            <w:pPr>
              <w:pStyle w:val="Table"/>
              <w:keepNext w:val="0"/>
              <w:spacing w:before="0" w:after="0"/>
              <w:rPr>
                <w:caps w:val="0"/>
                <w:sz w:val="22"/>
                <w:lang w:val="es-ES"/>
              </w:rPr>
            </w:pPr>
            <w:r w:rsidRPr="003D11D4">
              <w:rPr>
                <w:caps w:val="0"/>
                <w:sz w:val="22"/>
                <w:lang w:val="es-ES"/>
              </w:rPr>
              <w:t>____________</w:t>
            </w:r>
          </w:p>
          <w:p w14:paraId="2CEAEF7D" w14:textId="358D03CD" w:rsidR="00093EEB" w:rsidRDefault="00093EEB">
            <w:pPr>
              <w:pStyle w:val="Headingb"/>
              <w:rPr>
                <w:lang w:val="es-ES"/>
              </w:rPr>
            </w:pPr>
            <w:r w:rsidRPr="003D11D4">
              <w:rPr>
                <w:lang w:val="es-ES"/>
              </w:rPr>
              <w:t>Referencia</w:t>
            </w:r>
            <w:r w:rsidR="00AD1979">
              <w:rPr>
                <w:lang w:val="es-ES"/>
              </w:rPr>
              <w:t>s</w:t>
            </w:r>
          </w:p>
          <w:p w14:paraId="2D4B7449" w14:textId="70B3884B" w:rsidR="00093EEB" w:rsidRPr="00892B42" w:rsidRDefault="00C53596" w:rsidP="00166C9D">
            <w:pPr>
              <w:spacing w:after="120"/>
              <w:rPr>
                <w:lang w:val="es-ES"/>
              </w:rPr>
            </w:pPr>
            <w:hyperlink r:id="rId9" w:history="1">
              <w:r w:rsidR="00166C9D" w:rsidRPr="00166C9D">
                <w:rPr>
                  <w:rStyle w:val="Hyperlink"/>
                  <w:lang w:val="es-ES"/>
                </w:rPr>
                <w:t>CL-19/33</w:t>
              </w:r>
            </w:hyperlink>
            <w:r w:rsidR="00166C9D" w:rsidRPr="00166C9D">
              <w:t xml:space="preserve">, </w:t>
            </w:r>
            <w:hyperlink r:id="rId10" w:history="1">
              <w:r w:rsidR="00166C9D" w:rsidRPr="00166C9D">
                <w:rPr>
                  <w:rStyle w:val="Hyperlink"/>
                  <w:lang w:val="es-ES"/>
                </w:rPr>
                <w:t>CL-19/45</w:t>
              </w:r>
            </w:hyperlink>
            <w:r w:rsidR="00166C9D" w:rsidRPr="00166C9D">
              <w:t xml:space="preserve">, </w:t>
            </w:r>
            <w:r w:rsidR="00166C9D" w:rsidRPr="00166C9D">
              <w:rPr>
                <w:lang w:val="es-ES"/>
              </w:rPr>
              <w:t xml:space="preserve">Documentos </w:t>
            </w:r>
            <w:hyperlink r:id="rId11" w:history="1">
              <w:r w:rsidR="00166C9D" w:rsidRPr="00166C9D">
                <w:rPr>
                  <w:rStyle w:val="Hyperlink"/>
                  <w:lang w:val="es-ES"/>
                </w:rPr>
                <w:t>21/76</w:t>
              </w:r>
            </w:hyperlink>
            <w:r w:rsidR="00166C9D" w:rsidRPr="00166C9D">
              <w:t xml:space="preserve">, </w:t>
            </w:r>
            <w:hyperlink r:id="rId12" w:history="1">
              <w:r w:rsidR="00166C9D" w:rsidRPr="00166C9D">
                <w:rPr>
                  <w:rStyle w:val="Hyperlink"/>
                  <w:lang w:val="es-ES"/>
                </w:rPr>
                <w:t>21/23</w:t>
              </w:r>
            </w:hyperlink>
            <w:r w:rsidR="00166C9D" w:rsidRPr="00166C9D">
              <w:t xml:space="preserve"> del Consejo</w:t>
            </w:r>
          </w:p>
        </w:tc>
      </w:tr>
    </w:tbl>
    <w:p w14:paraId="257D820D" w14:textId="77777777" w:rsidR="00AD7777" w:rsidRDefault="00AD7777" w:rsidP="008D3A9F">
      <w:pPr>
        <w:rPr>
          <w:lang w:val="es-ES"/>
        </w:rPr>
      </w:pPr>
      <w:r>
        <w:rPr>
          <w:lang w:val="es-ES"/>
        </w:rPr>
        <w:br w:type="page"/>
      </w:r>
    </w:p>
    <w:p w14:paraId="3296CB34" w14:textId="1CEC04B6" w:rsidR="00A37838" w:rsidRPr="00C0097A" w:rsidRDefault="003D11D4" w:rsidP="009C4E68">
      <w:pPr>
        <w:pStyle w:val="Heading1"/>
        <w:rPr>
          <w:lang w:val="es-ES"/>
        </w:rPr>
      </w:pPr>
      <w:r w:rsidRPr="00C0097A">
        <w:rPr>
          <w:lang w:val="es-ES"/>
        </w:rPr>
        <w:lastRenderedPageBreak/>
        <w:t>1</w:t>
      </w:r>
      <w:r w:rsidRPr="00C0097A">
        <w:rPr>
          <w:lang w:val="es-ES"/>
        </w:rPr>
        <w:tab/>
      </w:r>
      <w:r w:rsidR="005749E7" w:rsidRPr="00C0097A">
        <w:rPr>
          <w:lang w:val="es-ES"/>
        </w:rPr>
        <w:t>Antecedentes</w:t>
      </w:r>
    </w:p>
    <w:p w14:paraId="3822BC62" w14:textId="67302FB7" w:rsidR="00663A3A" w:rsidRPr="00701510" w:rsidRDefault="00663A3A" w:rsidP="00663A3A">
      <w:r w:rsidRPr="00701510">
        <w:t>1.1</w:t>
      </w:r>
      <w:r w:rsidRPr="00701510">
        <w:tab/>
        <w:t xml:space="preserve">En el </w:t>
      </w:r>
      <w:r w:rsidRPr="00262B43">
        <w:t xml:space="preserve">número 141 </w:t>
      </w:r>
      <w:r w:rsidRPr="00701510">
        <w:t xml:space="preserve">de la Constitución de la UIT se estipula que </w:t>
      </w:r>
      <w:r>
        <w:t xml:space="preserve">habrá de celebrarse </w:t>
      </w:r>
      <w:r w:rsidRPr="00701510">
        <w:t>una Conferencia Mundial de Desarrollo de las Telecomunicaciones entre dos Conferencias de Plenipotenciarios.</w:t>
      </w:r>
    </w:p>
    <w:p w14:paraId="27A1D777" w14:textId="3BF48F85" w:rsidR="00663A3A" w:rsidRPr="00701510" w:rsidRDefault="00663A3A" w:rsidP="00F17E6E">
      <w:r w:rsidRPr="00701510">
        <w:t>1.2</w:t>
      </w:r>
      <w:r w:rsidRPr="00701510">
        <w:tab/>
        <w:t xml:space="preserve">En la Resolución 77 (Rev. Dubái, 2018) se </w:t>
      </w:r>
      <w:r w:rsidR="00AD7777">
        <w:t>resolvió</w:t>
      </w:r>
      <w:r w:rsidR="00AD7777" w:rsidRPr="00701510">
        <w:t xml:space="preserve"> </w:t>
      </w:r>
      <w:r w:rsidRPr="00701510">
        <w:t>celebrar la Conferencia Mundial de Desarrollo de las Telecomunicaciones (CMDT) en el último trimestre de 2021.</w:t>
      </w:r>
    </w:p>
    <w:p w14:paraId="06D3BE3C" w14:textId="6F04133D" w:rsidR="00663A3A" w:rsidRPr="00701510" w:rsidRDefault="00663A3A" w:rsidP="00F17E6E">
      <w:r w:rsidRPr="00701510">
        <w:t>1.3</w:t>
      </w:r>
      <w:r w:rsidRPr="00701510">
        <w:tab/>
        <w:t xml:space="preserve">En la Resolución 31 (Rev. Buenos Aires, 2017) se </w:t>
      </w:r>
      <w:r w:rsidR="00AD7777">
        <w:t>expresó</w:t>
      </w:r>
      <w:r w:rsidR="00AD7777" w:rsidRPr="00701510">
        <w:t xml:space="preserve"> </w:t>
      </w:r>
      <w:r w:rsidRPr="00701510">
        <w:t xml:space="preserve">la firme convicción de que </w:t>
      </w:r>
      <w:r>
        <w:t xml:space="preserve">la coordinación de los preparativos a nivel regional </w:t>
      </w:r>
      <w:r w:rsidRPr="00701510">
        <w:t>para las seis regiones del Sector de Desarrollo de las Telec</w:t>
      </w:r>
      <w:r>
        <w:t xml:space="preserve">omunicaciones de la UIT (UIT-D) es sumamente </w:t>
      </w:r>
      <w:r w:rsidRPr="00701510">
        <w:t xml:space="preserve">beneficioso para los </w:t>
      </w:r>
      <w:r w:rsidR="00D52A78">
        <w:t xml:space="preserve">Estados </w:t>
      </w:r>
      <w:r w:rsidRPr="00701510">
        <w:t>Miembros.</w:t>
      </w:r>
    </w:p>
    <w:p w14:paraId="2CC1B469" w14:textId="251A8104" w:rsidR="00A37838" w:rsidRPr="000149B4" w:rsidRDefault="003D11D4" w:rsidP="009C4E68">
      <w:pPr>
        <w:pStyle w:val="Heading1"/>
        <w:rPr>
          <w:lang w:val="es-ES"/>
        </w:rPr>
      </w:pPr>
      <w:r w:rsidRPr="000149B4">
        <w:rPr>
          <w:lang w:val="es-ES"/>
        </w:rPr>
        <w:t>2</w:t>
      </w:r>
      <w:r w:rsidRPr="000149B4">
        <w:rPr>
          <w:lang w:val="es-ES"/>
        </w:rPr>
        <w:tab/>
      </w:r>
      <w:r w:rsidR="000761A6" w:rsidRPr="000149B4">
        <w:rPr>
          <w:lang w:val="es-ES"/>
        </w:rPr>
        <w:t>Sitio, duración, fechas y lugar de celebración de la CMDT</w:t>
      </w:r>
    </w:p>
    <w:p w14:paraId="7F497429" w14:textId="4D95C8B5" w:rsidR="003E1F5B" w:rsidRPr="00701510" w:rsidRDefault="003E1F5B" w:rsidP="00F17E6E">
      <w:r w:rsidRPr="00AD1979">
        <w:t>2.1</w:t>
      </w:r>
      <w:r w:rsidRPr="00AD1979">
        <w:tab/>
      </w:r>
      <w:r w:rsidRPr="00701510">
        <w:t>En</w:t>
      </w:r>
      <w:r w:rsidRPr="00AD1979">
        <w:t xml:space="preserve"> su reunión </w:t>
      </w:r>
      <w:r w:rsidRPr="00701510">
        <w:t xml:space="preserve">de 2019, el Consejo de la UIT tomó nota con agradecimiento de la invitación oficial del </w:t>
      </w:r>
      <w:r w:rsidRPr="00AD1979">
        <w:t>Gobierno</w:t>
      </w:r>
      <w:r w:rsidRPr="00701510">
        <w:t xml:space="preserve"> de Etiopía </w:t>
      </w:r>
      <w:r>
        <w:t>de</w:t>
      </w:r>
      <w:r w:rsidRPr="00701510">
        <w:t xml:space="preserve"> acoger la CMDT en Addis Abeba, del 8 al 19 de noviembre de</w:t>
      </w:r>
      <w:r w:rsidR="00AD1979">
        <w:t> </w:t>
      </w:r>
      <w:r w:rsidRPr="00701510">
        <w:t>2021, y aprobó el lugar preciso y las fechas exactas.</w:t>
      </w:r>
    </w:p>
    <w:p w14:paraId="3FFA3431" w14:textId="30D3E0A0" w:rsidR="003E1F5B" w:rsidRPr="00701510" w:rsidRDefault="003E1F5B" w:rsidP="00F17E6E">
      <w:r w:rsidRPr="00701510">
        <w:t>2.2</w:t>
      </w:r>
      <w:r w:rsidRPr="00701510">
        <w:tab/>
        <w:t>Mediante la</w:t>
      </w:r>
      <w:r w:rsidR="00D52A78">
        <w:t xml:space="preserve"> </w:t>
      </w:r>
      <w:r w:rsidR="00D52A78" w:rsidRPr="00D52A78">
        <w:t>Carta Circular</w:t>
      </w:r>
      <w:r w:rsidRPr="00701510">
        <w:t xml:space="preserve"> </w:t>
      </w:r>
      <w:hyperlink r:id="rId13" w:history="1">
        <w:r w:rsidR="00D52A78">
          <w:rPr>
            <w:rStyle w:val="Hyperlink"/>
          </w:rPr>
          <w:t>CL-19/33</w:t>
        </w:r>
      </w:hyperlink>
      <w:r w:rsidRPr="00D52A78">
        <w:t>,</w:t>
      </w:r>
      <w:r w:rsidRPr="00701510">
        <w:t xml:space="preserve"> de</w:t>
      </w:r>
      <w:r>
        <w:t xml:space="preserve"> </w:t>
      </w:r>
      <w:r w:rsidRPr="00701510">
        <w:t xml:space="preserve">22 de julio de 2019, se invitó a los Estados Miembros de la UIT a confirmar, por escrito, su acuerdo con el lugar preciso y las fechas exactas de la CMDT </w:t>
      </w:r>
      <w:r>
        <w:t>antes del</w:t>
      </w:r>
      <w:r w:rsidRPr="00701510">
        <w:t xml:space="preserve"> 30 de septiembre de 2019.</w:t>
      </w:r>
    </w:p>
    <w:p w14:paraId="7CB119D5" w14:textId="734BDBFA" w:rsidR="003E1F5B" w:rsidRPr="00701510" w:rsidRDefault="003E1F5B" w:rsidP="00F17E6E">
      <w:r w:rsidRPr="00701510">
        <w:t>2.3</w:t>
      </w:r>
      <w:r w:rsidRPr="00701510">
        <w:tab/>
        <w:t>Mediante la</w:t>
      </w:r>
      <w:r w:rsidR="00D52A78">
        <w:t xml:space="preserve"> </w:t>
      </w:r>
      <w:r w:rsidR="00D52A78" w:rsidRPr="00D52A78">
        <w:t xml:space="preserve">Carta Circular </w:t>
      </w:r>
      <w:hyperlink r:id="rId14" w:history="1">
        <w:r w:rsidR="00D52A78">
          <w:rPr>
            <w:rStyle w:val="Hyperlink"/>
          </w:rPr>
          <w:t>CL-19/45</w:t>
        </w:r>
      </w:hyperlink>
      <w:r w:rsidRPr="00D52A78">
        <w:t>,</w:t>
      </w:r>
      <w:r w:rsidRPr="00701510">
        <w:t xml:space="preserve"> de 3 de octubre de 2019, se informó a los Estados Miembros </w:t>
      </w:r>
      <w:r w:rsidR="00D52A78" w:rsidRPr="00CA0377">
        <w:t>de la UIT</w:t>
      </w:r>
      <w:r w:rsidR="00D52A78">
        <w:t xml:space="preserve"> </w:t>
      </w:r>
      <w:r w:rsidRPr="00701510">
        <w:t xml:space="preserve">que la consulta celebrada según se indicó anteriormente había recibido el acuerdo de la mayoría </w:t>
      </w:r>
      <w:r w:rsidRPr="00C0097A">
        <w:rPr>
          <w:lang w:val="es-ES"/>
        </w:rPr>
        <w:t>requerida</w:t>
      </w:r>
      <w:r w:rsidRPr="00701510">
        <w:t xml:space="preserve"> de Estados Miembros de la UIT, con arreglo a los números 42 y 213 del Convenio de la UIT.</w:t>
      </w:r>
    </w:p>
    <w:p w14:paraId="3138FF02" w14:textId="64D256CB" w:rsidR="003E1F5B" w:rsidRDefault="003E1F5B" w:rsidP="00F17E6E">
      <w:r w:rsidRPr="00701510">
        <w:t>2.4</w:t>
      </w:r>
      <w:r w:rsidRPr="00701510">
        <w:tab/>
      </w:r>
      <w:r>
        <w:t xml:space="preserve">Se </w:t>
      </w:r>
      <w:r w:rsidR="00AD7777">
        <w:t xml:space="preserve">previó </w:t>
      </w:r>
      <w:r>
        <w:t>celebrar</w:t>
      </w:r>
      <w:r w:rsidRPr="00701510">
        <w:t xml:space="preserve"> una Cumbre de la Juventud los días 6 y 7 de noviembre de</w:t>
      </w:r>
      <w:r w:rsidR="00D52A78">
        <w:t xml:space="preserve"> </w:t>
      </w:r>
      <w:r w:rsidRPr="00701510">
        <w:t>2021, justo antes de la CMDT, también en Addis Abeba.</w:t>
      </w:r>
    </w:p>
    <w:p w14:paraId="4132BE3A" w14:textId="48EDE466" w:rsidR="0046114F" w:rsidRDefault="0046114F" w:rsidP="00054995">
      <w:pPr>
        <w:rPr>
          <w:lang w:val="es-ES"/>
        </w:rPr>
      </w:pPr>
      <w:bookmarkStart w:id="11" w:name="lt_pId033"/>
      <w:r>
        <w:rPr>
          <w:lang w:val="es-ES"/>
        </w:rPr>
        <w:t>2.</w:t>
      </w:r>
      <w:r w:rsidR="00EC59DB">
        <w:rPr>
          <w:lang w:val="es-ES"/>
        </w:rPr>
        <w:t>5</w:t>
      </w:r>
      <w:r>
        <w:rPr>
          <w:lang w:val="es-ES"/>
        </w:rPr>
        <w:tab/>
      </w:r>
      <w:r w:rsidRPr="009F3358">
        <w:rPr>
          <w:lang w:val="es-ES"/>
        </w:rPr>
        <w:t>El 12 de abril de 202</w:t>
      </w:r>
      <w:r>
        <w:rPr>
          <w:lang w:val="es-ES"/>
        </w:rPr>
        <w:t>1</w:t>
      </w:r>
      <w:r w:rsidRPr="009F3358">
        <w:rPr>
          <w:lang w:val="es-ES"/>
        </w:rPr>
        <w:t xml:space="preserve">, la Administración de Etiopía escribió al Secretario General (véase el </w:t>
      </w:r>
      <w:r w:rsidR="00D52A78" w:rsidRPr="00D52A78">
        <w:rPr>
          <w:lang w:val="es-ES"/>
        </w:rPr>
        <w:t>Documento</w:t>
      </w:r>
      <w:r w:rsidR="00D52A78">
        <w:rPr>
          <w:lang w:val="es-ES"/>
        </w:rPr>
        <w:t> </w:t>
      </w:r>
      <w:hyperlink r:id="rId15" w:history="1">
        <w:r w:rsidR="00D52A78">
          <w:rPr>
            <w:rStyle w:val="Hyperlink"/>
            <w:lang w:val="es-ES"/>
          </w:rPr>
          <w:t>21/76</w:t>
        </w:r>
      </w:hyperlink>
      <w:r w:rsidR="00AD7777" w:rsidRPr="000B48E2">
        <w:t xml:space="preserve"> del Consejo</w:t>
      </w:r>
      <w:r w:rsidRPr="009F3358">
        <w:rPr>
          <w:lang w:val="es-ES"/>
        </w:rPr>
        <w:t xml:space="preserve">) señalando que, </w:t>
      </w:r>
      <w:r>
        <w:rPr>
          <w:lang w:val="es-ES"/>
        </w:rPr>
        <w:t xml:space="preserve">el contexto </w:t>
      </w:r>
      <w:r w:rsidRPr="009F3358">
        <w:rPr>
          <w:lang w:val="es-ES"/>
        </w:rPr>
        <w:t>sanitari</w:t>
      </w:r>
      <w:r>
        <w:rPr>
          <w:lang w:val="es-ES"/>
        </w:rPr>
        <w:t>o</w:t>
      </w:r>
      <w:r w:rsidRPr="009F3358">
        <w:rPr>
          <w:lang w:val="es-ES"/>
        </w:rPr>
        <w:t xml:space="preserve"> actual </w:t>
      </w:r>
      <w:r>
        <w:rPr>
          <w:lang w:val="es-ES"/>
        </w:rPr>
        <w:t xml:space="preserve">vinculado a </w:t>
      </w:r>
      <w:r w:rsidRPr="009F3358">
        <w:rPr>
          <w:lang w:val="es-ES"/>
        </w:rPr>
        <w:t>la pandemia de COVID-19</w:t>
      </w:r>
      <w:r>
        <w:rPr>
          <w:lang w:val="es-ES"/>
        </w:rPr>
        <w:t xml:space="preserve"> no permitía determinar con certeza </w:t>
      </w:r>
      <w:r w:rsidRPr="009F3358">
        <w:rPr>
          <w:lang w:val="es-ES"/>
        </w:rPr>
        <w:t xml:space="preserve">si las restricciones de viaje se levantarían en noviembre y si todos los Estados Miembros podrían participar en igualdad de condiciones. </w:t>
      </w:r>
      <w:r>
        <w:rPr>
          <w:lang w:val="es-ES"/>
        </w:rPr>
        <w:t xml:space="preserve">Ante </w:t>
      </w:r>
      <w:r w:rsidRPr="009F3358">
        <w:rPr>
          <w:lang w:val="es-ES"/>
        </w:rPr>
        <w:t xml:space="preserve">esta incertidumbre, </w:t>
      </w:r>
      <w:r w:rsidRPr="0046114F">
        <w:t>Etiopía</w:t>
      </w:r>
      <w:r w:rsidRPr="009F3358">
        <w:rPr>
          <w:lang w:val="es-ES"/>
        </w:rPr>
        <w:t xml:space="preserve"> propuso </w:t>
      </w:r>
      <w:r>
        <w:rPr>
          <w:lang w:val="es-ES"/>
        </w:rPr>
        <w:t xml:space="preserve">que se aplazara la celebración de </w:t>
      </w:r>
      <w:r w:rsidRPr="009F3358">
        <w:rPr>
          <w:lang w:val="es-ES"/>
        </w:rPr>
        <w:t xml:space="preserve">la CMDT </w:t>
      </w:r>
      <w:r>
        <w:rPr>
          <w:lang w:val="es-ES"/>
        </w:rPr>
        <w:t>hasta e</w:t>
      </w:r>
      <w:r w:rsidRPr="009F3358">
        <w:rPr>
          <w:lang w:val="es-ES"/>
        </w:rPr>
        <w:t>l 6-15 de junio de 2022, y solicitó al Secretario General que consultara a los miembros de la</w:t>
      </w:r>
      <w:r w:rsidR="00D52A78">
        <w:rPr>
          <w:lang w:val="es-ES"/>
        </w:rPr>
        <w:t> </w:t>
      </w:r>
      <w:r w:rsidRPr="009F3358">
        <w:rPr>
          <w:lang w:val="es-ES"/>
        </w:rPr>
        <w:t xml:space="preserve">UIT sobre este aplazamiento </w:t>
      </w:r>
      <w:r w:rsidRPr="00E553AA">
        <w:rPr>
          <w:lang w:val="es-ES"/>
        </w:rPr>
        <w:t>a la mayor brevedad posible</w:t>
      </w:r>
      <w:r w:rsidRPr="009F3358">
        <w:rPr>
          <w:lang w:val="es-ES"/>
        </w:rPr>
        <w:t>.</w:t>
      </w:r>
    </w:p>
    <w:p w14:paraId="2E7A16D1" w14:textId="5AB78E85" w:rsidR="00A37838" w:rsidRDefault="0046114F" w:rsidP="00054995">
      <w:pPr>
        <w:rPr>
          <w:lang w:val="es-ES"/>
        </w:rPr>
      </w:pPr>
      <w:bookmarkStart w:id="12" w:name="lt_pId035"/>
      <w:bookmarkEnd w:id="11"/>
      <w:r>
        <w:rPr>
          <w:lang w:val="es-ES"/>
        </w:rPr>
        <w:t>2.</w:t>
      </w:r>
      <w:r w:rsidR="00EC59DB">
        <w:rPr>
          <w:lang w:val="es-ES"/>
        </w:rPr>
        <w:t>6</w:t>
      </w:r>
      <w:r>
        <w:rPr>
          <w:lang w:val="es-ES"/>
        </w:rPr>
        <w:tab/>
      </w:r>
      <w:r w:rsidR="00AD7777">
        <w:rPr>
          <w:lang w:val="es-ES"/>
        </w:rPr>
        <w:t>El 15 de abril de 2021 se inició una consulta de Estados Miembros de la UIT m</w:t>
      </w:r>
      <w:r w:rsidRPr="009F3358">
        <w:rPr>
          <w:lang w:val="es-ES"/>
        </w:rPr>
        <w:t xml:space="preserve">ediante la </w:t>
      </w:r>
      <w:r w:rsidR="00580C0A">
        <w:rPr>
          <w:lang w:val="es-ES"/>
        </w:rPr>
        <w:t>C</w:t>
      </w:r>
      <w:r w:rsidRPr="009F3358">
        <w:rPr>
          <w:lang w:val="es-ES"/>
        </w:rPr>
        <w:t xml:space="preserve">arta </w:t>
      </w:r>
      <w:r w:rsidR="00580C0A">
        <w:rPr>
          <w:lang w:val="es-ES"/>
        </w:rPr>
        <w:t>Circular</w:t>
      </w:r>
      <w:r w:rsidR="001B671D">
        <w:rPr>
          <w:lang w:val="es-ES"/>
        </w:rPr>
        <w:t> </w:t>
      </w:r>
      <w:hyperlink r:id="rId16" w:history="1">
        <w:r w:rsidRPr="009F3358">
          <w:rPr>
            <w:rStyle w:val="Hyperlink"/>
            <w:lang w:val="es-ES"/>
          </w:rPr>
          <w:t>DM-21/1010</w:t>
        </w:r>
      </w:hyperlink>
      <w:r>
        <w:rPr>
          <w:lang w:val="es-ES"/>
        </w:rPr>
        <w:t>,</w:t>
      </w:r>
      <w:r w:rsidRPr="009F3358">
        <w:rPr>
          <w:lang w:val="es-ES"/>
        </w:rPr>
        <w:t xml:space="preserve"> de conformidad con el número 3.2 del </w:t>
      </w:r>
      <w:r w:rsidRPr="0046114F">
        <w:t>Reglamento</w:t>
      </w:r>
      <w:r w:rsidRPr="009F3358">
        <w:rPr>
          <w:lang w:val="es-ES"/>
        </w:rPr>
        <w:t xml:space="preserve"> interno del Consejo sobre consultas y decisiones entre las reuniones y el número</w:t>
      </w:r>
      <w:r>
        <w:rPr>
          <w:lang w:val="es-ES"/>
        </w:rPr>
        <w:t> </w:t>
      </w:r>
      <w:r w:rsidRPr="009F3358">
        <w:rPr>
          <w:lang w:val="es-ES"/>
        </w:rPr>
        <w:t>42 del Convenio de la UIT, sobre la solicitud de Etiopía de aplazar la Conferencia Mundial de Desarrollo de</w:t>
      </w:r>
      <w:r>
        <w:rPr>
          <w:lang w:val="es-ES"/>
        </w:rPr>
        <w:t xml:space="preserve"> las Telecomunicaciones de 2021</w:t>
      </w:r>
      <w:r w:rsidRPr="009F3358">
        <w:rPr>
          <w:lang w:val="es-ES"/>
        </w:rPr>
        <w:t xml:space="preserve"> </w:t>
      </w:r>
      <w:r>
        <w:rPr>
          <w:lang w:val="es-ES"/>
        </w:rPr>
        <w:t xml:space="preserve">hasta los días </w:t>
      </w:r>
      <w:r w:rsidRPr="009F3358">
        <w:rPr>
          <w:lang w:val="es-ES"/>
        </w:rPr>
        <w:t xml:space="preserve">6 </w:t>
      </w:r>
      <w:r>
        <w:rPr>
          <w:lang w:val="es-ES"/>
        </w:rPr>
        <w:t>a</w:t>
      </w:r>
      <w:r w:rsidRPr="009F3358">
        <w:rPr>
          <w:lang w:val="es-ES"/>
        </w:rPr>
        <w:t xml:space="preserve"> 15 de junio de 2022. </w:t>
      </w:r>
      <w:r w:rsidR="00E861F8" w:rsidRPr="002573F5">
        <w:rPr>
          <w:lang w:val="es-ES"/>
        </w:rPr>
        <w:t>Al cumplirse el plazo del 7 de mayo de 2021, los Estados Miembros del Consejo apoyaron el cambio de fechas para la próxima</w:t>
      </w:r>
      <w:r w:rsidR="008B7609">
        <w:rPr>
          <w:lang w:val="es-ES"/>
        </w:rPr>
        <w:t> </w:t>
      </w:r>
      <w:r w:rsidR="00E861F8" w:rsidRPr="002573F5">
        <w:rPr>
          <w:lang w:val="es-ES"/>
        </w:rPr>
        <w:t xml:space="preserve">CMDT, según se constata en la </w:t>
      </w:r>
      <w:r w:rsidR="00580C0A">
        <w:rPr>
          <w:lang w:val="es-ES"/>
        </w:rPr>
        <w:t>Carta Circular</w:t>
      </w:r>
      <w:hyperlink r:id="rId17" w:history="1">
        <w:r w:rsidR="001B671D">
          <w:t> </w:t>
        </w:r>
        <w:r w:rsidR="00E861F8">
          <w:rPr>
            <w:rStyle w:val="Hyperlink"/>
            <w:lang w:val="es-ES"/>
          </w:rPr>
          <w:t>DM-21/1012</w:t>
        </w:r>
      </w:hyperlink>
      <w:r w:rsidR="00E861F8" w:rsidRPr="002573F5">
        <w:rPr>
          <w:lang w:val="es-ES"/>
        </w:rPr>
        <w:t>, en la que se facilitan los resultados de la consulta</w:t>
      </w:r>
      <w:r w:rsidR="00E861F8">
        <w:rPr>
          <w:lang w:val="es-ES"/>
        </w:rPr>
        <w:t>.</w:t>
      </w:r>
      <w:bookmarkEnd w:id="12"/>
    </w:p>
    <w:p w14:paraId="13028C94" w14:textId="0709CEE4" w:rsidR="00AD1979" w:rsidRDefault="00AD1979" w:rsidP="008D3A9F">
      <w:pPr>
        <w:keepNext/>
        <w:keepLines/>
        <w:rPr>
          <w:lang w:val="es-ES"/>
        </w:rPr>
      </w:pPr>
      <w:r w:rsidRPr="00AD1979">
        <w:rPr>
          <w:lang w:val="es-ES"/>
        </w:rPr>
        <w:lastRenderedPageBreak/>
        <w:t>2.7</w:t>
      </w:r>
      <w:r w:rsidRPr="00AD1979">
        <w:rPr>
          <w:lang w:val="es-ES"/>
        </w:rPr>
        <w:tab/>
        <w:t>A raíz de la consulta de los Estados Miembros del Consejo y de conformidad con el número</w:t>
      </w:r>
      <w:r>
        <w:rPr>
          <w:lang w:val="es-ES"/>
        </w:rPr>
        <w:t> </w:t>
      </w:r>
      <w:r w:rsidRPr="00AD1979">
        <w:rPr>
          <w:lang w:val="es-ES"/>
        </w:rPr>
        <w:t xml:space="preserve">46 del Convenio de la UIT, el Secretario General consultó a todos los Estados Miembros de la UIT con derecho a voto a través de la Carta Circular </w:t>
      </w:r>
      <w:hyperlink r:id="rId18" w:history="1">
        <w:r w:rsidRPr="00AD1979">
          <w:rPr>
            <w:rStyle w:val="Hyperlink"/>
            <w:lang w:val="es-ES"/>
          </w:rPr>
          <w:t>CL-21/19</w:t>
        </w:r>
      </w:hyperlink>
      <w:r w:rsidRPr="00AD1979">
        <w:rPr>
          <w:lang w:val="es-ES"/>
        </w:rPr>
        <w:t>, de fecha 14 de mayo de 2021, sobre el aplazamiento de la CMDT al 6-15 de junio de 2022. Todos los Estados Miembros</w:t>
      </w:r>
      <w:r w:rsidR="000149B4">
        <w:rPr>
          <w:lang w:val="es-ES"/>
        </w:rPr>
        <w:t xml:space="preserve"> </w:t>
      </w:r>
      <w:r w:rsidR="000149B4" w:rsidRPr="00CA0377">
        <w:rPr>
          <w:lang w:val="es-ES"/>
        </w:rPr>
        <w:t>de la UIT</w:t>
      </w:r>
      <w:r w:rsidRPr="00AD1979">
        <w:rPr>
          <w:lang w:val="es-ES"/>
        </w:rPr>
        <w:t xml:space="preserve"> se mostraron de acuerdo con este aplazamiento, según se expone en la Carta Circular</w:t>
      </w:r>
      <w:r w:rsidR="001B671D">
        <w:rPr>
          <w:lang w:val="es-ES"/>
        </w:rPr>
        <w:t> </w:t>
      </w:r>
      <w:hyperlink r:id="rId19" w:history="1">
        <w:r w:rsidRPr="00AD1979">
          <w:rPr>
            <w:rStyle w:val="Hyperlink"/>
            <w:lang w:val="es-ES"/>
          </w:rPr>
          <w:t>CL-21/23</w:t>
        </w:r>
      </w:hyperlink>
      <w:r w:rsidRPr="00AD1979">
        <w:rPr>
          <w:lang w:val="es-ES"/>
        </w:rPr>
        <w:t xml:space="preserve"> de fecha 24 de junio de 2021, en la que se recogen los resultados de la consulta.</w:t>
      </w:r>
    </w:p>
    <w:p w14:paraId="32C99CE2" w14:textId="10FEBCAB" w:rsidR="003D11D4" w:rsidRPr="00701E23" w:rsidRDefault="003D11D4" w:rsidP="00AD1979">
      <w:pPr>
        <w:rPr>
          <w:lang w:val="es-ES"/>
        </w:rPr>
      </w:pPr>
      <w:r w:rsidRPr="00701E23">
        <w:rPr>
          <w:lang w:val="es-ES"/>
        </w:rPr>
        <w:t>2.8</w:t>
      </w:r>
      <w:r w:rsidRPr="00701E23">
        <w:rPr>
          <w:lang w:val="es-ES"/>
        </w:rPr>
        <w:tab/>
      </w:r>
      <w:r w:rsidR="007148DD" w:rsidRPr="00701E23">
        <w:rPr>
          <w:lang w:val="es-ES"/>
        </w:rPr>
        <w:t>A raíz de la declaración del estado de emergencia nacional del Gobierno de Etiopía el 2 de noviembre de 2021, y atendiendo a</w:t>
      </w:r>
      <w:r w:rsidR="00E861F8">
        <w:rPr>
          <w:lang w:val="es-ES"/>
        </w:rPr>
        <w:t>l</w:t>
      </w:r>
      <w:r w:rsidR="007148DD" w:rsidRPr="00701E23">
        <w:rPr>
          <w:lang w:val="es-ES"/>
        </w:rPr>
        <w:t xml:space="preserve"> asesoramiento del Secretario General y el Jefe de Seguridad de la UIT, el 6 de diciembre de 2021 la Presidencia del Consejo envió una carta a todos los Estados Miembros del Consejo </w:t>
      </w:r>
      <w:r w:rsidRPr="00701E23">
        <w:rPr>
          <w:lang w:val="es-ES"/>
        </w:rPr>
        <w:t>(</w:t>
      </w:r>
      <w:hyperlink r:id="rId20" w:history="1">
        <w:r w:rsidRPr="00701E23">
          <w:rPr>
            <w:rStyle w:val="Hyperlink"/>
            <w:szCs w:val="24"/>
            <w:lang w:val="es-ES"/>
          </w:rPr>
          <w:t>DM-21/1025</w:t>
        </w:r>
      </w:hyperlink>
      <w:r w:rsidRPr="00701E23">
        <w:rPr>
          <w:lang w:val="es-ES"/>
        </w:rPr>
        <w:t xml:space="preserve">) </w:t>
      </w:r>
      <w:r w:rsidR="007148DD" w:rsidRPr="00701E23">
        <w:rPr>
          <w:lang w:val="es-ES"/>
        </w:rPr>
        <w:t xml:space="preserve">para comunicarles que </w:t>
      </w:r>
      <w:r w:rsidR="00E861F8">
        <w:rPr>
          <w:lang w:val="es-ES"/>
        </w:rPr>
        <w:t xml:space="preserve">se había vuelto necesario y urgente examinar las opciones para la siguiente CMDT, teniendo en cuenta la expectativa de los </w:t>
      </w:r>
      <w:r w:rsidR="000149B4">
        <w:rPr>
          <w:lang w:val="es-ES"/>
        </w:rPr>
        <w:t>m</w:t>
      </w:r>
      <w:r w:rsidR="00E861F8">
        <w:rPr>
          <w:lang w:val="es-ES"/>
        </w:rPr>
        <w:t xml:space="preserve">iembros de que la </w:t>
      </w:r>
      <w:r w:rsidR="005C1277">
        <w:rPr>
          <w:lang w:val="es-ES"/>
        </w:rPr>
        <w:t>C</w:t>
      </w:r>
      <w:r w:rsidR="00E861F8">
        <w:rPr>
          <w:lang w:val="es-ES"/>
        </w:rPr>
        <w:t>onferencia se celebre en la Región de África</w:t>
      </w:r>
      <w:r w:rsidRPr="00701E23">
        <w:rPr>
          <w:lang w:val="es-ES"/>
        </w:rPr>
        <w:t>.</w:t>
      </w:r>
    </w:p>
    <w:p w14:paraId="7B94504E" w14:textId="23253EB3" w:rsidR="003D11D4" w:rsidRPr="00701E23" w:rsidRDefault="00970BD5" w:rsidP="00F17E6E">
      <w:r w:rsidRPr="00701E23">
        <w:rPr>
          <w:lang w:val="es-ES"/>
        </w:rPr>
        <w:t>2.9</w:t>
      </w:r>
      <w:r w:rsidRPr="00701E23">
        <w:rPr>
          <w:lang w:val="es-ES"/>
        </w:rPr>
        <w:tab/>
      </w:r>
      <w:r w:rsidR="00E861F8" w:rsidRPr="006F7D34">
        <w:t>El 21 de enero de 2022, los Estados Miembros del Consejo de la UIT celebraron una consulta oficiosa para debatir los preparativos de las próximas reuniones de la CMDT, la AMNT y el Consejo</w:t>
      </w:r>
      <w:r w:rsidR="00E861F8">
        <w:t xml:space="preserve">. </w:t>
      </w:r>
      <w:r w:rsidR="00E861F8" w:rsidRPr="006F7D34">
        <w:t xml:space="preserve">Tras </w:t>
      </w:r>
      <w:r w:rsidR="00E861F8">
        <w:t xml:space="preserve">debatir </w:t>
      </w:r>
      <w:r w:rsidR="00E861F8" w:rsidRPr="006F7D34">
        <w:t xml:space="preserve">los temas planteados en la Carta Circular </w:t>
      </w:r>
      <w:hyperlink r:id="rId21" w:history="1">
        <w:r w:rsidR="00E861F8" w:rsidRPr="006F7D34">
          <w:rPr>
            <w:rStyle w:val="Hyperlink"/>
          </w:rPr>
          <w:t>DM-21/1025</w:t>
        </w:r>
      </w:hyperlink>
      <w:r w:rsidR="00E861F8" w:rsidRPr="006F7D34">
        <w:t>, del 6 de diciembre de 2021, los consejeros convinieron en que la celebración de la CMDT en Addis Abeba (República Democrática Federal de Etiopía) ya no constituía una opción viable</w:t>
      </w:r>
      <w:r w:rsidR="00E861F8">
        <w:t xml:space="preserve">. Unánimes en su </w:t>
      </w:r>
      <w:r w:rsidR="00E861F8" w:rsidRPr="006F7D34">
        <w:t xml:space="preserve">opinión a favor de mantener la </w:t>
      </w:r>
      <w:r w:rsidR="00301D84">
        <w:t>C</w:t>
      </w:r>
      <w:r w:rsidR="00301D84" w:rsidRPr="006F7D34">
        <w:t xml:space="preserve">onferencia </w:t>
      </w:r>
      <w:r w:rsidR="00E861F8" w:rsidRPr="006F7D34">
        <w:t>en África, en la medida de lo posible</w:t>
      </w:r>
      <w:r w:rsidR="00E861F8">
        <w:t xml:space="preserve">, la reunión solicitó </w:t>
      </w:r>
      <w:r w:rsidR="00E861F8" w:rsidRPr="006F7D34">
        <w:t xml:space="preserve">a los Estados Miembros de África que formularan propuestas de sede alternativa. A raíz de esa solicitud, el consejero de Rwanda informó a la reunión del deseo de Rwanda de acoger la </w:t>
      </w:r>
      <w:r w:rsidR="005C1277">
        <w:t>C</w:t>
      </w:r>
      <w:r w:rsidR="00E861F8" w:rsidRPr="006F7D34">
        <w:t>onferencia en Kigali, propuesta que recibió un apoyo unánime de la reunión</w:t>
      </w:r>
      <w:r w:rsidR="00E861F8">
        <w:t>.</w:t>
      </w:r>
    </w:p>
    <w:p w14:paraId="03D9C81C" w14:textId="0669B903" w:rsidR="003D11D4" w:rsidRPr="00701E23" w:rsidRDefault="00970BD5" w:rsidP="00F17E6E">
      <w:pPr>
        <w:rPr>
          <w:lang w:val="es-ES"/>
        </w:rPr>
      </w:pPr>
      <w:r w:rsidRPr="000149B4">
        <w:rPr>
          <w:lang w:val="es-ES"/>
        </w:rPr>
        <w:t>2.10</w:t>
      </w:r>
      <w:r w:rsidRPr="00701E23">
        <w:rPr>
          <w:lang w:val="es-ES"/>
        </w:rPr>
        <w:tab/>
      </w:r>
      <w:r w:rsidR="00580C0A">
        <w:rPr>
          <w:lang w:val="es-ES"/>
        </w:rPr>
        <w:t>E</w:t>
      </w:r>
      <w:r w:rsidR="00580C0A">
        <w:t xml:space="preserve">l 30 de enero de 2022, </w:t>
      </w:r>
      <w:r w:rsidR="00580C0A" w:rsidRPr="006F7D34">
        <w:t>el Secretario General recibió una invitación oficial del Gobierno de Rwanda para celebrar la próxima CMDT en la ciudad de Kigali, del 6 al 16 de junio de 2022, precedida por la Cumbre de la Juventud, que comenzará el 2 de junio de 2022</w:t>
      </w:r>
      <w:r w:rsidR="00580C0A">
        <w:t>.</w:t>
      </w:r>
    </w:p>
    <w:p w14:paraId="54DE92BE" w14:textId="20EB4B02" w:rsidR="003D11D4" w:rsidRPr="00701E23" w:rsidRDefault="00970BD5" w:rsidP="00F17E6E">
      <w:pPr>
        <w:rPr>
          <w:szCs w:val="24"/>
          <w:lang w:val="es-ES"/>
        </w:rPr>
      </w:pPr>
      <w:r w:rsidRPr="00701E23">
        <w:rPr>
          <w:lang w:val="es-ES"/>
        </w:rPr>
        <w:t>2.11</w:t>
      </w:r>
      <w:r w:rsidRPr="00701E23">
        <w:rPr>
          <w:lang w:val="es-ES"/>
        </w:rPr>
        <w:tab/>
      </w:r>
      <w:r w:rsidR="00580C0A">
        <w:rPr>
          <w:lang w:val="es-ES"/>
        </w:rPr>
        <w:t xml:space="preserve">Con arreglo al </w:t>
      </w:r>
      <w:r w:rsidR="00580C0A" w:rsidRPr="00701E23">
        <w:rPr>
          <w:lang w:val="es-ES"/>
        </w:rPr>
        <w:t>n</w:t>
      </w:r>
      <w:r w:rsidR="00580C0A">
        <w:rPr>
          <w:lang w:val="es-ES"/>
        </w:rPr>
        <w:t>úmero</w:t>
      </w:r>
      <w:r w:rsidR="00580C0A" w:rsidRPr="00701E23">
        <w:rPr>
          <w:lang w:val="es-ES"/>
        </w:rPr>
        <w:t xml:space="preserve"> </w:t>
      </w:r>
      <w:r w:rsidR="00580C0A" w:rsidRPr="00580C0A">
        <w:rPr>
          <w:lang w:val="es-ES"/>
        </w:rPr>
        <w:t xml:space="preserve">42 del </w:t>
      </w:r>
      <w:r w:rsidR="00580C0A" w:rsidRPr="00701E23">
        <w:rPr>
          <w:lang w:val="es-ES"/>
        </w:rPr>
        <w:t>C</w:t>
      </w:r>
      <w:r w:rsidR="00580C0A" w:rsidRPr="00580C0A">
        <w:rPr>
          <w:lang w:val="es-ES"/>
        </w:rPr>
        <w:t>onvenio</w:t>
      </w:r>
      <w:r w:rsidR="00580C0A">
        <w:rPr>
          <w:lang w:val="es-ES"/>
        </w:rPr>
        <w:t xml:space="preserve"> de la UIT</w:t>
      </w:r>
      <w:r w:rsidR="00580C0A" w:rsidRPr="00580C0A">
        <w:rPr>
          <w:lang w:val="es-ES"/>
        </w:rPr>
        <w:t xml:space="preserve">, </w:t>
      </w:r>
      <w:r w:rsidR="00580C0A" w:rsidRPr="00701E23">
        <w:rPr>
          <w:lang w:val="es-ES"/>
        </w:rPr>
        <w:t>se celebró a continuación una consulta de Est</w:t>
      </w:r>
      <w:r w:rsidR="00580C0A">
        <w:rPr>
          <w:lang w:val="es-ES"/>
        </w:rPr>
        <w:t>a</w:t>
      </w:r>
      <w:r w:rsidR="00580C0A" w:rsidRPr="00701E23">
        <w:rPr>
          <w:lang w:val="es-ES"/>
        </w:rPr>
        <w:t xml:space="preserve">dos Miembros del Consejo, mediante Carta Circular </w:t>
      </w:r>
      <w:hyperlink r:id="rId22" w:history="1">
        <w:r w:rsidR="003D11D4" w:rsidRPr="00701E23">
          <w:rPr>
            <w:rStyle w:val="Hyperlink"/>
            <w:lang w:val="es-ES"/>
          </w:rPr>
          <w:t>DM-22/1000</w:t>
        </w:r>
      </w:hyperlink>
      <w:r w:rsidR="003D11D4" w:rsidRPr="00701E23">
        <w:rPr>
          <w:lang w:val="es-ES"/>
        </w:rPr>
        <w:t xml:space="preserve"> </w:t>
      </w:r>
      <w:r w:rsidR="00580C0A">
        <w:rPr>
          <w:lang w:val="es-ES"/>
        </w:rPr>
        <w:t>de 2 de febrero de 2022, y la mayoría de los Estados Miembros del Consejo apoyaron el cambio de lugar y fechas para la siguiente CMDT a Kigali (Rwanda), del 6 al 16 de junio de 2022.</w:t>
      </w:r>
    </w:p>
    <w:p w14:paraId="79B0622E" w14:textId="649F14E2" w:rsidR="003D11D4" w:rsidRPr="00701E23" w:rsidRDefault="00970BD5" w:rsidP="00AD1979">
      <w:pPr>
        <w:rPr>
          <w:lang w:val="es-ES"/>
        </w:rPr>
      </w:pPr>
      <w:r w:rsidRPr="000149B4">
        <w:rPr>
          <w:lang w:val="es-ES"/>
        </w:rPr>
        <w:t>2.12</w:t>
      </w:r>
      <w:r w:rsidRPr="00701E23">
        <w:rPr>
          <w:lang w:val="es-ES"/>
        </w:rPr>
        <w:tab/>
      </w:r>
      <w:r w:rsidR="00580C0A" w:rsidRPr="00701E23">
        <w:rPr>
          <w:lang w:val="es-ES"/>
        </w:rPr>
        <w:t>A ra</w:t>
      </w:r>
      <w:r w:rsidR="00580C0A">
        <w:rPr>
          <w:lang w:val="es-ES"/>
        </w:rPr>
        <w:t>íz de la decisió</w:t>
      </w:r>
      <w:r w:rsidR="00580C0A" w:rsidRPr="00701E23">
        <w:rPr>
          <w:lang w:val="es-ES"/>
        </w:rPr>
        <w:t xml:space="preserve">n de los Estados Miembros del </w:t>
      </w:r>
      <w:r w:rsidR="00580C0A">
        <w:rPr>
          <w:lang w:val="es-ES"/>
        </w:rPr>
        <w:t>C</w:t>
      </w:r>
      <w:r w:rsidR="00580C0A" w:rsidRPr="00701E23">
        <w:rPr>
          <w:lang w:val="es-ES"/>
        </w:rPr>
        <w:t xml:space="preserve">onsejo, se celebró una consulta de todos los Estados Miembros mediante Carta Circular </w:t>
      </w:r>
      <w:hyperlink r:id="rId23" w:history="1">
        <w:r w:rsidR="00580C0A" w:rsidRPr="00701E23">
          <w:rPr>
            <w:rStyle w:val="Hyperlink"/>
            <w:szCs w:val="24"/>
            <w:lang w:val="es-ES"/>
          </w:rPr>
          <w:t>CL-22/4</w:t>
        </w:r>
      </w:hyperlink>
      <w:r w:rsidR="00580C0A" w:rsidRPr="00701E23">
        <w:rPr>
          <w:lang w:val="es-ES"/>
        </w:rPr>
        <w:t xml:space="preserve"> de 9 de febrero de 2022, a</w:t>
      </w:r>
      <w:r w:rsidR="00580C0A">
        <w:rPr>
          <w:lang w:val="es-ES"/>
        </w:rPr>
        <w:t xml:space="preserve"> la que la mayorí</w:t>
      </w:r>
      <w:r w:rsidR="00580C0A" w:rsidRPr="00701E23">
        <w:rPr>
          <w:lang w:val="es-ES"/>
        </w:rPr>
        <w:t>a de los E</w:t>
      </w:r>
      <w:r w:rsidR="00580C0A">
        <w:rPr>
          <w:lang w:val="es-ES"/>
        </w:rPr>
        <w:t>stados Miembros respondieron mo</w:t>
      </w:r>
      <w:r w:rsidR="00580C0A" w:rsidRPr="00701E23">
        <w:rPr>
          <w:lang w:val="es-ES"/>
        </w:rPr>
        <w:t>str</w:t>
      </w:r>
      <w:r w:rsidR="00580C0A">
        <w:rPr>
          <w:lang w:val="es-ES"/>
        </w:rPr>
        <w:t xml:space="preserve">ándose a favor de cambiar el lugar y las fechas, conforme a lo indicado en la Carta Circular </w:t>
      </w:r>
      <w:hyperlink r:id="rId24" w:history="1">
        <w:r w:rsidR="00580C0A" w:rsidRPr="00CB3DFA">
          <w:rPr>
            <w:rStyle w:val="Hyperlink"/>
            <w:szCs w:val="24"/>
            <w:lang w:val="es-ES"/>
          </w:rPr>
          <w:t>CL-22/6</w:t>
        </w:r>
      </w:hyperlink>
      <w:r w:rsidR="00580C0A">
        <w:rPr>
          <w:lang w:val="es-ES"/>
        </w:rPr>
        <w:t>, de 21 de febrero de 2022.</w:t>
      </w:r>
    </w:p>
    <w:p w14:paraId="7EB372C5" w14:textId="25069A79" w:rsidR="003D11D4" w:rsidRDefault="00970BD5" w:rsidP="00AD1979">
      <w:pPr>
        <w:rPr>
          <w:lang w:val="es-ES"/>
        </w:rPr>
      </w:pPr>
      <w:r w:rsidRPr="00701E23">
        <w:rPr>
          <w:lang w:val="es-ES"/>
        </w:rPr>
        <w:t>2.13</w:t>
      </w:r>
      <w:r w:rsidRPr="00701E23">
        <w:rPr>
          <w:lang w:val="es-ES"/>
        </w:rPr>
        <w:tab/>
      </w:r>
      <w:r w:rsidR="008E43F4">
        <w:rPr>
          <w:lang w:val="es-ES"/>
        </w:rPr>
        <w:t xml:space="preserve">Tras la aceptación por parte de </w:t>
      </w:r>
      <w:r w:rsidR="003F1F22" w:rsidRPr="00701E23">
        <w:rPr>
          <w:lang w:val="es-ES"/>
        </w:rPr>
        <w:t xml:space="preserve">los Estados Miembros </w:t>
      </w:r>
      <w:r w:rsidR="008E43F4">
        <w:rPr>
          <w:lang w:val="es-ES"/>
        </w:rPr>
        <w:t>d</w:t>
      </w:r>
      <w:r w:rsidR="005F48E8">
        <w:rPr>
          <w:lang w:val="es-ES"/>
        </w:rPr>
        <w:t>e</w:t>
      </w:r>
      <w:r w:rsidR="008E43F4">
        <w:rPr>
          <w:lang w:val="es-ES"/>
        </w:rPr>
        <w:t xml:space="preserve"> </w:t>
      </w:r>
      <w:r w:rsidR="003F1F22" w:rsidRPr="00701E23">
        <w:rPr>
          <w:lang w:val="es-ES"/>
        </w:rPr>
        <w:t>la propuesta de nueva sede para la</w:t>
      </w:r>
      <w:r w:rsidR="000149B4">
        <w:rPr>
          <w:lang w:val="es-ES"/>
        </w:rPr>
        <w:t> </w:t>
      </w:r>
      <w:r w:rsidR="003F1F22" w:rsidRPr="00701E23">
        <w:rPr>
          <w:lang w:val="es-ES"/>
        </w:rPr>
        <w:t>CMDT y ha</w:t>
      </w:r>
      <w:r w:rsidR="003F1F22">
        <w:rPr>
          <w:lang w:val="es-ES"/>
        </w:rPr>
        <w:t>b</w:t>
      </w:r>
      <w:r w:rsidR="003F1F22" w:rsidRPr="00701E23">
        <w:rPr>
          <w:lang w:val="es-ES"/>
        </w:rPr>
        <w:t xml:space="preserve">ida cuenta del poco tiempo disponible </w:t>
      </w:r>
      <w:r w:rsidR="00EB6767">
        <w:rPr>
          <w:lang w:val="es-ES"/>
        </w:rPr>
        <w:t>antes de</w:t>
      </w:r>
      <w:r w:rsidR="003F1F22" w:rsidRPr="00701E23">
        <w:rPr>
          <w:lang w:val="es-ES"/>
        </w:rPr>
        <w:t xml:space="preserve"> la Conferencia, se est</w:t>
      </w:r>
      <w:r w:rsidR="003F1F22">
        <w:rPr>
          <w:lang w:val="es-ES"/>
        </w:rPr>
        <w:t xml:space="preserve">á preparando la visita de un equipo de la UIT a Rwanda, que debería tener lugar lo antes posible. </w:t>
      </w:r>
      <w:r w:rsidR="003F1F22" w:rsidRPr="00701E23">
        <w:rPr>
          <w:lang w:val="es-ES"/>
        </w:rPr>
        <w:t>Durante el viaje, se visitarán los lugares propuestos para la Con</w:t>
      </w:r>
      <w:r w:rsidR="003F1F22">
        <w:rPr>
          <w:lang w:val="es-ES"/>
        </w:rPr>
        <w:t>f</w:t>
      </w:r>
      <w:r w:rsidR="003F1F22" w:rsidRPr="00701E23">
        <w:rPr>
          <w:lang w:val="es-ES"/>
        </w:rPr>
        <w:t>erencia y la Cumbre de la Juventud, así como los hotel</w:t>
      </w:r>
      <w:r w:rsidR="003F1F22">
        <w:rPr>
          <w:lang w:val="es-ES"/>
        </w:rPr>
        <w:t>e</w:t>
      </w:r>
      <w:r w:rsidR="003F1F22" w:rsidRPr="00701E23">
        <w:rPr>
          <w:lang w:val="es-ES"/>
        </w:rPr>
        <w:t>s propuestos para los delegados y funci</w:t>
      </w:r>
      <w:r w:rsidR="003F1F22">
        <w:rPr>
          <w:lang w:val="es-ES"/>
        </w:rPr>
        <w:t>o</w:t>
      </w:r>
      <w:r w:rsidR="003F1F22" w:rsidRPr="00701E23">
        <w:rPr>
          <w:lang w:val="es-ES"/>
        </w:rPr>
        <w:t>narios de la UIT.</w:t>
      </w:r>
      <w:r w:rsidR="003F1F22">
        <w:rPr>
          <w:lang w:val="es-ES"/>
        </w:rPr>
        <w:t xml:space="preserve"> </w:t>
      </w:r>
      <w:r w:rsidR="003F1F22" w:rsidRPr="003F1F22">
        <w:rPr>
          <w:lang w:val="es-ES"/>
        </w:rPr>
        <w:t>Adem</w:t>
      </w:r>
      <w:r w:rsidR="003F1F22" w:rsidRPr="00701E23">
        <w:rPr>
          <w:lang w:val="es-ES"/>
        </w:rPr>
        <w:t>ás, se celebrarán reunion</w:t>
      </w:r>
      <w:r w:rsidR="003F1F22">
        <w:rPr>
          <w:lang w:val="es-ES"/>
        </w:rPr>
        <w:t>e</w:t>
      </w:r>
      <w:r w:rsidR="003F1F22" w:rsidRPr="00701E23">
        <w:rPr>
          <w:lang w:val="es-ES"/>
        </w:rPr>
        <w:t>s entre el equipo de la UIT y sus homólogos del pa</w:t>
      </w:r>
      <w:r w:rsidR="003F1F22">
        <w:rPr>
          <w:lang w:val="es-ES"/>
        </w:rPr>
        <w:t>ís anfit</w:t>
      </w:r>
      <w:r w:rsidR="003F1F22" w:rsidRPr="00701E23">
        <w:rPr>
          <w:lang w:val="es-ES"/>
        </w:rPr>
        <w:t>rión a</w:t>
      </w:r>
      <w:r w:rsidR="003F1F22">
        <w:rPr>
          <w:lang w:val="es-ES"/>
        </w:rPr>
        <w:t xml:space="preserve"> </w:t>
      </w:r>
      <w:r w:rsidR="003F1F22" w:rsidRPr="00701E23">
        <w:rPr>
          <w:lang w:val="es-ES"/>
        </w:rPr>
        <w:t xml:space="preserve">fin de garantizar que se toman todas las medidas necesarias para </w:t>
      </w:r>
      <w:r w:rsidR="003F1F22">
        <w:rPr>
          <w:lang w:val="es-ES"/>
        </w:rPr>
        <w:t xml:space="preserve">que la </w:t>
      </w:r>
      <w:r w:rsidR="00301D84">
        <w:rPr>
          <w:lang w:val="es-ES"/>
        </w:rPr>
        <w:t xml:space="preserve">Conferencia </w:t>
      </w:r>
      <w:r w:rsidR="003F1F22">
        <w:rPr>
          <w:lang w:val="es-ES"/>
        </w:rPr>
        <w:t>se desarroll</w:t>
      </w:r>
      <w:r w:rsidR="005A7B0E">
        <w:rPr>
          <w:lang w:val="es-ES"/>
        </w:rPr>
        <w:t>e</w:t>
      </w:r>
      <w:r w:rsidR="003F1F22" w:rsidRPr="00701E23">
        <w:rPr>
          <w:lang w:val="es-ES"/>
        </w:rPr>
        <w:t xml:space="preserve"> con éxito</w:t>
      </w:r>
      <w:r w:rsidR="003F1F22">
        <w:rPr>
          <w:lang w:val="es-ES"/>
        </w:rPr>
        <w:t>.</w:t>
      </w:r>
    </w:p>
    <w:p w14:paraId="4546FDB5" w14:textId="6EC96A8E" w:rsidR="003D11D4" w:rsidRPr="000149B4" w:rsidRDefault="003D11D4" w:rsidP="009C4E68">
      <w:pPr>
        <w:pStyle w:val="Heading1"/>
        <w:rPr>
          <w:lang w:val="es-ES"/>
        </w:rPr>
      </w:pPr>
      <w:r w:rsidRPr="00301D84">
        <w:rPr>
          <w:lang w:val="es-ES"/>
        </w:rPr>
        <w:lastRenderedPageBreak/>
        <w:t>3</w:t>
      </w:r>
      <w:r w:rsidRPr="00301D84">
        <w:rPr>
          <w:lang w:val="es-ES"/>
        </w:rPr>
        <w:tab/>
      </w:r>
      <w:r w:rsidR="00580C0A" w:rsidRPr="00301D84">
        <w:rPr>
          <w:lang w:val="es-ES"/>
        </w:rPr>
        <w:t>Preparativos para la Conferencia</w:t>
      </w:r>
    </w:p>
    <w:p w14:paraId="4F7FD242" w14:textId="3BC473EC" w:rsidR="003D11D4" w:rsidRPr="0046114F" w:rsidRDefault="0046114F" w:rsidP="008D3A9F">
      <w:pPr>
        <w:keepNext/>
        <w:keepLines/>
        <w:rPr>
          <w:lang w:val="es-ES"/>
        </w:rPr>
      </w:pPr>
      <w:r w:rsidRPr="00701510">
        <w:t>3.</w:t>
      </w:r>
      <w:r w:rsidR="00EC59DB">
        <w:t>1</w:t>
      </w:r>
      <w:r w:rsidRPr="00701510">
        <w:tab/>
        <w:t xml:space="preserve">Los debates sobre el proceso preparatorio de la Conferencia y la </w:t>
      </w:r>
      <w:r>
        <w:t xml:space="preserve">definición de los </w:t>
      </w:r>
      <w:r w:rsidRPr="00701510">
        <w:t xml:space="preserve">resultados </w:t>
      </w:r>
      <w:r>
        <w:t>y su impacto previsto</w:t>
      </w:r>
      <w:r w:rsidRPr="00701510">
        <w:t xml:space="preserve"> comenzaron en una sesión de intercambio de ideas durante el </w:t>
      </w:r>
      <w:hyperlink r:id="rId25" w:history="1">
        <w:r w:rsidRPr="00701510">
          <w:rPr>
            <w:rStyle w:val="Hyperlink"/>
          </w:rPr>
          <w:t>GADT-19</w:t>
        </w:r>
      </w:hyperlink>
      <w:r w:rsidRPr="00701510">
        <w:t xml:space="preserve">. Esas deliberaciones se han </w:t>
      </w:r>
      <w:r>
        <w:t xml:space="preserve">complementado con informaciones procedentes de </w:t>
      </w:r>
      <w:r w:rsidRPr="00701510">
        <w:t xml:space="preserve">una </w:t>
      </w:r>
      <w:hyperlink r:id="rId26" w:history="1">
        <w:r w:rsidRPr="00701510">
          <w:rPr>
            <w:rStyle w:val="Hyperlink"/>
          </w:rPr>
          <w:t>encuesta entre los miembros</w:t>
        </w:r>
      </w:hyperlink>
      <w:r w:rsidRPr="00701510">
        <w:t xml:space="preserve"> y </w:t>
      </w:r>
      <w:r>
        <w:t>de dos</w:t>
      </w:r>
      <w:r w:rsidRPr="00701510">
        <w:t xml:space="preserve"> </w:t>
      </w:r>
      <w:hyperlink r:id="rId27" w:history="1">
        <w:r w:rsidRPr="00701510">
          <w:rPr>
            <w:rStyle w:val="Hyperlink"/>
          </w:rPr>
          <w:t>diálogo</w:t>
        </w:r>
        <w:r>
          <w:rPr>
            <w:rStyle w:val="Hyperlink"/>
          </w:rPr>
          <w:t>s</w:t>
        </w:r>
        <w:r w:rsidRPr="00701510">
          <w:rPr>
            <w:rStyle w:val="Hyperlink"/>
          </w:rPr>
          <w:t xml:space="preserve"> en la web del GADT</w:t>
        </w:r>
      </w:hyperlink>
      <w:r w:rsidRPr="00701510">
        <w:t xml:space="preserve">. Las consultas </w:t>
      </w:r>
      <w:r>
        <w:t>prosiguieron</w:t>
      </w:r>
      <w:r w:rsidRPr="00701510">
        <w:t xml:space="preserve"> hasta la reunión del GADT de junio de 2020</w:t>
      </w:r>
      <w:r>
        <w:t xml:space="preserve">, en la que se decidió crear </w:t>
      </w:r>
      <w:r w:rsidRPr="009E1EC6">
        <w:t>tres</w:t>
      </w:r>
      <w:r>
        <w:t xml:space="preserve"> grupos de trabajo, dos de los cuales </w:t>
      </w:r>
      <w:r w:rsidR="00794BC8">
        <w:t xml:space="preserve">(que se indican a continuación) </w:t>
      </w:r>
      <w:r>
        <w:t>estarán vinculados directamente a la CMDT:</w:t>
      </w:r>
    </w:p>
    <w:p w14:paraId="7C128CF2" w14:textId="3B0E89BD" w:rsidR="0046114F" w:rsidRDefault="00970BD5" w:rsidP="0046114F">
      <w:pPr>
        <w:pStyle w:val="enumlev1"/>
      </w:pPr>
      <w:r w:rsidRPr="0046114F">
        <w:rPr>
          <w:lang w:val="es-ES"/>
        </w:rPr>
        <w:t>a)</w:t>
      </w:r>
      <w:r w:rsidRPr="0046114F">
        <w:rPr>
          <w:lang w:val="es-ES"/>
        </w:rPr>
        <w:tab/>
      </w:r>
      <w:r w:rsidR="0046114F">
        <w:t xml:space="preserve">El </w:t>
      </w:r>
      <w:r w:rsidR="0046114F" w:rsidRPr="00F75023">
        <w:t>Grupo</w:t>
      </w:r>
      <w:r w:rsidR="0046114F">
        <w:t xml:space="preserve"> de Trabajo del GADT sobre los preparativos de la CMDT (GT-GADT-Prep), cuyo mandato figura en la </w:t>
      </w:r>
      <w:hyperlink r:id="rId28" w:history="1">
        <w:r w:rsidR="0046114F" w:rsidRPr="009E1EC6">
          <w:rPr>
            <w:rStyle w:val="Hyperlink"/>
          </w:rPr>
          <w:t>página web del GT</w:t>
        </w:r>
        <w:r w:rsidR="0046114F" w:rsidRPr="009E1EC6">
          <w:rPr>
            <w:rStyle w:val="Hyperlink"/>
          </w:rPr>
          <w:noBreakHyphen/>
          <w:t>GADT-Prep</w:t>
        </w:r>
      </w:hyperlink>
      <w:r w:rsidR="0046114F">
        <w:t xml:space="preserve">. Este grupo fundamentó su labor en los diálogos en la web mencionados y trabajó hasta el GADT-20/3, presentando sus </w:t>
      </w:r>
      <w:hyperlink r:id="rId29" w:history="1">
        <w:r w:rsidR="0046114F" w:rsidRPr="009F3358">
          <w:rPr>
            <w:rStyle w:val="Hyperlink"/>
            <w:rFonts w:asciiTheme="minorHAnsi" w:hAnsiTheme="minorHAnsi"/>
            <w:lang w:val="es-ES"/>
          </w:rPr>
          <w:t>prop</w:t>
        </w:r>
        <w:r w:rsidR="0046114F">
          <w:rPr>
            <w:rStyle w:val="Hyperlink"/>
            <w:rFonts w:asciiTheme="minorHAnsi" w:hAnsiTheme="minorHAnsi"/>
            <w:lang w:val="es-ES"/>
          </w:rPr>
          <w:t>uestas</w:t>
        </w:r>
      </w:hyperlink>
      <w:r w:rsidR="0046114F">
        <w:t xml:space="preserve"> a esta reunión para su aprobación. Las recomendaciones aprobadas se resumen como sigue:</w:t>
      </w:r>
    </w:p>
    <w:p w14:paraId="6EB60EA8" w14:textId="63B7E3BC" w:rsidR="0046114F" w:rsidRPr="009F3358" w:rsidRDefault="00054995" w:rsidP="00F17E6E">
      <w:pPr>
        <w:pStyle w:val="enumlev2"/>
        <w:rPr>
          <w:lang w:val="es-ES"/>
        </w:rPr>
      </w:pPr>
      <w:bookmarkStart w:id="13" w:name="lt_pId054"/>
      <w:r w:rsidRPr="00054995">
        <w:rPr>
          <w:lang w:val="es-ES"/>
        </w:rPr>
        <w:t>•</w:t>
      </w:r>
      <w:r w:rsidR="0046114F">
        <w:rPr>
          <w:lang w:val="es-ES"/>
        </w:rPr>
        <w:tab/>
      </w:r>
      <w:r w:rsidR="00AD1979">
        <w:rPr>
          <w:lang w:val="es-ES"/>
        </w:rPr>
        <w:t>c</w:t>
      </w:r>
      <w:r w:rsidR="0046114F">
        <w:rPr>
          <w:lang w:val="es-ES"/>
        </w:rPr>
        <w:t>elebrar dos o tres reuniones i</w:t>
      </w:r>
      <w:r w:rsidR="0046114F" w:rsidRPr="009F3358">
        <w:rPr>
          <w:lang w:val="es-ES"/>
        </w:rPr>
        <w:t>nterregionales</w:t>
      </w:r>
      <w:r w:rsidR="0046114F">
        <w:rPr>
          <w:lang w:val="es-ES"/>
        </w:rPr>
        <w:t xml:space="preserve"> (RIR) con el fin de </w:t>
      </w:r>
      <w:r w:rsidR="0046114F" w:rsidRPr="009F3358">
        <w:rPr>
          <w:lang w:val="es-ES"/>
        </w:rPr>
        <w:t>ofrecer a los miembros un</w:t>
      </w:r>
      <w:r w:rsidR="0046114F">
        <w:rPr>
          <w:lang w:val="es-ES"/>
        </w:rPr>
        <w:t xml:space="preserve"> </w:t>
      </w:r>
      <w:r w:rsidR="0046114F" w:rsidRPr="0046114F">
        <w:t>foro</w:t>
      </w:r>
      <w:r w:rsidR="0046114F" w:rsidRPr="009F3358">
        <w:rPr>
          <w:lang w:val="es-ES"/>
        </w:rPr>
        <w:t xml:space="preserve"> que les permita alcanzar una posición común sobre los temas clave que se debatirán en la CMDT</w:t>
      </w:r>
      <w:r>
        <w:rPr>
          <w:lang w:val="es-ES"/>
        </w:rPr>
        <w:t>;</w:t>
      </w:r>
    </w:p>
    <w:p w14:paraId="595D2EDA" w14:textId="7D22BEDF" w:rsidR="0046114F" w:rsidRPr="009F3358" w:rsidRDefault="00054995" w:rsidP="0046114F">
      <w:pPr>
        <w:pStyle w:val="enumlev2"/>
        <w:rPr>
          <w:lang w:val="es-ES"/>
        </w:rPr>
      </w:pPr>
      <w:r w:rsidRPr="00054995">
        <w:rPr>
          <w:lang w:val="es-ES"/>
        </w:rPr>
        <w:t>•</w:t>
      </w:r>
      <w:r w:rsidR="0046114F">
        <w:rPr>
          <w:lang w:val="es-ES"/>
        </w:rPr>
        <w:tab/>
      </w:r>
      <w:r w:rsidR="00AD1979">
        <w:rPr>
          <w:lang w:val="es-ES"/>
        </w:rPr>
        <w:t>d</w:t>
      </w:r>
      <w:r w:rsidR="0046114F" w:rsidRPr="009F3358">
        <w:rPr>
          <w:lang w:val="es-ES"/>
        </w:rPr>
        <w:t>etermina</w:t>
      </w:r>
      <w:r w:rsidR="0046114F">
        <w:rPr>
          <w:lang w:val="es-ES"/>
        </w:rPr>
        <w:t xml:space="preserve">r el tema de la </w:t>
      </w:r>
      <w:r w:rsidR="005C1277">
        <w:rPr>
          <w:lang w:val="es-ES"/>
        </w:rPr>
        <w:t>Conferencia</w:t>
      </w:r>
      <w:r w:rsidR="0046114F">
        <w:rPr>
          <w:lang w:val="es-ES"/>
        </w:rPr>
        <w:t>: "</w:t>
      </w:r>
      <w:r w:rsidR="0046114F" w:rsidRPr="00B76DBA">
        <w:rPr>
          <w:lang w:val="es-ES"/>
        </w:rPr>
        <w:t>Conectar a q</w:t>
      </w:r>
      <w:r w:rsidR="0046114F">
        <w:rPr>
          <w:lang w:val="es-ES"/>
        </w:rPr>
        <w:t xml:space="preserve">uienes carecen de conexión con miras a lograr </w:t>
      </w:r>
      <w:r w:rsidR="0046114F" w:rsidRPr="00B76DBA">
        <w:rPr>
          <w:lang w:val="es-ES"/>
        </w:rPr>
        <w:t>el desarrollo sostenible</w:t>
      </w:r>
      <w:r w:rsidR="0046114F">
        <w:rPr>
          <w:lang w:val="es-ES"/>
        </w:rPr>
        <w:t>"</w:t>
      </w:r>
      <w:r>
        <w:rPr>
          <w:lang w:val="es-ES"/>
        </w:rPr>
        <w:t>;</w:t>
      </w:r>
    </w:p>
    <w:p w14:paraId="66DB49B8" w14:textId="07303F01" w:rsidR="0046114F" w:rsidRPr="009F3358" w:rsidRDefault="00054995" w:rsidP="0046114F">
      <w:pPr>
        <w:pStyle w:val="enumlev2"/>
        <w:rPr>
          <w:lang w:val="es-ES"/>
        </w:rPr>
      </w:pPr>
      <w:r w:rsidRPr="00054995">
        <w:rPr>
          <w:lang w:val="es-ES"/>
        </w:rPr>
        <w:t>•</w:t>
      </w:r>
      <w:r w:rsidR="0046114F">
        <w:rPr>
          <w:lang w:val="es-ES"/>
        </w:rPr>
        <w:tab/>
      </w:r>
      <w:r w:rsidR="00AD1979">
        <w:rPr>
          <w:lang w:val="es-ES"/>
        </w:rPr>
        <w:t>o</w:t>
      </w:r>
      <w:r w:rsidR="0046114F">
        <w:rPr>
          <w:lang w:val="es-ES"/>
        </w:rPr>
        <w:t>rganizar</w:t>
      </w:r>
      <w:r w:rsidR="0046114F" w:rsidRPr="009F3358">
        <w:rPr>
          <w:lang w:val="es-ES"/>
        </w:rPr>
        <w:t xml:space="preserve"> un segmento </w:t>
      </w:r>
      <w:r w:rsidR="0046114F">
        <w:rPr>
          <w:lang w:val="es-ES"/>
        </w:rPr>
        <w:t>sobre las asociaciones</w:t>
      </w:r>
      <w:r w:rsidR="0046114F" w:rsidRPr="009F3358">
        <w:rPr>
          <w:lang w:val="es-ES"/>
        </w:rPr>
        <w:t xml:space="preserve"> dentro de la Conferencia</w:t>
      </w:r>
      <w:r w:rsidR="0046114F">
        <w:rPr>
          <w:lang w:val="es-ES"/>
        </w:rPr>
        <w:t xml:space="preserve"> que, al derivarse de la </w:t>
      </w:r>
      <w:r w:rsidR="0046114F" w:rsidRPr="009F3358">
        <w:rPr>
          <w:lang w:val="es-ES"/>
        </w:rPr>
        <w:t>fusi</w:t>
      </w:r>
      <w:r w:rsidR="0046114F">
        <w:rPr>
          <w:lang w:val="es-ES"/>
        </w:rPr>
        <w:t>ón del</w:t>
      </w:r>
      <w:r w:rsidR="0046114F" w:rsidRPr="009F3358">
        <w:rPr>
          <w:lang w:val="es-ES"/>
        </w:rPr>
        <w:t xml:space="preserve"> antiguo segmento de alto nivel y los eventos paralelos, </w:t>
      </w:r>
      <w:r w:rsidR="0046114F">
        <w:rPr>
          <w:lang w:val="es-ES"/>
        </w:rPr>
        <w:t>se basará en</w:t>
      </w:r>
      <w:r w:rsidR="0046114F" w:rsidRPr="009F3358">
        <w:rPr>
          <w:lang w:val="es-ES"/>
        </w:rPr>
        <w:t xml:space="preserve"> las priori</w:t>
      </w:r>
      <w:r w:rsidR="0046114F">
        <w:rPr>
          <w:lang w:val="es-ES"/>
        </w:rPr>
        <w:t xml:space="preserve">dades temáticas del UIT-D y </w:t>
      </w:r>
      <w:r w:rsidR="0046114F" w:rsidRPr="009F3358">
        <w:rPr>
          <w:lang w:val="es-ES"/>
        </w:rPr>
        <w:t>estará abierto a las principales partes interesadas no miembros</w:t>
      </w:r>
      <w:r w:rsidR="0046114F">
        <w:rPr>
          <w:lang w:val="es-ES"/>
        </w:rPr>
        <w:t>.</w:t>
      </w:r>
    </w:p>
    <w:bookmarkEnd w:id="13"/>
    <w:p w14:paraId="16B21F60" w14:textId="260EB115" w:rsidR="00C07340" w:rsidRPr="00F17E6E" w:rsidRDefault="00970BD5" w:rsidP="00F17E6E">
      <w:pPr>
        <w:pStyle w:val="enumlev1"/>
      </w:pPr>
      <w:r w:rsidRPr="00F17E6E">
        <w:t>b)</w:t>
      </w:r>
      <w:r w:rsidRPr="00F17E6E">
        <w:tab/>
      </w:r>
      <w:bookmarkStart w:id="14" w:name="lt_pId056"/>
      <w:r w:rsidR="00C07340" w:rsidRPr="00F17E6E">
        <w:t xml:space="preserve">El Grupo de Trabajo del GADT sobre Resoluciones, Declaración y </w:t>
      </w:r>
      <w:r w:rsidR="009E1EC6" w:rsidRPr="00F17E6E">
        <w:t>p</w:t>
      </w:r>
      <w:r w:rsidR="00C07340" w:rsidRPr="00F17E6E">
        <w:t xml:space="preserve">rioridades </w:t>
      </w:r>
      <w:r w:rsidR="009E1EC6" w:rsidRPr="00F17E6E">
        <w:t>t</w:t>
      </w:r>
      <w:r w:rsidR="00C07340" w:rsidRPr="00F17E6E">
        <w:t>emáticas de la</w:t>
      </w:r>
      <w:r w:rsidR="009E1EC6">
        <w:t> </w:t>
      </w:r>
      <w:r w:rsidR="00C07340" w:rsidRPr="00F17E6E">
        <w:t>CMDT (GADT-GT-RDPT).</w:t>
      </w:r>
      <w:bookmarkEnd w:id="14"/>
      <w:r w:rsidR="00C07340" w:rsidRPr="00F17E6E">
        <w:t xml:space="preserve"> </w:t>
      </w:r>
      <w:bookmarkStart w:id="15" w:name="lt_pId057"/>
      <w:r w:rsidR="00C07340" w:rsidRPr="00F17E6E">
        <w:t>Los trabajos de este grupo continuarán hasta el GADT-21</w:t>
      </w:r>
      <w:r w:rsidR="00794BC8" w:rsidRPr="00F17E6E">
        <w:t>/2</w:t>
      </w:r>
      <w:r w:rsidR="00C07340" w:rsidRPr="00F17E6E">
        <w:t xml:space="preserve">. El mandato y otras informaciones sobre la labor de este grupo pueden consultarse en el sitio </w:t>
      </w:r>
      <w:r w:rsidR="00C07340" w:rsidRPr="000B48E2">
        <w:t>web del</w:t>
      </w:r>
      <w:r w:rsidR="00C07340" w:rsidRPr="009E1EC6">
        <w:t xml:space="preserve"> </w:t>
      </w:r>
      <w:hyperlink r:id="rId30" w:history="1">
        <w:r w:rsidR="00C07340" w:rsidRPr="00F020D9">
          <w:rPr>
            <w:rStyle w:val="Hyperlink"/>
          </w:rPr>
          <w:t>GADT-GDT-RDTP</w:t>
        </w:r>
      </w:hyperlink>
      <w:r w:rsidR="00C07340" w:rsidRPr="00F17E6E">
        <w:t>.</w:t>
      </w:r>
      <w:bookmarkEnd w:id="15"/>
    </w:p>
    <w:p w14:paraId="46EBF51D" w14:textId="5878B632" w:rsidR="00970BD5" w:rsidRPr="007D5F02" w:rsidRDefault="009E1EC6" w:rsidP="009E1EC6">
      <w:pPr>
        <w:pStyle w:val="enumlev1"/>
        <w:rPr>
          <w:lang w:val="es-ES"/>
        </w:rPr>
      </w:pPr>
      <w:r>
        <w:rPr>
          <w:lang w:val="es-ES"/>
        </w:rPr>
        <w:tab/>
      </w:r>
      <w:r w:rsidR="00794BC8" w:rsidRPr="00701E23">
        <w:rPr>
          <w:lang w:val="es-ES"/>
        </w:rPr>
        <w:t xml:space="preserve">El GADT convocó una reunión extraordinaria el </w:t>
      </w:r>
      <w:hyperlink r:id="rId31" w:history="1">
        <w:r w:rsidR="00794BC8" w:rsidRPr="00701E23">
          <w:rPr>
            <w:rStyle w:val="Hyperlink"/>
            <w:bCs/>
            <w:szCs w:val="24"/>
            <w:lang w:val="es-ES"/>
          </w:rPr>
          <w:t>23 de noviembre de 2020 (</w:t>
        </w:r>
        <w:r w:rsidR="007553E9">
          <w:rPr>
            <w:rStyle w:val="Hyperlink"/>
            <w:bCs/>
            <w:szCs w:val="24"/>
            <w:lang w:val="es-ES"/>
          </w:rPr>
          <w:t>GADT</w:t>
        </w:r>
        <w:r w:rsidR="00794BC8" w:rsidRPr="00701E23">
          <w:rPr>
            <w:rStyle w:val="Hyperlink"/>
            <w:bCs/>
            <w:szCs w:val="24"/>
            <w:lang w:val="es-ES"/>
          </w:rPr>
          <w:t>-20/3)</w:t>
        </w:r>
      </w:hyperlink>
      <w:r w:rsidR="00794BC8" w:rsidRPr="000B48E2">
        <w:t xml:space="preserve">, </w:t>
      </w:r>
      <w:r w:rsidR="00794BC8" w:rsidRPr="00F17E6E">
        <w:rPr>
          <w:rStyle w:val="Hyperlink"/>
          <w:bCs/>
          <w:color w:val="auto"/>
          <w:szCs w:val="24"/>
          <w:u w:val="none"/>
          <w:lang w:val="es-ES"/>
        </w:rPr>
        <w:t>en la que se refrendaron y adoptaron los grupos de trabajo.</w:t>
      </w:r>
    </w:p>
    <w:p w14:paraId="65272330" w14:textId="5E9E5526" w:rsidR="00970BD5" w:rsidRPr="00301D84" w:rsidRDefault="00CD223A" w:rsidP="000761A6">
      <w:pPr>
        <w:pStyle w:val="Heading1"/>
        <w:rPr>
          <w:lang w:val="es-ES"/>
        </w:rPr>
      </w:pPr>
      <w:r w:rsidRPr="00301D84">
        <w:rPr>
          <w:lang w:val="es-ES"/>
        </w:rPr>
        <w:t>4</w:t>
      </w:r>
      <w:r w:rsidRPr="00301D84">
        <w:rPr>
          <w:lang w:val="es-ES"/>
        </w:rPr>
        <w:tab/>
      </w:r>
      <w:r w:rsidR="000761A6" w:rsidRPr="00301D84">
        <w:rPr>
          <w:lang w:val="es-ES"/>
        </w:rPr>
        <w:t>Proceso preparatorio</w:t>
      </w:r>
    </w:p>
    <w:p w14:paraId="1563BF1A" w14:textId="3DC64F53" w:rsidR="00AD1979" w:rsidRPr="00AD1979" w:rsidRDefault="00AD1979" w:rsidP="00AD1979">
      <w:pPr>
        <w:spacing w:after="120"/>
        <w:rPr>
          <w:lang w:val="es-ES"/>
        </w:rPr>
      </w:pPr>
      <w:r w:rsidRPr="00AD1979">
        <w:rPr>
          <w:lang w:val="es-ES"/>
        </w:rPr>
        <w:t>4.1</w:t>
      </w:r>
      <w:r w:rsidRPr="00AD1979">
        <w:rPr>
          <w:lang w:val="es-ES"/>
        </w:rPr>
        <w:tab/>
        <w:t xml:space="preserve">De conformidad con la Resolución 31 (Rev. Buenos Aires, 2017), se organizaron seis </w:t>
      </w:r>
      <w:r w:rsidRPr="00AD1979">
        <w:rPr>
          <w:b/>
          <w:bCs/>
          <w:lang w:val="es-ES"/>
        </w:rPr>
        <w:t>reuniones preparatorias regionales (RPR)</w:t>
      </w:r>
      <w:r w:rsidRPr="00AD1979">
        <w:rPr>
          <w:lang w:val="es-ES"/>
        </w:rPr>
        <w:t xml:space="preserve"> en cada una de las seis regiones, como se indica a continuación:</w:t>
      </w:r>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1195"/>
        <w:gridCol w:w="3332"/>
        <w:gridCol w:w="2477"/>
        <w:gridCol w:w="2615"/>
      </w:tblGrid>
      <w:tr w:rsidR="00794BC8" w:rsidRPr="002573F5" w14:paraId="3F8E518E" w14:textId="77777777" w:rsidTr="00AD1979">
        <w:trPr>
          <w:tblHeader/>
          <w:jc w:val="center"/>
        </w:trPr>
        <w:tc>
          <w:tcPr>
            <w:tcW w:w="1195" w:type="dxa"/>
            <w:tcMar>
              <w:top w:w="0" w:type="dxa"/>
              <w:left w:w="108" w:type="dxa"/>
              <w:bottom w:w="0" w:type="dxa"/>
              <w:right w:w="108" w:type="dxa"/>
            </w:tcMar>
            <w:vAlign w:val="center"/>
          </w:tcPr>
          <w:p w14:paraId="29044A71" w14:textId="77777777" w:rsidR="00794BC8" w:rsidRPr="002573F5" w:rsidRDefault="00794BC8" w:rsidP="002725EA">
            <w:pPr>
              <w:pStyle w:val="Tablehead"/>
              <w:rPr>
                <w:lang w:val="es-ES"/>
              </w:rPr>
            </w:pPr>
            <w:r w:rsidRPr="002573F5">
              <w:rPr>
                <w:lang w:val="es-ES"/>
              </w:rPr>
              <w:t>Región</w:t>
            </w:r>
          </w:p>
        </w:tc>
        <w:tc>
          <w:tcPr>
            <w:tcW w:w="3332" w:type="dxa"/>
            <w:tcMar>
              <w:top w:w="0" w:type="dxa"/>
              <w:left w:w="108" w:type="dxa"/>
              <w:bottom w:w="0" w:type="dxa"/>
              <w:right w:w="108" w:type="dxa"/>
            </w:tcMar>
            <w:vAlign w:val="center"/>
          </w:tcPr>
          <w:p w14:paraId="24A88D25" w14:textId="77777777" w:rsidR="00794BC8" w:rsidRPr="002573F5" w:rsidRDefault="00794BC8" w:rsidP="00326141">
            <w:pPr>
              <w:pStyle w:val="Tablehead"/>
              <w:rPr>
                <w:lang w:val="es-ES"/>
              </w:rPr>
            </w:pPr>
            <w:r w:rsidRPr="002573F5">
              <w:rPr>
                <w:lang w:val="es-ES"/>
              </w:rPr>
              <w:t>Fechas</w:t>
            </w:r>
          </w:p>
        </w:tc>
        <w:tc>
          <w:tcPr>
            <w:tcW w:w="2477" w:type="dxa"/>
            <w:vAlign w:val="center"/>
          </w:tcPr>
          <w:p w14:paraId="713B91D7" w14:textId="77777777" w:rsidR="00794BC8" w:rsidRPr="002573F5" w:rsidRDefault="00794BC8" w:rsidP="00326141">
            <w:pPr>
              <w:pStyle w:val="Tablehead"/>
              <w:rPr>
                <w:lang w:val="es-ES"/>
              </w:rPr>
            </w:pPr>
            <w:r w:rsidRPr="002573F5">
              <w:rPr>
                <w:lang w:val="es-ES"/>
              </w:rPr>
              <w:t>País anfitrión virtual</w:t>
            </w:r>
          </w:p>
        </w:tc>
        <w:tc>
          <w:tcPr>
            <w:tcW w:w="2615" w:type="dxa"/>
            <w:vAlign w:val="center"/>
          </w:tcPr>
          <w:p w14:paraId="1556D74D" w14:textId="77777777" w:rsidR="00794BC8" w:rsidRPr="002573F5" w:rsidRDefault="00794BC8" w:rsidP="002725EA">
            <w:pPr>
              <w:pStyle w:val="Tablehead"/>
              <w:rPr>
                <w:lang w:val="es-ES"/>
              </w:rPr>
            </w:pPr>
            <w:r w:rsidRPr="002573F5">
              <w:rPr>
                <w:lang w:val="es-ES"/>
              </w:rPr>
              <w:t xml:space="preserve">Documentos </w:t>
            </w:r>
            <w:r w:rsidRPr="002573F5">
              <w:rPr>
                <w:lang w:val="es-ES"/>
              </w:rPr>
              <w:br/>
              <w:t>de resultados</w:t>
            </w:r>
          </w:p>
        </w:tc>
      </w:tr>
      <w:tr w:rsidR="00794BC8" w:rsidRPr="002573F5" w14:paraId="09824015" w14:textId="77777777" w:rsidTr="00AD1979">
        <w:trPr>
          <w:jc w:val="center"/>
        </w:trPr>
        <w:tc>
          <w:tcPr>
            <w:tcW w:w="1195" w:type="dxa"/>
            <w:tcMar>
              <w:top w:w="0" w:type="dxa"/>
              <w:left w:w="108" w:type="dxa"/>
              <w:bottom w:w="0" w:type="dxa"/>
              <w:right w:w="108" w:type="dxa"/>
            </w:tcMar>
          </w:tcPr>
          <w:p w14:paraId="51DB9159" w14:textId="77777777" w:rsidR="00794BC8" w:rsidRPr="002573F5" w:rsidRDefault="00794BC8" w:rsidP="002725EA">
            <w:pPr>
              <w:pStyle w:val="Tabletext"/>
              <w:rPr>
                <w:lang w:val="es-ES"/>
              </w:rPr>
            </w:pPr>
            <w:r w:rsidRPr="002573F5">
              <w:rPr>
                <w:lang w:val="es-ES"/>
              </w:rPr>
              <w:t>RPR-EUR</w:t>
            </w:r>
          </w:p>
        </w:tc>
        <w:tc>
          <w:tcPr>
            <w:tcW w:w="3332" w:type="dxa"/>
            <w:tcMar>
              <w:top w:w="0" w:type="dxa"/>
              <w:left w:w="108" w:type="dxa"/>
              <w:bottom w:w="0" w:type="dxa"/>
              <w:right w:w="108" w:type="dxa"/>
            </w:tcMar>
          </w:tcPr>
          <w:p w14:paraId="6F63D839" w14:textId="77777777" w:rsidR="00794BC8" w:rsidRPr="002573F5" w:rsidRDefault="00794BC8" w:rsidP="002725EA">
            <w:pPr>
              <w:pStyle w:val="Tabletext"/>
              <w:rPr>
                <w:lang w:val="es-ES"/>
              </w:rPr>
            </w:pPr>
            <w:r w:rsidRPr="002573F5">
              <w:rPr>
                <w:lang w:val="es-ES"/>
              </w:rPr>
              <w:t>18-19 de enero de 2021 (virtual)</w:t>
            </w:r>
          </w:p>
        </w:tc>
        <w:tc>
          <w:tcPr>
            <w:tcW w:w="2477" w:type="dxa"/>
          </w:tcPr>
          <w:p w14:paraId="646AFB31" w14:textId="77777777" w:rsidR="00794BC8" w:rsidRPr="002573F5" w:rsidRDefault="00794BC8" w:rsidP="002725EA">
            <w:pPr>
              <w:pStyle w:val="Tabletext"/>
              <w:jc w:val="center"/>
              <w:rPr>
                <w:lang w:val="es-ES"/>
              </w:rPr>
            </w:pPr>
            <w:r w:rsidRPr="002573F5">
              <w:rPr>
                <w:lang w:val="es-ES"/>
              </w:rPr>
              <w:t>República Checa</w:t>
            </w:r>
          </w:p>
        </w:tc>
        <w:tc>
          <w:tcPr>
            <w:tcW w:w="2615" w:type="dxa"/>
          </w:tcPr>
          <w:p w14:paraId="773363A2" w14:textId="77777777" w:rsidR="00794BC8" w:rsidRPr="002573F5" w:rsidRDefault="00C53596" w:rsidP="002725EA">
            <w:pPr>
              <w:pStyle w:val="Tabletext"/>
              <w:jc w:val="center"/>
              <w:rPr>
                <w:lang w:val="es-ES"/>
              </w:rPr>
            </w:pPr>
            <w:hyperlink r:id="rId32" w:history="1">
              <w:r w:rsidR="00794BC8" w:rsidRPr="002573F5">
                <w:rPr>
                  <w:rStyle w:val="Hyperlink"/>
                  <w:lang w:val="es-ES"/>
                </w:rPr>
                <w:t>Informe</w:t>
              </w:r>
            </w:hyperlink>
          </w:p>
        </w:tc>
      </w:tr>
      <w:tr w:rsidR="00794BC8" w:rsidRPr="002573F5" w14:paraId="3C106D2E" w14:textId="77777777" w:rsidTr="00AD1979">
        <w:trPr>
          <w:jc w:val="center"/>
        </w:trPr>
        <w:tc>
          <w:tcPr>
            <w:tcW w:w="1195" w:type="dxa"/>
            <w:tcMar>
              <w:top w:w="0" w:type="dxa"/>
              <w:left w:w="108" w:type="dxa"/>
              <w:bottom w:w="0" w:type="dxa"/>
              <w:right w:w="108" w:type="dxa"/>
            </w:tcMar>
          </w:tcPr>
          <w:p w14:paraId="64E10D6A" w14:textId="77777777" w:rsidR="00794BC8" w:rsidRPr="002573F5" w:rsidRDefault="00794BC8" w:rsidP="002725EA">
            <w:pPr>
              <w:pStyle w:val="Tabletext"/>
              <w:rPr>
                <w:lang w:val="es-ES"/>
              </w:rPr>
            </w:pPr>
            <w:r w:rsidRPr="002573F5">
              <w:rPr>
                <w:lang w:val="es-ES"/>
              </w:rPr>
              <w:t>RPR-ASP</w:t>
            </w:r>
          </w:p>
        </w:tc>
        <w:tc>
          <w:tcPr>
            <w:tcW w:w="3332" w:type="dxa"/>
            <w:tcMar>
              <w:top w:w="0" w:type="dxa"/>
              <w:left w:w="108" w:type="dxa"/>
              <w:bottom w:w="0" w:type="dxa"/>
              <w:right w:w="108" w:type="dxa"/>
            </w:tcMar>
          </w:tcPr>
          <w:p w14:paraId="28CC86A8" w14:textId="77777777" w:rsidR="00794BC8" w:rsidRPr="002573F5" w:rsidRDefault="00794BC8" w:rsidP="002725EA">
            <w:pPr>
              <w:pStyle w:val="Tabletext"/>
              <w:rPr>
                <w:lang w:val="es-ES"/>
              </w:rPr>
            </w:pPr>
            <w:r w:rsidRPr="002573F5">
              <w:rPr>
                <w:lang w:val="es-ES"/>
              </w:rPr>
              <w:t>9-10 de marzo de 2021 (virtual)</w:t>
            </w:r>
          </w:p>
        </w:tc>
        <w:tc>
          <w:tcPr>
            <w:tcW w:w="2477" w:type="dxa"/>
          </w:tcPr>
          <w:p w14:paraId="4956AB21" w14:textId="77777777" w:rsidR="00794BC8" w:rsidRPr="002573F5" w:rsidRDefault="00794BC8" w:rsidP="002725EA">
            <w:pPr>
              <w:pStyle w:val="Tabletext"/>
              <w:jc w:val="center"/>
              <w:rPr>
                <w:lang w:val="es-ES"/>
              </w:rPr>
            </w:pPr>
            <w:r w:rsidRPr="002573F5">
              <w:rPr>
                <w:lang w:val="es-ES"/>
              </w:rPr>
              <w:t>–</w:t>
            </w:r>
          </w:p>
        </w:tc>
        <w:tc>
          <w:tcPr>
            <w:tcW w:w="2615" w:type="dxa"/>
          </w:tcPr>
          <w:p w14:paraId="1CEFF180" w14:textId="77777777" w:rsidR="00794BC8" w:rsidRPr="002573F5" w:rsidRDefault="00C53596" w:rsidP="002725EA">
            <w:pPr>
              <w:pStyle w:val="Tabletext"/>
              <w:jc w:val="center"/>
              <w:rPr>
                <w:lang w:val="es-ES"/>
              </w:rPr>
            </w:pPr>
            <w:hyperlink r:id="rId33" w:history="1">
              <w:r w:rsidR="00794BC8" w:rsidRPr="002573F5">
                <w:rPr>
                  <w:rStyle w:val="Hyperlink"/>
                  <w:lang w:val="es-ES"/>
                </w:rPr>
                <w:t>Informe</w:t>
              </w:r>
            </w:hyperlink>
          </w:p>
        </w:tc>
      </w:tr>
      <w:tr w:rsidR="00794BC8" w:rsidRPr="002573F5" w14:paraId="286804B2" w14:textId="77777777" w:rsidTr="00AD1979">
        <w:trPr>
          <w:jc w:val="center"/>
        </w:trPr>
        <w:tc>
          <w:tcPr>
            <w:tcW w:w="1195" w:type="dxa"/>
            <w:tcMar>
              <w:top w:w="0" w:type="dxa"/>
              <w:left w:w="108" w:type="dxa"/>
              <w:bottom w:w="0" w:type="dxa"/>
              <w:right w:w="108" w:type="dxa"/>
            </w:tcMar>
          </w:tcPr>
          <w:p w14:paraId="5D394198" w14:textId="77777777" w:rsidR="00794BC8" w:rsidRPr="002573F5" w:rsidRDefault="00794BC8" w:rsidP="002725EA">
            <w:pPr>
              <w:pStyle w:val="Tabletext"/>
              <w:rPr>
                <w:lang w:val="es-ES"/>
              </w:rPr>
            </w:pPr>
            <w:r w:rsidRPr="002573F5">
              <w:rPr>
                <w:lang w:val="es-ES"/>
              </w:rPr>
              <w:t>RPR-AFR</w:t>
            </w:r>
          </w:p>
        </w:tc>
        <w:tc>
          <w:tcPr>
            <w:tcW w:w="3332" w:type="dxa"/>
            <w:tcMar>
              <w:top w:w="0" w:type="dxa"/>
              <w:left w:w="108" w:type="dxa"/>
              <w:bottom w:w="0" w:type="dxa"/>
              <w:right w:w="108" w:type="dxa"/>
            </w:tcMar>
          </w:tcPr>
          <w:p w14:paraId="789653C9" w14:textId="77777777" w:rsidR="00794BC8" w:rsidRPr="002573F5" w:rsidRDefault="00794BC8" w:rsidP="002725EA">
            <w:pPr>
              <w:pStyle w:val="Tabletext"/>
              <w:rPr>
                <w:lang w:val="es-ES"/>
              </w:rPr>
            </w:pPr>
            <w:r w:rsidRPr="002573F5">
              <w:rPr>
                <w:lang w:val="es-ES"/>
              </w:rPr>
              <w:t>29-30 de marzo de 2021 (virtual)</w:t>
            </w:r>
          </w:p>
        </w:tc>
        <w:tc>
          <w:tcPr>
            <w:tcW w:w="2477" w:type="dxa"/>
          </w:tcPr>
          <w:p w14:paraId="3A19319E" w14:textId="77777777" w:rsidR="00794BC8" w:rsidRPr="002573F5" w:rsidRDefault="00794BC8" w:rsidP="002725EA">
            <w:pPr>
              <w:pStyle w:val="Tabletext"/>
              <w:jc w:val="center"/>
              <w:rPr>
                <w:lang w:val="es-ES"/>
              </w:rPr>
            </w:pPr>
            <w:r w:rsidRPr="002573F5">
              <w:rPr>
                <w:lang w:val="es-ES"/>
              </w:rPr>
              <w:t>Burkina Faso</w:t>
            </w:r>
          </w:p>
        </w:tc>
        <w:tc>
          <w:tcPr>
            <w:tcW w:w="2615" w:type="dxa"/>
          </w:tcPr>
          <w:p w14:paraId="73914DF1" w14:textId="77777777" w:rsidR="00794BC8" w:rsidRPr="002573F5" w:rsidRDefault="00C53596" w:rsidP="002725EA">
            <w:pPr>
              <w:pStyle w:val="Tabletext"/>
              <w:jc w:val="center"/>
              <w:rPr>
                <w:lang w:val="es-ES"/>
              </w:rPr>
            </w:pPr>
            <w:hyperlink r:id="rId34" w:history="1">
              <w:r w:rsidR="00794BC8" w:rsidRPr="002573F5">
                <w:rPr>
                  <w:rStyle w:val="Hyperlink"/>
                </w:rPr>
                <w:t>Informe</w:t>
              </w:r>
            </w:hyperlink>
          </w:p>
        </w:tc>
      </w:tr>
      <w:tr w:rsidR="00794BC8" w:rsidRPr="002573F5" w14:paraId="139973F8" w14:textId="77777777" w:rsidTr="00AD1979">
        <w:trPr>
          <w:jc w:val="center"/>
        </w:trPr>
        <w:tc>
          <w:tcPr>
            <w:tcW w:w="1195" w:type="dxa"/>
            <w:tcMar>
              <w:top w:w="0" w:type="dxa"/>
              <w:left w:w="108" w:type="dxa"/>
              <w:bottom w:w="0" w:type="dxa"/>
              <w:right w:w="108" w:type="dxa"/>
            </w:tcMar>
          </w:tcPr>
          <w:p w14:paraId="3988FB1A" w14:textId="77777777" w:rsidR="00794BC8" w:rsidRPr="002573F5" w:rsidRDefault="00794BC8" w:rsidP="002725EA">
            <w:pPr>
              <w:pStyle w:val="Tabletext"/>
              <w:rPr>
                <w:lang w:val="es-ES"/>
              </w:rPr>
            </w:pPr>
            <w:r w:rsidRPr="002573F5">
              <w:rPr>
                <w:lang w:val="es-ES"/>
              </w:rPr>
              <w:t>RPR-ARB</w:t>
            </w:r>
          </w:p>
        </w:tc>
        <w:tc>
          <w:tcPr>
            <w:tcW w:w="3332" w:type="dxa"/>
            <w:tcMar>
              <w:top w:w="0" w:type="dxa"/>
              <w:left w:w="108" w:type="dxa"/>
              <w:bottom w:w="0" w:type="dxa"/>
              <w:right w:w="108" w:type="dxa"/>
            </w:tcMar>
          </w:tcPr>
          <w:p w14:paraId="5715F780" w14:textId="77777777" w:rsidR="00794BC8" w:rsidRPr="002573F5" w:rsidRDefault="00794BC8" w:rsidP="002725EA">
            <w:pPr>
              <w:pStyle w:val="Tabletext"/>
              <w:rPr>
                <w:lang w:val="es-ES"/>
              </w:rPr>
            </w:pPr>
            <w:r w:rsidRPr="002573F5">
              <w:rPr>
                <w:lang w:val="es-ES"/>
              </w:rPr>
              <w:t>7-8 de abril de 2021 (virtual)</w:t>
            </w:r>
          </w:p>
        </w:tc>
        <w:tc>
          <w:tcPr>
            <w:tcW w:w="2477" w:type="dxa"/>
          </w:tcPr>
          <w:p w14:paraId="00C4C84A" w14:textId="77777777" w:rsidR="00794BC8" w:rsidRPr="002573F5" w:rsidRDefault="00794BC8" w:rsidP="002725EA">
            <w:pPr>
              <w:pStyle w:val="Tabletext"/>
              <w:jc w:val="center"/>
              <w:rPr>
                <w:lang w:val="es-ES"/>
              </w:rPr>
            </w:pPr>
            <w:r w:rsidRPr="002573F5">
              <w:rPr>
                <w:lang w:val="es-ES"/>
              </w:rPr>
              <w:t>–</w:t>
            </w:r>
          </w:p>
        </w:tc>
        <w:tc>
          <w:tcPr>
            <w:tcW w:w="2615" w:type="dxa"/>
          </w:tcPr>
          <w:p w14:paraId="184469BF" w14:textId="77777777" w:rsidR="00794BC8" w:rsidRPr="002573F5" w:rsidRDefault="00C53596" w:rsidP="002725EA">
            <w:pPr>
              <w:pStyle w:val="Tabletext"/>
              <w:jc w:val="center"/>
              <w:rPr>
                <w:lang w:val="es-ES"/>
              </w:rPr>
            </w:pPr>
            <w:hyperlink r:id="rId35" w:history="1">
              <w:r w:rsidR="00794BC8" w:rsidRPr="002573F5">
                <w:rPr>
                  <w:rStyle w:val="Hyperlink"/>
                  <w:lang w:val="es-ES"/>
                </w:rPr>
                <w:t>Informe</w:t>
              </w:r>
            </w:hyperlink>
          </w:p>
        </w:tc>
      </w:tr>
      <w:tr w:rsidR="00794BC8" w:rsidRPr="002573F5" w14:paraId="121100C3" w14:textId="77777777" w:rsidTr="00AD1979">
        <w:trPr>
          <w:jc w:val="center"/>
        </w:trPr>
        <w:tc>
          <w:tcPr>
            <w:tcW w:w="1195" w:type="dxa"/>
            <w:tcMar>
              <w:top w:w="0" w:type="dxa"/>
              <w:left w:w="108" w:type="dxa"/>
              <w:bottom w:w="0" w:type="dxa"/>
              <w:right w:w="108" w:type="dxa"/>
            </w:tcMar>
          </w:tcPr>
          <w:p w14:paraId="0102BD30" w14:textId="77777777" w:rsidR="00794BC8" w:rsidRPr="002573F5" w:rsidRDefault="00794BC8" w:rsidP="002725EA">
            <w:pPr>
              <w:pStyle w:val="Tabletext"/>
              <w:rPr>
                <w:lang w:val="es-ES"/>
              </w:rPr>
            </w:pPr>
            <w:r w:rsidRPr="002573F5">
              <w:rPr>
                <w:lang w:val="es-ES"/>
              </w:rPr>
              <w:t>RPR-CEI</w:t>
            </w:r>
          </w:p>
        </w:tc>
        <w:tc>
          <w:tcPr>
            <w:tcW w:w="3332" w:type="dxa"/>
            <w:tcMar>
              <w:top w:w="0" w:type="dxa"/>
              <w:left w:w="108" w:type="dxa"/>
              <w:bottom w:w="0" w:type="dxa"/>
              <w:right w:w="108" w:type="dxa"/>
            </w:tcMar>
          </w:tcPr>
          <w:p w14:paraId="61208C3A" w14:textId="77777777" w:rsidR="00794BC8" w:rsidRPr="002573F5" w:rsidRDefault="00794BC8" w:rsidP="002725EA">
            <w:pPr>
              <w:pStyle w:val="Tabletext"/>
              <w:rPr>
                <w:lang w:val="es-ES"/>
              </w:rPr>
            </w:pPr>
            <w:r w:rsidRPr="002573F5">
              <w:rPr>
                <w:lang w:val="es-ES"/>
              </w:rPr>
              <w:t>21-22 de abril de 2021 (virtual)</w:t>
            </w:r>
          </w:p>
        </w:tc>
        <w:tc>
          <w:tcPr>
            <w:tcW w:w="2477" w:type="dxa"/>
          </w:tcPr>
          <w:p w14:paraId="38B06E97" w14:textId="77777777" w:rsidR="00794BC8" w:rsidRPr="002573F5" w:rsidRDefault="00794BC8" w:rsidP="002725EA">
            <w:pPr>
              <w:pStyle w:val="Tabletext"/>
              <w:jc w:val="center"/>
              <w:rPr>
                <w:lang w:val="es-ES"/>
              </w:rPr>
            </w:pPr>
            <w:r w:rsidRPr="002573F5">
              <w:rPr>
                <w:lang w:val="es-ES"/>
              </w:rPr>
              <w:t>–</w:t>
            </w:r>
          </w:p>
        </w:tc>
        <w:tc>
          <w:tcPr>
            <w:tcW w:w="2615" w:type="dxa"/>
          </w:tcPr>
          <w:p w14:paraId="638F788F" w14:textId="77777777" w:rsidR="00794BC8" w:rsidRPr="002573F5" w:rsidRDefault="00C53596" w:rsidP="002725EA">
            <w:pPr>
              <w:pStyle w:val="Tabletext"/>
              <w:jc w:val="center"/>
              <w:rPr>
                <w:lang w:val="es-ES"/>
              </w:rPr>
            </w:pPr>
            <w:hyperlink r:id="rId36" w:history="1">
              <w:r w:rsidR="00794BC8" w:rsidRPr="002573F5">
                <w:rPr>
                  <w:rStyle w:val="Hyperlink"/>
                  <w:lang w:val="es-ES"/>
                </w:rPr>
                <w:t>Informe</w:t>
              </w:r>
            </w:hyperlink>
          </w:p>
        </w:tc>
      </w:tr>
      <w:tr w:rsidR="00794BC8" w:rsidRPr="002573F5" w14:paraId="506279EC" w14:textId="77777777" w:rsidTr="00AD1979">
        <w:trPr>
          <w:jc w:val="center"/>
        </w:trPr>
        <w:tc>
          <w:tcPr>
            <w:tcW w:w="1195" w:type="dxa"/>
            <w:tcMar>
              <w:top w:w="0" w:type="dxa"/>
              <w:left w:w="108" w:type="dxa"/>
              <w:bottom w:w="0" w:type="dxa"/>
              <w:right w:w="108" w:type="dxa"/>
            </w:tcMar>
          </w:tcPr>
          <w:p w14:paraId="3156E127" w14:textId="77777777" w:rsidR="00794BC8" w:rsidRPr="002573F5" w:rsidRDefault="00794BC8" w:rsidP="002725EA">
            <w:pPr>
              <w:pStyle w:val="Tabletext"/>
              <w:rPr>
                <w:lang w:val="es-ES"/>
              </w:rPr>
            </w:pPr>
            <w:r w:rsidRPr="002573F5">
              <w:rPr>
                <w:lang w:val="es-ES"/>
              </w:rPr>
              <w:t>RPR-AMS</w:t>
            </w:r>
          </w:p>
        </w:tc>
        <w:tc>
          <w:tcPr>
            <w:tcW w:w="3332" w:type="dxa"/>
            <w:tcMar>
              <w:top w:w="0" w:type="dxa"/>
              <w:left w:w="108" w:type="dxa"/>
              <w:bottom w:w="0" w:type="dxa"/>
              <w:right w:w="108" w:type="dxa"/>
            </w:tcMar>
          </w:tcPr>
          <w:p w14:paraId="6D08645D" w14:textId="77777777" w:rsidR="00794BC8" w:rsidRPr="002573F5" w:rsidRDefault="00794BC8" w:rsidP="002725EA">
            <w:pPr>
              <w:pStyle w:val="Tabletext"/>
              <w:rPr>
                <w:lang w:val="es-ES"/>
              </w:rPr>
            </w:pPr>
            <w:r w:rsidRPr="002573F5">
              <w:rPr>
                <w:lang w:val="es-ES"/>
              </w:rPr>
              <w:t>26-27 de abril de 2021 (virtual)</w:t>
            </w:r>
          </w:p>
        </w:tc>
        <w:tc>
          <w:tcPr>
            <w:tcW w:w="2477" w:type="dxa"/>
          </w:tcPr>
          <w:p w14:paraId="75FF43C2" w14:textId="77777777" w:rsidR="00794BC8" w:rsidRPr="002573F5" w:rsidRDefault="00794BC8" w:rsidP="002725EA">
            <w:pPr>
              <w:pStyle w:val="Tabletext"/>
              <w:jc w:val="center"/>
              <w:rPr>
                <w:lang w:val="es-ES"/>
              </w:rPr>
            </w:pPr>
            <w:r w:rsidRPr="002573F5">
              <w:rPr>
                <w:lang w:val="es-ES"/>
              </w:rPr>
              <w:t>Perú</w:t>
            </w:r>
          </w:p>
        </w:tc>
        <w:tc>
          <w:tcPr>
            <w:tcW w:w="2615" w:type="dxa"/>
          </w:tcPr>
          <w:p w14:paraId="5CD772F8" w14:textId="77777777" w:rsidR="00794BC8" w:rsidRPr="002573F5" w:rsidRDefault="00C53596" w:rsidP="002725EA">
            <w:pPr>
              <w:pStyle w:val="Tabletext"/>
              <w:jc w:val="center"/>
              <w:rPr>
                <w:lang w:val="es-ES"/>
              </w:rPr>
            </w:pPr>
            <w:hyperlink r:id="rId37" w:history="1">
              <w:r w:rsidR="00794BC8" w:rsidRPr="002573F5">
                <w:rPr>
                  <w:rStyle w:val="Hyperlink"/>
                  <w:lang w:val="es-ES"/>
                </w:rPr>
                <w:t>Informe</w:t>
              </w:r>
            </w:hyperlink>
          </w:p>
        </w:tc>
      </w:tr>
    </w:tbl>
    <w:p w14:paraId="0777CE10" w14:textId="2AA065A0" w:rsidR="00C07340" w:rsidRPr="009F3358" w:rsidRDefault="00C07340" w:rsidP="00AD1979">
      <w:pPr>
        <w:pStyle w:val="Normalaftertitle"/>
        <w:rPr>
          <w:lang w:val="es-ES"/>
        </w:rPr>
      </w:pPr>
      <w:bookmarkStart w:id="16" w:name="lt_pId090"/>
      <w:r w:rsidRPr="009F3358">
        <w:rPr>
          <w:lang w:val="es-ES"/>
        </w:rPr>
        <w:lastRenderedPageBreak/>
        <w:t xml:space="preserve">Las RPR </w:t>
      </w:r>
      <w:r>
        <w:rPr>
          <w:lang w:val="es-ES"/>
        </w:rPr>
        <w:t>involucrar</w:t>
      </w:r>
      <w:r w:rsidR="00FF449D">
        <w:rPr>
          <w:lang w:val="es-ES"/>
        </w:rPr>
        <w:t>on</w:t>
      </w:r>
      <w:r>
        <w:rPr>
          <w:lang w:val="es-ES"/>
        </w:rPr>
        <w:t xml:space="preserve"> a los</w:t>
      </w:r>
      <w:r w:rsidRPr="009F3358">
        <w:rPr>
          <w:lang w:val="es-ES"/>
        </w:rPr>
        <w:t xml:space="preserve"> </w:t>
      </w:r>
      <w:r w:rsidR="000B48E2">
        <w:rPr>
          <w:lang w:val="es-ES"/>
        </w:rPr>
        <w:t>m</w:t>
      </w:r>
      <w:r w:rsidRPr="009F3358">
        <w:rPr>
          <w:lang w:val="es-ES"/>
        </w:rPr>
        <w:t xml:space="preserve">iembros </w:t>
      </w:r>
      <w:r w:rsidR="00FF449D">
        <w:rPr>
          <w:lang w:val="es-ES"/>
        </w:rPr>
        <w:t xml:space="preserve">de cada región </w:t>
      </w:r>
      <w:r w:rsidRPr="009F3358">
        <w:rPr>
          <w:lang w:val="es-ES"/>
        </w:rPr>
        <w:t xml:space="preserve">en el proceso de la CMDT con el fin de </w:t>
      </w:r>
      <w:r>
        <w:rPr>
          <w:lang w:val="es-ES"/>
        </w:rPr>
        <w:t>fomentar</w:t>
      </w:r>
      <w:r w:rsidRPr="009F3358">
        <w:rPr>
          <w:lang w:val="es-ES"/>
        </w:rPr>
        <w:t xml:space="preserve"> la coordinación regional antes de la </w:t>
      </w:r>
      <w:r w:rsidR="005C1277">
        <w:rPr>
          <w:lang w:val="es-ES"/>
        </w:rPr>
        <w:t>C</w:t>
      </w:r>
      <w:r w:rsidR="005C1277" w:rsidRPr="009F3358">
        <w:rPr>
          <w:lang w:val="es-ES"/>
        </w:rPr>
        <w:t>onferencia</w:t>
      </w:r>
      <w:r w:rsidRPr="009F3358">
        <w:rPr>
          <w:lang w:val="es-ES"/>
        </w:rPr>
        <w:t xml:space="preserve">. </w:t>
      </w:r>
      <w:r>
        <w:rPr>
          <w:lang w:val="es-ES"/>
        </w:rPr>
        <w:t>L</w:t>
      </w:r>
      <w:r w:rsidRPr="009F3358">
        <w:rPr>
          <w:lang w:val="es-ES"/>
        </w:rPr>
        <w:t xml:space="preserve">as RPM también </w:t>
      </w:r>
      <w:r w:rsidR="00FF449D">
        <w:rPr>
          <w:lang w:val="es-ES"/>
        </w:rPr>
        <w:t xml:space="preserve">tenían </w:t>
      </w:r>
      <w:r>
        <w:rPr>
          <w:lang w:val="es-ES"/>
        </w:rPr>
        <w:t xml:space="preserve">por objeto </w:t>
      </w:r>
      <w:r w:rsidRPr="009F3358">
        <w:rPr>
          <w:lang w:val="es-ES"/>
        </w:rPr>
        <w:t xml:space="preserve">identificar los temas de interés y los retos regionales que deben abordarse para </w:t>
      </w:r>
      <w:r>
        <w:rPr>
          <w:lang w:val="es-ES"/>
        </w:rPr>
        <w:t xml:space="preserve">impulsar </w:t>
      </w:r>
      <w:r w:rsidRPr="009F3358">
        <w:rPr>
          <w:lang w:val="es-ES"/>
        </w:rPr>
        <w:t>el desarrollo de las telecomunicaciones/TIC y ayudar a los Estados Miembros y a los Miembros del Sector a establecer prioridades comunes</w:t>
      </w:r>
      <w:bookmarkStart w:id="17" w:name="lt_pId091"/>
      <w:bookmarkEnd w:id="16"/>
      <w:r w:rsidRPr="009F3358">
        <w:rPr>
          <w:lang w:val="es-ES"/>
        </w:rPr>
        <w:t>.</w:t>
      </w:r>
      <w:bookmarkEnd w:id="17"/>
    </w:p>
    <w:p w14:paraId="1A28DD9C" w14:textId="29E36B55" w:rsidR="00C07340" w:rsidRPr="009F3358" w:rsidRDefault="00C07340" w:rsidP="00F43D30">
      <w:pPr>
        <w:rPr>
          <w:lang w:val="es-ES"/>
        </w:rPr>
      </w:pPr>
      <w:r w:rsidRPr="009F3358">
        <w:rPr>
          <w:lang w:val="es-ES"/>
        </w:rPr>
        <w:t>4.2</w:t>
      </w:r>
      <w:r w:rsidRPr="009F3358">
        <w:rPr>
          <w:lang w:val="es-ES"/>
        </w:rPr>
        <w:tab/>
      </w:r>
      <w:r w:rsidR="00FF449D">
        <w:rPr>
          <w:lang w:val="es-ES"/>
        </w:rPr>
        <w:t xml:space="preserve">En cada una </w:t>
      </w:r>
      <w:r w:rsidRPr="009F3358">
        <w:rPr>
          <w:lang w:val="es-ES"/>
        </w:rPr>
        <w:t xml:space="preserve">de las seis RPR, cada región puso en marcha las iniciativas de la </w:t>
      </w:r>
      <w:r w:rsidRPr="009F3358">
        <w:rPr>
          <w:b/>
          <w:lang w:val="es-ES"/>
        </w:rPr>
        <w:t>Red de Mujeres</w:t>
      </w:r>
      <w:r w:rsidRPr="009F3358">
        <w:rPr>
          <w:lang w:val="es-ES"/>
        </w:rPr>
        <w:t xml:space="preserve"> y de los grupos regionales </w:t>
      </w:r>
      <w:r>
        <w:rPr>
          <w:lang w:val="es-ES"/>
        </w:rPr>
        <w:t xml:space="preserve">de </w:t>
      </w:r>
      <w:r w:rsidRPr="009F3358">
        <w:rPr>
          <w:b/>
          <w:lang w:val="es-ES"/>
        </w:rPr>
        <w:t>Generation Connect</w:t>
      </w:r>
      <w:r w:rsidRPr="009F3358">
        <w:rPr>
          <w:lang w:val="es-ES"/>
        </w:rPr>
        <w:t>:</w:t>
      </w:r>
    </w:p>
    <w:p w14:paraId="352D0D33" w14:textId="7FA26F85" w:rsidR="00C07340" w:rsidRPr="009F3358" w:rsidRDefault="00C07340" w:rsidP="007D5F02">
      <w:pPr>
        <w:pStyle w:val="enumlev1"/>
        <w:rPr>
          <w:lang w:val="es-ES"/>
        </w:rPr>
      </w:pPr>
      <w:r w:rsidRPr="009F3358">
        <w:rPr>
          <w:lang w:val="es-ES"/>
        </w:rPr>
        <w:t>a)</w:t>
      </w:r>
      <w:r>
        <w:rPr>
          <w:lang w:val="es-ES"/>
        </w:rPr>
        <w:tab/>
      </w:r>
      <w:r w:rsidR="00AD1979">
        <w:rPr>
          <w:lang w:val="es-ES"/>
        </w:rPr>
        <w:t>l</w:t>
      </w:r>
      <w:r w:rsidRPr="009F3358">
        <w:rPr>
          <w:lang w:val="es-ES"/>
        </w:rPr>
        <w:t xml:space="preserve">a </w:t>
      </w:r>
      <w:hyperlink r:id="rId38" w:history="1">
        <w:r>
          <w:rPr>
            <w:rStyle w:val="Hyperlink"/>
            <w:rFonts w:asciiTheme="minorHAnsi" w:hAnsiTheme="minorHAnsi"/>
            <w:lang w:val="es-ES"/>
          </w:rPr>
          <w:t>Red de Mujeres</w:t>
        </w:r>
        <w:r w:rsidRPr="009F3358">
          <w:rPr>
            <w:rStyle w:val="Hyperlink"/>
            <w:rFonts w:asciiTheme="minorHAnsi" w:hAnsiTheme="minorHAnsi"/>
            <w:lang w:val="es-ES"/>
          </w:rPr>
          <w:t xml:space="preserve"> (NoW)</w:t>
        </w:r>
      </w:hyperlink>
      <w:r w:rsidRPr="00E02630">
        <w:rPr>
          <w:lang w:val="es-ES"/>
        </w:rPr>
        <w:t xml:space="preserve"> </w:t>
      </w:r>
      <w:r w:rsidRPr="009F3358">
        <w:rPr>
          <w:lang w:val="es-ES"/>
        </w:rPr>
        <w:t xml:space="preserve">es </w:t>
      </w:r>
      <w:r w:rsidRPr="00C07340">
        <w:rPr>
          <w:color w:val="000000"/>
        </w:rPr>
        <w:t>una</w:t>
      </w:r>
      <w:r w:rsidRPr="009F3358">
        <w:rPr>
          <w:lang w:val="es-ES"/>
        </w:rPr>
        <w:t xml:space="preserve"> iniciativa que promueve el equilibrio de género en las actividades previas </w:t>
      </w:r>
      <w:r>
        <w:rPr>
          <w:lang w:val="es-ES"/>
        </w:rPr>
        <w:t xml:space="preserve">con miras </w:t>
      </w:r>
      <w:r w:rsidRPr="009F3358">
        <w:rPr>
          <w:lang w:val="es-ES"/>
        </w:rPr>
        <w:t>a la CMDT</w:t>
      </w:r>
      <w:r w:rsidR="00054995">
        <w:rPr>
          <w:lang w:val="es-ES"/>
        </w:rPr>
        <w:t>;</w:t>
      </w:r>
    </w:p>
    <w:p w14:paraId="1C60240A" w14:textId="7CA3A2F7" w:rsidR="00C07340" w:rsidRPr="009F3358" w:rsidRDefault="00C07340" w:rsidP="007D5F02">
      <w:pPr>
        <w:pStyle w:val="enumlev1"/>
        <w:rPr>
          <w:lang w:val="es-ES"/>
        </w:rPr>
      </w:pPr>
      <w:r w:rsidRPr="009F3358">
        <w:rPr>
          <w:lang w:val="es-ES"/>
        </w:rPr>
        <w:t>b)</w:t>
      </w:r>
      <w:r>
        <w:rPr>
          <w:lang w:val="es-ES"/>
        </w:rPr>
        <w:tab/>
      </w:r>
      <w:hyperlink r:id="rId39" w:history="1">
        <w:r w:rsidRPr="00E139CB">
          <w:rPr>
            <w:rStyle w:val="Hyperlink"/>
            <w:shd w:val="clear" w:color="auto" w:fill="FFFFFF"/>
            <w:lang w:val="es-ES"/>
          </w:rPr>
          <w:t>Generation Connect</w:t>
        </w:r>
      </w:hyperlink>
      <w:r>
        <w:rPr>
          <w:rStyle w:val="Hyperlink"/>
          <w:u w:val="none"/>
          <w:shd w:val="clear" w:color="auto" w:fill="FFFFFF"/>
          <w:lang w:val="es-ES"/>
        </w:rPr>
        <w:t xml:space="preserve"> </w:t>
      </w:r>
      <w:r w:rsidRPr="009F3358">
        <w:rPr>
          <w:lang w:val="es-ES"/>
        </w:rPr>
        <w:t xml:space="preserve">es la iniciativa general de la Estrategia de la Juventud de la UIT en el </w:t>
      </w:r>
      <w:r>
        <w:rPr>
          <w:lang w:val="es-ES"/>
        </w:rPr>
        <w:t>proceso</w:t>
      </w:r>
      <w:r w:rsidRPr="009F3358">
        <w:rPr>
          <w:lang w:val="es-ES"/>
        </w:rPr>
        <w:t xml:space="preserve"> hacia la CMDT y la Cumbre Mundial de la Juventud </w:t>
      </w:r>
      <w:r>
        <w:rPr>
          <w:lang w:val="es-ES"/>
        </w:rPr>
        <w:t xml:space="preserve">de </w:t>
      </w:r>
      <w:r w:rsidRPr="00E139CB">
        <w:rPr>
          <w:lang w:val="es-ES"/>
        </w:rPr>
        <w:t>Generation Connect</w:t>
      </w:r>
      <w:r w:rsidRPr="009F3358">
        <w:rPr>
          <w:lang w:val="es-ES"/>
        </w:rPr>
        <w:t xml:space="preserve"> de la</w:t>
      </w:r>
      <w:r w:rsidR="000B48E2">
        <w:rPr>
          <w:lang w:val="es-ES"/>
        </w:rPr>
        <w:t> </w:t>
      </w:r>
      <w:r w:rsidRPr="009F3358">
        <w:rPr>
          <w:lang w:val="es-ES"/>
        </w:rPr>
        <w:t>CMDT.</w:t>
      </w:r>
    </w:p>
    <w:p w14:paraId="2F534430" w14:textId="159D33A9" w:rsidR="00C07340" w:rsidRPr="009F3358" w:rsidRDefault="00C07340" w:rsidP="007D5F02">
      <w:pPr>
        <w:rPr>
          <w:lang w:val="es-ES"/>
        </w:rPr>
      </w:pPr>
      <w:r w:rsidRPr="009F3358">
        <w:rPr>
          <w:lang w:val="es-ES"/>
        </w:rPr>
        <w:t>4.3</w:t>
      </w:r>
      <w:r>
        <w:rPr>
          <w:lang w:val="es-ES"/>
        </w:rPr>
        <w:tab/>
      </w:r>
      <w:r w:rsidRPr="009F3358">
        <w:rPr>
          <w:lang w:val="es-ES"/>
        </w:rPr>
        <w:t>El 24 de mayo de 2021 se celebr</w:t>
      </w:r>
      <w:r w:rsidR="00FF449D">
        <w:rPr>
          <w:lang w:val="es-ES"/>
        </w:rPr>
        <w:t>ó</w:t>
      </w:r>
      <w:r w:rsidRPr="009F3358">
        <w:rPr>
          <w:lang w:val="es-ES"/>
        </w:rPr>
        <w:t xml:space="preserve"> virtualmente una </w:t>
      </w:r>
      <w:r w:rsidRPr="009F3358">
        <w:rPr>
          <w:b/>
          <w:lang w:val="es-ES"/>
        </w:rPr>
        <w:t>reunión de coordinación de las RP</w:t>
      </w:r>
      <w:r>
        <w:rPr>
          <w:b/>
          <w:lang w:val="es-ES"/>
        </w:rPr>
        <w:t>R</w:t>
      </w:r>
      <w:r w:rsidR="00FF449D">
        <w:rPr>
          <w:lang w:val="es-ES"/>
        </w:rPr>
        <w:t xml:space="preserve"> para</w:t>
      </w:r>
      <w:r w:rsidRPr="009F3358">
        <w:rPr>
          <w:lang w:val="es-ES"/>
        </w:rPr>
        <w:t xml:space="preserve"> </w:t>
      </w:r>
      <w:r w:rsidRPr="00C07340">
        <w:t>examinar</w:t>
      </w:r>
      <w:r w:rsidRPr="009F3358">
        <w:rPr>
          <w:lang w:val="es-ES"/>
        </w:rPr>
        <w:t xml:space="preserve"> los informes de las seis RP</w:t>
      </w:r>
      <w:r>
        <w:rPr>
          <w:lang w:val="es-ES"/>
        </w:rPr>
        <w:t>R</w:t>
      </w:r>
      <w:r w:rsidRPr="009F3358">
        <w:rPr>
          <w:lang w:val="es-ES"/>
        </w:rPr>
        <w:t xml:space="preserve"> y se present</w:t>
      </w:r>
      <w:r w:rsidR="00FF449D">
        <w:rPr>
          <w:lang w:val="es-ES"/>
        </w:rPr>
        <w:t>ó</w:t>
      </w:r>
      <w:r w:rsidRPr="009F3358">
        <w:rPr>
          <w:lang w:val="es-ES"/>
        </w:rPr>
        <w:t xml:space="preserve"> un</w:t>
      </w:r>
      <w:r w:rsidRPr="000B48E2">
        <w:t xml:space="preserve"> </w:t>
      </w:r>
      <w:hyperlink r:id="rId40" w:history="1">
        <w:r w:rsidR="00637141" w:rsidRPr="00637141">
          <w:rPr>
            <w:rStyle w:val="Hyperlink"/>
            <w:lang w:val="es-ES"/>
          </w:rPr>
          <w:t>informe consolidado al GADT</w:t>
        </w:r>
      </w:hyperlink>
      <w:r w:rsidRPr="009F3358">
        <w:rPr>
          <w:lang w:val="es-ES"/>
        </w:rPr>
        <w:t xml:space="preserve">, </w:t>
      </w:r>
      <w:r w:rsidR="00FF449D">
        <w:rPr>
          <w:lang w:val="es-ES"/>
        </w:rPr>
        <w:t xml:space="preserve">de conformidad con </w:t>
      </w:r>
      <w:r w:rsidRPr="009F3358">
        <w:rPr>
          <w:lang w:val="es-ES"/>
        </w:rPr>
        <w:t>la Resolución 31 de la CMDT</w:t>
      </w:r>
      <w:r>
        <w:rPr>
          <w:lang w:val="es-ES"/>
        </w:rPr>
        <w:t>.</w:t>
      </w:r>
    </w:p>
    <w:p w14:paraId="286BB3E4" w14:textId="4476AF02" w:rsidR="00C07340" w:rsidRDefault="00C07340" w:rsidP="00AD1979">
      <w:pPr>
        <w:spacing w:after="120"/>
        <w:rPr>
          <w:lang w:val="es-ES"/>
        </w:rPr>
      </w:pPr>
      <w:r w:rsidRPr="009F3358">
        <w:rPr>
          <w:lang w:val="es-ES"/>
        </w:rPr>
        <w:t>4.4</w:t>
      </w:r>
      <w:r w:rsidRPr="009F3358">
        <w:rPr>
          <w:lang w:val="es-ES"/>
        </w:rPr>
        <w:tab/>
      </w:r>
      <w:bookmarkStart w:id="18" w:name="lt_pId101"/>
      <w:r w:rsidRPr="009F3358">
        <w:rPr>
          <w:lang w:val="es-ES"/>
        </w:rPr>
        <w:t xml:space="preserve">Sobre la base de las propuestas del </w:t>
      </w:r>
      <w:r>
        <w:t>GT-GADT-Prep</w:t>
      </w:r>
      <w:r w:rsidRPr="009F3358">
        <w:rPr>
          <w:lang w:val="es-ES"/>
        </w:rPr>
        <w:t xml:space="preserve">, </w:t>
      </w:r>
      <w:r w:rsidR="00FF449D">
        <w:rPr>
          <w:lang w:val="es-ES"/>
        </w:rPr>
        <w:t xml:space="preserve">el </w:t>
      </w:r>
      <w:r w:rsidR="007553E9" w:rsidRPr="007553E9">
        <w:rPr>
          <w:lang w:val="es-ES"/>
        </w:rPr>
        <w:t>GADT</w:t>
      </w:r>
      <w:r w:rsidR="00FF449D">
        <w:rPr>
          <w:lang w:val="es-ES"/>
        </w:rPr>
        <w:t xml:space="preserve"> 20/3</w:t>
      </w:r>
      <w:r w:rsidRPr="009F3358">
        <w:rPr>
          <w:lang w:val="es-ES"/>
        </w:rPr>
        <w:t xml:space="preserve"> program</w:t>
      </w:r>
      <w:r w:rsidR="00FF449D">
        <w:rPr>
          <w:lang w:val="es-ES"/>
        </w:rPr>
        <w:t>ó</w:t>
      </w:r>
      <w:r w:rsidRPr="009F3358">
        <w:rPr>
          <w:lang w:val="es-ES"/>
        </w:rPr>
        <w:t xml:space="preserve"> tres </w:t>
      </w:r>
      <w:r w:rsidRPr="009F3358">
        <w:rPr>
          <w:b/>
          <w:lang w:val="es-ES"/>
        </w:rPr>
        <w:t>reuniones interregionales</w:t>
      </w:r>
      <w:r w:rsidRPr="009F3358">
        <w:rPr>
          <w:lang w:val="es-ES"/>
        </w:rPr>
        <w:t xml:space="preserve"> </w:t>
      </w:r>
      <w:r w:rsidRPr="00637141">
        <w:rPr>
          <w:b/>
          <w:bCs/>
          <w:lang w:val="es-ES"/>
        </w:rPr>
        <w:t>(RIR)</w:t>
      </w:r>
      <w:r>
        <w:rPr>
          <w:lang w:val="es-ES"/>
        </w:rPr>
        <w:t xml:space="preserve"> </w:t>
      </w:r>
      <w:r w:rsidRPr="00C07340">
        <w:t>con</w:t>
      </w:r>
      <w:r>
        <w:rPr>
          <w:lang w:val="es-ES"/>
        </w:rPr>
        <w:t xml:space="preserve"> objeto de</w:t>
      </w:r>
      <w:r w:rsidRPr="009F3358">
        <w:rPr>
          <w:lang w:val="es-ES"/>
        </w:rPr>
        <w:t xml:space="preserve"> preparar la CMDT:</w:t>
      </w:r>
      <w:bookmarkEnd w:id="18"/>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2684"/>
        <w:gridCol w:w="6935"/>
      </w:tblGrid>
      <w:tr w:rsidR="00C07340" w:rsidRPr="00F75023" w14:paraId="3DDA0180" w14:textId="77777777" w:rsidTr="00A8060F">
        <w:trPr>
          <w:jc w:val="center"/>
        </w:trPr>
        <w:tc>
          <w:tcPr>
            <w:tcW w:w="2684" w:type="dxa"/>
            <w:tcMar>
              <w:top w:w="0" w:type="dxa"/>
              <w:left w:w="108" w:type="dxa"/>
              <w:bottom w:w="0" w:type="dxa"/>
              <w:right w:w="108" w:type="dxa"/>
            </w:tcMar>
            <w:hideMark/>
          </w:tcPr>
          <w:p w14:paraId="4BBB3AC6" w14:textId="08B30BA4" w:rsidR="00C07340" w:rsidRPr="00F75023" w:rsidRDefault="00C53596" w:rsidP="00326141">
            <w:pPr>
              <w:pStyle w:val="Tabletext"/>
              <w:ind w:right="-102"/>
              <w:rPr>
                <w:rFonts w:eastAsiaTheme="minorHAnsi" w:cs="Calibri"/>
                <w:sz w:val="24"/>
                <w:szCs w:val="24"/>
              </w:rPr>
            </w:pPr>
            <w:hyperlink r:id="rId41" w:history="1">
              <w:bookmarkStart w:id="19" w:name="lt_pId102"/>
              <w:r w:rsidR="00C07340" w:rsidRPr="00F75023">
                <w:rPr>
                  <w:rStyle w:val="Hyperlink"/>
                  <w:sz w:val="24"/>
                  <w:szCs w:val="24"/>
                </w:rPr>
                <w:t>RIR-1</w:t>
              </w:r>
              <w:bookmarkEnd w:id="19"/>
            </w:hyperlink>
          </w:p>
        </w:tc>
        <w:tc>
          <w:tcPr>
            <w:tcW w:w="6935" w:type="dxa"/>
            <w:tcMar>
              <w:top w:w="0" w:type="dxa"/>
              <w:left w:w="108" w:type="dxa"/>
              <w:bottom w:w="0" w:type="dxa"/>
              <w:right w:w="108" w:type="dxa"/>
            </w:tcMar>
            <w:hideMark/>
          </w:tcPr>
          <w:p w14:paraId="68CA8EED" w14:textId="31385DAA" w:rsidR="00C07340" w:rsidRPr="00F75023" w:rsidRDefault="00C07340" w:rsidP="00F020D9">
            <w:pPr>
              <w:pStyle w:val="Tabletext"/>
              <w:rPr>
                <w:sz w:val="24"/>
                <w:szCs w:val="24"/>
              </w:rPr>
            </w:pPr>
            <w:r w:rsidRPr="00F75023">
              <w:rPr>
                <w:sz w:val="24"/>
                <w:szCs w:val="24"/>
              </w:rPr>
              <w:t xml:space="preserve">11 </w:t>
            </w:r>
            <w:bookmarkStart w:id="20" w:name="lt_pId104"/>
            <w:r w:rsidRPr="00F75023">
              <w:rPr>
                <w:sz w:val="24"/>
                <w:szCs w:val="24"/>
              </w:rPr>
              <w:t>de marzo de 2021</w:t>
            </w:r>
            <w:r w:rsidR="00FF449D">
              <w:rPr>
                <w:sz w:val="24"/>
                <w:szCs w:val="24"/>
              </w:rPr>
              <w:t xml:space="preserve"> </w:t>
            </w:r>
            <w:r w:rsidRPr="00F75023">
              <w:rPr>
                <w:sz w:val="24"/>
                <w:szCs w:val="24"/>
              </w:rPr>
              <w:t>(virtual)</w:t>
            </w:r>
            <w:bookmarkEnd w:id="20"/>
          </w:p>
        </w:tc>
      </w:tr>
      <w:tr w:rsidR="00C07340" w:rsidRPr="00F75023" w14:paraId="75C73423" w14:textId="77777777" w:rsidTr="00A8060F">
        <w:trPr>
          <w:jc w:val="center"/>
        </w:trPr>
        <w:tc>
          <w:tcPr>
            <w:tcW w:w="2684" w:type="dxa"/>
            <w:tcMar>
              <w:top w:w="0" w:type="dxa"/>
              <w:left w:w="108" w:type="dxa"/>
              <w:bottom w:w="0" w:type="dxa"/>
              <w:right w:w="108" w:type="dxa"/>
            </w:tcMar>
            <w:hideMark/>
          </w:tcPr>
          <w:p w14:paraId="6F785873" w14:textId="5EBD7B88" w:rsidR="00C07340" w:rsidRPr="00F75023" w:rsidRDefault="00C53596" w:rsidP="00326141">
            <w:pPr>
              <w:pStyle w:val="Tabletext"/>
              <w:rPr>
                <w:sz w:val="24"/>
                <w:szCs w:val="24"/>
              </w:rPr>
            </w:pPr>
            <w:hyperlink r:id="rId42" w:history="1">
              <w:bookmarkStart w:id="21" w:name="lt_pId105"/>
              <w:r w:rsidR="00C07340" w:rsidRPr="00F75023">
                <w:rPr>
                  <w:rStyle w:val="Hyperlink"/>
                  <w:sz w:val="24"/>
                  <w:szCs w:val="24"/>
                </w:rPr>
                <w:t>RIR-2</w:t>
              </w:r>
              <w:bookmarkEnd w:id="21"/>
            </w:hyperlink>
          </w:p>
        </w:tc>
        <w:tc>
          <w:tcPr>
            <w:tcW w:w="6935" w:type="dxa"/>
            <w:tcMar>
              <w:top w:w="0" w:type="dxa"/>
              <w:left w:w="108" w:type="dxa"/>
              <w:bottom w:w="0" w:type="dxa"/>
              <w:right w:w="108" w:type="dxa"/>
            </w:tcMar>
            <w:hideMark/>
          </w:tcPr>
          <w:p w14:paraId="76E62285" w14:textId="4923A2E1" w:rsidR="00C07340" w:rsidRPr="00F75023" w:rsidRDefault="00C07340" w:rsidP="00637141">
            <w:pPr>
              <w:pStyle w:val="Tabletext"/>
              <w:rPr>
                <w:sz w:val="24"/>
                <w:szCs w:val="24"/>
              </w:rPr>
            </w:pPr>
            <w:bookmarkStart w:id="22" w:name="lt_pId106"/>
            <w:r w:rsidRPr="00F75023">
              <w:rPr>
                <w:sz w:val="24"/>
                <w:szCs w:val="24"/>
              </w:rPr>
              <w:t>1</w:t>
            </w:r>
            <w:r w:rsidR="00FF449D">
              <w:rPr>
                <w:sz w:val="24"/>
                <w:szCs w:val="24"/>
              </w:rPr>
              <w:t>3</w:t>
            </w:r>
            <w:r w:rsidRPr="00F75023">
              <w:rPr>
                <w:sz w:val="24"/>
                <w:szCs w:val="24"/>
              </w:rPr>
              <w:t xml:space="preserve">-14 de </w:t>
            </w:r>
            <w:r w:rsidR="00FF449D">
              <w:rPr>
                <w:sz w:val="24"/>
                <w:szCs w:val="24"/>
              </w:rPr>
              <w:t xml:space="preserve">diciembre </w:t>
            </w:r>
            <w:r w:rsidRPr="00F75023">
              <w:rPr>
                <w:sz w:val="24"/>
                <w:szCs w:val="24"/>
              </w:rPr>
              <w:t>de 2021</w:t>
            </w:r>
            <w:r w:rsidR="00FF449D">
              <w:rPr>
                <w:sz w:val="24"/>
                <w:szCs w:val="24"/>
              </w:rPr>
              <w:t xml:space="preserve"> </w:t>
            </w:r>
            <w:r w:rsidRPr="00F75023">
              <w:rPr>
                <w:sz w:val="24"/>
                <w:szCs w:val="24"/>
              </w:rPr>
              <w:t>(virtual)</w:t>
            </w:r>
            <w:bookmarkEnd w:id="22"/>
          </w:p>
        </w:tc>
      </w:tr>
      <w:tr w:rsidR="00C07340" w:rsidRPr="00FF449D" w14:paraId="428CA0E2" w14:textId="77777777" w:rsidTr="00A8060F">
        <w:trPr>
          <w:jc w:val="center"/>
        </w:trPr>
        <w:tc>
          <w:tcPr>
            <w:tcW w:w="2684" w:type="dxa"/>
            <w:tcMar>
              <w:top w:w="0" w:type="dxa"/>
              <w:left w:w="108" w:type="dxa"/>
              <w:bottom w:w="0" w:type="dxa"/>
              <w:right w:w="108" w:type="dxa"/>
            </w:tcMar>
            <w:hideMark/>
          </w:tcPr>
          <w:p w14:paraId="76280B3D" w14:textId="6ABB6277" w:rsidR="00C07340" w:rsidRPr="00F75023" w:rsidRDefault="00C53596" w:rsidP="00326141">
            <w:pPr>
              <w:pStyle w:val="Tabletext"/>
              <w:rPr>
                <w:sz w:val="24"/>
                <w:szCs w:val="24"/>
              </w:rPr>
            </w:pPr>
            <w:hyperlink r:id="rId43" w:history="1">
              <w:r w:rsidR="007553E9">
                <w:rPr>
                  <w:rStyle w:val="Hyperlink"/>
                </w:rPr>
                <w:t>RIR</w:t>
              </w:r>
              <w:r w:rsidR="007553E9" w:rsidRPr="00877EC7">
                <w:rPr>
                  <w:rStyle w:val="Hyperlink"/>
                </w:rPr>
                <w:t>-3</w:t>
              </w:r>
            </w:hyperlink>
          </w:p>
        </w:tc>
        <w:tc>
          <w:tcPr>
            <w:tcW w:w="6935" w:type="dxa"/>
            <w:tcMar>
              <w:top w:w="0" w:type="dxa"/>
              <w:left w:w="108" w:type="dxa"/>
              <w:bottom w:w="0" w:type="dxa"/>
              <w:right w:w="108" w:type="dxa"/>
            </w:tcMar>
            <w:hideMark/>
          </w:tcPr>
          <w:p w14:paraId="79440BFB" w14:textId="703A1FD0" w:rsidR="00C07340" w:rsidRPr="00701E23" w:rsidRDefault="00877386" w:rsidP="00326141">
            <w:pPr>
              <w:spacing w:before="40" w:after="40"/>
              <w:jc w:val="both"/>
              <w:rPr>
                <w:szCs w:val="24"/>
                <w:lang w:val="es-ES"/>
              </w:rPr>
            </w:pPr>
            <w:r w:rsidRPr="00701E23">
              <w:rPr>
                <w:lang w:val="es-ES"/>
              </w:rPr>
              <w:t xml:space="preserve">10-11 </w:t>
            </w:r>
            <w:r w:rsidR="00FF449D" w:rsidRPr="00701E23">
              <w:rPr>
                <w:lang w:val="es-ES"/>
              </w:rPr>
              <w:t xml:space="preserve">de marzo de </w:t>
            </w:r>
            <w:r w:rsidRPr="00701E23">
              <w:rPr>
                <w:lang w:val="es-ES"/>
              </w:rPr>
              <w:t>2022 (</w:t>
            </w:r>
            <w:r w:rsidR="00FF449D" w:rsidRPr="00701E23">
              <w:rPr>
                <w:lang w:val="es-ES"/>
              </w:rPr>
              <w:t>física en la Sede de la UIT</w:t>
            </w:r>
            <w:r w:rsidRPr="00701E23">
              <w:rPr>
                <w:lang w:val="es-ES"/>
              </w:rPr>
              <w:t>)</w:t>
            </w:r>
          </w:p>
        </w:tc>
      </w:tr>
    </w:tbl>
    <w:p w14:paraId="03CF15F6" w14:textId="0FC10AEE" w:rsidR="00877386" w:rsidRPr="009F3358" w:rsidRDefault="00877386" w:rsidP="00AD1979">
      <w:pPr>
        <w:pStyle w:val="Normalaftertitle"/>
        <w:rPr>
          <w:lang w:val="es-ES"/>
        </w:rPr>
      </w:pPr>
      <w:bookmarkStart w:id="23" w:name="lt_pId110"/>
      <w:r w:rsidRPr="009F3358">
        <w:rPr>
          <w:lang w:val="es-ES"/>
        </w:rPr>
        <w:t xml:space="preserve">Las RIR están abiertas a todos los </w:t>
      </w:r>
      <w:r w:rsidR="00A8060F" w:rsidRPr="009F3358">
        <w:rPr>
          <w:lang w:val="es-ES"/>
        </w:rPr>
        <w:t xml:space="preserve">Miembros </w:t>
      </w:r>
      <w:r w:rsidRPr="009F3358">
        <w:rPr>
          <w:lang w:val="es-ES"/>
        </w:rPr>
        <w:t>del UIT-D. Se insta a los Estados Miembros a que incluyan en sus delegaciones a representantes de los organismos de reglamentación, los responsables de la formulación de políticas, la sociedad civil, el mundo académico, la comunidad técnica de Internet, los jóvenes, las organizaciones de promoción de la igualdad de género</w:t>
      </w:r>
      <w:r>
        <w:rPr>
          <w:lang w:val="es-ES"/>
        </w:rPr>
        <w:t>, entre</w:t>
      </w:r>
      <w:r w:rsidRPr="009F3358">
        <w:rPr>
          <w:lang w:val="es-ES"/>
        </w:rPr>
        <w:t xml:space="preserve"> otros.</w:t>
      </w:r>
      <w:bookmarkEnd w:id="23"/>
    </w:p>
    <w:p w14:paraId="3A8A2C39" w14:textId="77777777" w:rsidR="00877386" w:rsidRPr="009F3358" w:rsidRDefault="00877386" w:rsidP="00F371BA">
      <w:pPr>
        <w:rPr>
          <w:lang w:val="es-ES"/>
        </w:rPr>
      </w:pPr>
      <w:bookmarkStart w:id="24" w:name="lt_pId112"/>
      <w:r w:rsidRPr="009F3358">
        <w:rPr>
          <w:lang w:val="es-ES"/>
        </w:rPr>
        <w:t xml:space="preserve">El orden del día de las RIR se elabora partiendo de los principales debates que tienen lugar durante las </w:t>
      </w:r>
      <w:r w:rsidRPr="00AD7777">
        <w:rPr>
          <w:szCs w:val="24"/>
          <w:lang w:val="es-ES"/>
        </w:rPr>
        <w:t>reuniones</w:t>
      </w:r>
      <w:r w:rsidRPr="009F3358">
        <w:rPr>
          <w:lang w:val="es-ES"/>
        </w:rPr>
        <w:t xml:space="preserve">, y puede incluir propuestas de los Estados Miembros, los Miembros de Sector, las </w:t>
      </w:r>
      <w:r>
        <w:rPr>
          <w:lang w:val="es-ES"/>
        </w:rPr>
        <w:t>organizaciones r</w:t>
      </w:r>
      <w:r w:rsidRPr="009F3358">
        <w:rPr>
          <w:lang w:val="es-ES"/>
        </w:rPr>
        <w:t xml:space="preserve">egionales de </w:t>
      </w:r>
      <w:r>
        <w:rPr>
          <w:lang w:val="es-ES"/>
        </w:rPr>
        <w:t>t</w:t>
      </w:r>
      <w:r w:rsidRPr="009F3358">
        <w:rPr>
          <w:lang w:val="es-ES"/>
        </w:rPr>
        <w:t>elecomunicaciones (ORT), la BDT y otras partes interesadas. Los debates se centran en temas importantes que requieren coordinación y consenso entre las distintas regiones.</w:t>
      </w:r>
      <w:bookmarkEnd w:id="24"/>
    </w:p>
    <w:p w14:paraId="61CF66D7" w14:textId="12255574" w:rsidR="00877386" w:rsidRPr="009F3358" w:rsidRDefault="00877386" w:rsidP="003C79A8">
      <w:pPr>
        <w:rPr>
          <w:lang w:val="es-ES"/>
        </w:rPr>
      </w:pPr>
      <w:bookmarkStart w:id="25" w:name="lt_pId113"/>
      <w:r>
        <w:rPr>
          <w:lang w:val="es-ES"/>
        </w:rPr>
        <w:t>Con arreglo a</w:t>
      </w:r>
      <w:r w:rsidRPr="009F3358">
        <w:rPr>
          <w:lang w:val="es-ES"/>
        </w:rPr>
        <w:t xml:space="preserve"> las recomendaciones del GADT, se nombró al Presidente designado de la CMDT para presidir </w:t>
      </w:r>
      <w:r w:rsidR="00FF449D">
        <w:rPr>
          <w:lang w:val="es-ES"/>
        </w:rPr>
        <w:t xml:space="preserve">la </w:t>
      </w:r>
      <w:r w:rsidR="007553E9">
        <w:rPr>
          <w:lang w:val="es-ES"/>
        </w:rPr>
        <w:t>RIR</w:t>
      </w:r>
      <w:r w:rsidR="00FF449D">
        <w:rPr>
          <w:lang w:val="es-ES"/>
        </w:rPr>
        <w:t>-1</w:t>
      </w:r>
      <w:r w:rsidRPr="009F3358">
        <w:rPr>
          <w:lang w:val="es-ES"/>
        </w:rPr>
        <w:t xml:space="preserve">, y se </w:t>
      </w:r>
      <w:r>
        <w:rPr>
          <w:lang w:val="es-ES"/>
        </w:rPr>
        <w:t xml:space="preserve">procedió a </w:t>
      </w:r>
      <w:r w:rsidRPr="009F3358">
        <w:rPr>
          <w:lang w:val="es-ES"/>
        </w:rPr>
        <w:t xml:space="preserve">nombrar seis vicepresidentes, uno por cada una de las respectivas ORT. También se invitó a cada ORT a que designara al representante o representantes de su elección para </w:t>
      </w:r>
      <w:r>
        <w:rPr>
          <w:lang w:val="es-ES"/>
        </w:rPr>
        <w:t>tomar la palabra</w:t>
      </w:r>
      <w:r w:rsidRPr="009F3358">
        <w:rPr>
          <w:lang w:val="es-ES"/>
        </w:rPr>
        <w:t xml:space="preserve"> en nombre de su región.</w:t>
      </w:r>
      <w:bookmarkEnd w:id="25"/>
    </w:p>
    <w:p w14:paraId="00BC9A57" w14:textId="625E6AAC" w:rsidR="00970BD5" w:rsidRDefault="009623E4" w:rsidP="00AD1979">
      <w:pPr>
        <w:rPr>
          <w:lang w:val="es-ES"/>
        </w:rPr>
      </w:pPr>
      <w:r w:rsidRPr="00701E23">
        <w:rPr>
          <w:lang w:val="es-ES"/>
        </w:rPr>
        <w:t xml:space="preserve">A raíz de las </w:t>
      </w:r>
      <w:r w:rsidR="007553E9">
        <w:rPr>
          <w:lang w:val="es-ES"/>
        </w:rPr>
        <w:t>preocupaciones</w:t>
      </w:r>
      <w:r w:rsidRPr="00701E23">
        <w:rPr>
          <w:lang w:val="es-ES"/>
        </w:rPr>
        <w:t xml:space="preserve"> relacionadas con el lugar de celebraci</w:t>
      </w:r>
      <w:r w:rsidR="007553E9">
        <w:rPr>
          <w:lang w:val="es-ES"/>
        </w:rPr>
        <w:t>ón, la P</w:t>
      </w:r>
      <w:r w:rsidRPr="00701E23">
        <w:rPr>
          <w:lang w:val="es-ES"/>
        </w:rPr>
        <w:t xml:space="preserve">residencia de la </w:t>
      </w:r>
      <w:r w:rsidR="007553E9">
        <w:rPr>
          <w:lang w:val="es-ES"/>
        </w:rPr>
        <w:t>RIR</w:t>
      </w:r>
      <w:r>
        <w:rPr>
          <w:lang w:val="es-ES"/>
        </w:rPr>
        <w:t>-2 fue asumida por la Presidenta</w:t>
      </w:r>
      <w:r w:rsidRPr="00701E23">
        <w:rPr>
          <w:lang w:val="es-ES"/>
        </w:rPr>
        <w:t xml:space="preserve"> del GADT, Sra.</w:t>
      </w:r>
      <w:r>
        <w:rPr>
          <w:lang w:val="es-ES"/>
        </w:rPr>
        <w:t xml:space="preserve"> </w:t>
      </w:r>
      <w:r w:rsidR="00970BD5" w:rsidRPr="00701E23">
        <w:rPr>
          <w:lang w:val="es-ES"/>
        </w:rPr>
        <w:t xml:space="preserve">Roxanne McElvane Webber. </w:t>
      </w:r>
      <w:r w:rsidRPr="009623E4">
        <w:rPr>
          <w:lang w:val="es-ES"/>
        </w:rPr>
        <w:t>Dado que se ha seleccionado a Rwanda como pa</w:t>
      </w:r>
      <w:r w:rsidRPr="00701E23">
        <w:rPr>
          <w:lang w:val="es-ES"/>
        </w:rPr>
        <w:t xml:space="preserve">ís anfitrión para la CMDT, se le pedirá que proponga a la persona que ocupará la Presidencia designada para la CMDT, </w:t>
      </w:r>
      <w:r>
        <w:rPr>
          <w:lang w:val="es-ES"/>
        </w:rPr>
        <w:t xml:space="preserve">quien </w:t>
      </w:r>
      <w:r w:rsidRPr="00701E23">
        <w:rPr>
          <w:lang w:val="es-ES"/>
        </w:rPr>
        <w:t xml:space="preserve">asumirá la presidencia de la </w:t>
      </w:r>
      <w:r w:rsidR="007553E9">
        <w:rPr>
          <w:lang w:val="es-ES"/>
        </w:rPr>
        <w:t>RIR</w:t>
      </w:r>
      <w:r w:rsidRPr="00701E23">
        <w:rPr>
          <w:lang w:val="es-ES"/>
        </w:rPr>
        <w:t xml:space="preserve">-3, </w:t>
      </w:r>
      <w:r>
        <w:rPr>
          <w:lang w:val="es-ES"/>
        </w:rPr>
        <w:t xml:space="preserve">previa aprobación de los delegados en la </w:t>
      </w:r>
      <w:r w:rsidR="007553E9">
        <w:rPr>
          <w:lang w:val="es-ES"/>
        </w:rPr>
        <w:t>RIR</w:t>
      </w:r>
      <w:r>
        <w:rPr>
          <w:lang w:val="es-ES"/>
        </w:rPr>
        <w:t>-3</w:t>
      </w:r>
      <w:r w:rsidR="00970BD5" w:rsidRPr="00701E23">
        <w:rPr>
          <w:lang w:val="es-ES"/>
        </w:rPr>
        <w:t>.</w:t>
      </w:r>
    </w:p>
    <w:p w14:paraId="5B2F2D1D" w14:textId="0CC537F3" w:rsidR="00AD1979" w:rsidRPr="00701E23" w:rsidRDefault="00AD1979" w:rsidP="00AD1979">
      <w:pPr>
        <w:rPr>
          <w:lang w:val="es-ES"/>
        </w:rPr>
      </w:pPr>
      <w:r w:rsidRPr="00AD1979">
        <w:rPr>
          <w:lang w:val="es-ES"/>
        </w:rPr>
        <w:lastRenderedPageBreak/>
        <w:t>4.5</w:t>
      </w:r>
      <w:r w:rsidRPr="00AD1979">
        <w:rPr>
          <w:lang w:val="es-ES"/>
        </w:rPr>
        <w:tab/>
        <w:t>El GADT acordó el proyecto de orden del día de la Conferencia en su reunión de 8-12 de noviembre de 2021 (</w:t>
      </w:r>
      <w:r w:rsidR="00301D84" w:rsidRPr="00301D84">
        <w:rPr>
          <w:lang w:val="es-ES"/>
        </w:rPr>
        <w:t>Documento</w:t>
      </w:r>
      <w:r w:rsidR="00301D84">
        <w:rPr>
          <w:lang w:val="es-ES"/>
        </w:rPr>
        <w:t> </w:t>
      </w:r>
      <w:hyperlink r:id="rId44" w:history="1">
        <w:r w:rsidR="00301D84">
          <w:rPr>
            <w:rStyle w:val="Hyperlink"/>
            <w:lang w:val="es-ES"/>
          </w:rPr>
          <w:t>TDAG-21/2/13(Rev.1)</w:t>
        </w:r>
      </w:hyperlink>
      <w:r w:rsidRPr="00AD1979">
        <w:rPr>
          <w:lang w:val="es-ES"/>
        </w:rPr>
        <w:t>), que se someterá a la aprobación del Consejo en su sesión actual.</w:t>
      </w:r>
    </w:p>
    <w:p w14:paraId="7E6C5CB8" w14:textId="7E3253D5" w:rsidR="00970BD5" w:rsidRPr="005B6F95" w:rsidRDefault="00970BD5" w:rsidP="005B6F95">
      <w:pPr>
        <w:pStyle w:val="Heading1"/>
      </w:pPr>
      <w:r w:rsidRPr="00301D84">
        <w:t>5</w:t>
      </w:r>
      <w:r w:rsidRPr="00301D84">
        <w:tab/>
      </w:r>
      <w:r w:rsidR="007553E9" w:rsidRPr="00301D84">
        <w:t xml:space="preserve">Serie de </w:t>
      </w:r>
      <w:r w:rsidR="00301D84" w:rsidRPr="00301D84">
        <w:t>D</w:t>
      </w:r>
      <w:r w:rsidR="007553E9" w:rsidRPr="00301D84">
        <w:t xml:space="preserve">esarrollo </w:t>
      </w:r>
      <w:r w:rsidR="00301D84" w:rsidRPr="00301D84">
        <w:t>D</w:t>
      </w:r>
      <w:r w:rsidR="007553E9" w:rsidRPr="00301D84">
        <w:t>igital Camino a Addis</w:t>
      </w:r>
    </w:p>
    <w:p w14:paraId="1E2DFF59" w14:textId="1425A2A6" w:rsidR="00970BD5" w:rsidRPr="00AD1979" w:rsidRDefault="00970BD5" w:rsidP="00AD1979">
      <w:pPr>
        <w:rPr>
          <w:lang w:val="es-ES"/>
        </w:rPr>
      </w:pPr>
      <w:r w:rsidRPr="00AD1979">
        <w:rPr>
          <w:lang w:val="es-ES"/>
        </w:rPr>
        <w:t>5.1</w:t>
      </w:r>
      <w:r w:rsidRPr="00AD1979">
        <w:rPr>
          <w:lang w:val="es-ES"/>
        </w:rPr>
        <w:tab/>
      </w:r>
      <w:r w:rsidR="007553E9" w:rsidRPr="00AD1979">
        <w:rPr>
          <w:lang w:val="es-ES"/>
        </w:rPr>
        <w:t xml:space="preserve">La serie de </w:t>
      </w:r>
      <w:r w:rsidR="00301D84">
        <w:rPr>
          <w:b/>
          <w:bCs/>
          <w:lang w:val="es-ES"/>
        </w:rPr>
        <w:t>D</w:t>
      </w:r>
      <w:r w:rsidR="007553E9" w:rsidRPr="00AD1979">
        <w:rPr>
          <w:b/>
          <w:bCs/>
          <w:lang w:val="es-ES"/>
        </w:rPr>
        <w:t>esarrollo Digital Camino a Addis</w:t>
      </w:r>
      <w:r w:rsidR="007553E9" w:rsidRPr="00AD1979">
        <w:rPr>
          <w:lang w:val="es-ES"/>
        </w:rPr>
        <w:t xml:space="preserve"> se presentó en noviembre de 2020, a fin de generar un impulso de cara a la CMDT y proporcionar una plataforma inclusiva para que todas las partes interesadas progresen en relación con el llamamiento a la conectividad universal y efectiva. </w:t>
      </w:r>
      <w:r w:rsidR="007553E9" w:rsidRPr="002573F5">
        <w:rPr>
          <w:lang w:val="es-ES"/>
        </w:rPr>
        <w:t xml:space="preserve">Dicha serie de eventos se diseñó con tres </w:t>
      </w:r>
      <w:r w:rsidR="007553E9" w:rsidRPr="00AD1979">
        <w:rPr>
          <w:lang w:val="es-ES"/>
        </w:rPr>
        <w:t>objetivos</w:t>
      </w:r>
      <w:r w:rsidRPr="00AD7777">
        <w:rPr>
          <w:lang w:val="es-ES"/>
        </w:rPr>
        <w:t>:</w:t>
      </w:r>
    </w:p>
    <w:p w14:paraId="625FA9B2" w14:textId="79A51D16" w:rsidR="00877386" w:rsidRPr="009F3358" w:rsidRDefault="00877386" w:rsidP="005B6F95">
      <w:pPr>
        <w:pStyle w:val="enumlev1"/>
        <w:rPr>
          <w:lang w:val="es-ES"/>
        </w:rPr>
      </w:pPr>
      <w:bookmarkStart w:id="26" w:name="lt_pId117"/>
      <w:r w:rsidRPr="009F3358">
        <w:rPr>
          <w:lang w:val="es-ES"/>
        </w:rPr>
        <w:t>a)</w:t>
      </w:r>
      <w:bookmarkEnd w:id="26"/>
      <w:r w:rsidRPr="009F3358">
        <w:rPr>
          <w:lang w:val="es-ES"/>
        </w:rPr>
        <w:tab/>
      </w:r>
      <w:r>
        <w:rPr>
          <w:lang w:val="es-ES"/>
        </w:rPr>
        <w:t>g</w:t>
      </w:r>
      <w:r w:rsidRPr="009F3358">
        <w:rPr>
          <w:lang w:val="es-ES"/>
        </w:rPr>
        <w:t xml:space="preserve">enerar interés y </w:t>
      </w:r>
      <w:r w:rsidRPr="005B6F95">
        <w:t>concienciación</w:t>
      </w:r>
      <w:r w:rsidRPr="009F3358">
        <w:rPr>
          <w:lang w:val="es-ES"/>
        </w:rPr>
        <w:t xml:space="preserve"> </w:t>
      </w:r>
      <w:r>
        <w:rPr>
          <w:lang w:val="es-ES"/>
        </w:rPr>
        <w:t xml:space="preserve">en relación con </w:t>
      </w:r>
      <w:r w:rsidRPr="009F3358">
        <w:rPr>
          <w:lang w:val="es-ES"/>
        </w:rPr>
        <w:t>la CMDT</w:t>
      </w:r>
      <w:r>
        <w:rPr>
          <w:lang w:val="es-ES"/>
        </w:rPr>
        <w:t>;</w:t>
      </w:r>
    </w:p>
    <w:p w14:paraId="0AFE0009" w14:textId="77777777" w:rsidR="00877386" w:rsidRPr="009F3358" w:rsidRDefault="00877386" w:rsidP="00877386">
      <w:pPr>
        <w:pStyle w:val="enumlev1"/>
        <w:rPr>
          <w:lang w:val="es-ES"/>
        </w:rPr>
      </w:pPr>
      <w:bookmarkStart w:id="27" w:name="lt_pId119"/>
      <w:r w:rsidRPr="009F3358">
        <w:rPr>
          <w:lang w:val="es-ES"/>
        </w:rPr>
        <w:t>b)</w:t>
      </w:r>
      <w:bookmarkEnd w:id="27"/>
      <w:r w:rsidRPr="009F3358">
        <w:rPr>
          <w:lang w:val="es-ES"/>
        </w:rPr>
        <w:tab/>
      </w:r>
      <w:bookmarkStart w:id="28" w:name="lt_pId120"/>
      <w:r>
        <w:rPr>
          <w:lang w:val="es-ES"/>
        </w:rPr>
        <w:t xml:space="preserve">fomentar </w:t>
      </w:r>
      <w:r w:rsidRPr="009F3358">
        <w:rPr>
          <w:lang w:val="es-ES"/>
        </w:rPr>
        <w:t xml:space="preserve">la participación de las principales partes </w:t>
      </w:r>
      <w:r>
        <w:rPr>
          <w:lang w:val="es-ES"/>
        </w:rPr>
        <w:t xml:space="preserve">interesadas y </w:t>
      </w:r>
      <w:r w:rsidRPr="009F3358">
        <w:rPr>
          <w:lang w:val="es-ES"/>
        </w:rPr>
        <w:t>las comunidades</w:t>
      </w:r>
      <w:bookmarkEnd w:id="28"/>
      <w:r>
        <w:rPr>
          <w:lang w:val="es-ES"/>
        </w:rPr>
        <w:t>; y</w:t>
      </w:r>
    </w:p>
    <w:p w14:paraId="4D542219" w14:textId="4E59CE4D" w:rsidR="00877386" w:rsidRPr="009F3358" w:rsidRDefault="00877386" w:rsidP="005B6F95">
      <w:pPr>
        <w:pStyle w:val="enumlev1"/>
        <w:rPr>
          <w:lang w:val="es-ES"/>
        </w:rPr>
      </w:pPr>
      <w:bookmarkStart w:id="29" w:name="lt_pId121"/>
      <w:r w:rsidRPr="009F3358">
        <w:rPr>
          <w:lang w:val="es-ES"/>
        </w:rPr>
        <w:t>c)</w:t>
      </w:r>
      <w:bookmarkEnd w:id="29"/>
      <w:r w:rsidRPr="009F3358">
        <w:rPr>
          <w:lang w:val="es-ES"/>
        </w:rPr>
        <w:tab/>
      </w:r>
      <w:bookmarkStart w:id="30" w:name="lt_pId122"/>
      <w:r>
        <w:rPr>
          <w:lang w:val="es-ES"/>
        </w:rPr>
        <w:t>o</w:t>
      </w:r>
      <w:r w:rsidRPr="009F3358">
        <w:rPr>
          <w:lang w:val="es-ES"/>
        </w:rPr>
        <w:t>frecer un espacio inclu</w:t>
      </w:r>
      <w:r>
        <w:rPr>
          <w:lang w:val="es-ES"/>
        </w:rPr>
        <w:t>sivo</w:t>
      </w:r>
      <w:r w:rsidRPr="009F3358">
        <w:rPr>
          <w:lang w:val="es-ES"/>
        </w:rPr>
        <w:t xml:space="preserve"> en el que se puedan </w:t>
      </w:r>
      <w:r w:rsidRPr="005B6F95">
        <w:t>debatir</w:t>
      </w:r>
      <w:r w:rsidRPr="009F3358">
        <w:rPr>
          <w:lang w:val="es-ES"/>
        </w:rPr>
        <w:t xml:space="preserve"> algunos de los temas clave que se tratarán en la CMDT.</w:t>
      </w:r>
      <w:bookmarkEnd w:id="30"/>
    </w:p>
    <w:p w14:paraId="4E94F742" w14:textId="77777777" w:rsidR="009C4E68" w:rsidRPr="009C4E68" w:rsidRDefault="009C4E68" w:rsidP="00AD1979">
      <w:pPr>
        <w:rPr>
          <w:lang w:val="es-ES"/>
        </w:rPr>
      </w:pPr>
      <w:r w:rsidRPr="009C4E68">
        <w:rPr>
          <w:lang w:val="es-ES"/>
        </w:rPr>
        <w:t>El primer capítulo de la serie Camino a Addis, que tuvo lugar de noviembre de 2020 a septiembre de 2021, se centró en los seis factores habilitadores de la conectividad para el desarrollo sostenible y elaboró una serie inclusiva y orientada a la acción para dar forma a la agenda de desarrollo digital con la participación activa de los gobiernos, el sector privado, los responsables políticos, los representantes del sistema de las Naciones Unidas, los jóvenes, así como los representantes de las minorías, las instituciones académicas, la sociedad civil y las comunidades marginadas. A continuación se enumeran los eventos de Camino a Addis que tuvieron lugar:</w:t>
      </w:r>
    </w:p>
    <w:p w14:paraId="43DE7BAA" w14:textId="467F5E3E" w:rsidR="009C4E68" w:rsidRPr="000B48E2" w:rsidRDefault="009C4E68" w:rsidP="000B48E2">
      <w:pPr>
        <w:pStyle w:val="enumlev1"/>
      </w:pPr>
      <w:r w:rsidRPr="000B48E2">
        <w:t>–</w:t>
      </w:r>
      <w:r w:rsidRPr="000B48E2">
        <w:tab/>
      </w:r>
      <w:hyperlink r:id="rId45" w:history="1">
        <w:r w:rsidRPr="000B48E2">
          <w:rPr>
            <w:rStyle w:val="Hyperlink"/>
          </w:rPr>
          <w:t>Camino a Addis, evento de lanzamiento, 9 de noviembre de 2020</w:t>
        </w:r>
      </w:hyperlink>
    </w:p>
    <w:p w14:paraId="493AF6AF" w14:textId="0AF1832B" w:rsidR="009C4E68" w:rsidRPr="000B48E2" w:rsidRDefault="009C4E68" w:rsidP="000B48E2">
      <w:pPr>
        <w:pStyle w:val="enumlev1"/>
      </w:pPr>
      <w:r w:rsidRPr="000B48E2">
        <w:t>–</w:t>
      </w:r>
      <w:r w:rsidRPr="000B48E2">
        <w:tab/>
      </w:r>
      <w:hyperlink r:id="rId46" w:history="1">
        <w:r w:rsidR="00765575" w:rsidRPr="000B48E2">
          <w:rPr>
            <w:rStyle w:val="Hyperlink"/>
          </w:rPr>
          <w:t>Camino a Addis, asociaciones, 2 de febrero de 2021</w:t>
        </w:r>
      </w:hyperlink>
    </w:p>
    <w:p w14:paraId="76166DD0" w14:textId="439ACA48" w:rsidR="009C4E68" w:rsidRPr="000B48E2" w:rsidRDefault="009C4E68" w:rsidP="000B48E2">
      <w:pPr>
        <w:pStyle w:val="enumlev1"/>
      </w:pPr>
      <w:r w:rsidRPr="000B48E2">
        <w:t>–</w:t>
      </w:r>
      <w:r w:rsidRPr="000B48E2">
        <w:tab/>
      </w:r>
      <w:hyperlink r:id="rId47" w:history="1">
        <w:r w:rsidRPr="000B48E2">
          <w:rPr>
            <w:rStyle w:val="Hyperlink"/>
          </w:rPr>
          <w:t>Camino a Addis, inclusión, 18 de marzo de 2021</w:t>
        </w:r>
      </w:hyperlink>
    </w:p>
    <w:p w14:paraId="557FC763" w14:textId="4B51EC9B" w:rsidR="009C4E68" w:rsidRPr="000B48E2" w:rsidRDefault="009C4E68" w:rsidP="000B48E2">
      <w:pPr>
        <w:pStyle w:val="enumlev1"/>
      </w:pPr>
      <w:r w:rsidRPr="000B48E2">
        <w:t>–</w:t>
      </w:r>
      <w:r w:rsidRPr="000B48E2">
        <w:tab/>
      </w:r>
      <w:hyperlink r:id="rId48" w:history="1">
        <w:r w:rsidRPr="000B48E2">
          <w:rPr>
            <w:rStyle w:val="Hyperlink"/>
          </w:rPr>
          <w:t>Camino a Addis, financiación, 28 de abril de 2021</w:t>
        </w:r>
      </w:hyperlink>
    </w:p>
    <w:p w14:paraId="22110080" w14:textId="024E20EC" w:rsidR="009C4E68" w:rsidRPr="002B7654" w:rsidRDefault="009C4E68" w:rsidP="002B7654">
      <w:pPr>
        <w:pStyle w:val="enumlev1"/>
      </w:pPr>
      <w:r w:rsidRPr="002B7654">
        <w:t>–</w:t>
      </w:r>
      <w:r w:rsidRPr="002B7654">
        <w:tab/>
      </w:r>
      <w:hyperlink r:id="rId49" w:history="1">
        <w:r w:rsidRPr="002B7654">
          <w:rPr>
            <w:rStyle w:val="Hyperlink"/>
          </w:rPr>
          <w:t>Camino a Addis, liderazgo, 22 de junio de 2021</w:t>
        </w:r>
      </w:hyperlink>
    </w:p>
    <w:p w14:paraId="014CF8AF" w14:textId="103EC39E" w:rsidR="009C4E68" w:rsidRPr="002B7654" w:rsidRDefault="009C4E68" w:rsidP="002B7654">
      <w:pPr>
        <w:pStyle w:val="enumlev1"/>
      </w:pPr>
      <w:r w:rsidRPr="002B7654">
        <w:t>–</w:t>
      </w:r>
      <w:r w:rsidRPr="002B7654">
        <w:tab/>
      </w:r>
      <w:hyperlink r:id="rId50" w:history="1">
        <w:r w:rsidRPr="002B7654">
          <w:rPr>
            <w:rStyle w:val="Hyperlink"/>
          </w:rPr>
          <w:t>Camino a Addis, innovación, 21 de julio de 2021</w:t>
        </w:r>
      </w:hyperlink>
    </w:p>
    <w:p w14:paraId="00ECFE50" w14:textId="7D81DCC3" w:rsidR="009C4E68" w:rsidRPr="002B7654" w:rsidRDefault="009C4E68" w:rsidP="002B7654">
      <w:pPr>
        <w:pStyle w:val="enumlev1"/>
      </w:pPr>
      <w:r w:rsidRPr="002B7654">
        <w:t>–</w:t>
      </w:r>
      <w:r w:rsidRPr="002B7654">
        <w:tab/>
      </w:r>
      <w:hyperlink r:id="rId51" w:history="1">
        <w:r w:rsidRPr="002B7654">
          <w:rPr>
            <w:rStyle w:val="Hyperlink"/>
          </w:rPr>
          <w:t>Camino a Addis, juventud, 12 de agosto de 2021</w:t>
        </w:r>
      </w:hyperlink>
    </w:p>
    <w:p w14:paraId="1EE4E10A" w14:textId="6CA570CE" w:rsidR="009C4E68" w:rsidRPr="002B7654" w:rsidRDefault="009C4E68" w:rsidP="002B7654">
      <w:pPr>
        <w:pStyle w:val="enumlev1"/>
      </w:pPr>
      <w:r w:rsidRPr="002B7654">
        <w:t>–</w:t>
      </w:r>
      <w:r w:rsidRPr="002B7654">
        <w:tab/>
      </w:r>
      <w:hyperlink r:id="rId52" w:history="1">
        <w:r w:rsidRPr="002B7654">
          <w:rPr>
            <w:rStyle w:val="Hyperlink"/>
          </w:rPr>
          <w:t>Camino a Addis, Partner2Connect, 20 de septiembre de 2021</w:t>
        </w:r>
      </w:hyperlink>
    </w:p>
    <w:p w14:paraId="615F198E" w14:textId="54754977" w:rsidR="009C4E68" w:rsidRPr="00AD1979" w:rsidRDefault="009C4E68" w:rsidP="00AD1979">
      <w:pPr>
        <w:pStyle w:val="Heading1"/>
      </w:pPr>
      <w:r w:rsidRPr="00AD1979">
        <w:t>6</w:t>
      </w:r>
      <w:r w:rsidRPr="00AD1979">
        <w:tab/>
      </w:r>
      <w:r w:rsidR="00E33B06" w:rsidRPr="00AD1979">
        <w:t xml:space="preserve">Coalición Digital </w:t>
      </w:r>
      <w:r w:rsidRPr="00AD1979">
        <w:t>Partner2Connect</w:t>
      </w:r>
    </w:p>
    <w:p w14:paraId="1FE353E2" w14:textId="5AD3D12F" w:rsidR="00AD1979" w:rsidRDefault="00AD1979" w:rsidP="00AD1979">
      <w:r w:rsidRPr="00AD1979">
        <w:rPr>
          <w:lang w:val="es-ES"/>
        </w:rPr>
        <w:t>6.1</w:t>
      </w:r>
      <w:r w:rsidRPr="00AD1979">
        <w:rPr>
          <w:lang w:val="es-ES"/>
        </w:rPr>
        <w:tab/>
        <w:t xml:space="preserve">Sobre la base de los resultados de la </w:t>
      </w:r>
      <w:hyperlink r:id="rId53" w:tooltip="https://www.itu.int/en/ITU-D/Conferences/WTDC/WTDC21/R2A/Pages/default.aspx" w:history="1">
        <w:r w:rsidRPr="00AD1979">
          <w:rPr>
            <w:rStyle w:val="Hyperlink"/>
            <w:lang w:val="es-ES"/>
          </w:rPr>
          <w:t xml:space="preserve">serie de Desarrollo </w:t>
        </w:r>
        <w:r w:rsidR="008E70AB" w:rsidRPr="00AD1979">
          <w:rPr>
            <w:rStyle w:val="Hyperlink"/>
            <w:lang w:val="es-ES"/>
          </w:rPr>
          <w:t>D</w:t>
        </w:r>
        <w:r w:rsidRPr="00AD1979">
          <w:rPr>
            <w:rStyle w:val="Hyperlink"/>
            <w:lang w:val="es-ES"/>
          </w:rPr>
          <w:t>igital Camino a Addis</w:t>
        </w:r>
      </w:hyperlink>
      <w:r w:rsidRPr="00AD1979">
        <w:t>, de conformidad con las Líneas de Acción de la CMSI y los ODS, en estrecha colaboración con la</w:t>
      </w:r>
      <w:r w:rsidRPr="00AD1979">
        <w:rPr>
          <w:lang w:val="es-ES"/>
        </w:rPr>
        <w:t xml:space="preserve"> </w:t>
      </w:r>
      <w:hyperlink r:id="rId54" w:tooltip="https://www.un.org/techenvoy/content/about" w:history="1">
        <w:r w:rsidRPr="00AD1979">
          <w:rPr>
            <w:rStyle w:val="Hyperlink"/>
            <w:lang w:val="es-ES"/>
          </w:rPr>
          <w:t>Oficina del Enviado del Secretario General de las Naciones Unidas para la Tecnología</w:t>
        </w:r>
      </w:hyperlink>
      <w:r w:rsidRPr="00AD1979">
        <w:t xml:space="preserve">, y de acuerdo con la </w:t>
      </w:r>
      <w:hyperlink r:id="rId55" w:tooltip="https://itu.int/itu-d/sites/partner2connect/" w:history="1">
        <w:r w:rsidR="00056A91" w:rsidRPr="00AD1979">
          <w:rPr>
            <w:rStyle w:val="Hyperlink"/>
            <w:lang w:val="es-ES"/>
          </w:rPr>
          <w:t>h</w:t>
        </w:r>
        <w:r w:rsidRPr="00AD1979">
          <w:rPr>
            <w:rStyle w:val="Hyperlink"/>
            <w:lang w:val="es-ES"/>
          </w:rPr>
          <w:t xml:space="preserve">oja de </w:t>
        </w:r>
        <w:r w:rsidR="00056A91" w:rsidRPr="00AD1979">
          <w:rPr>
            <w:rStyle w:val="Hyperlink"/>
            <w:lang w:val="es-ES"/>
          </w:rPr>
          <w:t>r</w:t>
        </w:r>
        <w:r w:rsidRPr="00AD1979">
          <w:rPr>
            <w:rStyle w:val="Hyperlink"/>
            <w:lang w:val="es-ES"/>
          </w:rPr>
          <w:t xml:space="preserve">uta para la </w:t>
        </w:r>
        <w:r w:rsidR="00056A91" w:rsidRPr="00AD1979">
          <w:rPr>
            <w:rStyle w:val="Hyperlink"/>
            <w:lang w:val="es-ES"/>
          </w:rPr>
          <w:t>c</w:t>
        </w:r>
        <w:r w:rsidRPr="00AD1979">
          <w:rPr>
            <w:rStyle w:val="Hyperlink"/>
            <w:lang w:val="es-ES"/>
          </w:rPr>
          <w:t xml:space="preserve">ooperación </w:t>
        </w:r>
        <w:r w:rsidR="00056A91" w:rsidRPr="00AD1979">
          <w:rPr>
            <w:rStyle w:val="Hyperlink"/>
            <w:lang w:val="es-ES"/>
          </w:rPr>
          <w:t>d</w:t>
        </w:r>
        <w:r w:rsidRPr="00AD1979">
          <w:rPr>
            <w:rStyle w:val="Hyperlink"/>
            <w:lang w:val="es-ES"/>
          </w:rPr>
          <w:t>igital del Secretario General de las Naciones Unidas</w:t>
        </w:r>
      </w:hyperlink>
      <w:r w:rsidRPr="00AD1979">
        <w:rPr>
          <w:lang w:val="es-ES"/>
        </w:rPr>
        <w:t>,</w:t>
      </w:r>
      <w:r w:rsidRPr="00AD1979">
        <w:t xml:space="preserve"> el 20 de septiembre de 2021, la UIT lanzó la Coalición Digital Partner2Connect (P2C). Esta </w:t>
      </w:r>
      <w:r w:rsidR="008E70AB">
        <w:t>c</w:t>
      </w:r>
      <w:r w:rsidRPr="00AD1979">
        <w:t>oalición es una alianza multipartita cuyo objetivo es fomentar una conectividad efectiva y la transformación digital en todo el mundo, centrándose en las comunidades más difíciles de conectar de los países menos adelantados (PMA), los países en desarrollo sin litoral (PDSL) y los pequeños Estados insulares en desarrollo (PEID), pero sin limitarse a ellas.</w:t>
      </w:r>
    </w:p>
    <w:p w14:paraId="03C421F0" w14:textId="757B6124" w:rsidR="00AD1979" w:rsidRDefault="00AD1979" w:rsidP="008D3A9F">
      <w:pPr>
        <w:keepNext/>
        <w:keepLines/>
        <w:rPr>
          <w:lang w:val="es-ES"/>
        </w:rPr>
      </w:pPr>
      <w:r w:rsidRPr="00AD1979">
        <w:rPr>
          <w:lang w:val="es-ES"/>
        </w:rPr>
        <w:lastRenderedPageBreak/>
        <w:t>6.2</w:t>
      </w:r>
      <w:r w:rsidRPr="00AD1979">
        <w:rPr>
          <w:lang w:val="es-ES"/>
        </w:rPr>
        <w:tab/>
        <w:t xml:space="preserve">La P2C </w:t>
      </w:r>
      <w:r w:rsidRPr="00AD1979">
        <w:t>servirá como plataforma a nivel de dirigentes para que todas las partes interesadas se movilicen y anuncien nuevos recursos, asociaciones y compromisos con el fin de lograr una conectividad universal y efectiva</w:t>
      </w:r>
      <w:r w:rsidRPr="00AD1979">
        <w:rPr>
          <w:lang w:val="es-ES"/>
        </w:rPr>
        <w:t xml:space="preserve">. Además, apoyará la implementación de la </w:t>
      </w:r>
      <w:r w:rsidR="008E70AB">
        <w:rPr>
          <w:lang w:val="es-ES"/>
        </w:rPr>
        <w:t>h</w:t>
      </w:r>
      <w:r w:rsidRPr="00AD1979">
        <w:rPr>
          <w:lang w:val="es-ES"/>
        </w:rPr>
        <w:t xml:space="preserve">oja de </w:t>
      </w:r>
      <w:r w:rsidR="008E70AB">
        <w:rPr>
          <w:lang w:val="es-ES"/>
        </w:rPr>
        <w:t>r</w:t>
      </w:r>
      <w:r w:rsidRPr="00AD1979">
        <w:rPr>
          <w:lang w:val="es-ES"/>
        </w:rPr>
        <w:t xml:space="preserve">uta del Secretario General de las Naciones Unidas para la </w:t>
      </w:r>
      <w:r w:rsidR="008E70AB">
        <w:rPr>
          <w:lang w:val="es-ES"/>
        </w:rPr>
        <w:t>c</w:t>
      </w:r>
      <w:r w:rsidRPr="00AD1979">
        <w:rPr>
          <w:lang w:val="es-ES"/>
        </w:rPr>
        <w:t xml:space="preserve">ooperación </w:t>
      </w:r>
      <w:r w:rsidR="008E70AB">
        <w:rPr>
          <w:lang w:val="es-ES"/>
        </w:rPr>
        <w:t>d</w:t>
      </w:r>
      <w:r w:rsidRPr="00AD1979">
        <w:rPr>
          <w:lang w:val="es-ES"/>
        </w:rPr>
        <w:t>igital y el informe del Secretario General de las Naciones Unidas</w:t>
      </w:r>
      <w:r w:rsidR="00056A91">
        <w:rPr>
          <w:lang w:val="es-ES"/>
        </w:rPr>
        <w:t xml:space="preserve"> "</w:t>
      </w:r>
      <w:hyperlink r:id="rId56" w:tooltip="https://www.un.org/en/content/common-agenda-report/" w:history="1">
        <w:r w:rsidR="00056A91" w:rsidRPr="00056A91">
          <w:rPr>
            <w:rStyle w:val="Hyperlink"/>
            <w:lang w:val="es-ES"/>
          </w:rPr>
          <w:t>Nuestra Agenda Común</w:t>
        </w:r>
      </w:hyperlink>
      <w:r w:rsidRPr="00056A91">
        <w:rPr>
          <w:lang w:val="es-CO"/>
        </w:rPr>
        <w:t>"</w:t>
      </w:r>
      <w:r w:rsidRPr="00056A91">
        <w:rPr>
          <w:lang w:val="es-ES"/>
        </w:rPr>
        <w:t xml:space="preserve"> </w:t>
      </w:r>
      <w:r w:rsidRPr="00AD1979">
        <w:rPr>
          <w:lang w:val="es-ES"/>
        </w:rPr>
        <w:t>de acuerdo con cuatro áreas clave:</w:t>
      </w:r>
    </w:p>
    <w:p w14:paraId="1A979522" w14:textId="1F9F440E" w:rsidR="009C4E68" w:rsidRPr="00701E23" w:rsidRDefault="00C65AE6" w:rsidP="00C65AE6">
      <w:pPr>
        <w:pStyle w:val="enumlev1"/>
        <w:rPr>
          <w:lang w:val="es-ES"/>
        </w:rPr>
      </w:pPr>
      <w:r>
        <w:rPr>
          <w:lang w:val="es-ES"/>
        </w:rPr>
        <w:tab/>
      </w:r>
      <w:r w:rsidR="009C4E68" w:rsidRPr="00701E23">
        <w:rPr>
          <w:lang w:val="es-ES"/>
        </w:rPr>
        <w:t>AC</w:t>
      </w:r>
      <w:r w:rsidR="003A20B4">
        <w:rPr>
          <w:lang w:val="es-ES"/>
        </w:rPr>
        <w:t>C</w:t>
      </w:r>
      <w:r w:rsidR="003A20B4" w:rsidRPr="00701E23">
        <w:rPr>
          <w:lang w:val="es-ES"/>
        </w:rPr>
        <w:t>ESO</w:t>
      </w:r>
      <w:r w:rsidR="009C4E68" w:rsidRPr="00701E23">
        <w:rPr>
          <w:lang w:val="es-ES"/>
        </w:rPr>
        <w:t xml:space="preserve">: </w:t>
      </w:r>
      <w:r w:rsidR="003A20B4">
        <w:t>C</w:t>
      </w:r>
      <w:r w:rsidR="003A20B4" w:rsidRPr="00964F5E">
        <w:t>onectar a las personas en todas partes</w:t>
      </w:r>
    </w:p>
    <w:p w14:paraId="4440ED5A" w14:textId="3C029C36" w:rsidR="009C4E68" w:rsidRPr="00701E23" w:rsidRDefault="00C65AE6" w:rsidP="00C65AE6">
      <w:pPr>
        <w:pStyle w:val="enumlev1"/>
        <w:rPr>
          <w:lang w:val="es-ES"/>
        </w:rPr>
      </w:pPr>
      <w:r>
        <w:rPr>
          <w:lang w:val="es-ES"/>
        </w:rPr>
        <w:tab/>
      </w:r>
      <w:r w:rsidR="003A20B4" w:rsidRPr="00701E23">
        <w:rPr>
          <w:lang w:val="es-ES"/>
        </w:rPr>
        <w:t xml:space="preserve">ADOPCIÓN: </w:t>
      </w:r>
      <w:r w:rsidR="003A20B4">
        <w:rPr>
          <w:lang w:val="es-ES"/>
        </w:rPr>
        <w:t>E</w:t>
      </w:r>
      <w:r w:rsidR="003A20B4" w:rsidRPr="00964F5E">
        <w:t>mpoderar a las comunidades</w:t>
      </w:r>
    </w:p>
    <w:p w14:paraId="09DE71C9" w14:textId="4B2F9643" w:rsidR="009C4E68" w:rsidRPr="00701E23" w:rsidRDefault="00C65AE6" w:rsidP="00C65AE6">
      <w:pPr>
        <w:pStyle w:val="enumlev1"/>
        <w:rPr>
          <w:lang w:val="es-ES"/>
        </w:rPr>
      </w:pPr>
      <w:r>
        <w:rPr>
          <w:lang w:val="es-ES"/>
        </w:rPr>
        <w:tab/>
      </w:r>
      <w:r w:rsidR="003A20B4" w:rsidRPr="00701E23">
        <w:rPr>
          <w:lang w:val="es-ES"/>
        </w:rPr>
        <w:t xml:space="preserve">CREACIÓN DE VALOR: </w:t>
      </w:r>
      <w:r w:rsidR="003A20B4">
        <w:rPr>
          <w:lang w:val="es-ES"/>
        </w:rPr>
        <w:t>C</w:t>
      </w:r>
      <w:r w:rsidR="003A20B4">
        <w:t>onstruir ecosistemas digitales</w:t>
      </w:r>
    </w:p>
    <w:p w14:paraId="35BFE890" w14:textId="716432C6" w:rsidR="009C4E68" w:rsidRPr="008E70AB" w:rsidRDefault="00C65AE6" w:rsidP="00C65AE6">
      <w:pPr>
        <w:pStyle w:val="enumlev1"/>
        <w:rPr>
          <w:lang w:val="es-ES"/>
        </w:rPr>
      </w:pPr>
      <w:r w:rsidRPr="008E70AB">
        <w:rPr>
          <w:lang w:val="es-ES"/>
        </w:rPr>
        <w:tab/>
      </w:r>
      <w:r w:rsidR="003A20B4" w:rsidRPr="008E70AB">
        <w:rPr>
          <w:lang w:val="es-ES"/>
        </w:rPr>
        <w:t xml:space="preserve">ACELERACIÓN: </w:t>
      </w:r>
      <w:r w:rsidR="008E70AB" w:rsidRPr="008E70AB">
        <w:rPr>
          <w:lang w:val="es-ES"/>
        </w:rPr>
        <w:t xml:space="preserve">Incentivar </w:t>
      </w:r>
      <w:r w:rsidR="003A20B4" w:rsidRPr="008E70AB">
        <w:rPr>
          <w:lang w:val="es-ES"/>
        </w:rPr>
        <w:t>las inversiones</w:t>
      </w:r>
    </w:p>
    <w:p w14:paraId="4A5B1F94" w14:textId="0D2AE462" w:rsidR="00D50A36" w:rsidRPr="009C4E68" w:rsidRDefault="009C4E68" w:rsidP="00AD1979">
      <w:pPr>
        <w:rPr>
          <w:lang w:val="es-ES"/>
        </w:rPr>
      </w:pPr>
      <w:r w:rsidRPr="00AD1979">
        <w:rPr>
          <w:lang w:val="es-ES"/>
        </w:rPr>
        <w:t>6.3</w:t>
      </w:r>
      <w:r w:rsidRPr="00AD1979">
        <w:rPr>
          <w:lang w:val="es-ES"/>
        </w:rPr>
        <w:tab/>
      </w:r>
      <w:r w:rsidR="006449EB" w:rsidRPr="00AD1979">
        <w:rPr>
          <w:lang w:val="es-ES"/>
        </w:rPr>
        <w:t xml:space="preserve">La </w:t>
      </w:r>
      <w:r w:rsidR="008E70AB">
        <w:rPr>
          <w:lang w:val="es-ES"/>
        </w:rPr>
        <w:t>m</w:t>
      </w:r>
      <w:r w:rsidR="006449EB" w:rsidRPr="00AD1979">
        <w:rPr>
          <w:lang w:val="es-ES"/>
        </w:rPr>
        <w:t xml:space="preserve">esa redonda de </w:t>
      </w:r>
      <w:r w:rsidR="008E70AB">
        <w:rPr>
          <w:lang w:val="es-ES"/>
        </w:rPr>
        <w:t>d</w:t>
      </w:r>
      <w:r w:rsidR="006449EB" w:rsidRPr="00AD1979">
        <w:rPr>
          <w:lang w:val="es-ES"/>
        </w:rPr>
        <w:t xml:space="preserve">esarrollo </w:t>
      </w:r>
      <w:r w:rsidR="008E70AB">
        <w:rPr>
          <w:lang w:val="es-ES"/>
        </w:rPr>
        <w:t>d</w:t>
      </w:r>
      <w:r w:rsidR="006449EB" w:rsidRPr="00AD1979">
        <w:rPr>
          <w:lang w:val="es-ES"/>
        </w:rPr>
        <w:t>igital de Partner2Connect de la UIT, que está previsto</w:t>
      </w:r>
      <w:r w:rsidR="005C1277" w:rsidRPr="00AD1979">
        <w:rPr>
          <w:lang w:val="es-ES"/>
        </w:rPr>
        <w:t xml:space="preserve"> que</w:t>
      </w:r>
      <w:r w:rsidR="006449EB" w:rsidRPr="00AD1979">
        <w:rPr>
          <w:lang w:val="es-ES"/>
        </w:rPr>
        <w:t xml:space="preserve"> se celebre del 7 al 9 de junio de 2022, durante la CMDT, ofrecerá a los </w:t>
      </w:r>
      <w:r w:rsidR="008E70AB" w:rsidRPr="00AD1979">
        <w:rPr>
          <w:lang w:val="es-ES"/>
        </w:rPr>
        <w:t xml:space="preserve">Miembros </w:t>
      </w:r>
      <w:r w:rsidR="006449EB" w:rsidRPr="00AD1979">
        <w:rPr>
          <w:lang w:val="es-ES"/>
        </w:rPr>
        <w:t xml:space="preserve">del UIT-D y a otras partes interesadas una oportunidad de participar en debates de alto nivel sobre los retos y las oportunidades relacionadas con el desarrollo digital, concretar promesas y forjar nuevas alianzas. En concreto, se invita a los asistentes de alto nivel a hacer declaraciones políticas en las sesiones plenarias, a ser posible en forma de promesas que impulsarán el avance hacia las áreas clave de </w:t>
      </w:r>
      <w:r w:rsidRPr="00701E23">
        <w:rPr>
          <w:lang w:val="es-ES"/>
        </w:rPr>
        <w:t xml:space="preserve">Partner2Connect. </w:t>
      </w:r>
      <w:r w:rsidR="006449EB" w:rsidRPr="00AD1979">
        <w:rPr>
          <w:lang w:val="es-ES"/>
        </w:rPr>
        <w:t xml:space="preserve">La mesa redonda podrá incluir actividades tales como paneles y debates en grupos reducidos. </w:t>
      </w:r>
      <w:r w:rsidR="008E70AB" w:rsidRPr="00AD1979">
        <w:rPr>
          <w:lang w:val="es-ES"/>
        </w:rPr>
        <w:t xml:space="preserve">Los </w:t>
      </w:r>
      <w:r w:rsidR="006449EB" w:rsidRPr="00AD1979">
        <w:rPr>
          <w:lang w:val="es-ES"/>
        </w:rPr>
        <w:t xml:space="preserve">paneles y los debates en grupo incluirán o serán presididos/moderados por participantes de alto nivel de entre los miembros y la UIT. </w:t>
      </w:r>
      <w:r w:rsidRPr="00AD1979">
        <w:rPr>
          <w:lang w:val="es-ES"/>
        </w:rPr>
        <w:t>Además, es posible que otros participantes de alto nivel deseen grabar mensajes de vídeo para reproducirlos en las salas de reunión y las pantallas repartidas por el recinto de la Conferencia, durante los descansos.</w:t>
      </w:r>
    </w:p>
    <w:p w14:paraId="487326BF" w14:textId="7A25169A" w:rsidR="000D0655" w:rsidRPr="000D0655" w:rsidRDefault="000D0655" w:rsidP="00877386">
      <w:r>
        <w:t>6.4</w:t>
      </w:r>
      <w:r>
        <w:tab/>
      </w:r>
      <w:r w:rsidRPr="000D0655">
        <w:t xml:space="preserve">Con </w:t>
      </w:r>
      <w:r w:rsidRPr="000D0655">
        <w:rPr>
          <w:lang w:val="es-ES"/>
        </w:rPr>
        <w:t>la</w:t>
      </w:r>
      <w:r w:rsidRPr="000D0655">
        <w:t xml:space="preserve"> organización de la </w:t>
      </w:r>
      <w:r w:rsidR="008E70AB">
        <w:t>m</w:t>
      </w:r>
      <w:r w:rsidRPr="000D0655">
        <w:t xml:space="preserve">esa redonda de </w:t>
      </w:r>
      <w:r w:rsidR="008E70AB">
        <w:t>d</w:t>
      </w:r>
      <w:r w:rsidRPr="000D0655">
        <w:t xml:space="preserve">esarrollo </w:t>
      </w:r>
      <w:r w:rsidR="008E70AB">
        <w:t>d</w:t>
      </w:r>
      <w:r w:rsidRPr="000D0655">
        <w:t>igital de Partner2Connect, se prevé obtener los siguientes resultados:</w:t>
      </w:r>
    </w:p>
    <w:p w14:paraId="04A238B2" w14:textId="77777777" w:rsidR="000D0655" w:rsidRPr="000D0655" w:rsidRDefault="000D0655" w:rsidP="00877386">
      <w:pPr>
        <w:pStyle w:val="enumlev1"/>
      </w:pPr>
      <w:bookmarkStart w:id="31" w:name="_Hlk85453312"/>
      <w:r w:rsidRPr="000D0655">
        <w:t>–</w:t>
      </w:r>
      <w:r w:rsidRPr="000D0655">
        <w:tab/>
        <w:t>promesas sustanciales para colmar la brecha digital, incluidas promesas financieras, programáticas, políticas y de promoción;</w:t>
      </w:r>
    </w:p>
    <w:bookmarkEnd w:id="31"/>
    <w:p w14:paraId="2474283C" w14:textId="5E65A6D4" w:rsidR="00CD223A" w:rsidRPr="009C4E68" w:rsidRDefault="000D0655" w:rsidP="00877386">
      <w:pPr>
        <w:pStyle w:val="enumlev1"/>
        <w:rPr>
          <w:lang w:val="es-ES"/>
        </w:rPr>
      </w:pPr>
      <w:r w:rsidRPr="000D0655">
        <w:t>–</w:t>
      </w:r>
      <w:r w:rsidRPr="000D0655">
        <w:tab/>
        <w:t>actividades de seguimiento tras la CMDT, entre ellas la elaboración periódica de informes sobre los compromisos suscritos por los miembros de la coalición y los efectos conseguidos.</w:t>
      </w:r>
    </w:p>
    <w:p w14:paraId="766D51A2" w14:textId="099A27C5" w:rsidR="00AD1979" w:rsidRDefault="00AD1979" w:rsidP="00AD1979">
      <w:pPr>
        <w:rPr>
          <w:lang w:val="es-ES"/>
        </w:rPr>
      </w:pPr>
      <w:r w:rsidRPr="00AD1979">
        <w:rPr>
          <w:lang w:val="es-ES"/>
        </w:rPr>
        <w:t>Se puede obtener información adicional en los Documentos</w:t>
      </w:r>
      <w:r w:rsidR="008D3A9F">
        <w:rPr>
          <w:lang w:val="es-ES"/>
        </w:rPr>
        <w:t> </w:t>
      </w:r>
      <w:hyperlink r:id="rId57" w:history="1">
        <w:r w:rsidRPr="00AD1979">
          <w:rPr>
            <w:rStyle w:val="Hyperlink"/>
            <w:lang w:val="es-ES"/>
          </w:rPr>
          <w:t>TDAG-21/19</w:t>
        </w:r>
      </w:hyperlink>
      <w:r w:rsidRPr="00AD1979">
        <w:rPr>
          <w:lang w:val="es-ES"/>
        </w:rPr>
        <w:t xml:space="preserve"> y </w:t>
      </w:r>
      <w:hyperlink r:id="rId58" w:history="1">
        <w:r w:rsidRPr="00AD1979">
          <w:rPr>
            <w:rStyle w:val="Hyperlink"/>
            <w:lang w:val="es-ES"/>
          </w:rPr>
          <w:t>TDAG-21/2/15</w:t>
        </w:r>
      </w:hyperlink>
      <w:r w:rsidRPr="00AD1979">
        <w:rPr>
          <w:lang w:val="es-ES"/>
        </w:rPr>
        <w:t>.</w:t>
      </w:r>
    </w:p>
    <w:p w14:paraId="24D74B5B" w14:textId="159B0075" w:rsidR="00E106F7" w:rsidRPr="00AD1979" w:rsidRDefault="00E106F7" w:rsidP="00AD1979">
      <w:pPr>
        <w:rPr>
          <w:lang w:val="es-ES"/>
        </w:rPr>
      </w:pPr>
      <w:r w:rsidRPr="00AD1979">
        <w:rPr>
          <w:lang w:val="es-ES"/>
        </w:rPr>
        <w:br w:type="page"/>
      </w:r>
    </w:p>
    <w:p w14:paraId="12DBFF12" w14:textId="23053116" w:rsidR="00E106F7" w:rsidRPr="005555F6" w:rsidRDefault="006449EB" w:rsidP="00987C0E">
      <w:pPr>
        <w:pStyle w:val="AnnexNo"/>
        <w:rPr>
          <w:lang w:val="es-ES"/>
        </w:rPr>
      </w:pPr>
      <w:r>
        <w:rPr>
          <w:lang w:val="es-ES"/>
        </w:rPr>
        <w:lastRenderedPageBreak/>
        <w:t>ANEXO</w:t>
      </w:r>
    </w:p>
    <w:p w14:paraId="1CD518E7" w14:textId="0ECABC94" w:rsidR="00E106F7" w:rsidRPr="005555F6" w:rsidRDefault="006449EB" w:rsidP="00D37A01">
      <w:pPr>
        <w:pStyle w:val="Annextitle"/>
        <w:rPr>
          <w:lang w:val="es-ES"/>
        </w:rPr>
      </w:pPr>
      <w:r>
        <w:rPr>
          <w:lang w:val="es-ES"/>
        </w:rPr>
        <w:t>Proyecto del orden del día de la CMDT</w:t>
      </w:r>
    </w:p>
    <w:p w14:paraId="6B482C71" w14:textId="005932CB" w:rsidR="00E106F7" w:rsidRPr="00E106F7" w:rsidRDefault="00E106F7" w:rsidP="00A24EB7">
      <w:pPr>
        <w:pStyle w:val="Headingb"/>
        <w:rPr>
          <w:lang w:eastAsia="zh-CN"/>
        </w:rPr>
      </w:pPr>
      <w:r w:rsidRPr="00E106F7">
        <w:rPr>
          <w:lang w:eastAsia="zh-CN"/>
        </w:rPr>
        <w:t>I</w:t>
      </w:r>
      <w:r w:rsidR="00A24EB7">
        <w:rPr>
          <w:lang w:eastAsia="zh-CN"/>
        </w:rPr>
        <w:t>)</w:t>
      </w:r>
      <w:r w:rsidRPr="00E106F7">
        <w:rPr>
          <w:lang w:eastAsia="zh-CN"/>
        </w:rPr>
        <w:tab/>
        <w:t>Informe sobre la implementación del Plan de Acción de Buenos Aires</w:t>
      </w:r>
    </w:p>
    <w:p w14:paraId="4ADDEDA7" w14:textId="511288D5" w:rsidR="00E106F7" w:rsidRPr="00E106F7" w:rsidRDefault="00E106F7" w:rsidP="00570399">
      <w:pPr>
        <w:pStyle w:val="enumlev1"/>
        <w:rPr>
          <w:lang w:eastAsia="zh-CN"/>
        </w:rPr>
      </w:pPr>
      <w:r w:rsidRPr="00E106F7">
        <w:rPr>
          <w:lang w:eastAsia="zh-CN"/>
        </w:rPr>
        <w:t>1</w:t>
      </w:r>
      <w:r w:rsidR="00A24EB7">
        <w:rPr>
          <w:lang w:eastAsia="zh-CN"/>
        </w:rPr>
        <w:t>)</w:t>
      </w:r>
      <w:r w:rsidRPr="00E106F7">
        <w:rPr>
          <w:lang w:eastAsia="zh-CN"/>
        </w:rPr>
        <w:tab/>
        <w:t xml:space="preserve">Información actualizada sobre la transformación digital mundial e información relativa a la ejecución del Plan de Acción de Buenos Aires de la CMDT-17 (incluidas las </w:t>
      </w:r>
      <w:r w:rsidR="00570399">
        <w:rPr>
          <w:lang w:eastAsia="zh-CN"/>
        </w:rPr>
        <w:t>i</w:t>
      </w:r>
      <w:r w:rsidRPr="00E106F7">
        <w:rPr>
          <w:lang w:eastAsia="zh-CN"/>
        </w:rPr>
        <w:t xml:space="preserve">niciativas </w:t>
      </w:r>
      <w:r w:rsidR="00570399">
        <w:rPr>
          <w:lang w:eastAsia="zh-CN"/>
        </w:rPr>
        <w:t>r</w:t>
      </w:r>
      <w:r w:rsidRPr="00E106F7">
        <w:rPr>
          <w:lang w:eastAsia="zh-CN"/>
        </w:rPr>
        <w:t>egionales), y contribución a la implementación del Plan de Acción de la CMSI y los Objetivos de Desarrollo Sostenible (ODS)</w:t>
      </w:r>
    </w:p>
    <w:p w14:paraId="3EF2EA39" w14:textId="4F1824FA" w:rsidR="00E106F7" w:rsidRPr="00E106F7" w:rsidRDefault="00E106F7" w:rsidP="00570399">
      <w:pPr>
        <w:pStyle w:val="enumlev1"/>
        <w:rPr>
          <w:lang w:eastAsia="zh-CN"/>
        </w:rPr>
      </w:pPr>
      <w:r w:rsidRPr="00E106F7">
        <w:rPr>
          <w:lang w:eastAsia="zh-CN"/>
        </w:rPr>
        <w:t>2</w:t>
      </w:r>
      <w:r w:rsidR="00A24EB7">
        <w:rPr>
          <w:lang w:eastAsia="zh-CN"/>
        </w:rPr>
        <w:t>)</w:t>
      </w:r>
      <w:r w:rsidRPr="00E106F7">
        <w:rPr>
          <w:lang w:eastAsia="zh-CN"/>
        </w:rPr>
        <w:tab/>
        <w:t xml:space="preserve">Informe </w:t>
      </w:r>
      <w:r w:rsidRPr="00F020D9">
        <w:t>del</w:t>
      </w:r>
      <w:r w:rsidRPr="00E106F7">
        <w:rPr>
          <w:lang w:eastAsia="zh-CN"/>
        </w:rPr>
        <w:t xml:space="preserve"> Grupo Asesor de Desarrollo de las Telecomunicaciones</w:t>
      </w:r>
    </w:p>
    <w:p w14:paraId="08105C49" w14:textId="6C4F5D3D" w:rsidR="00E106F7" w:rsidRPr="00E106F7" w:rsidRDefault="00E106F7" w:rsidP="00570399">
      <w:pPr>
        <w:pStyle w:val="enumlev1"/>
        <w:rPr>
          <w:lang w:eastAsia="zh-CN"/>
        </w:rPr>
      </w:pPr>
      <w:r w:rsidRPr="00E106F7">
        <w:rPr>
          <w:lang w:eastAsia="zh-CN"/>
        </w:rPr>
        <w:t>3</w:t>
      </w:r>
      <w:r w:rsidR="00A24EB7">
        <w:rPr>
          <w:lang w:eastAsia="zh-CN"/>
        </w:rPr>
        <w:t>)</w:t>
      </w:r>
      <w:r w:rsidRPr="00E106F7">
        <w:rPr>
          <w:lang w:eastAsia="zh-CN"/>
        </w:rPr>
        <w:tab/>
        <w:t xml:space="preserve">Informe </w:t>
      </w:r>
      <w:r w:rsidRPr="00F020D9">
        <w:t>de</w:t>
      </w:r>
      <w:r w:rsidRPr="00E106F7">
        <w:rPr>
          <w:lang w:eastAsia="zh-CN"/>
        </w:rPr>
        <w:t xml:space="preserve"> las Comisiones de Estudio</w:t>
      </w:r>
    </w:p>
    <w:p w14:paraId="76B10C3F" w14:textId="3BB8E5DF" w:rsidR="00E106F7" w:rsidRPr="00E106F7" w:rsidRDefault="00E106F7" w:rsidP="00570399">
      <w:pPr>
        <w:pStyle w:val="enumlev1"/>
        <w:rPr>
          <w:lang w:eastAsia="zh-CN"/>
        </w:rPr>
      </w:pPr>
      <w:r w:rsidRPr="00E106F7">
        <w:rPr>
          <w:lang w:eastAsia="zh-CN"/>
        </w:rPr>
        <w:t>4</w:t>
      </w:r>
      <w:r w:rsidR="00A24EB7">
        <w:rPr>
          <w:lang w:eastAsia="zh-CN"/>
        </w:rPr>
        <w:t>)</w:t>
      </w:r>
      <w:r w:rsidRPr="00E106F7">
        <w:rPr>
          <w:lang w:eastAsia="zh-CN"/>
        </w:rPr>
        <w:tab/>
        <w:t xml:space="preserve">Informe sobre la implementación de los resultados de otras Conferencias, Asambleas y </w:t>
      </w:r>
      <w:r w:rsidRPr="00F020D9">
        <w:t>reuniones</w:t>
      </w:r>
      <w:r w:rsidRPr="00E106F7">
        <w:rPr>
          <w:lang w:eastAsia="zh-CN"/>
        </w:rPr>
        <w:t xml:space="preserve"> de la UIT relacionados con las labores del UIT-D:</w:t>
      </w:r>
    </w:p>
    <w:p w14:paraId="012FC1C7" w14:textId="14F6639D" w:rsidR="00E106F7" w:rsidRPr="00E106F7" w:rsidRDefault="00E106F7" w:rsidP="00570399">
      <w:pPr>
        <w:pStyle w:val="enumlev2"/>
        <w:rPr>
          <w:lang w:eastAsia="zh-CN"/>
        </w:rPr>
      </w:pPr>
      <w:r w:rsidRPr="00E106F7">
        <w:rPr>
          <w:lang w:eastAsia="zh-CN"/>
        </w:rPr>
        <w:t>a)</w:t>
      </w:r>
      <w:r w:rsidRPr="00E106F7">
        <w:rPr>
          <w:lang w:eastAsia="zh-CN"/>
        </w:rPr>
        <w:tab/>
        <w:t>Conferencia de Plenipotenciarios (PP-18)</w:t>
      </w:r>
    </w:p>
    <w:p w14:paraId="2029B08F" w14:textId="4B5847EA" w:rsidR="00E106F7" w:rsidRPr="00E106F7" w:rsidRDefault="00E106F7" w:rsidP="00570399">
      <w:pPr>
        <w:pStyle w:val="enumlev2"/>
        <w:rPr>
          <w:lang w:eastAsia="zh-CN"/>
        </w:rPr>
      </w:pPr>
      <w:r w:rsidRPr="00E106F7">
        <w:rPr>
          <w:lang w:eastAsia="zh-CN"/>
        </w:rPr>
        <w:t>b)</w:t>
      </w:r>
      <w:r w:rsidRPr="00E106F7">
        <w:rPr>
          <w:lang w:eastAsia="zh-CN"/>
        </w:rPr>
        <w:tab/>
        <w:t xml:space="preserve">Asamblea de Radiocomunicaciones (AR-19)/Conferencia Mundial de </w:t>
      </w:r>
      <w:r w:rsidRPr="00F020D9">
        <w:t>Radiocomunicaciones</w:t>
      </w:r>
      <w:r w:rsidRPr="00E106F7">
        <w:rPr>
          <w:lang w:eastAsia="zh-CN"/>
        </w:rPr>
        <w:t xml:space="preserve"> (CMR-19)</w:t>
      </w:r>
    </w:p>
    <w:p w14:paraId="7A671971" w14:textId="14CBB999" w:rsidR="00E106F7" w:rsidRPr="00E106F7" w:rsidRDefault="00E106F7" w:rsidP="00570399">
      <w:pPr>
        <w:pStyle w:val="enumlev2"/>
        <w:rPr>
          <w:lang w:eastAsia="zh-CN"/>
        </w:rPr>
      </w:pPr>
      <w:r w:rsidRPr="00E106F7">
        <w:rPr>
          <w:lang w:eastAsia="zh-CN"/>
        </w:rPr>
        <w:t>c)</w:t>
      </w:r>
      <w:r w:rsidRPr="00E106F7">
        <w:rPr>
          <w:lang w:eastAsia="zh-CN"/>
        </w:rPr>
        <w:tab/>
        <w:t xml:space="preserve">Asamblea </w:t>
      </w:r>
      <w:r w:rsidRPr="00F020D9">
        <w:t>Mundial</w:t>
      </w:r>
      <w:r w:rsidRPr="00E106F7">
        <w:rPr>
          <w:lang w:eastAsia="zh-CN"/>
        </w:rPr>
        <w:t xml:space="preserve"> de Normalización de las Telecomunicaciones (AMNT-20)</w:t>
      </w:r>
    </w:p>
    <w:p w14:paraId="6047F1EE" w14:textId="7C6BDD37" w:rsidR="00E106F7" w:rsidRPr="00E106F7" w:rsidRDefault="00E106F7" w:rsidP="00A24EB7">
      <w:pPr>
        <w:pStyle w:val="Headingb"/>
        <w:rPr>
          <w:lang w:eastAsia="zh-CN"/>
        </w:rPr>
      </w:pPr>
      <w:r w:rsidRPr="00E106F7">
        <w:rPr>
          <w:lang w:eastAsia="zh-CN"/>
        </w:rPr>
        <w:t>II</w:t>
      </w:r>
      <w:r w:rsidR="00A24EB7">
        <w:rPr>
          <w:lang w:eastAsia="zh-CN"/>
        </w:rPr>
        <w:t>)</w:t>
      </w:r>
      <w:r w:rsidRPr="00E106F7">
        <w:rPr>
          <w:lang w:eastAsia="zh-CN"/>
        </w:rPr>
        <w:tab/>
        <w:t>Plan de trabajo del UIT-D para 2022-2025</w:t>
      </w:r>
    </w:p>
    <w:p w14:paraId="43193305" w14:textId="3F576777" w:rsidR="00E106F7" w:rsidRPr="00AD1979" w:rsidRDefault="00E106F7" w:rsidP="00270F50">
      <w:pPr>
        <w:pStyle w:val="enumlev1"/>
        <w:rPr>
          <w:lang w:eastAsia="zh-CN"/>
        </w:rPr>
      </w:pPr>
      <w:r w:rsidRPr="00AD1979">
        <w:rPr>
          <w:lang w:eastAsia="zh-CN"/>
        </w:rPr>
        <w:t>5</w:t>
      </w:r>
      <w:r w:rsidR="00A24EB7">
        <w:rPr>
          <w:lang w:eastAsia="zh-CN"/>
        </w:rPr>
        <w:t>)</w:t>
      </w:r>
      <w:r w:rsidRPr="00AD1979">
        <w:rPr>
          <w:lang w:eastAsia="zh-CN"/>
        </w:rPr>
        <w:tab/>
      </w:r>
      <w:r w:rsidRPr="00E106F7">
        <w:rPr>
          <w:lang w:eastAsia="zh-CN"/>
        </w:rPr>
        <w:t>Resultados</w:t>
      </w:r>
      <w:r w:rsidRPr="00AD1979">
        <w:rPr>
          <w:lang w:eastAsia="zh-CN"/>
        </w:rPr>
        <w:t xml:space="preserve"> de las Reuniones Preparatorias Regionales para la CMDT</w:t>
      </w:r>
    </w:p>
    <w:p w14:paraId="38C70E73" w14:textId="172916B3" w:rsidR="00E106F7" w:rsidRPr="00AD1979" w:rsidRDefault="00E106F7" w:rsidP="00270F50">
      <w:pPr>
        <w:pStyle w:val="enumlev1"/>
        <w:rPr>
          <w:lang w:eastAsia="zh-CN"/>
        </w:rPr>
      </w:pPr>
      <w:r w:rsidRPr="00AD1979">
        <w:rPr>
          <w:lang w:eastAsia="zh-CN"/>
        </w:rPr>
        <w:t>6</w:t>
      </w:r>
      <w:r w:rsidR="00A24EB7">
        <w:rPr>
          <w:lang w:eastAsia="zh-CN"/>
        </w:rPr>
        <w:t>)</w:t>
      </w:r>
      <w:r w:rsidRPr="00AD1979">
        <w:rPr>
          <w:lang w:eastAsia="zh-CN"/>
        </w:rPr>
        <w:tab/>
      </w:r>
      <w:r w:rsidRPr="00E106F7">
        <w:rPr>
          <w:lang w:eastAsia="zh-CN"/>
        </w:rPr>
        <w:t>Contribución</w:t>
      </w:r>
      <w:r w:rsidRPr="00AD1979">
        <w:rPr>
          <w:lang w:eastAsia="zh-CN"/>
        </w:rPr>
        <w:t xml:space="preserve"> del UIT-D al Plan Estratégico de la UIT para 2024-2027</w:t>
      </w:r>
    </w:p>
    <w:p w14:paraId="47821E21" w14:textId="1E589C08" w:rsidR="00E106F7" w:rsidRPr="00AD1979" w:rsidRDefault="00E106F7" w:rsidP="00270F50">
      <w:pPr>
        <w:pStyle w:val="enumlev1"/>
        <w:rPr>
          <w:lang w:eastAsia="zh-CN"/>
        </w:rPr>
      </w:pPr>
      <w:r w:rsidRPr="00AD1979">
        <w:rPr>
          <w:lang w:eastAsia="zh-CN"/>
        </w:rPr>
        <w:t>7</w:t>
      </w:r>
      <w:r w:rsidR="00A24EB7">
        <w:rPr>
          <w:lang w:eastAsia="zh-CN"/>
        </w:rPr>
        <w:t>)</w:t>
      </w:r>
      <w:r w:rsidRPr="00AD1979">
        <w:rPr>
          <w:lang w:eastAsia="zh-CN"/>
        </w:rPr>
        <w:tab/>
      </w:r>
      <w:r w:rsidRPr="00E106F7">
        <w:rPr>
          <w:lang w:eastAsia="zh-CN"/>
        </w:rPr>
        <w:t>Prioridades</w:t>
      </w:r>
      <w:r w:rsidRPr="00AD1979">
        <w:rPr>
          <w:lang w:eastAsia="zh-CN"/>
        </w:rPr>
        <w:t xml:space="preserve"> temáticas del UIT-D</w:t>
      </w:r>
    </w:p>
    <w:p w14:paraId="65CAB559" w14:textId="4866B1ED" w:rsidR="00E106F7" w:rsidRPr="00AD1979" w:rsidRDefault="00E106F7" w:rsidP="00270F50">
      <w:pPr>
        <w:pStyle w:val="enumlev1"/>
        <w:rPr>
          <w:lang w:eastAsia="zh-CN"/>
        </w:rPr>
      </w:pPr>
      <w:r w:rsidRPr="00AD1979">
        <w:rPr>
          <w:lang w:eastAsia="zh-CN"/>
        </w:rPr>
        <w:t>8</w:t>
      </w:r>
      <w:r w:rsidR="00A24EB7">
        <w:rPr>
          <w:lang w:eastAsia="zh-CN"/>
        </w:rPr>
        <w:t>)</w:t>
      </w:r>
      <w:r w:rsidRPr="00AD1979">
        <w:rPr>
          <w:lang w:eastAsia="zh-CN"/>
        </w:rPr>
        <w:tab/>
        <w:t>Plan de Acción del UIT-D para 2022-2025</w:t>
      </w:r>
    </w:p>
    <w:p w14:paraId="2C9BFD9C" w14:textId="4D967349" w:rsidR="00E106F7" w:rsidRPr="00AD1979" w:rsidRDefault="00E106F7" w:rsidP="00270F50">
      <w:pPr>
        <w:pStyle w:val="enumlev1"/>
        <w:rPr>
          <w:lang w:eastAsia="zh-CN"/>
        </w:rPr>
      </w:pPr>
      <w:r w:rsidRPr="00AD1979">
        <w:rPr>
          <w:lang w:eastAsia="zh-CN"/>
        </w:rPr>
        <w:t>9</w:t>
      </w:r>
      <w:r w:rsidR="00A24EB7">
        <w:rPr>
          <w:lang w:eastAsia="zh-CN"/>
        </w:rPr>
        <w:t>)</w:t>
      </w:r>
      <w:r w:rsidRPr="00AD1979">
        <w:rPr>
          <w:lang w:eastAsia="zh-CN"/>
        </w:rPr>
        <w:tab/>
      </w:r>
      <w:r w:rsidRPr="00E106F7">
        <w:rPr>
          <w:lang w:eastAsia="zh-CN"/>
        </w:rPr>
        <w:t>Declaración</w:t>
      </w:r>
      <w:r w:rsidRPr="00AD1979">
        <w:rPr>
          <w:lang w:eastAsia="zh-CN"/>
        </w:rPr>
        <w:t xml:space="preserve"> de </w:t>
      </w:r>
      <w:r w:rsidR="00E139CB">
        <w:rPr>
          <w:lang w:eastAsia="zh-CN"/>
        </w:rPr>
        <w:t>la CMDT</w:t>
      </w:r>
    </w:p>
    <w:p w14:paraId="775D212F" w14:textId="6359F9C9" w:rsidR="00E106F7" w:rsidRPr="00AD1979" w:rsidRDefault="00E106F7" w:rsidP="00270F50">
      <w:pPr>
        <w:pStyle w:val="enumlev1"/>
        <w:rPr>
          <w:lang w:eastAsia="zh-CN"/>
        </w:rPr>
      </w:pPr>
      <w:r w:rsidRPr="00AD1979">
        <w:rPr>
          <w:lang w:eastAsia="zh-CN"/>
        </w:rPr>
        <w:t>10</w:t>
      </w:r>
      <w:r w:rsidR="00A24EB7">
        <w:rPr>
          <w:lang w:eastAsia="zh-CN"/>
        </w:rPr>
        <w:t>)</w:t>
      </w:r>
      <w:r w:rsidRPr="00AD1979">
        <w:rPr>
          <w:lang w:eastAsia="zh-CN"/>
        </w:rPr>
        <w:tab/>
        <w:t xml:space="preserve">Grupo </w:t>
      </w:r>
      <w:r w:rsidRPr="00E106F7">
        <w:rPr>
          <w:lang w:eastAsia="zh-CN"/>
        </w:rPr>
        <w:t>Asesor</w:t>
      </w:r>
      <w:r w:rsidRPr="00AD1979">
        <w:rPr>
          <w:lang w:eastAsia="zh-CN"/>
        </w:rPr>
        <w:t xml:space="preserve"> de Desarrollo de las Telecomunicaciones</w:t>
      </w:r>
      <w:r w:rsidR="00570399">
        <w:rPr>
          <w:lang w:eastAsia="zh-CN"/>
        </w:rPr>
        <w:t>:</w:t>
      </w:r>
    </w:p>
    <w:p w14:paraId="4ACF0E45" w14:textId="6A779A94" w:rsidR="00E106F7" w:rsidRPr="00AD1979" w:rsidRDefault="00E106F7" w:rsidP="00270F50">
      <w:pPr>
        <w:pStyle w:val="enumlev2"/>
        <w:rPr>
          <w:lang w:eastAsia="zh-CN"/>
        </w:rPr>
      </w:pPr>
      <w:r w:rsidRPr="00AD1979">
        <w:rPr>
          <w:lang w:eastAsia="zh-CN"/>
        </w:rPr>
        <w:t>a)</w:t>
      </w:r>
      <w:r w:rsidRPr="00AD1979">
        <w:rPr>
          <w:lang w:eastAsia="zh-CN"/>
        </w:rPr>
        <w:tab/>
      </w:r>
      <w:r w:rsidRPr="00E106F7">
        <w:rPr>
          <w:lang w:eastAsia="zh-CN"/>
        </w:rPr>
        <w:t>Autorización</w:t>
      </w:r>
      <w:r w:rsidRPr="00AD1979">
        <w:rPr>
          <w:lang w:eastAsia="zh-CN"/>
        </w:rPr>
        <w:t xml:space="preserve"> para que el Grupo Asesor de Desarrollo de las Telecomunicaciones actúe en el periodo entre Conferencias Mundiales de Desarrollo de las Telecomunicaciones (Resolución 24, Rev. Dubái, 2014)</w:t>
      </w:r>
    </w:p>
    <w:p w14:paraId="04635333" w14:textId="0972055F" w:rsidR="00E106F7" w:rsidRPr="00AD1979" w:rsidRDefault="00E106F7" w:rsidP="00270F50">
      <w:pPr>
        <w:pStyle w:val="enumlev2"/>
        <w:rPr>
          <w:lang w:eastAsia="zh-CN"/>
        </w:rPr>
      </w:pPr>
      <w:r w:rsidRPr="00AD1979">
        <w:rPr>
          <w:lang w:eastAsia="zh-CN"/>
        </w:rPr>
        <w:t>b)</w:t>
      </w:r>
      <w:r w:rsidRPr="00AD1979">
        <w:rPr>
          <w:lang w:eastAsia="zh-CN"/>
        </w:rPr>
        <w:tab/>
      </w:r>
      <w:r w:rsidRPr="00E106F7">
        <w:rPr>
          <w:lang w:eastAsia="zh-CN"/>
        </w:rPr>
        <w:t>Estructura</w:t>
      </w:r>
      <w:r w:rsidRPr="00AD1979">
        <w:rPr>
          <w:lang w:eastAsia="zh-CN"/>
        </w:rPr>
        <w:t xml:space="preserve"> y métodos de trabajo</w:t>
      </w:r>
    </w:p>
    <w:p w14:paraId="717B6EBE" w14:textId="0DD08CE2" w:rsidR="00E106F7" w:rsidRPr="00AD1979" w:rsidRDefault="00E106F7" w:rsidP="00270F50">
      <w:pPr>
        <w:pStyle w:val="enumlev1"/>
        <w:rPr>
          <w:lang w:eastAsia="zh-CN"/>
        </w:rPr>
      </w:pPr>
      <w:r w:rsidRPr="00AD1979">
        <w:rPr>
          <w:lang w:eastAsia="zh-CN"/>
        </w:rPr>
        <w:t>11</w:t>
      </w:r>
      <w:r w:rsidR="00A24EB7">
        <w:rPr>
          <w:lang w:eastAsia="zh-CN"/>
        </w:rPr>
        <w:t>)</w:t>
      </w:r>
      <w:r w:rsidRPr="00AD1979">
        <w:rPr>
          <w:lang w:eastAsia="zh-CN"/>
        </w:rPr>
        <w:tab/>
      </w:r>
      <w:r w:rsidRPr="00E106F7">
        <w:rPr>
          <w:lang w:eastAsia="zh-CN"/>
        </w:rPr>
        <w:t>Comisiones</w:t>
      </w:r>
      <w:r w:rsidRPr="00AD1979">
        <w:rPr>
          <w:lang w:eastAsia="zh-CN"/>
        </w:rPr>
        <w:t xml:space="preserve"> de Estudio</w:t>
      </w:r>
      <w:r w:rsidR="00570399">
        <w:rPr>
          <w:lang w:eastAsia="zh-CN"/>
        </w:rPr>
        <w:t>:</w:t>
      </w:r>
    </w:p>
    <w:p w14:paraId="2754571A" w14:textId="02AF37CA" w:rsidR="00E106F7" w:rsidRPr="00E106F7" w:rsidRDefault="00E106F7" w:rsidP="00326141">
      <w:pPr>
        <w:pStyle w:val="enumlev2"/>
        <w:rPr>
          <w:lang w:eastAsia="zh-CN"/>
        </w:rPr>
      </w:pPr>
      <w:r w:rsidRPr="00E106F7">
        <w:rPr>
          <w:lang w:eastAsia="zh-CN"/>
        </w:rPr>
        <w:t>a)</w:t>
      </w:r>
      <w:r w:rsidRPr="00E106F7">
        <w:rPr>
          <w:lang w:eastAsia="zh-CN"/>
        </w:rPr>
        <w:tab/>
        <w:t xml:space="preserve">Cuestiones </w:t>
      </w:r>
      <w:r w:rsidRPr="00326141">
        <w:t>de</w:t>
      </w:r>
      <w:r w:rsidRPr="00E106F7">
        <w:rPr>
          <w:lang w:eastAsia="zh-CN"/>
        </w:rPr>
        <w:t xml:space="preserve"> estudio</w:t>
      </w:r>
    </w:p>
    <w:p w14:paraId="699E3F75" w14:textId="5798C87A" w:rsidR="00E106F7" w:rsidRPr="00E106F7" w:rsidRDefault="00E106F7" w:rsidP="00270F50">
      <w:pPr>
        <w:pStyle w:val="enumlev2"/>
        <w:rPr>
          <w:rFonts w:cs="Calibri"/>
          <w:color w:val="000000"/>
          <w:szCs w:val="24"/>
          <w:lang w:eastAsia="zh-CN"/>
        </w:rPr>
      </w:pPr>
      <w:r w:rsidRPr="00E106F7">
        <w:rPr>
          <w:rFonts w:cs="Calibri"/>
          <w:color w:val="000000"/>
          <w:szCs w:val="24"/>
          <w:lang w:eastAsia="zh-CN"/>
        </w:rPr>
        <w:t>b)</w:t>
      </w:r>
      <w:r w:rsidRPr="00E106F7">
        <w:rPr>
          <w:rFonts w:cs="Calibri"/>
          <w:color w:val="000000"/>
          <w:szCs w:val="24"/>
          <w:lang w:eastAsia="zh-CN"/>
        </w:rPr>
        <w:tab/>
      </w:r>
      <w:r w:rsidRPr="00E106F7">
        <w:rPr>
          <w:lang w:eastAsia="zh-CN"/>
        </w:rPr>
        <w:t>Estructura</w:t>
      </w:r>
      <w:r w:rsidRPr="00E106F7">
        <w:rPr>
          <w:rFonts w:cs="Calibri"/>
          <w:color w:val="000000"/>
          <w:szCs w:val="24"/>
          <w:lang w:eastAsia="zh-CN"/>
        </w:rPr>
        <w:t xml:space="preserve"> y métodos de trabajo</w:t>
      </w:r>
    </w:p>
    <w:p w14:paraId="76F5627D" w14:textId="14B96D0E" w:rsidR="00E106F7" w:rsidRPr="00E106F7" w:rsidRDefault="00E106F7" w:rsidP="00326141">
      <w:pPr>
        <w:pStyle w:val="enumlev1"/>
        <w:rPr>
          <w:lang w:eastAsia="zh-CN"/>
        </w:rPr>
      </w:pPr>
      <w:r w:rsidRPr="00E106F7">
        <w:rPr>
          <w:lang w:eastAsia="zh-CN"/>
        </w:rPr>
        <w:t>12</w:t>
      </w:r>
      <w:r w:rsidR="00A24EB7">
        <w:rPr>
          <w:lang w:eastAsia="zh-CN"/>
        </w:rPr>
        <w:t>)</w:t>
      </w:r>
      <w:r w:rsidRPr="00E106F7">
        <w:rPr>
          <w:lang w:eastAsia="zh-CN"/>
        </w:rPr>
        <w:tab/>
        <w:t xml:space="preserve">Resoluciones y </w:t>
      </w:r>
      <w:r w:rsidR="00570399" w:rsidRPr="00E106F7">
        <w:rPr>
          <w:lang w:eastAsia="zh-CN"/>
        </w:rPr>
        <w:t>Recomendaciones</w:t>
      </w:r>
    </w:p>
    <w:p w14:paraId="3ED04055" w14:textId="346B3C5C" w:rsidR="00E106F7" w:rsidRPr="00E106F7" w:rsidRDefault="00E106F7" w:rsidP="00A24EB7">
      <w:pPr>
        <w:pStyle w:val="Headingb"/>
        <w:rPr>
          <w:lang w:eastAsia="zh-CN"/>
        </w:rPr>
      </w:pPr>
      <w:r w:rsidRPr="00E106F7">
        <w:rPr>
          <w:lang w:eastAsia="zh-CN"/>
        </w:rPr>
        <w:t>III</w:t>
      </w:r>
      <w:r w:rsidR="00A24EB7">
        <w:rPr>
          <w:lang w:eastAsia="zh-CN"/>
        </w:rPr>
        <w:t>)</w:t>
      </w:r>
      <w:r w:rsidRPr="00E106F7">
        <w:rPr>
          <w:lang w:eastAsia="zh-CN"/>
        </w:rPr>
        <w:tab/>
        <w:t>Socio de la Connect Digital Coalition (P2C) – no reglamentario</w:t>
      </w:r>
    </w:p>
    <w:p w14:paraId="5640DE82" w14:textId="62F5B504" w:rsidR="00E106F7" w:rsidRPr="00D57F9D" w:rsidRDefault="00E106F7" w:rsidP="00D37A01">
      <w:pPr>
        <w:pStyle w:val="enumlev1"/>
      </w:pPr>
      <w:r w:rsidRPr="00D37A01">
        <w:t>13</w:t>
      </w:r>
      <w:r w:rsidR="00A24EB7">
        <w:t>)</w:t>
      </w:r>
      <w:r w:rsidRPr="00D37A01">
        <w:tab/>
        <w:t>Coalición P2C Digital</w:t>
      </w:r>
    </w:p>
    <w:p w14:paraId="4831D5D7" w14:textId="7C66522F" w:rsidR="00E106F7" w:rsidRPr="00D37A01" w:rsidRDefault="00E106F7" w:rsidP="00D37A01">
      <w:pPr>
        <w:pStyle w:val="enumlev1"/>
      </w:pPr>
      <w:r w:rsidRPr="00D37A01">
        <w:t>14</w:t>
      </w:r>
      <w:r w:rsidR="00A24EB7">
        <w:t>)</w:t>
      </w:r>
      <w:r w:rsidRPr="00D37A01">
        <w:tab/>
        <w:t>Otros asuntos</w:t>
      </w:r>
    </w:p>
    <w:p w14:paraId="21A24FC9" w14:textId="3303D2D0" w:rsidR="007955DA" w:rsidRPr="00E139CB" w:rsidRDefault="007955DA" w:rsidP="00086A89">
      <w:pPr>
        <w:pStyle w:val="Reasons"/>
        <w:rPr>
          <w:lang w:val="es-ES"/>
        </w:rPr>
      </w:pPr>
    </w:p>
    <w:p w14:paraId="5BF2454A" w14:textId="77777777" w:rsidR="00086A89" w:rsidRDefault="00086A89">
      <w:pPr>
        <w:jc w:val="center"/>
      </w:pPr>
      <w:r>
        <w:t>______________</w:t>
      </w:r>
    </w:p>
    <w:sectPr w:rsidR="00086A89" w:rsidSect="006710F6">
      <w:headerReference w:type="default" r:id="rId59"/>
      <w:footerReference w:type="default" r:id="rId60"/>
      <w:footerReference w:type="first" r:id="rId6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DB4CA" w14:textId="77777777" w:rsidR="002725EA" w:rsidRDefault="002725EA">
      <w:r>
        <w:separator/>
      </w:r>
    </w:p>
  </w:endnote>
  <w:endnote w:type="continuationSeparator" w:id="0">
    <w:p w14:paraId="40DB2C65" w14:textId="77777777" w:rsidR="002725EA" w:rsidRDefault="0027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E529" w14:textId="08B4F8B1" w:rsidR="00F17E6E" w:rsidRPr="00C53596" w:rsidRDefault="00C53596" w:rsidP="00D77B25">
    <w:pPr>
      <w:pStyle w:val="Footer"/>
      <w:rPr>
        <w:color w:val="F2F2F2" w:themeColor="background1" w:themeShade="F2"/>
        <w:lang w:val="fr-FR"/>
      </w:rPr>
    </w:pPr>
    <w:r w:rsidRPr="00C53596">
      <w:rPr>
        <w:color w:val="F2F2F2" w:themeColor="background1" w:themeShade="F2"/>
      </w:rPr>
      <w:fldChar w:fldCharType="begin"/>
    </w:r>
    <w:r w:rsidRPr="00C53596">
      <w:rPr>
        <w:color w:val="F2F2F2" w:themeColor="background1" w:themeShade="F2"/>
      </w:rPr>
      <w:instrText xml:space="preserve"> FILENAME \p  \* MERGEFORMAT </w:instrText>
    </w:r>
    <w:r w:rsidRPr="00C53596">
      <w:rPr>
        <w:color w:val="F2F2F2" w:themeColor="background1" w:themeShade="F2"/>
      </w:rPr>
      <w:fldChar w:fldCharType="separate"/>
    </w:r>
    <w:r w:rsidR="00D77B25" w:rsidRPr="00C53596">
      <w:rPr>
        <w:color w:val="F2F2F2" w:themeColor="background1" w:themeShade="F2"/>
      </w:rPr>
      <w:t>P:\ESP\SG\CONSEIL\C22\000\030REV1S.docx</w:t>
    </w:r>
    <w:r w:rsidRPr="00C53596">
      <w:rPr>
        <w:color w:val="F2F2F2" w:themeColor="background1" w:themeShade="F2"/>
      </w:rPr>
      <w:fldChar w:fldCharType="end"/>
    </w:r>
    <w:r w:rsidR="00D77B25" w:rsidRPr="00C53596">
      <w:rPr>
        <w:color w:val="F2F2F2" w:themeColor="background1" w:themeShade="F2"/>
      </w:rPr>
      <w:t xml:space="preserve"> (502803)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DC81" w14:textId="77777777" w:rsidR="002725EA" w:rsidRDefault="002725E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DDCD" w14:textId="77777777" w:rsidR="002725EA" w:rsidRDefault="002725EA">
      <w:r>
        <w:t>____________________</w:t>
      </w:r>
    </w:p>
  </w:footnote>
  <w:footnote w:type="continuationSeparator" w:id="0">
    <w:p w14:paraId="4A1A1321" w14:textId="77777777" w:rsidR="002725EA" w:rsidRDefault="0027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3EAA" w14:textId="1F234D3D" w:rsidR="002725EA" w:rsidRDefault="002725EA" w:rsidP="007657F0">
    <w:pPr>
      <w:pStyle w:val="Header"/>
    </w:pPr>
    <w:r>
      <w:fldChar w:fldCharType="begin"/>
    </w:r>
    <w:r>
      <w:instrText>PAGE</w:instrText>
    </w:r>
    <w:r>
      <w:fldChar w:fldCharType="separate"/>
    </w:r>
    <w:r w:rsidR="00282DB1">
      <w:rPr>
        <w:noProof/>
      </w:rPr>
      <w:t>11</w:t>
    </w:r>
    <w:r>
      <w:rPr>
        <w:noProof/>
      </w:rPr>
      <w:fldChar w:fldCharType="end"/>
    </w:r>
  </w:p>
  <w:p w14:paraId="76C5CD28" w14:textId="36BC9DAA" w:rsidR="002725EA" w:rsidRDefault="002725EA" w:rsidP="00C2727F">
    <w:pPr>
      <w:pStyle w:val="Header"/>
    </w:pPr>
    <w:r>
      <w:t>C22/30</w:t>
    </w:r>
    <w:r w:rsidR="00D77B25">
      <w:t>(Rev.1)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1363"/>
        </w:tabs>
        <w:ind w:left="1363"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3A9806D7"/>
    <w:multiLevelType w:val="multilevel"/>
    <w:tmpl w:val="24C0502A"/>
    <w:lvl w:ilvl="0">
      <w:start w:val="1"/>
      <w:numFmt w:val="decimal"/>
      <w:lvlText w:val="%1"/>
      <w:lvlJc w:val="left"/>
      <w:pPr>
        <w:ind w:left="3763" w:hanging="360"/>
      </w:pPr>
      <w:rPr>
        <w:rFonts w:cs="Times New Roman" w:hint="default"/>
      </w:rPr>
    </w:lvl>
    <w:lvl w:ilvl="1">
      <w:start w:val="1"/>
      <w:numFmt w:val="decimal"/>
      <w:lvlText w:val="%1.%2"/>
      <w:lvlJc w:val="left"/>
      <w:pPr>
        <w:ind w:left="3905" w:hanging="360"/>
      </w:pPr>
      <w:rPr>
        <w:rFonts w:cs="Times New Roman" w:hint="default"/>
        <w:i w:val="0"/>
        <w:iCs/>
      </w:rPr>
    </w:lvl>
    <w:lvl w:ilvl="2">
      <w:start w:val="1"/>
      <w:numFmt w:val="decimal"/>
      <w:lvlText w:val="%1.%2.%3"/>
      <w:lvlJc w:val="left"/>
      <w:pPr>
        <w:ind w:left="4123" w:hanging="720"/>
      </w:pPr>
      <w:rPr>
        <w:rFonts w:cs="Times New Roman" w:hint="default"/>
      </w:rPr>
    </w:lvl>
    <w:lvl w:ilvl="3">
      <w:start w:val="1"/>
      <w:numFmt w:val="decimal"/>
      <w:lvlText w:val="%1.%2.%3.%4"/>
      <w:lvlJc w:val="left"/>
      <w:pPr>
        <w:ind w:left="4123" w:hanging="720"/>
      </w:pPr>
      <w:rPr>
        <w:rFonts w:cs="Times New Roman" w:hint="default"/>
      </w:rPr>
    </w:lvl>
    <w:lvl w:ilvl="4">
      <w:start w:val="1"/>
      <w:numFmt w:val="decimal"/>
      <w:lvlText w:val="%1.%2.%3.%4.%5"/>
      <w:lvlJc w:val="left"/>
      <w:pPr>
        <w:ind w:left="4483" w:hanging="1080"/>
      </w:pPr>
      <w:rPr>
        <w:rFonts w:cs="Times New Roman" w:hint="default"/>
      </w:rPr>
    </w:lvl>
    <w:lvl w:ilvl="5">
      <w:start w:val="1"/>
      <w:numFmt w:val="decimal"/>
      <w:lvlText w:val="%1.%2.%3.%4.%5.%6"/>
      <w:lvlJc w:val="left"/>
      <w:pPr>
        <w:ind w:left="4483" w:hanging="1080"/>
      </w:pPr>
      <w:rPr>
        <w:rFonts w:cs="Times New Roman" w:hint="default"/>
      </w:rPr>
    </w:lvl>
    <w:lvl w:ilvl="6">
      <w:start w:val="1"/>
      <w:numFmt w:val="decimal"/>
      <w:lvlText w:val="%1.%2.%3.%4.%5.%6.%7"/>
      <w:lvlJc w:val="left"/>
      <w:pPr>
        <w:ind w:left="4843" w:hanging="1440"/>
      </w:pPr>
      <w:rPr>
        <w:rFonts w:cs="Times New Roman" w:hint="default"/>
      </w:rPr>
    </w:lvl>
    <w:lvl w:ilvl="7">
      <w:start w:val="1"/>
      <w:numFmt w:val="decimal"/>
      <w:lvlText w:val="%1.%2.%3.%4.%5.%6.%7.%8"/>
      <w:lvlJc w:val="left"/>
      <w:pPr>
        <w:ind w:left="4843" w:hanging="1440"/>
      </w:pPr>
      <w:rPr>
        <w:rFonts w:cs="Times New Roman" w:hint="default"/>
      </w:rPr>
    </w:lvl>
    <w:lvl w:ilvl="8">
      <w:start w:val="1"/>
      <w:numFmt w:val="decimal"/>
      <w:lvlText w:val="%1.%2.%3.%4.%5.%6.%7.%8.%9"/>
      <w:lvlJc w:val="left"/>
      <w:pPr>
        <w:ind w:left="4843" w:hanging="1440"/>
      </w:pPr>
      <w:rPr>
        <w:rFonts w:cs="Times New Roman" w:hint="default"/>
      </w:rPr>
    </w:lvl>
  </w:abstractNum>
  <w:abstractNum w:abstractNumId="2"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5FB"/>
    <w:rsid w:val="000007D1"/>
    <w:rsid w:val="000149B4"/>
    <w:rsid w:val="00054995"/>
    <w:rsid w:val="00056A91"/>
    <w:rsid w:val="000761A6"/>
    <w:rsid w:val="00086A89"/>
    <w:rsid w:val="00093EEB"/>
    <w:rsid w:val="000B0D00"/>
    <w:rsid w:val="000B48E2"/>
    <w:rsid w:val="000B4F8C"/>
    <w:rsid w:val="000B7C15"/>
    <w:rsid w:val="000D0655"/>
    <w:rsid w:val="000D1D0F"/>
    <w:rsid w:val="000F5290"/>
    <w:rsid w:val="0010165C"/>
    <w:rsid w:val="00146BFB"/>
    <w:rsid w:val="00166C9D"/>
    <w:rsid w:val="001B671D"/>
    <w:rsid w:val="001F14A2"/>
    <w:rsid w:val="00262B43"/>
    <w:rsid w:val="00270F50"/>
    <w:rsid w:val="002725EA"/>
    <w:rsid w:val="002801AA"/>
    <w:rsid w:val="00282DB1"/>
    <w:rsid w:val="002B7654"/>
    <w:rsid w:val="002C4676"/>
    <w:rsid w:val="002C70B0"/>
    <w:rsid w:val="002F372C"/>
    <w:rsid w:val="002F3CC4"/>
    <w:rsid w:val="002F6303"/>
    <w:rsid w:val="00301D84"/>
    <w:rsid w:val="00326141"/>
    <w:rsid w:val="00354246"/>
    <w:rsid w:val="00393B44"/>
    <w:rsid w:val="003A20B4"/>
    <w:rsid w:val="003C79A8"/>
    <w:rsid w:val="003D11D4"/>
    <w:rsid w:val="003E1F5B"/>
    <w:rsid w:val="003F1F22"/>
    <w:rsid w:val="0046114F"/>
    <w:rsid w:val="004F1A2A"/>
    <w:rsid w:val="00513630"/>
    <w:rsid w:val="005555F6"/>
    <w:rsid w:val="00560125"/>
    <w:rsid w:val="00570399"/>
    <w:rsid w:val="005749E7"/>
    <w:rsid w:val="00580C0A"/>
    <w:rsid w:val="00585553"/>
    <w:rsid w:val="005A7B0E"/>
    <w:rsid w:val="005B34D9"/>
    <w:rsid w:val="005B6F95"/>
    <w:rsid w:val="005C1277"/>
    <w:rsid w:val="005D0CCF"/>
    <w:rsid w:val="005D4388"/>
    <w:rsid w:val="005F3BCB"/>
    <w:rsid w:val="005F410F"/>
    <w:rsid w:val="005F48E8"/>
    <w:rsid w:val="0060149A"/>
    <w:rsid w:val="00601924"/>
    <w:rsid w:val="00607AB0"/>
    <w:rsid w:val="00637141"/>
    <w:rsid w:val="006447EA"/>
    <w:rsid w:val="006449EB"/>
    <w:rsid w:val="0064731F"/>
    <w:rsid w:val="00663A3A"/>
    <w:rsid w:val="00664572"/>
    <w:rsid w:val="006710F6"/>
    <w:rsid w:val="006C1B56"/>
    <w:rsid w:val="006D4761"/>
    <w:rsid w:val="00701E23"/>
    <w:rsid w:val="007148DD"/>
    <w:rsid w:val="00726872"/>
    <w:rsid w:val="007553E9"/>
    <w:rsid w:val="00760F1C"/>
    <w:rsid w:val="00765575"/>
    <w:rsid w:val="007657F0"/>
    <w:rsid w:val="0077252D"/>
    <w:rsid w:val="007735FB"/>
    <w:rsid w:val="00783084"/>
    <w:rsid w:val="00794A9F"/>
    <w:rsid w:val="00794BC8"/>
    <w:rsid w:val="007955DA"/>
    <w:rsid w:val="007D5F02"/>
    <w:rsid w:val="007E5DD3"/>
    <w:rsid w:val="007F350B"/>
    <w:rsid w:val="00820BE4"/>
    <w:rsid w:val="008451E8"/>
    <w:rsid w:val="00855F91"/>
    <w:rsid w:val="00877386"/>
    <w:rsid w:val="00892B42"/>
    <w:rsid w:val="008B1728"/>
    <w:rsid w:val="008B7609"/>
    <w:rsid w:val="008D3A9F"/>
    <w:rsid w:val="008E43F4"/>
    <w:rsid w:val="008E70AB"/>
    <w:rsid w:val="00913B9C"/>
    <w:rsid w:val="00956E77"/>
    <w:rsid w:val="009623E4"/>
    <w:rsid w:val="00970BD5"/>
    <w:rsid w:val="00987C0E"/>
    <w:rsid w:val="009C4E68"/>
    <w:rsid w:val="009E1EC6"/>
    <w:rsid w:val="009F4811"/>
    <w:rsid w:val="00A06732"/>
    <w:rsid w:val="00A24EB7"/>
    <w:rsid w:val="00A32C9F"/>
    <w:rsid w:val="00A37838"/>
    <w:rsid w:val="00A5605D"/>
    <w:rsid w:val="00A8060F"/>
    <w:rsid w:val="00AA390C"/>
    <w:rsid w:val="00AD1979"/>
    <w:rsid w:val="00AD7777"/>
    <w:rsid w:val="00AF7D29"/>
    <w:rsid w:val="00B0200A"/>
    <w:rsid w:val="00B225C0"/>
    <w:rsid w:val="00B56FF1"/>
    <w:rsid w:val="00B574DB"/>
    <w:rsid w:val="00B826C2"/>
    <w:rsid w:val="00B8298E"/>
    <w:rsid w:val="00BB6432"/>
    <w:rsid w:val="00BD0723"/>
    <w:rsid w:val="00BD2518"/>
    <w:rsid w:val="00BD3A04"/>
    <w:rsid w:val="00BF1D1C"/>
    <w:rsid w:val="00C0097A"/>
    <w:rsid w:val="00C07340"/>
    <w:rsid w:val="00C2028C"/>
    <w:rsid w:val="00C20C59"/>
    <w:rsid w:val="00C20E8B"/>
    <w:rsid w:val="00C2727F"/>
    <w:rsid w:val="00C37E1F"/>
    <w:rsid w:val="00C53596"/>
    <w:rsid w:val="00C55B1F"/>
    <w:rsid w:val="00C65AE6"/>
    <w:rsid w:val="00C97507"/>
    <w:rsid w:val="00CA0377"/>
    <w:rsid w:val="00CC5FB6"/>
    <w:rsid w:val="00CD223A"/>
    <w:rsid w:val="00CF1A67"/>
    <w:rsid w:val="00D1478C"/>
    <w:rsid w:val="00D2750E"/>
    <w:rsid w:val="00D35CBB"/>
    <w:rsid w:val="00D37A01"/>
    <w:rsid w:val="00D50A36"/>
    <w:rsid w:val="00D52A78"/>
    <w:rsid w:val="00D57F9D"/>
    <w:rsid w:val="00D62446"/>
    <w:rsid w:val="00D77B25"/>
    <w:rsid w:val="00DA4EA2"/>
    <w:rsid w:val="00DB4964"/>
    <w:rsid w:val="00DC3D3E"/>
    <w:rsid w:val="00DE2C90"/>
    <w:rsid w:val="00DE3B24"/>
    <w:rsid w:val="00E00791"/>
    <w:rsid w:val="00E06947"/>
    <w:rsid w:val="00E106F7"/>
    <w:rsid w:val="00E139CB"/>
    <w:rsid w:val="00E33B06"/>
    <w:rsid w:val="00E3592D"/>
    <w:rsid w:val="00E861F8"/>
    <w:rsid w:val="00E92DE8"/>
    <w:rsid w:val="00EB1212"/>
    <w:rsid w:val="00EB6767"/>
    <w:rsid w:val="00EC59DB"/>
    <w:rsid w:val="00ED65AB"/>
    <w:rsid w:val="00F020D9"/>
    <w:rsid w:val="00F04E59"/>
    <w:rsid w:val="00F12850"/>
    <w:rsid w:val="00F136D3"/>
    <w:rsid w:val="00F17E6E"/>
    <w:rsid w:val="00F33BF4"/>
    <w:rsid w:val="00F371BA"/>
    <w:rsid w:val="00F43D30"/>
    <w:rsid w:val="00F7105E"/>
    <w:rsid w:val="00F75F57"/>
    <w:rsid w:val="00F82FEE"/>
    <w:rsid w:val="00FD57D3"/>
    <w:rsid w:val="00FF11BD"/>
    <w:rsid w:val="00FF44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A41D0"/>
  <w15:docId w15:val="{14CCB094-C18F-4002-96A7-5DAD09D0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CommentReference">
    <w:name w:val="annotation reference"/>
    <w:basedOn w:val="DefaultParagraphFont"/>
    <w:semiHidden/>
    <w:unhideWhenUsed/>
    <w:rsid w:val="00354246"/>
    <w:rPr>
      <w:sz w:val="16"/>
      <w:szCs w:val="16"/>
    </w:rPr>
  </w:style>
  <w:style w:type="paragraph" w:styleId="CommentText">
    <w:name w:val="annotation text"/>
    <w:basedOn w:val="Normal"/>
    <w:link w:val="CommentTextChar"/>
    <w:semiHidden/>
    <w:unhideWhenUsed/>
    <w:rsid w:val="00354246"/>
    <w:rPr>
      <w:sz w:val="20"/>
    </w:rPr>
  </w:style>
  <w:style w:type="character" w:customStyle="1" w:styleId="CommentTextChar">
    <w:name w:val="Comment Text Char"/>
    <w:basedOn w:val="DefaultParagraphFont"/>
    <w:link w:val="CommentText"/>
    <w:semiHidden/>
    <w:rsid w:val="00354246"/>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354246"/>
    <w:rPr>
      <w:b/>
      <w:bCs/>
    </w:rPr>
  </w:style>
  <w:style w:type="character" w:customStyle="1" w:styleId="CommentSubjectChar">
    <w:name w:val="Comment Subject Char"/>
    <w:basedOn w:val="CommentTextChar"/>
    <w:link w:val="CommentSubject"/>
    <w:semiHidden/>
    <w:rsid w:val="00354246"/>
    <w:rPr>
      <w:rFonts w:ascii="Calibri" w:hAnsi="Calibri"/>
      <w:b/>
      <w:bCs/>
      <w:lang w:val="es-ES_tradnl" w:eastAsia="en-US"/>
    </w:rPr>
  </w:style>
  <w:style w:type="paragraph" w:styleId="ListParagraph">
    <w:name w:val="List Paragraph"/>
    <w:basedOn w:val="Normal"/>
    <w:link w:val="ListParagraphChar"/>
    <w:uiPriority w:val="34"/>
    <w:qFormat/>
    <w:rsid w:val="00970BD5"/>
    <w:pPr>
      <w:tabs>
        <w:tab w:val="clear" w:pos="567"/>
        <w:tab w:val="clear" w:pos="1701"/>
        <w:tab w:val="clear" w:pos="2835"/>
        <w:tab w:val="left" w:pos="1871"/>
      </w:tabs>
      <w:ind w:left="720"/>
      <w:contextualSpacing/>
    </w:pPr>
    <w:rPr>
      <w:rFonts w:asciiTheme="minorHAnsi" w:hAnsiTheme="minorHAnsi"/>
      <w:lang w:val="en-GB"/>
    </w:rPr>
  </w:style>
  <w:style w:type="character" w:customStyle="1" w:styleId="ListParagraphChar">
    <w:name w:val="List Paragraph Char"/>
    <w:basedOn w:val="DefaultParagraphFont"/>
    <w:link w:val="ListParagraph"/>
    <w:uiPriority w:val="34"/>
    <w:locked/>
    <w:rsid w:val="00970BD5"/>
    <w:rPr>
      <w:rFonts w:asciiTheme="minorHAnsi" w:hAnsiTheme="minorHAnsi"/>
      <w:sz w:val="24"/>
      <w:lang w:val="en-GB" w:eastAsia="en-US"/>
    </w:rPr>
  </w:style>
  <w:style w:type="paragraph" w:styleId="BalloonText">
    <w:name w:val="Balloon Text"/>
    <w:basedOn w:val="Normal"/>
    <w:link w:val="BalloonTextChar"/>
    <w:semiHidden/>
    <w:unhideWhenUsed/>
    <w:rsid w:val="00D35CB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35CBB"/>
    <w:rPr>
      <w:rFonts w:ascii="Segoe UI" w:hAnsi="Segoe UI" w:cs="Segoe UI"/>
      <w:sz w:val="18"/>
      <w:szCs w:val="18"/>
      <w:lang w:val="es-ES_tradnl" w:eastAsia="en-US"/>
    </w:rPr>
  </w:style>
  <w:style w:type="paragraph" w:styleId="Revision">
    <w:name w:val="Revision"/>
    <w:hidden/>
    <w:uiPriority w:val="99"/>
    <w:semiHidden/>
    <w:rsid w:val="005D4388"/>
    <w:rPr>
      <w:rFonts w:ascii="Calibri" w:hAnsi="Calibri"/>
      <w:sz w:val="24"/>
      <w:lang w:val="es-ES_tradnl" w:eastAsia="en-US"/>
    </w:rPr>
  </w:style>
  <w:style w:type="character" w:styleId="UnresolvedMention">
    <w:name w:val="Unresolved Mention"/>
    <w:basedOn w:val="DefaultParagraphFont"/>
    <w:uiPriority w:val="99"/>
    <w:semiHidden/>
    <w:unhideWhenUsed/>
    <w:rsid w:val="00637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SG-CIR-0033/es" TargetMode="External"/><Relationship Id="rId18" Type="http://schemas.openxmlformats.org/officeDocument/2006/relationships/hyperlink" Target="https://www.itu.int/md/S21-SG-CIR-0019/es" TargetMode="External"/><Relationship Id="rId26" Type="http://schemas.openxmlformats.org/officeDocument/2006/relationships/hyperlink" Target="https://itu-d.limequery.com/365362?newtest=Y&amp;lang=en" TargetMode="External"/><Relationship Id="rId39" Type="http://schemas.openxmlformats.org/officeDocument/2006/relationships/hyperlink" Target="https://www.itu.int/generationconnect/es/" TargetMode="External"/><Relationship Id="rId21" Type="http://schemas.openxmlformats.org/officeDocument/2006/relationships/hyperlink" Target="https://www.itu.int/md/S21-DM-CIR-01025/es" TargetMode="External"/><Relationship Id="rId34" Type="http://schemas.openxmlformats.org/officeDocument/2006/relationships/hyperlink" Target="https://www.itu.int/md/D18-RPMAFR-C-0026/es" TargetMode="External"/><Relationship Id="rId42" Type="http://schemas.openxmlformats.org/officeDocument/2006/relationships/hyperlink" Target="https://www.itu.int/es/ITU-D/Conferences/WTDC/WTDC21/Pages/IRM/IRM-2.aspx" TargetMode="External"/><Relationship Id="rId47" Type="http://schemas.openxmlformats.org/officeDocument/2006/relationships/hyperlink" Target="https://www.itu.int/es/ITU-D/Conferences/WTDC/WTDC21/R2A/Pages/Connect2Include.aspx" TargetMode="External"/><Relationship Id="rId50" Type="http://schemas.openxmlformats.org/officeDocument/2006/relationships/hyperlink" Target="https://www.itu.int/es/ITU-D/Conferences/WTDC/WTDC21/R2A/Pages/Innovate2Connect.aspx" TargetMode="External"/><Relationship Id="rId55" Type="http://schemas.openxmlformats.org/officeDocument/2006/relationships/hyperlink" Target="https://www.itu.int/itu-d/sites/partner2connect/e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1-DM-CIR-01010/es" TargetMode="External"/><Relationship Id="rId29" Type="http://schemas.openxmlformats.org/officeDocument/2006/relationships/hyperlink" Target="https://www.itu.int/md/D18-TDAG27-C-0005/es" TargetMode="External"/><Relationship Id="rId11" Type="http://schemas.openxmlformats.org/officeDocument/2006/relationships/hyperlink" Target="https://www.itu.int/md/S21-CL-C-0076/es" TargetMode="External"/><Relationship Id="rId24" Type="http://schemas.openxmlformats.org/officeDocument/2006/relationships/hyperlink" Target="https://www.itu.int/md/S22-SG-CIR-0006/es" TargetMode="External"/><Relationship Id="rId32" Type="http://schemas.openxmlformats.org/officeDocument/2006/relationships/hyperlink" Target="https://www.itu.int/md/D18-RPMEUR-C-0034/es" TargetMode="External"/><Relationship Id="rId37" Type="http://schemas.openxmlformats.org/officeDocument/2006/relationships/hyperlink" Target="https://www.itu.int/md/D18-RPMAMS-C-0014/es" TargetMode="External"/><Relationship Id="rId40" Type="http://schemas.openxmlformats.org/officeDocument/2006/relationships/hyperlink" Target="https://www.itu.int/md/D18-TDAG28-C-0005/es" TargetMode="External"/><Relationship Id="rId45" Type="http://schemas.openxmlformats.org/officeDocument/2006/relationships/hyperlink" Target="https://www.itu.int/en/ITU-D/Conferences/WTDC/WTDC21/Pages/RoadToAddis/Road-To-Addis-11-2020.aspx" TargetMode="External"/><Relationship Id="rId53" Type="http://schemas.openxmlformats.org/officeDocument/2006/relationships/hyperlink" Target="https://www.itu.int/es/ITU-D/Conferences/WTDC/WTDC21/R2A/Pages/default.aspx" TargetMode="External"/><Relationship Id="rId58" Type="http://schemas.openxmlformats.org/officeDocument/2006/relationships/hyperlink" Target="https://www.itu.int/md/D18-TDAG29-C-0015/es"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itu.int/md/S21-SG-CIR-0023/es" TargetMode="External"/><Relationship Id="rId14" Type="http://schemas.openxmlformats.org/officeDocument/2006/relationships/hyperlink" Target="https://www.itu.int/md/S19-SG-CIR-0045/es" TargetMode="External"/><Relationship Id="rId22" Type="http://schemas.openxmlformats.org/officeDocument/2006/relationships/hyperlink" Target="https://www.itu.int/md/S22-DM-CIR-01000/es" TargetMode="External"/><Relationship Id="rId27" Type="http://schemas.openxmlformats.org/officeDocument/2006/relationships/hyperlink" Target="https://www.itu.int/es/ITU-D/Conferences/TDAG/Pages/TDAG25/default.aspx" TargetMode="External"/><Relationship Id="rId30" Type="http://schemas.openxmlformats.org/officeDocument/2006/relationships/hyperlink" Target="https://www.itu.int/es/ITU-D/Conferences/TDAG/Pages/TDAG_WG_WTDC.aspx" TargetMode="External"/><Relationship Id="rId35" Type="http://schemas.openxmlformats.org/officeDocument/2006/relationships/hyperlink" Target="https://www.itu.int/md/D18-RPMARB-C-0015/es" TargetMode="External"/><Relationship Id="rId43" Type="http://schemas.openxmlformats.org/officeDocument/2006/relationships/hyperlink" Target="https://www.itu.int/es/ITU-D/Conferences/WTDC/WTDC21/Pages/IRM/IRM-3.aspx" TargetMode="External"/><Relationship Id="rId48" Type="http://schemas.openxmlformats.org/officeDocument/2006/relationships/hyperlink" Target="https://www.itu.int/es/ITU-D/Conferences/WTDC/WTDC21/R2A/Pages/Finance2Connect.aspx" TargetMode="External"/><Relationship Id="rId56" Type="http://schemas.openxmlformats.org/officeDocument/2006/relationships/hyperlink" Target="https://www.un.org/es/content/common-agenda-report/" TargetMode="External"/><Relationship Id="rId8" Type="http://schemas.openxmlformats.org/officeDocument/2006/relationships/image" Target="media/image1.jpeg"/><Relationship Id="rId51" Type="http://schemas.openxmlformats.org/officeDocument/2006/relationships/hyperlink" Target="https://www.itu.int/es/ITU-D/Conferences/WTDC/WTDC21/R2A/Pages/Youth2Connect.aspx" TargetMode="External"/><Relationship Id="rId3" Type="http://schemas.openxmlformats.org/officeDocument/2006/relationships/styles" Target="styles.xml"/><Relationship Id="rId12" Type="http://schemas.openxmlformats.org/officeDocument/2006/relationships/hyperlink" Target="https://www.itu.int/md/S21-SG-CIR-0023/es" TargetMode="External"/><Relationship Id="rId17" Type="http://schemas.openxmlformats.org/officeDocument/2006/relationships/hyperlink" Target="https://www.itu.int/md/S21-DM-CIR-01012/es" TargetMode="External"/><Relationship Id="rId25" Type="http://schemas.openxmlformats.org/officeDocument/2006/relationships/hyperlink" Target="https://www.itu.int/es/ITU-D/Conferences/TDAG/Pages/TDAG24/default.aspx" TargetMode="External"/><Relationship Id="rId33" Type="http://schemas.openxmlformats.org/officeDocument/2006/relationships/hyperlink" Target="https://www.itu.int/md/D18-RPMASP-C-0015/es" TargetMode="External"/><Relationship Id="rId38" Type="http://schemas.openxmlformats.org/officeDocument/2006/relationships/hyperlink" Target="https://www.itu.int/es/ITU-D/Conferences/WTDC/WTDC21/NoW/Pages/default.aspx" TargetMode="External"/><Relationship Id="rId46" Type="http://schemas.openxmlformats.org/officeDocument/2006/relationships/hyperlink" Target="https://www.itu.int/es/ITU-D/Conferences/WTDC/WTDC21/R2A/Pages/Partner2Connect.aspx" TargetMode="External"/><Relationship Id="rId59" Type="http://schemas.openxmlformats.org/officeDocument/2006/relationships/header" Target="header1.xml"/><Relationship Id="rId20" Type="http://schemas.openxmlformats.org/officeDocument/2006/relationships/hyperlink" Target="https://www.itu.int/dms_pub/itu-s/md/21/dm/cir/S21-DM-CIR-01025!!PDF-S.pdf" TargetMode="External"/><Relationship Id="rId41" Type="http://schemas.openxmlformats.org/officeDocument/2006/relationships/hyperlink" Target="https://www.itu.int/es/ITU-D/Conferences/WTDC/WTDC21/Pages/IRM/IRM-1.aspx" TargetMode="External"/><Relationship Id="rId54" Type="http://schemas.openxmlformats.org/officeDocument/2006/relationships/hyperlink" Target="https://www.un.org/techenvoy/es/content/abou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CL-C-0076/es" TargetMode="External"/><Relationship Id="rId23" Type="http://schemas.openxmlformats.org/officeDocument/2006/relationships/hyperlink" Target="https://www.itu.int/md/S22-SG-CIR-0004/es" TargetMode="External"/><Relationship Id="rId28" Type="http://schemas.openxmlformats.org/officeDocument/2006/relationships/hyperlink" Target="https://www.itu.int/es/ITU-D/Conferences/TDAG/Pages/TDAG_WG_WTDC_Prep.aspx" TargetMode="External"/><Relationship Id="rId36" Type="http://schemas.openxmlformats.org/officeDocument/2006/relationships/hyperlink" Target="https://www.itu.int/md/D18-RPMCIS-C-0037/es" TargetMode="External"/><Relationship Id="rId49" Type="http://schemas.openxmlformats.org/officeDocument/2006/relationships/hyperlink" Target="https://www.itu.int/es/ITU-D/Conferences/WTDC/WTDC21/R2A/Pages/Lead2Connect.aspx" TargetMode="External"/><Relationship Id="rId57" Type="http://schemas.openxmlformats.org/officeDocument/2006/relationships/hyperlink" Target="https://www.itu.int/md/D18-TDAG28-C-0019/es" TargetMode="External"/><Relationship Id="rId10" Type="http://schemas.openxmlformats.org/officeDocument/2006/relationships/hyperlink" Target="https://www.itu.int/md/S19-SG-CIR-0045/es" TargetMode="External"/><Relationship Id="rId31" Type="http://schemas.openxmlformats.org/officeDocument/2006/relationships/hyperlink" Target="https://www.itu.int/md/D18-TDAG27-C-0007/es" TargetMode="External"/><Relationship Id="rId44" Type="http://schemas.openxmlformats.org/officeDocument/2006/relationships/hyperlink" Target="https://www.itu.int/md/D18-TDAG29-C-0013/es" TargetMode="External"/><Relationship Id="rId52" Type="http://schemas.openxmlformats.org/officeDocument/2006/relationships/hyperlink" Target="https://www.itu.int/es/ITU-D/Conferences/WTDC/WTDC21/R2A/Pages/R2A-Partner2Connect.aspx"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9-SG-CIR-0033/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elac\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2D8A-4CF6-4AC0-83B0-EE9A4568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0</TotalTime>
  <Pages>8</Pages>
  <Words>3253</Words>
  <Characters>20169</Characters>
  <Application>Microsoft Office Word</Application>
  <DocSecurity>4</DocSecurity>
  <Lines>168</Lines>
  <Paragraphs>46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Preparativos y orden del día de la CMDT</vt:lpstr>
    </vt:vector>
  </TitlesOfParts>
  <Manager>Secretaría General - Pool</Manager>
  <Company>Unión Internacional de Telecomunicaciones (UIT)</Company>
  <LinksUpToDate>false</LinksUpToDate>
  <CharactersWithSpaces>23376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Preparativos y orden del día de la CMDT</dc:title>
  <dc:subject>Consejo 2022</dc:subject>
  <dc:creator>SPANISH</dc:creator>
  <cp:keywords>C2022, C22, Council-22</cp:keywords>
  <dc:description/>
  <cp:lastModifiedBy>Brouard, Ricarda</cp:lastModifiedBy>
  <cp:revision>2</cp:revision>
  <cp:lastPrinted>2006-03-24T09:51:00Z</cp:lastPrinted>
  <dcterms:created xsi:type="dcterms:W3CDTF">2022-03-19T21:54:00Z</dcterms:created>
  <dcterms:modified xsi:type="dcterms:W3CDTF">2022-03-19T21:54:00Z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