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3D44DD">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3D44DD">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3D44DD">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966CFA" w14:paraId="15B0AE9E" w14:textId="77777777" w:rsidTr="003D44DD">
        <w:trPr>
          <w:cantSplit/>
          <w:trHeight w:val="23"/>
        </w:trPr>
        <w:tc>
          <w:tcPr>
            <w:tcW w:w="6911" w:type="dxa"/>
            <w:vMerge w:val="restart"/>
          </w:tcPr>
          <w:p w14:paraId="6F107B8A" w14:textId="33CF6364" w:rsidR="002A2188" w:rsidRPr="00966CFA" w:rsidRDefault="0014634F" w:rsidP="0014634F">
            <w:pPr>
              <w:tabs>
                <w:tab w:val="left" w:pos="851"/>
              </w:tabs>
              <w:spacing w:before="0" w:line="240" w:lineRule="atLeast"/>
              <w:rPr>
                <w:b/>
              </w:rPr>
            </w:pPr>
            <w:bookmarkStart w:id="3" w:name="dmeeting" w:colFirst="0" w:colLast="0"/>
            <w:bookmarkStart w:id="4" w:name="dnum" w:colFirst="1" w:colLast="1"/>
            <w:r w:rsidRPr="00966CFA">
              <w:rPr>
                <w:b/>
              </w:rPr>
              <w:t>Agenda item:</w:t>
            </w:r>
            <w:r w:rsidR="0046068F" w:rsidRPr="00966CFA">
              <w:rPr>
                <w:b/>
              </w:rPr>
              <w:t xml:space="preserve"> </w:t>
            </w:r>
            <w:r w:rsidR="0073124E" w:rsidRPr="00966CFA">
              <w:rPr>
                <w:b/>
              </w:rPr>
              <w:t>PL 3.1</w:t>
            </w:r>
          </w:p>
        </w:tc>
        <w:tc>
          <w:tcPr>
            <w:tcW w:w="3120" w:type="dxa"/>
          </w:tcPr>
          <w:p w14:paraId="66604129" w14:textId="1AF007F6" w:rsidR="002A2188" w:rsidRPr="00966CFA" w:rsidRDefault="005C756E" w:rsidP="0014634F">
            <w:pPr>
              <w:tabs>
                <w:tab w:val="left" w:pos="851"/>
              </w:tabs>
              <w:spacing w:before="0" w:line="240" w:lineRule="atLeast"/>
              <w:rPr>
                <w:b/>
              </w:rPr>
            </w:pPr>
            <w:r w:rsidRPr="00966CFA">
              <w:rPr>
                <w:b/>
              </w:rPr>
              <w:t xml:space="preserve">Revision </w:t>
            </w:r>
            <w:r w:rsidR="009A042F">
              <w:rPr>
                <w:b/>
              </w:rPr>
              <w:t>2</w:t>
            </w:r>
            <w:r w:rsidRPr="00966CFA">
              <w:rPr>
                <w:b/>
              </w:rPr>
              <w:t xml:space="preserve"> to </w:t>
            </w:r>
            <w:r w:rsidRPr="00966CFA">
              <w:rPr>
                <w:b/>
              </w:rPr>
              <w:br/>
            </w:r>
            <w:r w:rsidR="002A2188" w:rsidRPr="00966CFA">
              <w:rPr>
                <w:b/>
              </w:rPr>
              <w:t>Document C</w:t>
            </w:r>
            <w:r w:rsidR="004A1B8B" w:rsidRPr="00966CFA">
              <w:rPr>
                <w:b/>
              </w:rPr>
              <w:t>2</w:t>
            </w:r>
            <w:r w:rsidR="0014634F" w:rsidRPr="00966CFA">
              <w:rPr>
                <w:b/>
              </w:rPr>
              <w:t>2</w:t>
            </w:r>
            <w:r w:rsidR="002A2188" w:rsidRPr="00966CFA">
              <w:rPr>
                <w:b/>
              </w:rPr>
              <w:t>/</w:t>
            </w:r>
            <w:r w:rsidR="0073124E" w:rsidRPr="00966CFA">
              <w:rPr>
                <w:b/>
              </w:rPr>
              <w:t>27</w:t>
            </w:r>
            <w:r w:rsidR="002A2188" w:rsidRPr="00966CFA">
              <w:rPr>
                <w:b/>
              </w:rPr>
              <w:t>-E</w:t>
            </w:r>
          </w:p>
        </w:tc>
      </w:tr>
      <w:tr w:rsidR="002A2188" w:rsidRPr="00966CFA" w14:paraId="275E195F" w14:textId="77777777" w:rsidTr="003D44DD">
        <w:trPr>
          <w:cantSplit/>
          <w:trHeight w:val="23"/>
        </w:trPr>
        <w:tc>
          <w:tcPr>
            <w:tcW w:w="6911" w:type="dxa"/>
            <w:vMerge/>
          </w:tcPr>
          <w:p w14:paraId="3627AC61" w14:textId="77777777" w:rsidR="002A2188" w:rsidRPr="00966CFA"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6E038A0F" w:rsidR="002A2188" w:rsidRPr="00966CFA" w:rsidRDefault="009A042F" w:rsidP="0014634F">
            <w:pPr>
              <w:tabs>
                <w:tab w:val="left" w:pos="993"/>
              </w:tabs>
              <w:spacing w:before="0"/>
              <w:rPr>
                <w:b/>
              </w:rPr>
            </w:pPr>
            <w:r>
              <w:rPr>
                <w:b/>
              </w:rPr>
              <w:t>25</w:t>
            </w:r>
            <w:r w:rsidRPr="00966CFA">
              <w:rPr>
                <w:b/>
              </w:rPr>
              <w:t xml:space="preserve"> </w:t>
            </w:r>
            <w:r w:rsidR="0073124E" w:rsidRPr="00966CFA">
              <w:rPr>
                <w:b/>
              </w:rPr>
              <w:t>March</w:t>
            </w:r>
            <w:r w:rsidR="006F666C" w:rsidRPr="00966CFA">
              <w:rPr>
                <w:b/>
              </w:rPr>
              <w:t xml:space="preserve"> 2022</w:t>
            </w:r>
          </w:p>
        </w:tc>
      </w:tr>
      <w:tr w:rsidR="002A2188" w:rsidRPr="00966CFA" w14:paraId="29B42488" w14:textId="77777777" w:rsidTr="003D44DD">
        <w:trPr>
          <w:cantSplit/>
          <w:trHeight w:val="23"/>
        </w:trPr>
        <w:tc>
          <w:tcPr>
            <w:tcW w:w="6911" w:type="dxa"/>
            <w:vMerge/>
          </w:tcPr>
          <w:p w14:paraId="6000182B" w14:textId="77777777" w:rsidR="002A2188" w:rsidRPr="00966CFA"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966CFA" w:rsidRDefault="002A2188" w:rsidP="0014634F">
            <w:pPr>
              <w:tabs>
                <w:tab w:val="left" w:pos="993"/>
              </w:tabs>
              <w:spacing w:before="0"/>
              <w:rPr>
                <w:b/>
              </w:rPr>
            </w:pPr>
            <w:r w:rsidRPr="00966CFA">
              <w:rPr>
                <w:b/>
              </w:rPr>
              <w:t>Original: English</w:t>
            </w:r>
          </w:p>
        </w:tc>
      </w:tr>
      <w:tr w:rsidR="002A2188" w:rsidRPr="00966CFA" w14:paraId="79546A94" w14:textId="77777777" w:rsidTr="003D44DD">
        <w:trPr>
          <w:cantSplit/>
        </w:trPr>
        <w:tc>
          <w:tcPr>
            <w:tcW w:w="10031" w:type="dxa"/>
            <w:gridSpan w:val="2"/>
          </w:tcPr>
          <w:p w14:paraId="7EEA3085" w14:textId="478F18EF" w:rsidR="002A2188" w:rsidRPr="00966CFA" w:rsidRDefault="006223EC" w:rsidP="003D44DD">
            <w:pPr>
              <w:pStyle w:val="Source"/>
            </w:pPr>
            <w:bookmarkStart w:id="7" w:name="dsource" w:colFirst="0" w:colLast="0"/>
            <w:bookmarkEnd w:id="6"/>
            <w:r w:rsidRPr="00966CFA">
              <w:t xml:space="preserve">Chairman of the Council Working Group </w:t>
            </w:r>
            <w:r w:rsidRPr="00966CFA">
              <w:br/>
              <w:t>for Strategic and Financial Plans 2024-2027 (CWG-SFP)</w:t>
            </w:r>
          </w:p>
        </w:tc>
      </w:tr>
      <w:tr w:rsidR="002A2188" w:rsidRPr="00966CFA" w14:paraId="5B5E8CC5" w14:textId="77777777" w:rsidTr="003D44DD">
        <w:trPr>
          <w:cantSplit/>
        </w:trPr>
        <w:tc>
          <w:tcPr>
            <w:tcW w:w="10031" w:type="dxa"/>
            <w:gridSpan w:val="2"/>
          </w:tcPr>
          <w:p w14:paraId="3689B12B" w14:textId="6BE253DF" w:rsidR="002A2188" w:rsidRPr="00966CFA" w:rsidRDefault="004C61AF" w:rsidP="003D44DD">
            <w:pPr>
              <w:pStyle w:val="Title1"/>
            </w:pPr>
            <w:bookmarkStart w:id="8" w:name="dtitle1" w:colFirst="0" w:colLast="0"/>
            <w:bookmarkEnd w:id="7"/>
            <w:r w:rsidRPr="00966CFA">
              <w:t xml:space="preserve">REPORT of the Council Working Group </w:t>
            </w:r>
            <w:r w:rsidRPr="00966CFA">
              <w:br/>
              <w:t>for Strategic and Financial Plans 2024-2027 (CWG-SFP)</w:t>
            </w:r>
          </w:p>
        </w:tc>
      </w:tr>
      <w:bookmarkEnd w:id="8"/>
    </w:tbl>
    <w:p w14:paraId="554B4CB6" w14:textId="77777777" w:rsidR="002A2188" w:rsidRPr="00966CFA"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966CFA" w14:paraId="1DF07826" w14:textId="77777777" w:rsidTr="00EF63EE">
        <w:trPr>
          <w:trHeight w:val="4771"/>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966CFA" w:rsidRDefault="002A2188" w:rsidP="003D44DD">
            <w:pPr>
              <w:pStyle w:val="Headingb"/>
            </w:pPr>
            <w:r w:rsidRPr="00966CFA">
              <w:t>Summary</w:t>
            </w:r>
          </w:p>
          <w:p w14:paraId="2CAEC955" w14:textId="3D8D9F42" w:rsidR="004C6EAD" w:rsidRPr="00966CFA" w:rsidRDefault="004C6EAD" w:rsidP="004C6EAD">
            <w:pPr>
              <w:jc w:val="both"/>
            </w:pPr>
            <w:r w:rsidRPr="00966CFA">
              <w:t xml:space="preserve">This document summarizes the work by the Council Working Group for Strategic and Financial Plans 2024-2027 (CWG-SFP), including the results of the </w:t>
            </w:r>
            <w:r w:rsidR="009B1E7B" w:rsidRPr="00966CFA">
              <w:t xml:space="preserve">four </w:t>
            </w:r>
            <w:r w:rsidRPr="00966CFA">
              <w:t xml:space="preserve">meetings held from </w:t>
            </w:r>
            <w:r w:rsidR="0052417C" w:rsidRPr="00966CFA">
              <w:t xml:space="preserve">September </w:t>
            </w:r>
            <w:r w:rsidRPr="00966CFA">
              <w:t>20</w:t>
            </w:r>
            <w:r w:rsidR="0052417C" w:rsidRPr="00966CFA">
              <w:t>21</w:t>
            </w:r>
            <w:r w:rsidRPr="00966CFA">
              <w:t xml:space="preserve"> to </w:t>
            </w:r>
            <w:r w:rsidR="009B1E7B" w:rsidRPr="00966CFA">
              <w:t>March</w:t>
            </w:r>
            <w:r w:rsidRPr="00966CFA">
              <w:t xml:space="preserve"> 20</w:t>
            </w:r>
            <w:r w:rsidR="0052417C" w:rsidRPr="00966CFA">
              <w:t>22</w:t>
            </w:r>
            <w:r w:rsidRPr="00966CFA">
              <w:t>.</w:t>
            </w:r>
          </w:p>
          <w:p w14:paraId="486E92CD" w14:textId="3DB1A8B6" w:rsidR="004C6EAD" w:rsidRPr="00966CFA" w:rsidRDefault="004C6EAD" w:rsidP="004C6EAD">
            <w:pPr>
              <w:jc w:val="both"/>
            </w:pPr>
            <w:r w:rsidRPr="00966CFA">
              <w:t>The draft Strategic Plan</w:t>
            </w:r>
            <w:r w:rsidR="00390CF2">
              <w:t xml:space="preserve"> and the proposed draft </w:t>
            </w:r>
            <w:r w:rsidR="00BA1AB0">
              <w:t>amendments to Res.71 are</w:t>
            </w:r>
            <w:r w:rsidRPr="00966CFA">
              <w:t xml:space="preserve"> included as </w:t>
            </w:r>
            <w:r w:rsidR="0046068F" w:rsidRPr="00966CFA">
              <w:t>Annexes</w:t>
            </w:r>
            <w:r w:rsidR="007A73A8">
              <w:t xml:space="preserve"> 1 to </w:t>
            </w:r>
            <w:r w:rsidR="00BA1AB0">
              <w:t>4</w:t>
            </w:r>
            <w:r w:rsidR="0046068F" w:rsidRPr="00966CFA">
              <w:t xml:space="preserve"> to this Report</w:t>
            </w:r>
            <w:r w:rsidRPr="00966CFA">
              <w:t>.</w:t>
            </w:r>
          </w:p>
          <w:p w14:paraId="17A30379" w14:textId="77777777" w:rsidR="002A2188" w:rsidRPr="00966CFA" w:rsidRDefault="002A2188" w:rsidP="003D44DD">
            <w:pPr>
              <w:pStyle w:val="Headingb"/>
            </w:pPr>
            <w:r w:rsidRPr="00966CFA">
              <w:t>Action required</w:t>
            </w:r>
          </w:p>
          <w:p w14:paraId="5373AB52" w14:textId="2BB6813C" w:rsidR="00F1689B" w:rsidRPr="00966CFA" w:rsidRDefault="00F1689B" w:rsidP="00F1689B">
            <w:pPr>
              <w:jc w:val="both"/>
            </w:pPr>
            <w:r w:rsidRPr="00966CFA">
              <w:t xml:space="preserve">The Council is invited to </w:t>
            </w:r>
            <w:r w:rsidRPr="00966CFA">
              <w:rPr>
                <w:b/>
                <w:bCs/>
              </w:rPr>
              <w:t>review</w:t>
            </w:r>
            <w:r w:rsidRPr="00966CFA">
              <w:t xml:space="preserve"> the proposed draft Strategic and Financial Plans for 2024-2027</w:t>
            </w:r>
            <w:r w:rsidR="007B1006">
              <w:t>, along with the proposed draft text of the body of Res.71,</w:t>
            </w:r>
            <w:r w:rsidRPr="00966CFA">
              <w:t xml:space="preserve"> and to </w:t>
            </w:r>
            <w:r w:rsidRPr="00966CFA">
              <w:rPr>
                <w:b/>
                <w:bCs/>
              </w:rPr>
              <w:t>forward</w:t>
            </w:r>
            <w:r w:rsidRPr="00966CFA">
              <w:t xml:space="preserve"> them to the 2022 Plenipotentiary Conference (PP</w:t>
            </w:r>
            <w:r w:rsidRPr="00966CFA">
              <w:noBreakHyphen/>
              <w:t>22).</w:t>
            </w:r>
          </w:p>
          <w:p w14:paraId="3098B3AD" w14:textId="77777777" w:rsidR="002A2188" w:rsidRPr="00966CFA" w:rsidRDefault="002A2188" w:rsidP="003D44DD">
            <w:pPr>
              <w:pStyle w:val="Table"/>
              <w:keepNext w:val="0"/>
              <w:spacing w:before="0" w:after="0"/>
              <w:rPr>
                <w:rFonts w:ascii="Calibri" w:hAnsi="Calibri"/>
                <w:caps w:val="0"/>
                <w:sz w:val="22"/>
              </w:rPr>
            </w:pPr>
            <w:r w:rsidRPr="00966CFA">
              <w:rPr>
                <w:rFonts w:ascii="Calibri" w:hAnsi="Calibri"/>
                <w:caps w:val="0"/>
                <w:sz w:val="22"/>
              </w:rPr>
              <w:t>____________</w:t>
            </w:r>
          </w:p>
          <w:p w14:paraId="6D31B914" w14:textId="77777777" w:rsidR="002A2188" w:rsidRPr="00966CFA" w:rsidRDefault="002A2188" w:rsidP="003D44DD">
            <w:pPr>
              <w:pStyle w:val="Headingb"/>
            </w:pPr>
            <w:r w:rsidRPr="00966CFA">
              <w:t>References</w:t>
            </w:r>
          </w:p>
          <w:p w14:paraId="47763C34" w14:textId="65D89D7A" w:rsidR="002A2188" w:rsidRPr="00966CFA" w:rsidRDefault="00D131A9" w:rsidP="003D44DD">
            <w:pPr>
              <w:rPr>
                <w:i/>
                <w:iCs/>
              </w:rPr>
            </w:pPr>
            <w:hyperlink r:id="rId12" w:history="1">
              <w:r w:rsidR="00FA7165" w:rsidRPr="00966CFA">
                <w:rPr>
                  <w:rStyle w:val="Hyperlink"/>
                  <w:rFonts w:cstheme="minorHAnsi"/>
                  <w:i/>
                </w:rPr>
                <w:t>Resolution 71</w:t>
              </w:r>
            </w:hyperlink>
            <w:r w:rsidR="00FA7165" w:rsidRPr="00966CFA">
              <w:rPr>
                <w:rFonts w:cstheme="minorHAnsi"/>
                <w:i/>
              </w:rPr>
              <w:t xml:space="preserve"> (Rev. Dubai, 2018),</w:t>
            </w:r>
            <w:r w:rsidR="00FA7165" w:rsidRPr="00966CFA">
              <w:rPr>
                <w:i/>
              </w:rPr>
              <w:t xml:space="preserve"> Council </w:t>
            </w:r>
            <w:hyperlink r:id="rId13" w:history="1">
              <w:r w:rsidR="00FA7165" w:rsidRPr="00966CFA">
                <w:rPr>
                  <w:rStyle w:val="Hyperlink"/>
                  <w:i/>
                </w:rPr>
                <w:t>Resolution 1</w:t>
              </w:r>
              <w:r w:rsidR="00C01E9E" w:rsidRPr="00966CFA">
                <w:rPr>
                  <w:rStyle w:val="Hyperlink"/>
                  <w:i/>
                </w:rPr>
                <w:t>404</w:t>
              </w:r>
            </w:hyperlink>
            <w:r w:rsidR="00FA7165" w:rsidRPr="00966CFA">
              <w:rPr>
                <w:i/>
              </w:rPr>
              <w:t xml:space="preserve"> (2021)</w:t>
            </w:r>
          </w:p>
        </w:tc>
      </w:tr>
    </w:tbl>
    <w:p w14:paraId="798C49C9" w14:textId="6880F5E7" w:rsidR="00074C31" w:rsidRPr="00966CFA" w:rsidRDefault="00074C31" w:rsidP="00074C31">
      <w:pPr>
        <w:pStyle w:val="Heading2"/>
        <w:keepLines w:val="0"/>
        <w:widowControl w:val="0"/>
        <w:numPr>
          <w:ilvl w:val="0"/>
          <w:numId w:val="18"/>
        </w:numPr>
        <w:tabs>
          <w:tab w:val="clear" w:pos="567"/>
          <w:tab w:val="clear" w:pos="1134"/>
          <w:tab w:val="clear" w:pos="1701"/>
          <w:tab w:val="clear" w:pos="2268"/>
          <w:tab w:val="clear" w:pos="2835"/>
        </w:tabs>
        <w:snapToGrid w:val="0"/>
        <w:spacing w:before="360" w:after="120"/>
        <w:ind w:left="0" w:firstLine="0"/>
        <w:jc w:val="both"/>
      </w:pPr>
      <w:bookmarkStart w:id="9" w:name="dstart"/>
      <w:bookmarkStart w:id="10" w:name="dbreak"/>
      <w:bookmarkEnd w:id="9"/>
      <w:bookmarkEnd w:id="10"/>
      <w:r w:rsidRPr="00966CFA">
        <w:t>Introduction</w:t>
      </w:r>
    </w:p>
    <w:p w14:paraId="7179A8A9" w14:textId="1BDA9D40" w:rsidR="00800834" w:rsidRPr="00966CFA" w:rsidRDefault="00074C31" w:rsidP="00800834">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rPr>
          <w:rFonts w:asciiTheme="minorHAnsi" w:hAnsiTheme="minorHAnsi" w:cstheme="minorBidi"/>
          <w:szCs w:val="24"/>
        </w:rPr>
        <w:t>The 20</w:t>
      </w:r>
      <w:r w:rsidR="00B32340" w:rsidRPr="00966CFA">
        <w:rPr>
          <w:rFonts w:asciiTheme="minorHAnsi" w:hAnsiTheme="minorHAnsi" w:cstheme="minorBidi"/>
          <w:szCs w:val="24"/>
        </w:rPr>
        <w:t>21</w:t>
      </w:r>
      <w:r w:rsidRPr="00966CFA">
        <w:rPr>
          <w:rFonts w:asciiTheme="minorHAnsi" w:hAnsiTheme="minorHAnsi" w:cstheme="minorBidi"/>
          <w:szCs w:val="24"/>
        </w:rPr>
        <w:t xml:space="preserve"> ITU Council adopted </w:t>
      </w:r>
      <w:hyperlink r:id="rId14" w:history="1">
        <w:r w:rsidRPr="00966CFA">
          <w:rPr>
            <w:rStyle w:val="Hyperlink"/>
            <w:rFonts w:asciiTheme="minorHAnsi" w:hAnsiTheme="minorHAnsi" w:cstheme="minorBidi"/>
            <w:szCs w:val="24"/>
          </w:rPr>
          <w:t>Resolution 1</w:t>
        </w:r>
        <w:r w:rsidR="009125CC" w:rsidRPr="00966CFA">
          <w:rPr>
            <w:rStyle w:val="Hyperlink"/>
            <w:rFonts w:asciiTheme="minorHAnsi" w:hAnsiTheme="minorHAnsi" w:cstheme="minorBidi"/>
            <w:szCs w:val="24"/>
          </w:rPr>
          <w:t>404</w:t>
        </w:r>
      </w:hyperlink>
      <w:r w:rsidRPr="00966CFA">
        <w:rPr>
          <w:rFonts w:asciiTheme="minorHAnsi" w:hAnsiTheme="minorHAnsi" w:cstheme="minorBidi"/>
          <w:szCs w:val="24"/>
        </w:rPr>
        <w:t xml:space="preserve"> </w:t>
      </w:r>
      <w:r w:rsidR="00D13936" w:rsidRPr="00966CFA">
        <w:rPr>
          <w:rFonts w:asciiTheme="minorHAnsi" w:hAnsiTheme="minorHAnsi" w:cstheme="minorBidi"/>
          <w:szCs w:val="24"/>
        </w:rPr>
        <w:t xml:space="preserve">establishing </w:t>
      </w:r>
      <w:r w:rsidRPr="00966CFA">
        <w:rPr>
          <w:rFonts w:asciiTheme="minorHAnsi" w:hAnsiTheme="minorHAnsi" w:cstheme="minorBidi"/>
          <w:szCs w:val="24"/>
        </w:rPr>
        <w:t>the Council Working Group to develop the draft ITU Strategic and Financial plans for 202</w:t>
      </w:r>
      <w:r w:rsidR="00D8183F" w:rsidRPr="00966CFA">
        <w:rPr>
          <w:rFonts w:asciiTheme="minorHAnsi" w:hAnsiTheme="minorHAnsi" w:cstheme="minorBidi"/>
          <w:szCs w:val="24"/>
        </w:rPr>
        <w:t>4</w:t>
      </w:r>
      <w:r w:rsidRPr="00966CFA">
        <w:rPr>
          <w:rFonts w:asciiTheme="minorHAnsi" w:hAnsiTheme="minorHAnsi" w:cstheme="minorBidi"/>
          <w:szCs w:val="24"/>
        </w:rPr>
        <w:t>-202</w:t>
      </w:r>
      <w:r w:rsidR="00D8183F" w:rsidRPr="00966CFA">
        <w:rPr>
          <w:rFonts w:asciiTheme="minorHAnsi" w:hAnsiTheme="minorHAnsi" w:cstheme="minorBidi"/>
          <w:szCs w:val="24"/>
        </w:rPr>
        <w:t>7</w:t>
      </w:r>
      <w:r w:rsidRPr="00966CFA">
        <w:rPr>
          <w:rFonts w:asciiTheme="minorHAnsi" w:hAnsiTheme="minorHAnsi" w:cstheme="minorBidi"/>
          <w:szCs w:val="24"/>
        </w:rPr>
        <w:t xml:space="preserve"> (CWG-SFP). The Resolution includes the terms of reference for CWG-SFP. CWG-SFP is open to all Member States, and when addressing the strategic plan, open to all Sector Members as well.</w:t>
      </w:r>
    </w:p>
    <w:p w14:paraId="57CB9762" w14:textId="7FF39554" w:rsidR="00074C31" w:rsidRPr="00966CFA" w:rsidRDefault="00074C31" w:rsidP="00800834">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w:t>
      </w:r>
      <w:r w:rsidR="00861F19" w:rsidRPr="00966CFA">
        <w:t>is</w:t>
      </w:r>
      <w:r w:rsidRPr="00966CFA">
        <w:t xml:space="preserve"> chaired by Mr. </w:t>
      </w:r>
      <w:r w:rsidR="0077057E" w:rsidRPr="00966CFA">
        <w:t xml:space="preserve">Frederic </w:t>
      </w:r>
      <w:proofErr w:type="spellStart"/>
      <w:r w:rsidR="0077057E" w:rsidRPr="00966CFA">
        <w:t>Sauvage</w:t>
      </w:r>
      <w:proofErr w:type="spellEnd"/>
      <w:r w:rsidRPr="00966CFA">
        <w:t xml:space="preserve"> (</w:t>
      </w:r>
      <w:r w:rsidR="0077057E" w:rsidRPr="00966CFA">
        <w:t>France</w:t>
      </w:r>
      <w:r w:rsidRPr="00966CFA">
        <w:t xml:space="preserve">) with the following Vice-Chairs: </w:t>
      </w:r>
      <w:r w:rsidR="00800834" w:rsidRPr="00966CFA">
        <w:t xml:space="preserve">Mr. Dominic Ooko (Kenya), Ms. Michele Wu-Bailey (United States), Ms. Sameera Belal (Kuwait), Mr. </w:t>
      </w:r>
      <w:proofErr w:type="spellStart"/>
      <w:r w:rsidR="00800834" w:rsidRPr="00966CFA">
        <w:t>Chunfei</w:t>
      </w:r>
      <w:proofErr w:type="spellEnd"/>
      <w:r w:rsidR="00800834" w:rsidRPr="00966CFA">
        <w:t xml:space="preserve"> Zhang (China), Ms. Natalia </w:t>
      </w:r>
      <w:proofErr w:type="spellStart"/>
      <w:r w:rsidR="00800834" w:rsidRPr="00966CFA">
        <w:t>Reznikova</w:t>
      </w:r>
      <w:proofErr w:type="spellEnd"/>
      <w:r w:rsidR="00800834" w:rsidRPr="00966CFA">
        <w:t xml:space="preserve"> (Russian Federation), and Mr. Oli Bird (United Kingdom)</w:t>
      </w:r>
      <w:r w:rsidRPr="00966CFA">
        <w:t>.</w:t>
      </w:r>
    </w:p>
    <w:p w14:paraId="387B662A" w14:textId="667A45BA"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secretariat support to the work of the group </w:t>
      </w:r>
      <w:r w:rsidR="003C084B" w:rsidRPr="00966CFA">
        <w:t>is</w:t>
      </w:r>
      <w:r w:rsidRPr="00966CFA">
        <w:t xml:space="preserve"> provided by the Strateg</w:t>
      </w:r>
      <w:r w:rsidR="00E778FE" w:rsidRPr="00966CFA">
        <w:t xml:space="preserve">y and Planning </w:t>
      </w:r>
      <w:r w:rsidRPr="00966CFA">
        <w:t>Division of the Strategic Planning and Membership Dep</w:t>
      </w:r>
      <w:r w:rsidR="00722BCC" w:rsidRPr="00966CFA">
        <w:t xml:space="preserve">artment </w:t>
      </w:r>
      <w:r w:rsidRPr="00966CFA">
        <w:t xml:space="preserve">of the General Secretariat </w:t>
      </w:r>
      <w:r w:rsidRPr="00966CFA">
        <w:lastRenderedPageBreak/>
        <w:t>(GS/SPM/</w:t>
      </w:r>
      <w:r w:rsidR="00722BCC" w:rsidRPr="00966CFA">
        <w:t>SPD</w:t>
      </w:r>
      <w:r w:rsidRPr="00966CFA">
        <w:t>)</w:t>
      </w:r>
      <w:r w:rsidR="00F618D3" w:rsidRPr="00966CFA">
        <w:t xml:space="preserve">, while the </w:t>
      </w:r>
      <w:r w:rsidR="00CB5F3D" w:rsidRPr="00966CFA">
        <w:t>s</w:t>
      </w:r>
      <w:r w:rsidR="00F618D3" w:rsidRPr="00966CFA">
        <w:t xml:space="preserve">ecretariat’s inputs to the process have been developed </w:t>
      </w:r>
      <w:r w:rsidR="005D4816" w:rsidRPr="00966CFA">
        <w:t>with the</w:t>
      </w:r>
      <w:r w:rsidR="00DC130E" w:rsidRPr="00966CFA">
        <w:t xml:space="preserve"> coordination of the three Bureaux and the General Secretariat, </w:t>
      </w:r>
      <w:r w:rsidR="005D4816" w:rsidRPr="00966CFA">
        <w:t>via</w:t>
      </w:r>
      <w:r w:rsidR="00F618D3" w:rsidRPr="00966CFA">
        <w:t xml:space="preserve"> the cross-sectoral Strategic Planning Working Group (SP-WG), under the leadership </w:t>
      </w:r>
      <w:r w:rsidR="00163390" w:rsidRPr="00966CFA">
        <w:t>of the Director of BR, Mr. Mario Maniewicz</w:t>
      </w:r>
      <w:r w:rsidR="00A25DC7" w:rsidRPr="00966CFA">
        <w:t>,</w:t>
      </w:r>
      <w:r w:rsidR="00163390" w:rsidRPr="00966CFA">
        <w:t xml:space="preserve"> who chaired this group</w:t>
      </w:r>
      <w:r w:rsidRPr="00966CFA">
        <w:t>.</w:t>
      </w:r>
    </w:p>
    <w:p w14:paraId="710B31BF" w14:textId="679FBEBE" w:rsidR="00074C31" w:rsidRPr="00966CFA" w:rsidRDefault="00247BC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rPr>
          <w:rFonts w:asciiTheme="minorHAnsi" w:hAnsiTheme="minorHAnsi" w:cstheme="minorBidi"/>
          <w:szCs w:val="24"/>
        </w:rPr>
        <w:t>T</w:t>
      </w:r>
      <w:r w:rsidR="00383088" w:rsidRPr="00966CFA">
        <w:rPr>
          <w:rFonts w:asciiTheme="minorHAnsi" w:hAnsiTheme="minorHAnsi" w:cstheme="minorBidi"/>
          <w:szCs w:val="24"/>
        </w:rPr>
        <w:t>he</w:t>
      </w:r>
      <w:r w:rsidR="00074C31" w:rsidRPr="00966CFA">
        <w:rPr>
          <w:rFonts w:asciiTheme="minorHAnsi" w:hAnsiTheme="minorHAnsi" w:cstheme="minorBidi"/>
          <w:szCs w:val="24"/>
        </w:rPr>
        <w:t xml:space="preserve"> CWG-SFP held </w:t>
      </w:r>
      <w:r w:rsidR="00425FF3" w:rsidRPr="00966CFA">
        <w:rPr>
          <w:rFonts w:asciiTheme="minorHAnsi" w:hAnsiTheme="minorHAnsi" w:cstheme="minorBidi"/>
          <w:szCs w:val="24"/>
        </w:rPr>
        <w:t>three virtual meetings</w:t>
      </w:r>
      <w:r w:rsidR="00383088" w:rsidRPr="00966CFA">
        <w:rPr>
          <w:rFonts w:asciiTheme="minorHAnsi" w:hAnsiTheme="minorHAnsi" w:cstheme="minorBidi"/>
          <w:szCs w:val="24"/>
        </w:rPr>
        <w:t xml:space="preserve"> </w:t>
      </w:r>
      <w:r w:rsidR="00F51821" w:rsidRPr="00966CFA">
        <w:rPr>
          <w:rFonts w:asciiTheme="minorHAnsi" w:hAnsiTheme="minorHAnsi" w:cstheme="minorBidi"/>
          <w:szCs w:val="24"/>
        </w:rPr>
        <w:t xml:space="preserve">and a virtual consultation </w:t>
      </w:r>
      <w:r w:rsidR="003C084B" w:rsidRPr="00966CFA">
        <w:rPr>
          <w:rFonts w:asciiTheme="minorHAnsi" w:hAnsiTheme="minorHAnsi" w:cstheme="minorBidi"/>
          <w:szCs w:val="24"/>
        </w:rPr>
        <w:t>b</w:t>
      </w:r>
      <w:r w:rsidRPr="00966CFA">
        <w:rPr>
          <w:rFonts w:asciiTheme="minorHAnsi" w:hAnsiTheme="minorHAnsi" w:cstheme="minorBidi"/>
          <w:szCs w:val="24"/>
        </w:rPr>
        <w:t xml:space="preserve">etween </w:t>
      </w:r>
      <w:r w:rsidR="00F51821" w:rsidRPr="00966CFA">
        <w:rPr>
          <w:rFonts w:asciiTheme="minorHAnsi" w:hAnsiTheme="minorHAnsi" w:cstheme="minorBidi"/>
          <w:szCs w:val="24"/>
        </w:rPr>
        <w:t xml:space="preserve">September </w:t>
      </w:r>
      <w:r w:rsidRPr="00966CFA">
        <w:rPr>
          <w:rFonts w:asciiTheme="minorHAnsi" w:hAnsiTheme="minorHAnsi" w:cstheme="minorBidi"/>
          <w:szCs w:val="24"/>
        </w:rPr>
        <w:t xml:space="preserve">2021 and </w:t>
      </w:r>
      <w:r w:rsidR="006A589B" w:rsidRPr="00966CFA">
        <w:rPr>
          <w:rFonts w:asciiTheme="minorHAnsi" w:hAnsiTheme="minorHAnsi" w:cstheme="minorBidi"/>
          <w:szCs w:val="24"/>
        </w:rPr>
        <w:t xml:space="preserve">February </w:t>
      </w:r>
      <w:r w:rsidRPr="00966CFA">
        <w:rPr>
          <w:rFonts w:asciiTheme="minorHAnsi" w:hAnsiTheme="minorHAnsi" w:cstheme="minorBidi"/>
          <w:szCs w:val="24"/>
        </w:rPr>
        <w:t>2022</w:t>
      </w:r>
      <w:r w:rsidR="00074C31" w:rsidRPr="00966CFA">
        <w:rPr>
          <w:rFonts w:asciiTheme="minorHAnsi" w:hAnsiTheme="minorHAnsi" w:cstheme="minorBidi"/>
          <w:szCs w:val="24"/>
        </w:rPr>
        <w:t xml:space="preserve">. The </w:t>
      </w:r>
      <w:r w:rsidR="006A589B" w:rsidRPr="00966CFA">
        <w:rPr>
          <w:rFonts w:asciiTheme="minorHAnsi" w:hAnsiTheme="minorHAnsi" w:cstheme="minorBidi"/>
          <w:szCs w:val="24"/>
        </w:rPr>
        <w:t xml:space="preserve">consolidated </w:t>
      </w:r>
      <w:r w:rsidR="000A110C" w:rsidRPr="00966CFA">
        <w:rPr>
          <w:rFonts w:asciiTheme="minorHAnsi" w:hAnsiTheme="minorHAnsi" w:cstheme="minorBidi"/>
          <w:szCs w:val="24"/>
        </w:rPr>
        <w:t xml:space="preserve">summary </w:t>
      </w:r>
      <w:r w:rsidR="006A589B" w:rsidRPr="00966CFA">
        <w:rPr>
          <w:rFonts w:asciiTheme="minorHAnsi" w:hAnsiTheme="minorHAnsi" w:cstheme="minorBidi"/>
          <w:szCs w:val="24"/>
        </w:rPr>
        <w:t xml:space="preserve">report </w:t>
      </w:r>
      <w:r w:rsidR="00074C31" w:rsidRPr="00966CFA">
        <w:rPr>
          <w:rFonts w:asciiTheme="minorHAnsi" w:hAnsiTheme="minorHAnsi" w:cstheme="minorBidi"/>
          <w:szCs w:val="24"/>
        </w:rPr>
        <w:t xml:space="preserve">of </w:t>
      </w:r>
      <w:r w:rsidR="00403870" w:rsidRPr="00966CFA">
        <w:rPr>
          <w:rFonts w:asciiTheme="minorHAnsi" w:hAnsiTheme="minorHAnsi" w:cstheme="minorBidi"/>
          <w:szCs w:val="24"/>
        </w:rPr>
        <w:t xml:space="preserve">these </w:t>
      </w:r>
      <w:r w:rsidR="00074C31" w:rsidRPr="00966CFA">
        <w:rPr>
          <w:rFonts w:asciiTheme="minorHAnsi" w:hAnsiTheme="minorHAnsi" w:cstheme="minorBidi"/>
          <w:szCs w:val="24"/>
        </w:rPr>
        <w:t>meeting</w:t>
      </w:r>
      <w:r w:rsidR="00403870" w:rsidRPr="00966CFA">
        <w:rPr>
          <w:rFonts w:asciiTheme="minorHAnsi" w:hAnsiTheme="minorHAnsi" w:cstheme="minorBidi"/>
          <w:szCs w:val="24"/>
        </w:rPr>
        <w:t>s</w:t>
      </w:r>
      <w:r w:rsidR="00074C31" w:rsidRPr="00966CFA">
        <w:rPr>
          <w:rFonts w:asciiTheme="minorHAnsi" w:hAnsiTheme="minorHAnsi" w:cstheme="minorBidi"/>
          <w:szCs w:val="24"/>
        </w:rPr>
        <w:t xml:space="preserve"> and the outcomes of the work of the group are presented in this report.</w:t>
      </w:r>
    </w:p>
    <w:p w14:paraId="55805A15" w14:textId="536AB1B2"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rPr>
          <w:rFonts w:asciiTheme="minorHAnsi" w:hAnsiTheme="minorHAnsi" w:cstheme="minorBidi"/>
          <w:szCs w:val="24"/>
        </w:rPr>
        <w:t xml:space="preserve">In addition to the </w:t>
      </w:r>
      <w:r w:rsidR="00317C30" w:rsidRPr="00966CFA">
        <w:rPr>
          <w:rFonts w:asciiTheme="minorHAnsi" w:hAnsiTheme="minorHAnsi" w:cstheme="minorBidi"/>
          <w:szCs w:val="24"/>
        </w:rPr>
        <w:t>formal</w:t>
      </w:r>
      <w:r w:rsidRPr="00966CFA">
        <w:rPr>
          <w:rFonts w:asciiTheme="minorHAnsi" w:hAnsiTheme="minorHAnsi" w:cstheme="minorBidi"/>
          <w:szCs w:val="24"/>
        </w:rPr>
        <w:t xml:space="preserve"> meetings, the group also conducted </w:t>
      </w:r>
      <w:r w:rsidR="00FD6CD1" w:rsidRPr="00966CFA">
        <w:rPr>
          <w:rFonts w:asciiTheme="minorHAnsi" w:hAnsiTheme="minorHAnsi" w:cstheme="minorBidi"/>
          <w:szCs w:val="24"/>
        </w:rPr>
        <w:t xml:space="preserve">the following </w:t>
      </w:r>
      <w:r w:rsidRPr="00966CFA">
        <w:rPr>
          <w:rFonts w:asciiTheme="minorHAnsi" w:hAnsiTheme="minorHAnsi" w:cstheme="minorBidi"/>
          <w:szCs w:val="24"/>
        </w:rPr>
        <w:t>consultation</w:t>
      </w:r>
      <w:r w:rsidR="00FD6CD1" w:rsidRPr="00966CFA">
        <w:rPr>
          <w:rFonts w:asciiTheme="minorHAnsi" w:hAnsiTheme="minorHAnsi" w:cstheme="minorBidi"/>
          <w:szCs w:val="24"/>
        </w:rPr>
        <w:t>s</w:t>
      </w:r>
      <w:r w:rsidRPr="00966CFA">
        <w:rPr>
          <w:rFonts w:asciiTheme="minorHAnsi" w:hAnsiTheme="minorHAnsi" w:cstheme="minorBidi"/>
          <w:szCs w:val="24"/>
        </w:rPr>
        <w:t xml:space="preserve"> and considered the</w:t>
      </w:r>
      <w:r w:rsidR="00FD6CD1" w:rsidRPr="00966CFA">
        <w:rPr>
          <w:rFonts w:asciiTheme="minorHAnsi" w:hAnsiTheme="minorHAnsi" w:cstheme="minorBidi"/>
          <w:szCs w:val="24"/>
        </w:rPr>
        <w:t>ir</w:t>
      </w:r>
      <w:r w:rsidRPr="00966CFA">
        <w:rPr>
          <w:rFonts w:asciiTheme="minorHAnsi" w:hAnsiTheme="minorHAnsi" w:cstheme="minorBidi"/>
          <w:szCs w:val="24"/>
        </w:rPr>
        <w:t xml:space="preserve"> inputs during its discussions: </w:t>
      </w:r>
    </w:p>
    <w:p w14:paraId="77DD5FE8" w14:textId="4D733603" w:rsidR="004312B7" w:rsidRPr="00966CFA" w:rsidRDefault="004312B7" w:rsidP="004312B7">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966CFA">
        <w:t>Informal Consultation</w:t>
      </w:r>
      <w:r w:rsidR="00C6442C" w:rsidRPr="00966CFA">
        <w:t xml:space="preserve"> of the CWG-SFP Chairman on the ITU Strategy (</w:t>
      </w:r>
      <w:r w:rsidRPr="00966CFA">
        <w:t>August 2021</w:t>
      </w:r>
      <w:r w:rsidR="00C6442C" w:rsidRPr="00966CFA">
        <w:t>)</w:t>
      </w:r>
    </w:p>
    <w:p w14:paraId="7F6A5307" w14:textId="0F9AE9E8" w:rsidR="004312B7" w:rsidRPr="00966CFA" w:rsidRDefault="004312B7" w:rsidP="004312B7">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rsidRPr="00966CFA">
        <w:t>Study Groups’ Survey on the ITU Strategy 2024-27</w:t>
      </w:r>
      <w:r w:rsidR="009720AF" w:rsidRPr="00966CFA">
        <w:t xml:space="preserve"> (Aug-</w:t>
      </w:r>
      <w:r w:rsidRPr="00966CFA">
        <w:t>Sept 2021</w:t>
      </w:r>
      <w:r w:rsidR="009720AF" w:rsidRPr="00966CFA">
        <w:t>)</w:t>
      </w:r>
      <w:r w:rsidR="00D84D72" w:rsidRPr="00966CFA">
        <w:t>, where a</w:t>
      </w:r>
      <w:r w:rsidRPr="00966CFA">
        <w:t xml:space="preserve">ll 19 ITU Study Group Chairpersons </w:t>
      </w:r>
      <w:r w:rsidR="009720AF" w:rsidRPr="00966CFA">
        <w:t>participated</w:t>
      </w:r>
    </w:p>
    <w:p w14:paraId="3F2FE064" w14:textId="4B08ADA5" w:rsidR="00FD6CD1" w:rsidRPr="00966CFA" w:rsidRDefault="004312B7" w:rsidP="00D40C7F">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asciiTheme="minorHAnsi" w:hAnsiTheme="minorHAnsi" w:cstheme="minorBidi"/>
          <w:szCs w:val="24"/>
        </w:rPr>
      </w:pPr>
      <w:r w:rsidRPr="00966CFA">
        <w:rPr>
          <w:rFonts w:asciiTheme="minorHAnsi" w:hAnsiTheme="minorHAnsi" w:cstheme="minorBidi"/>
          <w:szCs w:val="24"/>
        </w:rPr>
        <w:t xml:space="preserve">Presentations and consultations with Sector </w:t>
      </w:r>
      <w:r w:rsidR="00ED68DC" w:rsidRPr="00966CFA">
        <w:rPr>
          <w:rFonts w:asciiTheme="minorHAnsi" w:hAnsiTheme="minorHAnsi" w:cstheme="minorBidi"/>
          <w:szCs w:val="24"/>
        </w:rPr>
        <w:t>a</w:t>
      </w:r>
      <w:r w:rsidRPr="00966CFA">
        <w:rPr>
          <w:rFonts w:asciiTheme="minorHAnsi" w:hAnsiTheme="minorHAnsi" w:cstheme="minorBidi"/>
          <w:szCs w:val="24"/>
        </w:rPr>
        <w:t xml:space="preserve">dvisory </w:t>
      </w:r>
      <w:r w:rsidR="00ED68DC" w:rsidRPr="00966CFA">
        <w:rPr>
          <w:rFonts w:asciiTheme="minorHAnsi" w:hAnsiTheme="minorHAnsi" w:cstheme="minorBidi"/>
          <w:szCs w:val="24"/>
        </w:rPr>
        <w:t>g</w:t>
      </w:r>
      <w:r w:rsidRPr="00966CFA">
        <w:rPr>
          <w:rFonts w:asciiTheme="minorHAnsi" w:hAnsiTheme="minorHAnsi" w:cstheme="minorBidi"/>
          <w:szCs w:val="24"/>
        </w:rPr>
        <w:t xml:space="preserve">roups </w:t>
      </w:r>
      <w:r w:rsidR="00D53C1E" w:rsidRPr="00966CFA">
        <w:rPr>
          <w:rFonts w:asciiTheme="minorHAnsi" w:hAnsiTheme="minorHAnsi" w:cstheme="minorBidi"/>
          <w:szCs w:val="24"/>
        </w:rPr>
        <w:t>took p</w:t>
      </w:r>
      <w:r w:rsidRPr="00966CFA">
        <w:rPr>
          <w:rFonts w:asciiTheme="minorHAnsi" w:hAnsiTheme="minorHAnsi" w:cstheme="minorBidi"/>
          <w:szCs w:val="24"/>
        </w:rPr>
        <w:t xml:space="preserve">lace since the initiation of the strategic planning process, including the participation of the Chair of the CWG-SFP in the relevant </w:t>
      </w:r>
      <w:r w:rsidR="00855AD5" w:rsidRPr="00966CFA">
        <w:rPr>
          <w:rFonts w:asciiTheme="minorHAnsi" w:hAnsiTheme="minorHAnsi" w:cstheme="minorBidi"/>
          <w:szCs w:val="24"/>
        </w:rPr>
        <w:t xml:space="preserve">advisory groups </w:t>
      </w:r>
      <w:r w:rsidRPr="00966CFA">
        <w:rPr>
          <w:rFonts w:asciiTheme="minorHAnsi" w:hAnsiTheme="minorHAnsi" w:cstheme="minorBidi"/>
          <w:szCs w:val="24"/>
        </w:rPr>
        <w:t>meetings</w:t>
      </w:r>
      <w:r w:rsidR="000679A3" w:rsidRPr="00966CFA">
        <w:rPr>
          <w:rFonts w:asciiTheme="minorHAnsi" w:hAnsiTheme="minorHAnsi" w:cstheme="minorBidi"/>
          <w:szCs w:val="24"/>
        </w:rPr>
        <w:t xml:space="preserve">, with the </w:t>
      </w:r>
      <w:r w:rsidRPr="00966CFA">
        <w:rPr>
          <w:rFonts w:asciiTheme="minorHAnsi" w:hAnsiTheme="minorHAnsi" w:cstheme="minorBidi"/>
          <w:szCs w:val="24"/>
        </w:rPr>
        <w:t>aim to facilitate the gathering of inputs from all three Sector advisory</w:t>
      </w:r>
      <w:r w:rsidR="00E932AA" w:rsidRPr="00966CFA">
        <w:rPr>
          <w:rFonts w:asciiTheme="minorHAnsi" w:hAnsiTheme="minorHAnsi" w:cstheme="minorBidi"/>
          <w:szCs w:val="24"/>
        </w:rPr>
        <w:t xml:space="preserve"> groups.</w:t>
      </w:r>
    </w:p>
    <w:p w14:paraId="380CAE79" w14:textId="1DC49CA0" w:rsidR="00074C31" w:rsidRPr="00966CFA"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 xml:space="preserve">First </w:t>
      </w:r>
      <w:r w:rsidR="00952726" w:rsidRPr="00966CFA">
        <w:rPr>
          <w:b/>
        </w:rPr>
        <w:t xml:space="preserve">(virtual) </w:t>
      </w:r>
      <w:r w:rsidRPr="00966CFA">
        <w:rPr>
          <w:b/>
        </w:rPr>
        <w:t>meeting of the CWG-SFP (2</w:t>
      </w:r>
      <w:r w:rsidR="00183BF5" w:rsidRPr="00966CFA">
        <w:rPr>
          <w:b/>
        </w:rPr>
        <w:t>9-30 September 2021</w:t>
      </w:r>
      <w:r w:rsidRPr="00966CFA">
        <w:rPr>
          <w:b/>
        </w:rPr>
        <w:t>)</w:t>
      </w:r>
    </w:p>
    <w:p w14:paraId="598E1F70" w14:textId="64DC4FB4"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During its first meeting, the group discussed and agreed on the process for the development of the ITU Strategic and Financial Plans for 202</w:t>
      </w:r>
      <w:r w:rsidR="00F4512F" w:rsidRPr="00966CFA">
        <w:t>4-</w:t>
      </w:r>
      <w:r w:rsidRPr="00966CFA">
        <w:t>202</w:t>
      </w:r>
      <w:r w:rsidR="00F4512F" w:rsidRPr="00966CFA">
        <w:t>7</w:t>
      </w:r>
      <w:r w:rsidRPr="00966CFA">
        <w:t xml:space="preserve"> and the schedule of its meetings.</w:t>
      </w:r>
    </w:p>
    <w:p w14:paraId="5B05ECD7" w14:textId="2335D85A" w:rsidR="00074C31" w:rsidRPr="00966CFA" w:rsidRDefault="00AF1F3C"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Input documents for preparing the </w:t>
      </w:r>
      <w:r w:rsidR="006C6CE4" w:rsidRPr="00966CFA">
        <w:t xml:space="preserve">Situational Analysis to be included as Annex 2 of Resolution 71 were presented by </w:t>
      </w:r>
      <w:r w:rsidR="00916F74" w:rsidRPr="00966CFA">
        <w:t xml:space="preserve">the secretariat, together with the results of </w:t>
      </w:r>
      <w:r w:rsidR="001F164D" w:rsidRPr="00966CFA">
        <w:t xml:space="preserve">the </w:t>
      </w:r>
      <w:r w:rsidR="004E5C45" w:rsidRPr="00966CFA">
        <w:t xml:space="preserve">Informal Consultation of the CWG-SFP </w:t>
      </w:r>
      <w:r w:rsidR="00B8753E" w:rsidRPr="00966CFA">
        <w:t xml:space="preserve">Chairman </w:t>
      </w:r>
      <w:r w:rsidR="004E5C45" w:rsidRPr="00966CFA">
        <w:t>on the ITU Strategy</w:t>
      </w:r>
      <w:r w:rsidR="001F164D" w:rsidRPr="00966CFA">
        <w:t xml:space="preserve"> (document </w:t>
      </w:r>
      <w:hyperlink r:id="rId15" w:history="1">
        <w:r w:rsidR="001F164D" w:rsidRPr="00966CFA">
          <w:rPr>
            <w:rStyle w:val="Hyperlink"/>
          </w:rPr>
          <w:t>CWG-SFP-1/11</w:t>
        </w:r>
      </w:hyperlink>
      <w:r w:rsidR="001F164D" w:rsidRPr="00966CFA">
        <w:t>)</w:t>
      </w:r>
      <w:r w:rsidR="00B8753E" w:rsidRPr="00966CFA">
        <w:t>, and the re</w:t>
      </w:r>
      <w:r w:rsidR="004E5C45" w:rsidRPr="00966CFA">
        <w:t>sults of the Study Groups’ Survey on the ITU Strategy 2024-27</w:t>
      </w:r>
      <w:r w:rsidR="001F164D" w:rsidRPr="00966CFA">
        <w:t xml:space="preserve">(document </w:t>
      </w:r>
      <w:hyperlink r:id="rId16" w:history="1">
        <w:r w:rsidR="001F164D" w:rsidRPr="00966CFA">
          <w:rPr>
            <w:rStyle w:val="Hyperlink"/>
          </w:rPr>
          <w:t>CWG-SFP-1/INF-6</w:t>
        </w:r>
      </w:hyperlink>
      <w:r w:rsidR="001F164D" w:rsidRPr="00966CFA">
        <w:t>)</w:t>
      </w:r>
      <w:r w:rsidR="00074C31" w:rsidRPr="00966CFA">
        <w:t>.</w:t>
      </w:r>
    </w:p>
    <w:p w14:paraId="291AB229" w14:textId="1F701B80" w:rsidR="00125A72" w:rsidRPr="00966CFA" w:rsidRDefault="00074C31" w:rsidP="00125A72">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finally agreed on </w:t>
      </w:r>
      <w:r w:rsidR="00CB3AAB" w:rsidRPr="00966CFA">
        <w:t xml:space="preserve">the following </w:t>
      </w:r>
      <w:r w:rsidR="000C2605" w:rsidRPr="00966CFA">
        <w:t xml:space="preserve">set of principles and guidelines to be followed when </w:t>
      </w:r>
      <w:r w:rsidR="00311442" w:rsidRPr="00966CFA">
        <w:t>developing the draft Strategic and Financial Plans for 2024-2027</w:t>
      </w:r>
      <w:r w:rsidR="00537462" w:rsidRPr="00966CFA">
        <w:t xml:space="preserve"> (document </w:t>
      </w:r>
      <w:hyperlink r:id="rId17" w:history="1">
        <w:r w:rsidR="00404E5B" w:rsidRPr="00966CFA">
          <w:rPr>
            <w:rStyle w:val="Hyperlink"/>
          </w:rPr>
          <w:t>CWG-SFP-1/12</w:t>
        </w:r>
      </w:hyperlink>
      <w:r w:rsidR="00404E5B" w:rsidRPr="00966CFA">
        <w:t>)</w:t>
      </w:r>
      <w:r w:rsidR="00CB3AAB" w:rsidRPr="00966CFA">
        <w:t>:</w:t>
      </w:r>
    </w:p>
    <w:p w14:paraId="37A401A8" w14:textId="2ED28789" w:rsidR="00125A72" w:rsidRPr="00966CFA" w:rsidRDefault="008D6F89" w:rsidP="00CA350E">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i/>
          <w:iCs/>
        </w:rPr>
      </w:pPr>
      <w:r w:rsidRPr="00966CFA">
        <w:rPr>
          <w:i/>
          <w:iCs/>
        </w:rPr>
        <w:t>Principles:</w:t>
      </w:r>
    </w:p>
    <w:p w14:paraId="513BD410" w14:textId="7161B96A" w:rsidR="00A27B36" w:rsidRPr="00966CFA" w:rsidRDefault="00D73730"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Simplification and clarity:</w:t>
      </w:r>
      <w:r w:rsidRPr="00966CFA">
        <w:rPr>
          <w:rFonts w:ascii="Calibri" w:eastAsia="Times New Roman" w:hAnsi="Calibri"/>
          <w:szCs w:val="20"/>
          <w:lang w:eastAsia="en-US"/>
        </w:rPr>
        <w:t xml:space="preserve"> </w:t>
      </w:r>
      <w:r w:rsidR="00571168" w:rsidRPr="00966CFA">
        <w:rPr>
          <w:rFonts w:ascii="Calibri" w:eastAsia="Times New Roman" w:hAnsi="Calibri"/>
          <w:szCs w:val="20"/>
          <w:lang w:eastAsia="en-US"/>
        </w:rPr>
        <w:t>Provide inputs on how to simplify and clarify the strategic framework</w:t>
      </w:r>
      <w:r w:rsidR="00BD5649" w:rsidRPr="00966CFA">
        <w:rPr>
          <w:rFonts w:ascii="Calibri" w:eastAsia="Times New Roman" w:hAnsi="Calibri"/>
          <w:szCs w:val="20"/>
          <w:lang w:eastAsia="en-US"/>
        </w:rPr>
        <w:t>.</w:t>
      </w:r>
    </w:p>
    <w:p w14:paraId="4074E834" w14:textId="77777777" w:rsidR="00A27B36" w:rsidRPr="00966CFA" w:rsidRDefault="001D508B"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Focus:</w:t>
      </w:r>
      <w:r w:rsidRPr="00966CFA">
        <w:rPr>
          <w:rFonts w:ascii="Calibri" w:eastAsia="Times New Roman" w:hAnsi="Calibri"/>
          <w:szCs w:val="20"/>
          <w:lang w:eastAsia="en-US"/>
        </w:rPr>
        <w:t xml:space="preserve"> Provide inputs </w:t>
      </w:r>
      <w:proofErr w:type="gramStart"/>
      <w:r w:rsidRPr="00966CFA">
        <w:rPr>
          <w:rFonts w:ascii="Calibri" w:eastAsia="Times New Roman" w:hAnsi="Calibri"/>
          <w:szCs w:val="20"/>
          <w:lang w:eastAsia="en-US"/>
        </w:rPr>
        <w:t>on</w:t>
      </w:r>
      <w:r w:rsidR="007F2EE4" w:rsidRPr="00966CFA">
        <w:rPr>
          <w:rFonts w:ascii="Calibri" w:eastAsia="Times New Roman" w:hAnsi="Calibri"/>
          <w:szCs w:val="20"/>
          <w:lang w:eastAsia="en-US"/>
        </w:rPr>
        <w:t>:</w:t>
      </w:r>
      <w:proofErr w:type="gramEnd"/>
      <w:r w:rsidR="007F2EE4" w:rsidRPr="00966CFA">
        <w:rPr>
          <w:rFonts w:ascii="Calibri" w:eastAsia="Times New Roman" w:hAnsi="Calibri"/>
          <w:szCs w:val="20"/>
          <w:lang w:eastAsia="en-US"/>
        </w:rPr>
        <w:t xml:space="preserve"> a)</w:t>
      </w:r>
      <w:r w:rsidRPr="00966CFA">
        <w:rPr>
          <w:rFonts w:ascii="Calibri" w:eastAsia="Times New Roman" w:hAnsi="Calibri"/>
          <w:szCs w:val="20"/>
          <w:lang w:eastAsia="en-US"/>
        </w:rPr>
        <w:t xml:space="preserve"> how to keep the strategic plan at a high level</w:t>
      </w:r>
      <w:r w:rsidR="007F2EE4" w:rsidRPr="00966CFA">
        <w:rPr>
          <w:rFonts w:ascii="Calibri" w:eastAsia="Times New Roman" w:hAnsi="Calibri"/>
          <w:szCs w:val="20"/>
          <w:lang w:eastAsia="en-US"/>
        </w:rPr>
        <w:t>,</w:t>
      </w:r>
      <w:r w:rsidRPr="00966CFA">
        <w:rPr>
          <w:rFonts w:ascii="Calibri" w:eastAsia="Times New Roman" w:hAnsi="Calibri"/>
          <w:szCs w:val="20"/>
          <w:lang w:eastAsia="en-US"/>
        </w:rPr>
        <w:t xml:space="preserve"> and </w:t>
      </w:r>
      <w:r w:rsidR="007F2EE4" w:rsidRPr="00966CFA">
        <w:rPr>
          <w:rFonts w:ascii="Calibri" w:eastAsia="Times New Roman" w:hAnsi="Calibri"/>
          <w:szCs w:val="20"/>
          <w:lang w:eastAsia="en-US"/>
        </w:rPr>
        <w:t>b</w:t>
      </w:r>
      <w:r w:rsidRPr="00966CFA">
        <w:rPr>
          <w:rFonts w:ascii="Calibri" w:eastAsia="Times New Roman" w:hAnsi="Calibri"/>
          <w:szCs w:val="20"/>
          <w:lang w:eastAsia="en-US"/>
        </w:rPr>
        <w:t>) identify main themes of work that reinforce synergies across the Sectors</w:t>
      </w:r>
      <w:r w:rsidR="00C3239C" w:rsidRPr="00966CFA">
        <w:rPr>
          <w:rFonts w:ascii="Calibri" w:eastAsia="Times New Roman" w:hAnsi="Calibri"/>
          <w:szCs w:val="20"/>
          <w:lang w:eastAsia="en-US"/>
        </w:rPr>
        <w:t>.</w:t>
      </w:r>
    </w:p>
    <w:p w14:paraId="6CEDBB97" w14:textId="77777777" w:rsidR="00A27B36" w:rsidRPr="00966CFA" w:rsidRDefault="00FC28C8"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One ITU:</w:t>
      </w:r>
      <w:r w:rsidRPr="00966CFA">
        <w:rPr>
          <w:rFonts w:ascii="Calibri" w:eastAsia="Times New Roman" w:hAnsi="Calibri"/>
          <w:szCs w:val="20"/>
          <w:lang w:eastAsia="en-US"/>
        </w:rPr>
        <w:t xml:space="preserve"> </w:t>
      </w:r>
      <w:r w:rsidR="00393F2F" w:rsidRPr="00966CFA">
        <w:rPr>
          <w:rFonts w:ascii="Calibri" w:eastAsia="Times New Roman" w:hAnsi="Calibri"/>
          <w:szCs w:val="20"/>
          <w:lang w:eastAsia="en-US"/>
        </w:rPr>
        <w:t>Provide inputs to clarify and strengthen the concept of One ITU in the strategic plan</w:t>
      </w:r>
      <w:r w:rsidR="00C3239C" w:rsidRPr="00966CFA">
        <w:rPr>
          <w:rFonts w:ascii="Calibri" w:eastAsia="Times New Roman" w:hAnsi="Calibri"/>
          <w:szCs w:val="20"/>
          <w:lang w:eastAsia="en-US"/>
        </w:rPr>
        <w:t>.</w:t>
      </w:r>
    </w:p>
    <w:p w14:paraId="322E17F5" w14:textId="77777777" w:rsidR="00A27B36" w:rsidRPr="00966CFA" w:rsidRDefault="00604717"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Regional presence:</w:t>
      </w:r>
      <w:r w:rsidRPr="00966CFA">
        <w:rPr>
          <w:rFonts w:ascii="Calibri" w:eastAsia="Times New Roman" w:hAnsi="Calibri"/>
          <w:szCs w:val="20"/>
          <w:lang w:eastAsia="en-US"/>
        </w:rPr>
        <w:t xml:space="preserve"> </w:t>
      </w:r>
      <w:r w:rsidR="006051C1" w:rsidRPr="00966CFA">
        <w:rPr>
          <w:rFonts w:ascii="Calibri" w:eastAsia="Times New Roman" w:hAnsi="Calibri"/>
          <w:szCs w:val="20"/>
          <w:lang w:eastAsia="en-US"/>
        </w:rPr>
        <w:t>Provide inputs on how to incorporate the role of ITU’s regional presence in the strategic plan</w:t>
      </w:r>
      <w:r w:rsidR="00C3239C" w:rsidRPr="00966CFA">
        <w:rPr>
          <w:rFonts w:ascii="Calibri" w:eastAsia="Times New Roman" w:hAnsi="Calibri"/>
          <w:szCs w:val="20"/>
          <w:lang w:eastAsia="en-US"/>
        </w:rPr>
        <w:t>.</w:t>
      </w:r>
    </w:p>
    <w:p w14:paraId="0B437C1B" w14:textId="77777777" w:rsidR="00CA350E" w:rsidRPr="00966CFA" w:rsidRDefault="00D8135D"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Linkage with Financial Plan:</w:t>
      </w:r>
      <w:r w:rsidRPr="00966CFA">
        <w:rPr>
          <w:rFonts w:ascii="Calibri" w:eastAsia="Times New Roman" w:hAnsi="Calibri"/>
          <w:szCs w:val="20"/>
          <w:lang w:eastAsia="en-US"/>
        </w:rPr>
        <w:t xml:space="preserve"> Consider the following principles: </w:t>
      </w:r>
      <w:r w:rsidR="00C3239C" w:rsidRPr="00966CFA">
        <w:rPr>
          <w:rFonts w:ascii="Calibri" w:eastAsia="Times New Roman" w:hAnsi="Calibri"/>
          <w:szCs w:val="20"/>
          <w:lang w:eastAsia="en-US"/>
        </w:rPr>
        <w:t>a</w:t>
      </w:r>
      <w:r w:rsidRPr="00966CFA">
        <w:rPr>
          <w:rFonts w:ascii="Calibri" w:eastAsia="Times New Roman" w:hAnsi="Calibri"/>
          <w:szCs w:val="20"/>
          <w:lang w:eastAsia="en-US"/>
        </w:rPr>
        <w:t xml:space="preserve">) direct linkage between the strategic priorities and the allocation of financial &amp; human resources, and </w:t>
      </w:r>
      <w:r w:rsidR="00C3239C" w:rsidRPr="00966CFA">
        <w:rPr>
          <w:rFonts w:ascii="Calibri" w:eastAsia="Times New Roman" w:hAnsi="Calibri"/>
          <w:szCs w:val="20"/>
          <w:lang w:eastAsia="en-US"/>
        </w:rPr>
        <w:t>b</w:t>
      </w:r>
      <w:r w:rsidRPr="00966CFA">
        <w:rPr>
          <w:rFonts w:ascii="Calibri" w:eastAsia="Times New Roman" w:hAnsi="Calibri"/>
          <w:szCs w:val="20"/>
          <w:lang w:eastAsia="en-US"/>
        </w:rPr>
        <w:t>) no elements should remain unfunded</w:t>
      </w:r>
      <w:r w:rsidR="00C3239C" w:rsidRPr="00966CFA">
        <w:rPr>
          <w:rFonts w:ascii="Calibri" w:eastAsia="Times New Roman" w:hAnsi="Calibri"/>
          <w:szCs w:val="20"/>
          <w:lang w:eastAsia="en-US"/>
        </w:rPr>
        <w:t>.</w:t>
      </w:r>
    </w:p>
    <w:p w14:paraId="250B96AC" w14:textId="682269D8" w:rsidR="00E24D89" w:rsidRPr="00966CFA" w:rsidRDefault="00E24D89"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 xml:space="preserve">Developments at the UN level: </w:t>
      </w:r>
      <w:r w:rsidR="00F30E31" w:rsidRPr="00966CFA">
        <w:rPr>
          <w:rFonts w:ascii="Calibri" w:eastAsia="Times New Roman" w:hAnsi="Calibri"/>
          <w:szCs w:val="20"/>
          <w:lang w:eastAsia="en-US"/>
        </w:rPr>
        <w:t>Provide updates on the ongoing discussions at the UN level &amp; inputs to better reflect the role of the ITU within the UN system</w:t>
      </w:r>
      <w:r w:rsidR="00C3239C" w:rsidRPr="00966CFA">
        <w:rPr>
          <w:rFonts w:ascii="Calibri" w:eastAsia="Times New Roman" w:hAnsi="Calibri"/>
          <w:szCs w:val="20"/>
          <w:lang w:eastAsia="en-US"/>
        </w:rPr>
        <w:t>.</w:t>
      </w:r>
    </w:p>
    <w:p w14:paraId="38B6C971" w14:textId="70856A5D" w:rsidR="008D6F89" w:rsidRPr="00966CFA" w:rsidRDefault="008D6F89" w:rsidP="00CA350E">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i/>
          <w:iCs/>
        </w:rPr>
      </w:pPr>
      <w:r w:rsidRPr="00966CFA">
        <w:rPr>
          <w:i/>
          <w:iCs/>
        </w:rPr>
        <w:lastRenderedPageBreak/>
        <w:t>Guidelines:</w:t>
      </w:r>
    </w:p>
    <w:p w14:paraId="3C2269C7" w14:textId="77777777" w:rsidR="00CA350E" w:rsidRPr="00966CFA" w:rsidRDefault="001D0C83"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Vision/Mission:</w:t>
      </w:r>
      <w:r w:rsidRPr="00966CFA">
        <w:rPr>
          <w:rFonts w:ascii="Calibri" w:eastAsia="Times New Roman" w:hAnsi="Calibri"/>
          <w:szCs w:val="20"/>
          <w:lang w:eastAsia="en-US"/>
        </w:rPr>
        <w:t xml:space="preserve"> Collect further inputs in view of potentially adjusting the wording of the vision and mission, respectively</w:t>
      </w:r>
      <w:r w:rsidR="00356DA2" w:rsidRPr="00966CFA">
        <w:rPr>
          <w:rFonts w:ascii="Calibri" w:eastAsia="Times New Roman" w:hAnsi="Calibri"/>
          <w:szCs w:val="20"/>
          <w:lang w:eastAsia="en-US"/>
        </w:rPr>
        <w:t>.</w:t>
      </w:r>
    </w:p>
    <w:p w14:paraId="12F3CC66" w14:textId="77777777" w:rsidR="00CA350E" w:rsidRPr="00966CFA" w:rsidRDefault="0057057F"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Goals:</w:t>
      </w:r>
      <w:r w:rsidRPr="00966CFA">
        <w:rPr>
          <w:rFonts w:ascii="Calibri" w:eastAsia="Times New Roman" w:hAnsi="Calibri"/>
          <w:szCs w:val="20"/>
          <w:lang w:eastAsia="en-US"/>
        </w:rPr>
        <w:t xml:space="preserve"> </w:t>
      </w:r>
      <w:r w:rsidR="000960AF" w:rsidRPr="00966CFA">
        <w:rPr>
          <w:rFonts w:ascii="Calibri" w:eastAsia="Times New Roman" w:hAnsi="Calibri"/>
          <w:szCs w:val="20"/>
          <w:lang w:eastAsia="en-US"/>
        </w:rPr>
        <w:t xml:space="preserve">Provide inputs on the possibility and implications of keeping, </w:t>
      </w:r>
      <w:proofErr w:type="gramStart"/>
      <w:r w:rsidR="000960AF" w:rsidRPr="00966CFA">
        <w:rPr>
          <w:rFonts w:ascii="Calibri" w:eastAsia="Times New Roman" w:hAnsi="Calibri"/>
          <w:szCs w:val="20"/>
          <w:lang w:eastAsia="en-US"/>
        </w:rPr>
        <w:t>adjusting</w:t>
      </w:r>
      <w:proofErr w:type="gramEnd"/>
      <w:r w:rsidR="000960AF" w:rsidRPr="00966CFA">
        <w:rPr>
          <w:rFonts w:ascii="Calibri" w:eastAsia="Times New Roman" w:hAnsi="Calibri"/>
          <w:szCs w:val="20"/>
          <w:lang w:eastAsia="en-US"/>
        </w:rPr>
        <w:t xml:space="preserve"> or grouping the current goals</w:t>
      </w:r>
      <w:r w:rsidR="00356DA2" w:rsidRPr="00966CFA">
        <w:rPr>
          <w:rFonts w:ascii="Calibri" w:eastAsia="Times New Roman" w:hAnsi="Calibri"/>
          <w:szCs w:val="20"/>
          <w:lang w:eastAsia="en-US"/>
        </w:rPr>
        <w:t>.</w:t>
      </w:r>
    </w:p>
    <w:p w14:paraId="1D14F726" w14:textId="77777777" w:rsidR="00CA350E" w:rsidRPr="00966CFA" w:rsidRDefault="00464C3C"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ITU results framework:</w:t>
      </w:r>
      <w:r w:rsidRPr="00966CFA">
        <w:rPr>
          <w:rFonts w:ascii="Calibri" w:eastAsia="Times New Roman" w:hAnsi="Calibri"/>
          <w:szCs w:val="20"/>
          <w:lang w:eastAsia="en-US"/>
        </w:rPr>
        <w:t xml:space="preserve"> Continue to develop the ITU results framework</w:t>
      </w:r>
      <w:r w:rsidR="00356DA2" w:rsidRPr="00966CFA">
        <w:rPr>
          <w:rFonts w:ascii="Calibri" w:eastAsia="Times New Roman" w:hAnsi="Calibri"/>
          <w:szCs w:val="20"/>
          <w:lang w:eastAsia="en-US"/>
        </w:rPr>
        <w:t>.</w:t>
      </w:r>
    </w:p>
    <w:p w14:paraId="7ED694A9" w14:textId="22AE8AF1" w:rsidR="001F411F" w:rsidRPr="00966CFA" w:rsidRDefault="001F411F"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966CFA">
        <w:rPr>
          <w:rFonts w:ascii="Calibri" w:eastAsia="Times New Roman" w:hAnsi="Calibri"/>
          <w:b/>
          <w:bCs/>
          <w:szCs w:val="20"/>
          <w:lang w:eastAsia="en-US"/>
        </w:rPr>
        <w:t>Targets:</w:t>
      </w:r>
      <w:r w:rsidRPr="00966CFA">
        <w:rPr>
          <w:rFonts w:ascii="Calibri" w:eastAsia="Times New Roman" w:hAnsi="Calibri"/>
          <w:szCs w:val="20"/>
          <w:lang w:eastAsia="en-US"/>
        </w:rPr>
        <w:t xml:space="preserve"> Provide inputs to review the current set of targets</w:t>
      </w:r>
      <w:r w:rsidR="00304312" w:rsidRPr="00966CFA">
        <w:rPr>
          <w:rFonts w:ascii="Calibri" w:eastAsia="Times New Roman" w:hAnsi="Calibri"/>
          <w:szCs w:val="20"/>
          <w:lang w:eastAsia="en-US"/>
        </w:rPr>
        <w:t>.</w:t>
      </w:r>
    </w:p>
    <w:p w14:paraId="174BBF54" w14:textId="25E7F424" w:rsidR="00074C31" w:rsidRPr="00966CFA" w:rsidRDefault="005E0987"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Virtual</w:t>
      </w:r>
      <w:r w:rsidR="00074C31" w:rsidRPr="00966CFA">
        <w:rPr>
          <w:b/>
        </w:rPr>
        <w:t xml:space="preserve"> Consultation of the CWG-SFP</w:t>
      </w:r>
      <w:r w:rsidR="00912866" w:rsidRPr="00966CFA">
        <w:rPr>
          <w:b/>
        </w:rPr>
        <w:t xml:space="preserve"> (2-3 November 2021)</w:t>
      </w:r>
    </w:p>
    <w:p w14:paraId="4AD46476" w14:textId="7E499533" w:rsidR="00AC52B6" w:rsidRPr="00966CFA" w:rsidRDefault="00E527A2"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In the process of drafting the new ITU Strategic Plan for the period 2024-2027, a two-day virtual consultation took place within the activities of the CWG-SFP.</w:t>
      </w:r>
    </w:p>
    <w:p w14:paraId="6D804940" w14:textId="15BA6A90" w:rsidR="00074C31" w:rsidRPr="00966CFA" w:rsidRDefault="00DA7BCD" w:rsidP="003A3AA6">
      <w:pPr>
        <w:numPr>
          <w:ilvl w:val="1"/>
          <w:numId w:val="18"/>
        </w:numPr>
        <w:tabs>
          <w:tab w:val="clear" w:pos="567"/>
          <w:tab w:val="clear" w:pos="1134"/>
          <w:tab w:val="clear" w:pos="1701"/>
          <w:tab w:val="clear" w:pos="2268"/>
          <w:tab w:val="clear" w:pos="2835"/>
        </w:tabs>
        <w:overflowPunct/>
        <w:autoSpaceDE/>
        <w:autoSpaceDN/>
        <w:adjustRightInd/>
        <w:snapToGrid w:val="0"/>
        <w:spacing w:before="100" w:beforeAutospacing="1" w:after="100" w:afterAutospacing="1"/>
        <w:ind w:left="0" w:firstLine="0"/>
        <w:jc w:val="both"/>
        <w:textAlignment w:val="auto"/>
      </w:pPr>
      <w:r w:rsidRPr="00966CFA">
        <w:t>B</w:t>
      </w:r>
      <w:r w:rsidR="00AC52B6" w:rsidRPr="00966CFA">
        <w:t>ased on the principles and guidelines defined by the CWG-SFP during its 1</w:t>
      </w:r>
      <w:r w:rsidR="00AC52B6" w:rsidRPr="00966CFA">
        <w:rPr>
          <w:vertAlign w:val="superscript"/>
        </w:rPr>
        <w:t>st</w:t>
      </w:r>
      <w:r w:rsidR="002F5D8B" w:rsidRPr="00966CFA">
        <w:t xml:space="preserve"> </w:t>
      </w:r>
      <w:r w:rsidR="00AC52B6" w:rsidRPr="00966CFA">
        <w:t>meeting</w:t>
      </w:r>
      <w:r w:rsidRPr="00966CFA">
        <w:t>, a</w:t>
      </w:r>
      <w:r w:rsidR="00AC52B6" w:rsidRPr="00966CFA">
        <w:t>nd the inputs received from the membership</w:t>
      </w:r>
      <w:r w:rsidR="00BF3B20" w:rsidRPr="00966CFA">
        <w:t xml:space="preserve">, the consultant </w:t>
      </w:r>
      <w:r w:rsidR="00AC52B6" w:rsidRPr="00966CFA">
        <w:t xml:space="preserve">Dalberg </w:t>
      </w:r>
      <w:r w:rsidR="00BF3B20" w:rsidRPr="00966CFA">
        <w:t xml:space="preserve">moderated </w:t>
      </w:r>
      <w:r w:rsidR="00F7383D" w:rsidRPr="00966CFA">
        <w:t>the</w:t>
      </w:r>
      <w:r w:rsidR="00BF3B20" w:rsidRPr="00966CFA">
        <w:t xml:space="preserve"> 2-day session</w:t>
      </w:r>
      <w:r w:rsidR="00AC52B6" w:rsidRPr="00966CFA">
        <w:t xml:space="preserve"> </w:t>
      </w:r>
      <w:r w:rsidR="00836874" w:rsidRPr="00966CFA">
        <w:t>and presented</w:t>
      </w:r>
      <w:r w:rsidR="00AC52B6" w:rsidRPr="00966CFA">
        <w:t xml:space="preserve"> potential adjustments to the strategic framework </w:t>
      </w:r>
      <w:r w:rsidR="00CC33AF" w:rsidRPr="00966CFA">
        <w:t xml:space="preserve">to develop </w:t>
      </w:r>
      <w:r w:rsidR="00AC52B6" w:rsidRPr="00966CFA">
        <w:t xml:space="preserve">the draft strategic and financial plans </w:t>
      </w:r>
      <w:r w:rsidR="00CC33AF" w:rsidRPr="00966CFA">
        <w:t xml:space="preserve">to be discussed at the </w:t>
      </w:r>
      <w:r w:rsidR="00AC52B6" w:rsidRPr="00966CFA">
        <w:t xml:space="preserve">CWG-SFP </w:t>
      </w:r>
      <w:r w:rsidR="003A3AA6" w:rsidRPr="00966CFA">
        <w:t>2nd meeting</w:t>
      </w:r>
      <w:r w:rsidR="00836874" w:rsidRPr="00966CFA">
        <w:t>.</w:t>
      </w:r>
    </w:p>
    <w:p w14:paraId="6D8714CF" w14:textId="2FE1D18F" w:rsidR="00074C31" w:rsidRPr="00966CFA"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 xml:space="preserve">Second </w:t>
      </w:r>
      <w:r w:rsidR="00F34538" w:rsidRPr="00966CFA">
        <w:rPr>
          <w:b/>
        </w:rPr>
        <w:t xml:space="preserve">(virtual) </w:t>
      </w:r>
      <w:r w:rsidRPr="00966CFA">
        <w:rPr>
          <w:b/>
        </w:rPr>
        <w:t>meeting of the CWG-SFP (</w:t>
      </w:r>
      <w:r w:rsidR="00D73435" w:rsidRPr="00966CFA">
        <w:rPr>
          <w:b/>
        </w:rPr>
        <w:t xml:space="preserve">13-14 January </w:t>
      </w:r>
      <w:r w:rsidRPr="00966CFA">
        <w:rPr>
          <w:b/>
        </w:rPr>
        <w:t>20</w:t>
      </w:r>
      <w:r w:rsidR="00D73435" w:rsidRPr="00966CFA">
        <w:rPr>
          <w:b/>
        </w:rPr>
        <w:t>22</w:t>
      </w:r>
      <w:r w:rsidRPr="00966CFA">
        <w:rPr>
          <w:b/>
        </w:rPr>
        <w:t>)</w:t>
      </w:r>
    </w:p>
    <w:p w14:paraId="16D9A054" w14:textId="77777777" w:rsidR="00D52AD3" w:rsidRPr="00966CFA" w:rsidRDefault="006C6EC4" w:rsidP="00D52AD3">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During the 2</w:t>
      </w:r>
      <w:r w:rsidRPr="00966CFA">
        <w:rPr>
          <w:vertAlign w:val="superscript"/>
        </w:rPr>
        <w:t>nd</w:t>
      </w:r>
      <w:r w:rsidRPr="00966CFA">
        <w:t xml:space="preserve"> meeting, t</w:t>
      </w:r>
      <w:r w:rsidR="004748C2" w:rsidRPr="00966CFA">
        <w:t>he group discussed thoroughly the proposed draft ITU strategic framework for 202</w:t>
      </w:r>
      <w:r w:rsidRPr="00966CFA">
        <w:t>4</w:t>
      </w:r>
      <w:r w:rsidR="004748C2" w:rsidRPr="00966CFA">
        <w:t>-202</w:t>
      </w:r>
      <w:r w:rsidRPr="00966CFA">
        <w:t>7</w:t>
      </w:r>
      <w:r w:rsidR="004748C2" w:rsidRPr="00966CFA">
        <w:t xml:space="preserve">, </w:t>
      </w:r>
      <w:r w:rsidRPr="00966CFA">
        <w:t>as i</w:t>
      </w:r>
      <w:r w:rsidR="004748C2" w:rsidRPr="00966CFA">
        <w:t>ntroduced by the secretariat</w:t>
      </w:r>
      <w:r w:rsidRPr="00966CFA">
        <w:t>, based on the principles and guidelines agreed by the CWG-SFP, and the results of the virtual consultation</w:t>
      </w:r>
      <w:r w:rsidR="004748C2" w:rsidRPr="00966CFA">
        <w:t xml:space="preserve">. </w:t>
      </w:r>
    </w:p>
    <w:p w14:paraId="75CEE303" w14:textId="05312F9F" w:rsidR="00D52AD3" w:rsidRPr="00966CFA" w:rsidRDefault="00777629" w:rsidP="00D52AD3">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w:t>
      </w:r>
      <w:r w:rsidR="004748C2" w:rsidRPr="00966CFA">
        <w:t xml:space="preserve"> group discussed </w:t>
      </w:r>
      <w:r w:rsidRPr="00966CFA">
        <w:t xml:space="preserve">on </w:t>
      </w:r>
      <w:r w:rsidR="00D52AD3" w:rsidRPr="00966CFA">
        <w:t>the Strategic Plan to be Annex 1; the Situational Analysis to be Annex 2; and the Glossary of Terms to be Annex 3</w:t>
      </w:r>
      <w:r w:rsidR="00E14446" w:rsidRPr="00966CFA">
        <w:t>, of Resolution 71.</w:t>
      </w:r>
    </w:p>
    <w:p w14:paraId="157B5EB9" w14:textId="77777777" w:rsidR="004A3BB0" w:rsidRPr="00966CFA" w:rsidRDefault="00E81589" w:rsidP="004A3BB0">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w:t>
      </w:r>
      <w:r w:rsidR="00E50BBA" w:rsidRPr="00966CFA">
        <w:t xml:space="preserve">main text of </w:t>
      </w:r>
      <w:r w:rsidRPr="00966CFA">
        <w:t>R</w:t>
      </w:r>
      <w:r w:rsidR="00E50BBA" w:rsidRPr="00966CFA">
        <w:t>esolution</w:t>
      </w:r>
      <w:r w:rsidRPr="00966CFA">
        <w:t xml:space="preserve"> 71 was also discussed based on contributions received</w:t>
      </w:r>
      <w:r w:rsidR="00E50BBA" w:rsidRPr="00966CFA">
        <w:t>.</w:t>
      </w:r>
    </w:p>
    <w:p w14:paraId="56BC03D0" w14:textId="6C3DCF02" w:rsidR="000B6528" w:rsidRPr="00966CFA" w:rsidRDefault="004A3BB0" w:rsidP="000B6528">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agreed to hold an additional CWG-SFP meeting on the 21</w:t>
      </w:r>
      <w:r w:rsidR="004B61B4" w:rsidRPr="00966CFA">
        <w:rPr>
          <w:vertAlign w:val="superscript"/>
        </w:rPr>
        <w:t>st</w:t>
      </w:r>
      <w:r w:rsidR="004B61B4" w:rsidRPr="00966CFA">
        <w:t xml:space="preserve"> </w:t>
      </w:r>
      <w:r w:rsidRPr="00966CFA">
        <w:t>and 22</w:t>
      </w:r>
      <w:r w:rsidR="004B61B4" w:rsidRPr="00966CFA">
        <w:rPr>
          <w:vertAlign w:val="superscript"/>
        </w:rPr>
        <w:t>nd</w:t>
      </w:r>
      <w:r w:rsidR="004B61B4" w:rsidRPr="00966CFA">
        <w:t xml:space="preserve"> </w:t>
      </w:r>
      <w:r w:rsidRPr="00966CFA">
        <w:t>of February</w:t>
      </w:r>
      <w:r w:rsidR="00CA4650" w:rsidRPr="00966CFA">
        <w:t>,</w:t>
      </w:r>
      <w:r w:rsidR="00C84650" w:rsidRPr="00966CFA">
        <w:t xml:space="preserve"> </w:t>
      </w:r>
      <w:proofErr w:type="gramStart"/>
      <w:r w:rsidR="00C84650" w:rsidRPr="00966CFA">
        <w:t>so as to</w:t>
      </w:r>
      <w:proofErr w:type="gramEnd"/>
      <w:r w:rsidR="00C84650" w:rsidRPr="00966CFA">
        <w:t xml:space="preserve"> advance the work</w:t>
      </w:r>
      <w:r w:rsidR="00BD7A20" w:rsidRPr="00966CFA">
        <w:t xml:space="preserve">, by </w:t>
      </w:r>
      <w:r w:rsidRPr="00966CFA">
        <w:t>focus</w:t>
      </w:r>
      <w:r w:rsidR="00BD7A20" w:rsidRPr="00966CFA">
        <w:t>ing</w:t>
      </w:r>
      <w:r w:rsidRPr="00966CFA">
        <w:t xml:space="preserve"> on specific contributions to the draft text of the Strategic Plan.</w:t>
      </w:r>
    </w:p>
    <w:p w14:paraId="66A36566" w14:textId="0D90D720" w:rsidR="00074C31" w:rsidRPr="00966CFA" w:rsidRDefault="004A3BB0" w:rsidP="00F34538">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also agreed that the 3</w:t>
      </w:r>
      <w:r w:rsidR="006D442E" w:rsidRPr="00966CFA">
        <w:rPr>
          <w:vertAlign w:val="superscript"/>
        </w:rPr>
        <w:t>rd</w:t>
      </w:r>
      <w:r w:rsidR="006D442E" w:rsidRPr="00966CFA">
        <w:t xml:space="preserve"> </w:t>
      </w:r>
      <w:r w:rsidRPr="00966CFA">
        <w:t>meeting should be followed by a joint meeting with the Council Working Group on Financial and Human Resources (CWG-FHR)</w:t>
      </w:r>
      <w:r w:rsidR="000B6528" w:rsidRPr="00966CFA">
        <w:t xml:space="preserve"> to address the linkage </w:t>
      </w:r>
      <w:r w:rsidR="00885915" w:rsidRPr="00966CFA">
        <w:t xml:space="preserve">between the Strategic and Financial Plans </w:t>
      </w:r>
      <w:r w:rsidR="00286E1C" w:rsidRPr="00966CFA">
        <w:t xml:space="preserve">for </w:t>
      </w:r>
      <w:r w:rsidR="00885915" w:rsidRPr="00966CFA">
        <w:t>20</w:t>
      </w:r>
      <w:r w:rsidR="00286E1C" w:rsidRPr="00966CFA">
        <w:t>2</w:t>
      </w:r>
      <w:r w:rsidR="00885915" w:rsidRPr="00966CFA">
        <w:t>4-2027</w:t>
      </w:r>
      <w:r w:rsidR="00F34538" w:rsidRPr="00966CFA">
        <w:t>, as Appendix 1 of Resolution 71.</w:t>
      </w:r>
    </w:p>
    <w:p w14:paraId="2575EA4D" w14:textId="3C41FA14" w:rsidR="00074C31" w:rsidRPr="00966CFA"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 xml:space="preserve">Third </w:t>
      </w:r>
      <w:r w:rsidR="00D73CC3" w:rsidRPr="00966CFA">
        <w:rPr>
          <w:b/>
        </w:rPr>
        <w:t xml:space="preserve">(virtual) </w:t>
      </w:r>
      <w:r w:rsidRPr="00966CFA">
        <w:rPr>
          <w:b/>
        </w:rPr>
        <w:t>meeting of the CWG-SFP (</w:t>
      </w:r>
      <w:r w:rsidR="00D73CC3" w:rsidRPr="00966CFA">
        <w:rPr>
          <w:b/>
        </w:rPr>
        <w:t xml:space="preserve">21-22 February </w:t>
      </w:r>
      <w:r w:rsidRPr="00966CFA">
        <w:rPr>
          <w:b/>
        </w:rPr>
        <w:t>20</w:t>
      </w:r>
      <w:r w:rsidR="00D73CC3" w:rsidRPr="00966CFA">
        <w:rPr>
          <w:b/>
        </w:rPr>
        <w:t>22</w:t>
      </w:r>
      <w:r w:rsidRPr="00966CFA">
        <w:rPr>
          <w:b/>
        </w:rPr>
        <w:t>)</w:t>
      </w:r>
    </w:p>
    <w:p w14:paraId="239E9DD1" w14:textId="726E2240" w:rsidR="00CC0C9B" w:rsidRPr="00966CFA" w:rsidRDefault="00074C31" w:rsidP="00CC0C9B">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confirmed the </w:t>
      </w:r>
      <w:r w:rsidR="00CC0C9B" w:rsidRPr="00966CFA">
        <w:t>framework</w:t>
      </w:r>
      <w:r w:rsidRPr="00966CFA">
        <w:t xml:space="preserve"> for the new Strategic Plan</w:t>
      </w:r>
      <w:r w:rsidR="00686A8C" w:rsidRPr="00966CFA">
        <w:t xml:space="preserve"> for 2024-2027</w:t>
      </w:r>
      <w:r w:rsidRPr="00966CFA">
        <w:t>.</w:t>
      </w:r>
    </w:p>
    <w:p w14:paraId="0B8328D7" w14:textId="0899B12F" w:rsidR="00C12297" w:rsidRPr="00966CFA" w:rsidRDefault="00CC0C9B" w:rsidP="00C12297">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draft text of the ITU Strategic Plan for 202</w:t>
      </w:r>
      <w:r w:rsidR="009A667F" w:rsidRPr="00966CFA">
        <w:t>4-</w:t>
      </w:r>
      <w:r w:rsidRPr="00966CFA">
        <w:t>202</w:t>
      </w:r>
      <w:r w:rsidR="009A667F" w:rsidRPr="00966CFA">
        <w:t>7</w:t>
      </w:r>
      <w:r w:rsidRPr="00966CFA">
        <w:t xml:space="preserve"> (Annex 1 to Resolution 71) was extensively discussed, </w:t>
      </w:r>
      <w:r w:rsidR="00AB6169" w:rsidRPr="00966CFA">
        <w:t xml:space="preserve">considering the </w:t>
      </w:r>
      <w:r w:rsidRPr="00966CFA">
        <w:t xml:space="preserve">contributions from Member States. </w:t>
      </w:r>
      <w:bookmarkStart w:id="11" w:name="_Hlk96537492"/>
      <w:r w:rsidR="008C648E" w:rsidRPr="00966CFA">
        <w:t>Agreement was reach</w:t>
      </w:r>
      <w:r w:rsidR="00525A23" w:rsidRPr="00966CFA">
        <w:t xml:space="preserve">ed on the framework, including the following components: </w:t>
      </w:r>
      <w:r w:rsidR="00881E0E" w:rsidRPr="00966CFA">
        <w:t>v</w:t>
      </w:r>
      <w:r w:rsidR="00525A23" w:rsidRPr="00966CFA">
        <w:t xml:space="preserve">ision and </w:t>
      </w:r>
      <w:r w:rsidR="00881E0E" w:rsidRPr="00966CFA">
        <w:t>m</w:t>
      </w:r>
      <w:r w:rsidR="00525A23" w:rsidRPr="00966CFA">
        <w:t xml:space="preserve">ission, </w:t>
      </w:r>
      <w:r w:rsidR="002F7C7A" w:rsidRPr="00966CFA">
        <w:t xml:space="preserve">two </w:t>
      </w:r>
      <w:r w:rsidR="00881E0E" w:rsidRPr="00966CFA">
        <w:t>g</w:t>
      </w:r>
      <w:r w:rsidR="002F7C7A" w:rsidRPr="00966CFA">
        <w:t xml:space="preserve">oals, </w:t>
      </w:r>
      <w:r w:rsidR="00881E0E" w:rsidRPr="00966CFA">
        <w:t>cross-sector t</w:t>
      </w:r>
      <w:r w:rsidR="002F7C7A" w:rsidRPr="00966CFA">
        <w:t xml:space="preserve">hematic </w:t>
      </w:r>
      <w:r w:rsidR="00881E0E" w:rsidRPr="00966CFA">
        <w:t>pr</w:t>
      </w:r>
      <w:r w:rsidR="002F7C7A" w:rsidRPr="00966CFA">
        <w:t xml:space="preserve">iorities, </w:t>
      </w:r>
      <w:r w:rsidR="00667EF7" w:rsidRPr="00966CFA">
        <w:t>p</w:t>
      </w:r>
      <w:r w:rsidR="002F7C7A" w:rsidRPr="00966CFA">
        <w:t xml:space="preserve">roduct and </w:t>
      </w:r>
      <w:r w:rsidR="00667EF7" w:rsidRPr="00966CFA">
        <w:t>s</w:t>
      </w:r>
      <w:r w:rsidR="002F7C7A" w:rsidRPr="00966CFA">
        <w:t xml:space="preserve">ervice </w:t>
      </w:r>
      <w:r w:rsidR="00667EF7" w:rsidRPr="00966CFA">
        <w:t>of</w:t>
      </w:r>
      <w:r w:rsidR="002F7C7A" w:rsidRPr="00966CFA">
        <w:t xml:space="preserve">ferings and </w:t>
      </w:r>
      <w:r w:rsidR="00667EF7" w:rsidRPr="00966CFA">
        <w:t>e</w:t>
      </w:r>
      <w:r w:rsidR="002F7C7A" w:rsidRPr="00966CFA">
        <w:t xml:space="preserve">nablers. </w:t>
      </w:r>
      <w:r w:rsidR="005A3003" w:rsidRPr="00966CFA">
        <w:t xml:space="preserve">Some text </w:t>
      </w:r>
      <w:r w:rsidR="005A0271" w:rsidRPr="00966CFA">
        <w:t xml:space="preserve">within </w:t>
      </w:r>
      <w:proofErr w:type="gramStart"/>
      <w:r w:rsidR="00040B25" w:rsidRPr="00966CFA">
        <w:t>this components</w:t>
      </w:r>
      <w:proofErr w:type="gramEnd"/>
      <w:r w:rsidR="005A0271" w:rsidRPr="00966CFA">
        <w:t xml:space="preserve"> </w:t>
      </w:r>
      <w:r w:rsidR="00175C2F" w:rsidRPr="00966CFA">
        <w:t xml:space="preserve">was agreed to be kept </w:t>
      </w:r>
      <w:r w:rsidR="00974522" w:rsidRPr="00966CFA">
        <w:t xml:space="preserve">in </w:t>
      </w:r>
      <w:r w:rsidR="005A0271" w:rsidRPr="00966CFA">
        <w:t xml:space="preserve">square </w:t>
      </w:r>
      <w:r w:rsidR="00974522" w:rsidRPr="00966CFA">
        <w:t>bracket</w:t>
      </w:r>
      <w:r w:rsidR="00C472C0" w:rsidRPr="00966CFA">
        <w:t>s</w:t>
      </w:r>
      <w:r w:rsidR="005A0271" w:rsidRPr="00966CFA">
        <w:t>, as reflected in Annex 1</w:t>
      </w:r>
      <w:r w:rsidR="00C472C0" w:rsidRPr="00966CFA">
        <w:t>,</w:t>
      </w:r>
      <w:r w:rsidR="00974522" w:rsidRPr="00966CFA">
        <w:t xml:space="preserve"> as Member States require</w:t>
      </w:r>
      <w:r w:rsidR="009016C9" w:rsidRPr="00966CFA">
        <w:t>d</w:t>
      </w:r>
      <w:r w:rsidR="00974522" w:rsidRPr="00966CFA">
        <w:t xml:space="preserve"> more time to discuss and reach </w:t>
      </w:r>
      <w:r w:rsidR="00175C2F" w:rsidRPr="00966CFA">
        <w:t>consensus on those issues</w:t>
      </w:r>
      <w:r w:rsidR="00974522" w:rsidRPr="00966CFA">
        <w:t>.</w:t>
      </w:r>
      <w:bookmarkEnd w:id="11"/>
    </w:p>
    <w:p w14:paraId="1FA113B3" w14:textId="2AD0EF1F" w:rsidR="00C12297" w:rsidRPr="00966CFA" w:rsidRDefault="001836CA" w:rsidP="00C12297">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also revised the text of the draft Annex 2 to Res</w:t>
      </w:r>
      <w:r w:rsidR="00C12297" w:rsidRPr="00966CFA">
        <w:t>olution</w:t>
      </w:r>
      <w:r w:rsidRPr="00966CFA">
        <w:t xml:space="preserve"> 71 (Situational Analysis).</w:t>
      </w:r>
      <w:r w:rsidR="00C12297" w:rsidRPr="00966CFA">
        <w:t xml:space="preserve"> Some text was agreed to be kept in</w:t>
      </w:r>
      <w:r w:rsidR="00C472C0" w:rsidRPr="00966CFA">
        <w:t xml:space="preserve"> square</w:t>
      </w:r>
      <w:r w:rsidR="00C12297" w:rsidRPr="00966CFA">
        <w:t xml:space="preserve"> bracket</w:t>
      </w:r>
      <w:r w:rsidR="00C472C0" w:rsidRPr="00966CFA">
        <w:t>s,</w:t>
      </w:r>
      <w:r w:rsidR="00C12297" w:rsidRPr="00966CFA">
        <w:t xml:space="preserve"> </w:t>
      </w:r>
      <w:r w:rsidR="00C472C0" w:rsidRPr="00966CFA">
        <w:t xml:space="preserve">as reflected in Annex 2, </w:t>
      </w:r>
      <w:r w:rsidR="00C12297" w:rsidRPr="00966CFA">
        <w:t xml:space="preserve">as Member States </w:t>
      </w:r>
      <w:r w:rsidR="005F71E6" w:rsidRPr="00966CFA">
        <w:t xml:space="preserve">also </w:t>
      </w:r>
      <w:r w:rsidR="00C12297" w:rsidRPr="00966CFA">
        <w:t>require</w:t>
      </w:r>
      <w:r w:rsidR="009016C9" w:rsidRPr="00966CFA">
        <w:t>d</w:t>
      </w:r>
      <w:r w:rsidR="00C12297" w:rsidRPr="00966CFA">
        <w:t xml:space="preserve"> more time to discuss and reach consensus on those issues.</w:t>
      </w:r>
    </w:p>
    <w:p w14:paraId="5AE5F3B3" w14:textId="7523CA07"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lastRenderedPageBreak/>
        <w:t xml:space="preserve">The group reviewed and confirmed its agreement on </w:t>
      </w:r>
      <w:r w:rsidR="009714A7" w:rsidRPr="00966CFA">
        <w:t xml:space="preserve">the draft Annex 3 to Resolution 71, </w:t>
      </w:r>
      <w:r w:rsidRPr="00966CFA">
        <w:t>the proposed Glossary of Terms.</w:t>
      </w:r>
    </w:p>
    <w:p w14:paraId="63B437CA" w14:textId="46292F81"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Regarding the </w:t>
      </w:r>
      <w:r w:rsidR="006417FA" w:rsidRPr="00966CFA">
        <w:t xml:space="preserve">main text of Resolution 71, the group agreed to create an informal drafting group </w:t>
      </w:r>
      <w:r w:rsidR="004A11F0" w:rsidRPr="00966CFA">
        <w:t xml:space="preserve">to work remotely and </w:t>
      </w:r>
      <w:r w:rsidR="006417FA" w:rsidRPr="00966CFA">
        <w:t>to consolidate all contributions received</w:t>
      </w:r>
      <w:r w:rsidR="00D71395" w:rsidRPr="00966CFA">
        <w:t>,</w:t>
      </w:r>
      <w:r w:rsidR="006417FA" w:rsidRPr="00966CFA">
        <w:t xml:space="preserve"> and </w:t>
      </w:r>
      <w:r w:rsidR="005F4AC1" w:rsidRPr="00966CFA">
        <w:t xml:space="preserve">to </w:t>
      </w:r>
      <w:r w:rsidR="006417FA" w:rsidRPr="00966CFA">
        <w:t xml:space="preserve">present a consolidated text to the </w:t>
      </w:r>
      <w:r w:rsidR="00F84136" w:rsidRPr="00966CFA">
        <w:t>4</w:t>
      </w:r>
      <w:r w:rsidR="00F84136" w:rsidRPr="00966CFA">
        <w:rPr>
          <w:vertAlign w:val="superscript"/>
        </w:rPr>
        <w:t>th</w:t>
      </w:r>
      <w:r w:rsidR="00F84136" w:rsidRPr="00966CFA">
        <w:t xml:space="preserve"> meeting</w:t>
      </w:r>
      <w:r w:rsidR="000522A5" w:rsidRPr="00966CFA">
        <w:t xml:space="preserve"> of CGW-SFP</w:t>
      </w:r>
      <w:r w:rsidR="00F84136" w:rsidRPr="00966CFA">
        <w:t xml:space="preserve"> to be held on the 20</w:t>
      </w:r>
      <w:r w:rsidR="00F84136" w:rsidRPr="00966CFA">
        <w:rPr>
          <w:vertAlign w:val="superscript"/>
        </w:rPr>
        <w:t>th</w:t>
      </w:r>
      <w:r w:rsidR="00F84136" w:rsidRPr="00966CFA">
        <w:t xml:space="preserve"> of</w:t>
      </w:r>
      <w:r w:rsidR="000522A5" w:rsidRPr="00966CFA">
        <w:t xml:space="preserve"> March</w:t>
      </w:r>
      <w:r w:rsidRPr="00966CFA">
        <w:t>.</w:t>
      </w:r>
    </w:p>
    <w:p w14:paraId="438CFD09" w14:textId="77B8A018" w:rsidR="00667EF7" w:rsidRPr="00966CFA" w:rsidRDefault="00667EF7"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also agreed on </w:t>
      </w:r>
      <w:r w:rsidR="005B43A9" w:rsidRPr="00966CFA">
        <w:t>the following</w:t>
      </w:r>
      <w:r w:rsidRPr="00966CFA">
        <w:t xml:space="preserve"> </w:t>
      </w:r>
      <w:r w:rsidR="009D1FF3" w:rsidRPr="00966CFA">
        <w:t>guidelines to</w:t>
      </w:r>
      <w:r w:rsidR="002B125D" w:rsidRPr="00966CFA">
        <w:t xml:space="preserve"> </w:t>
      </w:r>
      <w:r w:rsidR="00855B9C" w:rsidRPr="00966CFA">
        <w:t xml:space="preserve">review the targets and </w:t>
      </w:r>
      <w:r w:rsidR="002B125D" w:rsidRPr="00966CFA">
        <w:t>further</w:t>
      </w:r>
      <w:r w:rsidR="005B43A9" w:rsidRPr="00966CFA">
        <w:t xml:space="preserve"> </w:t>
      </w:r>
      <w:r w:rsidR="002B125D" w:rsidRPr="00966CFA">
        <w:t xml:space="preserve">develop </w:t>
      </w:r>
      <w:r w:rsidR="005B43A9" w:rsidRPr="00966CFA">
        <w:t>the</w:t>
      </w:r>
      <w:r w:rsidR="00A4563D" w:rsidRPr="00966CFA">
        <w:t xml:space="preserve"> Results Framework to be presented to the 4</w:t>
      </w:r>
      <w:r w:rsidR="00A4563D" w:rsidRPr="00966CFA">
        <w:rPr>
          <w:vertAlign w:val="superscript"/>
        </w:rPr>
        <w:t>th</w:t>
      </w:r>
      <w:r w:rsidR="00A4563D" w:rsidRPr="00966CFA">
        <w:t xml:space="preserve"> meeting of the CWG-SFP:</w:t>
      </w:r>
      <w:r w:rsidR="005B43A9" w:rsidRPr="00966CFA">
        <w:t xml:space="preserve"> </w:t>
      </w:r>
    </w:p>
    <w:p w14:paraId="095E17DD" w14:textId="77777777" w:rsidR="00880A13" w:rsidRPr="00966CFA" w:rsidRDefault="005F67E6" w:rsidP="00BF49C1">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966CFA">
        <w:rPr>
          <w:b/>
          <w:bCs/>
        </w:rPr>
        <w:t>Ensure continuity:</w:t>
      </w:r>
      <w:r w:rsidRPr="00966CFA">
        <w:t xml:space="preserve"> Rely on current Targets and Indicators as much as possible</w:t>
      </w:r>
      <w:r w:rsidR="00DD1C3F" w:rsidRPr="00966CFA">
        <w:t>.</w:t>
      </w:r>
    </w:p>
    <w:p w14:paraId="1580CDDB" w14:textId="41B8235E" w:rsidR="00880A13" w:rsidRPr="00966CFA" w:rsidRDefault="00C51288"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966CFA">
        <w:rPr>
          <w:b/>
          <w:bCs/>
        </w:rPr>
        <w:t>Follow best</w:t>
      </w:r>
      <w:r w:rsidR="00880A13" w:rsidRPr="00966CFA">
        <w:rPr>
          <w:b/>
          <w:bCs/>
        </w:rPr>
        <w:t xml:space="preserve"> </w:t>
      </w:r>
      <w:r w:rsidRPr="00966CFA">
        <w:rPr>
          <w:b/>
          <w:bCs/>
        </w:rPr>
        <w:t>practice:</w:t>
      </w:r>
      <w:r w:rsidRPr="00966CFA">
        <w:t xml:space="preserve"> Review the proposed target</w:t>
      </w:r>
      <w:r w:rsidR="00461F58" w:rsidRPr="00966CFA">
        <w:t>s</w:t>
      </w:r>
      <w:r w:rsidRPr="00966CFA">
        <w:t xml:space="preserve"> based on best practice in setting targets (</w:t>
      </w:r>
      <w:proofErr w:type="gramStart"/>
      <w:r w:rsidRPr="00966CFA">
        <w:t>i.e.</w:t>
      </w:r>
      <w:proofErr w:type="gramEnd"/>
      <w:r w:rsidR="00880A13" w:rsidRPr="00966CFA">
        <w:t xml:space="preserve"> </w:t>
      </w:r>
      <w:r w:rsidRPr="00966CFA">
        <w:t>define targets that are Specific, Measurable, Achievable, Realistic, Relevant</w:t>
      </w:r>
      <w:r w:rsidR="00880A13" w:rsidRPr="00966CFA">
        <w:t xml:space="preserve"> </w:t>
      </w:r>
      <w:r w:rsidRPr="00966CFA">
        <w:t>and Timely)</w:t>
      </w:r>
      <w:r w:rsidR="006F5499" w:rsidRPr="00966CFA">
        <w:t>.</w:t>
      </w:r>
    </w:p>
    <w:p w14:paraId="314A29C0" w14:textId="732F147C" w:rsidR="00880A13" w:rsidRPr="00966CFA" w:rsidRDefault="00C51288"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966CFA">
        <w:rPr>
          <w:b/>
          <w:bCs/>
        </w:rPr>
        <w:t>Assess data</w:t>
      </w:r>
      <w:r w:rsidR="00880A13" w:rsidRPr="00966CFA">
        <w:rPr>
          <w:b/>
          <w:bCs/>
        </w:rPr>
        <w:t xml:space="preserve"> </w:t>
      </w:r>
      <w:r w:rsidRPr="00966CFA">
        <w:rPr>
          <w:b/>
          <w:bCs/>
        </w:rPr>
        <w:t>availability</w:t>
      </w:r>
      <w:r w:rsidR="00DD1C3F" w:rsidRPr="00966CFA">
        <w:rPr>
          <w:b/>
          <w:bCs/>
        </w:rPr>
        <w:t>:</w:t>
      </w:r>
      <w:r w:rsidR="00DD1C3F" w:rsidRPr="00966CFA">
        <w:t xml:space="preserve"> Assess how to incorporate new proposals for targets, by exploring availability</w:t>
      </w:r>
      <w:r w:rsidR="00EA6023" w:rsidRPr="00966CFA">
        <w:t xml:space="preserve"> </w:t>
      </w:r>
      <w:r w:rsidR="00DD1C3F" w:rsidRPr="00966CFA">
        <w:t>of da</w:t>
      </w:r>
      <w:r w:rsidR="00B05E9E" w:rsidRPr="00966CFA">
        <w:t>ta.</w:t>
      </w:r>
    </w:p>
    <w:p w14:paraId="0ECA9041" w14:textId="0AB3A4D5" w:rsidR="005F67E6" w:rsidRPr="00966CFA" w:rsidRDefault="00DD1C3F"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966CFA">
        <w:rPr>
          <w:b/>
          <w:bCs/>
        </w:rPr>
        <w:t>Link with the</w:t>
      </w:r>
      <w:r w:rsidR="00EA6023" w:rsidRPr="00966CFA">
        <w:rPr>
          <w:b/>
          <w:bCs/>
        </w:rPr>
        <w:t xml:space="preserve"> </w:t>
      </w:r>
      <w:r w:rsidRPr="00966CFA">
        <w:rPr>
          <w:b/>
          <w:bCs/>
        </w:rPr>
        <w:t>Strategic Goals or</w:t>
      </w:r>
      <w:r w:rsidR="00EA6023" w:rsidRPr="00966CFA">
        <w:rPr>
          <w:b/>
          <w:bCs/>
        </w:rPr>
        <w:t xml:space="preserve"> </w:t>
      </w:r>
      <w:r w:rsidRPr="00966CFA">
        <w:rPr>
          <w:b/>
          <w:bCs/>
        </w:rPr>
        <w:t>Outcomes:</w:t>
      </w:r>
      <w:r w:rsidRPr="00966CFA">
        <w:t xml:space="preserve"> </w:t>
      </w:r>
      <w:r w:rsidR="00B05E9E" w:rsidRPr="00966CFA">
        <w:rPr>
          <w:i/>
          <w:iCs/>
        </w:rPr>
        <w:t>a)</w:t>
      </w:r>
      <w:r w:rsidR="00B05E9E" w:rsidRPr="00966CFA">
        <w:t xml:space="preserve"> </w:t>
      </w:r>
      <w:r w:rsidRPr="00966CFA">
        <w:t>Assign targets/indicators according to the definition of the Strategic Goals</w:t>
      </w:r>
      <w:r w:rsidR="00B05E9E" w:rsidRPr="00966CFA">
        <w:t xml:space="preserve">; and </w:t>
      </w:r>
      <w:r w:rsidR="00B05E9E" w:rsidRPr="00966CFA">
        <w:rPr>
          <w:i/>
          <w:iCs/>
        </w:rPr>
        <w:t>b)</w:t>
      </w:r>
      <w:r w:rsidR="00B05E9E" w:rsidRPr="00966CFA">
        <w:t xml:space="preserve"> </w:t>
      </w:r>
      <w:r w:rsidR="00822C8C" w:rsidRPr="00966CFA">
        <w:t>a</w:t>
      </w:r>
      <w:r w:rsidRPr="00966CFA">
        <w:t>ssign indicators to the appropriate level,</w:t>
      </w:r>
      <w:r w:rsidR="00EA6023" w:rsidRPr="00966CFA">
        <w:t xml:space="preserve"> </w:t>
      </w:r>
      <w:r w:rsidR="00822C8C" w:rsidRPr="00966CFA">
        <w:t>i.e.,</w:t>
      </w:r>
      <w:r w:rsidR="00EA6023" w:rsidRPr="00966CFA">
        <w:t xml:space="preserve"> </w:t>
      </w:r>
      <w:r w:rsidRPr="00966CFA">
        <w:t>assign to related Outcomes if</w:t>
      </w:r>
      <w:r w:rsidR="00EA6023" w:rsidRPr="00966CFA">
        <w:t xml:space="preserve"> </w:t>
      </w:r>
      <w:r w:rsidRPr="00966CFA">
        <w:t>more appropriate</w:t>
      </w:r>
      <w:r w:rsidR="00EA6023" w:rsidRPr="00966CFA">
        <w:t>.</w:t>
      </w:r>
    </w:p>
    <w:p w14:paraId="79A7788B" w14:textId="15980F1B" w:rsidR="00453B7E" w:rsidRPr="00966CFA" w:rsidRDefault="00DB4E38"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Joint meeting with the Council Working Group on Financial and Human Resources</w:t>
      </w:r>
      <w:r w:rsidR="00A21B7F" w:rsidRPr="00966CFA">
        <w:rPr>
          <w:b/>
        </w:rPr>
        <w:t xml:space="preserve"> (CWG-FHR)</w:t>
      </w:r>
    </w:p>
    <w:p w14:paraId="672A9C92" w14:textId="5FAE9180" w:rsidR="00A21B7F" w:rsidRPr="00966CFA" w:rsidRDefault="00A21B7F" w:rsidP="00A21B7F">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held a joint meeting with the CWG-FHR</w:t>
      </w:r>
      <w:r w:rsidR="004A1E45" w:rsidRPr="00966CFA">
        <w:t xml:space="preserve"> </w:t>
      </w:r>
      <w:r w:rsidR="001C0A02" w:rsidRPr="00966CFA">
        <w:t xml:space="preserve">on Sunday 20 March </w:t>
      </w:r>
      <w:r w:rsidR="004A1E45" w:rsidRPr="00966CFA">
        <w:t xml:space="preserve">and discussed the draft Financial Plan </w:t>
      </w:r>
      <w:r w:rsidR="00655058" w:rsidRPr="00966CFA">
        <w:t xml:space="preserve">and the preliminary allocation of </w:t>
      </w:r>
      <w:r w:rsidR="0038132F" w:rsidRPr="00966CFA">
        <w:t xml:space="preserve">resources for the 2024-2027 period (linkage </w:t>
      </w:r>
      <w:r w:rsidR="00DD3D22" w:rsidRPr="00966CFA">
        <w:t>between the Strategic and Financial Plan)</w:t>
      </w:r>
      <w:r w:rsidR="003E42B0" w:rsidRPr="00966CFA">
        <w:t>.</w:t>
      </w:r>
    </w:p>
    <w:p w14:paraId="3F72F838" w14:textId="2576795D" w:rsidR="00B46CC4" w:rsidRPr="00966CFA" w:rsidRDefault="00B46CC4" w:rsidP="00A21B7F">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A preliminary version of </w:t>
      </w:r>
      <w:r w:rsidR="003A6730" w:rsidRPr="00966CFA">
        <w:t xml:space="preserve">Appendix A to Annex 1 </w:t>
      </w:r>
      <w:r w:rsidR="00B71E9A" w:rsidRPr="00966CFA">
        <w:t xml:space="preserve">(Allocation of resources/linkage with the financial plan) has been </w:t>
      </w:r>
      <w:r w:rsidR="00D66350" w:rsidRPr="00966CFA">
        <w:t>introduced</w:t>
      </w:r>
      <w:r w:rsidR="00920C0B" w:rsidRPr="00966CFA">
        <w:t xml:space="preserve">; </w:t>
      </w:r>
      <w:r w:rsidR="00D66350" w:rsidRPr="00966CFA">
        <w:t xml:space="preserve">this Appendix will be </w:t>
      </w:r>
      <w:r w:rsidR="00920C0B" w:rsidRPr="00966CFA">
        <w:t>revised after the adoption of the Financial Plan for 2024-2027 at the ITU Plenipotentiary Conference 2022.</w:t>
      </w:r>
    </w:p>
    <w:p w14:paraId="0430FAF7" w14:textId="681D152B" w:rsidR="00E503C5" w:rsidRPr="00966CFA" w:rsidRDefault="00E503C5"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Fourth meeting of the CWG-SFP (20 March 2022</w:t>
      </w:r>
      <w:r w:rsidR="009A042F">
        <w:rPr>
          <w:b/>
        </w:rPr>
        <w:t xml:space="preserve"> / continuation on 24 March 2022</w:t>
      </w:r>
      <w:r w:rsidRPr="00966CFA">
        <w:rPr>
          <w:b/>
        </w:rPr>
        <w:t>)</w:t>
      </w:r>
    </w:p>
    <w:p w14:paraId="67BEDF1C" w14:textId="66C10AF6" w:rsidR="00194BE1" w:rsidRPr="00966CFA" w:rsidRDefault="00E503C5"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held its final meeting </w:t>
      </w:r>
      <w:r w:rsidR="009A042F" w:rsidRPr="00966CFA">
        <w:t>following the joint session with CWG-FHR</w:t>
      </w:r>
      <w:r w:rsidR="009A042F">
        <w:t>, and</w:t>
      </w:r>
      <w:r w:rsidR="009A042F" w:rsidRPr="00966CFA">
        <w:t xml:space="preserve"> </w:t>
      </w:r>
      <w:r w:rsidRPr="00966CFA">
        <w:t xml:space="preserve">before </w:t>
      </w:r>
      <w:r w:rsidR="009A042F">
        <w:t xml:space="preserve">as well as during </w:t>
      </w:r>
      <w:r w:rsidRPr="00966CFA">
        <w:t xml:space="preserve">the 2022 Session of Council on </w:t>
      </w:r>
      <w:r w:rsidR="00194BE1" w:rsidRPr="00966CFA">
        <w:t>Sunday 20 March</w:t>
      </w:r>
      <w:r w:rsidR="009A042F">
        <w:t>, with continuation on Thursday 24 March.</w:t>
      </w:r>
    </w:p>
    <w:p w14:paraId="6CF51C30" w14:textId="41F2A0B5" w:rsidR="00E503C5" w:rsidRPr="00966CFA" w:rsidRDefault="00194BE1"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w:t>
      </w:r>
      <w:r w:rsidR="00992DDF" w:rsidRPr="00966CFA">
        <w:t>g</w:t>
      </w:r>
      <w:r w:rsidRPr="00966CFA">
        <w:t xml:space="preserve">roup considered the contributions received for this meeting, in particular the </w:t>
      </w:r>
      <w:r w:rsidR="00E47E83" w:rsidRPr="00966CFA">
        <w:t>contribution of the Radiocommunications Advisory Group (RAG) and the document on the Targets and the Results Framework.</w:t>
      </w:r>
    </w:p>
    <w:p w14:paraId="3B2AB155" w14:textId="77E4FFF7" w:rsidR="0016768A" w:rsidRPr="00966CFA" w:rsidRDefault="00705DF3"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agreed on the draft text for </w:t>
      </w:r>
      <w:r w:rsidR="000D7092" w:rsidRPr="00966CFA">
        <w:t>Annex 1 to Resolution 71 (ITU Strategic Plan 2024-2027)</w:t>
      </w:r>
      <w:r w:rsidR="00E24E74" w:rsidRPr="00966CFA">
        <w:t>, presented to Council as Revision 1 to Annex 1 of this report.</w:t>
      </w:r>
      <w:r w:rsidR="000D7092" w:rsidRPr="00966CFA">
        <w:t xml:space="preserve"> </w:t>
      </w:r>
      <w:r w:rsidR="002D4DA5" w:rsidRPr="00966CFA">
        <w:t xml:space="preserve">In Annex 1, </w:t>
      </w:r>
      <w:r w:rsidR="000D7092" w:rsidRPr="00966CFA">
        <w:t>on</w:t>
      </w:r>
      <w:r w:rsidR="0016768A" w:rsidRPr="00966CFA">
        <w:t xml:space="preserve">ly the </w:t>
      </w:r>
      <w:r w:rsidR="005E5EEC" w:rsidRPr="00966CFA">
        <w:t>reflection of the topic of</w:t>
      </w:r>
      <w:r w:rsidR="0016768A" w:rsidRPr="00966CFA">
        <w:t xml:space="preserve"> Cybersecurity </w:t>
      </w:r>
      <w:r w:rsidR="002D4DA5" w:rsidRPr="00966CFA">
        <w:t xml:space="preserve">is </w:t>
      </w:r>
      <w:proofErr w:type="gramStart"/>
      <w:r w:rsidR="002D4DA5" w:rsidRPr="00966CFA">
        <w:t>still</w:t>
      </w:r>
      <w:r w:rsidR="0016768A" w:rsidRPr="00966CFA">
        <w:t xml:space="preserve"> kept</w:t>
      </w:r>
      <w:proofErr w:type="gramEnd"/>
      <w:r w:rsidR="0016768A" w:rsidRPr="00966CFA">
        <w:t xml:space="preserve"> into square </w:t>
      </w:r>
      <w:r w:rsidR="005D7F0C" w:rsidRPr="00966CFA">
        <w:t xml:space="preserve">brackets for further </w:t>
      </w:r>
      <w:r w:rsidR="002D4DA5" w:rsidRPr="00966CFA">
        <w:t>consideration by Member States</w:t>
      </w:r>
      <w:r w:rsidR="0016768A" w:rsidRPr="00966CFA">
        <w:t>.</w:t>
      </w:r>
    </w:p>
    <w:p w14:paraId="34D31DBA" w14:textId="273CA716" w:rsidR="00A40B48" w:rsidRPr="00966CFA" w:rsidRDefault="0016768A" w:rsidP="00770966">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also </w:t>
      </w:r>
      <w:r w:rsidR="000217EE" w:rsidRPr="00966CFA">
        <w:t xml:space="preserve">agreed on </w:t>
      </w:r>
      <w:r w:rsidR="00C43594" w:rsidRPr="00966CFA">
        <w:t xml:space="preserve">the Results Framework to be included </w:t>
      </w:r>
      <w:r w:rsidR="00424BEC" w:rsidRPr="00966CFA">
        <w:t xml:space="preserve">in Annex 1, </w:t>
      </w:r>
      <w:r w:rsidR="00C43594" w:rsidRPr="00966CFA">
        <w:t xml:space="preserve">consisting of </w:t>
      </w:r>
      <w:r w:rsidR="003164D3" w:rsidRPr="00966CFA">
        <w:t xml:space="preserve">a set of </w:t>
      </w:r>
      <w:r w:rsidR="00C43594" w:rsidRPr="00966CFA">
        <w:t xml:space="preserve">targets and target indicators for </w:t>
      </w:r>
      <w:r w:rsidR="00424BEC" w:rsidRPr="00966CFA">
        <w:t xml:space="preserve">the two </w:t>
      </w:r>
      <w:r w:rsidR="00204E17" w:rsidRPr="00966CFA">
        <w:t xml:space="preserve">Strategic </w:t>
      </w:r>
      <w:r w:rsidR="00424BEC" w:rsidRPr="00966CFA">
        <w:t>Goals</w:t>
      </w:r>
      <w:r w:rsidR="00C43594" w:rsidRPr="00966CFA">
        <w:t>, and outcomes and outcome indicators for</w:t>
      </w:r>
      <w:r w:rsidR="00424BEC" w:rsidRPr="00966CFA">
        <w:t xml:space="preserve"> each of the Thematic Priorities.</w:t>
      </w:r>
    </w:p>
    <w:p w14:paraId="1D8C0F1D" w14:textId="7D47DF1A" w:rsidR="009936E7" w:rsidRPr="00966CFA" w:rsidRDefault="00424BEC"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Related to the </w:t>
      </w:r>
      <w:r w:rsidR="00861360" w:rsidRPr="00966CFA">
        <w:t>Results Framework</w:t>
      </w:r>
      <w:r w:rsidR="00C94729" w:rsidRPr="00966CFA">
        <w:t xml:space="preserve">, </w:t>
      </w:r>
      <w:proofErr w:type="gramStart"/>
      <w:r w:rsidR="00C94729" w:rsidRPr="00966CFA">
        <w:t xml:space="preserve">in particular </w:t>
      </w:r>
      <w:r w:rsidR="0076186C" w:rsidRPr="00966CFA">
        <w:t>on</w:t>
      </w:r>
      <w:proofErr w:type="gramEnd"/>
      <w:r w:rsidR="0076186C" w:rsidRPr="00966CFA">
        <w:t xml:space="preserve"> </w:t>
      </w:r>
      <w:r w:rsidR="00C94729" w:rsidRPr="00966CFA">
        <w:t>the set of proposed targets</w:t>
      </w:r>
      <w:r w:rsidR="00A61037" w:rsidRPr="00966CFA">
        <w:t xml:space="preserve">, a number of proposals had been submitted to be considered for the strategic plan. </w:t>
      </w:r>
      <w:r w:rsidR="00F575F0" w:rsidRPr="00966CFA">
        <w:t>Following the assessment of those proposals</w:t>
      </w:r>
      <w:r w:rsidR="00470030" w:rsidRPr="00966CFA">
        <w:t xml:space="preserve"> according to the guidelines provided by the group at its 3</w:t>
      </w:r>
      <w:r w:rsidR="00470030" w:rsidRPr="00966CFA">
        <w:rPr>
          <w:vertAlign w:val="superscript"/>
        </w:rPr>
        <w:t>rd</w:t>
      </w:r>
      <w:r w:rsidR="00470030" w:rsidRPr="00966CFA">
        <w:t xml:space="preserve"> meeting</w:t>
      </w:r>
      <w:r w:rsidR="00861360" w:rsidRPr="00966CFA">
        <w:t>,</w:t>
      </w:r>
      <w:r w:rsidR="00F575F0" w:rsidRPr="00966CFA">
        <w:t xml:space="preserve"> </w:t>
      </w:r>
      <w:proofErr w:type="gramStart"/>
      <w:r w:rsidR="00F575F0" w:rsidRPr="00966CFA">
        <w:t>a number of</w:t>
      </w:r>
      <w:proofErr w:type="gramEnd"/>
      <w:r w:rsidR="00F575F0" w:rsidRPr="00966CFA">
        <w:t xml:space="preserve"> </w:t>
      </w:r>
      <w:r w:rsidR="00F575F0" w:rsidRPr="00966CFA">
        <w:lastRenderedPageBreak/>
        <w:t xml:space="preserve">them </w:t>
      </w:r>
      <w:r w:rsidR="00470030" w:rsidRPr="00966CFA">
        <w:t xml:space="preserve">were not </w:t>
      </w:r>
      <w:r w:rsidR="001E2412" w:rsidRPr="00966CFA">
        <w:t xml:space="preserve">included in the draft strategic plan, due to the lack of indicators and data </w:t>
      </w:r>
      <w:r w:rsidR="00AB0CF7" w:rsidRPr="00966CFA">
        <w:t xml:space="preserve">currently </w:t>
      </w:r>
      <w:r w:rsidR="009D3201" w:rsidRPr="00966CFA">
        <w:t xml:space="preserve">available in the </w:t>
      </w:r>
      <w:r w:rsidR="00F66A2C" w:rsidRPr="00966CFA">
        <w:t>ITU statistical data</w:t>
      </w:r>
      <w:r w:rsidR="004C194D" w:rsidRPr="00966CFA">
        <w:t>set</w:t>
      </w:r>
      <w:r w:rsidR="00F66A2C" w:rsidRPr="00966CFA">
        <w:t>.</w:t>
      </w:r>
    </w:p>
    <w:p w14:paraId="6E3B75ED" w14:textId="69493DF7" w:rsidR="00424BEC" w:rsidRPr="00966CFA" w:rsidRDefault="009936E7"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w:t>
      </w:r>
      <w:r w:rsidR="001B0087" w:rsidRPr="00966CFA">
        <w:t>highlighted</w:t>
      </w:r>
      <w:r w:rsidR="00861360" w:rsidRPr="00966CFA">
        <w:t xml:space="preserve"> that Council, </w:t>
      </w:r>
      <w:r w:rsidR="001B0087" w:rsidRPr="00966CFA">
        <w:t>as per the provisions of Article 4/</w:t>
      </w:r>
      <w:r w:rsidR="005D46AD" w:rsidRPr="00966CFA">
        <w:t>61A of the ITU Convention</w:t>
      </w:r>
      <w:r w:rsidR="00861360" w:rsidRPr="00966CFA">
        <w:t>, may</w:t>
      </w:r>
      <w:r w:rsidR="005C1268" w:rsidRPr="00966CFA">
        <w:t xml:space="preserve"> as necessary, review and update the strategic pla</w:t>
      </w:r>
      <w:r w:rsidR="00891BC5" w:rsidRPr="00966CFA">
        <w:t>n</w:t>
      </w:r>
      <w:r w:rsidR="00EC354E" w:rsidRPr="00966CFA">
        <w:t xml:space="preserve">, </w:t>
      </w:r>
      <w:proofErr w:type="gramStart"/>
      <w:r w:rsidR="00891BC5" w:rsidRPr="00966CFA">
        <w:t>in particular by</w:t>
      </w:r>
      <w:proofErr w:type="gramEnd"/>
      <w:r w:rsidR="00891BC5" w:rsidRPr="00966CFA">
        <w:t xml:space="preserve"> </w:t>
      </w:r>
      <w:r w:rsidR="00584D3B" w:rsidRPr="00966CFA">
        <w:t>amending</w:t>
      </w:r>
      <w:r w:rsidR="00EC354E" w:rsidRPr="00966CFA">
        <w:t xml:space="preserve"> </w:t>
      </w:r>
      <w:r w:rsidR="00584D3B" w:rsidRPr="00966CFA">
        <w:t xml:space="preserve">the </w:t>
      </w:r>
      <w:r w:rsidR="00483D7D" w:rsidRPr="00966CFA">
        <w:t>T</w:t>
      </w:r>
      <w:r w:rsidR="00584D3B" w:rsidRPr="00966CFA">
        <w:t xml:space="preserve">argets and </w:t>
      </w:r>
      <w:r w:rsidR="00483D7D" w:rsidRPr="00966CFA">
        <w:t>I</w:t>
      </w:r>
      <w:r w:rsidR="00EC354E" w:rsidRPr="00966CFA">
        <w:t>ndicators</w:t>
      </w:r>
      <w:r w:rsidR="00584D3B" w:rsidRPr="00966CFA">
        <w:t xml:space="preserve">, following the </w:t>
      </w:r>
      <w:r w:rsidR="00B3426F" w:rsidRPr="00966CFA">
        <w:t>consider</w:t>
      </w:r>
      <w:r w:rsidR="00584D3B" w:rsidRPr="00966CFA">
        <w:t>ation</w:t>
      </w:r>
      <w:r w:rsidR="00B3426F" w:rsidRPr="00966CFA">
        <w:t xml:space="preserve"> </w:t>
      </w:r>
      <w:r w:rsidR="00584D3B" w:rsidRPr="00966CFA">
        <w:t xml:space="preserve">of </w:t>
      </w:r>
      <w:r w:rsidR="00B3426F" w:rsidRPr="00966CFA">
        <w:t xml:space="preserve">the annual report </w:t>
      </w:r>
      <w:r w:rsidR="00016BCA" w:rsidRPr="00966CFA">
        <w:t>on the implementation of the Union’s Strategic Plan</w:t>
      </w:r>
      <w:r w:rsidR="00A33BF5" w:rsidRPr="00966CFA">
        <w:t>, which is</w:t>
      </w:r>
      <w:r w:rsidR="00401628" w:rsidRPr="00966CFA">
        <w:t xml:space="preserve"> presented </w:t>
      </w:r>
      <w:r w:rsidR="00A33BF5" w:rsidRPr="00966CFA">
        <w:t xml:space="preserve">on a yearly basis </w:t>
      </w:r>
      <w:r w:rsidR="00401628" w:rsidRPr="00966CFA">
        <w:t xml:space="preserve">by the </w:t>
      </w:r>
      <w:r w:rsidR="009C74D1" w:rsidRPr="00966CFA">
        <w:t>s</w:t>
      </w:r>
      <w:r w:rsidR="00401628" w:rsidRPr="00966CFA">
        <w:t>ecretariat</w:t>
      </w:r>
      <w:r w:rsidR="00016BCA" w:rsidRPr="00966CFA">
        <w:t>.</w:t>
      </w:r>
    </w:p>
    <w:p w14:paraId="244CFBE2" w14:textId="6EB3ACA3" w:rsidR="00B3207E" w:rsidRPr="00966CFA" w:rsidRDefault="00ED7862"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group also highlighted the importance of other </w:t>
      </w:r>
      <w:r w:rsidR="00FA2653" w:rsidRPr="00966CFA">
        <w:t>elements</w:t>
      </w:r>
      <w:r w:rsidRPr="00966CFA">
        <w:t xml:space="preserve"> within the ITU</w:t>
      </w:r>
      <w:r w:rsidR="00E41752" w:rsidRPr="00966CFA">
        <w:t xml:space="preserve"> strategic management framework</w:t>
      </w:r>
      <w:r w:rsidRPr="00966CFA">
        <w:t xml:space="preserve">, such as the </w:t>
      </w:r>
      <w:r w:rsidR="00AF4E99" w:rsidRPr="00966CFA">
        <w:t xml:space="preserve">Risk </w:t>
      </w:r>
      <w:r w:rsidR="00FA2653" w:rsidRPr="00966CFA">
        <w:t>m</w:t>
      </w:r>
      <w:r w:rsidR="00AF4E99" w:rsidRPr="00966CFA">
        <w:t xml:space="preserve">anagement </w:t>
      </w:r>
      <w:r w:rsidR="00FA2653" w:rsidRPr="00966CFA">
        <w:t>f</w:t>
      </w:r>
      <w:r w:rsidR="00E41752" w:rsidRPr="00966CFA">
        <w:t xml:space="preserve">ramework and the </w:t>
      </w:r>
      <w:r w:rsidR="00FA2653" w:rsidRPr="00966CFA">
        <w:t xml:space="preserve">corresponding </w:t>
      </w:r>
      <w:r w:rsidR="00E41752" w:rsidRPr="00966CFA">
        <w:t xml:space="preserve">Risk </w:t>
      </w:r>
      <w:r w:rsidR="00AF4E99" w:rsidRPr="00966CFA">
        <w:t>Register</w:t>
      </w:r>
      <w:r w:rsidR="00E41752" w:rsidRPr="00966CFA">
        <w:t>,</w:t>
      </w:r>
      <w:r w:rsidR="00AF4E99" w:rsidRPr="00966CFA">
        <w:t xml:space="preserve"> </w:t>
      </w:r>
      <w:r w:rsidR="002E3D50" w:rsidRPr="00966CFA">
        <w:t xml:space="preserve">as well as </w:t>
      </w:r>
      <w:r w:rsidR="00AF4E99" w:rsidRPr="00966CFA">
        <w:t>the Accountability Framework,</w:t>
      </w:r>
      <w:r w:rsidR="0048166B" w:rsidRPr="00966CFA">
        <w:t xml:space="preserve"> which </w:t>
      </w:r>
      <w:r w:rsidR="00946BEC" w:rsidRPr="00966CFA">
        <w:t xml:space="preserve">have been taken into consideration in the development of the draft Strategic Plan, and </w:t>
      </w:r>
      <w:r w:rsidR="00AF4E99" w:rsidRPr="00966CFA">
        <w:t xml:space="preserve">should be </w:t>
      </w:r>
      <w:r w:rsidR="00946BEC" w:rsidRPr="00966CFA">
        <w:t xml:space="preserve">further </w:t>
      </w:r>
      <w:r w:rsidR="00AF4E99" w:rsidRPr="00966CFA">
        <w:t xml:space="preserve">considered, when </w:t>
      </w:r>
      <w:r w:rsidR="00FA10C0" w:rsidRPr="00966CFA">
        <w:t xml:space="preserve">monitoring </w:t>
      </w:r>
      <w:r w:rsidR="00D94914" w:rsidRPr="00966CFA">
        <w:t xml:space="preserve">and evaluating the implementation of the ITU Strategic Plan </w:t>
      </w:r>
      <w:r w:rsidR="00FA10C0" w:rsidRPr="00966CFA">
        <w:t xml:space="preserve">for </w:t>
      </w:r>
      <w:r w:rsidR="00D94914" w:rsidRPr="00966CFA">
        <w:t>2024-2027.</w:t>
      </w:r>
    </w:p>
    <w:p w14:paraId="420D6C4C" w14:textId="50D21DA7" w:rsidR="00D94914" w:rsidRDefault="00D94914"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Finally, the group agreed </w:t>
      </w:r>
      <w:r w:rsidR="00D15CAF" w:rsidRPr="00966CFA">
        <w:t xml:space="preserve">on </w:t>
      </w:r>
      <w:r w:rsidR="00382B3D" w:rsidRPr="00966CFA">
        <w:t xml:space="preserve">a draft text on </w:t>
      </w:r>
      <w:r w:rsidR="00D15CAF" w:rsidRPr="00966CFA">
        <w:t xml:space="preserve">Annex 2 to Resolution </w:t>
      </w:r>
      <w:r w:rsidR="00382B3D" w:rsidRPr="00966CFA">
        <w:t>71</w:t>
      </w:r>
      <w:r w:rsidR="00D15CAF" w:rsidRPr="00966CFA">
        <w:t xml:space="preserve"> (Situational Analysis)</w:t>
      </w:r>
      <w:r w:rsidR="0014325F" w:rsidRPr="00966CFA">
        <w:t xml:space="preserve"> as presented in this report as </w:t>
      </w:r>
      <w:r w:rsidR="006E3BBF" w:rsidRPr="00966CFA">
        <w:t xml:space="preserve">Revision </w:t>
      </w:r>
      <w:r w:rsidR="009A042F">
        <w:t>2</w:t>
      </w:r>
      <w:r w:rsidR="006E3BBF" w:rsidRPr="00966CFA">
        <w:t xml:space="preserve"> </w:t>
      </w:r>
      <w:r w:rsidR="00382B3D" w:rsidRPr="00966CFA">
        <w:t>to</w:t>
      </w:r>
      <w:r w:rsidR="006E3BBF" w:rsidRPr="00966CFA">
        <w:t xml:space="preserve"> A</w:t>
      </w:r>
      <w:r w:rsidR="0014325F" w:rsidRPr="00966CFA">
        <w:t>nnex 2</w:t>
      </w:r>
      <w:r w:rsidR="006E3BBF" w:rsidRPr="00966CFA">
        <w:t xml:space="preserve">. </w:t>
      </w:r>
      <w:r w:rsidR="00777FD3" w:rsidRPr="00966CFA">
        <w:t xml:space="preserve">The group discussed thoroughly the </w:t>
      </w:r>
      <w:r w:rsidR="009B00A9" w:rsidRPr="00966CFA">
        <w:t>importance of the SWOT analysis</w:t>
      </w:r>
      <w:r w:rsidR="00745631" w:rsidRPr="00966CFA">
        <w:t xml:space="preserve">, and whether it would be necessary </w:t>
      </w:r>
      <w:r w:rsidR="00A15019" w:rsidRPr="00966CFA">
        <w:t xml:space="preserve">for this text </w:t>
      </w:r>
      <w:r w:rsidR="00745631" w:rsidRPr="00966CFA">
        <w:t xml:space="preserve">to be included </w:t>
      </w:r>
      <w:r w:rsidR="008929D2" w:rsidRPr="00966CFA">
        <w:t xml:space="preserve">within </w:t>
      </w:r>
      <w:r w:rsidR="00745631" w:rsidRPr="00966CFA">
        <w:t xml:space="preserve">Annex 2 </w:t>
      </w:r>
      <w:r w:rsidR="00B300BD" w:rsidRPr="00966CFA">
        <w:t>of the Resolution, and finally</w:t>
      </w:r>
      <w:r w:rsidR="009B00A9" w:rsidRPr="00966CFA">
        <w:t xml:space="preserve"> decided to </w:t>
      </w:r>
      <w:r w:rsidR="00A407A2" w:rsidRPr="00966CFA">
        <w:t xml:space="preserve">keep that section </w:t>
      </w:r>
      <w:r w:rsidR="009A042F">
        <w:t>included in th</w:t>
      </w:r>
      <w:r w:rsidR="00613816">
        <w:t>e CWG-SFP Chair’s</w:t>
      </w:r>
      <w:r w:rsidR="009A042F">
        <w:t xml:space="preserve"> </w:t>
      </w:r>
      <w:r w:rsidR="00613816">
        <w:t>R</w:t>
      </w:r>
      <w:r w:rsidR="009A042F">
        <w:t xml:space="preserve">eport, so that future work can make a reference to this, but not to include within the </w:t>
      </w:r>
      <w:r w:rsidR="00613816">
        <w:t>draft Annexes of Resolution 71</w:t>
      </w:r>
      <w:r w:rsidR="0095461F" w:rsidRPr="00966CFA">
        <w:t>.</w:t>
      </w:r>
    </w:p>
    <w:p w14:paraId="315E4BFD" w14:textId="70EFFA81" w:rsidR="00482177" w:rsidRPr="00966CFA" w:rsidRDefault="00482177" w:rsidP="00E503C5">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 xml:space="preserve">The </w:t>
      </w:r>
      <w:r w:rsidR="00A65635">
        <w:t xml:space="preserve">group also discussed and endorsed proposed </w:t>
      </w:r>
      <w:r w:rsidR="006A2253">
        <w:t>amendments to</w:t>
      </w:r>
      <w:r w:rsidR="004226D9">
        <w:t xml:space="preserve"> </w:t>
      </w:r>
      <w:r w:rsidR="00726E95">
        <w:t xml:space="preserve">the </w:t>
      </w:r>
      <w:r w:rsidR="004226D9">
        <w:t>main text of</w:t>
      </w:r>
      <w:r w:rsidR="006A2253">
        <w:t xml:space="preserve"> Res.</w:t>
      </w:r>
      <w:r w:rsidR="002B6055">
        <w:t xml:space="preserve"> 71 </w:t>
      </w:r>
      <w:r w:rsidR="004226D9">
        <w:t>for Member States consideration</w:t>
      </w:r>
      <w:r w:rsidR="00F020BE">
        <w:t xml:space="preserve">. </w:t>
      </w:r>
      <w:r w:rsidR="00B773AD">
        <w:t xml:space="preserve">All proposed amendments were endorsed by the group, apart from </w:t>
      </w:r>
      <w:r w:rsidR="002D3222">
        <w:t>point</w:t>
      </w:r>
      <w:r w:rsidR="00CA0B11">
        <w:t xml:space="preserve"> </w:t>
      </w:r>
      <w:r w:rsidR="00CA0B11" w:rsidRPr="00CA0B11">
        <w:rPr>
          <w:i/>
          <w:iCs/>
        </w:rPr>
        <w:t>c)</w:t>
      </w:r>
      <w:r w:rsidR="002D3222">
        <w:t xml:space="preserve"> in </w:t>
      </w:r>
      <w:r w:rsidR="002D3222" w:rsidRPr="00CA0B11">
        <w:rPr>
          <w:i/>
          <w:iCs/>
        </w:rPr>
        <w:t>considering further</w:t>
      </w:r>
      <w:r w:rsidR="002D3222">
        <w:t xml:space="preserve"> of the resolution, which remains in square brackets.</w:t>
      </w:r>
    </w:p>
    <w:p w14:paraId="4DE2BC09" w14:textId="1130476E" w:rsidR="00074C31" w:rsidRPr="00966CFA"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966CFA">
        <w:rPr>
          <w:b/>
        </w:rPr>
        <w:t>Outcomes of the work of CWG-SFP</w:t>
      </w:r>
    </w:p>
    <w:p w14:paraId="0E54967D" w14:textId="4C63DBBA" w:rsidR="00074C31" w:rsidRPr="00966CFA"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The group is submitting to Council, for review and submission to the 20</w:t>
      </w:r>
      <w:r w:rsidR="005F4AC1" w:rsidRPr="00966CFA">
        <w:t>22</w:t>
      </w:r>
      <w:r w:rsidRPr="00966CFA">
        <w:t xml:space="preserve"> Plenipotentiary Conference, the following documents:</w:t>
      </w:r>
    </w:p>
    <w:p w14:paraId="5E1DFE7E" w14:textId="77777777" w:rsidR="00074C31" w:rsidRPr="00966CFA" w:rsidRDefault="00074C31" w:rsidP="00074C31">
      <w:pPr>
        <w:numPr>
          <w:ilvl w:val="0"/>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66CFA">
        <w:t>A proposal for the draft text of the Annexes to Resolution 71:</w:t>
      </w:r>
    </w:p>
    <w:p w14:paraId="3FB913BF" w14:textId="401D7F61" w:rsidR="00074C31" w:rsidRPr="00966CFA"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66CFA">
        <w:t>Annex 1 – Draft ITU Strategic Plan 202</w:t>
      </w:r>
      <w:r w:rsidR="000D7092" w:rsidRPr="00966CFA">
        <w:t>4</w:t>
      </w:r>
      <w:r w:rsidRPr="00966CFA">
        <w:t>-202</w:t>
      </w:r>
      <w:r w:rsidR="000D7092" w:rsidRPr="00966CFA">
        <w:t>7</w:t>
      </w:r>
      <w:r w:rsidRPr="00966CFA">
        <w:t xml:space="preserve"> (</w:t>
      </w:r>
      <w:hyperlink r:id="rId18" w:history="1">
        <w:r w:rsidRPr="00966CFA">
          <w:rPr>
            <w:rStyle w:val="Hyperlink"/>
          </w:rPr>
          <w:t>A</w:t>
        </w:r>
        <w:r w:rsidR="00D71395" w:rsidRPr="00966CFA">
          <w:rPr>
            <w:rStyle w:val="Hyperlink"/>
          </w:rPr>
          <w:t xml:space="preserve">nnex </w:t>
        </w:r>
        <w:r w:rsidRPr="00966CFA">
          <w:rPr>
            <w:rStyle w:val="Hyperlink"/>
          </w:rPr>
          <w:t>1 to this report</w:t>
        </w:r>
      </w:hyperlink>
      <w:r w:rsidRPr="00966CFA">
        <w:t>)</w:t>
      </w:r>
      <w:r w:rsidR="002C6D35" w:rsidRPr="00966CFA">
        <w:t>, revised after the 4</w:t>
      </w:r>
      <w:r w:rsidR="002C6D35" w:rsidRPr="00966CFA">
        <w:rPr>
          <w:vertAlign w:val="superscript"/>
        </w:rPr>
        <w:t>th</w:t>
      </w:r>
      <w:r w:rsidR="002C6D35" w:rsidRPr="00966CFA">
        <w:t xml:space="preserve"> CWG-SFP </w:t>
      </w:r>
      <w:proofErr w:type="gramStart"/>
      <w:r w:rsidR="002C6D35" w:rsidRPr="00966CFA">
        <w:t>meeting</w:t>
      </w:r>
      <w:r w:rsidRPr="00966CFA">
        <w:t>;</w:t>
      </w:r>
      <w:proofErr w:type="gramEnd"/>
    </w:p>
    <w:p w14:paraId="3A375669" w14:textId="34AEF4CD" w:rsidR="00074C31" w:rsidRPr="00966CFA"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66CFA">
        <w:t>Annex 2 – Situational analysis (</w:t>
      </w:r>
      <w:hyperlink r:id="rId19" w:history="1">
        <w:r w:rsidRPr="00966CFA">
          <w:rPr>
            <w:rStyle w:val="Hyperlink"/>
          </w:rPr>
          <w:t>A</w:t>
        </w:r>
        <w:r w:rsidR="00D71395" w:rsidRPr="00966CFA">
          <w:rPr>
            <w:rStyle w:val="Hyperlink"/>
          </w:rPr>
          <w:t>nnex</w:t>
        </w:r>
        <w:r w:rsidRPr="00966CFA">
          <w:rPr>
            <w:rStyle w:val="Hyperlink"/>
          </w:rPr>
          <w:t xml:space="preserve"> 2 to this report</w:t>
        </w:r>
      </w:hyperlink>
      <w:r w:rsidRPr="00966CFA">
        <w:t>)</w:t>
      </w:r>
      <w:r w:rsidR="002C6D35" w:rsidRPr="00966CFA">
        <w:t>, revised after the 4</w:t>
      </w:r>
      <w:r w:rsidR="002C6D35" w:rsidRPr="00966CFA">
        <w:rPr>
          <w:vertAlign w:val="superscript"/>
        </w:rPr>
        <w:t>th</w:t>
      </w:r>
      <w:r w:rsidR="002C6D35" w:rsidRPr="00966CFA">
        <w:t xml:space="preserve"> CWG-SFP meeting</w:t>
      </w:r>
      <w:r w:rsidRPr="00966CFA">
        <w:t>;</w:t>
      </w:r>
      <w:r w:rsidR="00D71395" w:rsidRPr="00966CFA">
        <w:t xml:space="preserve"> and</w:t>
      </w:r>
    </w:p>
    <w:p w14:paraId="77FAD3AE" w14:textId="64D2F58A" w:rsidR="00074C31"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966CFA">
        <w:t>Annex 3 – Glossary of terms (</w:t>
      </w:r>
      <w:hyperlink r:id="rId20" w:history="1">
        <w:r w:rsidRPr="00966CFA">
          <w:rPr>
            <w:rStyle w:val="Hyperlink"/>
          </w:rPr>
          <w:t>A</w:t>
        </w:r>
        <w:r w:rsidR="00D71395" w:rsidRPr="00966CFA">
          <w:rPr>
            <w:rStyle w:val="Hyperlink"/>
          </w:rPr>
          <w:t>nnex</w:t>
        </w:r>
        <w:r w:rsidRPr="00966CFA">
          <w:rPr>
            <w:rStyle w:val="Hyperlink"/>
          </w:rPr>
          <w:t xml:space="preserve"> 3 to this report</w:t>
        </w:r>
      </w:hyperlink>
      <w:r w:rsidRPr="00966CFA">
        <w:t>)</w:t>
      </w:r>
      <w:r w:rsidR="00D71395" w:rsidRPr="00966CFA">
        <w:t>.</w:t>
      </w:r>
      <w:r w:rsidRPr="00966CFA">
        <w:t xml:space="preserve"> </w:t>
      </w:r>
    </w:p>
    <w:p w14:paraId="0C22945D" w14:textId="72FBFC23" w:rsidR="00D728D5" w:rsidRPr="00966CFA" w:rsidRDefault="00743F03" w:rsidP="00743F03">
      <w:pPr>
        <w:numPr>
          <w:ilvl w:val="0"/>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t xml:space="preserve">A proposal </w:t>
      </w:r>
      <w:r w:rsidR="00112732">
        <w:t>for the draft</w:t>
      </w:r>
      <w:r>
        <w:t xml:space="preserve"> main text of Res.71 for Member States consideration when preparing their </w:t>
      </w:r>
      <w:r w:rsidR="001E2979">
        <w:t>contributions</w:t>
      </w:r>
      <w:r>
        <w:t xml:space="preserve"> for PP-22</w:t>
      </w:r>
      <w:r w:rsidR="00DB56E9">
        <w:t xml:space="preserve"> (</w:t>
      </w:r>
      <w:hyperlink r:id="rId21" w:history="1">
        <w:r w:rsidR="00DB56E9" w:rsidRPr="00966CFA">
          <w:rPr>
            <w:rStyle w:val="Hyperlink"/>
          </w:rPr>
          <w:t xml:space="preserve">Annex </w:t>
        </w:r>
        <w:r w:rsidR="00DB56E9">
          <w:rPr>
            <w:rStyle w:val="Hyperlink"/>
          </w:rPr>
          <w:t>4</w:t>
        </w:r>
        <w:r w:rsidR="00DB56E9" w:rsidRPr="00966CFA">
          <w:rPr>
            <w:rStyle w:val="Hyperlink"/>
          </w:rPr>
          <w:t xml:space="preserve"> to this report</w:t>
        </w:r>
      </w:hyperlink>
      <w:proofErr w:type="gramStart"/>
      <w:r w:rsidR="00DB56E9">
        <w:t>)</w:t>
      </w:r>
      <w:r>
        <w:t>;</w:t>
      </w:r>
      <w:proofErr w:type="gramEnd"/>
    </w:p>
    <w:p w14:paraId="407FA9C8" w14:textId="7F3F1FFF" w:rsidR="00613816" w:rsidRDefault="00EC3D46"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T</w:t>
      </w:r>
      <w:r w:rsidR="00666FC9">
        <w:t>he group also</w:t>
      </w:r>
      <w:r w:rsidR="00613816">
        <w:t xml:space="preserve"> includes</w:t>
      </w:r>
      <w:r>
        <w:t xml:space="preserve"> as an Appendix </w:t>
      </w:r>
      <w:r w:rsidR="00A10C37">
        <w:t xml:space="preserve">A </w:t>
      </w:r>
      <w:r>
        <w:t xml:space="preserve">to this Report, </w:t>
      </w:r>
      <w:r w:rsidR="00613816">
        <w:t>the results of the discussion</w:t>
      </w:r>
      <w:r w:rsidR="004A7239">
        <w:t>s</w:t>
      </w:r>
      <w:r w:rsidR="00613816">
        <w:t xml:space="preserve"> on the SWOT analysis</w:t>
      </w:r>
      <w:r w:rsidR="004A7239">
        <w:t>, which ha</w:t>
      </w:r>
      <w:r>
        <w:t>d</w:t>
      </w:r>
      <w:r w:rsidR="004A7239">
        <w:t xml:space="preserve"> been considered for the development of the new </w:t>
      </w:r>
      <w:r w:rsidR="004D4026">
        <w:t>s</w:t>
      </w:r>
      <w:r w:rsidR="00BF0F97">
        <w:t>trategic plan</w:t>
      </w:r>
      <w:r w:rsidR="00613816">
        <w:t>.</w:t>
      </w:r>
      <w:r w:rsidR="00BF0F97">
        <w:t xml:space="preserve"> Some of that text has been retained in square brackets, as it had not reached consensus during the discussions of the group.</w:t>
      </w:r>
      <w:r w:rsidR="000E16F4">
        <w:t xml:space="preserve"> As agreed by the group, this Appendix will not be part of the draft Resolution </w:t>
      </w:r>
      <w:proofErr w:type="gramStart"/>
      <w:r w:rsidR="000E16F4">
        <w:t>71</w:t>
      </w:r>
      <w:r w:rsidR="006D5755">
        <w:t>, but</w:t>
      </w:r>
      <w:proofErr w:type="gramEnd"/>
      <w:r w:rsidR="006D5755">
        <w:t xml:space="preserve"> considered as reference for future work</w:t>
      </w:r>
      <w:r w:rsidR="000E16F4">
        <w:t>.</w:t>
      </w:r>
    </w:p>
    <w:p w14:paraId="1F38BE88" w14:textId="360FA8F4" w:rsidR="00613816"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966CFA">
        <w:t xml:space="preserve">The Chair of the CWG-SFP thanked the ITU secretariat and all the delegations for their active participation in the meetings of the group and their constructive contributions, as well as all stakeholders who contributed to the work of this group through their inputs to the </w:t>
      </w:r>
      <w:r w:rsidR="00AD747D" w:rsidRPr="00966CFA">
        <w:t>virtual</w:t>
      </w:r>
      <w:r w:rsidRPr="00966CFA">
        <w:t xml:space="preserve"> consultations.</w:t>
      </w:r>
    </w:p>
    <w:p w14:paraId="11D15EA0" w14:textId="77777777" w:rsidR="00613816" w:rsidRDefault="00613816">
      <w:pPr>
        <w:tabs>
          <w:tab w:val="clear" w:pos="567"/>
          <w:tab w:val="clear" w:pos="1134"/>
          <w:tab w:val="clear" w:pos="1701"/>
          <w:tab w:val="clear" w:pos="2268"/>
          <w:tab w:val="clear" w:pos="2835"/>
        </w:tabs>
        <w:overflowPunct/>
        <w:autoSpaceDE/>
        <w:autoSpaceDN/>
        <w:adjustRightInd/>
        <w:spacing w:before="0"/>
        <w:textAlignment w:val="auto"/>
      </w:pPr>
      <w:r>
        <w:br w:type="page"/>
      </w:r>
    </w:p>
    <w:p w14:paraId="43652CBB" w14:textId="51F93857" w:rsidR="008B7265" w:rsidRPr="008B7265" w:rsidRDefault="008B7265" w:rsidP="008B7265">
      <w:pPr>
        <w:keepNext/>
        <w:widowControl w:val="0"/>
        <w:tabs>
          <w:tab w:val="clear" w:pos="567"/>
          <w:tab w:val="clear" w:pos="1134"/>
          <w:tab w:val="clear" w:pos="1701"/>
          <w:tab w:val="clear" w:pos="2268"/>
          <w:tab w:val="clear" w:pos="2835"/>
        </w:tabs>
        <w:snapToGrid w:val="0"/>
        <w:spacing w:before="360" w:after="120"/>
        <w:jc w:val="both"/>
        <w:outlineLvl w:val="1"/>
        <w:rPr>
          <w:b/>
        </w:rPr>
      </w:pPr>
      <w:r w:rsidRPr="008B7265">
        <w:rPr>
          <w:b/>
        </w:rPr>
        <w:lastRenderedPageBreak/>
        <w:t>Appendix A: Summary of ITU’s Strengths, Weaknesses, Opportunities and Threats (SWOT)</w:t>
      </w:r>
    </w:p>
    <w:p w14:paraId="1B71DD33" w14:textId="77777777" w:rsidR="008B7265" w:rsidRDefault="008B7265" w:rsidP="008B7265">
      <w:pPr>
        <w:pStyle w:val="Numberedpara"/>
      </w:pPr>
      <w:r w:rsidRPr="00B3798E">
        <w:t xml:space="preserve">To respond to the rapid changes in the digital landscape, it will be vital for ITU to leverage its existing strengths as the leading UN Agency focused on telecommunications/ICTs and clearly demonstrate its critical role in enhancing the access and use of these technologies for sustainable development. ITU will also strive to leverage both internal and external opportunities, to reinforce the added value of ITU’s services, </w:t>
      </w:r>
      <w:proofErr w:type="gramStart"/>
      <w:r w:rsidRPr="00B3798E">
        <w:t>products</w:t>
      </w:r>
      <w:proofErr w:type="gramEnd"/>
      <w:r w:rsidRPr="00B3798E">
        <w:t xml:space="preserve"> and initiatives. However, to build and maintain its vital role in the telecommunication and ICTs sector, the Union must also focus on remedying its weaknesses as an organization and responding to emerging threats. ITU has identified, </w:t>
      </w:r>
      <w:proofErr w:type="gramStart"/>
      <w:r w:rsidRPr="00B3798E">
        <w:t>analysed</w:t>
      </w:r>
      <w:proofErr w:type="gramEnd"/>
      <w:r w:rsidRPr="00B3798E">
        <w:t xml:space="preserve"> and assessed the strategic risks during the strategic planning process (as part of the organization’s overall risk management framework), which are further reflected in this analysis.</w:t>
      </w:r>
    </w:p>
    <w:p w14:paraId="7A3FAA24" w14:textId="77777777" w:rsidR="008B7265" w:rsidRPr="00115226" w:rsidRDefault="008B7265" w:rsidP="008B7265">
      <w:pPr>
        <w:pStyle w:val="Numberedpara"/>
      </w:pPr>
      <w:r w:rsidRPr="00115226">
        <w:t xml:space="preserve">Further details on the strengths, weaknesses, </w:t>
      </w:r>
      <w:proofErr w:type="gramStart"/>
      <w:r w:rsidRPr="00115226">
        <w:t>opportunities</w:t>
      </w:r>
      <w:proofErr w:type="gramEnd"/>
      <w:r w:rsidRPr="00115226">
        <w:t xml:space="preserve"> and threats (SWOT) for ITU are included in the tables below.</w:t>
      </w:r>
    </w:p>
    <w:p w14:paraId="776F2541" w14:textId="77777777" w:rsidR="008B7265" w:rsidRPr="00493C08" w:rsidRDefault="008B7265" w:rsidP="008B7265">
      <w:pPr>
        <w:pStyle w:val="SimpleHeading"/>
        <w:shd w:val="clear" w:color="auto" w:fill="DDD9C3" w:themeFill="background2" w:themeFillShade="E6"/>
      </w:pPr>
      <w:r w:rsidRPr="00493C08">
        <w:t>Strengths</w:t>
      </w:r>
    </w:p>
    <w:p w14:paraId="7DF52A51" w14:textId="77777777" w:rsidR="008B7265" w:rsidRPr="00B3798E" w:rsidRDefault="008B7265" w:rsidP="008B7265">
      <w:pPr>
        <w:spacing w:before="60" w:after="60"/>
        <w:jc w:val="both"/>
        <w:rPr>
          <w:rFonts w:cs="Calibri"/>
          <w:lang w:eastAsia="en-GB"/>
        </w:rPr>
      </w:pPr>
      <w:r w:rsidRPr="00B3798E">
        <w:rPr>
          <w:rFonts w:cs="Calibri"/>
          <w:lang w:eastAsia="en-GB"/>
        </w:rPr>
        <w:t xml:space="preserve">- Targeted focus on </w:t>
      </w:r>
      <w:r w:rsidRPr="00B3798E">
        <w:t>telecommunications/ICTs</w:t>
      </w:r>
      <w:r w:rsidRPr="00B3798E">
        <w:rPr>
          <w:rFonts w:cs="Calibri"/>
          <w:lang w:eastAsia="en-GB"/>
        </w:rPr>
        <w:t xml:space="preserve"> and more than 150-year history, giving ITU a unique position in the UN system</w:t>
      </w:r>
    </w:p>
    <w:p w14:paraId="4165616F" w14:textId="77777777" w:rsidR="008B7265" w:rsidRPr="00B3798E" w:rsidRDefault="008B7265" w:rsidP="008B7265">
      <w:pPr>
        <w:spacing w:before="60" w:after="60"/>
        <w:jc w:val="both"/>
        <w:rPr>
          <w:rFonts w:cs="Calibri"/>
          <w:lang w:eastAsia="en-GB"/>
        </w:rPr>
      </w:pPr>
      <w:r w:rsidRPr="00B3798E">
        <w:rPr>
          <w:rFonts w:cs="Calibri"/>
          <w:lang w:eastAsia="en-GB"/>
        </w:rPr>
        <w:t xml:space="preserve">- Leading role in enabling the use of and access to </w:t>
      </w:r>
      <w:r w:rsidRPr="00B3798E">
        <w:t xml:space="preserve">telecommunication/ICT </w:t>
      </w:r>
      <w:r w:rsidRPr="00B3798E">
        <w:rPr>
          <w:rFonts w:cs="Calibri"/>
          <w:lang w:eastAsia="en-GB"/>
        </w:rPr>
        <w:t>resources globally, through regulations and standards of universal applicability</w:t>
      </w:r>
    </w:p>
    <w:p w14:paraId="6957AA7A" w14:textId="77777777" w:rsidR="008B7265" w:rsidRPr="00B3798E" w:rsidRDefault="008B7265" w:rsidP="008B7265">
      <w:pPr>
        <w:spacing w:before="60" w:after="60"/>
        <w:jc w:val="both"/>
        <w:rPr>
          <w:rFonts w:cs="Calibri"/>
          <w:lang w:eastAsia="en-GB"/>
        </w:rPr>
      </w:pPr>
      <w:r w:rsidRPr="00B3798E">
        <w:rPr>
          <w:rFonts w:cs="Calibri"/>
          <w:lang w:eastAsia="en-GB"/>
        </w:rPr>
        <w:t>- Trusted global and neutral platform, with a recognized brand and credibility in the international community to facilitate SDGs and WSIS action lines</w:t>
      </w:r>
    </w:p>
    <w:p w14:paraId="6333EB47" w14:textId="77777777" w:rsidR="008B7265" w:rsidRPr="00B3798E" w:rsidRDefault="008B7265" w:rsidP="008B7265">
      <w:pPr>
        <w:spacing w:before="60" w:after="60"/>
        <w:jc w:val="both"/>
        <w:rPr>
          <w:rFonts w:cs="Calibri"/>
          <w:lang w:eastAsia="en-GB"/>
        </w:rPr>
      </w:pPr>
      <w:r w:rsidRPr="00B3798E">
        <w:rPr>
          <w:rFonts w:cs="Calibri"/>
          <w:lang w:eastAsia="en-GB"/>
        </w:rPr>
        <w:t xml:space="preserve">- Comprehensive and diverse membership that includes governments and regulators, the private sector and academia, providing a unique platform for multilateral discussions and enabling partnerships with stakeholders across the </w:t>
      </w:r>
      <w:r w:rsidRPr="00B3798E">
        <w:t>telecommunication/ICT s</w:t>
      </w:r>
      <w:r w:rsidRPr="00B3798E">
        <w:rPr>
          <w:rFonts w:cs="Calibri"/>
          <w:lang w:eastAsia="en-GB"/>
        </w:rPr>
        <w:t>ector</w:t>
      </w:r>
    </w:p>
    <w:p w14:paraId="59D5DE47" w14:textId="77777777" w:rsidR="008B7265" w:rsidRPr="00B3798E" w:rsidRDefault="008B7265" w:rsidP="008B7265">
      <w:pPr>
        <w:spacing w:before="60" w:after="60"/>
        <w:jc w:val="both"/>
        <w:rPr>
          <w:rFonts w:cs="Calibri"/>
          <w:lang w:eastAsia="en-GB"/>
        </w:rPr>
      </w:pPr>
      <w:r w:rsidRPr="00B3798E">
        <w:rPr>
          <w:rFonts w:cs="Calibri"/>
          <w:lang w:eastAsia="en-GB"/>
        </w:rPr>
        <w:t>- A diverse range of sector mandates that facilitate comprehensive and complementary actions to deliver on ITU’s mission</w:t>
      </w:r>
    </w:p>
    <w:p w14:paraId="7CBD41AD" w14:textId="77777777" w:rsidR="008B7265" w:rsidRPr="00B3798E" w:rsidRDefault="008B7265" w:rsidP="008B7265">
      <w:pPr>
        <w:spacing w:before="60" w:after="60"/>
        <w:jc w:val="both"/>
        <w:rPr>
          <w:rFonts w:cs="Calibri"/>
          <w:lang w:eastAsia="en-GB"/>
        </w:rPr>
      </w:pPr>
      <w:r w:rsidRPr="00B3798E">
        <w:rPr>
          <w:rFonts w:cs="Calibri"/>
          <w:lang w:eastAsia="en-GB"/>
        </w:rPr>
        <w:t>- Strong technical capacities of staff and membership, especially within core competencies</w:t>
      </w:r>
    </w:p>
    <w:p w14:paraId="038D7BAB" w14:textId="77777777" w:rsidR="008B7265" w:rsidRPr="00B3798E" w:rsidRDefault="008B7265" w:rsidP="008B7265">
      <w:pPr>
        <w:spacing w:before="60" w:after="60"/>
        <w:jc w:val="both"/>
        <w:rPr>
          <w:rFonts w:cs="Calibri"/>
          <w:lang w:eastAsia="en-GB"/>
        </w:rPr>
      </w:pPr>
      <w:r w:rsidRPr="00B3798E">
        <w:rPr>
          <w:rFonts w:cs="Calibri"/>
          <w:lang w:eastAsia="en-GB"/>
        </w:rPr>
        <w:t>- The diversity of the mandates of the Sectors of ITU, which allows for a broad collaboration within the Union that contributes to the achievement of its mission (on condition that the possibilities of utilizing the synergies of all ITU Sectors are realized)</w:t>
      </w:r>
    </w:p>
    <w:p w14:paraId="65CDFF4C" w14:textId="28939B2E" w:rsidR="008B7265" w:rsidRDefault="008B7265" w:rsidP="008B7265">
      <w:pPr>
        <w:spacing w:before="60" w:after="60"/>
        <w:jc w:val="both"/>
      </w:pPr>
      <w:r w:rsidRPr="00B3798E">
        <w:rPr>
          <w:rFonts w:cs="Calibri"/>
          <w:lang w:eastAsia="en-GB"/>
        </w:rPr>
        <w:t xml:space="preserve">- </w:t>
      </w:r>
      <w:r w:rsidRPr="00B3798E">
        <w:t xml:space="preserve">The structure of </w:t>
      </w:r>
      <w:r>
        <w:t>the Union</w:t>
      </w:r>
      <w:r w:rsidRPr="00B3798E">
        <w:t>,</w:t>
      </w:r>
      <w:r>
        <w:t xml:space="preserve"> particularly ITU’s Sectors,</w:t>
      </w:r>
      <w:r w:rsidRPr="00B3798E">
        <w:t xml:space="preserve"> which makes it possible to meet the diverse needs of the membership in an optimum manner within the framework of ITU’s mandate and Sector specialization (by making use of the regional presence function, increased delegation to the staff of authority and the corresponding responsibility and accountability </w:t>
      </w:r>
      <w:proofErr w:type="gramStart"/>
      <w:r w:rsidRPr="00B3798E">
        <w:t>on the basis of</w:t>
      </w:r>
      <w:proofErr w:type="gramEnd"/>
      <w:r w:rsidRPr="00B3798E">
        <w:t xml:space="preserve"> performance-driven talent management, and so on)</w:t>
      </w:r>
    </w:p>
    <w:p w14:paraId="2AC7FEF2" w14:textId="77777777" w:rsidR="008B7265" w:rsidRPr="00B3798E" w:rsidRDefault="008B7265" w:rsidP="008B7265">
      <w:pPr>
        <w:pStyle w:val="SimpleHeading"/>
        <w:shd w:val="clear" w:color="auto" w:fill="DDD9C3" w:themeFill="background2" w:themeFillShade="E6"/>
        <w:rPr>
          <w:rFonts w:cstheme="majorBidi"/>
          <w:szCs w:val="24"/>
        </w:rPr>
      </w:pPr>
      <w:r w:rsidRPr="00B3798E">
        <w:t>Weaknesses</w:t>
      </w:r>
    </w:p>
    <w:p w14:paraId="558C58D0" w14:textId="77777777" w:rsidR="008B7265" w:rsidRPr="00BF0F97" w:rsidRDefault="008B7265" w:rsidP="008B7265">
      <w:pPr>
        <w:spacing w:before="60" w:after="60"/>
        <w:jc w:val="both"/>
        <w:rPr>
          <w:rFonts w:cs="Calibri"/>
          <w:lang w:eastAsia="en-GB"/>
        </w:rPr>
      </w:pPr>
      <w:r w:rsidRPr="00BF0F97">
        <w:rPr>
          <w:rFonts w:cs="Calibri"/>
          <w:lang w:eastAsia="en-GB"/>
        </w:rPr>
        <w:t>[- Inefficiencies and bureaucracy, leading to reactive and slow processes]</w:t>
      </w:r>
    </w:p>
    <w:p w14:paraId="043807AC" w14:textId="77777777" w:rsidR="008B7265" w:rsidRPr="00BF0F97" w:rsidRDefault="008B7265" w:rsidP="008B7265">
      <w:pPr>
        <w:spacing w:before="60" w:after="60"/>
        <w:jc w:val="both"/>
        <w:rPr>
          <w:rFonts w:cs="Calibri"/>
          <w:lang w:eastAsia="en-GB"/>
        </w:rPr>
      </w:pPr>
      <w:r w:rsidRPr="00BF0F97">
        <w:rPr>
          <w:rFonts w:cs="Calibri"/>
          <w:lang w:eastAsia="en-GB"/>
        </w:rPr>
        <w:t>[- Complex governing structure, limiting organizational agility and quick decision-making]</w:t>
      </w:r>
    </w:p>
    <w:p w14:paraId="748AF85F" w14:textId="77777777" w:rsidR="008B7265" w:rsidRPr="00BF0F97" w:rsidRDefault="008B7265" w:rsidP="008B7265">
      <w:pPr>
        <w:spacing w:before="60" w:after="60"/>
        <w:jc w:val="both"/>
        <w:rPr>
          <w:rFonts w:cs="Calibri"/>
          <w:lang w:eastAsia="en-GB"/>
        </w:rPr>
      </w:pPr>
      <w:r w:rsidRPr="00BF0F97">
        <w:rPr>
          <w:rFonts w:cs="Calibri"/>
          <w:lang w:eastAsia="en-GB"/>
        </w:rPr>
        <w:t>[- Siloed approach with limited cross-functional collaboration that impedes potential synergies and operational efficiencies]</w:t>
      </w:r>
    </w:p>
    <w:p w14:paraId="126738C5" w14:textId="77777777" w:rsidR="008B7265" w:rsidRPr="00BF0F97" w:rsidRDefault="008B7265" w:rsidP="008B7265">
      <w:pPr>
        <w:spacing w:before="60" w:after="60"/>
        <w:jc w:val="both"/>
        <w:rPr>
          <w:rFonts w:cs="Calibri"/>
          <w:lang w:eastAsia="en-GB"/>
        </w:rPr>
      </w:pPr>
      <w:r w:rsidRPr="00BF0F97">
        <w:rPr>
          <w:rFonts w:cs="Calibri"/>
          <w:lang w:eastAsia="en-GB"/>
        </w:rPr>
        <w:t>[- Risk-averse organizational culture and processes, constraining innovation, and bottom-up entrepreneurship]</w:t>
      </w:r>
    </w:p>
    <w:p w14:paraId="1CF9928B" w14:textId="77777777" w:rsidR="008B7265" w:rsidRPr="00BF0F97" w:rsidRDefault="008B7265" w:rsidP="008B7265">
      <w:pPr>
        <w:spacing w:before="60" w:after="60"/>
        <w:jc w:val="both"/>
        <w:rPr>
          <w:rFonts w:cs="Calibri"/>
          <w:lang w:eastAsia="en-GB"/>
        </w:rPr>
      </w:pPr>
      <w:r w:rsidRPr="00BF0F97">
        <w:rPr>
          <w:rFonts w:cs="Calibri"/>
          <w:lang w:eastAsia="en-GB"/>
        </w:rPr>
        <w:t xml:space="preserve">- Limited resource mobilization capacity, constraining the organization’s capabilities due to the nature of Member State funding resulting from constraints on the size of the contributory unit, </w:t>
      </w:r>
      <w:r w:rsidRPr="00BF0F97">
        <w:rPr>
          <w:rFonts w:cs="Calibri"/>
          <w:lang w:eastAsia="en-GB"/>
        </w:rPr>
        <w:lastRenderedPageBreak/>
        <w:t>variations in Member State commitments in choosing the class of contribution, and the arrears incurred by the membership before the Union</w:t>
      </w:r>
    </w:p>
    <w:p w14:paraId="2D77A215" w14:textId="77777777" w:rsidR="008B7265" w:rsidRPr="00BF0F97" w:rsidRDefault="008B7265" w:rsidP="008B7265">
      <w:pPr>
        <w:spacing w:before="60" w:after="60"/>
        <w:jc w:val="both"/>
        <w:rPr>
          <w:rFonts w:cs="Calibri"/>
          <w:lang w:eastAsia="en-GB"/>
        </w:rPr>
      </w:pPr>
      <w:r w:rsidRPr="00BF0F97">
        <w:rPr>
          <w:rFonts w:cs="Calibri"/>
          <w:lang w:eastAsia="en-GB"/>
        </w:rPr>
        <w:t xml:space="preserve">[- ITU is an organization within the United Nations system that is directed by independent Member States, and this can lead to the blurring and dilution of its core competencies, diminishing its value to the ITU membership </w:t>
      </w:r>
    </w:p>
    <w:p w14:paraId="6191D352" w14:textId="77777777" w:rsidR="008B7265" w:rsidRPr="00BF0F97" w:rsidRDefault="008B7265" w:rsidP="008B7265">
      <w:pPr>
        <w:spacing w:before="60" w:after="60"/>
        <w:jc w:val="both"/>
        <w:rPr>
          <w:rFonts w:cs="Calibri"/>
          <w:lang w:eastAsia="en-GB"/>
        </w:rPr>
      </w:pPr>
      <w:r w:rsidRPr="00BF0F97">
        <w:rPr>
          <w:rFonts w:cs="Calibri"/>
          <w:lang w:eastAsia="en-GB"/>
        </w:rPr>
        <w:t>- Limited possibilities for a rapid re-orientation of the domain of activity, because of the relatively slow procedure for changing the mandate (the Constitution and Convention of ITU) and the inherent characteristics of an international organization]</w:t>
      </w:r>
    </w:p>
    <w:p w14:paraId="3264ECDF" w14:textId="77777777" w:rsidR="008B7265" w:rsidRPr="00BF0F97" w:rsidRDefault="008B7265" w:rsidP="008B7265">
      <w:pPr>
        <w:spacing w:before="60" w:after="60"/>
        <w:jc w:val="both"/>
        <w:rPr>
          <w:rFonts w:cs="Calibri"/>
          <w:lang w:eastAsia="en-GB"/>
        </w:rPr>
      </w:pPr>
      <w:r w:rsidRPr="00BF0F97">
        <w:rPr>
          <w:rFonts w:cs="Calibri"/>
          <w:lang w:eastAsia="en-GB"/>
        </w:rPr>
        <w:t>- Regional and area offices are relatively distant from the operational mainstream</w:t>
      </w:r>
    </w:p>
    <w:p w14:paraId="64DFF90E" w14:textId="77777777" w:rsidR="008B7265" w:rsidRPr="00BF0F97" w:rsidRDefault="008B7265" w:rsidP="008B7265">
      <w:pPr>
        <w:spacing w:before="60" w:after="60"/>
        <w:jc w:val="both"/>
        <w:rPr>
          <w:rFonts w:cs="Calibri"/>
          <w:lang w:eastAsia="en-GB"/>
        </w:rPr>
      </w:pPr>
      <w:r w:rsidRPr="00BF0F97">
        <w:rPr>
          <w:rFonts w:cs="Calibri"/>
          <w:lang w:eastAsia="en-GB"/>
        </w:rPr>
        <w:t>- Unclear mandate of regional and area offices leading to inefficient service delivery to members and a value proposition for stakeholders</w:t>
      </w:r>
    </w:p>
    <w:p w14:paraId="7F628A50" w14:textId="77777777" w:rsidR="008B7265" w:rsidRPr="00BF0F97" w:rsidRDefault="008B7265" w:rsidP="008B7265">
      <w:pPr>
        <w:spacing w:before="60" w:after="60"/>
        <w:jc w:val="both"/>
        <w:rPr>
          <w:rFonts w:cs="Calibri"/>
          <w:lang w:eastAsia="en-GB"/>
        </w:rPr>
      </w:pPr>
      <w:r w:rsidRPr="00BF0F97">
        <w:rPr>
          <w:rFonts w:cs="Calibri"/>
          <w:lang w:eastAsia="en-GB"/>
        </w:rPr>
        <w:t>- Significant decrease on the revenue side while additional demands are being made on the expense side</w:t>
      </w:r>
    </w:p>
    <w:p w14:paraId="0261256A" w14:textId="77777777" w:rsidR="008B7265" w:rsidRPr="000B72BE" w:rsidRDefault="008B7265" w:rsidP="008B7265">
      <w:pPr>
        <w:spacing w:before="60" w:after="60"/>
        <w:jc w:val="both"/>
        <w:rPr>
          <w:rFonts w:cs="Calibri"/>
          <w:lang w:eastAsia="en-GB"/>
        </w:rPr>
      </w:pPr>
      <w:r w:rsidRPr="00BF0F97">
        <w:rPr>
          <w:rFonts w:cs="Calibri"/>
          <w:lang w:eastAsia="en-GB"/>
        </w:rPr>
        <w:t>[- The current Telecom events business model is not financially viable and the event's value proposition shows clear signs of weakness]</w:t>
      </w:r>
    </w:p>
    <w:p w14:paraId="6278182C" w14:textId="77777777" w:rsidR="008B7265" w:rsidRPr="00F3554E" w:rsidRDefault="008B7265" w:rsidP="008B7265">
      <w:pPr>
        <w:pStyle w:val="SimpleHeading"/>
        <w:shd w:val="clear" w:color="auto" w:fill="DDD9C3" w:themeFill="background2" w:themeFillShade="E6"/>
      </w:pPr>
      <w:r w:rsidRPr="00F3554E">
        <w:t>Opportunities</w:t>
      </w:r>
    </w:p>
    <w:p w14:paraId="34442973" w14:textId="77777777" w:rsidR="008B7265" w:rsidRPr="00F3554E" w:rsidRDefault="008B7265" w:rsidP="008B7265">
      <w:pPr>
        <w:spacing w:before="60" w:after="60"/>
        <w:jc w:val="both"/>
        <w:rPr>
          <w:rFonts w:cs="Calibri"/>
          <w:lang w:eastAsia="en-GB"/>
        </w:rPr>
      </w:pPr>
      <w:r w:rsidRPr="00F3554E">
        <w:rPr>
          <w:rFonts w:cs="Calibri"/>
          <w:lang w:eastAsia="en-GB"/>
        </w:rPr>
        <w:t>- Increased contributions of</w:t>
      </w:r>
      <w:r w:rsidRPr="00F3554E">
        <w:t xml:space="preserve"> telecommunications and ICTs </w:t>
      </w:r>
      <w:r w:rsidRPr="00F3554E">
        <w:rPr>
          <w:rFonts w:cs="Calibri"/>
          <w:lang w:eastAsia="en-GB"/>
        </w:rPr>
        <w:t>to sustainable development, enhancing ITU’s role in achieving the SDGs</w:t>
      </w:r>
    </w:p>
    <w:p w14:paraId="35F6F5F9" w14:textId="77777777" w:rsidR="008B7265" w:rsidRPr="00F3554E" w:rsidRDefault="008B7265" w:rsidP="008B7265">
      <w:pPr>
        <w:spacing w:before="60" w:after="60"/>
        <w:jc w:val="both"/>
        <w:rPr>
          <w:rFonts w:cs="Calibri"/>
          <w:lang w:eastAsia="en-GB"/>
        </w:rPr>
      </w:pPr>
      <w:r w:rsidRPr="00F3554E">
        <w:rPr>
          <w:rFonts w:cs="Calibri"/>
          <w:lang w:eastAsia="en-GB"/>
        </w:rPr>
        <w:t>- Acceleration of digitalization and digital transformation driven by the impacts of COVID-19, reinforcing the importance of ITU’s programmes and platform</w:t>
      </w:r>
    </w:p>
    <w:p w14:paraId="5E471916" w14:textId="77777777" w:rsidR="008B7265" w:rsidRPr="00F3554E" w:rsidRDefault="008B7265" w:rsidP="008B7265">
      <w:pPr>
        <w:spacing w:before="60" w:after="60"/>
        <w:jc w:val="both"/>
        <w:rPr>
          <w:rFonts w:cs="Calibri"/>
          <w:lang w:eastAsia="en-GB"/>
        </w:rPr>
      </w:pPr>
      <w:r w:rsidRPr="00F3554E">
        <w:rPr>
          <w:rFonts w:cs="Calibri"/>
          <w:lang w:eastAsia="en-GB"/>
        </w:rPr>
        <w:t xml:space="preserve">- Deepened engagement with new technologies and stakeholder groups, such as youth, </w:t>
      </w:r>
      <w:proofErr w:type="gramStart"/>
      <w:r w:rsidRPr="00F3554E">
        <w:rPr>
          <w:rFonts w:cs="Calibri"/>
          <w:lang w:eastAsia="en-GB"/>
        </w:rPr>
        <w:t>women</w:t>
      </w:r>
      <w:proofErr w:type="gramEnd"/>
      <w:r w:rsidRPr="00F3554E">
        <w:rPr>
          <w:rFonts w:cs="Calibri"/>
          <w:lang w:eastAsia="en-GB"/>
        </w:rPr>
        <w:t xml:space="preserve"> and marginalized communities to garner diverse perspectives on the challenges and opportunities of digitalization</w:t>
      </w:r>
    </w:p>
    <w:p w14:paraId="689A53B5" w14:textId="77777777" w:rsidR="008B7265" w:rsidRPr="00F3554E" w:rsidRDefault="008B7265" w:rsidP="008B7265">
      <w:pPr>
        <w:spacing w:before="60" w:after="60"/>
        <w:jc w:val="both"/>
        <w:rPr>
          <w:rFonts w:cs="Calibri"/>
          <w:lang w:eastAsia="en-GB"/>
        </w:rPr>
      </w:pPr>
      <w:r w:rsidRPr="00F3554E">
        <w:rPr>
          <w:rFonts w:cs="Calibri"/>
          <w:lang w:eastAsia="en-GB"/>
        </w:rPr>
        <w:t xml:space="preserve">- Growth of membership and partnership opportunities, with the rapid development of new companies and organizations in the </w:t>
      </w:r>
      <w:r w:rsidRPr="00F3554E">
        <w:t>telecommunication/ICT</w:t>
      </w:r>
      <w:r w:rsidRPr="00F3554E">
        <w:rPr>
          <w:rFonts w:cs="Calibri"/>
          <w:lang w:eastAsia="en-GB"/>
        </w:rPr>
        <w:t xml:space="preserve"> landscape due to digital transformation</w:t>
      </w:r>
    </w:p>
    <w:p w14:paraId="038A241E" w14:textId="77777777" w:rsidR="008B7265" w:rsidRPr="00F3554E" w:rsidRDefault="008B7265" w:rsidP="008B7265">
      <w:pPr>
        <w:spacing w:before="60" w:after="60"/>
        <w:jc w:val="both"/>
        <w:rPr>
          <w:rFonts w:cs="Calibri"/>
          <w:lang w:eastAsia="en-GB"/>
        </w:rPr>
      </w:pPr>
      <w:r w:rsidRPr="00F3554E">
        <w:rPr>
          <w:rFonts w:cs="Calibri"/>
          <w:lang w:eastAsia="en-GB"/>
        </w:rPr>
        <w:t>- Expansion of system-wide UN digital programming, empowering ITU to leverage its unique expertise and position itself as the leading telecommunications/ICTs enabler of other UN agencies’ activities, including the development related to the UN Digital cooperation Agenda and its associated roadmap, UN Our Common Agenda, bringing opportunities for joint partnerships with different organizations</w:t>
      </w:r>
    </w:p>
    <w:p w14:paraId="659852CF" w14:textId="77777777" w:rsidR="008B7265" w:rsidRPr="00F3554E" w:rsidRDefault="008B7265" w:rsidP="008B7265">
      <w:pPr>
        <w:spacing w:before="60" w:after="60"/>
        <w:jc w:val="both"/>
        <w:rPr>
          <w:rFonts w:cstheme="majorBidi"/>
          <w:b/>
          <w:bCs/>
          <w:color w:val="403152" w:themeColor="accent4" w:themeShade="80"/>
          <w:szCs w:val="24"/>
          <w:lang w:val="en-US"/>
        </w:rPr>
      </w:pPr>
      <w:r w:rsidRPr="00F3554E">
        <w:rPr>
          <w:rFonts w:cs="Calibri"/>
          <w:lang w:eastAsia="en-GB"/>
        </w:rPr>
        <w:t>- Utilizing the competitive advantages of the ITU, including its products and service, to increase the revenue of the Union or developing additional new financial mechanisms</w:t>
      </w:r>
    </w:p>
    <w:p w14:paraId="1FADCD15" w14:textId="77777777" w:rsidR="008B7265" w:rsidRPr="00F3554E" w:rsidRDefault="008B7265" w:rsidP="008B7265">
      <w:pPr>
        <w:spacing w:before="60" w:after="60"/>
        <w:rPr>
          <w:rFonts w:cs="Calibri"/>
          <w:lang w:eastAsia="en-GB"/>
        </w:rPr>
      </w:pPr>
      <w:r w:rsidRPr="00F3554E">
        <w:rPr>
          <w:rFonts w:cs="Calibri"/>
          <w:lang w:eastAsia="en-GB"/>
        </w:rPr>
        <w:t>- A more targeted use of the ITU’s regional presence could improve programming and results delivery</w:t>
      </w:r>
    </w:p>
    <w:p w14:paraId="6DBD9D22" w14:textId="77777777" w:rsidR="008B7265" w:rsidRPr="00F3554E" w:rsidRDefault="008B7265" w:rsidP="008B7265">
      <w:pPr>
        <w:pStyle w:val="SimpleHeading"/>
        <w:shd w:val="clear" w:color="auto" w:fill="DDD9C3" w:themeFill="background2" w:themeFillShade="E6"/>
      </w:pPr>
      <w:r w:rsidRPr="00F3554E">
        <w:t>Threats</w:t>
      </w:r>
    </w:p>
    <w:p w14:paraId="1E420A54" w14:textId="77777777" w:rsidR="008B7265" w:rsidRPr="00F3554E" w:rsidRDefault="008B7265" w:rsidP="008B7265">
      <w:pPr>
        <w:spacing w:before="60" w:after="60"/>
        <w:jc w:val="both"/>
        <w:rPr>
          <w:rFonts w:cs="Calibri"/>
          <w:lang w:eastAsia="en-GB"/>
        </w:rPr>
      </w:pPr>
      <w:r w:rsidRPr="00F3554E">
        <w:rPr>
          <w:rFonts w:cs="Calibri"/>
          <w:lang w:eastAsia="en-GB"/>
        </w:rPr>
        <w:t xml:space="preserve">- The </w:t>
      </w:r>
      <w:r w:rsidRPr="00F3554E">
        <w:t xml:space="preserve">telecommunication/ICT </w:t>
      </w:r>
      <w:r w:rsidRPr="00F3554E">
        <w:rPr>
          <w:rFonts w:cs="Calibri"/>
          <w:lang w:eastAsia="en-GB"/>
        </w:rPr>
        <w:t>landscape and development needs may evolve too quickly for ITU to effectively adapt its programming and capacities, and uphold its value proposition</w:t>
      </w:r>
    </w:p>
    <w:p w14:paraId="6692FE6C" w14:textId="77777777" w:rsidR="008B7265" w:rsidRPr="00F3554E" w:rsidRDefault="008B7265" w:rsidP="008B7265">
      <w:pPr>
        <w:spacing w:before="60" w:after="60"/>
        <w:jc w:val="both"/>
        <w:rPr>
          <w:rFonts w:cs="Calibri"/>
          <w:lang w:eastAsia="en-GB"/>
        </w:rPr>
      </w:pPr>
      <w:r w:rsidRPr="00F3554E">
        <w:rPr>
          <w:rFonts w:cs="Calibri"/>
          <w:lang w:eastAsia="en-GB"/>
        </w:rPr>
        <w:t xml:space="preserve">- The COVID-19 induced global economic slow-down and threats to strong, </w:t>
      </w:r>
      <w:proofErr w:type="gramStart"/>
      <w:r w:rsidRPr="00F3554E">
        <w:rPr>
          <w:rFonts w:cs="Calibri"/>
          <w:lang w:eastAsia="en-GB"/>
        </w:rPr>
        <w:t>balanced</w:t>
      </w:r>
      <w:proofErr w:type="gramEnd"/>
      <w:r w:rsidRPr="00F3554E">
        <w:rPr>
          <w:rFonts w:cs="Calibri"/>
          <w:lang w:eastAsia="en-GB"/>
        </w:rPr>
        <w:t xml:space="preserve"> and sustained growth may limit ITU's resources and ability to deliver its strategic goals</w:t>
      </w:r>
    </w:p>
    <w:p w14:paraId="30376122" w14:textId="77777777" w:rsidR="008B7265" w:rsidRPr="00F3554E" w:rsidRDefault="008B7265" w:rsidP="008B7265">
      <w:pPr>
        <w:spacing w:before="60" w:after="60"/>
        <w:jc w:val="both"/>
        <w:rPr>
          <w:rFonts w:cs="Calibri"/>
          <w:lang w:eastAsia="en-GB"/>
        </w:rPr>
      </w:pPr>
      <w:r w:rsidRPr="00F3554E">
        <w:rPr>
          <w:rFonts w:cs="Calibri"/>
          <w:lang w:eastAsia="en-GB"/>
        </w:rPr>
        <w:t>- In the rapidly changing landscape, Member states, industry leaders, other UN agencies and international organizations may capture a greater share of new opportunities in regulation within the mandate, standard-</w:t>
      </w:r>
      <w:proofErr w:type="gramStart"/>
      <w:r w:rsidRPr="00F3554E">
        <w:rPr>
          <w:rFonts w:cs="Calibri"/>
          <w:lang w:eastAsia="en-GB"/>
        </w:rPr>
        <w:t>setting</w:t>
      </w:r>
      <w:proofErr w:type="gramEnd"/>
      <w:r w:rsidRPr="00F3554E">
        <w:rPr>
          <w:rFonts w:cs="Calibri"/>
          <w:lang w:eastAsia="en-GB"/>
        </w:rPr>
        <w:t xml:space="preserve"> and funding, which may render some of ITU’s activities less relevant</w:t>
      </w:r>
    </w:p>
    <w:p w14:paraId="57961E68" w14:textId="77777777" w:rsidR="008B7265" w:rsidRPr="00F3554E" w:rsidRDefault="008B7265" w:rsidP="008B7265">
      <w:pPr>
        <w:spacing w:before="60" w:after="60"/>
        <w:jc w:val="both"/>
        <w:rPr>
          <w:rFonts w:cs="Calibri"/>
          <w:lang w:eastAsia="en-GB"/>
        </w:rPr>
      </w:pPr>
      <w:r w:rsidRPr="00F3554E">
        <w:rPr>
          <w:rFonts w:cs="Calibri"/>
          <w:lang w:eastAsia="en-GB"/>
        </w:rPr>
        <w:lastRenderedPageBreak/>
        <w:t>- Divergent guidance around the specific scope of ITU’s work leading to</w:t>
      </w:r>
      <w:r w:rsidRPr="00F3554E">
        <w:t xml:space="preserve"> </w:t>
      </w:r>
      <w:r w:rsidRPr="00F3554E">
        <w:rPr>
          <w:rFonts w:cs="Calibri"/>
          <w:lang w:eastAsia="en-GB"/>
        </w:rPr>
        <w:t>stretching resources too thin, which risks diluting ITU’s impact</w:t>
      </w:r>
    </w:p>
    <w:p w14:paraId="35195971" w14:textId="77777777" w:rsidR="008B7265" w:rsidRPr="00BF0F97" w:rsidRDefault="008B7265" w:rsidP="008B7265">
      <w:pPr>
        <w:spacing w:before="60" w:after="60"/>
        <w:jc w:val="both"/>
        <w:rPr>
          <w:rFonts w:cs="Calibri"/>
          <w:lang w:eastAsia="en-GB"/>
        </w:rPr>
      </w:pPr>
      <w:r w:rsidRPr="00F3554E">
        <w:rPr>
          <w:rFonts w:cs="Calibri"/>
          <w:lang w:eastAsia="en-GB"/>
        </w:rPr>
        <w:t xml:space="preserve">-The ability to compete and remain relevant at the international and regional levels is of great </w:t>
      </w:r>
      <w:r w:rsidRPr="00BF0F97">
        <w:rPr>
          <w:rFonts w:cs="Calibri"/>
          <w:lang w:eastAsia="en-GB"/>
        </w:rPr>
        <w:t>concern</w:t>
      </w:r>
    </w:p>
    <w:p w14:paraId="28891FD7" w14:textId="77777777" w:rsidR="008B7265" w:rsidRPr="00BF0F97" w:rsidRDefault="008B7265" w:rsidP="008B7265">
      <w:pPr>
        <w:spacing w:before="60" w:after="60"/>
        <w:jc w:val="both"/>
        <w:rPr>
          <w:rFonts w:cs="Calibri"/>
          <w:lang w:eastAsia="en-GB"/>
        </w:rPr>
      </w:pPr>
      <w:r w:rsidRPr="00BF0F97">
        <w:rPr>
          <w:rFonts w:cs="Calibri"/>
          <w:lang w:eastAsia="en-GB"/>
        </w:rPr>
        <w:t>[- Other UN organizations are stepping up their engagement on digital cooperation and ICT]</w:t>
      </w:r>
    </w:p>
    <w:p w14:paraId="2F974224" w14:textId="17574B16" w:rsidR="008B7265" w:rsidRPr="00BF0F97" w:rsidRDefault="007C090C" w:rsidP="008B7265">
      <w:pPr>
        <w:spacing w:before="60" w:after="60"/>
        <w:jc w:val="both"/>
        <w:rPr>
          <w:rFonts w:cs="Calibri"/>
          <w:lang w:eastAsia="en-GB"/>
        </w:rPr>
      </w:pPr>
      <w:r>
        <w:rPr>
          <w:rFonts w:cs="Calibri"/>
          <w:lang w:eastAsia="en-GB"/>
        </w:rPr>
        <w:t xml:space="preserve">- </w:t>
      </w:r>
      <w:r w:rsidR="008B7265" w:rsidRPr="00BF0F97">
        <w:rPr>
          <w:rFonts w:cs="Calibri"/>
          <w:lang w:eastAsia="en-GB"/>
        </w:rPr>
        <w:t>Issues, where they can deploy capabilities that could exceed ITU's capabilities at the regional level</w:t>
      </w:r>
    </w:p>
    <w:p w14:paraId="58D11A0C" w14:textId="5C6277FF" w:rsidR="008B7265" w:rsidRPr="00BF0F97" w:rsidRDefault="007C090C" w:rsidP="008B7265">
      <w:pPr>
        <w:spacing w:before="60" w:after="60"/>
        <w:jc w:val="both"/>
        <w:rPr>
          <w:rFonts w:cs="Calibri"/>
          <w:lang w:eastAsia="en-GB"/>
        </w:rPr>
      </w:pPr>
      <w:r>
        <w:rPr>
          <w:rFonts w:cs="Calibri"/>
          <w:lang w:eastAsia="en-GB"/>
        </w:rPr>
        <w:t xml:space="preserve">- </w:t>
      </w:r>
      <w:r w:rsidR="008B7265" w:rsidRPr="00BF0F97">
        <w:rPr>
          <w:rFonts w:cs="Calibri"/>
          <w:lang w:eastAsia="en-GB"/>
        </w:rPr>
        <w:t xml:space="preserve">Low UN-wide engagement, </w:t>
      </w:r>
      <w:proofErr w:type="gramStart"/>
      <w:r w:rsidR="008B7265" w:rsidRPr="00BF0F97">
        <w:rPr>
          <w:rFonts w:cs="Calibri"/>
          <w:lang w:eastAsia="en-GB"/>
        </w:rPr>
        <w:t>coordination</w:t>
      </w:r>
      <w:proofErr w:type="gramEnd"/>
      <w:r w:rsidR="008B7265" w:rsidRPr="00BF0F97">
        <w:rPr>
          <w:rFonts w:cs="Calibri"/>
          <w:lang w:eastAsia="en-GB"/>
        </w:rPr>
        <w:t xml:space="preserve"> and collaboration in joint strategic planning</w:t>
      </w:r>
    </w:p>
    <w:p w14:paraId="68E11653" w14:textId="3B7DD7B6" w:rsidR="008B7265" w:rsidRDefault="007C090C" w:rsidP="008B7265">
      <w:pPr>
        <w:jc w:val="both"/>
        <w:rPr>
          <w:rFonts w:cs="Calibri"/>
          <w:lang w:eastAsia="en-GB"/>
        </w:rPr>
      </w:pPr>
      <w:r>
        <w:rPr>
          <w:rFonts w:cs="Calibri"/>
          <w:lang w:eastAsia="en-GB"/>
        </w:rPr>
        <w:t xml:space="preserve">- </w:t>
      </w:r>
      <w:r w:rsidR="008B7265" w:rsidRPr="00BF0F97">
        <w:rPr>
          <w:rFonts w:cs="Calibri"/>
          <w:lang w:eastAsia="en-GB"/>
        </w:rPr>
        <w:t>Insufficient funding - risk of imbalance to the financial plan</w:t>
      </w:r>
    </w:p>
    <w:p w14:paraId="7EDBA823" w14:textId="77777777" w:rsidR="0073124E" w:rsidRDefault="0073124E" w:rsidP="0073124E">
      <w:pPr>
        <w:spacing w:before="840"/>
        <w:jc w:val="center"/>
      </w:pPr>
      <w:r>
        <w:t>______________</w:t>
      </w:r>
    </w:p>
    <w:sectPr w:rsidR="0073124E" w:rsidSect="004D1851">
      <w:headerReference w:type="even" r:id="rId22"/>
      <w:headerReference w:type="default" r:id="rId23"/>
      <w:footerReference w:type="even" r:id="rId24"/>
      <w:footerReference w:type="default" r:id="rId25"/>
      <w:headerReference w:type="firs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EE9B" w14:textId="77777777" w:rsidR="007E2A6B" w:rsidRDefault="007E2A6B">
      <w:r>
        <w:separator/>
      </w:r>
    </w:p>
  </w:endnote>
  <w:endnote w:type="continuationSeparator" w:id="0">
    <w:p w14:paraId="6AAE37A3" w14:textId="77777777" w:rsidR="007E2A6B" w:rsidRDefault="007E2A6B">
      <w:r>
        <w:continuationSeparator/>
      </w:r>
    </w:p>
  </w:endnote>
  <w:endnote w:type="continuationNotice" w:id="1">
    <w:p w14:paraId="6D5F2409" w14:textId="77777777" w:rsidR="007E2A6B" w:rsidRDefault="007E2A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E21D" w14:textId="77777777" w:rsidR="00DD4C2E" w:rsidRDefault="00DD4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7379DAB8" w:rsidR="00CB18FF" w:rsidRDefault="0073124E">
    <w:pPr>
      <w:pStyle w:val="Footer"/>
    </w:pPr>
    <w:r w:rsidRPr="0073124E">
      <w:rPr>
        <w:color w:val="F2F2F2" w:themeColor="background1" w:themeShade="F2"/>
      </w:rPr>
      <w:fldChar w:fldCharType="begin"/>
    </w:r>
    <w:r w:rsidRPr="0073124E">
      <w:rPr>
        <w:color w:val="F2F2F2" w:themeColor="background1" w:themeShade="F2"/>
      </w:rPr>
      <w:instrText xml:space="preserve"> FILENAME \p  \* MERGEFORMAT </w:instrText>
    </w:r>
    <w:r w:rsidRPr="0073124E">
      <w:rPr>
        <w:color w:val="F2F2F2" w:themeColor="background1" w:themeShade="F2"/>
      </w:rPr>
      <w:fldChar w:fldCharType="separate"/>
    </w:r>
    <w:r w:rsidR="0014634F" w:rsidRPr="0073124E">
      <w:rPr>
        <w:color w:val="F2F2F2" w:themeColor="background1" w:themeShade="F2"/>
      </w:rPr>
      <w:t>Document1</w:t>
    </w:r>
    <w:r w:rsidRPr="0073124E">
      <w:rPr>
        <w:color w:val="F2F2F2" w:themeColor="background1" w:themeShade="F2"/>
      </w:rPr>
      <w:fldChar w:fldCharType="end"/>
    </w:r>
    <w:r w:rsidR="00CB18FF" w:rsidRPr="0073124E">
      <w:rPr>
        <w:color w:val="F2F2F2" w:themeColor="background1" w:themeShade="F2"/>
      </w:rPr>
      <w:tab/>
    </w:r>
    <w:r w:rsidR="00864AFF" w:rsidRPr="0073124E">
      <w:rPr>
        <w:color w:val="F2F2F2" w:themeColor="background1" w:themeShade="F2"/>
      </w:rPr>
      <w:fldChar w:fldCharType="begin"/>
    </w:r>
    <w:r w:rsidR="00CB18FF" w:rsidRPr="0073124E">
      <w:rPr>
        <w:color w:val="F2F2F2" w:themeColor="background1" w:themeShade="F2"/>
      </w:rPr>
      <w:instrText xml:space="preserve"> SAVEDATE \@ DD.MM.YY </w:instrText>
    </w:r>
    <w:r w:rsidR="00864AFF" w:rsidRPr="0073124E">
      <w:rPr>
        <w:color w:val="F2F2F2" w:themeColor="background1" w:themeShade="F2"/>
      </w:rPr>
      <w:fldChar w:fldCharType="separate"/>
    </w:r>
    <w:r w:rsidR="00D131A9">
      <w:rPr>
        <w:color w:val="F2F2F2" w:themeColor="background1" w:themeShade="F2"/>
      </w:rPr>
      <w:t>24.03.22</w:t>
    </w:r>
    <w:r w:rsidR="00864AFF" w:rsidRPr="0073124E">
      <w:rPr>
        <w:color w:val="F2F2F2" w:themeColor="background1" w:themeShade="F2"/>
      </w:rPr>
      <w:fldChar w:fldCharType="end"/>
    </w:r>
    <w:r w:rsidR="00CB18FF" w:rsidRPr="0073124E">
      <w:rPr>
        <w:color w:val="F2F2F2" w:themeColor="background1" w:themeShade="F2"/>
      </w:rPr>
      <w:tab/>
    </w:r>
    <w:r w:rsidR="00864AFF" w:rsidRPr="0073124E">
      <w:rPr>
        <w:color w:val="F2F2F2" w:themeColor="background1" w:themeShade="F2"/>
      </w:rPr>
      <w:fldChar w:fldCharType="begin"/>
    </w:r>
    <w:r w:rsidR="00CB18FF" w:rsidRPr="0073124E">
      <w:rPr>
        <w:color w:val="F2F2F2" w:themeColor="background1" w:themeShade="F2"/>
      </w:rPr>
      <w:instrText xml:space="preserve"> PRINTDATE \@ DD.MM.YY </w:instrText>
    </w:r>
    <w:r w:rsidR="00864AFF" w:rsidRPr="0073124E">
      <w:rPr>
        <w:color w:val="F2F2F2" w:themeColor="background1" w:themeShade="F2"/>
      </w:rPr>
      <w:fldChar w:fldCharType="separate"/>
    </w:r>
    <w:r w:rsidR="0014634F" w:rsidRPr="0073124E">
      <w:rPr>
        <w:color w:val="F2F2F2" w:themeColor="background1" w:themeShade="F2"/>
      </w:rPr>
      <w:t>18.07.00</w:t>
    </w:r>
    <w:r w:rsidR="00864AFF" w:rsidRPr="0073124E">
      <w:rPr>
        <w:color w:val="F2F2F2" w:themeColor="background1" w:themeShade="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AC48" w14:textId="77777777" w:rsidR="007E2A6B" w:rsidRDefault="007E2A6B">
      <w:r>
        <w:t>____________________</w:t>
      </w:r>
    </w:p>
  </w:footnote>
  <w:footnote w:type="continuationSeparator" w:id="0">
    <w:p w14:paraId="021042EC" w14:textId="77777777" w:rsidR="007E2A6B" w:rsidRDefault="007E2A6B">
      <w:r>
        <w:continuationSeparator/>
      </w:r>
    </w:p>
  </w:footnote>
  <w:footnote w:type="continuationNotice" w:id="1">
    <w:p w14:paraId="7C975C64" w14:textId="77777777" w:rsidR="007E2A6B" w:rsidRDefault="007E2A6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BA64" w14:textId="77777777" w:rsidR="00DD4C2E" w:rsidRDefault="00DD4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79F1FC5C"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73124E">
      <w:rPr>
        <w:bCs/>
      </w:rPr>
      <w:t>27</w:t>
    </w:r>
    <w:r w:rsidR="00966CFA">
      <w:rPr>
        <w:bCs/>
      </w:rPr>
      <w:t>(Rev.</w:t>
    </w:r>
    <w:r w:rsidR="00EA0E70">
      <w:rPr>
        <w:bCs/>
      </w:rPr>
      <w:t>2</w:t>
    </w:r>
    <w:r w:rsidR="00966CFA">
      <w:rPr>
        <w:bCs/>
      </w:rPr>
      <w:t>)</w:t>
    </w:r>
    <w:r w:rsidRPr="00623AE3">
      <w:rPr>
        <w:bCs/>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5332" w14:textId="77777777" w:rsidR="00DD4C2E" w:rsidRDefault="00DD4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40F52"/>
    <w:multiLevelType w:val="hybridMultilevel"/>
    <w:tmpl w:val="3DE4B8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875A1"/>
    <w:multiLevelType w:val="hybridMultilevel"/>
    <w:tmpl w:val="0E52B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66F91"/>
    <w:multiLevelType w:val="hybridMultilevel"/>
    <w:tmpl w:val="B83C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D5C4E"/>
    <w:multiLevelType w:val="hybridMultilevel"/>
    <w:tmpl w:val="B7AC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7782C"/>
    <w:multiLevelType w:val="hybridMultilevel"/>
    <w:tmpl w:val="C32CFF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25C77B37"/>
    <w:multiLevelType w:val="multilevel"/>
    <w:tmpl w:val="6D720F2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51487D"/>
    <w:multiLevelType w:val="multilevel"/>
    <w:tmpl w:val="B464EC0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DCE78FE"/>
    <w:multiLevelType w:val="hybridMultilevel"/>
    <w:tmpl w:val="0658A008"/>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9" w15:restartNumberingAfterBreak="0">
    <w:nsid w:val="2FD94F2F"/>
    <w:multiLevelType w:val="multilevel"/>
    <w:tmpl w:val="81005CC2"/>
    <w:lvl w:ilvl="0">
      <w:start w:val="1"/>
      <w:numFmt w:val="decimal"/>
      <w:pStyle w:val="Numberedpara"/>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346648"/>
    <w:multiLevelType w:val="hybridMultilevel"/>
    <w:tmpl w:val="622221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27F53"/>
    <w:multiLevelType w:val="hybridMultilevel"/>
    <w:tmpl w:val="BEC4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166797"/>
    <w:multiLevelType w:val="hybridMultilevel"/>
    <w:tmpl w:val="1C8A5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12302"/>
    <w:multiLevelType w:val="hybridMultilevel"/>
    <w:tmpl w:val="58C052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5" w15:restartNumberingAfterBreak="0">
    <w:nsid w:val="683E5107"/>
    <w:multiLevelType w:val="hybridMultilevel"/>
    <w:tmpl w:val="95380256"/>
    <w:lvl w:ilvl="0" w:tplc="1C986F04">
      <w:start w:val="1"/>
      <w:numFmt w:val="bullet"/>
      <w:lvlText w:val=""/>
      <w:lvlJc w:val="left"/>
      <w:pPr>
        <w:tabs>
          <w:tab w:val="num" w:pos="720"/>
        </w:tabs>
        <w:ind w:left="720" w:hanging="360"/>
      </w:pPr>
      <w:rPr>
        <w:rFonts w:ascii="Wingdings" w:hAnsi="Wingdings" w:hint="default"/>
      </w:rPr>
    </w:lvl>
    <w:lvl w:ilvl="1" w:tplc="64C097EA" w:tentative="1">
      <w:start w:val="1"/>
      <w:numFmt w:val="bullet"/>
      <w:lvlText w:val=""/>
      <w:lvlJc w:val="left"/>
      <w:pPr>
        <w:tabs>
          <w:tab w:val="num" w:pos="1440"/>
        </w:tabs>
        <w:ind w:left="1440" w:hanging="360"/>
      </w:pPr>
      <w:rPr>
        <w:rFonts w:ascii="Wingdings" w:hAnsi="Wingdings" w:hint="default"/>
      </w:rPr>
    </w:lvl>
    <w:lvl w:ilvl="2" w:tplc="910ABBD8" w:tentative="1">
      <w:start w:val="1"/>
      <w:numFmt w:val="bullet"/>
      <w:lvlText w:val=""/>
      <w:lvlJc w:val="left"/>
      <w:pPr>
        <w:tabs>
          <w:tab w:val="num" w:pos="2160"/>
        </w:tabs>
        <w:ind w:left="2160" w:hanging="360"/>
      </w:pPr>
      <w:rPr>
        <w:rFonts w:ascii="Wingdings" w:hAnsi="Wingdings" w:hint="default"/>
      </w:rPr>
    </w:lvl>
    <w:lvl w:ilvl="3" w:tplc="CC80FEC4" w:tentative="1">
      <w:start w:val="1"/>
      <w:numFmt w:val="bullet"/>
      <w:lvlText w:val=""/>
      <w:lvlJc w:val="left"/>
      <w:pPr>
        <w:tabs>
          <w:tab w:val="num" w:pos="2880"/>
        </w:tabs>
        <w:ind w:left="2880" w:hanging="360"/>
      </w:pPr>
      <w:rPr>
        <w:rFonts w:ascii="Wingdings" w:hAnsi="Wingdings" w:hint="default"/>
      </w:rPr>
    </w:lvl>
    <w:lvl w:ilvl="4" w:tplc="3056C116" w:tentative="1">
      <w:start w:val="1"/>
      <w:numFmt w:val="bullet"/>
      <w:lvlText w:val=""/>
      <w:lvlJc w:val="left"/>
      <w:pPr>
        <w:tabs>
          <w:tab w:val="num" w:pos="3600"/>
        </w:tabs>
        <w:ind w:left="3600" w:hanging="360"/>
      </w:pPr>
      <w:rPr>
        <w:rFonts w:ascii="Wingdings" w:hAnsi="Wingdings" w:hint="default"/>
      </w:rPr>
    </w:lvl>
    <w:lvl w:ilvl="5" w:tplc="E24C4382" w:tentative="1">
      <w:start w:val="1"/>
      <w:numFmt w:val="bullet"/>
      <w:lvlText w:val=""/>
      <w:lvlJc w:val="left"/>
      <w:pPr>
        <w:tabs>
          <w:tab w:val="num" w:pos="4320"/>
        </w:tabs>
        <w:ind w:left="4320" w:hanging="360"/>
      </w:pPr>
      <w:rPr>
        <w:rFonts w:ascii="Wingdings" w:hAnsi="Wingdings" w:hint="default"/>
      </w:rPr>
    </w:lvl>
    <w:lvl w:ilvl="6" w:tplc="4132AA90" w:tentative="1">
      <w:start w:val="1"/>
      <w:numFmt w:val="bullet"/>
      <w:lvlText w:val=""/>
      <w:lvlJc w:val="left"/>
      <w:pPr>
        <w:tabs>
          <w:tab w:val="num" w:pos="5040"/>
        </w:tabs>
        <w:ind w:left="5040" w:hanging="360"/>
      </w:pPr>
      <w:rPr>
        <w:rFonts w:ascii="Wingdings" w:hAnsi="Wingdings" w:hint="default"/>
      </w:rPr>
    </w:lvl>
    <w:lvl w:ilvl="7" w:tplc="DF94C608" w:tentative="1">
      <w:start w:val="1"/>
      <w:numFmt w:val="bullet"/>
      <w:lvlText w:val=""/>
      <w:lvlJc w:val="left"/>
      <w:pPr>
        <w:tabs>
          <w:tab w:val="num" w:pos="5760"/>
        </w:tabs>
        <w:ind w:left="5760" w:hanging="360"/>
      </w:pPr>
      <w:rPr>
        <w:rFonts w:ascii="Wingdings" w:hAnsi="Wingdings" w:hint="default"/>
      </w:rPr>
    </w:lvl>
    <w:lvl w:ilvl="8" w:tplc="A3DEF7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075B7"/>
    <w:multiLevelType w:val="hybridMultilevel"/>
    <w:tmpl w:val="647C5AB4"/>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9" w15:restartNumberingAfterBreak="0">
    <w:nsid w:val="71534960"/>
    <w:multiLevelType w:val="hybridMultilevel"/>
    <w:tmpl w:val="6B7853B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71BE579D"/>
    <w:multiLevelType w:val="hybridMultilevel"/>
    <w:tmpl w:val="964A0FE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1" w15:restartNumberingAfterBreak="0">
    <w:nsid w:val="77DC05FB"/>
    <w:multiLevelType w:val="multilevel"/>
    <w:tmpl w:val="D5CA2B5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80650C6"/>
    <w:multiLevelType w:val="hybridMultilevel"/>
    <w:tmpl w:val="CABE7F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1C5F67"/>
    <w:multiLevelType w:val="hybridMultilevel"/>
    <w:tmpl w:val="15A6F60A"/>
    <w:lvl w:ilvl="0" w:tplc="B83C75AE">
      <w:start w:val="2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A727A"/>
    <w:multiLevelType w:val="multilevel"/>
    <w:tmpl w:val="268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806A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15"/>
  </w:num>
  <w:num w:numId="4">
    <w:abstractNumId w:val="4"/>
  </w:num>
  <w:num w:numId="5">
    <w:abstractNumId w:val="17"/>
  </w:num>
  <w:num w:numId="6">
    <w:abstractNumId w:val="10"/>
  </w:num>
  <w:num w:numId="7">
    <w:abstractNumId w:val="13"/>
  </w:num>
  <w:num w:numId="8">
    <w:abstractNumId w:val="5"/>
  </w:num>
  <w:num w:numId="9">
    <w:abstractNumId w:val="18"/>
  </w:num>
  <w:num w:numId="10">
    <w:abstractNumId w:val="12"/>
  </w:num>
  <w:num w:numId="11">
    <w:abstractNumId w:val="19"/>
  </w:num>
  <w:num w:numId="12">
    <w:abstractNumId w:val="20"/>
  </w:num>
  <w:num w:numId="13">
    <w:abstractNumId w:val="14"/>
  </w:num>
  <w:num w:numId="14">
    <w:abstractNumId w:val="22"/>
  </w:num>
  <w:num w:numId="15">
    <w:abstractNumId w:val="1"/>
  </w:num>
  <w:num w:numId="16">
    <w:abstractNumId w:val="3"/>
  </w:num>
  <w:num w:numId="17">
    <w:abstractNumId w:val="8"/>
  </w:num>
  <w:num w:numId="18">
    <w:abstractNumId w:val="7"/>
  </w:num>
  <w:num w:numId="19">
    <w:abstractNumId w:val="11"/>
  </w:num>
  <w:num w:numId="20">
    <w:abstractNumId w:val="23"/>
  </w:num>
  <w:num w:numId="21">
    <w:abstractNumId w:val="25"/>
  </w:num>
  <w:num w:numId="22">
    <w:abstractNumId w:val="6"/>
  </w:num>
  <w:num w:numId="23">
    <w:abstractNumId w:val="2"/>
  </w:num>
  <w:num w:numId="24">
    <w:abstractNumId w:val="24"/>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03F6A"/>
    <w:rsid w:val="0000469D"/>
    <w:rsid w:val="00013202"/>
    <w:rsid w:val="00014175"/>
    <w:rsid w:val="00015E49"/>
    <w:rsid w:val="00016BCA"/>
    <w:rsid w:val="00016F47"/>
    <w:rsid w:val="000210D4"/>
    <w:rsid w:val="000217EE"/>
    <w:rsid w:val="00025225"/>
    <w:rsid w:val="00033A58"/>
    <w:rsid w:val="0003505D"/>
    <w:rsid w:val="00040078"/>
    <w:rsid w:val="0004043C"/>
    <w:rsid w:val="00040B25"/>
    <w:rsid w:val="00047AEB"/>
    <w:rsid w:val="00047E42"/>
    <w:rsid w:val="000522A5"/>
    <w:rsid w:val="00052DB5"/>
    <w:rsid w:val="00057734"/>
    <w:rsid w:val="0006155F"/>
    <w:rsid w:val="00062D3D"/>
    <w:rsid w:val="00063016"/>
    <w:rsid w:val="00066795"/>
    <w:rsid w:val="000679A3"/>
    <w:rsid w:val="00072DBF"/>
    <w:rsid w:val="00073452"/>
    <w:rsid w:val="00074C31"/>
    <w:rsid w:val="00076493"/>
    <w:rsid w:val="00076AF6"/>
    <w:rsid w:val="000808E5"/>
    <w:rsid w:val="00084328"/>
    <w:rsid w:val="00085CF2"/>
    <w:rsid w:val="000960AF"/>
    <w:rsid w:val="000A03BD"/>
    <w:rsid w:val="000A110C"/>
    <w:rsid w:val="000B1705"/>
    <w:rsid w:val="000B1C14"/>
    <w:rsid w:val="000B4852"/>
    <w:rsid w:val="000B6528"/>
    <w:rsid w:val="000C2605"/>
    <w:rsid w:val="000C62BA"/>
    <w:rsid w:val="000C6B15"/>
    <w:rsid w:val="000D02CE"/>
    <w:rsid w:val="000D3FC6"/>
    <w:rsid w:val="000D3FEF"/>
    <w:rsid w:val="000D7092"/>
    <w:rsid w:val="000D75B2"/>
    <w:rsid w:val="000E16F4"/>
    <w:rsid w:val="000E2960"/>
    <w:rsid w:val="000E5BAE"/>
    <w:rsid w:val="000E6296"/>
    <w:rsid w:val="000E7E36"/>
    <w:rsid w:val="000F4F33"/>
    <w:rsid w:val="001039F4"/>
    <w:rsid w:val="00111E47"/>
    <w:rsid w:val="001120CA"/>
    <w:rsid w:val="001121F5"/>
    <w:rsid w:val="00112732"/>
    <w:rsid w:val="001139E0"/>
    <w:rsid w:val="00117B99"/>
    <w:rsid w:val="00124AC8"/>
    <w:rsid w:val="00125A72"/>
    <w:rsid w:val="00136ED5"/>
    <w:rsid w:val="00137E0F"/>
    <w:rsid w:val="001400DC"/>
    <w:rsid w:val="00140CE1"/>
    <w:rsid w:val="0014325F"/>
    <w:rsid w:val="0014352B"/>
    <w:rsid w:val="0014634F"/>
    <w:rsid w:val="00150112"/>
    <w:rsid w:val="00152228"/>
    <w:rsid w:val="00155183"/>
    <w:rsid w:val="00161ECD"/>
    <w:rsid w:val="00163390"/>
    <w:rsid w:val="0016768A"/>
    <w:rsid w:val="001717C9"/>
    <w:rsid w:val="0017539C"/>
    <w:rsid w:val="00175AC2"/>
    <w:rsid w:val="00175C2F"/>
    <w:rsid w:val="0017609F"/>
    <w:rsid w:val="00180477"/>
    <w:rsid w:val="001836CA"/>
    <w:rsid w:val="00183BF5"/>
    <w:rsid w:val="00184269"/>
    <w:rsid w:val="0018479E"/>
    <w:rsid w:val="00190664"/>
    <w:rsid w:val="00191AF3"/>
    <w:rsid w:val="00194BE1"/>
    <w:rsid w:val="0019694E"/>
    <w:rsid w:val="001A42F0"/>
    <w:rsid w:val="001B0087"/>
    <w:rsid w:val="001B0C28"/>
    <w:rsid w:val="001B2762"/>
    <w:rsid w:val="001B43E5"/>
    <w:rsid w:val="001C0A02"/>
    <w:rsid w:val="001C2261"/>
    <w:rsid w:val="001C3347"/>
    <w:rsid w:val="001C628E"/>
    <w:rsid w:val="001D0C83"/>
    <w:rsid w:val="001D2D91"/>
    <w:rsid w:val="001D508B"/>
    <w:rsid w:val="001D5DAF"/>
    <w:rsid w:val="001E0F7B"/>
    <w:rsid w:val="001E2412"/>
    <w:rsid w:val="001E2979"/>
    <w:rsid w:val="001E7694"/>
    <w:rsid w:val="001F008F"/>
    <w:rsid w:val="001F164D"/>
    <w:rsid w:val="001F260B"/>
    <w:rsid w:val="001F3429"/>
    <w:rsid w:val="001F411F"/>
    <w:rsid w:val="00201C22"/>
    <w:rsid w:val="002034A1"/>
    <w:rsid w:val="00204E17"/>
    <w:rsid w:val="002119FD"/>
    <w:rsid w:val="002130E0"/>
    <w:rsid w:val="002145B1"/>
    <w:rsid w:val="0021461C"/>
    <w:rsid w:val="00216C42"/>
    <w:rsid w:val="00217942"/>
    <w:rsid w:val="00224B77"/>
    <w:rsid w:val="0022712E"/>
    <w:rsid w:val="00227DA6"/>
    <w:rsid w:val="002332FC"/>
    <w:rsid w:val="00233980"/>
    <w:rsid w:val="00233BE1"/>
    <w:rsid w:val="00242F9F"/>
    <w:rsid w:val="00244C5F"/>
    <w:rsid w:val="002466DA"/>
    <w:rsid w:val="00247BC1"/>
    <w:rsid w:val="00250835"/>
    <w:rsid w:val="00257883"/>
    <w:rsid w:val="00262B2E"/>
    <w:rsid w:val="00264425"/>
    <w:rsid w:val="00265875"/>
    <w:rsid w:val="0027303B"/>
    <w:rsid w:val="00273409"/>
    <w:rsid w:val="00273545"/>
    <w:rsid w:val="0028109B"/>
    <w:rsid w:val="00283913"/>
    <w:rsid w:val="00285C21"/>
    <w:rsid w:val="00286E1C"/>
    <w:rsid w:val="00287477"/>
    <w:rsid w:val="002944FD"/>
    <w:rsid w:val="002950F6"/>
    <w:rsid w:val="002A2188"/>
    <w:rsid w:val="002A481E"/>
    <w:rsid w:val="002A4E68"/>
    <w:rsid w:val="002B125D"/>
    <w:rsid w:val="002B1F58"/>
    <w:rsid w:val="002B6055"/>
    <w:rsid w:val="002B7682"/>
    <w:rsid w:val="002C0885"/>
    <w:rsid w:val="002C1C7A"/>
    <w:rsid w:val="002C6238"/>
    <w:rsid w:val="002C6D35"/>
    <w:rsid w:val="002C7B82"/>
    <w:rsid w:val="002D2A2B"/>
    <w:rsid w:val="002D3222"/>
    <w:rsid w:val="002D4DA5"/>
    <w:rsid w:val="002E3D50"/>
    <w:rsid w:val="002F09F6"/>
    <w:rsid w:val="002F257B"/>
    <w:rsid w:val="002F5D8B"/>
    <w:rsid w:val="002F7C7A"/>
    <w:rsid w:val="0030160F"/>
    <w:rsid w:val="0030204B"/>
    <w:rsid w:val="00304312"/>
    <w:rsid w:val="003060BD"/>
    <w:rsid w:val="00307D27"/>
    <w:rsid w:val="003106F6"/>
    <w:rsid w:val="00311442"/>
    <w:rsid w:val="003164D3"/>
    <w:rsid w:val="00317C30"/>
    <w:rsid w:val="00320223"/>
    <w:rsid w:val="00320C0B"/>
    <w:rsid w:val="003221A3"/>
    <w:rsid w:val="00322D0D"/>
    <w:rsid w:val="00336736"/>
    <w:rsid w:val="0033760D"/>
    <w:rsid w:val="003426D6"/>
    <w:rsid w:val="00342C2F"/>
    <w:rsid w:val="00355E55"/>
    <w:rsid w:val="00356DA2"/>
    <w:rsid w:val="00363FC6"/>
    <w:rsid w:val="003769C1"/>
    <w:rsid w:val="00376C03"/>
    <w:rsid w:val="00377779"/>
    <w:rsid w:val="0038132F"/>
    <w:rsid w:val="003818C0"/>
    <w:rsid w:val="0038199E"/>
    <w:rsid w:val="00382B3D"/>
    <w:rsid w:val="00383088"/>
    <w:rsid w:val="0038455A"/>
    <w:rsid w:val="00387E59"/>
    <w:rsid w:val="0039008A"/>
    <w:rsid w:val="00390CF2"/>
    <w:rsid w:val="00393F2F"/>
    <w:rsid w:val="003942D4"/>
    <w:rsid w:val="003958A8"/>
    <w:rsid w:val="003A3AA6"/>
    <w:rsid w:val="003A64A3"/>
    <w:rsid w:val="003A6730"/>
    <w:rsid w:val="003B0B2C"/>
    <w:rsid w:val="003B0E18"/>
    <w:rsid w:val="003B55CE"/>
    <w:rsid w:val="003B7641"/>
    <w:rsid w:val="003C084B"/>
    <w:rsid w:val="003C0E8D"/>
    <w:rsid w:val="003C2533"/>
    <w:rsid w:val="003C2D8E"/>
    <w:rsid w:val="003C424A"/>
    <w:rsid w:val="003D44DD"/>
    <w:rsid w:val="003E42B0"/>
    <w:rsid w:val="003E46E4"/>
    <w:rsid w:val="00400F56"/>
    <w:rsid w:val="00401628"/>
    <w:rsid w:val="00403870"/>
    <w:rsid w:val="0040435A"/>
    <w:rsid w:val="00404E5B"/>
    <w:rsid w:val="0040550C"/>
    <w:rsid w:val="00416A24"/>
    <w:rsid w:val="00417627"/>
    <w:rsid w:val="004202C6"/>
    <w:rsid w:val="00421067"/>
    <w:rsid w:val="004226D9"/>
    <w:rsid w:val="00424BEC"/>
    <w:rsid w:val="00425FF3"/>
    <w:rsid w:val="0042652A"/>
    <w:rsid w:val="004312B7"/>
    <w:rsid w:val="00431D9E"/>
    <w:rsid w:val="00432BA2"/>
    <w:rsid w:val="00433CE8"/>
    <w:rsid w:val="00434A00"/>
    <w:rsid w:val="00434A5C"/>
    <w:rsid w:val="004417F4"/>
    <w:rsid w:val="0044229B"/>
    <w:rsid w:val="00453544"/>
    <w:rsid w:val="00453B7E"/>
    <w:rsid w:val="004544D9"/>
    <w:rsid w:val="004558B1"/>
    <w:rsid w:val="004559E0"/>
    <w:rsid w:val="0046068F"/>
    <w:rsid w:val="00461F58"/>
    <w:rsid w:val="00464C3C"/>
    <w:rsid w:val="00470030"/>
    <w:rsid w:val="004748C2"/>
    <w:rsid w:val="00475AA9"/>
    <w:rsid w:val="00480EC9"/>
    <w:rsid w:val="0048166B"/>
    <w:rsid w:val="00482177"/>
    <w:rsid w:val="00483489"/>
    <w:rsid w:val="00483D7D"/>
    <w:rsid w:val="004857B1"/>
    <w:rsid w:val="00490E72"/>
    <w:rsid w:val="00491157"/>
    <w:rsid w:val="004921C8"/>
    <w:rsid w:val="0049235D"/>
    <w:rsid w:val="004924E9"/>
    <w:rsid w:val="00492C6B"/>
    <w:rsid w:val="00495929"/>
    <w:rsid w:val="004A11F0"/>
    <w:rsid w:val="004A1B8B"/>
    <w:rsid w:val="004A1E45"/>
    <w:rsid w:val="004A3BB0"/>
    <w:rsid w:val="004A7239"/>
    <w:rsid w:val="004A7C22"/>
    <w:rsid w:val="004B3B71"/>
    <w:rsid w:val="004B61B4"/>
    <w:rsid w:val="004C194D"/>
    <w:rsid w:val="004C3107"/>
    <w:rsid w:val="004C61AF"/>
    <w:rsid w:val="004C6EAD"/>
    <w:rsid w:val="004D1851"/>
    <w:rsid w:val="004D2EB9"/>
    <w:rsid w:val="004D4026"/>
    <w:rsid w:val="004D599D"/>
    <w:rsid w:val="004D77C6"/>
    <w:rsid w:val="004E2EA5"/>
    <w:rsid w:val="004E3AEB"/>
    <w:rsid w:val="004E5C45"/>
    <w:rsid w:val="004F23CC"/>
    <w:rsid w:val="004F5DFA"/>
    <w:rsid w:val="0050223C"/>
    <w:rsid w:val="00510D78"/>
    <w:rsid w:val="0051423F"/>
    <w:rsid w:val="00516D24"/>
    <w:rsid w:val="0052417C"/>
    <w:rsid w:val="005243FF"/>
    <w:rsid w:val="00525A23"/>
    <w:rsid w:val="00525C2F"/>
    <w:rsid w:val="00525EEB"/>
    <w:rsid w:val="005262A4"/>
    <w:rsid w:val="00527433"/>
    <w:rsid w:val="005307BF"/>
    <w:rsid w:val="0053185D"/>
    <w:rsid w:val="005336B8"/>
    <w:rsid w:val="00533D4E"/>
    <w:rsid w:val="005357EC"/>
    <w:rsid w:val="00537462"/>
    <w:rsid w:val="005476E3"/>
    <w:rsid w:val="00550C1F"/>
    <w:rsid w:val="00555720"/>
    <w:rsid w:val="00561B03"/>
    <w:rsid w:val="005646B1"/>
    <w:rsid w:val="00564FBC"/>
    <w:rsid w:val="0057057F"/>
    <w:rsid w:val="00571168"/>
    <w:rsid w:val="0057176A"/>
    <w:rsid w:val="00571D26"/>
    <w:rsid w:val="00582442"/>
    <w:rsid w:val="0058356F"/>
    <w:rsid w:val="005838D4"/>
    <w:rsid w:val="00584D3B"/>
    <w:rsid w:val="00591BA2"/>
    <w:rsid w:val="00592AD8"/>
    <w:rsid w:val="005945B1"/>
    <w:rsid w:val="00594E67"/>
    <w:rsid w:val="005950E8"/>
    <w:rsid w:val="005A0271"/>
    <w:rsid w:val="005A2FD3"/>
    <w:rsid w:val="005A3003"/>
    <w:rsid w:val="005A6782"/>
    <w:rsid w:val="005B16FB"/>
    <w:rsid w:val="005B281D"/>
    <w:rsid w:val="005B43A9"/>
    <w:rsid w:val="005B45C8"/>
    <w:rsid w:val="005C1268"/>
    <w:rsid w:val="005C756E"/>
    <w:rsid w:val="005D46AD"/>
    <w:rsid w:val="005D4816"/>
    <w:rsid w:val="005D6B94"/>
    <w:rsid w:val="005D7879"/>
    <w:rsid w:val="005D7F0C"/>
    <w:rsid w:val="005E0987"/>
    <w:rsid w:val="005E5EEC"/>
    <w:rsid w:val="005F3269"/>
    <w:rsid w:val="005F4AC1"/>
    <w:rsid w:val="005F67E6"/>
    <w:rsid w:val="005F71E6"/>
    <w:rsid w:val="00601BBE"/>
    <w:rsid w:val="00604717"/>
    <w:rsid w:val="006051C1"/>
    <w:rsid w:val="00613816"/>
    <w:rsid w:val="00620F43"/>
    <w:rsid w:val="006223EC"/>
    <w:rsid w:val="00623AE3"/>
    <w:rsid w:val="00626B69"/>
    <w:rsid w:val="006417FA"/>
    <w:rsid w:val="00645506"/>
    <w:rsid w:val="0064737F"/>
    <w:rsid w:val="006506ED"/>
    <w:rsid w:val="006535F1"/>
    <w:rsid w:val="00655058"/>
    <w:rsid w:val="0065557D"/>
    <w:rsid w:val="00662984"/>
    <w:rsid w:val="00666FC9"/>
    <w:rsid w:val="00667EE5"/>
    <w:rsid w:val="00667EF7"/>
    <w:rsid w:val="006716BB"/>
    <w:rsid w:val="0067241E"/>
    <w:rsid w:val="00677C65"/>
    <w:rsid w:val="00683563"/>
    <w:rsid w:val="006856AD"/>
    <w:rsid w:val="00685F55"/>
    <w:rsid w:val="00686A8C"/>
    <w:rsid w:val="00687984"/>
    <w:rsid w:val="006961D7"/>
    <w:rsid w:val="006A2253"/>
    <w:rsid w:val="006A589B"/>
    <w:rsid w:val="006B3B7F"/>
    <w:rsid w:val="006B6680"/>
    <w:rsid w:val="006B6DCC"/>
    <w:rsid w:val="006C40E5"/>
    <w:rsid w:val="006C60BF"/>
    <w:rsid w:val="006C6CE4"/>
    <w:rsid w:val="006C6EC4"/>
    <w:rsid w:val="006D18D0"/>
    <w:rsid w:val="006D1C69"/>
    <w:rsid w:val="006D442E"/>
    <w:rsid w:val="006D51D1"/>
    <w:rsid w:val="006D5755"/>
    <w:rsid w:val="006E3BBF"/>
    <w:rsid w:val="006F42E3"/>
    <w:rsid w:val="006F5499"/>
    <w:rsid w:val="006F666C"/>
    <w:rsid w:val="0070096A"/>
    <w:rsid w:val="00700B4F"/>
    <w:rsid w:val="00702DEF"/>
    <w:rsid w:val="007050D2"/>
    <w:rsid w:val="00705DF3"/>
    <w:rsid w:val="00706861"/>
    <w:rsid w:val="007103C4"/>
    <w:rsid w:val="00716135"/>
    <w:rsid w:val="0071661E"/>
    <w:rsid w:val="007171B6"/>
    <w:rsid w:val="0072038A"/>
    <w:rsid w:val="00722BCC"/>
    <w:rsid w:val="00725BAE"/>
    <w:rsid w:val="00726966"/>
    <w:rsid w:val="00726E95"/>
    <w:rsid w:val="0073124E"/>
    <w:rsid w:val="00731CEE"/>
    <w:rsid w:val="00741A9A"/>
    <w:rsid w:val="0074379F"/>
    <w:rsid w:val="00743F03"/>
    <w:rsid w:val="00745631"/>
    <w:rsid w:val="00750355"/>
    <w:rsid w:val="0075051B"/>
    <w:rsid w:val="007526AA"/>
    <w:rsid w:val="0076186C"/>
    <w:rsid w:val="0077057E"/>
    <w:rsid w:val="00770966"/>
    <w:rsid w:val="007747E9"/>
    <w:rsid w:val="00775ED3"/>
    <w:rsid w:val="00776A4D"/>
    <w:rsid w:val="00777629"/>
    <w:rsid w:val="00777FD3"/>
    <w:rsid w:val="00782C08"/>
    <w:rsid w:val="0078418B"/>
    <w:rsid w:val="007854B4"/>
    <w:rsid w:val="00791F72"/>
    <w:rsid w:val="00793188"/>
    <w:rsid w:val="00794D34"/>
    <w:rsid w:val="007970E6"/>
    <w:rsid w:val="007A0D20"/>
    <w:rsid w:val="007A21EF"/>
    <w:rsid w:val="007A2AEF"/>
    <w:rsid w:val="007A55B0"/>
    <w:rsid w:val="007A625C"/>
    <w:rsid w:val="007A73A8"/>
    <w:rsid w:val="007B1006"/>
    <w:rsid w:val="007C090C"/>
    <w:rsid w:val="007C6915"/>
    <w:rsid w:val="007D11B2"/>
    <w:rsid w:val="007D5580"/>
    <w:rsid w:val="007E06E0"/>
    <w:rsid w:val="007E1203"/>
    <w:rsid w:val="007E2457"/>
    <w:rsid w:val="007E2872"/>
    <w:rsid w:val="007E2A6B"/>
    <w:rsid w:val="007E3FE3"/>
    <w:rsid w:val="007F0832"/>
    <w:rsid w:val="007F1E02"/>
    <w:rsid w:val="007F2EE4"/>
    <w:rsid w:val="007F3260"/>
    <w:rsid w:val="007F5370"/>
    <w:rsid w:val="00800834"/>
    <w:rsid w:val="008074E2"/>
    <w:rsid w:val="00813E5E"/>
    <w:rsid w:val="00822C8C"/>
    <w:rsid w:val="0083581B"/>
    <w:rsid w:val="00836874"/>
    <w:rsid w:val="00840FAB"/>
    <w:rsid w:val="008426C6"/>
    <w:rsid w:val="008462B1"/>
    <w:rsid w:val="00846582"/>
    <w:rsid w:val="00850E25"/>
    <w:rsid w:val="00855AD5"/>
    <w:rsid w:val="00855B9C"/>
    <w:rsid w:val="00856299"/>
    <w:rsid w:val="008565C5"/>
    <w:rsid w:val="00857B9A"/>
    <w:rsid w:val="00860CB6"/>
    <w:rsid w:val="00861360"/>
    <w:rsid w:val="00861F19"/>
    <w:rsid w:val="00862A84"/>
    <w:rsid w:val="00864AFF"/>
    <w:rsid w:val="00865C34"/>
    <w:rsid w:val="00867477"/>
    <w:rsid w:val="00873F2F"/>
    <w:rsid w:val="00880A13"/>
    <w:rsid w:val="00881E0E"/>
    <w:rsid w:val="008835B2"/>
    <w:rsid w:val="00885915"/>
    <w:rsid w:val="00887DBE"/>
    <w:rsid w:val="00891BC5"/>
    <w:rsid w:val="008929D2"/>
    <w:rsid w:val="00893F6A"/>
    <w:rsid w:val="008A003A"/>
    <w:rsid w:val="008A119B"/>
    <w:rsid w:val="008B02D6"/>
    <w:rsid w:val="008B2444"/>
    <w:rsid w:val="008B4A6A"/>
    <w:rsid w:val="008B7265"/>
    <w:rsid w:val="008C1C22"/>
    <w:rsid w:val="008C294A"/>
    <w:rsid w:val="008C648E"/>
    <w:rsid w:val="008C70A4"/>
    <w:rsid w:val="008C7189"/>
    <w:rsid w:val="008C7E27"/>
    <w:rsid w:val="008D0B96"/>
    <w:rsid w:val="008D51C1"/>
    <w:rsid w:val="008D6887"/>
    <w:rsid w:val="008D6F89"/>
    <w:rsid w:val="008E0CEE"/>
    <w:rsid w:val="008F0C7A"/>
    <w:rsid w:val="008F155C"/>
    <w:rsid w:val="008F4AA2"/>
    <w:rsid w:val="009016C9"/>
    <w:rsid w:val="00907879"/>
    <w:rsid w:val="009125CC"/>
    <w:rsid w:val="00912866"/>
    <w:rsid w:val="00916F74"/>
    <w:rsid w:val="009173EF"/>
    <w:rsid w:val="00920C0B"/>
    <w:rsid w:val="00922ABB"/>
    <w:rsid w:val="00923B1B"/>
    <w:rsid w:val="00923E13"/>
    <w:rsid w:val="00932906"/>
    <w:rsid w:val="009461C2"/>
    <w:rsid w:val="00946BEC"/>
    <w:rsid w:val="00950AC5"/>
    <w:rsid w:val="00952726"/>
    <w:rsid w:val="0095461F"/>
    <w:rsid w:val="00954FE0"/>
    <w:rsid w:val="0095707D"/>
    <w:rsid w:val="00961B0B"/>
    <w:rsid w:val="00961CFF"/>
    <w:rsid w:val="00965FC4"/>
    <w:rsid w:val="00966CFA"/>
    <w:rsid w:val="009714A7"/>
    <w:rsid w:val="009720AF"/>
    <w:rsid w:val="00972A93"/>
    <w:rsid w:val="00972BA4"/>
    <w:rsid w:val="00974522"/>
    <w:rsid w:val="00980187"/>
    <w:rsid w:val="0098503E"/>
    <w:rsid w:val="00992DDF"/>
    <w:rsid w:val="009936E7"/>
    <w:rsid w:val="009967E9"/>
    <w:rsid w:val="009A042F"/>
    <w:rsid w:val="009A667F"/>
    <w:rsid w:val="009B00A9"/>
    <w:rsid w:val="009B0439"/>
    <w:rsid w:val="009B1E7B"/>
    <w:rsid w:val="009B38C3"/>
    <w:rsid w:val="009B5876"/>
    <w:rsid w:val="009C43B2"/>
    <w:rsid w:val="009C74D1"/>
    <w:rsid w:val="009D1FF3"/>
    <w:rsid w:val="009D2816"/>
    <w:rsid w:val="009D2BE1"/>
    <w:rsid w:val="009D3201"/>
    <w:rsid w:val="009D4AFC"/>
    <w:rsid w:val="009D537F"/>
    <w:rsid w:val="009D6220"/>
    <w:rsid w:val="009D6D4E"/>
    <w:rsid w:val="009E17BD"/>
    <w:rsid w:val="009E485A"/>
    <w:rsid w:val="009E7792"/>
    <w:rsid w:val="009F4AA3"/>
    <w:rsid w:val="009F4DDF"/>
    <w:rsid w:val="009F69D3"/>
    <w:rsid w:val="00A00110"/>
    <w:rsid w:val="00A04CEC"/>
    <w:rsid w:val="00A06F07"/>
    <w:rsid w:val="00A0797C"/>
    <w:rsid w:val="00A10C37"/>
    <w:rsid w:val="00A1499C"/>
    <w:rsid w:val="00A15019"/>
    <w:rsid w:val="00A21B7F"/>
    <w:rsid w:val="00A22008"/>
    <w:rsid w:val="00A25DC7"/>
    <w:rsid w:val="00A27B36"/>
    <w:rsid w:val="00A27F92"/>
    <w:rsid w:val="00A32257"/>
    <w:rsid w:val="00A32893"/>
    <w:rsid w:val="00A33BF5"/>
    <w:rsid w:val="00A36D20"/>
    <w:rsid w:val="00A40273"/>
    <w:rsid w:val="00A407A2"/>
    <w:rsid w:val="00A40B48"/>
    <w:rsid w:val="00A44C55"/>
    <w:rsid w:val="00A4563D"/>
    <w:rsid w:val="00A50452"/>
    <w:rsid w:val="00A51A46"/>
    <w:rsid w:val="00A55622"/>
    <w:rsid w:val="00A61037"/>
    <w:rsid w:val="00A629CF"/>
    <w:rsid w:val="00A65095"/>
    <w:rsid w:val="00A65635"/>
    <w:rsid w:val="00A72EFD"/>
    <w:rsid w:val="00A774D2"/>
    <w:rsid w:val="00A80383"/>
    <w:rsid w:val="00A81758"/>
    <w:rsid w:val="00A83502"/>
    <w:rsid w:val="00A87AE9"/>
    <w:rsid w:val="00A905CA"/>
    <w:rsid w:val="00A94E3A"/>
    <w:rsid w:val="00AA2F54"/>
    <w:rsid w:val="00AA364D"/>
    <w:rsid w:val="00AA5941"/>
    <w:rsid w:val="00AB0CF7"/>
    <w:rsid w:val="00AB6169"/>
    <w:rsid w:val="00AC1CF2"/>
    <w:rsid w:val="00AC2047"/>
    <w:rsid w:val="00AC2110"/>
    <w:rsid w:val="00AC52B6"/>
    <w:rsid w:val="00AC66DD"/>
    <w:rsid w:val="00AD15B3"/>
    <w:rsid w:val="00AD747D"/>
    <w:rsid w:val="00AE068F"/>
    <w:rsid w:val="00AE22ED"/>
    <w:rsid w:val="00AE3041"/>
    <w:rsid w:val="00AF1F3C"/>
    <w:rsid w:val="00AF3962"/>
    <w:rsid w:val="00AF4ABD"/>
    <w:rsid w:val="00AF4E99"/>
    <w:rsid w:val="00AF6E49"/>
    <w:rsid w:val="00B04A67"/>
    <w:rsid w:val="00B0583C"/>
    <w:rsid w:val="00B05E9E"/>
    <w:rsid w:val="00B06D36"/>
    <w:rsid w:val="00B14220"/>
    <w:rsid w:val="00B213B5"/>
    <w:rsid w:val="00B21F99"/>
    <w:rsid w:val="00B226D6"/>
    <w:rsid w:val="00B300BD"/>
    <w:rsid w:val="00B3207E"/>
    <w:rsid w:val="00B32340"/>
    <w:rsid w:val="00B32D8F"/>
    <w:rsid w:val="00B32F32"/>
    <w:rsid w:val="00B3426F"/>
    <w:rsid w:val="00B3457F"/>
    <w:rsid w:val="00B37E25"/>
    <w:rsid w:val="00B40A81"/>
    <w:rsid w:val="00B44910"/>
    <w:rsid w:val="00B45FA0"/>
    <w:rsid w:val="00B46CC4"/>
    <w:rsid w:val="00B477A9"/>
    <w:rsid w:val="00B5174E"/>
    <w:rsid w:val="00B530D1"/>
    <w:rsid w:val="00B5502F"/>
    <w:rsid w:val="00B71E9A"/>
    <w:rsid w:val="00B72267"/>
    <w:rsid w:val="00B76EB6"/>
    <w:rsid w:val="00B7737B"/>
    <w:rsid w:val="00B773AD"/>
    <w:rsid w:val="00B824C8"/>
    <w:rsid w:val="00B84B9D"/>
    <w:rsid w:val="00B8753E"/>
    <w:rsid w:val="00B919DC"/>
    <w:rsid w:val="00BA1AB0"/>
    <w:rsid w:val="00BA274D"/>
    <w:rsid w:val="00BB0B86"/>
    <w:rsid w:val="00BB7C67"/>
    <w:rsid w:val="00BC251A"/>
    <w:rsid w:val="00BD032B"/>
    <w:rsid w:val="00BD0D3C"/>
    <w:rsid w:val="00BD1539"/>
    <w:rsid w:val="00BD1B17"/>
    <w:rsid w:val="00BD2129"/>
    <w:rsid w:val="00BD29FE"/>
    <w:rsid w:val="00BD5649"/>
    <w:rsid w:val="00BD7A20"/>
    <w:rsid w:val="00BE2640"/>
    <w:rsid w:val="00BF0B73"/>
    <w:rsid w:val="00BF0F97"/>
    <w:rsid w:val="00BF178F"/>
    <w:rsid w:val="00BF3B20"/>
    <w:rsid w:val="00BF49C1"/>
    <w:rsid w:val="00C01065"/>
    <w:rsid w:val="00C01189"/>
    <w:rsid w:val="00C01E9E"/>
    <w:rsid w:val="00C03F0E"/>
    <w:rsid w:val="00C1039F"/>
    <w:rsid w:val="00C12297"/>
    <w:rsid w:val="00C1626B"/>
    <w:rsid w:val="00C241E6"/>
    <w:rsid w:val="00C30936"/>
    <w:rsid w:val="00C3239C"/>
    <w:rsid w:val="00C36385"/>
    <w:rsid w:val="00C367B5"/>
    <w:rsid w:val="00C36D41"/>
    <w:rsid w:val="00C374DE"/>
    <w:rsid w:val="00C42FD2"/>
    <w:rsid w:val="00C43594"/>
    <w:rsid w:val="00C46EBF"/>
    <w:rsid w:val="00C472C0"/>
    <w:rsid w:val="00C47AB7"/>
    <w:rsid w:val="00C47AD4"/>
    <w:rsid w:val="00C51288"/>
    <w:rsid w:val="00C52D81"/>
    <w:rsid w:val="00C55198"/>
    <w:rsid w:val="00C62DD2"/>
    <w:rsid w:val="00C634B4"/>
    <w:rsid w:val="00C6442C"/>
    <w:rsid w:val="00C774E3"/>
    <w:rsid w:val="00C84650"/>
    <w:rsid w:val="00C85403"/>
    <w:rsid w:val="00C91199"/>
    <w:rsid w:val="00C925C6"/>
    <w:rsid w:val="00C934C4"/>
    <w:rsid w:val="00C93841"/>
    <w:rsid w:val="00C94729"/>
    <w:rsid w:val="00C972ED"/>
    <w:rsid w:val="00CA0B11"/>
    <w:rsid w:val="00CA350E"/>
    <w:rsid w:val="00CA4650"/>
    <w:rsid w:val="00CA4BF3"/>
    <w:rsid w:val="00CA55CB"/>
    <w:rsid w:val="00CA6393"/>
    <w:rsid w:val="00CB1473"/>
    <w:rsid w:val="00CB18FF"/>
    <w:rsid w:val="00CB29D4"/>
    <w:rsid w:val="00CB3AAB"/>
    <w:rsid w:val="00CB3DFE"/>
    <w:rsid w:val="00CB5F3D"/>
    <w:rsid w:val="00CC0C9B"/>
    <w:rsid w:val="00CC33AF"/>
    <w:rsid w:val="00CC5940"/>
    <w:rsid w:val="00CC5C81"/>
    <w:rsid w:val="00CD0C08"/>
    <w:rsid w:val="00CD60F6"/>
    <w:rsid w:val="00CE03FB"/>
    <w:rsid w:val="00CE433C"/>
    <w:rsid w:val="00CF0B20"/>
    <w:rsid w:val="00CF33F3"/>
    <w:rsid w:val="00CF5CDA"/>
    <w:rsid w:val="00CF634B"/>
    <w:rsid w:val="00D0150B"/>
    <w:rsid w:val="00D06183"/>
    <w:rsid w:val="00D065D3"/>
    <w:rsid w:val="00D06ACE"/>
    <w:rsid w:val="00D131A9"/>
    <w:rsid w:val="00D13936"/>
    <w:rsid w:val="00D15673"/>
    <w:rsid w:val="00D15CAF"/>
    <w:rsid w:val="00D21096"/>
    <w:rsid w:val="00D22C42"/>
    <w:rsid w:val="00D23F4B"/>
    <w:rsid w:val="00D279D1"/>
    <w:rsid w:val="00D27D71"/>
    <w:rsid w:val="00D3694A"/>
    <w:rsid w:val="00D36E77"/>
    <w:rsid w:val="00D40C7F"/>
    <w:rsid w:val="00D45432"/>
    <w:rsid w:val="00D457A2"/>
    <w:rsid w:val="00D50431"/>
    <w:rsid w:val="00D52AD3"/>
    <w:rsid w:val="00D53C1E"/>
    <w:rsid w:val="00D65041"/>
    <w:rsid w:val="00D66350"/>
    <w:rsid w:val="00D71395"/>
    <w:rsid w:val="00D728D5"/>
    <w:rsid w:val="00D73435"/>
    <w:rsid w:val="00D73730"/>
    <w:rsid w:val="00D73CC3"/>
    <w:rsid w:val="00D8135D"/>
    <w:rsid w:val="00D8183F"/>
    <w:rsid w:val="00D845D7"/>
    <w:rsid w:val="00D84D72"/>
    <w:rsid w:val="00D87D81"/>
    <w:rsid w:val="00D9019F"/>
    <w:rsid w:val="00D92EF4"/>
    <w:rsid w:val="00D94914"/>
    <w:rsid w:val="00D954C9"/>
    <w:rsid w:val="00D96300"/>
    <w:rsid w:val="00DA0482"/>
    <w:rsid w:val="00DA3820"/>
    <w:rsid w:val="00DA7BCD"/>
    <w:rsid w:val="00DB23AF"/>
    <w:rsid w:val="00DB3188"/>
    <w:rsid w:val="00DB384B"/>
    <w:rsid w:val="00DB4E38"/>
    <w:rsid w:val="00DB56E9"/>
    <w:rsid w:val="00DB7BFE"/>
    <w:rsid w:val="00DC0A90"/>
    <w:rsid w:val="00DC130E"/>
    <w:rsid w:val="00DC637A"/>
    <w:rsid w:val="00DC7A3D"/>
    <w:rsid w:val="00DC7FE0"/>
    <w:rsid w:val="00DD1C3F"/>
    <w:rsid w:val="00DD3D22"/>
    <w:rsid w:val="00DD45FA"/>
    <w:rsid w:val="00DD4C2E"/>
    <w:rsid w:val="00DD500E"/>
    <w:rsid w:val="00DE1BA5"/>
    <w:rsid w:val="00DE79ED"/>
    <w:rsid w:val="00DF26F8"/>
    <w:rsid w:val="00E10E80"/>
    <w:rsid w:val="00E124F0"/>
    <w:rsid w:val="00E138B0"/>
    <w:rsid w:val="00E14272"/>
    <w:rsid w:val="00E14446"/>
    <w:rsid w:val="00E204B7"/>
    <w:rsid w:val="00E24D89"/>
    <w:rsid w:val="00E24E74"/>
    <w:rsid w:val="00E33EA3"/>
    <w:rsid w:val="00E41752"/>
    <w:rsid w:val="00E47DE6"/>
    <w:rsid w:val="00E47E83"/>
    <w:rsid w:val="00E503C5"/>
    <w:rsid w:val="00E50435"/>
    <w:rsid w:val="00E50BBA"/>
    <w:rsid w:val="00E5225E"/>
    <w:rsid w:val="00E527A2"/>
    <w:rsid w:val="00E60F04"/>
    <w:rsid w:val="00E61AEB"/>
    <w:rsid w:val="00E63C09"/>
    <w:rsid w:val="00E728E7"/>
    <w:rsid w:val="00E76B52"/>
    <w:rsid w:val="00E778FE"/>
    <w:rsid w:val="00E81589"/>
    <w:rsid w:val="00E85154"/>
    <w:rsid w:val="00E854E4"/>
    <w:rsid w:val="00E86B21"/>
    <w:rsid w:val="00E9006A"/>
    <w:rsid w:val="00E932AA"/>
    <w:rsid w:val="00E95CF6"/>
    <w:rsid w:val="00E96D0E"/>
    <w:rsid w:val="00EA0E70"/>
    <w:rsid w:val="00EA6023"/>
    <w:rsid w:val="00EA73CB"/>
    <w:rsid w:val="00EB0D6F"/>
    <w:rsid w:val="00EB2232"/>
    <w:rsid w:val="00EC0538"/>
    <w:rsid w:val="00EC354E"/>
    <w:rsid w:val="00EC3D46"/>
    <w:rsid w:val="00EC5337"/>
    <w:rsid w:val="00ED0854"/>
    <w:rsid w:val="00ED24D5"/>
    <w:rsid w:val="00ED6705"/>
    <w:rsid w:val="00ED68DC"/>
    <w:rsid w:val="00ED7403"/>
    <w:rsid w:val="00ED7862"/>
    <w:rsid w:val="00EE1477"/>
    <w:rsid w:val="00EE79BF"/>
    <w:rsid w:val="00EF23E4"/>
    <w:rsid w:val="00EF24BC"/>
    <w:rsid w:val="00EF460B"/>
    <w:rsid w:val="00EF63EE"/>
    <w:rsid w:val="00F020BE"/>
    <w:rsid w:val="00F04711"/>
    <w:rsid w:val="00F1689B"/>
    <w:rsid w:val="00F20A84"/>
    <w:rsid w:val="00F2150A"/>
    <w:rsid w:val="00F231D8"/>
    <w:rsid w:val="00F23352"/>
    <w:rsid w:val="00F30A7E"/>
    <w:rsid w:val="00F30E31"/>
    <w:rsid w:val="00F344A2"/>
    <w:rsid w:val="00F34538"/>
    <w:rsid w:val="00F408CF"/>
    <w:rsid w:val="00F42E29"/>
    <w:rsid w:val="00F4512F"/>
    <w:rsid w:val="00F46C5F"/>
    <w:rsid w:val="00F50AD8"/>
    <w:rsid w:val="00F51821"/>
    <w:rsid w:val="00F5423B"/>
    <w:rsid w:val="00F558FD"/>
    <w:rsid w:val="00F575F0"/>
    <w:rsid w:val="00F618D3"/>
    <w:rsid w:val="00F6393E"/>
    <w:rsid w:val="00F66A2C"/>
    <w:rsid w:val="00F71720"/>
    <w:rsid w:val="00F73731"/>
    <w:rsid w:val="00F7383D"/>
    <w:rsid w:val="00F74A1B"/>
    <w:rsid w:val="00F75AF1"/>
    <w:rsid w:val="00F835CC"/>
    <w:rsid w:val="00F83B8A"/>
    <w:rsid w:val="00F84136"/>
    <w:rsid w:val="00F94A63"/>
    <w:rsid w:val="00F95B26"/>
    <w:rsid w:val="00FA019A"/>
    <w:rsid w:val="00FA10C0"/>
    <w:rsid w:val="00FA1C28"/>
    <w:rsid w:val="00FA2653"/>
    <w:rsid w:val="00FA3450"/>
    <w:rsid w:val="00FA7165"/>
    <w:rsid w:val="00FB1279"/>
    <w:rsid w:val="00FB41C4"/>
    <w:rsid w:val="00FB430E"/>
    <w:rsid w:val="00FB7596"/>
    <w:rsid w:val="00FB7E03"/>
    <w:rsid w:val="00FC016B"/>
    <w:rsid w:val="00FC28C8"/>
    <w:rsid w:val="00FC2CB4"/>
    <w:rsid w:val="00FC2EC8"/>
    <w:rsid w:val="00FC4124"/>
    <w:rsid w:val="00FC73E0"/>
    <w:rsid w:val="00FC7BB8"/>
    <w:rsid w:val="00FD6CD1"/>
    <w:rsid w:val="00FD7E5E"/>
    <w:rsid w:val="00FE4077"/>
    <w:rsid w:val="00FE593D"/>
    <w:rsid w:val="00FE77D2"/>
    <w:rsid w:val="00FF07E8"/>
    <w:rsid w:val="0149C7C2"/>
    <w:rsid w:val="074DB8F5"/>
    <w:rsid w:val="08344C03"/>
    <w:rsid w:val="0DAA0918"/>
    <w:rsid w:val="17B8FA0B"/>
    <w:rsid w:val="17FCC20A"/>
    <w:rsid w:val="1865FFA7"/>
    <w:rsid w:val="19F9D41B"/>
    <w:rsid w:val="1AB01F56"/>
    <w:rsid w:val="231AA233"/>
    <w:rsid w:val="2BE1592D"/>
    <w:rsid w:val="2BF9EA12"/>
    <w:rsid w:val="2DE75E67"/>
    <w:rsid w:val="2E5E66DC"/>
    <w:rsid w:val="2EB9672F"/>
    <w:rsid w:val="32DC4EF7"/>
    <w:rsid w:val="3600F5E2"/>
    <w:rsid w:val="36152521"/>
    <w:rsid w:val="36E00339"/>
    <w:rsid w:val="3BFC7525"/>
    <w:rsid w:val="3DAA5E58"/>
    <w:rsid w:val="400A4F0F"/>
    <w:rsid w:val="48AA194C"/>
    <w:rsid w:val="49C52635"/>
    <w:rsid w:val="4A6BBF56"/>
    <w:rsid w:val="4ACF78E1"/>
    <w:rsid w:val="4CA98E9B"/>
    <w:rsid w:val="4D819E9F"/>
    <w:rsid w:val="52B524AC"/>
    <w:rsid w:val="5A7A574C"/>
    <w:rsid w:val="5B6A7C46"/>
    <w:rsid w:val="61CBBF3A"/>
    <w:rsid w:val="67A1EBA6"/>
    <w:rsid w:val="6C1DC0AA"/>
    <w:rsid w:val="6D571C02"/>
    <w:rsid w:val="6EBD3900"/>
    <w:rsid w:val="70590961"/>
    <w:rsid w:val="71E13F09"/>
    <w:rsid w:val="7204DC01"/>
    <w:rsid w:val="747EDD70"/>
    <w:rsid w:val="75C9FE18"/>
    <w:rsid w:val="76021CEC"/>
    <w:rsid w:val="7620180E"/>
    <w:rsid w:val="7DFF3041"/>
    <w:rsid w:val="7F714C35"/>
    <w:rsid w:val="7FADF7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F8E67B49-D9AD-4FC8-B54C-E9B9182C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5B16FB"/>
    <w:rPr>
      <w:color w:val="605E5C"/>
      <w:shd w:val="clear" w:color="auto" w:fill="E1DFDD"/>
    </w:rPr>
  </w:style>
  <w:style w:type="character" w:styleId="CommentReference">
    <w:name w:val="annotation reference"/>
    <w:basedOn w:val="DefaultParagraphFont"/>
    <w:unhideWhenUsed/>
    <w:rsid w:val="00731CEE"/>
    <w:rPr>
      <w:sz w:val="16"/>
      <w:szCs w:val="16"/>
    </w:rPr>
  </w:style>
  <w:style w:type="paragraph" w:styleId="CommentText">
    <w:name w:val="annotation text"/>
    <w:basedOn w:val="Normal"/>
    <w:link w:val="CommentTextChar"/>
    <w:uiPriority w:val="99"/>
    <w:unhideWhenUsed/>
    <w:rsid w:val="00731CEE"/>
    <w:rPr>
      <w:sz w:val="20"/>
    </w:rPr>
  </w:style>
  <w:style w:type="character" w:customStyle="1" w:styleId="CommentTextChar">
    <w:name w:val="Comment Text Char"/>
    <w:basedOn w:val="DefaultParagraphFont"/>
    <w:link w:val="CommentText"/>
    <w:uiPriority w:val="99"/>
    <w:rsid w:val="00731CEE"/>
    <w:rPr>
      <w:rFonts w:ascii="Calibri" w:hAnsi="Calibri"/>
      <w:lang w:val="en-GB" w:eastAsia="en-US"/>
    </w:rPr>
  </w:style>
  <w:style w:type="paragraph" w:styleId="CommentSubject">
    <w:name w:val="annotation subject"/>
    <w:basedOn w:val="CommentText"/>
    <w:next w:val="CommentText"/>
    <w:link w:val="CommentSubjectChar"/>
    <w:semiHidden/>
    <w:unhideWhenUsed/>
    <w:rsid w:val="00731CEE"/>
    <w:rPr>
      <w:b/>
      <w:bCs/>
    </w:rPr>
  </w:style>
  <w:style w:type="character" w:customStyle="1" w:styleId="CommentSubjectChar">
    <w:name w:val="Comment Subject Char"/>
    <w:basedOn w:val="CommentTextChar"/>
    <w:link w:val="CommentSubject"/>
    <w:semiHidden/>
    <w:rsid w:val="00731CEE"/>
    <w:rPr>
      <w:rFonts w:ascii="Calibri" w:hAnsi="Calibri"/>
      <w:b/>
      <w:bCs/>
      <w:lang w:val="en-GB" w:eastAsia="en-US"/>
    </w:rPr>
  </w:style>
  <w:style w:type="character" w:customStyle="1" w:styleId="Heading1Char">
    <w:name w:val="Heading 1 Char"/>
    <w:basedOn w:val="DefaultParagraphFont"/>
    <w:link w:val="Heading1"/>
    <w:rsid w:val="00434A00"/>
    <w:rPr>
      <w:rFonts w:ascii="Calibri" w:hAnsi="Calibri"/>
      <w:b/>
      <w:sz w:val="28"/>
      <w:lang w:val="en-GB" w:eastAsia="en-US"/>
    </w:rPr>
  </w:style>
  <w:style w:type="character" w:customStyle="1" w:styleId="Heading3Char">
    <w:name w:val="Heading 3 Char"/>
    <w:basedOn w:val="DefaultParagraphFont"/>
    <w:link w:val="Heading3"/>
    <w:rsid w:val="00434A00"/>
    <w:rPr>
      <w:rFonts w:ascii="Calibri" w:hAnsi="Calibri"/>
      <w:b/>
      <w:sz w:val="24"/>
      <w:lang w:val="en-GB" w:eastAsia="en-US"/>
    </w:rPr>
  </w:style>
  <w:style w:type="paragraph" w:styleId="NormalWeb">
    <w:name w:val="Normal (Web)"/>
    <w:basedOn w:val="Normal"/>
    <w:uiPriority w:val="99"/>
    <w:unhideWhenUsed/>
    <w:rsid w:val="00434A00"/>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paragraph" w:styleId="ListParagraph">
    <w:name w:val="List Paragraph"/>
    <w:basedOn w:val="Normal"/>
    <w:link w:val="ListParagraphChar"/>
    <w:uiPriority w:val="99"/>
    <w:qFormat/>
    <w:rsid w:val="00A94E3A"/>
    <w:pPr>
      <w:ind w:left="720"/>
      <w:contextualSpacing/>
    </w:pPr>
  </w:style>
  <w:style w:type="character" w:styleId="Emphasis">
    <w:name w:val="Emphasis"/>
    <w:basedOn w:val="DefaultParagraphFont"/>
    <w:qFormat/>
    <w:rsid w:val="00273545"/>
    <w:rPr>
      <w:i/>
      <w:iCs/>
    </w:rPr>
  </w:style>
  <w:style w:type="paragraph" w:customStyle="1" w:styleId="font8">
    <w:name w:val="font_8"/>
    <w:basedOn w:val="Normal"/>
    <w:rsid w:val="00124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wixguard">
    <w:name w:val="wixguard"/>
    <w:basedOn w:val="DefaultParagraphFont"/>
    <w:rsid w:val="00124AC8"/>
  </w:style>
  <w:style w:type="character" w:customStyle="1" w:styleId="normaltextrun">
    <w:name w:val="normaltextrun"/>
    <w:basedOn w:val="DefaultParagraphFont"/>
    <w:rsid w:val="00CF634B"/>
  </w:style>
  <w:style w:type="character" w:customStyle="1" w:styleId="eop">
    <w:name w:val="eop"/>
    <w:basedOn w:val="DefaultParagraphFont"/>
    <w:rsid w:val="007F0832"/>
  </w:style>
  <w:style w:type="paragraph" w:styleId="Revision">
    <w:name w:val="Revision"/>
    <w:hidden/>
    <w:uiPriority w:val="99"/>
    <w:semiHidden/>
    <w:rsid w:val="00E61AEB"/>
    <w:rPr>
      <w:rFonts w:ascii="Calibri" w:hAnsi="Calibri"/>
      <w:sz w:val="24"/>
      <w:lang w:val="en-GB" w:eastAsia="en-US"/>
    </w:rPr>
  </w:style>
  <w:style w:type="character" w:customStyle="1" w:styleId="contextualspellingandgrammarerror">
    <w:name w:val="contextualspellingandgrammarerror"/>
    <w:basedOn w:val="DefaultParagraphFont"/>
    <w:rsid w:val="00C51288"/>
  </w:style>
  <w:style w:type="paragraph" w:customStyle="1" w:styleId="paragraph">
    <w:name w:val="paragraph"/>
    <w:basedOn w:val="Normal"/>
    <w:rsid w:val="00DD1C3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Numberedpara">
    <w:name w:val="Numbered para"/>
    <w:basedOn w:val="Normal"/>
    <w:qFormat/>
    <w:rsid w:val="008B7265"/>
    <w:pPr>
      <w:numPr>
        <w:numId w:val="25"/>
      </w:numPr>
      <w:tabs>
        <w:tab w:val="clear" w:pos="567"/>
        <w:tab w:val="clear" w:pos="1134"/>
        <w:tab w:val="clear" w:pos="1701"/>
        <w:tab w:val="clear" w:pos="2268"/>
        <w:tab w:val="clear" w:pos="2835"/>
      </w:tabs>
      <w:overflowPunct/>
      <w:autoSpaceDE/>
      <w:autoSpaceDN/>
      <w:adjustRightInd/>
      <w:spacing w:after="120" w:line="259" w:lineRule="auto"/>
      <w:ind w:left="0" w:firstLine="0"/>
      <w:jc w:val="both"/>
      <w:textAlignment w:val="auto"/>
    </w:pPr>
    <w:rPr>
      <w:rFonts w:asciiTheme="minorHAnsi" w:eastAsiaTheme="minorHAnsi" w:hAnsiTheme="minorHAnsi" w:cstheme="majorBidi"/>
      <w:sz w:val="22"/>
      <w:szCs w:val="24"/>
    </w:rPr>
  </w:style>
  <w:style w:type="paragraph" w:customStyle="1" w:styleId="SimpleHeading">
    <w:name w:val="Simple Heading"/>
    <w:basedOn w:val="Normal"/>
    <w:qFormat/>
    <w:rsid w:val="008B7265"/>
    <w:pPr>
      <w:keepNext/>
      <w:tabs>
        <w:tab w:val="clear" w:pos="567"/>
        <w:tab w:val="clear" w:pos="1134"/>
        <w:tab w:val="clear" w:pos="1701"/>
        <w:tab w:val="clear" w:pos="2268"/>
        <w:tab w:val="clear" w:pos="2835"/>
      </w:tabs>
      <w:overflowPunct/>
      <w:autoSpaceDE/>
      <w:autoSpaceDN/>
      <w:adjustRightInd/>
      <w:spacing w:before="240" w:after="60" w:line="259" w:lineRule="auto"/>
      <w:jc w:val="both"/>
      <w:textAlignment w:val="auto"/>
    </w:pPr>
    <w:rPr>
      <w:rFonts w:asciiTheme="minorHAnsi" w:eastAsiaTheme="minorHAnsi" w:hAnsiTheme="minorHAnsi" w:cstheme="minorBidi"/>
      <w:b/>
      <w:szCs w:val="22"/>
      <w:lang w:val="en-US"/>
    </w:rPr>
  </w:style>
  <w:style w:type="character" w:customStyle="1" w:styleId="ListParagraphChar">
    <w:name w:val="List Paragraph Char"/>
    <w:basedOn w:val="DefaultParagraphFont"/>
    <w:link w:val="ListParagraph"/>
    <w:uiPriority w:val="99"/>
    <w:rsid w:val="008B726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0267">
      <w:bodyDiv w:val="1"/>
      <w:marLeft w:val="0"/>
      <w:marRight w:val="0"/>
      <w:marTop w:val="0"/>
      <w:marBottom w:val="0"/>
      <w:divBdr>
        <w:top w:val="none" w:sz="0" w:space="0" w:color="auto"/>
        <w:left w:val="none" w:sz="0" w:space="0" w:color="auto"/>
        <w:bottom w:val="none" w:sz="0" w:space="0" w:color="auto"/>
        <w:right w:val="none" w:sz="0" w:space="0" w:color="auto"/>
      </w:divBdr>
    </w:div>
    <w:div w:id="135952394">
      <w:bodyDiv w:val="1"/>
      <w:marLeft w:val="0"/>
      <w:marRight w:val="0"/>
      <w:marTop w:val="0"/>
      <w:marBottom w:val="0"/>
      <w:divBdr>
        <w:top w:val="none" w:sz="0" w:space="0" w:color="auto"/>
        <w:left w:val="none" w:sz="0" w:space="0" w:color="auto"/>
        <w:bottom w:val="none" w:sz="0" w:space="0" w:color="auto"/>
        <w:right w:val="none" w:sz="0" w:space="0" w:color="auto"/>
      </w:divBdr>
    </w:div>
    <w:div w:id="360327914">
      <w:bodyDiv w:val="1"/>
      <w:marLeft w:val="0"/>
      <w:marRight w:val="0"/>
      <w:marTop w:val="0"/>
      <w:marBottom w:val="0"/>
      <w:divBdr>
        <w:top w:val="none" w:sz="0" w:space="0" w:color="auto"/>
        <w:left w:val="none" w:sz="0" w:space="0" w:color="auto"/>
        <w:bottom w:val="none" w:sz="0" w:space="0" w:color="auto"/>
        <w:right w:val="none" w:sz="0" w:space="0" w:color="auto"/>
      </w:divBdr>
    </w:div>
    <w:div w:id="411657518">
      <w:bodyDiv w:val="1"/>
      <w:marLeft w:val="0"/>
      <w:marRight w:val="0"/>
      <w:marTop w:val="0"/>
      <w:marBottom w:val="0"/>
      <w:divBdr>
        <w:top w:val="none" w:sz="0" w:space="0" w:color="auto"/>
        <w:left w:val="none" w:sz="0" w:space="0" w:color="auto"/>
        <w:bottom w:val="none" w:sz="0" w:space="0" w:color="auto"/>
        <w:right w:val="none" w:sz="0" w:space="0" w:color="auto"/>
      </w:divBdr>
    </w:div>
    <w:div w:id="590041586">
      <w:bodyDiv w:val="1"/>
      <w:marLeft w:val="0"/>
      <w:marRight w:val="0"/>
      <w:marTop w:val="0"/>
      <w:marBottom w:val="0"/>
      <w:divBdr>
        <w:top w:val="none" w:sz="0" w:space="0" w:color="auto"/>
        <w:left w:val="none" w:sz="0" w:space="0" w:color="auto"/>
        <w:bottom w:val="none" w:sz="0" w:space="0" w:color="auto"/>
        <w:right w:val="none" w:sz="0" w:space="0" w:color="auto"/>
      </w:divBdr>
    </w:div>
    <w:div w:id="622268883">
      <w:bodyDiv w:val="1"/>
      <w:marLeft w:val="0"/>
      <w:marRight w:val="0"/>
      <w:marTop w:val="0"/>
      <w:marBottom w:val="0"/>
      <w:divBdr>
        <w:top w:val="none" w:sz="0" w:space="0" w:color="auto"/>
        <w:left w:val="none" w:sz="0" w:space="0" w:color="auto"/>
        <w:bottom w:val="none" w:sz="0" w:space="0" w:color="auto"/>
        <w:right w:val="none" w:sz="0" w:space="0" w:color="auto"/>
      </w:divBdr>
    </w:div>
    <w:div w:id="759719472">
      <w:bodyDiv w:val="1"/>
      <w:marLeft w:val="0"/>
      <w:marRight w:val="0"/>
      <w:marTop w:val="0"/>
      <w:marBottom w:val="0"/>
      <w:divBdr>
        <w:top w:val="none" w:sz="0" w:space="0" w:color="auto"/>
        <w:left w:val="none" w:sz="0" w:space="0" w:color="auto"/>
        <w:bottom w:val="none" w:sz="0" w:space="0" w:color="auto"/>
        <w:right w:val="none" w:sz="0" w:space="0" w:color="auto"/>
      </w:divBdr>
      <w:divsChild>
        <w:div w:id="234358199">
          <w:marLeft w:val="0"/>
          <w:marRight w:val="0"/>
          <w:marTop w:val="0"/>
          <w:marBottom w:val="0"/>
          <w:divBdr>
            <w:top w:val="none" w:sz="0" w:space="0" w:color="auto"/>
            <w:left w:val="none" w:sz="0" w:space="0" w:color="auto"/>
            <w:bottom w:val="none" w:sz="0" w:space="0" w:color="auto"/>
            <w:right w:val="none" w:sz="0" w:space="0" w:color="auto"/>
          </w:divBdr>
        </w:div>
        <w:div w:id="650258538">
          <w:marLeft w:val="0"/>
          <w:marRight w:val="0"/>
          <w:marTop w:val="0"/>
          <w:marBottom w:val="0"/>
          <w:divBdr>
            <w:top w:val="none" w:sz="0" w:space="0" w:color="auto"/>
            <w:left w:val="none" w:sz="0" w:space="0" w:color="auto"/>
            <w:bottom w:val="none" w:sz="0" w:space="0" w:color="auto"/>
            <w:right w:val="none" w:sz="0" w:space="0" w:color="auto"/>
          </w:divBdr>
        </w:div>
        <w:div w:id="905454280">
          <w:marLeft w:val="0"/>
          <w:marRight w:val="0"/>
          <w:marTop w:val="0"/>
          <w:marBottom w:val="0"/>
          <w:divBdr>
            <w:top w:val="none" w:sz="0" w:space="0" w:color="auto"/>
            <w:left w:val="none" w:sz="0" w:space="0" w:color="auto"/>
            <w:bottom w:val="none" w:sz="0" w:space="0" w:color="auto"/>
            <w:right w:val="none" w:sz="0" w:space="0" w:color="auto"/>
          </w:divBdr>
        </w:div>
        <w:div w:id="1295021613">
          <w:marLeft w:val="0"/>
          <w:marRight w:val="0"/>
          <w:marTop w:val="0"/>
          <w:marBottom w:val="0"/>
          <w:divBdr>
            <w:top w:val="none" w:sz="0" w:space="0" w:color="auto"/>
            <w:left w:val="none" w:sz="0" w:space="0" w:color="auto"/>
            <w:bottom w:val="none" w:sz="0" w:space="0" w:color="auto"/>
            <w:right w:val="none" w:sz="0" w:space="0" w:color="auto"/>
          </w:divBdr>
        </w:div>
        <w:div w:id="1618177430">
          <w:marLeft w:val="0"/>
          <w:marRight w:val="0"/>
          <w:marTop w:val="0"/>
          <w:marBottom w:val="0"/>
          <w:divBdr>
            <w:top w:val="none" w:sz="0" w:space="0" w:color="auto"/>
            <w:left w:val="none" w:sz="0" w:space="0" w:color="auto"/>
            <w:bottom w:val="none" w:sz="0" w:space="0" w:color="auto"/>
            <w:right w:val="none" w:sz="0" w:space="0" w:color="auto"/>
          </w:divBdr>
        </w:div>
        <w:div w:id="1865635488">
          <w:marLeft w:val="0"/>
          <w:marRight w:val="0"/>
          <w:marTop w:val="0"/>
          <w:marBottom w:val="0"/>
          <w:divBdr>
            <w:top w:val="none" w:sz="0" w:space="0" w:color="auto"/>
            <w:left w:val="none" w:sz="0" w:space="0" w:color="auto"/>
            <w:bottom w:val="none" w:sz="0" w:space="0" w:color="auto"/>
            <w:right w:val="none" w:sz="0" w:space="0" w:color="auto"/>
          </w:divBdr>
        </w:div>
      </w:divsChild>
    </w:div>
    <w:div w:id="766655098">
      <w:bodyDiv w:val="1"/>
      <w:marLeft w:val="0"/>
      <w:marRight w:val="0"/>
      <w:marTop w:val="0"/>
      <w:marBottom w:val="0"/>
      <w:divBdr>
        <w:top w:val="none" w:sz="0" w:space="0" w:color="auto"/>
        <w:left w:val="none" w:sz="0" w:space="0" w:color="auto"/>
        <w:bottom w:val="none" w:sz="0" w:space="0" w:color="auto"/>
        <w:right w:val="none" w:sz="0" w:space="0" w:color="auto"/>
      </w:divBdr>
    </w:div>
    <w:div w:id="822351590">
      <w:bodyDiv w:val="1"/>
      <w:marLeft w:val="0"/>
      <w:marRight w:val="0"/>
      <w:marTop w:val="0"/>
      <w:marBottom w:val="0"/>
      <w:divBdr>
        <w:top w:val="none" w:sz="0" w:space="0" w:color="auto"/>
        <w:left w:val="none" w:sz="0" w:space="0" w:color="auto"/>
        <w:bottom w:val="none" w:sz="0" w:space="0" w:color="auto"/>
        <w:right w:val="none" w:sz="0" w:space="0" w:color="auto"/>
      </w:divBdr>
    </w:div>
    <w:div w:id="896285923">
      <w:bodyDiv w:val="1"/>
      <w:marLeft w:val="0"/>
      <w:marRight w:val="0"/>
      <w:marTop w:val="0"/>
      <w:marBottom w:val="0"/>
      <w:divBdr>
        <w:top w:val="none" w:sz="0" w:space="0" w:color="auto"/>
        <w:left w:val="none" w:sz="0" w:space="0" w:color="auto"/>
        <w:bottom w:val="none" w:sz="0" w:space="0" w:color="auto"/>
        <w:right w:val="none" w:sz="0" w:space="0" w:color="auto"/>
      </w:divBdr>
    </w:div>
    <w:div w:id="927076685">
      <w:bodyDiv w:val="1"/>
      <w:marLeft w:val="0"/>
      <w:marRight w:val="0"/>
      <w:marTop w:val="0"/>
      <w:marBottom w:val="0"/>
      <w:divBdr>
        <w:top w:val="none" w:sz="0" w:space="0" w:color="auto"/>
        <w:left w:val="none" w:sz="0" w:space="0" w:color="auto"/>
        <w:bottom w:val="none" w:sz="0" w:space="0" w:color="auto"/>
        <w:right w:val="none" w:sz="0" w:space="0" w:color="auto"/>
      </w:divBdr>
    </w:div>
    <w:div w:id="994381292">
      <w:bodyDiv w:val="1"/>
      <w:marLeft w:val="0"/>
      <w:marRight w:val="0"/>
      <w:marTop w:val="0"/>
      <w:marBottom w:val="0"/>
      <w:divBdr>
        <w:top w:val="none" w:sz="0" w:space="0" w:color="auto"/>
        <w:left w:val="none" w:sz="0" w:space="0" w:color="auto"/>
        <w:bottom w:val="none" w:sz="0" w:space="0" w:color="auto"/>
        <w:right w:val="none" w:sz="0" w:space="0" w:color="auto"/>
      </w:divBdr>
    </w:div>
    <w:div w:id="1023824117">
      <w:bodyDiv w:val="1"/>
      <w:marLeft w:val="0"/>
      <w:marRight w:val="0"/>
      <w:marTop w:val="0"/>
      <w:marBottom w:val="0"/>
      <w:divBdr>
        <w:top w:val="none" w:sz="0" w:space="0" w:color="auto"/>
        <w:left w:val="none" w:sz="0" w:space="0" w:color="auto"/>
        <w:bottom w:val="none" w:sz="0" w:space="0" w:color="auto"/>
        <w:right w:val="none" w:sz="0" w:space="0" w:color="auto"/>
      </w:divBdr>
    </w:div>
    <w:div w:id="1082220380">
      <w:bodyDiv w:val="1"/>
      <w:marLeft w:val="0"/>
      <w:marRight w:val="0"/>
      <w:marTop w:val="0"/>
      <w:marBottom w:val="0"/>
      <w:divBdr>
        <w:top w:val="none" w:sz="0" w:space="0" w:color="auto"/>
        <w:left w:val="none" w:sz="0" w:space="0" w:color="auto"/>
        <w:bottom w:val="none" w:sz="0" w:space="0" w:color="auto"/>
        <w:right w:val="none" w:sz="0" w:space="0" w:color="auto"/>
      </w:divBdr>
    </w:div>
    <w:div w:id="1150251640">
      <w:bodyDiv w:val="1"/>
      <w:marLeft w:val="0"/>
      <w:marRight w:val="0"/>
      <w:marTop w:val="0"/>
      <w:marBottom w:val="0"/>
      <w:divBdr>
        <w:top w:val="none" w:sz="0" w:space="0" w:color="auto"/>
        <w:left w:val="none" w:sz="0" w:space="0" w:color="auto"/>
        <w:bottom w:val="none" w:sz="0" w:space="0" w:color="auto"/>
        <w:right w:val="none" w:sz="0" w:space="0" w:color="auto"/>
      </w:divBdr>
    </w:div>
    <w:div w:id="1191188924">
      <w:bodyDiv w:val="1"/>
      <w:marLeft w:val="0"/>
      <w:marRight w:val="0"/>
      <w:marTop w:val="0"/>
      <w:marBottom w:val="0"/>
      <w:divBdr>
        <w:top w:val="none" w:sz="0" w:space="0" w:color="auto"/>
        <w:left w:val="none" w:sz="0" w:space="0" w:color="auto"/>
        <w:bottom w:val="none" w:sz="0" w:space="0" w:color="auto"/>
        <w:right w:val="none" w:sz="0" w:space="0" w:color="auto"/>
      </w:divBdr>
    </w:div>
    <w:div w:id="1288732301">
      <w:bodyDiv w:val="1"/>
      <w:marLeft w:val="0"/>
      <w:marRight w:val="0"/>
      <w:marTop w:val="0"/>
      <w:marBottom w:val="0"/>
      <w:divBdr>
        <w:top w:val="none" w:sz="0" w:space="0" w:color="auto"/>
        <w:left w:val="none" w:sz="0" w:space="0" w:color="auto"/>
        <w:bottom w:val="none" w:sz="0" w:space="0" w:color="auto"/>
        <w:right w:val="none" w:sz="0" w:space="0" w:color="auto"/>
      </w:divBdr>
    </w:div>
    <w:div w:id="1347829412">
      <w:bodyDiv w:val="1"/>
      <w:marLeft w:val="0"/>
      <w:marRight w:val="0"/>
      <w:marTop w:val="0"/>
      <w:marBottom w:val="0"/>
      <w:divBdr>
        <w:top w:val="none" w:sz="0" w:space="0" w:color="auto"/>
        <w:left w:val="none" w:sz="0" w:space="0" w:color="auto"/>
        <w:bottom w:val="none" w:sz="0" w:space="0" w:color="auto"/>
        <w:right w:val="none" w:sz="0" w:space="0" w:color="auto"/>
      </w:divBdr>
    </w:div>
    <w:div w:id="1469057041">
      <w:bodyDiv w:val="1"/>
      <w:marLeft w:val="0"/>
      <w:marRight w:val="0"/>
      <w:marTop w:val="0"/>
      <w:marBottom w:val="0"/>
      <w:divBdr>
        <w:top w:val="none" w:sz="0" w:space="0" w:color="auto"/>
        <w:left w:val="none" w:sz="0" w:space="0" w:color="auto"/>
        <w:bottom w:val="none" w:sz="0" w:space="0" w:color="auto"/>
        <w:right w:val="none" w:sz="0" w:space="0" w:color="auto"/>
      </w:divBdr>
    </w:div>
    <w:div w:id="1525288095">
      <w:bodyDiv w:val="1"/>
      <w:marLeft w:val="0"/>
      <w:marRight w:val="0"/>
      <w:marTop w:val="0"/>
      <w:marBottom w:val="0"/>
      <w:divBdr>
        <w:top w:val="none" w:sz="0" w:space="0" w:color="auto"/>
        <w:left w:val="none" w:sz="0" w:space="0" w:color="auto"/>
        <w:bottom w:val="none" w:sz="0" w:space="0" w:color="auto"/>
        <w:right w:val="none" w:sz="0" w:space="0" w:color="auto"/>
      </w:divBdr>
    </w:div>
    <w:div w:id="1556313045">
      <w:bodyDiv w:val="1"/>
      <w:marLeft w:val="0"/>
      <w:marRight w:val="0"/>
      <w:marTop w:val="0"/>
      <w:marBottom w:val="0"/>
      <w:divBdr>
        <w:top w:val="none" w:sz="0" w:space="0" w:color="auto"/>
        <w:left w:val="none" w:sz="0" w:space="0" w:color="auto"/>
        <w:bottom w:val="none" w:sz="0" w:space="0" w:color="auto"/>
        <w:right w:val="none" w:sz="0" w:space="0" w:color="auto"/>
      </w:divBdr>
    </w:div>
    <w:div w:id="1574048873">
      <w:bodyDiv w:val="1"/>
      <w:marLeft w:val="0"/>
      <w:marRight w:val="0"/>
      <w:marTop w:val="0"/>
      <w:marBottom w:val="0"/>
      <w:divBdr>
        <w:top w:val="none" w:sz="0" w:space="0" w:color="auto"/>
        <w:left w:val="none" w:sz="0" w:space="0" w:color="auto"/>
        <w:bottom w:val="none" w:sz="0" w:space="0" w:color="auto"/>
        <w:right w:val="none" w:sz="0" w:space="0" w:color="auto"/>
      </w:divBdr>
      <w:divsChild>
        <w:div w:id="263611571">
          <w:marLeft w:val="360"/>
          <w:marRight w:val="0"/>
          <w:marTop w:val="200"/>
          <w:marBottom w:val="0"/>
          <w:divBdr>
            <w:top w:val="none" w:sz="0" w:space="0" w:color="auto"/>
            <w:left w:val="none" w:sz="0" w:space="0" w:color="auto"/>
            <w:bottom w:val="none" w:sz="0" w:space="0" w:color="auto"/>
            <w:right w:val="none" w:sz="0" w:space="0" w:color="auto"/>
          </w:divBdr>
        </w:div>
        <w:div w:id="599410458">
          <w:marLeft w:val="360"/>
          <w:marRight w:val="0"/>
          <w:marTop w:val="200"/>
          <w:marBottom w:val="0"/>
          <w:divBdr>
            <w:top w:val="none" w:sz="0" w:space="0" w:color="auto"/>
            <w:left w:val="none" w:sz="0" w:space="0" w:color="auto"/>
            <w:bottom w:val="none" w:sz="0" w:space="0" w:color="auto"/>
            <w:right w:val="none" w:sz="0" w:space="0" w:color="auto"/>
          </w:divBdr>
        </w:div>
        <w:div w:id="969168456">
          <w:marLeft w:val="360"/>
          <w:marRight w:val="0"/>
          <w:marTop w:val="200"/>
          <w:marBottom w:val="0"/>
          <w:divBdr>
            <w:top w:val="none" w:sz="0" w:space="0" w:color="auto"/>
            <w:left w:val="none" w:sz="0" w:space="0" w:color="auto"/>
            <w:bottom w:val="none" w:sz="0" w:space="0" w:color="auto"/>
            <w:right w:val="none" w:sz="0" w:space="0" w:color="auto"/>
          </w:divBdr>
        </w:div>
        <w:div w:id="1303851322">
          <w:marLeft w:val="360"/>
          <w:marRight w:val="0"/>
          <w:marTop w:val="200"/>
          <w:marBottom w:val="0"/>
          <w:divBdr>
            <w:top w:val="none" w:sz="0" w:space="0" w:color="auto"/>
            <w:left w:val="none" w:sz="0" w:space="0" w:color="auto"/>
            <w:bottom w:val="none" w:sz="0" w:space="0" w:color="auto"/>
            <w:right w:val="none" w:sz="0" w:space="0" w:color="auto"/>
          </w:divBdr>
        </w:div>
        <w:div w:id="1443303648">
          <w:marLeft w:val="360"/>
          <w:marRight w:val="0"/>
          <w:marTop w:val="200"/>
          <w:marBottom w:val="0"/>
          <w:divBdr>
            <w:top w:val="none" w:sz="0" w:space="0" w:color="auto"/>
            <w:left w:val="none" w:sz="0" w:space="0" w:color="auto"/>
            <w:bottom w:val="none" w:sz="0" w:space="0" w:color="auto"/>
            <w:right w:val="none" w:sz="0" w:space="0" w:color="auto"/>
          </w:divBdr>
        </w:div>
        <w:div w:id="1448425255">
          <w:marLeft w:val="360"/>
          <w:marRight w:val="0"/>
          <w:marTop w:val="200"/>
          <w:marBottom w:val="0"/>
          <w:divBdr>
            <w:top w:val="none" w:sz="0" w:space="0" w:color="auto"/>
            <w:left w:val="none" w:sz="0" w:space="0" w:color="auto"/>
            <w:bottom w:val="none" w:sz="0" w:space="0" w:color="auto"/>
            <w:right w:val="none" w:sz="0" w:space="0" w:color="auto"/>
          </w:divBdr>
        </w:div>
        <w:div w:id="1611428368">
          <w:marLeft w:val="360"/>
          <w:marRight w:val="0"/>
          <w:marTop w:val="200"/>
          <w:marBottom w:val="0"/>
          <w:divBdr>
            <w:top w:val="none" w:sz="0" w:space="0" w:color="auto"/>
            <w:left w:val="none" w:sz="0" w:space="0" w:color="auto"/>
            <w:bottom w:val="none" w:sz="0" w:space="0" w:color="auto"/>
            <w:right w:val="none" w:sz="0" w:space="0" w:color="auto"/>
          </w:divBdr>
        </w:div>
      </w:divsChild>
    </w:div>
    <w:div w:id="1620792609">
      <w:bodyDiv w:val="1"/>
      <w:marLeft w:val="0"/>
      <w:marRight w:val="0"/>
      <w:marTop w:val="0"/>
      <w:marBottom w:val="0"/>
      <w:divBdr>
        <w:top w:val="none" w:sz="0" w:space="0" w:color="auto"/>
        <w:left w:val="none" w:sz="0" w:space="0" w:color="auto"/>
        <w:bottom w:val="none" w:sz="0" w:space="0" w:color="auto"/>
        <w:right w:val="none" w:sz="0" w:space="0" w:color="auto"/>
      </w:divBdr>
    </w:div>
    <w:div w:id="1653176347">
      <w:bodyDiv w:val="1"/>
      <w:marLeft w:val="0"/>
      <w:marRight w:val="0"/>
      <w:marTop w:val="0"/>
      <w:marBottom w:val="0"/>
      <w:divBdr>
        <w:top w:val="none" w:sz="0" w:space="0" w:color="auto"/>
        <w:left w:val="none" w:sz="0" w:space="0" w:color="auto"/>
        <w:bottom w:val="none" w:sz="0" w:space="0" w:color="auto"/>
        <w:right w:val="none" w:sz="0" w:space="0" w:color="auto"/>
      </w:divBdr>
    </w:div>
    <w:div w:id="1733388738">
      <w:bodyDiv w:val="1"/>
      <w:marLeft w:val="0"/>
      <w:marRight w:val="0"/>
      <w:marTop w:val="0"/>
      <w:marBottom w:val="0"/>
      <w:divBdr>
        <w:top w:val="none" w:sz="0" w:space="0" w:color="auto"/>
        <w:left w:val="none" w:sz="0" w:space="0" w:color="auto"/>
        <w:bottom w:val="none" w:sz="0" w:space="0" w:color="auto"/>
        <w:right w:val="none" w:sz="0" w:space="0" w:color="auto"/>
      </w:divBdr>
    </w:div>
    <w:div w:id="1770193418">
      <w:bodyDiv w:val="1"/>
      <w:marLeft w:val="0"/>
      <w:marRight w:val="0"/>
      <w:marTop w:val="0"/>
      <w:marBottom w:val="0"/>
      <w:divBdr>
        <w:top w:val="none" w:sz="0" w:space="0" w:color="auto"/>
        <w:left w:val="none" w:sz="0" w:space="0" w:color="auto"/>
        <w:bottom w:val="none" w:sz="0" w:space="0" w:color="auto"/>
        <w:right w:val="none" w:sz="0" w:space="0" w:color="auto"/>
      </w:divBdr>
    </w:div>
    <w:div w:id="1889343562">
      <w:bodyDiv w:val="1"/>
      <w:marLeft w:val="0"/>
      <w:marRight w:val="0"/>
      <w:marTop w:val="0"/>
      <w:marBottom w:val="0"/>
      <w:divBdr>
        <w:top w:val="none" w:sz="0" w:space="0" w:color="auto"/>
        <w:left w:val="none" w:sz="0" w:space="0" w:color="auto"/>
        <w:bottom w:val="none" w:sz="0" w:space="0" w:color="auto"/>
        <w:right w:val="none" w:sz="0" w:space="0" w:color="auto"/>
      </w:divBdr>
    </w:div>
    <w:div w:id="1937396506">
      <w:bodyDiv w:val="1"/>
      <w:marLeft w:val="0"/>
      <w:marRight w:val="0"/>
      <w:marTop w:val="0"/>
      <w:marBottom w:val="0"/>
      <w:divBdr>
        <w:top w:val="none" w:sz="0" w:space="0" w:color="auto"/>
        <w:left w:val="none" w:sz="0" w:space="0" w:color="auto"/>
        <w:bottom w:val="none" w:sz="0" w:space="0" w:color="auto"/>
        <w:right w:val="none" w:sz="0" w:space="0" w:color="auto"/>
      </w:divBdr>
    </w:div>
    <w:div w:id="19608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CL-C-0095/en" TargetMode="External"/><Relationship Id="rId18" Type="http://schemas.openxmlformats.org/officeDocument/2006/relationships/hyperlink" Target="https://www.itu.int/md/S22-CL-C-0027/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md/S22-CL-C-0027/en" TargetMode="External"/><Relationship Id="rId7" Type="http://schemas.openxmlformats.org/officeDocument/2006/relationships/settings" Target="settings.xml"/><Relationship Id="rId12" Type="http://schemas.openxmlformats.org/officeDocument/2006/relationships/hyperlink" Target="https://www.itu.int/en/council/Documents/basic-texts/RES-071-E.pdf" TargetMode="External"/><Relationship Id="rId17" Type="http://schemas.openxmlformats.org/officeDocument/2006/relationships/hyperlink" Target="https://www.itu.int/md/S21-CWGSFP1-C-0012/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21-CWGSFP1-INF-0006" TargetMode="External"/><Relationship Id="rId20" Type="http://schemas.openxmlformats.org/officeDocument/2006/relationships/hyperlink" Target="https://www.itu.int/md/S22-CL-C-0027/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1-CWGSFP1-C-001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2-CL-C-002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L-C-0095/e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68336-9E7B-4761-BF6C-A00136DF64F5}">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CF6856CA-D605-455A-916B-EDE219537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8F694-D6A2-4523-90ED-CD88B2B29A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3217</Words>
  <Characters>17923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Report of the Council Working Group for Strategic and Financial Plans for 2024-2027 (CWG-SFP)</vt:lpstr>
    </vt:vector>
  </TitlesOfParts>
  <Manager>General Secretariat - Pool</Manager>
  <Company>International Telecommunication Union (ITU)</Company>
  <LinksUpToDate>false</LinksUpToDate>
  <CharactersWithSpaces>21098</CharactersWithSpaces>
  <SharedDoc>false</SharedDoc>
  <HLinks>
    <vt:vector size="60" baseType="variant">
      <vt:variant>
        <vt:i4>7798846</vt:i4>
      </vt:variant>
      <vt:variant>
        <vt:i4>24</vt:i4>
      </vt:variant>
      <vt:variant>
        <vt:i4>0</vt:i4>
      </vt:variant>
      <vt:variant>
        <vt:i4>5</vt:i4>
      </vt:variant>
      <vt:variant>
        <vt:lpwstr>https://www.itu.int/md/S22-CL-C-0027/en</vt:lpwstr>
      </vt:variant>
      <vt:variant>
        <vt:lpwstr/>
      </vt:variant>
      <vt:variant>
        <vt:i4>7798846</vt:i4>
      </vt:variant>
      <vt:variant>
        <vt:i4>21</vt:i4>
      </vt:variant>
      <vt:variant>
        <vt:i4>0</vt:i4>
      </vt:variant>
      <vt:variant>
        <vt:i4>5</vt:i4>
      </vt:variant>
      <vt:variant>
        <vt:lpwstr>https://www.itu.int/md/S22-CL-C-0027/en</vt:lpwstr>
      </vt:variant>
      <vt:variant>
        <vt:lpwstr/>
      </vt:variant>
      <vt:variant>
        <vt:i4>7798846</vt:i4>
      </vt:variant>
      <vt:variant>
        <vt:i4>18</vt:i4>
      </vt:variant>
      <vt:variant>
        <vt:i4>0</vt:i4>
      </vt:variant>
      <vt:variant>
        <vt:i4>5</vt:i4>
      </vt:variant>
      <vt:variant>
        <vt:lpwstr>https://www.itu.int/md/S22-CL-C-0027/en</vt:lpwstr>
      </vt:variant>
      <vt:variant>
        <vt:lpwstr/>
      </vt:variant>
      <vt:variant>
        <vt:i4>327695</vt:i4>
      </vt:variant>
      <vt:variant>
        <vt:i4>15</vt:i4>
      </vt:variant>
      <vt:variant>
        <vt:i4>0</vt:i4>
      </vt:variant>
      <vt:variant>
        <vt:i4>5</vt:i4>
      </vt:variant>
      <vt:variant>
        <vt:lpwstr>https://www.itu.int/md/S21-CWGSFP1-C-0012/en</vt:lpwstr>
      </vt:variant>
      <vt:variant>
        <vt:lpwstr/>
      </vt:variant>
      <vt:variant>
        <vt:i4>2687030</vt:i4>
      </vt:variant>
      <vt:variant>
        <vt:i4>12</vt:i4>
      </vt:variant>
      <vt:variant>
        <vt:i4>0</vt:i4>
      </vt:variant>
      <vt:variant>
        <vt:i4>5</vt:i4>
      </vt:variant>
      <vt:variant>
        <vt:lpwstr>https://www.itu.int/md/S21-CWGSFP1-INF-0006</vt:lpwstr>
      </vt:variant>
      <vt:variant>
        <vt:lpwstr/>
      </vt:variant>
      <vt:variant>
        <vt:i4>4456536</vt:i4>
      </vt:variant>
      <vt:variant>
        <vt:i4>9</vt:i4>
      </vt:variant>
      <vt:variant>
        <vt:i4>0</vt:i4>
      </vt:variant>
      <vt:variant>
        <vt:i4>5</vt:i4>
      </vt:variant>
      <vt:variant>
        <vt:lpwstr>https://www.itu.int/md/S21-CWGSFP1-C-0011</vt:lpwstr>
      </vt:variant>
      <vt:variant>
        <vt:lpwstr/>
      </vt:variant>
      <vt:variant>
        <vt:i4>7733301</vt:i4>
      </vt:variant>
      <vt:variant>
        <vt:i4>6</vt:i4>
      </vt:variant>
      <vt:variant>
        <vt:i4>0</vt:i4>
      </vt:variant>
      <vt:variant>
        <vt:i4>5</vt:i4>
      </vt:variant>
      <vt:variant>
        <vt:lpwstr>https://www.itu.int/md/S21-CL-C-0095/en</vt:lpwstr>
      </vt:variant>
      <vt:variant>
        <vt:lpwstr/>
      </vt:variant>
      <vt:variant>
        <vt:i4>7733301</vt:i4>
      </vt:variant>
      <vt:variant>
        <vt:i4>3</vt:i4>
      </vt:variant>
      <vt:variant>
        <vt:i4>0</vt:i4>
      </vt:variant>
      <vt:variant>
        <vt:i4>5</vt:i4>
      </vt:variant>
      <vt:variant>
        <vt:lpwstr>https://www.itu.int/md/S21-CL-C-0095/en</vt:lpwstr>
      </vt:variant>
      <vt:variant>
        <vt:lpwstr/>
      </vt:variant>
      <vt:variant>
        <vt:i4>2949227</vt:i4>
      </vt:variant>
      <vt:variant>
        <vt:i4>0</vt:i4>
      </vt:variant>
      <vt:variant>
        <vt:i4>0</vt:i4>
      </vt:variant>
      <vt:variant>
        <vt:i4>5</vt:i4>
      </vt:variant>
      <vt:variant>
        <vt:lpwstr>https://www.itu.int/en/council/Documents/basic-texts/RES-071-E.pdf</vt:lpwstr>
      </vt:variant>
      <vt:variant>
        <vt:lpwstr/>
      </vt: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Brouard, Ricarda</dc:creator>
  <cp:keywords>C2022, C22, Council-22</cp:keywords>
  <dc:description/>
  <cp:lastModifiedBy>Xue, Kun</cp:lastModifiedBy>
  <cp:revision>2</cp:revision>
  <cp:lastPrinted>2000-07-18T13:30:00Z</cp:lastPrinted>
  <dcterms:created xsi:type="dcterms:W3CDTF">2022-03-25T11:12:00Z</dcterms:created>
  <dcterms:modified xsi:type="dcterms:W3CDTF">2022-03-25T11:12:00Z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0x01010023FE96C3E44B9B42930888C51A5BBA72</vt:lpwstr>
  </property>
</Properties>
</file>