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66DB6" w14:paraId="55CC24F9" w14:textId="77777777">
        <w:trPr>
          <w:cantSplit/>
        </w:trPr>
        <w:tc>
          <w:tcPr>
            <w:tcW w:w="6912" w:type="dxa"/>
          </w:tcPr>
          <w:p w14:paraId="08B87857" w14:textId="77777777" w:rsidR="00093EEB" w:rsidRPr="00766DB6" w:rsidRDefault="00093EEB" w:rsidP="00C2727F">
            <w:pPr>
              <w:spacing w:before="360"/>
              <w:rPr>
                <w:szCs w:val="24"/>
                <w:lang w:val="es-ES"/>
              </w:rPr>
            </w:pPr>
            <w:bookmarkStart w:id="0" w:name="dc06"/>
            <w:bookmarkStart w:id="1" w:name="dbluepink" w:colFirst="0" w:colLast="0"/>
            <w:bookmarkEnd w:id="0"/>
            <w:r w:rsidRPr="00766DB6">
              <w:rPr>
                <w:b/>
                <w:bCs/>
                <w:sz w:val="30"/>
                <w:szCs w:val="30"/>
                <w:lang w:val="es-ES"/>
              </w:rPr>
              <w:t>Consejo 20</w:t>
            </w:r>
            <w:r w:rsidR="007955DA" w:rsidRPr="00766DB6">
              <w:rPr>
                <w:b/>
                <w:bCs/>
                <w:sz w:val="30"/>
                <w:szCs w:val="30"/>
                <w:lang w:val="es-ES"/>
              </w:rPr>
              <w:t>2</w:t>
            </w:r>
            <w:r w:rsidR="00D50A36" w:rsidRPr="00766DB6">
              <w:rPr>
                <w:b/>
                <w:bCs/>
                <w:sz w:val="30"/>
                <w:szCs w:val="30"/>
                <w:lang w:val="es-ES"/>
              </w:rPr>
              <w:t>2</w:t>
            </w:r>
            <w:r w:rsidRPr="00766DB6">
              <w:rPr>
                <w:b/>
                <w:bCs/>
                <w:sz w:val="26"/>
                <w:szCs w:val="26"/>
                <w:lang w:val="es-ES"/>
              </w:rPr>
              <w:br/>
            </w:r>
            <w:r w:rsidR="00D50A36" w:rsidRPr="00766DB6">
              <w:rPr>
                <w:b/>
                <w:bCs/>
                <w:sz w:val="26"/>
                <w:szCs w:val="26"/>
                <w:lang w:val="es-ES"/>
              </w:rPr>
              <w:t>Ginebra</w:t>
            </w:r>
            <w:r w:rsidRPr="00766DB6">
              <w:rPr>
                <w:b/>
                <w:bCs/>
                <w:sz w:val="26"/>
                <w:szCs w:val="26"/>
                <w:lang w:val="es-ES"/>
              </w:rPr>
              <w:t xml:space="preserve">, </w:t>
            </w:r>
            <w:r w:rsidR="00D50A36" w:rsidRPr="00766DB6">
              <w:rPr>
                <w:b/>
                <w:bCs/>
                <w:sz w:val="26"/>
                <w:szCs w:val="26"/>
                <w:lang w:val="es-ES"/>
              </w:rPr>
              <w:t>21</w:t>
            </w:r>
            <w:r w:rsidRPr="00766DB6">
              <w:rPr>
                <w:b/>
                <w:bCs/>
                <w:sz w:val="26"/>
                <w:szCs w:val="26"/>
                <w:lang w:val="es-ES"/>
              </w:rPr>
              <w:t>-</w:t>
            </w:r>
            <w:r w:rsidR="00D50A36" w:rsidRPr="00766DB6">
              <w:rPr>
                <w:b/>
                <w:bCs/>
                <w:sz w:val="26"/>
                <w:szCs w:val="26"/>
                <w:lang w:val="es-ES"/>
              </w:rPr>
              <w:t>31</w:t>
            </w:r>
            <w:r w:rsidRPr="00766DB6">
              <w:rPr>
                <w:b/>
                <w:bCs/>
                <w:sz w:val="26"/>
                <w:szCs w:val="26"/>
                <w:lang w:val="es-ES"/>
              </w:rPr>
              <w:t xml:space="preserve"> de </w:t>
            </w:r>
            <w:r w:rsidR="00D50A36" w:rsidRPr="00766DB6">
              <w:rPr>
                <w:b/>
                <w:bCs/>
                <w:sz w:val="26"/>
                <w:szCs w:val="26"/>
                <w:lang w:val="es-ES"/>
              </w:rPr>
              <w:t>marzo</w:t>
            </w:r>
            <w:r w:rsidRPr="00766DB6">
              <w:rPr>
                <w:b/>
                <w:bCs/>
                <w:sz w:val="26"/>
                <w:szCs w:val="26"/>
                <w:lang w:val="es-ES"/>
              </w:rPr>
              <w:t xml:space="preserve"> de 20</w:t>
            </w:r>
            <w:r w:rsidR="007955DA" w:rsidRPr="00766DB6">
              <w:rPr>
                <w:b/>
                <w:bCs/>
                <w:sz w:val="26"/>
                <w:szCs w:val="26"/>
                <w:lang w:val="es-ES"/>
              </w:rPr>
              <w:t>2</w:t>
            </w:r>
            <w:r w:rsidR="00D50A36" w:rsidRPr="00766DB6">
              <w:rPr>
                <w:b/>
                <w:bCs/>
                <w:sz w:val="26"/>
                <w:szCs w:val="26"/>
                <w:lang w:val="es-ES"/>
              </w:rPr>
              <w:t>2</w:t>
            </w:r>
          </w:p>
        </w:tc>
        <w:tc>
          <w:tcPr>
            <w:tcW w:w="3261" w:type="dxa"/>
          </w:tcPr>
          <w:p w14:paraId="27ED4DBD" w14:textId="77777777" w:rsidR="00093EEB" w:rsidRPr="00766DB6" w:rsidRDefault="007955DA" w:rsidP="007955DA">
            <w:pPr>
              <w:spacing w:before="0"/>
              <w:rPr>
                <w:szCs w:val="24"/>
                <w:lang w:val="es-ES"/>
              </w:rPr>
            </w:pPr>
            <w:bookmarkStart w:id="2" w:name="ditulogo"/>
            <w:bookmarkEnd w:id="2"/>
            <w:r w:rsidRPr="00766DB6">
              <w:rPr>
                <w:noProof/>
                <w:lang w:eastAsia="es-ES_tradnl"/>
              </w:rPr>
              <w:drawing>
                <wp:inline distT="0" distB="0" distL="0" distR="0" wp14:anchorId="379EC794" wp14:editId="615B4B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66DB6" w14:paraId="61609923" w14:textId="77777777">
        <w:trPr>
          <w:cantSplit/>
          <w:trHeight w:val="20"/>
        </w:trPr>
        <w:tc>
          <w:tcPr>
            <w:tcW w:w="10173" w:type="dxa"/>
            <w:gridSpan w:val="2"/>
            <w:tcBorders>
              <w:bottom w:val="single" w:sz="12" w:space="0" w:color="auto"/>
            </w:tcBorders>
          </w:tcPr>
          <w:p w14:paraId="13B35215" w14:textId="77777777" w:rsidR="00093EEB" w:rsidRPr="00766DB6" w:rsidRDefault="00093EEB">
            <w:pPr>
              <w:spacing w:before="0"/>
              <w:rPr>
                <w:b/>
                <w:bCs/>
                <w:szCs w:val="24"/>
                <w:lang w:val="es-ES"/>
              </w:rPr>
            </w:pPr>
          </w:p>
        </w:tc>
      </w:tr>
      <w:tr w:rsidR="00093EEB" w:rsidRPr="00766DB6" w14:paraId="3918D829" w14:textId="77777777">
        <w:trPr>
          <w:cantSplit/>
          <w:trHeight w:val="20"/>
        </w:trPr>
        <w:tc>
          <w:tcPr>
            <w:tcW w:w="6912" w:type="dxa"/>
            <w:tcBorders>
              <w:top w:val="single" w:sz="12" w:space="0" w:color="auto"/>
            </w:tcBorders>
          </w:tcPr>
          <w:p w14:paraId="51DFC5AE" w14:textId="77777777" w:rsidR="00093EEB" w:rsidRPr="00766DB6"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0AF889E" w14:textId="77777777" w:rsidR="00093EEB" w:rsidRPr="00766DB6" w:rsidRDefault="00093EEB">
            <w:pPr>
              <w:spacing w:before="0"/>
              <w:rPr>
                <w:b/>
                <w:bCs/>
                <w:szCs w:val="24"/>
                <w:lang w:val="es-ES"/>
              </w:rPr>
            </w:pPr>
          </w:p>
        </w:tc>
      </w:tr>
      <w:tr w:rsidR="00D65BFA" w:rsidRPr="00766DB6" w14:paraId="02081158" w14:textId="77777777">
        <w:trPr>
          <w:cantSplit/>
          <w:trHeight w:val="20"/>
        </w:trPr>
        <w:tc>
          <w:tcPr>
            <w:tcW w:w="6912" w:type="dxa"/>
            <w:shd w:val="clear" w:color="auto" w:fill="auto"/>
          </w:tcPr>
          <w:p w14:paraId="092970AB" w14:textId="168916FE" w:rsidR="00D65BFA" w:rsidRPr="00766DB6" w:rsidRDefault="00D65BFA" w:rsidP="00D65BFA">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bookmarkEnd w:id="1"/>
            <w:r w:rsidRPr="00766DB6">
              <w:rPr>
                <w:b/>
                <w:bCs/>
                <w:lang w:val="es-ES"/>
              </w:rPr>
              <w:t>Punto del orden del día</w:t>
            </w:r>
            <w:r w:rsidRPr="00766DB6">
              <w:rPr>
                <w:b/>
                <w:lang w:val="es-ES"/>
              </w:rPr>
              <w:t>: PL 3.1</w:t>
            </w:r>
          </w:p>
        </w:tc>
        <w:tc>
          <w:tcPr>
            <w:tcW w:w="3261" w:type="dxa"/>
          </w:tcPr>
          <w:p w14:paraId="15D40672" w14:textId="2CFF33F6" w:rsidR="00D65BFA" w:rsidRPr="00766DB6" w:rsidRDefault="00D65BFA" w:rsidP="00D65BFA">
            <w:pPr>
              <w:spacing w:before="0"/>
              <w:rPr>
                <w:b/>
                <w:bCs/>
                <w:szCs w:val="24"/>
                <w:lang w:val="es-ES"/>
              </w:rPr>
            </w:pPr>
            <w:r w:rsidRPr="00766DB6">
              <w:rPr>
                <w:b/>
                <w:bCs/>
                <w:szCs w:val="24"/>
                <w:lang w:val="es-ES"/>
              </w:rPr>
              <w:t>Anexo 3 al</w:t>
            </w:r>
            <w:r w:rsidRPr="00766DB6">
              <w:rPr>
                <w:b/>
                <w:bCs/>
                <w:szCs w:val="24"/>
                <w:lang w:val="es-ES"/>
              </w:rPr>
              <w:br/>
              <w:t>Documento C22/27-S</w:t>
            </w:r>
          </w:p>
        </w:tc>
      </w:tr>
      <w:tr w:rsidR="00D65BFA" w:rsidRPr="00766DB6" w14:paraId="535DDC9F" w14:textId="77777777">
        <w:trPr>
          <w:cantSplit/>
          <w:trHeight w:val="20"/>
        </w:trPr>
        <w:tc>
          <w:tcPr>
            <w:tcW w:w="6912" w:type="dxa"/>
            <w:shd w:val="clear" w:color="auto" w:fill="auto"/>
          </w:tcPr>
          <w:p w14:paraId="0A8E0CDA" w14:textId="77777777" w:rsidR="00D65BFA" w:rsidRPr="00766DB6" w:rsidRDefault="00D65BFA" w:rsidP="00D65BFA">
            <w:pPr>
              <w:shd w:val="solid" w:color="FFFFFF" w:fill="FFFFFF"/>
              <w:spacing w:before="0"/>
              <w:rPr>
                <w:smallCaps/>
                <w:szCs w:val="24"/>
                <w:lang w:val="es-ES"/>
              </w:rPr>
            </w:pPr>
            <w:bookmarkStart w:id="5" w:name="ddate" w:colFirst="1" w:colLast="1"/>
            <w:bookmarkEnd w:id="3"/>
            <w:bookmarkEnd w:id="4"/>
          </w:p>
        </w:tc>
        <w:tc>
          <w:tcPr>
            <w:tcW w:w="3261" w:type="dxa"/>
          </w:tcPr>
          <w:p w14:paraId="068FBD4D" w14:textId="6F835F9B" w:rsidR="00D65BFA" w:rsidRPr="00766DB6" w:rsidRDefault="00D65BFA" w:rsidP="00D65BFA">
            <w:pPr>
              <w:spacing w:before="0"/>
              <w:rPr>
                <w:b/>
                <w:bCs/>
                <w:szCs w:val="24"/>
                <w:lang w:val="es-ES"/>
              </w:rPr>
            </w:pPr>
            <w:r w:rsidRPr="00766DB6">
              <w:rPr>
                <w:b/>
                <w:bCs/>
                <w:szCs w:val="24"/>
                <w:lang w:val="es-ES"/>
              </w:rPr>
              <w:t>3 de marzo 2022</w:t>
            </w:r>
          </w:p>
        </w:tc>
      </w:tr>
      <w:tr w:rsidR="00D65BFA" w:rsidRPr="00766DB6" w14:paraId="275F5B3F" w14:textId="77777777">
        <w:trPr>
          <w:cantSplit/>
          <w:trHeight w:val="20"/>
        </w:trPr>
        <w:tc>
          <w:tcPr>
            <w:tcW w:w="6912" w:type="dxa"/>
            <w:shd w:val="clear" w:color="auto" w:fill="auto"/>
          </w:tcPr>
          <w:p w14:paraId="52E5B068" w14:textId="77777777" w:rsidR="00D65BFA" w:rsidRPr="00766DB6" w:rsidRDefault="00D65BFA" w:rsidP="00D65BFA">
            <w:pPr>
              <w:shd w:val="solid" w:color="FFFFFF" w:fill="FFFFFF"/>
              <w:spacing w:before="0"/>
              <w:rPr>
                <w:smallCaps/>
                <w:szCs w:val="24"/>
                <w:lang w:val="es-ES"/>
              </w:rPr>
            </w:pPr>
            <w:bookmarkStart w:id="6" w:name="dorlang" w:colFirst="1" w:colLast="1"/>
            <w:bookmarkEnd w:id="5"/>
          </w:p>
        </w:tc>
        <w:tc>
          <w:tcPr>
            <w:tcW w:w="3261" w:type="dxa"/>
          </w:tcPr>
          <w:p w14:paraId="50AD6743" w14:textId="77777777" w:rsidR="00D65BFA" w:rsidRPr="00766DB6" w:rsidRDefault="00D65BFA" w:rsidP="00D65BFA">
            <w:pPr>
              <w:spacing w:before="0"/>
              <w:rPr>
                <w:b/>
                <w:bCs/>
                <w:szCs w:val="24"/>
                <w:lang w:val="es-ES"/>
              </w:rPr>
            </w:pPr>
            <w:r w:rsidRPr="00766DB6">
              <w:rPr>
                <w:b/>
                <w:bCs/>
                <w:szCs w:val="24"/>
                <w:lang w:val="es-ES"/>
              </w:rPr>
              <w:t>Original: inglés</w:t>
            </w:r>
          </w:p>
        </w:tc>
      </w:tr>
      <w:tr w:rsidR="00D65BFA" w:rsidRPr="00766DB6" w14:paraId="70B94663" w14:textId="77777777">
        <w:trPr>
          <w:cantSplit/>
        </w:trPr>
        <w:tc>
          <w:tcPr>
            <w:tcW w:w="10173" w:type="dxa"/>
            <w:gridSpan w:val="2"/>
          </w:tcPr>
          <w:p w14:paraId="103C3491" w14:textId="784A3100" w:rsidR="00D65BFA" w:rsidRPr="00766DB6" w:rsidRDefault="00D65BFA" w:rsidP="00D65BFA">
            <w:pPr>
              <w:pStyle w:val="Source"/>
              <w:rPr>
                <w:lang w:val="es-ES"/>
              </w:rPr>
            </w:pPr>
            <w:bookmarkStart w:id="7" w:name="dsource" w:colFirst="0" w:colLast="0"/>
            <w:bookmarkEnd w:id="6"/>
            <w:r w:rsidRPr="00766DB6">
              <w:rPr>
                <w:szCs w:val="28"/>
                <w:lang w:val="es-ES"/>
              </w:rPr>
              <w:t>Presidente del Grupo de Trabajo del Consejo sobre</w:t>
            </w:r>
            <w:r w:rsidRPr="00766DB6">
              <w:rPr>
                <w:szCs w:val="28"/>
                <w:lang w:val="es-ES"/>
              </w:rPr>
              <w:br/>
              <w:t xml:space="preserve">los Planes Estratégico y Financiero para 2024-2027 </w:t>
            </w:r>
          </w:p>
        </w:tc>
      </w:tr>
      <w:tr w:rsidR="00D65BFA" w:rsidRPr="00766DB6" w14:paraId="15E6E7BD" w14:textId="77777777">
        <w:trPr>
          <w:cantSplit/>
        </w:trPr>
        <w:tc>
          <w:tcPr>
            <w:tcW w:w="10173" w:type="dxa"/>
            <w:gridSpan w:val="2"/>
          </w:tcPr>
          <w:p w14:paraId="6075D8ED" w14:textId="77777777" w:rsidR="00D65BFA" w:rsidRPr="00766DB6" w:rsidRDefault="00D65BFA" w:rsidP="00D65BFA">
            <w:pPr>
              <w:pStyle w:val="Title1"/>
              <w:rPr>
                <w:caps w:val="0"/>
                <w:szCs w:val="28"/>
                <w:lang w:val="es-ES"/>
              </w:rPr>
            </w:pPr>
            <w:bookmarkStart w:id="8" w:name="_Hlk90019171"/>
            <w:bookmarkStart w:id="9" w:name="dtitle1" w:colFirst="0" w:colLast="0"/>
            <w:bookmarkEnd w:id="7"/>
            <w:r w:rsidRPr="00766DB6">
              <w:rPr>
                <w:szCs w:val="28"/>
                <w:lang w:val="es-ES"/>
              </w:rPr>
              <w:t>anexo 3 al informe del GTC-PEF</w:t>
            </w:r>
          </w:p>
          <w:p w14:paraId="0ECE2826" w14:textId="240FD916" w:rsidR="00D65BFA" w:rsidRPr="00766DB6" w:rsidRDefault="00D65BFA" w:rsidP="00D65BFA">
            <w:pPr>
              <w:pStyle w:val="Title1"/>
              <w:rPr>
                <w:lang w:val="es-ES"/>
              </w:rPr>
            </w:pPr>
            <w:r w:rsidRPr="00766DB6">
              <w:rPr>
                <w:szCs w:val="28"/>
                <w:lang w:val="es-ES"/>
              </w:rPr>
              <w:t xml:space="preserve">proyecto de ANEXO 3 A LA RESOLUCIÓN 71: </w:t>
            </w:r>
            <w:r w:rsidRPr="00766DB6">
              <w:rPr>
                <w:szCs w:val="28"/>
                <w:lang w:val="es-ES"/>
              </w:rPr>
              <w:br/>
              <w:t xml:space="preserve">PROYECTO DE </w:t>
            </w:r>
            <w:bookmarkEnd w:id="8"/>
            <w:r w:rsidRPr="00766DB6">
              <w:rPr>
                <w:szCs w:val="28"/>
                <w:lang w:val="es-ES"/>
              </w:rPr>
              <w:t>GLOSARIO DE TÉRMINOS</w:t>
            </w:r>
          </w:p>
        </w:tc>
      </w:tr>
      <w:tr w:rsidR="00D65BFA" w:rsidRPr="00766DB6" w14:paraId="70C6D040" w14:textId="77777777">
        <w:trPr>
          <w:cantSplit/>
        </w:trPr>
        <w:tc>
          <w:tcPr>
            <w:tcW w:w="10173" w:type="dxa"/>
            <w:gridSpan w:val="2"/>
          </w:tcPr>
          <w:p w14:paraId="34245467" w14:textId="39CC689C" w:rsidR="00D65BFA" w:rsidRPr="00766DB6" w:rsidRDefault="00D65BFA" w:rsidP="00677F4E">
            <w:pPr>
              <w:rPr>
                <w:rFonts w:cstheme="majorBidi"/>
                <w:szCs w:val="24"/>
                <w:lang w:val="es-ES"/>
              </w:rPr>
            </w:pPr>
            <w:r w:rsidRPr="00766DB6">
              <w:rPr>
                <w:rFonts w:eastAsia="SimSun"/>
                <w:lang w:val="es-ES"/>
              </w:rPr>
              <w:t>(Nota: En este documento se reflejan los resultados posteriores a la 3ª reunión del GTC-PEF. Se presentará una revisión de este documento al Consejo tras la 4ª reunión del GTC-PEF, prevista para el 20 de marzo)</w:t>
            </w:r>
          </w:p>
        </w:tc>
      </w:tr>
      <w:bookmarkEnd w:id="9"/>
    </w:tbl>
    <w:p w14:paraId="3EA0BDD1" w14:textId="7BCFE2F2" w:rsidR="00D65BFA" w:rsidRPr="00766DB6" w:rsidRDefault="00D65BFA" w:rsidP="000B0D00">
      <w:pPr>
        <w:rPr>
          <w:lang w:val="es-ES"/>
        </w:rPr>
      </w:pPr>
      <w:r w:rsidRPr="00766DB6">
        <w:rPr>
          <w:lang w:val="es-ES"/>
        </w:rPr>
        <w:br w:type="page"/>
      </w:r>
    </w:p>
    <w:p w14:paraId="71425FC3" w14:textId="7EFBBA50" w:rsidR="007955DA" w:rsidRPr="00766DB6" w:rsidRDefault="00D65BFA" w:rsidP="00D65BFA">
      <w:pPr>
        <w:pStyle w:val="AnnexNo"/>
        <w:spacing w:after="120"/>
        <w:rPr>
          <w:lang w:val="es-ES"/>
        </w:rPr>
      </w:pPr>
      <w:r w:rsidRPr="00766DB6">
        <w:rPr>
          <w:lang w:val="es-ES"/>
        </w:rPr>
        <w:lastRenderedPageBreak/>
        <w:t>Proyecto de Anexo 3 a la Resolución 71: Glosario de términos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850"/>
      </w:tblGrid>
      <w:tr w:rsidR="00D65BFA" w:rsidRPr="00766DB6" w14:paraId="1241A4FC" w14:textId="77777777" w:rsidTr="000C39ED">
        <w:trPr>
          <w:tblHeader/>
          <w:jc w:val="center"/>
        </w:trPr>
        <w:tc>
          <w:tcPr>
            <w:tcW w:w="2788" w:type="dxa"/>
            <w:shd w:val="clear" w:color="auto" w:fill="B8CCE4"/>
          </w:tcPr>
          <w:p w14:paraId="78AEF237" w14:textId="77777777" w:rsidR="00D65BFA" w:rsidRPr="00766DB6" w:rsidRDefault="00D65BFA" w:rsidP="000C39ED">
            <w:pPr>
              <w:pStyle w:val="Tablehead"/>
              <w:rPr>
                <w:lang w:val="es-ES"/>
              </w:rPr>
            </w:pPr>
            <w:r w:rsidRPr="00766DB6">
              <w:rPr>
                <w:lang w:val="es-ES"/>
              </w:rPr>
              <w:t>Término</w:t>
            </w:r>
          </w:p>
        </w:tc>
        <w:tc>
          <w:tcPr>
            <w:tcW w:w="6850" w:type="dxa"/>
            <w:shd w:val="clear" w:color="auto" w:fill="B8CCE4"/>
          </w:tcPr>
          <w:p w14:paraId="6A8F306D" w14:textId="77777777" w:rsidR="00D65BFA" w:rsidRPr="00766DB6" w:rsidRDefault="00D65BFA" w:rsidP="000C39ED">
            <w:pPr>
              <w:pStyle w:val="Tablehead"/>
              <w:rPr>
                <w:lang w:val="es-ES"/>
              </w:rPr>
            </w:pPr>
            <w:r w:rsidRPr="00766DB6">
              <w:rPr>
                <w:lang w:val="es-ES"/>
              </w:rPr>
              <w:t>Versión de trabajo</w:t>
            </w:r>
          </w:p>
        </w:tc>
      </w:tr>
      <w:tr w:rsidR="00D65BFA" w:rsidRPr="00766DB6" w14:paraId="136407DF" w14:textId="77777777" w:rsidTr="000C39ED">
        <w:trPr>
          <w:jc w:val="center"/>
        </w:trPr>
        <w:tc>
          <w:tcPr>
            <w:tcW w:w="2788" w:type="dxa"/>
          </w:tcPr>
          <w:p w14:paraId="7B6313C9" w14:textId="77777777" w:rsidR="00D65BFA" w:rsidRPr="00766DB6" w:rsidRDefault="00D65BFA" w:rsidP="000C39ED">
            <w:pPr>
              <w:pStyle w:val="Tabletext"/>
              <w:rPr>
                <w:lang w:val="es-ES"/>
              </w:rPr>
            </w:pPr>
            <w:r w:rsidRPr="00766DB6">
              <w:rPr>
                <w:lang w:val="es-ES"/>
              </w:rPr>
              <w:t>Actividades</w:t>
            </w:r>
          </w:p>
        </w:tc>
        <w:tc>
          <w:tcPr>
            <w:tcW w:w="6850" w:type="dxa"/>
          </w:tcPr>
          <w:p w14:paraId="22FB07B9" w14:textId="77777777" w:rsidR="00D65BFA" w:rsidRPr="00766DB6" w:rsidRDefault="00D65BFA" w:rsidP="000C39ED">
            <w:pPr>
              <w:pStyle w:val="Tabletext"/>
              <w:rPr>
                <w:lang w:val="es-ES"/>
              </w:rPr>
            </w:pPr>
            <w:r w:rsidRPr="00766DB6">
              <w:rPr>
                <w:lang w:val="es-ES"/>
              </w:rPr>
              <w:t>Las actividades son diversas acciones/servicios para transformar los recursos (aportaciones) en resultados</w:t>
            </w:r>
            <w:r w:rsidRPr="00766DB6">
              <w:rPr>
                <w:rStyle w:val="FootnoteReference"/>
                <w:lang w:val="es-ES"/>
              </w:rPr>
              <w:footnoteReference w:id="1"/>
            </w:r>
            <w:r w:rsidRPr="00766DB6">
              <w:rPr>
                <w:lang w:val="es-ES"/>
              </w:rPr>
              <w:t>.</w:t>
            </w:r>
          </w:p>
        </w:tc>
      </w:tr>
      <w:tr w:rsidR="00D65BFA" w:rsidRPr="00766DB6" w14:paraId="724275E3" w14:textId="77777777" w:rsidTr="000C39ED">
        <w:trPr>
          <w:jc w:val="center"/>
        </w:trPr>
        <w:tc>
          <w:tcPr>
            <w:tcW w:w="2788" w:type="dxa"/>
          </w:tcPr>
          <w:p w14:paraId="7F8EAA4F" w14:textId="77777777" w:rsidR="00D65BFA" w:rsidRPr="00766DB6" w:rsidRDefault="00D65BFA" w:rsidP="000C39ED">
            <w:pPr>
              <w:pStyle w:val="Tabletext"/>
              <w:rPr>
                <w:lang w:val="es-ES"/>
              </w:rPr>
            </w:pPr>
            <w:r w:rsidRPr="00766DB6">
              <w:rPr>
                <w:lang w:val="es-ES"/>
              </w:rPr>
              <w:t>Factores habilitadores</w:t>
            </w:r>
          </w:p>
        </w:tc>
        <w:tc>
          <w:tcPr>
            <w:tcW w:w="6850" w:type="dxa"/>
          </w:tcPr>
          <w:p w14:paraId="1F2890A9" w14:textId="77777777" w:rsidR="00D65BFA" w:rsidRPr="00766DB6" w:rsidRDefault="00D65BFA" w:rsidP="000C39ED">
            <w:pPr>
              <w:pStyle w:val="Tabletext"/>
              <w:rPr>
                <w:lang w:val="es-ES"/>
              </w:rPr>
            </w:pPr>
            <w:r w:rsidRPr="00766DB6">
              <w:rPr>
                <w:lang w:val="es-ES"/>
              </w:rPr>
              <w:t>Métodos de trabajo que permiten a la Unión cumplir sus objetivos y prioridades de manera más eficaz y eficiente.</w:t>
            </w:r>
          </w:p>
        </w:tc>
      </w:tr>
      <w:tr w:rsidR="00D65BFA" w:rsidRPr="00766DB6" w14:paraId="04F01E65" w14:textId="77777777" w:rsidTr="000C39ED">
        <w:trPr>
          <w:jc w:val="center"/>
        </w:trPr>
        <w:tc>
          <w:tcPr>
            <w:tcW w:w="2788" w:type="dxa"/>
          </w:tcPr>
          <w:p w14:paraId="7AB18524" w14:textId="77777777" w:rsidR="00D65BFA" w:rsidRPr="00766DB6" w:rsidRDefault="00D65BFA" w:rsidP="000C39ED">
            <w:pPr>
              <w:pStyle w:val="Tabletext"/>
              <w:rPr>
                <w:lang w:val="es-ES"/>
              </w:rPr>
            </w:pPr>
            <w:r w:rsidRPr="00766DB6">
              <w:rPr>
                <w:lang w:val="es-ES"/>
              </w:rPr>
              <w:t>Plan Financiero</w:t>
            </w:r>
          </w:p>
        </w:tc>
        <w:tc>
          <w:tcPr>
            <w:tcW w:w="6850" w:type="dxa"/>
          </w:tcPr>
          <w:p w14:paraId="074DA3B4" w14:textId="77777777" w:rsidR="00D65BFA" w:rsidRPr="00766DB6" w:rsidRDefault="00D65BFA" w:rsidP="000C39ED">
            <w:pPr>
              <w:pStyle w:val="Tabletext"/>
              <w:rPr>
                <w:lang w:val="es-ES"/>
              </w:rPr>
            </w:pPr>
            <w:r w:rsidRPr="00766DB6">
              <w:rPr>
                <w:lang w:val="es-ES"/>
              </w:rPr>
              <w:t>El Plan Financiero abarca un periodo de cuatro años y establece las bases financieras a partir de las cuales se elaboran los presupuestos bienales.</w:t>
            </w:r>
          </w:p>
          <w:p w14:paraId="488DD9FA" w14:textId="77777777" w:rsidR="00D65BFA" w:rsidRPr="00766DB6" w:rsidRDefault="00D65BFA" w:rsidP="000C39ED">
            <w:pPr>
              <w:pStyle w:val="Tabletext"/>
              <w:rPr>
                <w:lang w:val="es-ES"/>
              </w:rPr>
            </w:pPr>
            <w:r w:rsidRPr="00766DB6">
              <w:rPr>
                <w:lang w:val="es-ES"/>
              </w:rPr>
              <w:t>El Plan Financiero se elabora en el contexto de la Decisión 5 (Ingresos y gastos de la Unión) donde se indica, entre otras cosas, el importe de la unidad contributiva aprobada por la Conferencia de Plenipotenciarios. Está vinculado al Plan Estratégico, de acuerdo con lo dispuesto en la Resolución 71, mediante la atribución de recursos financieros a los objetivos estratégicos de la Unión.</w:t>
            </w:r>
          </w:p>
        </w:tc>
      </w:tr>
      <w:tr w:rsidR="00D65BFA" w:rsidRPr="00766DB6" w14:paraId="42AA9C3C" w14:textId="77777777" w:rsidTr="000C39ED">
        <w:trPr>
          <w:jc w:val="center"/>
        </w:trPr>
        <w:tc>
          <w:tcPr>
            <w:tcW w:w="2788" w:type="dxa"/>
          </w:tcPr>
          <w:p w14:paraId="0ACAC29D" w14:textId="77777777" w:rsidR="00D65BFA" w:rsidRPr="00766DB6" w:rsidRDefault="00D65BFA" w:rsidP="000C39ED">
            <w:pPr>
              <w:pStyle w:val="Tabletext"/>
              <w:rPr>
                <w:lang w:val="es-ES"/>
              </w:rPr>
            </w:pPr>
            <w:r w:rsidRPr="00766DB6">
              <w:rPr>
                <w:lang w:val="es-ES"/>
              </w:rPr>
              <w:t>Indicadores</w:t>
            </w:r>
          </w:p>
        </w:tc>
        <w:tc>
          <w:tcPr>
            <w:tcW w:w="6850" w:type="dxa"/>
          </w:tcPr>
          <w:p w14:paraId="1F98C42C" w14:textId="77777777" w:rsidR="00D65BFA" w:rsidRPr="00766DB6" w:rsidRDefault="00D65BFA" w:rsidP="000C39ED">
            <w:pPr>
              <w:pStyle w:val="Tabletext"/>
              <w:rPr>
                <w:lang w:val="es-ES"/>
              </w:rPr>
            </w:pPr>
            <w:r w:rsidRPr="00766DB6">
              <w:rPr>
                <w:lang w:val="es-ES"/>
              </w:rPr>
              <w:t>Los indicadores son los criterios utilizados para medir el grado en el cual se han obtenido las realizaciones y finalidades del marco de resultados.</w:t>
            </w:r>
          </w:p>
        </w:tc>
      </w:tr>
      <w:tr w:rsidR="00D65BFA" w:rsidRPr="00766DB6" w14:paraId="5FD036C4" w14:textId="77777777" w:rsidTr="000C39ED">
        <w:trPr>
          <w:jc w:val="center"/>
        </w:trPr>
        <w:tc>
          <w:tcPr>
            <w:tcW w:w="2788" w:type="dxa"/>
          </w:tcPr>
          <w:p w14:paraId="263871E1" w14:textId="77777777" w:rsidR="00D65BFA" w:rsidRPr="00766DB6" w:rsidRDefault="00D65BFA" w:rsidP="000C39ED">
            <w:pPr>
              <w:pStyle w:val="Tabletext"/>
              <w:rPr>
                <w:lang w:val="es-ES"/>
              </w:rPr>
            </w:pPr>
            <w:r w:rsidRPr="00766DB6">
              <w:rPr>
                <w:lang w:val="es-ES"/>
              </w:rPr>
              <w:t>Insumos</w:t>
            </w:r>
          </w:p>
        </w:tc>
        <w:tc>
          <w:tcPr>
            <w:tcW w:w="6850" w:type="dxa"/>
          </w:tcPr>
          <w:p w14:paraId="5E759489" w14:textId="77777777" w:rsidR="00D65BFA" w:rsidRPr="00766DB6" w:rsidRDefault="00D65BFA" w:rsidP="000C39ED">
            <w:pPr>
              <w:pStyle w:val="Tabletext"/>
              <w:rPr>
                <w:lang w:val="es-ES"/>
              </w:rPr>
            </w:pPr>
            <w:r w:rsidRPr="00766DB6">
              <w:rPr>
                <w:lang w:val="es-ES"/>
              </w:rPr>
              <w:t>Los insumos son recursos, por ejemplo, financieros, humanos, materiales y tecnológicos, utilizados por actividades para elaborar productos.</w:t>
            </w:r>
          </w:p>
        </w:tc>
      </w:tr>
      <w:tr w:rsidR="00D65BFA" w:rsidRPr="00766DB6" w14:paraId="15779615" w14:textId="77777777" w:rsidTr="000C39ED">
        <w:trPr>
          <w:jc w:val="center"/>
        </w:trPr>
        <w:tc>
          <w:tcPr>
            <w:tcW w:w="2788" w:type="dxa"/>
          </w:tcPr>
          <w:p w14:paraId="51D1E5BA" w14:textId="77777777" w:rsidR="00D65BFA" w:rsidRPr="00766DB6" w:rsidRDefault="00D65BFA" w:rsidP="000C39ED">
            <w:pPr>
              <w:pStyle w:val="Tabletext"/>
              <w:rPr>
                <w:lang w:val="es-ES"/>
              </w:rPr>
            </w:pPr>
            <w:r w:rsidRPr="00766DB6">
              <w:rPr>
                <w:lang w:val="es-ES"/>
              </w:rPr>
              <w:t>Misión</w:t>
            </w:r>
          </w:p>
        </w:tc>
        <w:tc>
          <w:tcPr>
            <w:tcW w:w="6850" w:type="dxa"/>
          </w:tcPr>
          <w:p w14:paraId="7C66F951" w14:textId="77777777" w:rsidR="00D65BFA" w:rsidRPr="00766DB6" w:rsidRDefault="00D65BFA" w:rsidP="000C39ED">
            <w:pPr>
              <w:pStyle w:val="Tabletext"/>
              <w:rPr>
                <w:lang w:val="es-ES"/>
              </w:rPr>
            </w:pPr>
            <w:r w:rsidRPr="00766DB6">
              <w:rPr>
                <w:lang w:val="es-ES"/>
              </w:rPr>
              <w:t>La misión se refiere a los principales fines globales de la Unión, estipulados en los textos fundamentales de la UIT.</w:t>
            </w:r>
          </w:p>
        </w:tc>
      </w:tr>
      <w:tr w:rsidR="00D65BFA" w:rsidRPr="00766DB6" w14:paraId="0797C1BF" w14:textId="77777777" w:rsidTr="000C39ED">
        <w:trPr>
          <w:jc w:val="center"/>
        </w:trPr>
        <w:tc>
          <w:tcPr>
            <w:tcW w:w="2788" w:type="dxa"/>
          </w:tcPr>
          <w:p w14:paraId="27C56EA2" w14:textId="77777777" w:rsidR="00D65BFA" w:rsidRPr="00766DB6" w:rsidRDefault="00D65BFA" w:rsidP="000C39ED">
            <w:pPr>
              <w:pStyle w:val="Tabletext"/>
              <w:rPr>
                <w:lang w:val="es-ES"/>
              </w:rPr>
            </w:pPr>
            <w:r w:rsidRPr="00766DB6">
              <w:rPr>
                <w:lang w:val="es-ES"/>
              </w:rPr>
              <w:t>Plan Operacional</w:t>
            </w:r>
          </w:p>
        </w:tc>
        <w:tc>
          <w:tcPr>
            <w:tcW w:w="6850" w:type="dxa"/>
          </w:tcPr>
          <w:p w14:paraId="5C320FDF" w14:textId="77777777" w:rsidR="00D65BFA" w:rsidRPr="00766DB6" w:rsidRDefault="00D65BFA" w:rsidP="000C39ED">
            <w:pPr>
              <w:pStyle w:val="Tabletext"/>
              <w:rPr>
                <w:lang w:val="es-ES"/>
              </w:rPr>
            </w:pPr>
            <w:r w:rsidRPr="00766DB6">
              <w:rPr>
                <w:lang w:val="es-ES"/>
              </w:rPr>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D65BFA" w:rsidRPr="00766DB6" w14:paraId="77CD7D9F" w14:textId="77777777" w:rsidTr="000C39ED">
        <w:trPr>
          <w:jc w:val="center"/>
        </w:trPr>
        <w:tc>
          <w:tcPr>
            <w:tcW w:w="2788" w:type="dxa"/>
          </w:tcPr>
          <w:p w14:paraId="63F066CB" w14:textId="77777777" w:rsidR="00D65BFA" w:rsidRPr="00766DB6" w:rsidRDefault="00D65BFA" w:rsidP="000C39ED">
            <w:pPr>
              <w:pStyle w:val="Tabletext"/>
              <w:rPr>
                <w:lang w:val="es-ES"/>
              </w:rPr>
            </w:pPr>
            <w:r w:rsidRPr="00766DB6">
              <w:rPr>
                <w:lang w:val="es-ES"/>
              </w:rPr>
              <w:t>Realizaciones</w:t>
            </w:r>
          </w:p>
        </w:tc>
        <w:tc>
          <w:tcPr>
            <w:tcW w:w="6850" w:type="dxa"/>
          </w:tcPr>
          <w:p w14:paraId="18A4729C" w14:textId="6690CEF8" w:rsidR="00D65BFA" w:rsidRPr="00766DB6" w:rsidRDefault="00D65BFA" w:rsidP="000C39ED">
            <w:pPr>
              <w:pStyle w:val="Tabletext"/>
              <w:rPr>
                <w:lang w:val="es-ES"/>
              </w:rPr>
            </w:pPr>
            <w:r w:rsidRPr="00766DB6">
              <w:rPr>
                <w:lang w:val="es-ES"/>
              </w:rPr>
              <w:t>Las realizaciones indican si se están logrando los resultados clave con arreglo a las prioridades temáticas. Habitualmente, las realizaciones están parcial, pero no totalmente, bajo el control de la organización.</w:t>
            </w:r>
          </w:p>
        </w:tc>
      </w:tr>
      <w:tr w:rsidR="00D65BFA" w:rsidRPr="00766DB6" w14:paraId="61FD10CB" w14:textId="77777777" w:rsidTr="000C39ED">
        <w:trPr>
          <w:jc w:val="center"/>
        </w:trPr>
        <w:tc>
          <w:tcPr>
            <w:tcW w:w="2788" w:type="dxa"/>
          </w:tcPr>
          <w:p w14:paraId="21592A62" w14:textId="77777777" w:rsidR="00D65BFA" w:rsidRPr="00766DB6" w:rsidRDefault="00D65BFA" w:rsidP="000C39ED">
            <w:pPr>
              <w:pStyle w:val="Tabletext"/>
              <w:rPr>
                <w:lang w:val="es-ES"/>
              </w:rPr>
            </w:pPr>
            <w:r w:rsidRPr="00766DB6">
              <w:rPr>
                <w:lang w:val="es-ES"/>
              </w:rPr>
              <w:t>Productos</w:t>
            </w:r>
          </w:p>
        </w:tc>
        <w:tc>
          <w:tcPr>
            <w:tcW w:w="6850" w:type="dxa"/>
          </w:tcPr>
          <w:p w14:paraId="74BBC18C" w14:textId="77777777" w:rsidR="00D65BFA" w:rsidRPr="00766DB6" w:rsidRDefault="00D65BFA" w:rsidP="000C39ED">
            <w:pPr>
              <w:pStyle w:val="Tabletext"/>
              <w:rPr>
                <w:lang w:val="es-ES"/>
              </w:rPr>
            </w:pPr>
            <w:r w:rsidRPr="00766DB6">
              <w:rPr>
                <w:lang w:val="es-ES"/>
              </w:rPr>
              <w:t>Los productos son los resultados tangibles finales, los documentos, los productos y los servicios facilitados por la Unión en la aplicación de los Planes Operacionales. Los productos son objetos de costes y están representados como pedidos internos en el sistema de contabilidad de costes aplicable. Los productos se definirán y medirán en los planes operacionales de cada Sector y de la Secretaría General.</w:t>
            </w:r>
            <w:r w:rsidRPr="00766DB6">
              <w:rPr>
                <w:vertAlign w:val="superscript"/>
                <w:lang w:val="es-ES"/>
              </w:rPr>
              <w:t>1</w:t>
            </w:r>
          </w:p>
        </w:tc>
      </w:tr>
      <w:tr w:rsidR="00D65BFA" w:rsidRPr="00766DB6" w14:paraId="2CBDA407" w14:textId="77777777" w:rsidTr="000C39ED">
        <w:trPr>
          <w:jc w:val="center"/>
        </w:trPr>
        <w:tc>
          <w:tcPr>
            <w:tcW w:w="2788" w:type="dxa"/>
          </w:tcPr>
          <w:p w14:paraId="447A1C2E" w14:textId="77777777" w:rsidR="00D65BFA" w:rsidRPr="00766DB6" w:rsidRDefault="00D65BFA" w:rsidP="000C39ED">
            <w:pPr>
              <w:pStyle w:val="Tabletext"/>
              <w:rPr>
                <w:lang w:val="es-ES"/>
              </w:rPr>
            </w:pPr>
            <w:r w:rsidRPr="00766DB6">
              <w:rPr>
                <w:lang w:val="es-ES"/>
              </w:rPr>
              <w:t>Ofertas de productos y servicios</w:t>
            </w:r>
          </w:p>
        </w:tc>
        <w:tc>
          <w:tcPr>
            <w:tcW w:w="6850" w:type="dxa"/>
          </w:tcPr>
          <w:p w14:paraId="1B97E1C9" w14:textId="77777777" w:rsidR="00D65BFA" w:rsidRPr="00766DB6" w:rsidRDefault="00D65BFA" w:rsidP="000C39ED">
            <w:pPr>
              <w:pStyle w:val="Tabletext"/>
              <w:rPr>
                <w:lang w:val="es-ES"/>
              </w:rPr>
            </w:pPr>
            <w:r w:rsidRPr="00766DB6">
              <w:rPr>
                <w:lang w:val="es-ES"/>
              </w:rPr>
              <w:t>La gama de productos y servicios de la UIT que se despliegan para apoyar los trabajos de la Unión en relación con sus prioridades temáticas.</w:t>
            </w:r>
          </w:p>
        </w:tc>
      </w:tr>
      <w:tr w:rsidR="00D65BFA" w:rsidRPr="00766DB6" w14:paraId="0F5718A5" w14:textId="77777777" w:rsidTr="000C39ED">
        <w:trPr>
          <w:jc w:val="center"/>
        </w:trPr>
        <w:tc>
          <w:tcPr>
            <w:tcW w:w="2788" w:type="dxa"/>
          </w:tcPr>
          <w:p w14:paraId="024A6961" w14:textId="77777777" w:rsidR="00D65BFA" w:rsidRPr="00766DB6" w:rsidRDefault="00D65BFA" w:rsidP="000C39ED">
            <w:pPr>
              <w:pStyle w:val="Tabletext"/>
              <w:keepNext/>
              <w:keepLines/>
              <w:rPr>
                <w:lang w:val="es-ES"/>
              </w:rPr>
            </w:pPr>
            <w:r w:rsidRPr="00766DB6">
              <w:rPr>
                <w:lang w:val="es-ES"/>
              </w:rPr>
              <w:lastRenderedPageBreak/>
              <w:t>Presupuesto basado en los resultados (PBR)</w:t>
            </w:r>
          </w:p>
        </w:tc>
        <w:tc>
          <w:tcPr>
            <w:tcW w:w="6850" w:type="dxa"/>
          </w:tcPr>
          <w:p w14:paraId="7BB950A1" w14:textId="77777777" w:rsidR="00D65BFA" w:rsidRPr="00766DB6" w:rsidRDefault="00D65BFA" w:rsidP="000C39ED">
            <w:pPr>
              <w:pStyle w:val="Tabletext"/>
              <w:keepNext/>
              <w:keepLines/>
              <w:rPr>
                <w:lang w:val="es-ES"/>
              </w:rPr>
            </w:pPr>
            <w:r w:rsidRPr="00766DB6">
              <w:rPr>
                <w:lang w:val="es-ES"/>
              </w:rPr>
              <w:t>El presupuesto basado en los resultados (PBR) es el proceso de elaboración del presupuesto por programas en el que: a) la formulación de programas tiene por objeto alcanzar prioridades temáticas y realizaciones predeterminadas; b) las realizaciones justifican la necesidad de recursos con arreglo a las prioridades temáticas; y c) los indicadores de realización permiten evaluar las realizaciones realmente logradas.</w:t>
            </w:r>
          </w:p>
        </w:tc>
      </w:tr>
      <w:tr w:rsidR="00D65BFA" w:rsidRPr="00766DB6" w14:paraId="38D54C4B" w14:textId="77777777" w:rsidTr="000C39ED">
        <w:trPr>
          <w:jc w:val="center"/>
        </w:trPr>
        <w:tc>
          <w:tcPr>
            <w:tcW w:w="2788" w:type="dxa"/>
          </w:tcPr>
          <w:p w14:paraId="1B592891" w14:textId="77777777" w:rsidR="00D65BFA" w:rsidRPr="00766DB6" w:rsidRDefault="00D65BFA" w:rsidP="000C39ED">
            <w:pPr>
              <w:pStyle w:val="Tabletext"/>
              <w:rPr>
                <w:lang w:val="es-ES"/>
              </w:rPr>
            </w:pPr>
            <w:r w:rsidRPr="00766DB6">
              <w:rPr>
                <w:lang w:val="es-ES"/>
              </w:rPr>
              <w:t>Gestión basada en los resultados (GBR)</w:t>
            </w:r>
          </w:p>
        </w:tc>
        <w:tc>
          <w:tcPr>
            <w:tcW w:w="6850" w:type="dxa"/>
          </w:tcPr>
          <w:p w14:paraId="4676061C" w14:textId="77777777" w:rsidR="00D65BFA" w:rsidRPr="00766DB6" w:rsidRDefault="00D65BFA" w:rsidP="000C39ED">
            <w:pPr>
              <w:pStyle w:val="Tabletext"/>
              <w:rPr>
                <w:lang w:val="es-ES"/>
              </w:rPr>
            </w:pPr>
            <w:r w:rsidRPr="00766DB6">
              <w:rPr>
                <w:lang w:val="es-ES"/>
              </w:rPr>
              <w:t>La gestión basada en los resultados (GBR)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D65BFA" w:rsidRPr="00766DB6" w14:paraId="20DF2723" w14:textId="77777777" w:rsidTr="000C39ED">
        <w:trPr>
          <w:jc w:val="center"/>
        </w:trPr>
        <w:tc>
          <w:tcPr>
            <w:tcW w:w="2788" w:type="dxa"/>
          </w:tcPr>
          <w:p w14:paraId="69DCB734" w14:textId="77777777" w:rsidR="00D65BFA" w:rsidRPr="00766DB6" w:rsidRDefault="00D65BFA" w:rsidP="000C39ED">
            <w:pPr>
              <w:pStyle w:val="Tabletext"/>
              <w:rPr>
                <w:lang w:val="es-ES"/>
              </w:rPr>
            </w:pPr>
            <w:r w:rsidRPr="00766DB6">
              <w:rPr>
                <w:lang w:val="es-ES"/>
              </w:rPr>
              <w:t>Marco de resultados</w:t>
            </w:r>
          </w:p>
        </w:tc>
        <w:tc>
          <w:tcPr>
            <w:tcW w:w="6850" w:type="dxa"/>
          </w:tcPr>
          <w:p w14:paraId="536D3D8D" w14:textId="77777777" w:rsidR="00D65BFA" w:rsidRPr="00766DB6" w:rsidRDefault="00D65BFA" w:rsidP="000C39ED">
            <w:pPr>
              <w:pStyle w:val="Tabletext"/>
              <w:rPr>
                <w:lang w:val="es-ES"/>
              </w:rPr>
            </w:pPr>
            <w:r w:rsidRPr="00766DB6">
              <w:rPr>
                <w:lang w:val="es-ES"/>
              </w:rPr>
              <w:t>Un marco de resultados es la herramienta de gestión estratégica utilizada para planificar, controlar, evaluar e informar en el método de la GBR. Proporciona la secuencia necesaria para lograr los resultados deseados (cadena de resultados) –</w:t>
            </w:r>
            <w:r w:rsidRPr="00766DB6">
              <w:rPr>
                <w:sz w:val="18"/>
                <w:szCs w:val="18"/>
                <w:lang w:val="es-ES"/>
              </w:rPr>
              <w:t> </w:t>
            </w:r>
            <w:r w:rsidRPr="00766DB6">
              <w:rPr>
                <w:lang w:val="es-ES"/>
              </w:rPr>
              <w:t>comenzando con los insumos, pasando por las actividades y productos, agrupados en las ofertas de productos y servicios, hasta llegar a las realizaciones</w:t>
            </w:r>
            <w:r w:rsidRPr="00766DB6">
              <w:rPr>
                <w:sz w:val="18"/>
                <w:szCs w:val="18"/>
                <w:lang w:val="es-ES"/>
              </w:rPr>
              <w:t> </w:t>
            </w:r>
            <w:r w:rsidRPr="00766DB6">
              <w:rPr>
                <w:lang w:val="es-ES"/>
              </w:rPr>
              <w:t>– a escala de las prioridades temáticas, y el nivel de repercusión deseado – a nivel de las metas y finalidades estratégicas de la UIT. Explica cómo han de lograrse los resultados, incluyendo las relaciones causales y las hipótesis y riesgos subyacentes. El marco de resultados refleja la reflexión en el plano estratégico en toda la organización.</w:t>
            </w:r>
          </w:p>
        </w:tc>
      </w:tr>
      <w:tr w:rsidR="00D65BFA" w:rsidRPr="00766DB6" w14:paraId="4F1E483A" w14:textId="77777777" w:rsidTr="000C39ED">
        <w:trPr>
          <w:jc w:val="center"/>
        </w:trPr>
        <w:tc>
          <w:tcPr>
            <w:tcW w:w="2788" w:type="dxa"/>
          </w:tcPr>
          <w:p w14:paraId="2BED262F" w14:textId="77777777" w:rsidR="00D65BFA" w:rsidRPr="00766DB6" w:rsidRDefault="00D65BFA" w:rsidP="000C39ED">
            <w:pPr>
              <w:pStyle w:val="Tabletext"/>
              <w:rPr>
                <w:lang w:val="es-ES"/>
              </w:rPr>
            </w:pPr>
            <w:r w:rsidRPr="00766DB6">
              <w:rPr>
                <w:lang w:val="es-ES"/>
              </w:rPr>
              <w:t>Metas estratégicas</w:t>
            </w:r>
          </w:p>
        </w:tc>
        <w:tc>
          <w:tcPr>
            <w:tcW w:w="6850" w:type="dxa"/>
          </w:tcPr>
          <w:p w14:paraId="43DEA2F4" w14:textId="77777777" w:rsidR="00D65BFA" w:rsidRPr="00766DB6" w:rsidRDefault="00D65BFA" w:rsidP="000C39ED">
            <w:pPr>
              <w:pStyle w:val="Tabletext"/>
              <w:rPr>
                <w:lang w:val="es-ES"/>
              </w:rPr>
            </w:pPr>
            <w:r w:rsidRPr="00766DB6">
              <w:rPr>
                <w:lang w:val="es-ES"/>
              </w:rPr>
              <w:t>Las metas de alto nivel de la Unión, que le permiten cumplir su misión.</w:t>
            </w:r>
          </w:p>
        </w:tc>
      </w:tr>
      <w:tr w:rsidR="00D65BFA" w:rsidRPr="00766DB6" w14:paraId="618D5424" w14:textId="77777777" w:rsidTr="000C39ED">
        <w:trPr>
          <w:jc w:val="center"/>
        </w:trPr>
        <w:tc>
          <w:tcPr>
            <w:tcW w:w="2788" w:type="dxa"/>
          </w:tcPr>
          <w:p w14:paraId="57C5ADE3" w14:textId="77777777" w:rsidR="00D65BFA" w:rsidRPr="00766DB6" w:rsidRDefault="00D65BFA" w:rsidP="000C39ED">
            <w:pPr>
              <w:pStyle w:val="Tabletext"/>
              <w:rPr>
                <w:lang w:val="es-ES"/>
              </w:rPr>
            </w:pPr>
            <w:r w:rsidRPr="00766DB6">
              <w:rPr>
                <w:lang w:val="es-ES"/>
              </w:rPr>
              <w:t>Plan Estratégico</w:t>
            </w:r>
          </w:p>
        </w:tc>
        <w:tc>
          <w:tcPr>
            <w:tcW w:w="6850" w:type="dxa"/>
          </w:tcPr>
          <w:p w14:paraId="55ACCEFB" w14:textId="77777777" w:rsidR="00D65BFA" w:rsidRPr="00766DB6" w:rsidRDefault="00D65BFA" w:rsidP="000C39ED">
            <w:pPr>
              <w:pStyle w:val="Tabletext"/>
              <w:rPr>
                <w:lang w:val="es-ES"/>
              </w:rPr>
            </w:pPr>
            <w:r w:rsidRPr="00766DB6">
              <w:rPr>
                <w:lang w:val="es-ES"/>
              </w:rPr>
              <w:t>El Plan Estratégico define la estrategia de la Unión para un periodo cuatrienal a fin de que ésta cumpla su misión. Define metas estratégicas, prioridades temáticas, realizaciones, ofertas de productos y servicios y factores habilitadores que representan el Plan de la Unión durante el periodo en cuestión. Es el principal instrumento que encarna la visión de la Unión. El Plan Estratégico debería ejecutarse en el contexto de los límites financieros fijados por la Conferencia de Plenipotenciarios.</w:t>
            </w:r>
          </w:p>
        </w:tc>
      </w:tr>
      <w:tr w:rsidR="00D65BFA" w:rsidRPr="00766DB6" w14:paraId="1F602FFC" w14:textId="77777777" w:rsidTr="000C39ED">
        <w:trPr>
          <w:jc w:val="center"/>
        </w:trPr>
        <w:tc>
          <w:tcPr>
            <w:tcW w:w="2788" w:type="dxa"/>
          </w:tcPr>
          <w:p w14:paraId="05E1C492" w14:textId="77777777" w:rsidR="00D65BFA" w:rsidRPr="00766DB6" w:rsidRDefault="00D65BFA" w:rsidP="000C39ED">
            <w:pPr>
              <w:pStyle w:val="Tabletext"/>
              <w:rPr>
                <w:lang w:val="es-ES"/>
              </w:rPr>
            </w:pPr>
            <w:r w:rsidRPr="00766DB6">
              <w:rPr>
                <w:lang w:val="es-ES"/>
              </w:rPr>
              <w:t>Riesgos estratégicos</w:t>
            </w:r>
          </w:p>
        </w:tc>
        <w:tc>
          <w:tcPr>
            <w:tcW w:w="6850" w:type="dxa"/>
          </w:tcPr>
          <w:p w14:paraId="413EC033" w14:textId="77777777" w:rsidR="00D65BFA" w:rsidRPr="00766DB6" w:rsidRDefault="00D65BFA" w:rsidP="000C39ED">
            <w:pPr>
              <w:pStyle w:val="Tabletext"/>
              <w:rPr>
                <w:lang w:val="es-ES"/>
              </w:rPr>
            </w:pPr>
            <w:r w:rsidRPr="00766DB6">
              <w:rPr>
                <w:lang w:val="es-ES"/>
              </w:rPr>
              <w:t>Se entiende por riesgos estratégicos las incertidumbres y oportunidades desaprovechadas que afectan a la estrategia de la organización y su ejecución.</w:t>
            </w:r>
          </w:p>
        </w:tc>
      </w:tr>
      <w:tr w:rsidR="00D65BFA" w:rsidRPr="00766DB6" w14:paraId="7A05BC80" w14:textId="77777777" w:rsidTr="000C39ED">
        <w:trPr>
          <w:jc w:val="center"/>
        </w:trPr>
        <w:tc>
          <w:tcPr>
            <w:tcW w:w="2788" w:type="dxa"/>
          </w:tcPr>
          <w:p w14:paraId="481D86A7" w14:textId="77777777" w:rsidR="00D65BFA" w:rsidRPr="00766DB6" w:rsidRDefault="00D65BFA" w:rsidP="000C39ED">
            <w:pPr>
              <w:pStyle w:val="Tabletext"/>
              <w:rPr>
                <w:lang w:val="es-ES"/>
              </w:rPr>
            </w:pPr>
            <w:r w:rsidRPr="00766DB6">
              <w:rPr>
                <w:lang w:val="es-ES"/>
              </w:rPr>
              <w:t>Gestión de riesgos estratégicos (GRE)</w:t>
            </w:r>
          </w:p>
        </w:tc>
        <w:tc>
          <w:tcPr>
            <w:tcW w:w="6850" w:type="dxa"/>
          </w:tcPr>
          <w:p w14:paraId="2FC37FAC" w14:textId="77777777" w:rsidR="00D65BFA" w:rsidRPr="00766DB6" w:rsidRDefault="00D65BFA" w:rsidP="000C39ED">
            <w:pPr>
              <w:pStyle w:val="Tabletext"/>
              <w:rPr>
                <w:lang w:val="es-ES"/>
              </w:rPr>
            </w:pPr>
            <w:r w:rsidRPr="00766DB6">
              <w:rPr>
                <w:lang w:val="es-ES"/>
              </w:rPr>
              <w:t>La gestión de riesgos estratégicos (GRE) es un sistema de gestión que identifica y centra la atención en incertidumbres y oportunidades desaprovechadas que afectan a la capacidad de la organización de cumplir su misión.</w:t>
            </w:r>
          </w:p>
        </w:tc>
      </w:tr>
      <w:tr w:rsidR="00D65BFA" w:rsidRPr="00766DB6" w14:paraId="22942170" w14:textId="77777777" w:rsidTr="000C39ED">
        <w:trPr>
          <w:jc w:val="center"/>
        </w:trPr>
        <w:tc>
          <w:tcPr>
            <w:tcW w:w="2788" w:type="dxa"/>
          </w:tcPr>
          <w:p w14:paraId="491D8498" w14:textId="77777777" w:rsidR="00D65BFA" w:rsidRPr="00766DB6" w:rsidRDefault="00D65BFA" w:rsidP="000C39ED">
            <w:pPr>
              <w:pStyle w:val="Tabletext"/>
              <w:keepNext/>
              <w:keepLines/>
              <w:rPr>
                <w:lang w:val="es-ES"/>
              </w:rPr>
            </w:pPr>
            <w:r w:rsidRPr="00766DB6">
              <w:rPr>
                <w:lang w:val="es-ES"/>
              </w:rPr>
              <w:lastRenderedPageBreak/>
              <w:t>Análisis de fortalezas, debilidades, oportunidades y amenazas (SWOT)</w:t>
            </w:r>
          </w:p>
        </w:tc>
        <w:tc>
          <w:tcPr>
            <w:tcW w:w="6850" w:type="dxa"/>
          </w:tcPr>
          <w:p w14:paraId="0C748C12" w14:textId="77777777" w:rsidR="00D65BFA" w:rsidRPr="00766DB6" w:rsidRDefault="00D65BFA" w:rsidP="000C39ED">
            <w:pPr>
              <w:pStyle w:val="Tabletext"/>
              <w:keepNext/>
              <w:keepLines/>
              <w:rPr>
                <w:lang w:val="es-ES"/>
              </w:rPr>
            </w:pPr>
            <w:r w:rsidRPr="00766DB6">
              <w:rPr>
                <w:lang w:val="es-ES"/>
              </w:rPr>
              <w:t>Un estudio realizado por una organización a fin de encontrar sus fortalezas y debilidades, y los problemas y oportunidades que deberá tratar. La sigla SWOT procede de las iniciales de las palabras inglesas "</w:t>
            </w:r>
            <w:proofErr w:type="spellStart"/>
            <w:r w:rsidRPr="00766DB6">
              <w:rPr>
                <w:lang w:val="es-ES"/>
              </w:rPr>
              <w:t>strengths</w:t>
            </w:r>
            <w:proofErr w:type="spellEnd"/>
            <w:r w:rsidRPr="00766DB6">
              <w:rPr>
                <w:lang w:val="es-ES"/>
              </w:rPr>
              <w:t>", "</w:t>
            </w:r>
            <w:proofErr w:type="spellStart"/>
            <w:r w:rsidRPr="00766DB6">
              <w:rPr>
                <w:lang w:val="es-ES"/>
              </w:rPr>
              <w:t>weaknesses</w:t>
            </w:r>
            <w:proofErr w:type="spellEnd"/>
            <w:r w:rsidRPr="00766DB6">
              <w:rPr>
                <w:lang w:val="es-ES"/>
              </w:rPr>
              <w:t>", "</w:t>
            </w:r>
            <w:proofErr w:type="spellStart"/>
            <w:r w:rsidRPr="00766DB6">
              <w:rPr>
                <w:lang w:val="es-ES"/>
              </w:rPr>
              <w:t>opportunities</w:t>
            </w:r>
            <w:proofErr w:type="spellEnd"/>
            <w:r w:rsidRPr="00766DB6">
              <w:rPr>
                <w:lang w:val="es-ES"/>
              </w:rPr>
              <w:t>" y "</w:t>
            </w:r>
            <w:proofErr w:type="spellStart"/>
            <w:r w:rsidRPr="00766DB6">
              <w:rPr>
                <w:lang w:val="es-ES"/>
              </w:rPr>
              <w:t>threats</w:t>
            </w:r>
            <w:proofErr w:type="spellEnd"/>
            <w:r w:rsidRPr="00766DB6">
              <w:rPr>
                <w:lang w:val="es-ES"/>
              </w:rPr>
              <w:t>".</w:t>
            </w:r>
          </w:p>
          <w:p w14:paraId="6E2E41A3" w14:textId="77777777" w:rsidR="00D65BFA" w:rsidRPr="00766DB6" w:rsidRDefault="00D65BFA" w:rsidP="000C39ED">
            <w:pPr>
              <w:pStyle w:val="Tabletext"/>
              <w:keepNext/>
              <w:keepLines/>
              <w:rPr>
                <w:lang w:val="es-ES"/>
              </w:rPr>
            </w:pPr>
            <w:r w:rsidRPr="00766DB6">
              <w:rPr>
                <w:lang w:val="es-ES"/>
              </w:rPr>
              <w:t>Factores internos:</w:t>
            </w:r>
          </w:p>
          <w:p w14:paraId="7F9905C5" w14:textId="77777777" w:rsidR="00D65BFA" w:rsidRPr="00766DB6" w:rsidRDefault="00D65BFA" w:rsidP="000C39ED">
            <w:pPr>
              <w:pStyle w:val="Tabletext"/>
              <w:keepNext/>
              <w:keepLines/>
              <w:tabs>
                <w:tab w:val="left" w:pos="397"/>
              </w:tabs>
              <w:ind w:left="397" w:hanging="397"/>
              <w:rPr>
                <w:lang w:val="es-ES"/>
              </w:rPr>
            </w:pPr>
            <w:r w:rsidRPr="00766DB6">
              <w:rPr>
                <w:lang w:val="es-ES"/>
              </w:rPr>
              <w:t>–</w:t>
            </w:r>
            <w:r w:rsidRPr="00766DB6">
              <w:rPr>
                <w:lang w:val="es-ES"/>
              </w:rPr>
              <w:tab/>
            </w:r>
            <w:r w:rsidRPr="00766DB6">
              <w:rPr>
                <w:i/>
                <w:iCs/>
                <w:lang w:val="es-ES"/>
              </w:rPr>
              <w:t>Fortalezas</w:t>
            </w:r>
            <w:r w:rsidRPr="00766DB6">
              <w:rPr>
                <w:lang w:val="es-ES"/>
              </w:rPr>
              <w:t xml:space="preserve"> son las capacidades que permiten a la organización obtener buenos resultados – capacidades que han de aprovecharse.</w:t>
            </w:r>
          </w:p>
          <w:p w14:paraId="2C7F44A3" w14:textId="77777777" w:rsidR="00D65BFA" w:rsidRPr="00766DB6" w:rsidRDefault="00D65BFA" w:rsidP="000C39ED">
            <w:pPr>
              <w:pStyle w:val="Tabletext"/>
              <w:keepNext/>
              <w:keepLines/>
              <w:tabs>
                <w:tab w:val="left" w:pos="397"/>
              </w:tabs>
              <w:ind w:left="397" w:hanging="397"/>
              <w:rPr>
                <w:lang w:val="es-ES"/>
              </w:rPr>
            </w:pPr>
            <w:r w:rsidRPr="00766DB6">
              <w:rPr>
                <w:lang w:val="es-ES"/>
              </w:rPr>
              <w:t>–</w:t>
            </w:r>
            <w:r w:rsidRPr="00766DB6">
              <w:rPr>
                <w:lang w:val="es-ES"/>
              </w:rPr>
              <w:tab/>
            </w:r>
            <w:r w:rsidRPr="00766DB6">
              <w:rPr>
                <w:i/>
                <w:iCs/>
                <w:lang w:val="es-ES"/>
              </w:rPr>
              <w:t>Debilidades</w:t>
            </w:r>
            <w:r w:rsidRPr="00766DB6">
              <w:rPr>
                <w:lang w:val="es-ES"/>
              </w:rPr>
              <w:t xml:space="preserve"> son características que afectan al buen funcionamiento de la organización y que han de resolverse.</w:t>
            </w:r>
          </w:p>
          <w:p w14:paraId="2978F49D" w14:textId="77777777" w:rsidR="00D65BFA" w:rsidRPr="00766DB6" w:rsidRDefault="00D65BFA" w:rsidP="000C39ED">
            <w:pPr>
              <w:pStyle w:val="Tabletext"/>
              <w:keepNext/>
              <w:keepLines/>
              <w:rPr>
                <w:lang w:val="es-ES"/>
              </w:rPr>
            </w:pPr>
            <w:r w:rsidRPr="00766DB6">
              <w:rPr>
                <w:lang w:val="es-ES"/>
              </w:rPr>
              <w:t>Factores externos:</w:t>
            </w:r>
          </w:p>
          <w:p w14:paraId="204CE4E2" w14:textId="77777777" w:rsidR="00D65BFA" w:rsidRPr="00766DB6" w:rsidRDefault="00D65BFA" w:rsidP="000C39ED">
            <w:pPr>
              <w:pStyle w:val="Tabletext"/>
              <w:keepNext/>
              <w:keepLines/>
              <w:tabs>
                <w:tab w:val="left" w:pos="397"/>
              </w:tabs>
              <w:ind w:left="397" w:hanging="397"/>
              <w:rPr>
                <w:i/>
                <w:iCs/>
                <w:lang w:val="es-ES"/>
              </w:rPr>
            </w:pPr>
            <w:r w:rsidRPr="00766DB6">
              <w:rPr>
                <w:lang w:val="es-ES"/>
              </w:rPr>
              <w:t>–</w:t>
            </w:r>
            <w:r w:rsidRPr="00766DB6">
              <w:rPr>
                <w:lang w:val="es-ES"/>
              </w:rPr>
              <w:tab/>
            </w:r>
            <w:r w:rsidRPr="00766DB6">
              <w:rPr>
                <w:i/>
                <w:iCs/>
                <w:lang w:val="es-ES"/>
              </w:rPr>
              <w:t>Oportunidades son tendencias, fuerzas, eventos e ideas que la organización puede aprovechar.</w:t>
            </w:r>
          </w:p>
          <w:p w14:paraId="40F56E45" w14:textId="77777777" w:rsidR="00D65BFA" w:rsidRPr="00766DB6" w:rsidRDefault="00D65BFA" w:rsidP="000C39ED">
            <w:pPr>
              <w:pStyle w:val="Tabletext"/>
              <w:keepNext/>
              <w:keepLines/>
              <w:tabs>
                <w:tab w:val="left" w:pos="397"/>
              </w:tabs>
              <w:ind w:left="397" w:hanging="397"/>
              <w:rPr>
                <w:lang w:val="es-ES"/>
              </w:rPr>
            </w:pPr>
            <w:r w:rsidRPr="00766DB6">
              <w:rPr>
                <w:i/>
                <w:iCs/>
                <w:lang w:val="es-ES"/>
              </w:rPr>
              <w:t>–</w:t>
            </w:r>
            <w:r w:rsidRPr="00766DB6">
              <w:rPr>
                <w:i/>
                <w:iCs/>
                <w:lang w:val="es-ES"/>
              </w:rPr>
              <w:tab/>
              <w:t>Amenazas so</w:t>
            </w:r>
            <w:r w:rsidRPr="00766DB6">
              <w:rPr>
                <w:lang w:val="es-ES"/>
              </w:rPr>
              <w:t>n posibles eventos o fuerzas que escapan al control de la organización y que la organización tiene que mitigar.</w:t>
            </w:r>
          </w:p>
        </w:tc>
      </w:tr>
      <w:tr w:rsidR="00D65BFA" w:rsidRPr="00766DB6" w14:paraId="41EC5F54" w14:textId="77777777" w:rsidTr="000C39ED">
        <w:trPr>
          <w:jc w:val="center"/>
        </w:trPr>
        <w:tc>
          <w:tcPr>
            <w:tcW w:w="2788" w:type="dxa"/>
          </w:tcPr>
          <w:p w14:paraId="27D38D65" w14:textId="77777777" w:rsidR="00D65BFA" w:rsidRPr="00766DB6" w:rsidRDefault="00D65BFA" w:rsidP="000C39ED">
            <w:pPr>
              <w:pStyle w:val="Tabletext"/>
              <w:keepNext/>
              <w:keepLines/>
              <w:rPr>
                <w:lang w:val="es-ES"/>
              </w:rPr>
            </w:pPr>
            <w:r w:rsidRPr="00766DB6">
              <w:rPr>
                <w:lang w:val="es-ES"/>
              </w:rPr>
              <w:t>Finalidades e indicadores de finalidad</w:t>
            </w:r>
          </w:p>
        </w:tc>
        <w:tc>
          <w:tcPr>
            <w:tcW w:w="6850" w:type="dxa"/>
          </w:tcPr>
          <w:p w14:paraId="79E42F02" w14:textId="77777777" w:rsidR="00D65BFA" w:rsidRPr="00766DB6" w:rsidRDefault="00D65BFA" w:rsidP="000C39ED">
            <w:pPr>
              <w:pStyle w:val="Tabletext"/>
              <w:keepNext/>
              <w:keepLines/>
              <w:rPr>
                <w:lang w:val="es-ES"/>
              </w:rPr>
            </w:pPr>
            <w:r w:rsidRPr="00766DB6">
              <w:rPr>
                <w:lang w:val="es-ES"/>
              </w:rPr>
              <w:t>Las finalidades son los resultados deseados que la Unión se propone alcanzar para cumplir sus metas estratégicas. Los indicadores de finalidad proporcionan una indicación de si se está alcanzando la meta durante el periodo del Plan Estratégico. Las finalidades no siempre pueden alcanzarse por motivos que pueden escapar al control de la Unión.</w:t>
            </w:r>
          </w:p>
        </w:tc>
      </w:tr>
      <w:tr w:rsidR="00D65BFA" w:rsidRPr="00766DB6" w14:paraId="57CAF384" w14:textId="77777777" w:rsidTr="000C39ED">
        <w:trPr>
          <w:jc w:val="center"/>
        </w:trPr>
        <w:tc>
          <w:tcPr>
            <w:tcW w:w="2788" w:type="dxa"/>
          </w:tcPr>
          <w:p w14:paraId="2412003F" w14:textId="77777777" w:rsidR="00D65BFA" w:rsidRPr="00766DB6" w:rsidRDefault="00D65BFA" w:rsidP="000C39ED">
            <w:pPr>
              <w:pStyle w:val="Tabletext"/>
              <w:rPr>
                <w:lang w:val="es-ES"/>
              </w:rPr>
            </w:pPr>
            <w:r w:rsidRPr="00766DB6">
              <w:rPr>
                <w:lang w:val="es-ES"/>
              </w:rPr>
              <w:t>Prioridades temáticas</w:t>
            </w:r>
          </w:p>
        </w:tc>
        <w:tc>
          <w:tcPr>
            <w:tcW w:w="6850" w:type="dxa"/>
          </w:tcPr>
          <w:p w14:paraId="61A0257C" w14:textId="77777777" w:rsidR="00D65BFA" w:rsidRPr="00766DB6" w:rsidRDefault="00D65BFA" w:rsidP="000C39ED">
            <w:pPr>
              <w:pStyle w:val="Tabletext"/>
              <w:rPr>
                <w:lang w:val="es-ES"/>
              </w:rPr>
            </w:pPr>
            <w:r w:rsidRPr="00766DB6">
              <w:rPr>
                <w:lang w:val="es-ES"/>
              </w:rPr>
              <w:t>Áreas de trabajo en las que se centra la Unión, en las que se lograrán las realizaciones para alcanzar las metas estratégicas.</w:t>
            </w:r>
          </w:p>
        </w:tc>
      </w:tr>
      <w:tr w:rsidR="00D65BFA" w:rsidRPr="00766DB6" w14:paraId="18400829" w14:textId="77777777" w:rsidTr="000C39ED">
        <w:trPr>
          <w:jc w:val="center"/>
        </w:trPr>
        <w:tc>
          <w:tcPr>
            <w:tcW w:w="2788" w:type="dxa"/>
          </w:tcPr>
          <w:p w14:paraId="1FECF741" w14:textId="77777777" w:rsidR="00D65BFA" w:rsidRPr="00766DB6" w:rsidRDefault="00D65BFA" w:rsidP="000C39ED">
            <w:pPr>
              <w:pStyle w:val="Tabletext"/>
              <w:rPr>
                <w:lang w:val="es-ES"/>
              </w:rPr>
            </w:pPr>
            <w:r w:rsidRPr="00766DB6">
              <w:rPr>
                <w:lang w:val="es-ES"/>
              </w:rPr>
              <w:t>Valores</w:t>
            </w:r>
          </w:p>
        </w:tc>
        <w:tc>
          <w:tcPr>
            <w:tcW w:w="6850" w:type="dxa"/>
          </w:tcPr>
          <w:p w14:paraId="60D64C75" w14:textId="77777777" w:rsidR="00D65BFA" w:rsidRPr="00766DB6" w:rsidRDefault="00D65BFA" w:rsidP="000C39ED">
            <w:pPr>
              <w:pStyle w:val="Tabletext"/>
              <w:rPr>
                <w:lang w:val="es-ES"/>
              </w:rPr>
            </w:pPr>
            <w:r w:rsidRPr="00766DB6">
              <w:rPr>
                <w:lang w:val="es-ES"/>
              </w:rPr>
              <w:t>Principios compartidos y comunes de la UIT que definen sus prioridades y orientan todos los procesos de adopción de decisiones.</w:t>
            </w:r>
          </w:p>
        </w:tc>
      </w:tr>
      <w:tr w:rsidR="00D65BFA" w:rsidRPr="00766DB6" w14:paraId="40B6FDE2" w14:textId="77777777" w:rsidTr="000C39ED">
        <w:trPr>
          <w:jc w:val="center"/>
        </w:trPr>
        <w:tc>
          <w:tcPr>
            <w:tcW w:w="2788" w:type="dxa"/>
          </w:tcPr>
          <w:p w14:paraId="6B85D6B2" w14:textId="77777777" w:rsidR="00D65BFA" w:rsidRPr="00766DB6" w:rsidRDefault="00D65BFA" w:rsidP="000C39ED">
            <w:pPr>
              <w:pStyle w:val="Tabletext"/>
              <w:rPr>
                <w:lang w:val="es-ES"/>
              </w:rPr>
            </w:pPr>
            <w:r w:rsidRPr="00766DB6">
              <w:rPr>
                <w:lang w:val="es-ES"/>
              </w:rPr>
              <w:t>Visión</w:t>
            </w:r>
          </w:p>
        </w:tc>
        <w:tc>
          <w:tcPr>
            <w:tcW w:w="6850" w:type="dxa"/>
          </w:tcPr>
          <w:p w14:paraId="088A67A6" w14:textId="77777777" w:rsidR="00D65BFA" w:rsidRPr="00766DB6" w:rsidRDefault="00D65BFA" w:rsidP="000C39ED">
            <w:pPr>
              <w:pStyle w:val="Tabletext"/>
              <w:rPr>
                <w:lang w:val="es-ES"/>
              </w:rPr>
            </w:pPr>
            <w:r w:rsidRPr="00766DB6">
              <w:rPr>
                <w:lang w:val="es-ES"/>
              </w:rPr>
              <w:t>El mundo mejor que desea la UIT.</w:t>
            </w:r>
          </w:p>
        </w:tc>
      </w:tr>
    </w:tbl>
    <w:p w14:paraId="5B8069B7" w14:textId="77777777" w:rsidR="00D65BFA" w:rsidRPr="00766DB6" w:rsidRDefault="00D65BFA" w:rsidP="00D65BFA">
      <w:pPr>
        <w:pStyle w:val="Annexref"/>
        <w:jc w:val="left"/>
        <w:rPr>
          <w:lang w:val="es-ES"/>
        </w:rPr>
      </w:pPr>
    </w:p>
    <w:p w14:paraId="1A279D47" w14:textId="21552BDC" w:rsidR="00D65BFA" w:rsidRPr="00766DB6" w:rsidRDefault="00D65BFA" w:rsidP="00D65BFA">
      <w:pPr>
        <w:pStyle w:val="Annexref"/>
        <w:jc w:val="left"/>
        <w:rPr>
          <w:lang w:val="es-ES"/>
        </w:rPr>
      </w:pPr>
      <w:r w:rsidRPr="00766DB6">
        <w:rPr>
          <w:lang w:val="es-ES"/>
        </w:rPr>
        <w:br w:type="page"/>
      </w:r>
    </w:p>
    <w:p w14:paraId="1F5199CE" w14:textId="6597CD17" w:rsidR="00D65BFA" w:rsidRPr="00766DB6" w:rsidRDefault="00D65BFA" w:rsidP="00D65BFA">
      <w:pPr>
        <w:pStyle w:val="Tabletitle"/>
        <w:rPr>
          <w:lang w:val="es-ES"/>
        </w:rPr>
      </w:pPr>
      <w:r w:rsidRPr="00766DB6">
        <w:rPr>
          <w:lang w:val="es-ES"/>
        </w:rPr>
        <w:lastRenderedPageBreak/>
        <w:t>Lista de términos en los 6 idiomas oficiales de la Unión</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D65BFA" w:rsidRPr="00766DB6" w14:paraId="0494527E" w14:textId="77777777" w:rsidTr="000C39ED">
        <w:trPr>
          <w:trHeight w:val="406"/>
          <w:tblHeader/>
        </w:trPr>
        <w:tc>
          <w:tcPr>
            <w:tcW w:w="1696" w:type="dxa"/>
            <w:shd w:val="clear" w:color="auto" w:fill="B8CCE4"/>
            <w:vAlign w:val="center"/>
          </w:tcPr>
          <w:p w14:paraId="42910721" w14:textId="77777777" w:rsidR="00D65BFA" w:rsidRPr="00766DB6" w:rsidRDefault="00D65BFA" w:rsidP="000C39ED">
            <w:pPr>
              <w:spacing w:before="80" w:after="80"/>
              <w:jc w:val="center"/>
              <w:rPr>
                <w:b/>
                <w:bCs/>
                <w:sz w:val="20"/>
                <w:lang w:val="es-ES" w:bidi="ar-EG"/>
              </w:rPr>
            </w:pPr>
            <w:r w:rsidRPr="00766DB6">
              <w:rPr>
                <w:b/>
                <w:bCs/>
                <w:sz w:val="20"/>
                <w:lang w:val="es-ES" w:bidi="ar-EG"/>
              </w:rPr>
              <w:t>Inglés</w:t>
            </w:r>
          </w:p>
        </w:tc>
        <w:tc>
          <w:tcPr>
            <w:tcW w:w="1031" w:type="dxa"/>
            <w:shd w:val="clear" w:color="auto" w:fill="B8CCE4"/>
            <w:vAlign w:val="center"/>
          </w:tcPr>
          <w:p w14:paraId="50CB62AA" w14:textId="77777777" w:rsidR="00D65BFA" w:rsidRPr="00766DB6" w:rsidRDefault="00D65BFA" w:rsidP="000C39ED">
            <w:pPr>
              <w:spacing w:before="80" w:after="80"/>
              <w:jc w:val="center"/>
              <w:rPr>
                <w:b/>
                <w:bCs/>
                <w:sz w:val="20"/>
                <w:lang w:val="es-ES" w:bidi="ar-EG"/>
              </w:rPr>
            </w:pPr>
            <w:r w:rsidRPr="00766DB6">
              <w:rPr>
                <w:b/>
                <w:bCs/>
                <w:sz w:val="20"/>
                <w:lang w:val="es-ES" w:bidi="ar-EG"/>
              </w:rPr>
              <w:t>Árabe</w:t>
            </w:r>
          </w:p>
        </w:tc>
        <w:tc>
          <w:tcPr>
            <w:tcW w:w="1917" w:type="dxa"/>
            <w:shd w:val="clear" w:color="auto" w:fill="B8CCE4"/>
            <w:vAlign w:val="center"/>
          </w:tcPr>
          <w:p w14:paraId="25950042" w14:textId="77777777" w:rsidR="00D65BFA" w:rsidRPr="00766DB6" w:rsidRDefault="00D65BFA" w:rsidP="000C39ED">
            <w:pPr>
              <w:spacing w:before="80" w:after="80"/>
              <w:jc w:val="center"/>
              <w:rPr>
                <w:b/>
                <w:bCs/>
                <w:sz w:val="20"/>
                <w:lang w:val="es-ES" w:bidi="ar-EG"/>
              </w:rPr>
            </w:pPr>
            <w:r w:rsidRPr="00766DB6">
              <w:rPr>
                <w:b/>
                <w:bCs/>
                <w:sz w:val="20"/>
                <w:lang w:val="es-ES" w:bidi="ar-EG"/>
              </w:rPr>
              <w:t>Chino</w:t>
            </w:r>
          </w:p>
        </w:tc>
        <w:tc>
          <w:tcPr>
            <w:tcW w:w="1492" w:type="dxa"/>
            <w:shd w:val="clear" w:color="auto" w:fill="B8CCE4"/>
            <w:vAlign w:val="center"/>
          </w:tcPr>
          <w:p w14:paraId="6037980D" w14:textId="77777777" w:rsidR="00D65BFA" w:rsidRPr="00766DB6" w:rsidRDefault="00D65BFA" w:rsidP="000C39ED">
            <w:pPr>
              <w:spacing w:before="80" w:after="80"/>
              <w:jc w:val="center"/>
              <w:rPr>
                <w:b/>
                <w:bCs/>
                <w:sz w:val="20"/>
                <w:lang w:val="es-ES" w:bidi="ar-EG"/>
              </w:rPr>
            </w:pPr>
            <w:r w:rsidRPr="00766DB6">
              <w:rPr>
                <w:b/>
                <w:bCs/>
                <w:sz w:val="20"/>
                <w:lang w:val="es-ES" w:bidi="ar-EG"/>
              </w:rPr>
              <w:t>Francés</w:t>
            </w:r>
          </w:p>
        </w:tc>
        <w:tc>
          <w:tcPr>
            <w:tcW w:w="1984" w:type="dxa"/>
            <w:shd w:val="clear" w:color="auto" w:fill="B8CCE4"/>
            <w:vAlign w:val="center"/>
          </w:tcPr>
          <w:p w14:paraId="4FD10DC7" w14:textId="77777777" w:rsidR="00D65BFA" w:rsidRPr="00766DB6" w:rsidRDefault="00D65BFA" w:rsidP="000C39ED">
            <w:pPr>
              <w:spacing w:before="80" w:after="80"/>
              <w:jc w:val="center"/>
              <w:rPr>
                <w:b/>
                <w:bCs/>
                <w:sz w:val="20"/>
                <w:lang w:val="es-ES" w:bidi="ar-EG"/>
              </w:rPr>
            </w:pPr>
            <w:r w:rsidRPr="00766DB6">
              <w:rPr>
                <w:b/>
                <w:bCs/>
                <w:sz w:val="20"/>
                <w:lang w:val="es-ES" w:bidi="ar-EG"/>
              </w:rPr>
              <w:t>Ruso</w:t>
            </w:r>
          </w:p>
        </w:tc>
        <w:tc>
          <w:tcPr>
            <w:tcW w:w="1702" w:type="dxa"/>
            <w:shd w:val="clear" w:color="auto" w:fill="B8CCE4"/>
            <w:vAlign w:val="center"/>
          </w:tcPr>
          <w:p w14:paraId="220A6A14" w14:textId="77777777" w:rsidR="00D65BFA" w:rsidRPr="00766DB6" w:rsidRDefault="00D65BFA" w:rsidP="000C39ED">
            <w:pPr>
              <w:spacing w:before="80" w:after="80"/>
              <w:jc w:val="center"/>
              <w:rPr>
                <w:b/>
                <w:bCs/>
                <w:sz w:val="20"/>
                <w:lang w:val="es-ES" w:bidi="ar-EG"/>
              </w:rPr>
            </w:pPr>
            <w:r w:rsidRPr="00766DB6">
              <w:rPr>
                <w:b/>
                <w:bCs/>
                <w:sz w:val="20"/>
                <w:lang w:val="es-ES" w:bidi="ar-EG"/>
              </w:rPr>
              <w:t>Español</w:t>
            </w:r>
          </w:p>
        </w:tc>
      </w:tr>
      <w:tr w:rsidR="00D65BFA" w:rsidRPr="00766DB6" w14:paraId="2DFA9DAB" w14:textId="77777777" w:rsidTr="000C39ED">
        <w:trPr>
          <w:trHeight w:val="284"/>
        </w:trPr>
        <w:tc>
          <w:tcPr>
            <w:tcW w:w="1696" w:type="dxa"/>
            <w:shd w:val="clear" w:color="auto" w:fill="auto"/>
          </w:tcPr>
          <w:p w14:paraId="492D5B5A"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Activities</w:t>
            </w:r>
            <w:proofErr w:type="spellEnd"/>
          </w:p>
        </w:tc>
        <w:tc>
          <w:tcPr>
            <w:tcW w:w="1031" w:type="dxa"/>
            <w:shd w:val="clear" w:color="auto" w:fill="auto"/>
          </w:tcPr>
          <w:p w14:paraId="6C1672A5" w14:textId="77777777" w:rsidR="00D65BFA" w:rsidRPr="00766DB6" w:rsidRDefault="00D65BFA" w:rsidP="000C39ED">
            <w:pPr>
              <w:bidi/>
              <w:spacing w:before="20" w:after="20" w:line="280" w:lineRule="exact"/>
              <w:rPr>
                <w:rFonts w:cs="Traditional Arabic"/>
                <w:sz w:val="20"/>
                <w:rtl/>
                <w:lang w:val="es-ES" w:bidi="ar-EG"/>
              </w:rPr>
            </w:pPr>
            <w:r w:rsidRPr="00766DB6">
              <w:rPr>
                <w:rFonts w:cs="Traditional Arabic"/>
                <w:sz w:val="20"/>
                <w:rtl/>
                <w:lang w:val="es-ES" w:bidi="ar-EG"/>
              </w:rPr>
              <w:t>الأنشطة</w:t>
            </w:r>
          </w:p>
        </w:tc>
        <w:tc>
          <w:tcPr>
            <w:tcW w:w="1917" w:type="dxa"/>
            <w:shd w:val="clear" w:color="auto" w:fill="auto"/>
          </w:tcPr>
          <w:p w14:paraId="343913CF"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活动</w:t>
            </w:r>
            <w:proofErr w:type="spellEnd"/>
          </w:p>
        </w:tc>
        <w:tc>
          <w:tcPr>
            <w:tcW w:w="1492" w:type="dxa"/>
            <w:shd w:val="clear" w:color="auto" w:fill="auto"/>
          </w:tcPr>
          <w:p w14:paraId="0CB9CD62"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Activités</w:t>
            </w:r>
            <w:proofErr w:type="spellEnd"/>
          </w:p>
        </w:tc>
        <w:tc>
          <w:tcPr>
            <w:tcW w:w="1984" w:type="dxa"/>
            <w:shd w:val="clear" w:color="auto" w:fill="auto"/>
          </w:tcPr>
          <w:p w14:paraId="4F08F2A1"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Виды</w:t>
            </w:r>
            <w:proofErr w:type="spellEnd"/>
            <w:r w:rsidRPr="00766DB6">
              <w:rPr>
                <w:rFonts w:cs="Calibri"/>
                <w:sz w:val="20"/>
                <w:lang w:val="es-ES" w:bidi="ar-EG"/>
              </w:rPr>
              <w:t xml:space="preserve"> </w:t>
            </w:r>
            <w:proofErr w:type="spellStart"/>
            <w:r w:rsidRPr="00766DB6">
              <w:rPr>
                <w:rFonts w:cs="Calibri"/>
                <w:sz w:val="20"/>
                <w:lang w:val="es-ES" w:bidi="ar-EG"/>
              </w:rPr>
              <w:t>деятельности</w:t>
            </w:r>
            <w:proofErr w:type="spellEnd"/>
          </w:p>
        </w:tc>
        <w:tc>
          <w:tcPr>
            <w:tcW w:w="1702" w:type="dxa"/>
            <w:shd w:val="clear" w:color="auto" w:fill="auto"/>
          </w:tcPr>
          <w:p w14:paraId="2550F603"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Actividades</w:t>
            </w:r>
          </w:p>
        </w:tc>
      </w:tr>
      <w:tr w:rsidR="00D65BFA" w:rsidRPr="00766DB6" w14:paraId="1DED43CB" w14:textId="77777777" w:rsidTr="000C39ED">
        <w:trPr>
          <w:trHeight w:val="284"/>
        </w:trPr>
        <w:tc>
          <w:tcPr>
            <w:tcW w:w="1696" w:type="dxa"/>
            <w:shd w:val="clear" w:color="auto" w:fill="auto"/>
          </w:tcPr>
          <w:p w14:paraId="027F7507" w14:textId="77777777" w:rsidR="00D65BFA" w:rsidRPr="00766DB6" w:rsidRDefault="00D65BFA" w:rsidP="000C39ED">
            <w:pPr>
              <w:spacing w:before="20" w:after="20" w:line="280" w:lineRule="exact"/>
              <w:rPr>
                <w:rFonts w:cs="Traditional Arabic"/>
                <w:bCs/>
                <w:sz w:val="20"/>
                <w:lang w:val="es-ES" w:bidi="ar-EG"/>
              </w:rPr>
            </w:pPr>
            <w:proofErr w:type="spellStart"/>
            <w:r w:rsidRPr="00766DB6">
              <w:rPr>
                <w:rFonts w:cs="Traditional Arabic"/>
                <w:bCs/>
                <w:sz w:val="20"/>
                <w:lang w:val="es-ES" w:bidi="ar-EG"/>
              </w:rPr>
              <w:t>Enablers</w:t>
            </w:r>
            <w:proofErr w:type="spellEnd"/>
          </w:p>
        </w:tc>
        <w:tc>
          <w:tcPr>
            <w:tcW w:w="1031" w:type="dxa"/>
            <w:shd w:val="clear" w:color="auto" w:fill="auto"/>
          </w:tcPr>
          <w:p w14:paraId="6EB94117" w14:textId="77777777" w:rsidR="00D65BFA" w:rsidRPr="00766DB6" w:rsidRDefault="00D65BFA" w:rsidP="000C39ED">
            <w:pPr>
              <w:bidi/>
              <w:spacing w:before="20" w:after="20" w:line="280" w:lineRule="exact"/>
              <w:rPr>
                <w:rFonts w:cs="Traditional Arabic"/>
                <w:sz w:val="20"/>
                <w:rtl/>
                <w:lang w:val="es-ES" w:bidi="ar-EG"/>
              </w:rPr>
            </w:pPr>
            <w:r w:rsidRPr="00766DB6">
              <w:rPr>
                <w:position w:val="2"/>
                <w:sz w:val="18"/>
                <w:szCs w:val="18"/>
                <w:rtl/>
                <w:lang w:val="es-ES" w:bidi="ar-EG"/>
              </w:rPr>
              <w:t>العوامل التمكينية</w:t>
            </w:r>
          </w:p>
        </w:tc>
        <w:tc>
          <w:tcPr>
            <w:tcW w:w="1917" w:type="dxa"/>
            <w:shd w:val="clear" w:color="auto" w:fill="auto"/>
          </w:tcPr>
          <w:p w14:paraId="54030E5C"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eastAsia="SimSun"/>
                <w:sz w:val="20"/>
                <w:lang w:val="es-ES"/>
              </w:rPr>
              <w:t>推动因素</w:t>
            </w:r>
            <w:proofErr w:type="spellEnd"/>
          </w:p>
        </w:tc>
        <w:tc>
          <w:tcPr>
            <w:tcW w:w="1492" w:type="dxa"/>
            <w:shd w:val="clear" w:color="auto" w:fill="auto"/>
          </w:tcPr>
          <w:p w14:paraId="144ACBB2"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Catalyseurs</w:t>
            </w:r>
            <w:proofErr w:type="spellEnd"/>
          </w:p>
        </w:tc>
        <w:tc>
          <w:tcPr>
            <w:tcW w:w="1984" w:type="dxa"/>
            <w:shd w:val="clear" w:color="auto" w:fill="auto"/>
          </w:tcPr>
          <w:p w14:paraId="14753133" w14:textId="77777777" w:rsidR="00D65BFA" w:rsidRPr="00766DB6" w:rsidRDefault="00D65BFA" w:rsidP="000C39ED">
            <w:pPr>
              <w:spacing w:before="20" w:after="20" w:line="280" w:lineRule="exact"/>
              <w:rPr>
                <w:rFonts w:cs="Calibri"/>
                <w:sz w:val="20"/>
                <w:lang w:val="es-ES" w:bidi="ar-EG"/>
              </w:rPr>
            </w:pPr>
            <w:proofErr w:type="spellStart"/>
            <w:r w:rsidRPr="00677F4E">
              <w:rPr>
                <w:rFonts w:cs="Calibri"/>
                <w:sz w:val="20"/>
                <w:lang w:val="es-ES" w:bidi="ar-EG"/>
              </w:rPr>
              <w:t>Средства</w:t>
            </w:r>
            <w:proofErr w:type="spellEnd"/>
            <w:r w:rsidRPr="00677F4E">
              <w:rPr>
                <w:rFonts w:cs="Calibri"/>
                <w:sz w:val="20"/>
                <w:lang w:val="es-ES" w:bidi="ar-EG"/>
              </w:rPr>
              <w:t xml:space="preserve"> </w:t>
            </w:r>
            <w:proofErr w:type="spellStart"/>
            <w:r w:rsidRPr="00677F4E">
              <w:rPr>
                <w:rFonts w:cs="Calibri"/>
                <w:sz w:val="20"/>
                <w:lang w:val="es-ES" w:bidi="ar-EG"/>
              </w:rPr>
              <w:t>достижения</w:t>
            </w:r>
            <w:proofErr w:type="spellEnd"/>
            <w:r w:rsidRPr="00677F4E">
              <w:rPr>
                <w:rFonts w:cs="Calibri"/>
                <w:sz w:val="20"/>
                <w:lang w:val="es-ES" w:bidi="ar-EG"/>
              </w:rPr>
              <w:t xml:space="preserve"> </w:t>
            </w:r>
            <w:proofErr w:type="spellStart"/>
            <w:r w:rsidRPr="00677F4E">
              <w:rPr>
                <w:rFonts w:cs="Calibri"/>
                <w:sz w:val="20"/>
                <w:lang w:val="es-ES" w:bidi="ar-EG"/>
              </w:rPr>
              <w:t>целей</w:t>
            </w:r>
            <w:proofErr w:type="spellEnd"/>
          </w:p>
        </w:tc>
        <w:tc>
          <w:tcPr>
            <w:tcW w:w="1702" w:type="dxa"/>
            <w:shd w:val="clear" w:color="auto" w:fill="auto"/>
          </w:tcPr>
          <w:p w14:paraId="6EED3A94" w14:textId="77777777" w:rsidR="00D65BFA" w:rsidRPr="00766DB6" w:rsidRDefault="00D65BFA" w:rsidP="000C39ED">
            <w:pPr>
              <w:spacing w:before="20" w:after="20" w:line="280" w:lineRule="exact"/>
              <w:rPr>
                <w:rFonts w:cs="Arial"/>
                <w:sz w:val="20"/>
                <w:lang w:val="es-ES" w:bidi="ar-EG"/>
              </w:rPr>
            </w:pPr>
            <w:r w:rsidRPr="00766DB6">
              <w:rPr>
                <w:sz w:val="20"/>
                <w:lang w:val="es-ES"/>
              </w:rPr>
              <w:t>Factores habilitadores</w:t>
            </w:r>
          </w:p>
        </w:tc>
      </w:tr>
      <w:tr w:rsidR="00D65BFA" w:rsidRPr="00766DB6" w14:paraId="236CE824" w14:textId="77777777" w:rsidTr="000C39ED">
        <w:trPr>
          <w:trHeight w:val="284"/>
        </w:trPr>
        <w:tc>
          <w:tcPr>
            <w:tcW w:w="1696" w:type="dxa"/>
            <w:shd w:val="clear" w:color="auto" w:fill="auto"/>
          </w:tcPr>
          <w:p w14:paraId="324E7852"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Financial</w:t>
            </w:r>
            <w:proofErr w:type="spellEnd"/>
            <w:r w:rsidRPr="00766DB6">
              <w:rPr>
                <w:rFonts w:cs="Traditional Arabic"/>
                <w:bCs/>
                <w:sz w:val="20"/>
                <w:lang w:val="es-ES" w:bidi="ar-EG"/>
              </w:rPr>
              <w:t xml:space="preserve"> plan</w:t>
            </w:r>
          </w:p>
        </w:tc>
        <w:tc>
          <w:tcPr>
            <w:tcW w:w="1031" w:type="dxa"/>
            <w:shd w:val="clear" w:color="auto" w:fill="auto"/>
          </w:tcPr>
          <w:p w14:paraId="076AB6C3"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الخطة المالية</w:t>
            </w:r>
          </w:p>
        </w:tc>
        <w:tc>
          <w:tcPr>
            <w:tcW w:w="1917" w:type="dxa"/>
            <w:shd w:val="clear" w:color="auto" w:fill="auto"/>
          </w:tcPr>
          <w:p w14:paraId="23F20991"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财务规划</w:t>
            </w:r>
            <w:proofErr w:type="spellEnd"/>
          </w:p>
        </w:tc>
        <w:tc>
          <w:tcPr>
            <w:tcW w:w="1492" w:type="dxa"/>
            <w:shd w:val="clear" w:color="auto" w:fill="auto"/>
          </w:tcPr>
          <w:p w14:paraId="1765D865"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 xml:space="preserve">Plan </w:t>
            </w:r>
            <w:proofErr w:type="spellStart"/>
            <w:r w:rsidRPr="00766DB6">
              <w:rPr>
                <w:rFonts w:cs="Arial"/>
                <w:sz w:val="20"/>
                <w:lang w:val="es-ES" w:bidi="ar-EG"/>
              </w:rPr>
              <w:t>financier</w:t>
            </w:r>
            <w:proofErr w:type="spellEnd"/>
          </w:p>
        </w:tc>
        <w:tc>
          <w:tcPr>
            <w:tcW w:w="1984" w:type="dxa"/>
            <w:shd w:val="clear" w:color="auto" w:fill="auto"/>
          </w:tcPr>
          <w:p w14:paraId="392B5091"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Финансовый</w:t>
            </w:r>
            <w:proofErr w:type="spellEnd"/>
            <w:r w:rsidRPr="00766DB6">
              <w:rPr>
                <w:rFonts w:cs="Calibri"/>
                <w:sz w:val="20"/>
                <w:lang w:val="es-ES" w:bidi="ar-EG"/>
              </w:rPr>
              <w:t xml:space="preserve"> </w:t>
            </w:r>
            <w:proofErr w:type="spellStart"/>
            <w:r w:rsidRPr="00766DB6">
              <w:rPr>
                <w:rFonts w:cs="Calibri"/>
                <w:sz w:val="20"/>
                <w:lang w:val="es-ES" w:bidi="ar-EG"/>
              </w:rPr>
              <w:t>план</w:t>
            </w:r>
            <w:proofErr w:type="spellEnd"/>
          </w:p>
        </w:tc>
        <w:tc>
          <w:tcPr>
            <w:tcW w:w="1702" w:type="dxa"/>
            <w:shd w:val="clear" w:color="auto" w:fill="auto"/>
          </w:tcPr>
          <w:p w14:paraId="4DBE9527"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Plan Financiero</w:t>
            </w:r>
          </w:p>
        </w:tc>
      </w:tr>
      <w:tr w:rsidR="00D65BFA" w:rsidRPr="00766DB6" w14:paraId="5FD8374A" w14:textId="77777777" w:rsidTr="000C39ED">
        <w:trPr>
          <w:trHeight w:val="284"/>
        </w:trPr>
        <w:tc>
          <w:tcPr>
            <w:tcW w:w="1696" w:type="dxa"/>
            <w:shd w:val="clear" w:color="auto" w:fill="auto"/>
          </w:tcPr>
          <w:p w14:paraId="241260EE" w14:textId="77777777" w:rsidR="00D65BFA" w:rsidRPr="00766DB6" w:rsidRDefault="00D65BFA" w:rsidP="000C39ED">
            <w:pPr>
              <w:spacing w:before="20" w:after="20" w:line="280" w:lineRule="exact"/>
              <w:rPr>
                <w:rFonts w:cs="Traditional Arabic"/>
                <w:bCs/>
                <w:sz w:val="20"/>
                <w:lang w:val="es-ES" w:bidi="ar-EG"/>
              </w:rPr>
            </w:pPr>
            <w:proofErr w:type="spellStart"/>
            <w:r w:rsidRPr="00766DB6">
              <w:rPr>
                <w:rFonts w:cs="Traditional Arabic"/>
                <w:bCs/>
                <w:sz w:val="20"/>
                <w:lang w:val="es-ES" w:bidi="ar-EG"/>
              </w:rPr>
              <w:t>Indicators</w:t>
            </w:r>
            <w:proofErr w:type="spellEnd"/>
          </w:p>
        </w:tc>
        <w:tc>
          <w:tcPr>
            <w:tcW w:w="1031" w:type="dxa"/>
            <w:shd w:val="clear" w:color="auto" w:fill="auto"/>
          </w:tcPr>
          <w:p w14:paraId="701D589C" w14:textId="77777777" w:rsidR="00D65BFA" w:rsidRPr="00766DB6" w:rsidRDefault="00D65BFA" w:rsidP="000C39ED">
            <w:pPr>
              <w:bidi/>
              <w:spacing w:before="20" w:after="20" w:line="280" w:lineRule="exact"/>
              <w:rPr>
                <w:rFonts w:cs="Traditional Arabic"/>
                <w:sz w:val="20"/>
                <w:rtl/>
                <w:lang w:val="es-ES" w:bidi="ar-EG"/>
              </w:rPr>
            </w:pPr>
            <w:r w:rsidRPr="00766DB6">
              <w:rPr>
                <w:position w:val="2"/>
                <w:sz w:val="18"/>
                <w:szCs w:val="18"/>
                <w:rtl/>
                <w:lang w:val="es-ES" w:bidi="ar-EG"/>
              </w:rPr>
              <w:t>المؤشرات</w:t>
            </w:r>
          </w:p>
        </w:tc>
        <w:tc>
          <w:tcPr>
            <w:tcW w:w="1917" w:type="dxa"/>
            <w:shd w:val="clear" w:color="auto" w:fill="auto"/>
          </w:tcPr>
          <w:p w14:paraId="30DD43D2"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eastAsia="SimSun"/>
                <w:sz w:val="20"/>
                <w:lang w:val="es-ES"/>
              </w:rPr>
              <w:t>指标</w:t>
            </w:r>
            <w:proofErr w:type="spellEnd"/>
          </w:p>
        </w:tc>
        <w:tc>
          <w:tcPr>
            <w:tcW w:w="1492" w:type="dxa"/>
            <w:shd w:val="clear" w:color="auto" w:fill="auto"/>
          </w:tcPr>
          <w:p w14:paraId="337F9F8A"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Indicateurs</w:t>
            </w:r>
            <w:proofErr w:type="spellEnd"/>
          </w:p>
        </w:tc>
        <w:tc>
          <w:tcPr>
            <w:tcW w:w="1984" w:type="dxa"/>
            <w:shd w:val="clear" w:color="auto" w:fill="auto"/>
          </w:tcPr>
          <w:p w14:paraId="42183937" w14:textId="77777777" w:rsidR="00D65BFA" w:rsidRPr="00766DB6" w:rsidRDefault="00D65BFA" w:rsidP="000C39ED">
            <w:pPr>
              <w:spacing w:before="20" w:after="20" w:line="280" w:lineRule="exact"/>
              <w:rPr>
                <w:rFonts w:cs="Calibri"/>
                <w:sz w:val="20"/>
                <w:lang w:val="es-ES" w:bidi="ar-EG"/>
              </w:rPr>
            </w:pPr>
            <w:proofErr w:type="spellStart"/>
            <w:r w:rsidRPr="00677F4E">
              <w:rPr>
                <w:rFonts w:cs="Calibri"/>
                <w:sz w:val="20"/>
                <w:lang w:val="es-ES" w:bidi="ar-EG"/>
              </w:rPr>
              <w:t>Показатели</w:t>
            </w:r>
            <w:proofErr w:type="spellEnd"/>
          </w:p>
        </w:tc>
        <w:tc>
          <w:tcPr>
            <w:tcW w:w="1702" w:type="dxa"/>
            <w:shd w:val="clear" w:color="auto" w:fill="auto"/>
          </w:tcPr>
          <w:p w14:paraId="3657C2C8" w14:textId="77777777" w:rsidR="00D65BFA" w:rsidRPr="00766DB6" w:rsidRDefault="00D65BFA" w:rsidP="000C39ED">
            <w:pPr>
              <w:spacing w:before="20" w:after="20" w:line="280" w:lineRule="exact"/>
              <w:rPr>
                <w:rFonts w:cs="Arial"/>
                <w:sz w:val="20"/>
                <w:lang w:val="es-ES" w:bidi="ar-EG"/>
              </w:rPr>
            </w:pPr>
            <w:r w:rsidRPr="00766DB6">
              <w:rPr>
                <w:sz w:val="20"/>
                <w:lang w:val="es-ES"/>
              </w:rPr>
              <w:t>Indicadores</w:t>
            </w:r>
          </w:p>
        </w:tc>
      </w:tr>
      <w:tr w:rsidR="00D65BFA" w:rsidRPr="00766DB6" w14:paraId="15C1CBCB" w14:textId="77777777" w:rsidTr="000C39ED">
        <w:trPr>
          <w:trHeight w:val="284"/>
        </w:trPr>
        <w:tc>
          <w:tcPr>
            <w:tcW w:w="1696" w:type="dxa"/>
            <w:shd w:val="clear" w:color="auto" w:fill="auto"/>
          </w:tcPr>
          <w:p w14:paraId="04CDFA69" w14:textId="77777777" w:rsidR="00D65BFA" w:rsidRPr="00766DB6" w:rsidRDefault="00D65BFA" w:rsidP="000C39ED">
            <w:pPr>
              <w:spacing w:before="20" w:after="20" w:line="280" w:lineRule="exact"/>
              <w:rPr>
                <w:rFonts w:cs="Traditional Arabic"/>
                <w:b/>
                <w:bCs/>
                <w:sz w:val="20"/>
                <w:lang w:val="es-ES" w:bidi="ar-EG"/>
              </w:rPr>
            </w:pPr>
            <w:r w:rsidRPr="00766DB6">
              <w:rPr>
                <w:rFonts w:cs="Traditional Arabic"/>
                <w:bCs/>
                <w:sz w:val="20"/>
                <w:lang w:val="es-ES" w:bidi="ar-EG"/>
              </w:rPr>
              <w:t>Inputs</w:t>
            </w:r>
          </w:p>
        </w:tc>
        <w:tc>
          <w:tcPr>
            <w:tcW w:w="1031" w:type="dxa"/>
            <w:shd w:val="clear" w:color="auto" w:fill="auto"/>
          </w:tcPr>
          <w:p w14:paraId="6D0C5087"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المدخلات</w:t>
            </w:r>
          </w:p>
        </w:tc>
        <w:tc>
          <w:tcPr>
            <w:tcW w:w="1917" w:type="dxa"/>
            <w:shd w:val="clear" w:color="auto" w:fill="auto"/>
          </w:tcPr>
          <w:p w14:paraId="0C7A48B4" w14:textId="77777777" w:rsidR="00D65BFA" w:rsidRPr="00766DB6" w:rsidRDefault="00D65BFA" w:rsidP="000C39ED">
            <w:pPr>
              <w:spacing w:before="20" w:after="20" w:line="280" w:lineRule="exact"/>
              <w:rPr>
                <w:rFonts w:ascii="SimSun" w:eastAsia="SimSun" w:hAnsi="SimSun" w:cs="Arial"/>
                <w:sz w:val="20"/>
                <w:lang w:val="es-ES" w:eastAsia="zh-CN" w:bidi="ar-EG"/>
              </w:rPr>
            </w:pPr>
            <w:r w:rsidRPr="00766DB6">
              <w:rPr>
                <w:rFonts w:ascii="SimSun" w:eastAsia="SimSun" w:hAnsi="SimSun" w:cs="Arial"/>
                <w:sz w:val="20"/>
                <w:lang w:val="es-ES" w:eastAsia="zh-CN" w:bidi="ar-EG"/>
              </w:rPr>
              <w:t>投入，输入意见（取决于上下文）</w:t>
            </w:r>
          </w:p>
        </w:tc>
        <w:tc>
          <w:tcPr>
            <w:tcW w:w="1492" w:type="dxa"/>
            <w:shd w:val="clear" w:color="auto" w:fill="auto"/>
          </w:tcPr>
          <w:p w14:paraId="4A43C608"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Contributions</w:t>
            </w:r>
          </w:p>
        </w:tc>
        <w:tc>
          <w:tcPr>
            <w:tcW w:w="1984" w:type="dxa"/>
            <w:shd w:val="clear" w:color="auto" w:fill="auto"/>
          </w:tcPr>
          <w:p w14:paraId="2510F3EE"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Исходные</w:t>
            </w:r>
            <w:proofErr w:type="spellEnd"/>
            <w:r w:rsidRPr="00766DB6">
              <w:rPr>
                <w:rFonts w:cs="Calibri"/>
                <w:sz w:val="20"/>
                <w:lang w:val="es-ES" w:bidi="ar-EG"/>
              </w:rPr>
              <w:t xml:space="preserve"> </w:t>
            </w:r>
            <w:proofErr w:type="spellStart"/>
            <w:r w:rsidRPr="00766DB6">
              <w:rPr>
                <w:rFonts w:cs="Calibri"/>
                <w:sz w:val="20"/>
                <w:lang w:val="es-ES" w:bidi="ar-EG"/>
              </w:rPr>
              <w:t>ресурсы</w:t>
            </w:r>
            <w:proofErr w:type="spellEnd"/>
          </w:p>
        </w:tc>
        <w:tc>
          <w:tcPr>
            <w:tcW w:w="1702" w:type="dxa"/>
            <w:shd w:val="clear" w:color="auto" w:fill="auto"/>
          </w:tcPr>
          <w:p w14:paraId="166AAED4"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Insumos</w:t>
            </w:r>
          </w:p>
        </w:tc>
      </w:tr>
      <w:tr w:rsidR="00D65BFA" w:rsidRPr="00766DB6" w14:paraId="7CE9CCE0" w14:textId="77777777" w:rsidTr="000C39ED">
        <w:trPr>
          <w:trHeight w:val="284"/>
        </w:trPr>
        <w:tc>
          <w:tcPr>
            <w:tcW w:w="1696" w:type="dxa"/>
            <w:shd w:val="clear" w:color="auto" w:fill="auto"/>
          </w:tcPr>
          <w:p w14:paraId="46B3D6E1" w14:textId="77777777" w:rsidR="00D65BFA" w:rsidRPr="00766DB6" w:rsidRDefault="00D65BFA" w:rsidP="000C39ED">
            <w:pPr>
              <w:spacing w:before="20" w:after="20" w:line="280" w:lineRule="exact"/>
              <w:rPr>
                <w:rFonts w:cs="Traditional Arabic"/>
                <w:b/>
                <w:bCs/>
                <w:i/>
                <w:iCs/>
                <w:sz w:val="20"/>
                <w:lang w:val="es-ES" w:bidi="ar-EG"/>
              </w:rPr>
            </w:pPr>
            <w:proofErr w:type="spellStart"/>
            <w:r w:rsidRPr="00766DB6">
              <w:rPr>
                <w:rFonts w:cs="Traditional Arabic"/>
                <w:bCs/>
                <w:sz w:val="20"/>
                <w:lang w:val="es-ES" w:bidi="ar-EG"/>
              </w:rPr>
              <w:t>Mission</w:t>
            </w:r>
            <w:proofErr w:type="spellEnd"/>
          </w:p>
        </w:tc>
        <w:tc>
          <w:tcPr>
            <w:tcW w:w="1031" w:type="dxa"/>
            <w:shd w:val="clear" w:color="auto" w:fill="auto"/>
          </w:tcPr>
          <w:p w14:paraId="7C474F0D"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الرسالة</w:t>
            </w:r>
          </w:p>
        </w:tc>
        <w:tc>
          <w:tcPr>
            <w:tcW w:w="1917" w:type="dxa"/>
            <w:shd w:val="clear" w:color="auto" w:fill="auto"/>
          </w:tcPr>
          <w:p w14:paraId="56B09357"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使命</w:t>
            </w:r>
            <w:proofErr w:type="spellEnd"/>
          </w:p>
        </w:tc>
        <w:tc>
          <w:tcPr>
            <w:tcW w:w="1492" w:type="dxa"/>
            <w:shd w:val="clear" w:color="auto" w:fill="auto"/>
          </w:tcPr>
          <w:p w14:paraId="4F1166EB"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Mission</w:t>
            </w:r>
            <w:proofErr w:type="spellEnd"/>
          </w:p>
        </w:tc>
        <w:tc>
          <w:tcPr>
            <w:tcW w:w="1984" w:type="dxa"/>
            <w:shd w:val="clear" w:color="auto" w:fill="auto"/>
          </w:tcPr>
          <w:p w14:paraId="69A617F1"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Миссия</w:t>
            </w:r>
            <w:proofErr w:type="spellEnd"/>
          </w:p>
        </w:tc>
        <w:tc>
          <w:tcPr>
            <w:tcW w:w="1702" w:type="dxa"/>
            <w:shd w:val="clear" w:color="auto" w:fill="auto"/>
          </w:tcPr>
          <w:p w14:paraId="23F158D6"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Misión</w:t>
            </w:r>
          </w:p>
        </w:tc>
      </w:tr>
      <w:tr w:rsidR="00D65BFA" w:rsidRPr="00766DB6" w14:paraId="5EB37656" w14:textId="77777777" w:rsidTr="000C39ED">
        <w:trPr>
          <w:trHeight w:val="284"/>
        </w:trPr>
        <w:tc>
          <w:tcPr>
            <w:tcW w:w="1696" w:type="dxa"/>
            <w:shd w:val="clear" w:color="auto" w:fill="auto"/>
          </w:tcPr>
          <w:p w14:paraId="3065A3FD" w14:textId="4D2AFEFE" w:rsidR="00D65BFA" w:rsidRPr="00766DB6" w:rsidRDefault="00D65BFA" w:rsidP="000C39ED">
            <w:pPr>
              <w:spacing w:before="20" w:after="20" w:line="280" w:lineRule="exact"/>
              <w:rPr>
                <w:rFonts w:cs="Traditional Arabic"/>
                <w:bCs/>
                <w:sz w:val="20"/>
                <w:lang w:val="es-ES" w:bidi="ar-EG"/>
              </w:rPr>
            </w:pPr>
          </w:p>
        </w:tc>
        <w:tc>
          <w:tcPr>
            <w:tcW w:w="1031" w:type="dxa"/>
            <w:shd w:val="clear" w:color="auto" w:fill="auto"/>
          </w:tcPr>
          <w:p w14:paraId="4650E911" w14:textId="60DE09A8" w:rsidR="00D65BFA" w:rsidRPr="00766DB6" w:rsidRDefault="00D65BFA" w:rsidP="000C39ED">
            <w:pPr>
              <w:bidi/>
              <w:spacing w:before="20" w:after="20" w:line="280" w:lineRule="exact"/>
              <w:rPr>
                <w:rFonts w:cs="Traditional Arabic"/>
                <w:sz w:val="20"/>
                <w:rtl/>
                <w:lang w:val="es-ES" w:bidi="ar-EG"/>
              </w:rPr>
            </w:pPr>
          </w:p>
        </w:tc>
        <w:tc>
          <w:tcPr>
            <w:tcW w:w="1917" w:type="dxa"/>
            <w:tcBorders>
              <w:top w:val="single" w:sz="4" w:space="0" w:color="548DD4" w:themeColor="text2" w:themeTint="99"/>
              <w:bottom w:val="single" w:sz="4" w:space="0" w:color="548DD4" w:themeColor="text2" w:themeTint="99"/>
            </w:tcBorders>
          </w:tcPr>
          <w:p w14:paraId="290A07F2" w14:textId="2FB3ACA3" w:rsidR="00D65BFA" w:rsidRPr="00766DB6" w:rsidRDefault="00D65BFA" w:rsidP="000C39ED">
            <w:pPr>
              <w:spacing w:before="20" w:after="20" w:line="280" w:lineRule="exact"/>
              <w:rPr>
                <w:rFonts w:ascii="SimSun" w:eastAsia="SimSun" w:hAnsi="SimSun" w:cs="Arial"/>
                <w:sz w:val="20"/>
                <w:lang w:val="es-ES" w:bidi="ar-EG"/>
              </w:rPr>
            </w:pPr>
          </w:p>
        </w:tc>
        <w:tc>
          <w:tcPr>
            <w:tcW w:w="1492" w:type="dxa"/>
            <w:shd w:val="clear" w:color="auto" w:fill="auto"/>
          </w:tcPr>
          <w:p w14:paraId="00DF8F6E" w14:textId="1AF2A563" w:rsidR="00D65BFA" w:rsidRPr="00766DB6" w:rsidRDefault="00D65BFA" w:rsidP="000C39ED">
            <w:pPr>
              <w:spacing w:before="20" w:after="20" w:line="280" w:lineRule="exact"/>
              <w:rPr>
                <w:rFonts w:cs="Arial"/>
                <w:sz w:val="20"/>
                <w:lang w:val="es-ES" w:bidi="ar-EG"/>
              </w:rPr>
            </w:pPr>
          </w:p>
        </w:tc>
        <w:tc>
          <w:tcPr>
            <w:tcW w:w="1984" w:type="dxa"/>
            <w:shd w:val="clear" w:color="auto" w:fill="auto"/>
          </w:tcPr>
          <w:p w14:paraId="1B8E3180" w14:textId="44F30901" w:rsidR="00D65BFA" w:rsidRPr="00766DB6" w:rsidRDefault="00D65BFA" w:rsidP="000C39ED">
            <w:pPr>
              <w:spacing w:before="20" w:after="20" w:line="280" w:lineRule="exact"/>
              <w:rPr>
                <w:rFonts w:cs="Calibri"/>
                <w:sz w:val="20"/>
                <w:lang w:val="es-ES" w:bidi="ar-EG"/>
              </w:rPr>
            </w:pPr>
          </w:p>
        </w:tc>
        <w:tc>
          <w:tcPr>
            <w:tcW w:w="1702" w:type="dxa"/>
            <w:shd w:val="clear" w:color="auto" w:fill="auto"/>
          </w:tcPr>
          <w:p w14:paraId="390DBA5E" w14:textId="0775C84B" w:rsidR="00D65BFA" w:rsidRPr="00766DB6" w:rsidRDefault="00D65BFA" w:rsidP="000C39ED">
            <w:pPr>
              <w:spacing w:before="20" w:after="20" w:line="280" w:lineRule="exact"/>
              <w:rPr>
                <w:rFonts w:cs="Arial"/>
                <w:sz w:val="20"/>
                <w:lang w:val="es-ES" w:bidi="ar-EG"/>
              </w:rPr>
            </w:pPr>
          </w:p>
        </w:tc>
      </w:tr>
      <w:tr w:rsidR="00D65BFA" w:rsidRPr="00766DB6" w14:paraId="5FFD6A6E" w14:textId="77777777" w:rsidTr="000C39ED">
        <w:trPr>
          <w:trHeight w:val="284"/>
        </w:trPr>
        <w:tc>
          <w:tcPr>
            <w:tcW w:w="1696" w:type="dxa"/>
            <w:shd w:val="clear" w:color="auto" w:fill="auto"/>
          </w:tcPr>
          <w:p w14:paraId="25CF9CA8"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Operational</w:t>
            </w:r>
            <w:proofErr w:type="spellEnd"/>
            <w:r w:rsidRPr="00766DB6">
              <w:rPr>
                <w:rFonts w:cs="Traditional Arabic"/>
                <w:bCs/>
                <w:sz w:val="20"/>
                <w:lang w:val="es-ES" w:bidi="ar-EG"/>
              </w:rPr>
              <w:t xml:space="preserve"> plan</w:t>
            </w:r>
          </w:p>
        </w:tc>
        <w:tc>
          <w:tcPr>
            <w:tcW w:w="1031" w:type="dxa"/>
            <w:shd w:val="clear" w:color="auto" w:fill="auto"/>
          </w:tcPr>
          <w:p w14:paraId="28B9A396"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الخطة التشغيلية</w:t>
            </w:r>
          </w:p>
        </w:tc>
        <w:tc>
          <w:tcPr>
            <w:tcW w:w="1917" w:type="dxa"/>
            <w:shd w:val="clear" w:color="auto" w:fill="auto"/>
          </w:tcPr>
          <w:p w14:paraId="74C58110"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运作规划</w:t>
            </w:r>
            <w:proofErr w:type="spellEnd"/>
          </w:p>
        </w:tc>
        <w:tc>
          <w:tcPr>
            <w:tcW w:w="1492" w:type="dxa"/>
            <w:shd w:val="clear" w:color="auto" w:fill="auto"/>
          </w:tcPr>
          <w:p w14:paraId="57F53F44"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 xml:space="preserve">Plan </w:t>
            </w:r>
            <w:proofErr w:type="spellStart"/>
            <w:r w:rsidRPr="00766DB6">
              <w:rPr>
                <w:rFonts w:cs="Arial"/>
                <w:sz w:val="20"/>
                <w:lang w:val="es-ES" w:bidi="ar-EG"/>
              </w:rPr>
              <w:t>opérationnel</w:t>
            </w:r>
            <w:proofErr w:type="spellEnd"/>
          </w:p>
        </w:tc>
        <w:tc>
          <w:tcPr>
            <w:tcW w:w="1984" w:type="dxa"/>
            <w:shd w:val="clear" w:color="auto" w:fill="auto"/>
          </w:tcPr>
          <w:p w14:paraId="768908AA"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Оперативный</w:t>
            </w:r>
            <w:proofErr w:type="spellEnd"/>
            <w:r w:rsidRPr="00766DB6">
              <w:rPr>
                <w:rFonts w:cs="Calibri"/>
                <w:sz w:val="20"/>
                <w:lang w:val="es-ES" w:bidi="ar-EG"/>
              </w:rPr>
              <w:t xml:space="preserve"> </w:t>
            </w:r>
            <w:proofErr w:type="spellStart"/>
            <w:r w:rsidRPr="00766DB6">
              <w:rPr>
                <w:rFonts w:cs="Calibri"/>
                <w:sz w:val="20"/>
                <w:lang w:val="es-ES" w:bidi="ar-EG"/>
              </w:rPr>
              <w:t>план</w:t>
            </w:r>
            <w:proofErr w:type="spellEnd"/>
          </w:p>
        </w:tc>
        <w:tc>
          <w:tcPr>
            <w:tcW w:w="1702" w:type="dxa"/>
            <w:shd w:val="clear" w:color="auto" w:fill="auto"/>
          </w:tcPr>
          <w:p w14:paraId="021E505B"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Plan Operacional</w:t>
            </w:r>
          </w:p>
        </w:tc>
      </w:tr>
      <w:tr w:rsidR="00D65BFA" w:rsidRPr="00766DB6" w14:paraId="33B219DF" w14:textId="77777777" w:rsidTr="000C39ED">
        <w:trPr>
          <w:trHeight w:val="284"/>
        </w:trPr>
        <w:tc>
          <w:tcPr>
            <w:tcW w:w="1696" w:type="dxa"/>
            <w:shd w:val="clear" w:color="auto" w:fill="auto"/>
          </w:tcPr>
          <w:p w14:paraId="17E8E0B9"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Outcomes</w:t>
            </w:r>
            <w:proofErr w:type="spellEnd"/>
          </w:p>
        </w:tc>
        <w:tc>
          <w:tcPr>
            <w:tcW w:w="1031" w:type="dxa"/>
            <w:shd w:val="clear" w:color="auto" w:fill="auto"/>
          </w:tcPr>
          <w:p w14:paraId="5C01CCC2"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النتائج</w:t>
            </w:r>
          </w:p>
        </w:tc>
        <w:tc>
          <w:tcPr>
            <w:tcW w:w="1917" w:type="dxa"/>
            <w:shd w:val="clear" w:color="auto" w:fill="auto"/>
          </w:tcPr>
          <w:p w14:paraId="4C19071E"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结果</w:t>
            </w:r>
            <w:proofErr w:type="spellEnd"/>
          </w:p>
        </w:tc>
        <w:tc>
          <w:tcPr>
            <w:tcW w:w="1492" w:type="dxa"/>
            <w:shd w:val="clear" w:color="auto" w:fill="auto"/>
          </w:tcPr>
          <w:p w14:paraId="7732DF2A"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Résultats</w:t>
            </w:r>
            <w:proofErr w:type="spellEnd"/>
          </w:p>
        </w:tc>
        <w:tc>
          <w:tcPr>
            <w:tcW w:w="1984" w:type="dxa"/>
            <w:shd w:val="clear" w:color="auto" w:fill="auto"/>
          </w:tcPr>
          <w:p w14:paraId="75A84338"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Конечные</w:t>
            </w:r>
            <w:proofErr w:type="spellEnd"/>
            <w:r w:rsidRPr="00766DB6">
              <w:rPr>
                <w:rFonts w:cs="Calibri"/>
                <w:sz w:val="20"/>
                <w:lang w:val="es-ES" w:bidi="ar-EG"/>
              </w:rPr>
              <w:t xml:space="preserve"> </w:t>
            </w:r>
            <w:proofErr w:type="spellStart"/>
            <w:r w:rsidRPr="00766DB6">
              <w:rPr>
                <w:rFonts w:cs="Calibri"/>
                <w:sz w:val="20"/>
                <w:lang w:val="es-ES" w:bidi="ar-EG"/>
              </w:rPr>
              <w:t>результаты</w:t>
            </w:r>
            <w:proofErr w:type="spellEnd"/>
          </w:p>
        </w:tc>
        <w:tc>
          <w:tcPr>
            <w:tcW w:w="1702" w:type="dxa"/>
            <w:shd w:val="clear" w:color="auto" w:fill="auto"/>
          </w:tcPr>
          <w:p w14:paraId="5327AA03"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Resultados</w:t>
            </w:r>
          </w:p>
        </w:tc>
      </w:tr>
      <w:tr w:rsidR="00D65BFA" w:rsidRPr="00766DB6" w14:paraId="6E1777B3" w14:textId="77777777" w:rsidTr="000C39ED">
        <w:trPr>
          <w:trHeight w:val="284"/>
        </w:trPr>
        <w:tc>
          <w:tcPr>
            <w:tcW w:w="1696" w:type="dxa"/>
            <w:shd w:val="clear" w:color="auto" w:fill="auto"/>
          </w:tcPr>
          <w:p w14:paraId="52973F40" w14:textId="77777777" w:rsidR="00D65BFA" w:rsidRPr="00766DB6" w:rsidRDefault="00D65BFA" w:rsidP="000C39ED">
            <w:pPr>
              <w:spacing w:before="20" w:after="20" w:line="280" w:lineRule="exact"/>
              <w:rPr>
                <w:rFonts w:cs="Traditional Arabic"/>
                <w:b/>
                <w:bCs/>
                <w:i/>
                <w:iCs/>
                <w:sz w:val="20"/>
                <w:lang w:val="es-ES" w:bidi="ar-EG"/>
              </w:rPr>
            </w:pPr>
            <w:r w:rsidRPr="00766DB6">
              <w:rPr>
                <w:rFonts w:cs="Traditional Arabic"/>
                <w:bCs/>
                <w:sz w:val="20"/>
                <w:lang w:val="es-ES" w:bidi="ar-EG"/>
              </w:rPr>
              <w:t>Outputs</w:t>
            </w:r>
          </w:p>
        </w:tc>
        <w:tc>
          <w:tcPr>
            <w:tcW w:w="1031" w:type="dxa"/>
            <w:shd w:val="clear" w:color="auto" w:fill="auto"/>
          </w:tcPr>
          <w:p w14:paraId="0F625FC8"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النواتج</w:t>
            </w:r>
          </w:p>
        </w:tc>
        <w:tc>
          <w:tcPr>
            <w:tcW w:w="1917" w:type="dxa"/>
            <w:shd w:val="clear" w:color="auto" w:fill="auto"/>
          </w:tcPr>
          <w:p w14:paraId="4C0133DA"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输出成果</w:t>
            </w:r>
            <w:proofErr w:type="spellEnd"/>
          </w:p>
        </w:tc>
        <w:tc>
          <w:tcPr>
            <w:tcW w:w="1492" w:type="dxa"/>
            <w:shd w:val="clear" w:color="auto" w:fill="auto"/>
          </w:tcPr>
          <w:p w14:paraId="652F14E0"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Produits</w:t>
            </w:r>
            <w:proofErr w:type="spellEnd"/>
          </w:p>
        </w:tc>
        <w:tc>
          <w:tcPr>
            <w:tcW w:w="1984" w:type="dxa"/>
            <w:shd w:val="clear" w:color="auto" w:fill="auto"/>
          </w:tcPr>
          <w:p w14:paraId="5A40B7AE"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Намеченные</w:t>
            </w:r>
            <w:proofErr w:type="spellEnd"/>
            <w:r w:rsidRPr="00766DB6">
              <w:rPr>
                <w:rFonts w:cs="Calibri"/>
                <w:sz w:val="20"/>
                <w:lang w:val="es-ES" w:bidi="ar-EG"/>
              </w:rPr>
              <w:t xml:space="preserve"> </w:t>
            </w:r>
            <w:proofErr w:type="spellStart"/>
            <w:r w:rsidRPr="00766DB6">
              <w:rPr>
                <w:rFonts w:cs="Calibri"/>
                <w:sz w:val="20"/>
                <w:lang w:val="es-ES" w:bidi="ar-EG"/>
              </w:rPr>
              <w:t>результаты</w:t>
            </w:r>
            <w:proofErr w:type="spellEnd"/>
            <w:r w:rsidRPr="00766DB6">
              <w:rPr>
                <w:rFonts w:cs="Calibri"/>
                <w:sz w:val="20"/>
                <w:lang w:val="es-ES" w:bidi="ar-EG"/>
              </w:rPr>
              <w:t xml:space="preserve"> </w:t>
            </w:r>
            <w:proofErr w:type="spellStart"/>
            <w:r w:rsidRPr="00766DB6">
              <w:rPr>
                <w:rFonts w:cs="Calibri"/>
                <w:sz w:val="20"/>
                <w:lang w:val="es-ES" w:bidi="ar-EG"/>
              </w:rPr>
              <w:t>деятельности</w:t>
            </w:r>
            <w:proofErr w:type="spellEnd"/>
          </w:p>
        </w:tc>
        <w:tc>
          <w:tcPr>
            <w:tcW w:w="1702" w:type="dxa"/>
            <w:shd w:val="clear" w:color="auto" w:fill="auto"/>
          </w:tcPr>
          <w:p w14:paraId="7FD37409"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Productos</w:t>
            </w:r>
          </w:p>
        </w:tc>
      </w:tr>
      <w:tr w:rsidR="00D65BFA" w:rsidRPr="00766DB6" w14:paraId="70872FDF" w14:textId="77777777" w:rsidTr="000C39ED">
        <w:trPr>
          <w:trHeight w:val="284"/>
        </w:trPr>
        <w:tc>
          <w:tcPr>
            <w:tcW w:w="1696" w:type="dxa"/>
            <w:shd w:val="clear" w:color="auto" w:fill="auto"/>
          </w:tcPr>
          <w:p w14:paraId="155806BD" w14:textId="77777777" w:rsidR="00D65BFA" w:rsidRPr="00766DB6" w:rsidRDefault="00D65BFA" w:rsidP="000C39ED">
            <w:pPr>
              <w:spacing w:before="20" w:after="20" w:line="280" w:lineRule="exact"/>
              <w:rPr>
                <w:rFonts w:cs="Traditional Arabic"/>
                <w:b/>
                <w:bCs/>
                <w:sz w:val="20"/>
                <w:lang w:val="es-ES" w:bidi="ar-EG"/>
              </w:rPr>
            </w:pPr>
            <w:r w:rsidRPr="00766DB6">
              <w:rPr>
                <w:rFonts w:cs="Traditional Arabic"/>
                <w:bCs/>
                <w:sz w:val="20"/>
                <w:lang w:val="es-ES" w:bidi="ar-EG"/>
              </w:rPr>
              <w:t xml:space="preserve">Performance </w:t>
            </w:r>
            <w:proofErr w:type="spellStart"/>
            <w:r w:rsidRPr="00766DB6">
              <w:rPr>
                <w:rFonts w:cs="Traditional Arabic"/>
                <w:bCs/>
                <w:sz w:val="20"/>
                <w:lang w:val="es-ES" w:bidi="ar-EG"/>
              </w:rPr>
              <w:t>indicators</w:t>
            </w:r>
            <w:proofErr w:type="spellEnd"/>
          </w:p>
        </w:tc>
        <w:tc>
          <w:tcPr>
            <w:tcW w:w="1031" w:type="dxa"/>
            <w:shd w:val="clear" w:color="auto" w:fill="auto"/>
          </w:tcPr>
          <w:p w14:paraId="6D074C1C" w14:textId="77777777" w:rsidR="00D65BFA" w:rsidRPr="00766DB6" w:rsidRDefault="00D65BFA" w:rsidP="000C39ED">
            <w:pPr>
              <w:bidi/>
              <w:spacing w:before="20" w:after="20" w:line="280" w:lineRule="exact"/>
              <w:rPr>
                <w:rFonts w:cs="Traditional Arabic"/>
                <w:sz w:val="20"/>
                <w:rtl/>
                <w:lang w:val="es-ES" w:bidi="ar-EG"/>
              </w:rPr>
            </w:pPr>
            <w:r w:rsidRPr="00766DB6">
              <w:rPr>
                <w:rFonts w:cs="Traditional Arabic"/>
                <w:sz w:val="20"/>
                <w:rtl/>
                <w:lang w:val="es-ES" w:bidi="ar-EG"/>
              </w:rPr>
              <w:t>مؤشرات الأداء</w:t>
            </w:r>
          </w:p>
        </w:tc>
        <w:tc>
          <w:tcPr>
            <w:tcW w:w="1917" w:type="dxa"/>
            <w:shd w:val="clear" w:color="auto" w:fill="auto"/>
          </w:tcPr>
          <w:p w14:paraId="4BFFCB01"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绩效指标</w:t>
            </w:r>
            <w:proofErr w:type="spellEnd"/>
          </w:p>
        </w:tc>
        <w:tc>
          <w:tcPr>
            <w:tcW w:w="1492" w:type="dxa"/>
            <w:shd w:val="clear" w:color="auto" w:fill="auto"/>
          </w:tcPr>
          <w:p w14:paraId="2F1BB085"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Indicateurs</w:t>
            </w:r>
            <w:proofErr w:type="spellEnd"/>
            <w:r w:rsidRPr="00766DB6">
              <w:rPr>
                <w:rFonts w:cs="Arial"/>
                <w:sz w:val="20"/>
                <w:lang w:val="es-ES" w:bidi="ar-EG"/>
              </w:rPr>
              <w:t xml:space="preserve"> de performance</w:t>
            </w:r>
          </w:p>
        </w:tc>
        <w:tc>
          <w:tcPr>
            <w:tcW w:w="1984" w:type="dxa"/>
            <w:shd w:val="clear" w:color="auto" w:fill="auto"/>
          </w:tcPr>
          <w:p w14:paraId="544F98E9" w14:textId="77777777" w:rsidR="00D65BFA" w:rsidRPr="00677F4E" w:rsidRDefault="00D65BFA" w:rsidP="000C39ED">
            <w:pPr>
              <w:spacing w:before="20" w:after="20" w:line="280" w:lineRule="exact"/>
              <w:rPr>
                <w:rFonts w:cs="Calibri"/>
                <w:sz w:val="20"/>
                <w:lang w:val="es-ES" w:bidi="ar-EG"/>
              </w:rPr>
            </w:pPr>
            <w:proofErr w:type="spellStart"/>
            <w:r w:rsidRPr="00677F4E">
              <w:rPr>
                <w:rFonts w:cs="Calibri"/>
                <w:sz w:val="20"/>
                <w:lang w:val="es-ES" w:bidi="ar-EG"/>
              </w:rPr>
              <w:t>Показатели</w:t>
            </w:r>
            <w:proofErr w:type="spellEnd"/>
            <w:r w:rsidRPr="00677F4E">
              <w:rPr>
                <w:rFonts w:cs="Calibri"/>
                <w:sz w:val="20"/>
                <w:lang w:val="es-ES" w:bidi="ar-EG"/>
              </w:rPr>
              <w:t xml:space="preserve"> </w:t>
            </w:r>
            <w:proofErr w:type="spellStart"/>
            <w:r w:rsidRPr="00677F4E">
              <w:rPr>
                <w:rFonts w:cs="Calibri"/>
                <w:sz w:val="20"/>
                <w:lang w:val="es-ES" w:bidi="ar-EG"/>
              </w:rPr>
              <w:t>деятельности</w:t>
            </w:r>
            <w:proofErr w:type="spellEnd"/>
          </w:p>
        </w:tc>
        <w:tc>
          <w:tcPr>
            <w:tcW w:w="1702" w:type="dxa"/>
            <w:shd w:val="clear" w:color="auto" w:fill="auto"/>
          </w:tcPr>
          <w:p w14:paraId="0CA9FE23"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Indicadores de Rendimiento</w:t>
            </w:r>
          </w:p>
        </w:tc>
      </w:tr>
      <w:tr w:rsidR="00D65BFA" w:rsidRPr="00766DB6" w14:paraId="7D7930DD" w14:textId="77777777" w:rsidTr="000C39ED">
        <w:trPr>
          <w:trHeight w:val="284"/>
        </w:trPr>
        <w:tc>
          <w:tcPr>
            <w:tcW w:w="1696" w:type="dxa"/>
            <w:shd w:val="clear" w:color="auto" w:fill="auto"/>
          </w:tcPr>
          <w:p w14:paraId="0D446FD5" w14:textId="33FA6886" w:rsidR="00D65BFA" w:rsidRPr="00766DB6" w:rsidRDefault="00D65BFA" w:rsidP="000C39ED">
            <w:pPr>
              <w:spacing w:before="20" w:after="20" w:line="280" w:lineRule="exact"/>
              <w:rPr>
                <w:rFonts w:cs="Traditional Arabic"/>
                <w:bCs/>
                <w:sz w:val="20"/>
                <w:lang w:val="es-ES" w:bidi="ar-EG"/>
              </w:rPr>
            </w:pPr>
          </w:p>
        </w:tc>
        <w:tc>
          <w:tcPr>
            <w:tcW w:w="1031" w:type="dxa"/>
            <w:shd w:val="clear" w:color="auto" w:fill="auto"/>
          </w:tcPr>
          <w:p w14:paraId="1582EE90" w14:textId="2888A98F" w:rsidR="00D65BFA" w:rsidRPr="00766DB6" w:rsidRDefault="00D65BFA" w:rsidP="000C39ED">
            <w:pPr>
              <w:bidi/>
              <w:spacing w:before="20" w:after="20" w:line="280" w:lineRule="exact"/>
              <w:rPr>
                <w:rFonts w:cs="Traditional Arabic"/>
                <w:sz w:val="20"/>
                <w:rtl/>
                <w:lang w:val="es-ES" w:bidi="ar-EG"/>
              </w:rPr>
            </w:pPr>
          </w:p>
        </w:tc>
        <w:tc>
          <w:tcPr>
            <w:tcW w:w="1917" w:type="dxa"/>
            <w:shd w:val="clear" w:color="auto" w:fill="auto"/>
          </w:tcPr>
          <w:p w14:paraId="5B06B5EB" w14:textId="1DDD945D" w:rsidR="00D65BFA" w:rsidRPr="00766DB6" w:rsidRDefault="00D65BFA" w:rsidP="000C39ED">
            <w:pPr>
              <w:spacing w:before="20" w:after="20" w:line="280" w:lineRule="exact"/>
              <w:rPr>
                <w:rFonts w:ascii="SimSun" w:eastAsia="SimSun" w:hAnsi="SimSun" w:cs="Arial"/>
                <w:sz w:val="20"/>
                <w:lang w:val="es-ES" w:bidi="ar-EG"/>
              </w:rPr>
            </w:pPr>
          </w:p>
        </w:tc>
        <w:tc>
          <w:tcPr>
            <w:tcW w:w="1492" w:type="dxa"/>
            <w:shd w:val="clear" w:color="auto" w:fill="auto"/>
          </w:tcPr>
          <w:p w14:paraId="2B7DEDA3" w14:textId="58917D37" w:rsidR="00D65BFA" w:rsidRPr="00766DB6" w:rsidRDefault="00D65BFA" w:rsidP="000C39ED">
            <w:pPr>
              <w:spacing w:before="20" w:after="20" w:line="280" w:lineRule="exact"/>
              <w:rPr>
                <w:rFonts w:cs="Arial"/>
                <w:sz w:val="20"/>
                <w:lang w:val="es-ES" w:bidi="ar-EG"/>
              </w:rPr>
            </w:pPr>
          </w:p>
        </w:tc>
        <w:tc>
          <w:tcPr>
            <w:tcW w:w="1984" w:type="dxa"/>
            <w:shd w:val="clear" w:color="auto" w:fill="auto"/>
          </w:tcPr>
          <w:p w14:paraId="191243F5" w14:textId="607D811E" w:rsidR="00D65BFA" w:rsidRPr="00677F4E" w:rsidRDefault="00D65BFA" w:rsidP="000C39ED">
            <w:pPr>
              <w:spacing w:before="20" w:after="20" w:line="280" w:lineRule="exact"/>
              <w:rPr>
                <w:rFonts w:cs="Calibri"/>
                <w:sz w:val="20"/>
                <w:lang w:val="es-ES" w:bidi="ar-EG"/>
              </w:rPr>
            </w:pPr>
          </w:p>
        </w:tc>
        <w:tc>
          <w:tcPr>
            <w:tcW w:w="1702" w:type="dxa"/>
            <w:shd w:val="clear" w:color="auto" w:fill="auto"/>
          </w:tcPr>
          <w:p w14:paraId="6CC5DB41" w14:textId="49CF4971" w:rsidR="00D65BFA" w:rsidRPr="00766DB6" w:rsidRDefault="00D65BFA" w:rsidP="000C39ED">
            <w:pPr>
              <w:spacing w:before="20" w:after="20" w:line="280" w:lineRule="exact"/>
              <w:rPr>
                <w:rFonts w:cs="Arial"/>
                <w:sz w:val="20"/>
                <w:lang w:val="es-ES" w:bidi="ar-EG"/>
              </w:rPr>
            </w:pPr>
          </w:p>
        </w:tc>
      </w:tr>
      <w:tr w:rsidR="00D65BFA" w:rsidRPr="00766DB6" w14:paraId="55D0C886" w14:textId="77777777" w:rsidTr="000C39ED">
        <w:trPr>
          <w:trHeight w:val="284"/>
        </w:trPr>
        <w:tc>
          <w:tcPr>
            <w:tcW w:w="1696" w:type="dxa"/>
            <w:shd w:val="clear" w:color="auto" w:fill="auto"/>
          </w:tcPr>
          <w:p w14:paraId="2D548FFD" w14:textId="77777777" w:rsidR="00D65BFA" w:rsidRPr="00766DB6" w:rsidRDefault="00D65BFA" w:rsidP="000C39ED">
            <w:pPr>
              <w:spacing w:before="20" w:after="20" w:line="280" w:lineRule="exact"/>
              <w:rPr>
                <w:rFonts w:cs="Traditional Arabic"/>
                <w:sz w:val="20"/>
                <w:lang w:val="es-ES" w:bidi="ar-EG"/>
              </w:rPr>
            </w:pPr>
            <w:proofErr w:type="spellStart"/>
            <w:r w:rsidRPr="00766DB6">
              <w:rPr>
                <w:rFonts w:cs="Traditional Arabic"/>
                <w:sz w:val="20"/>
                <w:lang w:val="es-ES" w:bidi="ar-EG"/>
              </w:rPr>
              <w:t>Product</w:t>
            </w:r>
            <w:proofErr w:type="spellEnd"/>
            <w:r w:rsidRPr="00766DB6">
              <w:rPr>
                <w:rFonts w:cs="Traditional Arabic"/>
                <w:sz w:val="20"/>
                <w:lang w:val="es-ES" w:bidi="ar-EG"/>
              </w:rPr>
              <w:t xml:space="preserve"> and </w:t>
            </w:r>
            <w:proofErr w:type="spellStart"/>
            <w:r w:rsidRPr="00766DB6">
              <w:rPr>
                <w:rFonts w:cs="Traditional Arabic"/>
                <w:sz w:val="20"/>
                <w:lang w:val="es-ES" w:bidi="ar-EG"/>
              </w:rPr>
              <w:t>service</w:t>
            </w:r>
            <w:proofErr w:type="spellEnd"/>
            <w:r w:rsidRPr="00766DB6">
              <w:rPr>
                <w:rFonts w:cs="Traditional Arabic"/>
                <w:sz w:val="20"/>
                <w:lang w:val="es-ES" w:bidi="ar-EG"/>
              </w:rPr>
              <w:t xml:space="preserve"> </w:t>
            </w:r>
            <w:proofErr w:type="spellStart"/>
            <w:r w:rsidRPr="00766DB6">
              <w:rPr>
                <w:rFonts w:cs="Traditional Arabic"/>
                <w:sz w:val="20"/>
                <w:lang w:val="es-ES" w:bidi="ar-EG"/>
              </w:rPr>
              <w:t>offerings</w:t>
            </w:r>
            <w:proofErr w:type="spellEnd"/>
          </w:p>
        </w:tc>
        <w:tc>
          <w:tcPr>
            <w:tcW w:w="1031" w:type="dxa"/>
            <w:shd w:val="clear" w:color="auto" w:fill="auto"/>
          </w:tcPr>
          <w:p w14:paraId="2024A093" w14:textId="77777777" w:rsidR="00D65BFA" w:rsidRPr="00766DB6" w:rsidRDefault="00D65BFA" w:rsidP="000C39ED">
            <w:pPr>
              <w:bidi/>
              <w:spacing w:before="20" w:after="20" w:line="280" w:lineRule="exact"/>
              <w:rPr>
                <w:rFonts w:cs="Traditional Arabic"/>
                <w:sz w:val="20"/>
                <w:lang w:val="es-ES" w:bidi="ar-EG"/>
              </w:rPr>
            </w:pPr>
            <w:r w:rsidRPr="00766DB6">
              <w:rPr>
                <w:sz w:val="18"/>
                <w:szCs w:val="18"/>
                <w:rtl/>
                <w:lang w:val="es-ES" w:bidi="ar-EG"/>
              </w:rPr>
              <w:t>عروض المنتجات والخدمات</w:t>
            </w:r>
          </w:p>
        </w:tc>
        <w:tc>
          <w:tcPr>
            <w:tcW w:w="1917" w:type="dxa"/>
            <w:shd w:val="clear" w:color="auto" w:fill="auto"/>
          </w:tcPr>
          <w:p w14:paraId="3830DBB4"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eastAsia="SimSun"/>
                <w:sz w:val="20"/>
                <w:lang w:val="es-ES"/>
              </w:rPr>
              <w:t>产品和服务提供</w:t>
            </w:r>
            <w:proofErr w:type="spellEnd"/>
          </w:p>
        </w:tc>
        <w:tc>
          <w:tcPr>
            <w:tcW w:w="1492" w:type="dxa"/>
            <w:shd w:val="clear" w:color="auto" w:fill="auto"/>
          </w:tcPr>
          <w:p w14:paraId="456959FD"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Offres</w:t>
            </w:r>
            <w:proofErr w:type="spellEnd"/>
            <w:r w:rsidRPr="00766DB6">
              <w:rPr>
                <w:rFonts w:cs="Arial"/>
                <w:sz w:val="20"/>
                <w:lang w:val="es-ES" w:bidi="ar-EG"/>
              </w:rPr>
              <w:t xml:space="preserve"> de </w:t>
            </w:r>
            <w:proofErr w:type="spellStart"/>
            <w:r w:rsidRPr="00766DB6">
              <w:rPr>
                <w:rFonts w:cs="Arial"/>
                <w:sz w:val="20"/>
                <w:lang w:val="es-ES" w:bidi="ar-EG"/>
              </w:rPr>
              <w:t>produits</w:t>
            </w:r>
            <w:proofErr w:type="spellEnd"/>
            <w:r w:rsidRPr="00766DB6">
              <w:rPr>
                <w:rFonts w:cs="Arial"/>
                <w:sz w:val="20"/>
                <w:lang w:val="es-ES" w:bidi="ar-EG"/>
              </w:rPr>
              <w:t xml:space="preserve"> et de </w:t>
            </w:r>
            <w:proofErr w:type="spellStart"/>
            <w:r w:rsidRPr="00766DB6">
              <w:rPr>
                <w:rFonts w:cs="Arial"/>
                <w:sz w:val="20"/>
                <w:lang w:val="es-ES" w:bidi="ar-EG"/>
              </w:rPr>
              <w:t>services</w:t>
            </w:r>
            <w:proofErr w:type="spellEnd"/>
          </w:p>
        </w:tc>
        <w:tc>
          <w:tcPr>
            <w:tcW w:w="1984" w:type="dxa"/>
            <w:shd w:val="clear" w:color="auto" w:fill="auto"/>
          </w:tcPr>
          <w:p w14:paraId="75AE1154" w14:textId="77777777" w:rsidR="00D65BFA" w:rsidRPr="00766DB6" w:rsidRDefault="00D65BFA" w:rsidP="000C39ED">
            <w:pPr>
              <w:spacing w:before="20" w:after="20" w:line="280" w:lineRule="exact"/>
              <w:rPr>
                <w:rFonts w:cs="Calibri"/>
                <w:sz w:val="20"/>
                <w:lang w:val="es-ES" w:bidi="ar-EG"/>
              </w:rPr>
            </w:pPr>
            <w:proofErr w:type="spellStart"/>
            <w:r w:rsidRPr="00677F4E">
              <w:rPr>
                <w:rFonts w:cs="Calibri"/>
                <w:sz w:val="20"/>
                <w:lang w:val="es-ES" w:bidi="ar-EG"/>
              </w:rPr>
              <w:t>Предлагаемые</w:t>
            </w:r>
            <w:proofErr w:type="spellEnd"/>
            <w:r w:rsidRPr="00677F4E">
              <w:rPr>
                <w:rFonts w:cs="Calibri"/>
                <w:sz w:val="20"/>
                <w:lang w:val="es-ES" w:bidi="ar-EG"/>
              </w:rPr>
              <w:t xml:space="preserve"> </w:t>
            </w:r>
            <w:proofErr w:type="spellStart"/>
            <w:r w:rsidRPr="00677F4E">
              <w:rPr>
                <w:rFonts w:cs="Calibri"/>
                <w:sz w:val="20"/>
                <w:lang w:val="es-ES" w:bidi="ar-EG"/>
              </w:rPr>
              <w:t>продукты</w:t>
            </w:r>
            <w:proofErr w:type="spellEnd"/>
            <w:r w:rsidRPr="00677F4E">
              <w:rPr>
                <w:rFonts w:cs="Calibri"/>
                <w:sz w:val="20"/>
                <w:lang w:val="es-ES" w:bidi="ar-EG"/>
              </w:rPr>
              <w:t xml:space="preserve"> и </w:t>
            </w:r>
            <w:proofErr w:type="spellStart"/>
            <w:r w:rsidRPr="00677F4E">
              <w:rPr>
                <w:rFonts w:cs="Calibri"/>
                <w:sz w:val="20"/>
                <w:lang w:val="es-ES" w:bidi="ar-EG"/>
              </w:rPr>
              <w:t>услуги</w:t>
            </w:r>
            <w:proofErr w:type="spellEnd"/>
          </w:p>
        </w:tc>
        <w:tc>
          <w:tcPr>
            <w:tcW w:w="1702" w:type="dxa"/>
            <w:shd w:val="clear" w:color="auto" w:fill="auto"/>
          </w:tcPr>
          <w:p w14:paraId="31DBBC3A"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Ofertas de productos y servicios</w:t>
            </w:r>
          </w:p>
        </w:tc>
      </w:tr>
      <w:tr w:rsidR="00D65BFA" w:rsidRPr="00766DB6" w14:paraId="50220448" w14:textId="77777777" w:rsidTr="000C39ED">
        <w:trPr>
          <w:trHeight w:val="284"/>
        </w:trPr>
        <w:tc>
          <w:tcPr>
            <w:tcW w:w="1696" w:type="dxa"/>
            <w:shd w:val="clear" w:color="auto" w:fill="auto"/>
          </w:tcPr>
          <w:p w14:paraId="45A99326"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Results-based</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budgeting</w:t>
            </w:r>
            <w:proofErr w:type="spellEnd"/>
          </w:p>
        </w:tc>
        <w:tc>
          <w:tcPr>
            <w:tcW w:w="1031" w:type="dxa"/>
            <w:shd w:val="clear" w:color="auto" w:fill="auto"/>
          </w:tcPr>
          <w:p w14:paraId="157EE3D0" w14:textId="77777777" w:rsidR="00D65BFA" w:rsidRPr="00766DB6" w:rsidRDefault="00D65BFA" w:rsidP="000C39ED">
            <w:pPr>
              <w:bidi/>
              <w:spacing w:before="20" w:after="20" w:line="280" w:lineRule="exact"/>
              <w:rPr>
                <w:rFonts w:cs="Traditional Arabic"/>
                <w:sz w:val="20"/>
                <w:lang w:val="es-ES" w:bidi="ar-EG"/>
              </w:rPr>
            </w:pPr>
            <w:proofErr w:type="spellStart"/>
            <w:r w:rsidRPr="00766DB6">
              <w:rPr>
                <w:rFonts w:cs="Traditional Arabic"/>
                <w:sz w:val="20"/>
                <w:rtl/>
                <w:lang w:val="es-ES" w:bidi="ar-EG"/>
              </w:rPr>
              <w:t>الميزنة</w:t>
            </w:r>
            <w:proofErr w:type="spellEnd"/>
            <w:r w:rsidRPr="00766DB6">
              <w:rPr>
                <w:rFonts w:cs="Traditional Arabic"/>
                <w:sz w:val="20"/>
                <w:rtl/>
                <w:lang w:val="es-ES" w:bidi="ar-EG"/>
              </w:rPr>
              <w:t xml:space="preserve"> على أساس النتائج</w:t>
            </w:r>
          </w:p>
        </w:tc>
        <w:tc>
          <w:tcPr>
            <w:tcW w:w="1917" w:type="dxa"/>
            <w:shd w:val="clear" w:color="auto" w:fill="auto"/>
          </w:tcPr>
          <w:p w14:paraId="3FF64F38"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基于结果的预算制定</w:t>
            </w:r>
            <w:proofErr w:type="spellEnd"/>
          </w:p>
        </w:tc>
        <w:tc>
          <w:tcPr>
            <w:tcW w:w="1492" w:type="dxa"/>
            <w:shd w:val="clear" w:color="auto" w:fill="auto"/>
          </w:tcPr>
          <w:p w14:paraId="6749FB12"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Budgétisation</w:t>
            </w:r>
            <w:proofErr w:type="spellEnd"/>
            <w:r w:rsidRPr="00766DB6">
              <w:rPr>
                <w:rFonts w:cs="Arial"/>
                <w:sz w:val="20"/>
                <w:lang w:val="es-ES" w:bidi="ar-EG"/>
              </w:rPr>
              <w:t xml:space="preserve"> </w:t>
            </w:r>
            <w:proofErr w:type="spellStart"/>
            <w:r w:rsidRPr="00766DB6">
              <w:rPr>
                <w:rFonts w:cs="Arial"/>
                <w:sz w:val="20"/>
                <w:lang w:val="es-ES" w:bidi="ar-EG"/>
              </w:rPr>
              <w:t>axée</w:t>
            </w:r>
            <w:proofErr w:type="spellEnd"/>
            <w:r w:rsidRPr="00766DB6">
              <w:rPr>
                <w:rFonts w:cs="Arial"/>
                <w:sz w:val="20"/>
                <w:lang w:val="es-ES" w:bidi="ar-EG"/>
              </w:rPr>
              <w:t xml:space="preserve"> sur les </w:t>
            </w:r>
            <w:proofErr w:type="spellStart"/>
            <w:r w:rsidRPr="00766DB6">
              <w:rPr>
                <w:rFonts w:cs="Arial"/>
                <w:sz w:val="20"/>
                <w:lang w:val="es-ES" w:bidi="ar-EG"/>
              </w:rPr>
              <w:t>résultats</w:t>
            </w:r>
            <w:proofErr w:type="spellEnd"/>
          </w:p>
        </w:tc>
        <w:tc>
          <w:tcPr>
            <w:tcW w:w="1984" w:type="dxa"/>
            <w:shd w:val="clear" w:color="auto" w:fill="auto"/>
          </w:tcPr>
          <w:p w14:paraId="1C31D8AD"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Составление</w:t>
            </w:r>
            <w:proofErr w:type="spellEnd"/>
            <w:r w:rsidRPr="00766DB6">
              <w:rPr>
                <w:rFonts w:cs="Calibri"/>
                <w:sz w:val="20"/>
                <w:lang w:val="es-ES" w:bidi="ar-EG"/>
              </w:rPr>
              <w:t xml:space="preserve"> </w:t>
            </w:r>
            <w:proofErr w:type="spellStart"/>
            <w:r w:rsidRPr="00766DB6">
              <w:rPr>
                <w:rFonts w:cs="Calibri"/>
                <w:sz w:val="20"/>
                <w:lang w:val="es-ES" w:bidi="ar-EG"/>
              </w:rPr>
              <w:t>бюджета</w:t>
            </w:r>
            <w:proofErr w:type="spellEnd"/>
            <w:r w:rsidRPr="00766DB6">
              <w:rPr>
                <w:rFonts w:cs="Calibri"/>
                <w:sz w:val="20"/>
                <w:lang w:val="es-ES" w:bidi="ar-EG"/>
              </w:rPr>
              <w:t xml:space="preserve">, </w:t>
            </w:r>
            <w:proofErr w:type="spellStart"/>
            <w:r w:rsidRPr="00766DB6">
              <w:rPr>
                <w:rFonts w:cs="Calibri"/>
                <w:sz w:val="20"/>
                <w:lang w:val="es-ES" w:bidi="ar-EG"/>
              </w:rPr>
              <w:t>ориентированного</w:t>
            </w:r>
            <w:proofErr w:type="spellEnd"/>
            <w:r w:rsidRPr="00766DB6">
              <w:rPr>
                <w:rFonts w:cs="Calibri"/>
                <w:sz w:val="20"/>
                <w:lang w:val="es-ES" w:bidi="ar-EG"/>
              </w:rPr>
              <w:t xml:space="preserve"> </w:t>
            </w:r>
            <w:proofErr w:type="spellStart"/>
            <w:r w:rsidRPr="00766DB6">
              <w:rPr>
                <w:rFonts w:cs="Calibri"/>
                <w:sz w:val="20"/>
                <w:lang w:val="es-ES" w:bidi="ar-EG"/>
              </w:rPr>
              <w:t>на</w:t>
            </w:r>
            <w:proofErr w:type="spellEnd"/>
            <w:r w:rsidRPr="00766DB6">
              <w:rPr>
                <w:rFonts w:cs="Calibri"/>
                <w:sz w:val="20"/>
                <w:lang w:val="es-ES" w:bidi="ar-EG"/>
              </w:rPr>
              <w:t xml:space="preserve"> </w:t>
            </w:r>
            <w:proofErr w:type="spellStart"/>
            <w:r w:rsidRPr="00766DB6">
              <w:rPr>
                <w:rFonts w:cs="Calibri"/>
                <w:sz w:val="20"/>
                <w:lang w:val="es-ES" w:bidi="ar-EG"/>
              </w:rPr>
              <w:t>результаты</w:t>
            </w:r>
            <w:proofErr w:type="spellEnd"/>
          </w:p>
        </w:tc>
        <w:tc>
          <w:tcPr>
            <w:tcW w:w="1702" w:type="dxa"/>
            <w:shd w:val="clear" w:color="auto" w:fill="auto"/>
          </w:tcPr>
          <w:p w14:paraId="3F523758"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Elaboración del Presupuesto basado en los resultados</w:t>
            </w:r>
          </w:p>
        </w:tc>
      </w:tr>
      <w:tr w:rsidR="00D65BFA" w:rsidRPr="00766DB6" w14:paraId="70950920" w14:textId="77777777" w:rsidTr="000C39ED">
        <w:trPr>
          <w:trHeight w:val="284"/>
        </w:trPr>
        <w:tc>
          <w:tcPr>
            <w:tcW w:w="1696" w:type="dxa"/>
            <w:shd w:val="clear" w:color="auto" w:fill="auto"/>
          </w:tcPr>
          <w:p w14:paraId="440B2BC7"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Results-based</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management</w:t>
            </w:r>
            <w:proofErr w:type="spellEnd"/>
            <w:r w:rsidRPr="00766DB6">
              <w:rPr>
                <w:rFonts w:cs="Traditional Arabic"/>
                <w:bCs/>
                <w:sz w:val="20"/>
                <w:lang w:val="es-ES" w:bidi="ar-EG"/>
              </w:rPr>
              <w:t xml:space="preserve"> </w:t>
            </w:r>
          </w:p>
        </w:tc>
        <w:tc>
          <w:tcPr>
            <w:tcW w:w="1031" w:type="dxa"/>
            <w:shd w:val="clear" w:color="auto" w:fill="auto"/>
          </w:tcPr>
          <w:p w14:paraId="7B9B412A"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الإدارة على أساس النتائج</w:t>
            </w:r>
          </w:p>
        </w:tc>
        <w:tc>
          <w:tcPr>
            <w:tcW w:w="1917" w:type="dxa"/>
            <w:shd w:val="clear" w:color="auto" w:fill="auto"/>
          </w:tcPr>
          <w:p w14:paraId="0E1FDA3A"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基于结果的管理</w:t>
            </w:r>
            <w:proofErr w:type="spellEnd"/>
          </w:p>
        </w:tc>
        <w:tc>
          <w:tcPr>
            <w:tcW w:w="1492" w:type="dxa"/>
            <w:shd w:val="clear" w:color="auto" w:fill="auto"/>
          </w:tcPr>
          <w:p w14:paraId="7703A12F"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Gestion</w:t>
            </w:r>
            <w:proofErr w:type="spellEnd"/>
            <w:r w:rsidRPr="00766DB6">
              <w:rPr>
                <w:rFonts w:cs="Arial"/>
                <w:sz w:val="20"/>
                <w:lang w:val="es-ES" w:bidi="ar-EG"/>
              </w:rPr>
              <w:t xml:space="preserve"> </w:t>
            </w:r>
            <w:proofErr w:type="spellStart"/>
            <w:r w:rsidRPr="00766DB6">
              <w:rPr>
                <w:rFonts w:cs="Arial"/>
                <w:sz w:val="20"/>
                <w:lang w:val="es-ES" w:bidi="ar-EG"/>
              </w:rPr>
              <w:t>axée</w:t>
            </w:r>
            <w:proofErr w:type="spellEnd"/>
            <w:r w:rsidRPr="00766DB6">
              <w:rPr>
                <w:rFonts w:cs="Arial"/>
                <w:sz w:val="20"/>
                <w:lang w:val="es-ES" w:bidi="ar-EG"/>
              </w:rPr>
              <w:t xml:space="preserve"> sur les </w:t>
            </w:r>
            <w:proofErr w:type="spellStart"/>
            <w:r w:rsidRPr="00766DB6">
              <w:rPr>
                <w:rFonts w:cs="Arial"/>
                <w:sz w:val="20"/>
                <w:lang w:val="es-ES" w:bidi="ar-EG"/>
              </w:rPr>
              <w:t>résultats</w:t>
            </w:r>
            <w:proofErr w:type="spellEnd"/>
          </w:p>
        </w:tc>
        <w:tc>
          <w:tcPr>
            <w:tcW w:w="1984" w:type="dxa"/>
            <w:shd w:val="clear" w:color="auto" w:fill="auto"/>
          </w:tcPr>
          <w:p w14:paraId="614B782A"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Управление</w:t>
            </w:r>
            <w:proofErr w:type="spellEnd"/>
            <w:r w:rsidRPr="00766DB6">
              <w:rPr>
                <w:rFonts w:cs="Calibri"/>
                <w:sz w:val="20"/>
                <w:lang w:val="es-ES" w:bidi="ar-EG"/>
              </w:rPr>
              <w:t xml:space="preserve">, </w:t>
            </w:r>
            <w:proofErr w:type="spellStart"/>
            <w:r w:rsidRPr="00766DB6">
              <w:rPr>
                <w:rFonts w:cs="Calibri"/>
                <w:sz w:val="20"/>
                <w:lang w:val="es-ES" w:bidi="ar-EG"/>
              </w:rPr>
              <w:t>ориентированное</w:t>
            </w:r>
            <w:proofErr w:type="spellEnd"/>
            <w:r w:rsidRPr="00766DB6">
              <w:rPr>
                <w:rFonts w:cs="Calibri"/>
                <w:sz w:val="20"/>
                <w:lang w:val="es-ES" w:bidi="ar-EG"/>
              </w:rPr>
              <w:t xml:space="preserve"> </w:t>
            </w:r>
            <w:proofErr w:type="spellStart"/>
            <w:r w:rsidRPr="00766DB6">
              <w:rPr>
                <w:rFonts w:cs="Calibri"/>
                <w:sz w:val="20"/>
                <w:lang w:val="es-ES" w:bidi="ar-EG"/>
              </w:rPr>
              <w:t>на</w:t>
            </w:r>
            <w:proofErr w:type="spellEnd"/>
            <w:r w:rsidRPr="00766DB6">
              <w:rPr>
                <w:rFonts w:cs="Calibri"/>
                <w:sz w:val="20"/>
                <w:lang w:val="es-ES" w:bidi="ar-EG"/>
              </w:rPr>
              <w:t xml:space="preserve"> </w:t>
            </w:r>
            <w:proofErr w:type="spellStart"/>
            <w:r w:rsidRPr="00766DB6">
              <w:rPr>
                <w:rFonts w:cs="Calibri"/>
                <w:sz w:val="20"/>
                <w:lang w:val="es-ES" w:bidi="ar-EG"/>
              </w:rPr>
              <w:t>результаты</w:t>
            </w:r>
            <w:proofErr w:type="spellEnd"/>
          </w:p>
        </w:tc>
        <w:tc>
          <w:tcPr>
            <w:tcW w:w="1702" w:type="dxa"/>
            <w:shd w:val="clear" w:color="auto" w:fill="auto"/>
          </w:tcPr>
          <w:p w14:paraId="274DD946"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Gestión basada en los resultados</w:t>
            </w:r>
          </w:p>
        </w:tc>
      </w:tr>
      <w:tr w:rsidR="00D65BFA" w:rsidRPr="00766DB6" w14:paraId="130A4FC8" w14:textId="77777777" w:rsidTr="000C39ED">
        <w:trPr>
          <w:trHeight w:val="284"/>
        </w:trPr>
        <w:tc>
          <w:tcPr>
            <w:tcW w:w="1696" w:type="dxa"/>
            <w:shd w:val="clear" w:color="auto" w:fill="auto"/>
          </w:tcPr>
          <w:p w14:paraId="208C0165"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Results</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framework</w:t>
            </w:r>
            <w:proofErr w:type="spellEnd"/>
          </w:p>
        </w:tc>
        <w:tc>
          <w:tcPr>
            <w:tcW w:w="1031" w:type="dxa"/>
            <w:shd w:val="clear" w:color="auto" w:fill="auto"/>
          </w:tcPr>
          <w:p w14:paraId="361E4168" w14:textId="77777777" w:rsidR="00D65BFA" w:rsidRPr="00766DB6" w:rsidRDefault="00D65BFA" w:rsidP="000C39ED">
            <w:pPr>
              <w:bidi/>
              <w:spacing w:before="20" w:after="20" w:line="280" w:lineRule="exact"/>
              <w:rPr>
                <w:rFonts w:cs="Traditional Arabic"/>
                <w:sz w:val="20"/>
                <w:rtl/>
                <w:lang w:val="es-ES" w:bidi="ar-EG"/>
              </w:rPr>
            </w:pPr>
            <w:r w:rsidRPr="00766DB6">
              <w:rPr>
                <w:rFonts w:cs="Traditional Arabic"/>
                <w:sz w:val="20"/>
                <w:rtl/>
                <w:lang w:val="es-ES" w:bidi="ar-EG"/>
              </w:rPr>
              <w:t>إطار النتائج</w:t>
            </w:r>
          </w:p>
        </w:tc>
        <w:tc>
          <w:tcPr>
            <w:tcW w:w="1917" w:type="dxa"/>
            <w:shd w:val="clear" w:color="auto" w:fill="auto"/>
          </w:tcPr>
          <w:p w14:paraId="41BFF1B9"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结果框架</w:t>
            </w:r>
            <w:proofErr w:type="spellEnd"/>
          </w:p>
        </w:tc>
        <w:tc>
          <w:tcPr>
            <w:tcW w:w="1492" w:type="dxa"/>
            <w:shd w:val="clear" w:color="auto" w:fill="auto"/>
          </w:tcPr>
          <w:p w14:paraId="7BA90FDC"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 xml:space="preserve">Cadre de </w:t>
            </w:r>
            <w:proofErr w:type="spellStart"/>
            <w:r w:rsidRPr="00766DB6">
              <w:rPr>
                <w:rFonts w:cs="Arial"/>
                <w:sz w:val="20"/>
                <w:lang w:val="es-ES" w:bidi="ar-EG"/>
              </w:rPr>
              <w:t>présentation</w:t>
            </w:r>
            <w:proofErr w:type="spellEnd"/>
            <w:r w:rsidRPr="00766DB6">
              <w:rPr>
                <w:rFonts w:cs="Arial"/>
                <w:sz w:val="20"/>
                <w:lang w:val="es-ES" w:bidi="ar-EG"/>
              </w:rPr>
              <w:t xml:space="preserve"> des </w:t>
            </w:r>
            <w:proofErr w:type="spellStart"/>
            <w:r w:rsidRPr="00766DB6">
              <w:rPr>
                <w:rFonts w:cs="Arial"/>
                <w:sz w:val="20"/>
                <w:lang w:val="es-ES" w:bidi="ar-EG"/>
              </w:rPr>
              <w:t>résultats</w:t>
            </w:r>
            <w:proofErr w:type="spellEnd"/>
          </w:p>
        </w:tc>
        <w:tc>
          <w:tcPr>
            <w:tcW w:w="1984" w:type="dxa"/>
            <w:shd w:val="clear" w:color="auto" w:fill="auto"/>
          </w:tcPr>
          <w:p w14:paraId="1FD259F8"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Структура</w:t>
            </w:r>
            <w:proofErr w:type="spellEnd"/>
            <w:r w:rsidRPr="00766DB6">
              <w:rPr>
                <w:rFonts w:cs="Arial"/>
                <w:sz w:val="20"/>
                <w:lang w:val="es-ES" w:bidi="ar-EG"/>
              </w:rPr>
              <w:t xml:space="preserve"> </w:t>
            </w:r>
            <w:proofErr w:type="spellStart"/>
            <w:r w:rsidRPr="00766DB6">
              <w:rPr>
                <w:rFonts w:cs="Arial"/>
                <w:sz w:val="20"/>
                <w:lang w:val="es-ES" w:bidi="ar-EG"/>
              </w:rPr>
              <w:t>результатов</w:t>
            </w:r>
            <w:proofErr w:type="spellEnd"/>
          </w:p>
        </w:tc>
        <w:tc>
          <w:tcPr>
            <w:tcW w:w="1702" w:type="dxa"/>
            <w:shd w:val="clear" w:color="auto" w:fill="auto"/>
          </w:tcPr>
          <w:p w14:paraId="63D23A0F"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Marco de resultados</w:t>
            </w:r>
          </w:p>
        </w:tc>
      </w:tr>
      <w:tr w:rsidR="00D65BFA" w:rsidRPr="00766DB6" w14:paraId="56F38607" w14:textId="77777777" w:rsidTr="000C39ED">
        <w:trPr>
          <w:trHeight w:val="284"/>
        </w:trPr>
        <w:tc>
          <w:tcPr>
            <w:tcW w:w="1696" w:type="dxa"/>
            <w:shd w:val="clear" w:color="auto" w:fill="auto"/>
          </w:tcPr>
          <w:p w14:paraId="0DA36894" w14:textId="77777777" w:rsidR="00D65BFA" w:rsidRPr="00766DB6" w:rsidRDefault="00D65BFA" w:rsidP="000C39ED">
            <w:pPr>
              <w:spacing w:before="20" w:after="20" w:line="280" w:lineRule="exact"/>
              <w:rPr>
                <w:rFonts w:cs="Arial"/>
                <w:b/>
                <w:bCs/>
                <w:sz w:val="20"/>
                <w:lang w:val="es-ES" w:bidi="ar-EG"/>
              </w:rPr>
            </w:pPr>
            <w:proofErr w:type="spellStart"/>
            <w:r w:rsidRPr="00766DB6">
              <w:rPr>
                <w:rFonts w:cs="Traditional Arabic"/>
                <w:bCs/>
                <w:sz w:val="20"/>
                <w:lang w:val="es-ES" w:bidi="ar-EG"/>
              </w:rPr>
              <w:t>Strategic</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goals</w:t>
            </w:r>
            <w:proofErr w:type="spellEnd"/>
          </w:p>
        </w:tc>
        <w:tc>
          <w:tcPr>
            <w:tcW w:w="1031" w:type="dxa"/>
            <w:shd w:val="clear" w:color="auto" w:fill="auto"/>
          </w:tcPr>
          <w:p w14:paraId="50EF9CBA"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الغايات الاستراتيجية</w:t>
            </w:r>
          </w:p>
        </w:tc>
        <w:tc>
          <w:tcPr>
            <w:tcW w:w="1917" w:type="dxa"/>
            <w:shd w:val="clear" w:color="auto" w:fill="auto"/>
          </w:tcPr>
          <w:p w14:paraId="135C76CC"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总体战略目标</w:t>
            </w:r>
            <w:proofErr w:type="spellEnd"/>
          </w:p>
        </w:tc>
        <w:tc>
          <w:tcPr>
            <w:tcW w:w="1492" w:type="dxa"/>
            <w:shd w:val="clear" w:color="auto" w:fill="auto"/>
          </w:tcPr>
          <w:p w14:paraId="5D4620D0"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Buts</w:t>
            </w:r>
            <w:proofErr w:type="spellEnd"/>
            <w:r w:rsidRPr="00766DB6">
              <w:rPr>
                <w:rFonts w:cs="Arial"/>
                <w:sz w:val="20"/>
                <w:lang w:val="es-ES" w:bidi="ar-EG"/>
              </w:rPr>
              <w:t xml:space="preserve"> </w:t>
            </w:r>
            <w:proofErr w:type="spellStart"/>
            <w:r w:rsidRPr="00766DB6">
              <w:rPr>
                <w:rFonts w:cs="Arial"/>
                <w:sz w:val="20"/>
                <w:lang w:val="es-ES" w:bidi="ar-EG"/>
              </w:rPr>
              <w:t>stratégiques</w:t>
            </w:r>
            <w:proofErr w:type="spellEnd"/>
          </w:p>
        </w:tc>
        <w:tc>
          <w:tcPr>
            <w:tcW w:w="1984" w:type="dxa"/>
            <w:shd w:val="clear" w:color="auto" w:fill="auto"/>
          </w:tcPr>
          <w:p w14:paraId="6665A7F2"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Стратегические</w:t>
            </w:r>
            <w:proofErr w:type="spellEnd"/>
            <w:r w:rsidRPr="00766DB6">
              <w:rPr>
                <w:rFonts w:cs="Calibri"/>
                <w:sz w:val="20"/>
                <w:lang w:val="es-ES" w:bidi="ar-EG"/>
              </w:rPr>
              <w:t xml:space="preserve"> </w:t>
            </w:r>
            <w:proofErr w:type="spellStart"/>
            <w:r w:rsidRPr="00766DB6">
              <w:rPr>
                <w:rFonts w:cs="Calibri"/>
                <w:sz w:val="20"/>
                <w:lang w:val="es-ES" w:bidi="ar-EG"/>
              </w:rPr>
              <w:t>цели</w:t>
            </w:r>
            <w:proofErr w:type="spellEnd"/>
          </w:p>
        </w:tc>
        <w:tc>
          <w:tcPr>
            <w:tcW w:w="1702" w:type="dxa"/>
            <w:shd w:val="clear" w:color="auto" w:fill="auto"/>
          </w:tcPr>
          <w:p w14:paraId="64E8EDB1"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Metas estratégicas</w:t>
            </w:r>
          </w:p>
        </w:tc>
      </w:tr>
      <w:tr w:rsidR="00D65BFA" w:rsidRPr="00766DB6" w14:paraId="5119D206" w14:textId="77777777" w:rsidTr="000C39ED">
        <w:trPr>
          <w:trHeight w:val="284"/>
        </w:trPr>
        <w:tc>
          <w:tcPr>
            <w:tcW w:w="1696" w:type="dxa"/>
            <w:shd w:val="clear" w:color="auto" w:fill="auto"/>
          </w:tcPr>
          <w:p w14:paraId="57699581"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Strategic</w:t>
            </w:r>
            <w:proofErr w:type="spellEnd"/>
            <w:r w:rsidRPr="00766DB6">
              <w:rPr>
                <w:rFonts w:cs="Traditional Arabic"/>
                <w:bCs/>
                <w:sz w:val="20"/>
                <w:lang w:val="es-ES" w:bidi="ar-EG"/>
              </w:rPr>
              <w:t xml:space="preserve"> plan</w:t>
            </w:r>
          </w:p>
        </w:tc>
        <w:tc>
          <w:tcPr>
            <w:tcW w:w="1031" w:type="dxa"/>
            <w:shd w:val="clear" w:color="auto" w:fill="auto"/>
          </w:tcPr>
          <w:p w14:paraId="08996356"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الخطة الاستراتيجية</w:t>
            </w:r>
          </w:p>
        </w:tc>
        <w:tc>
          <w:tcPr>
            <w:tcW w:w="1917" w:type="dxa"/>
            <w:shd w:val="clear" w:color="auto" w:fill="auto"/>
          </w:tcPr>
          <w:p w14:paraId="7F849C2D"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战略规划</w:t>
            </w:r>
            <w:proofErr w:type="spellEnd"/>
          </w:p>
        </w:tc>
        <w:tc>
          <w:tcPr>
            <w:tcW w:w="1492" w:type="dxa"/>
            <w:shd w:val="clear" w:color="auto" w:fill="auto"/>
          </w:tcPr>
          <w:p w14:paraId="1D68648F"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 xml:space="preserve">Plan </w:t>
            </w:r>
            <w:proofErr w:type="spellStart"/>
            <w:r w:rsidRPr="00766DB6">
              <w:rPr>
                <w:rFonts w:cs="Arial"/>
                <w:sz w:val="20"/>
                <w:lang w:val="es-ES" w:bidi="ar-EG"/>
              </w:rPr>
              <w:t>stratégique</w:t>
            </w:r>
            <w:proofErr w:type="spellEnd"/>
          </w:p>
        </w:tc>
        <w:tc>
          <w:tcPr>
            <w:tcW w:w="1984" w:type="dxa"/>
            <w:shd w:val="clear" w:color="auto" w:fill="auto"/>
          </w:tcPr>
          <w:p w14:paraId="48E67F51"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Стратегический</w:t>
            </w:r>
            <w:proofErr w:type="spellEnd"/>
            <w:r w:rsidRPr="00766DB6">
              <w:rPr>
                <w:rFonts w:cs="Calibri"/>
                <w:sz w:val="20"/>
                <w:lang w:val="es-ES" w:bidi="ar-EG"/>
              </w:rPr>
              <w:t xml:space="preserve"> </w:t>
            </w:r>
            <w:proofErr w:type="spellStart"/>
            <w:r w:rsidRPr="00766DB6">
              <w:rPr>
                <w:rFonts w:cs="Calibri"/>
                <w:sz w:val="20"/>
                <w:lang w:val="es-ES" w:bidi="ar-EG"/>
              </w:rPr>
              <w:t>план</w:t>
            </w:r>
            <w:proofErr w:type="spellEnd"/>
          </w:p>
        </w:tc>
        <w:tc>
          <w:tcPr>
            <w:tcW w:w="1702" w:type="dxa"/>
            <w:shd w:val="clear" w:color="auto" w:fill="auto"/>
          </w:tcPr>
          <w:p w14:paraId="4DAF1733"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Plan Estratégico</w:t>
            </w:r>
          </w:p>
        </w:tc>
      </w:tr>
      <w:tr w:rsidR="00D65BFA" w:rsidRPr="00766DB6" w14:paraId="7C22D1A6" w14:textId="77777777" w:rsidTr="000C39ED">
        <w:trPr>
          <w:trHeight w:val="284"/>
        </w:trPr>
        <w:tc>
          <w:tcPr>
            <w:tcW w:w="1696" w:type="dxa"/>
            <w:shd w:val="clear" w:color="auto" w:fill="auto"/>
          </w:tcPr>
          <w:p w14:paraId="669B097E"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Strategic</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risks</w:t>
            </w:r>
            <w:proofErr w:type="spellEnd"/>
          </w:p>
        </w:tc>
        <w:tc>
          <w:tcPr>
            <w:tcW w:w="1031" w:type="dxa"/>
            <w:shd w:val="clear" w:color="auto" w:fill="auto"/>
          </w:tcPr>
          <w:p w14:paraId="64C81464"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المخاطر الاستراتيجية</w:t>
            </w:r>
          </w:p>
        </w:tc>
        <w:tc>
          <w:tcPr>
            <w:tcW w:w="1917" w:type="dxa"/>
            <w:shd w:val="clear" w:color="auto" w:fill="auto"/>
          </w:tcPr>
          <w:p w14:paraId="6AC33690"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战略风险</w:t>
            </w:r>
            <w:proofErr w:type="spellEnd"/>
          </w:p>
        </w:tc>
        <w:tc>
          <w:tcPr>
            <w:tcW w:w="1492" w:type="dxa"/>
            <w:shd w:val="clear" w:color="auto" w:fill="auto"/>
          </w:tcPr>
          <w:p w14:paraId="5E112447"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 xml:space="preserve">Risques </w:t>
            </w:r>
            <w:proofErr w:type="spellStart"/>
            <w:r w:rsidRPr="00766DB6">
              <w:rPr>
                <w:rFonts w:cs="Arial"/>
                <w:sz w:val="20"/>
                <w:lang w:val="es-ES" w:bidi="ar-EG"/>
              </w:rPr>
              <w:t>stratégiques</w:t>
            </w:r>
            <w:proofErr w:type="spellEnd"/>
          </w:p>
        </w:tc>
        <w:tc>
          <w:tcPr>
            <w:tcW w:w="1984" w:type="dxa"/>
            <w:shd w:val="clear" w:color="auto" w:fill="auto"/>
          </w:tcPr>
          <w:p w14:paraId="52A99C32"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Стратегические</w:t>
            </w:r>
            <w:proofErr w:type="spellEnd"/>
            <w:r w:rsidRPr="00766DB6">
              <w:rPr>
                <w:rFonts w:cs="Calibri"/>
                <w:sz w:val="20"/>
                <w:lang w:val="es-ES" w:bidi="ar-EG"/>
              </w:rPr>
              <w:t xml:space="preserve"> </w:t>
            </w:r>
            <w:proofErr w:type="spellStart"/>
            <w:r w:rsidRPr="00766DB6">
              <w:rPr>
                <w:rFonts w:cs="Calibri"/>
                <w:sz w:val="20"/>
                <w:lang w:val="es-ES" w:bidi="ar-EG"/>
              </w:rPr>
              <w:t>риски</w:t>
            </w:r>
            <w:proofErr w:type="spellEnd"/>
          </w:p>
        </w:tc>
        <w:tc>
          <w:tcPr>
            <w:tcW w:w="1702" w:type="dxa"/>
            <w:shd w:val="clear" w:color="auto" w:fill="auto"/>
          </w:tcPr>
          <w:p w14:paraId="4FDA134A"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Riesgos estratégicos</w:t>
            </w:r>
          </w:p>
        </w:tc>
      </w:tr>
      <w:tr w:rsidR="00D65BFA" w:rsidRPr="00766DB6" w14:paraId="4F544275" w14:textId="77777777" w:rsidTr="000C39ED">
        <w:trPr>
          <w:trHeight w:val="284"/>
        </w:trPr>
        <w:tc>
          <w:tcPr>
            <w:tcW w:w="1696" w:type="dxa"/>
            <w:shd w:val="clear" w:color="auto" w:fill="auto"/>
          </w:tcPr>
          <w:p w14:paraId="5ED1D05A"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Strategic</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risk</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management</w:t>
            </w:r>
            <w:proofErr w:type="spellEnd"/>
            <w:r w:rsidRPr="00766DB6">
              <w:rPr>
                <w:rFonts w:cs="Traditional Arabic"/>
                <w:bCs/>
                <w:sz w:val="20"/>
                <w:lang w:val="es-ES" w:bidi="ar-EG"/>
              </w:rPr>
              <w:t xml:space="preserve"> </w:t>
            </w:r>
          </w:p>
        </w:tc>
        <w:tc>
          <w:tcPr>
            <w:tcW w:w="1031" w:type="dxa"/>
            <w:shd w:val="clear" w:color="auto" w:fill="auto"/>
          </w:tcPr>
          <w:p w14:paraId="3233010F"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إدارة المخاطر الاستراتيجية</w:t>
            </w:r>
          </w:p>
        </w:tc>
        <w:tc>
          <w:tcPr>
            <w:tcW w:w="1917" w:type="dxa"/>
            <w:shd w:val="clear" w:color="auto" w:fill="auto"/>
          </w:tcPr>
          <w:p w14:paraId="69BC79A8"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战略风险管理</w:t>
            </w:r>
            <w:proofErr w:type="spellEnd"/>
          </w:p>
        </w:tc>
        <w:tc>
          <w:tcPr>
            <w:tcW w:w="1492" w:type="dxa"/>
            <w:shd w:val="clear" w:color="auto" w:fill="auto"/>
          </w:tcPr>
          <w:p w14:paraId="7E9420BB"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Gestion</w:t>
            </w:r>
            <w:proofErr w:type="spellEnd"/>
            <w:r w:rsidRPr="00766DB6">
              <w:rPr>
                <w:rFonts w:cs="Arial"/>
                <w:sz w:val="20"/>
                <w:lang w:val="es-ES" w:bidi="ar-EG"/>
              </w:rPr>
              <w:t xml:space="preserve"> des risques </w:t>
            </w:r>
            <w:proofErr w:type="spellStart"/>
            <w:r w:rsidRPr="00766DB6">
              <w:rPr>
                <w:rFonts w:cs="Arial"/>
                <w:sz w:val="20"/>
                <w:lang w:val="es-ES" w:bidi="ar-EG"/>
              </w:rPr>
              <w:t>stratégiques</w:t>
            </w:r>
            <w:proofErr w:type="spellEnd"/>
          </w:p>
        </w:tc>
        <w:tc>
          <w:tcPr>
            <w:tcW w:w="1984" w:type="dxa"/>
            <w:shd w:val="clear" w:color="auto" w:fill="auto"/>
          </w:tcPr>
          <w:p w14:paraId="13B8AC0F"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Управление</w:t>
            </w:r>
            <w:proofErr w:type="spellEnd"/>
            <w:r w:rsidRPr="00766DB6">
              <w:rPr>
                <w:rFonts w:cs="Calibri"/>
                <w:sz w:val="20"/>
                <w:lang w:val="es-ES" w:bidi="ar-EG"/>
              </w:rPr>
              <w:t xml:space="preserve"> </w:t>
            </w:r>
            <w:proofErr w:type="spellStart"/>
            <w:r w:rsidRPr="00766DB6">
              <w:rPr>
                <w:rFonts w:cs="Calibri"/>
                <w:sz w:val="20"/>
                <w:lang w:val="es-ES" w:bidi="ar-EG"/>
              </w:rPr>
              <w:t>стратегическими</w:t>
            </w:r>
            <w:proofErr w:type="spellEnd"/>
            <w:r w:rsidRPr="00766DB6">
              <w:rPr>
                <w:rFonts w:cs="Calibri"/>
                <w:sz w:val="20"/>
                <w:lang w:val="es-ES" w:bidi="ar-EG"/>
              </w:rPr>
              <w:t xml:space="preserve"> </w:t>
            </w:r>
            <w:proofErr w:type="spellStart"/>
            <w:r w:rsidRPr="00766DB6">
              <w:rPr>
                <w:rFonts w:cs="Calibri"/>
                <w:sz w:val="20"/>
                <w:lang w:val="es-ES" w:bidi="ar-EG"/>
              </w:rPr>
              <w:t>рисками</w:t>
            </w:r>
            <w:proofErr w:type="spellEnd"/>
          </w:p>
        </w:tc>
        <w:tc>
          <w:tcPr>
            <w:tcW w:w="1702" w:type="dxa"/>
            <w:shd w:val="clear" w:color="auto" w:fill="auto"/>
          </w:tcPr>
          <w:p w14:paraId="2EAD7452"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Gestión de riesgos estratégicos</w:t>
            </w:r>
          </w:p>
        </w:tc>
      </w:tr>
      <w:tr w:rsidR="00D65BFA" w:rsidRPr="00766DB6" w14:paraId="18C7F4B4" w14:textId="77777777" w:rsidTr="000C39ED">
        <w:trPr>
          <w:trHeight w:val="284"/>
        </w:trPr>
        <w:tc>
          <w:tcPr>
            <w:tcW w:w="1696" w:type="dxa"/>
            <w:shd w:val="clear" w:color="auto" w:fill="auto"/>
          </w:tcPr>
          <w:p w14:paraId="6E866615" w14:textId="77777777" w:rsidR="00D65BFA" w:rsidRPr="007020EA" w:rsidRDefault="00D65BFA" w:rsidP="000C39ED">
            <w:pPr>
              <w:spacing w:before="20" w:after="20" w:line="280" w:lineRule="exact"/>
              <w:rPr>
                <w:rFonts w:cs="Traditional Arabic"/>
                <w:bCs/>
                <w:sz w:val="20"/>
                <w:lang w:val="en-US" w:bidi="ar-EG"/>
              </w:rPr>
            </w:pPr>
            <w:r w:rsidRPr="007020EA">
              <w:rPr>
                <w:rFonts w:cs="Traditional Arabic"/>
                <w:bCs/>
                <w:sz w:val="20"/>
                <w:lang w:val="en-US" w:bidi="ar-EG"/>
              </w:rPr>
              <w:lastRenderedPageBreak/>
              <w:t>Strengths, Weakness, Opportunities and Threats (SWOT) analysis</w:t>
            </w:r>
          </w:p>
        </w:tc>
        <w:tc>
          <w:tcPr>
            <w:tcW w:w="1031" w:type="dxa"/>
            <w:shd w:val="clear" w:color="auto" w:fill="auto"/>
          </w:tcPr>
          <w:p w14:paraId="35071CD4" w14:textId="77777777" w:rsidR="00D65BFA" w:rsidRPr="00766DB6" w:rsidRDefault="00D65BFA" w:rsidP="000C39ED">
            <w:pPr>
              <w:bidi/>
              <w:spacing w:before="20" w:after="20" w:line="280" w:lineRule="exact"/>
              <w:rPr>
                <w:rFonts w:cs="Traditional Arabic"/>
                <w:sz w:val="20"/>
                <w:rtl/>
                <w:lang w:val="es-ES" w:bidi="ar-EG"/>
              </w:rPr>
            </w:pPr>
            <w:r w:rsidRPr="00766DB6">
              <w:rPr>
                <w:rFonts w:cs="Traditional Arabic"/>
                <w:sz w:val="20"/>
                <w:rtl/>
                <w:lang w:val="es-ES"/>
              </w:rPr>
              <w:t xml:space="preserve">تحليل </w:t>
            </w:r>
            <w:r w:rsidRPr="00766DB6">
              <w:rPr>
                <w:rFonts w:cs="Traditional Arabic"/>
                <w:sz w:val="20"/>
                <w:rtl/>
                <w:lang w:val="es-ES" w:bidi="ar-EG"/>
              </w:rPr>
              <w:t xml:space="preserve">مواطن القوة والضَعْف والفرص </w:t>
            </w:r>
            <w:r w:rsidRPr="00766DB6">
              <w:rPr>
                <w:rFonts w:cs="Traditional Arabic"/>
                <w:sz w:val="20"/>
                <w:rtl/>
                <w:lang w:val="es-ES"/>
              </w:rPr>
              <w:t xml:space="preserve">والمخاطر </w:t>
            </w:r>
            <w:r w:rsidRPr="007020EA">
              <w:rPr>
                <w:rFonts w:cs="Traditional Arabic"/>
                <w:sz w:val="20"/>
                <w:lang w:val="en-US" w:bidi="ar-EG"/>
              </w:rPr>
              <w:t>(SWOT)</w:t>
            </w:r>
          </w:p>
        </w:tc>
        <w:tc>
          <w:tcPr>
            <w:tcW w:w="1917" w:type="dxa"/>
            <w:shd w:val="clear" w:color="auto" w:fill="auto"/>
          </w:tcPr>
          <w:p w14:paraId="6CE9CBC0" w14:textId="77777777" w:rsidR="00D65BFA" w:rsidRPr="00766DB6" w:rsidRDefault="00D65BFA" w:rsidP="000C39ED">
            <w:pPr>
              <w:spacing w:before="20" w:after="20" w:line="280" w:lineRule="exact"/>
              <w:rPr>
                <w:rFonts w:ascii="Times New Roman" w:eastAsia="SimSun" w:hAnsi="Times New Roman"/>
                <w:sz w:val="20"/>
                <w:lang w:val="es-ES" w:eastAsia="zh-CN" w:bidi="ar-EG"/>
              </w:rPr>
            </w:pPr>
            <w:r w:rsidRPr="00766DB6">
              <w:rPr>
                <w:rFonts w:ascii="Times New Roman" w:eastAsia="SimSun" w:hAnsi="Times New Roman"/>
                <w:sz w:val="20"/>
                <w:lang w:val="es-ES" w:eastAsia="zh-CN" w:bidi="ar-EG"/>
              </w:rPr>
              <w:t>优势、劣势、机会与威胁</w:t>
            </w:r>
            <w:r w:rsidRPr="00766DB6">
              <w:rPr>
                <w:rFonts w:ascii="Times New Roman" w:eastAsia="SimSun" w:hAnsi="Times New Roman"/>
                <w:lang w:val="es-ES" w:eastAsia="zh-CN"/>
              </w:rPr>
              <w:t>（</w:t>
            </w:r>
            <w:r w:rsidRPr="00766DB6">
              <w:rPr>
                <w:rFonts w:ascii="Times New Roman" w:eastAsia="SimSun" w:hAnsi="Times New Roman"/>
                <w:lang w:val="es-ES" w:eastAsia="zh-CN"/>
              </w:rPr>
              <w:t>SWOT</w:t>
            </w:r>
            <w:r w:rsidRPr="00766DB6">
              <w:rPr>
                <w:rFonts w:ascii="Times New Roman" w:eastAsia="SimSun" w:hAnsi="Times New Roman"/>
                <w:lang w:val="es-ES" w:eastAsia="zh-CN"/>
              </w:rPr>
              <w:t>）</w:t>
            </w:r>
            <w:r w:rsidRPr="00766DB6">
              <w:rPr>
                <w:rFonts w:ascii="Times New Roman" w:eastAsia="SimSun" w:hAnsi="Times New Roman"/>
                <w:sz w:val="20"/>
                <w:lang w:val="es-ES" w:eastAsia="zh-CN" w:bidi="ar-EG"/>
              </w:rPr>
              <w:t>分析</w:t>
            </w:r>
          </w:p>
        </w:tc>
        <w:tc>
          <w:tcPr>
            <w:tcW w:w="1492" w:type="dxa"/>
            <w:shd w:val="clear" w:color="auto" w:fill="auto"/>
          </w:tcPr>
          <w:p w14:paraId="603A83AD" w14:textId="77777777" w:rsidR="00D65BFA" w:rsidRPr="005F2BBA" w:rsidRDefault="00D65BFA" w:rsidP="000C39ED">
            <w:pPr>
              <w:spacing w:before="20" w:after="20" w:line="280" w:lineRule="exact"/>
              <w:rPr>
                <w:rFonts w:cs="Arial"/>
                <w:sz w:val="20"/>
                <w:lang w:val="fr-FR" w:bidi="ar-EG"/>
              </w:rPr>
            </w:pPr>
            <w:bookmarkStart w:id="10" w:name="lt_pId068"/>
            <w:r w:rsidRPr="005F2BBA">
              <w:rPr>
                <w:rFonts w:cs="Arial"/>
                <w:sz w:val="20"/>
                <w:lang w:val="fr-FR" w:bidi="ar-EG"/>
              </w:rPr>
              <w:t>Analyse des forces, faiblesses, possibilités et menaces (SWOT)</w:t>
            </w:r>
            <w:bookmarkEnd w:id="10"/>
          </w:p>
        </w:tc>
        <w:tc>
          <w:tcPr>
            <w:tcW w:w="1984" w:type="dxa"/>
            <w:shd w:val="clear" w:color="auto" w:fill="auto"/>
          </w:tcPr>
          <w:p w14:paraId="3FDA78A9" w14:textId="77777777" w:rsidR="00D65BFA" w:rsidRPr="005F2BBA" w:rsidRDefault="00D65BFA" w:rsidP="000C39ED">
            <w:pPr>
              <w:spacing w:before="20" w:after="20" w:line="280" w:lineRule="exact"/>
              <w:rPr>
                <w:rFonts w:cs="Calibri"/>
                <w:sz w:val="20"/>
                <w:lang w:val="fr-FR" w:bidi="ar-EG"/>
              </w:rPr>
            </w:pPr>
            <w:proofErr w:type="spellStart"/>
            <w:r w:rsidRPr="00766DB6">
              <w:rPr>
                <w:rFonts w:cs="Calibri"/>
                <w:sz w:val="20"/>
                <w:lang w:val="es-ES" w:bidi="ar-EG"/>
              </w:rPr>
              <w:t>Анализ</w:t>
            </w:r>
            <w:proofErr w:type="spellEnd"/>
            <w:r w:rsidRPr="005F2BBA">
              <w:rPr>
                <w:rFonts w:cs="Calibri"/>
                <w:sz w:val="20"/>
                <w:lang w:val="fr-FR" w:bidi="ar-EG"/>
              </w:rPr>
              <w:t xml:space="preserve"> </w:t>
            </w:r>
            <w:proofErr w:type="spellStart"/>
            <w:r w:rsidRPr="00766DB6">
              <w:rPr>
                <w:rFonts w:cs="Calibri"/>
                <w:sz w:val="20"/>
                <w:lang w:val="es-ES" w:bidi="ar-EG"/>
              </w:rPr>
              <w:t>сильных</w:t>
            </w:r>
            <w:proofErr w:type="spellEnd"/>
            <w:r w:rsidRPr="005F2BBA">
              <w:rPr>
                <w:rFonts w:cs="Calibri"/>
                <w:sz w:val="20"/>
                <w:lang w:val="fr-FR" w:bidi="ar-EG"/>
              </w:rPr>
              <w:t xml:space="preserve"> </w:t>
            </w:r>
            <w:r w:rsidRPr="00766DB6">
              <w:rPr>
                <w:rFonts w:cs="Calibri"/>
                <w:sz w:val="20"/>
                <w:lang w:val="es-ES" w:bidi="ar-EG"/>
              </w:rPr>
              <w:t>и</w:t>
            </w:r>
            <w:r w:rsidRPr="005F2BBA">
              <w:rPr>
                <w:rFonts w:cs="Calibri"/>
                <w:sz w:val="20"/>
                <w:lang w:val="fr-FR" w:bidi="ar-EG"/>
              </w:rPr>
              <w:t xml:space="preserve"> </w:t>
            </w:r>
            <w:proofErr w:type="spellStart"/>
            <w:r w:rsidRPr="00766DB6">
              <w:rPr>
                <w:rFonts w:cs="Calibri"/>
                <w:sz w:val="20"/>
                <w:lang w:val="es-ES" w:bidi="ar-EG"/>
              </w:rPr>
              <w:t>слабых</w:t>
            </w:r>
            <w:proofErr w:type="spellEnd"/>
            <w:r w:rsidRPr="005F2BBA">
              <w:rPr>
                <w:rFonts w:cs="Calibri"/>
                <w:sz w:val="20"/>
                <w:lang w:val="fr-FR" w:bidi="ar-EG"/>
              </w:rPr>
              <w:t xml:space="preserve"> </w:t>
            </w:r>
            <w:proofErr w:type="spellStart"/>
            <w:r w:rsidRPr="00766DB6">
              <w:rPr>
                <w:rFonts w:cs="Calibri"/>
                <w:sz w:val="20"/>
                <w:lang w:val="es-ES" w:bidi="ar-EG"/>
              </w:rPr>
              <w:t>сторон</w:t>
            </w:r>
            <w:proofErr w:type="spellEnd"/>
            <w:r w:rsidRPr="005F2BBA">
              <w:rPr>
                <w:rFonts w:cs="Calibri"/>
                <w:sz w:val="20"/>
                <w:lang w:val="fr-FR" w:bidi="ar-EG"/>
              </w:rPr>
              <w:t xml:space="preserve">, </w:t>
            </w:r>
            <w:proofErr w:type="spellStart"/>
            <w:r w:rsidRPr="00766DB6">
              <w:rPr>
                <w:rFonts w:cs="Calibri"/>
                <w:sz w:val="20"/>
                <w:lang w:val="es-ES" w:bidi="ar-EG"/>
              </w:rPr>
              <w:t>возможностей</w:t>
            </w:r>
            <w:proofErr w:type="spellEnd"/>
            <w:r w:rsidRPr="005F2BBA">
              <w:rPr>
                <w:rFonts w:cs="Calibri"/>
                <w:sz w:val="20"/>
                <w:lang w:val="fr-FR" w:bidi="ar-EG"/>
              </w:rPr>
              <w:t xml:space="preserve"> </w:t>
            </w:r>
            <w:r w:rsidRPr="00766DB6">
              <w:rPr>
                <w:rFonts w:cs="Calibri"/>
                <w:sz w:val="20"/>
                <w:lang w:val="es-ES" w:bidi="ar-EG"/>
              </w:rPr>
              <w:t>и</w:t>
            </w:r>
            <w:r w:rsidRPr="005F2BBA">
              <w:rPr>
                <w:rFonts w:cs="Calibri"/>
                <w:sz w:val="20"/>
                <w:lang w:val="fr-FR" w:bidi="ar-EG"/>
              </w:rPr>
              <w:t xml:space="preserve"> </w:t>
            </w:r>
            <w:proofErr w:type="spellStart"/>
            <w:r w:rsidRPr="00766DB6">
              <w:rPr>
                <w:rFonts w:cs="Calibri"/>
                <w:sz w:val="20"/>
                <w:lang w:val="es-ES" w:bidi="ar-EG"/>
              </w:rPr>
              <w:t>угроз</w:t>
            </w:r>
            <w:proofErr w:type="spellEnd"/>
            <w:r w:rsidRPr="005F2BBA">
              <w:rPr>
                <w:rFonts w:cs="Calibri"/>
                <w:sz w:val="20"/>
                <w:lang w:val="fr-FR" w:bidi="ar-EG"/>
              </w:rPr>
              <w:t xml:space="preserve"> (SWOT)</w:t>
            </w:r>
          </w:p>
        </w:tc>
        <w:tc>
          <w:tcPr>
            <w:tcW w:w="1702" w:type="dxa"/>
            <w:shd w:val="clear" w:color="auto" w:fill="auto"/>
          </w:tcPr>
          <w:p w14:paraId="3B53CC0D"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Análisis de fortalezas, debilidades, oportunidades y amenazas (SWOT)</w:t>
            </w:r>
          </w:p>
        </w:tc>
      </w:tr>
      <w:tr w:rsidR="00D65BFA" w:rsidRPr="00766DB6" w14:paraId="48D7B92B" w14:textId="77777777" w:rsidTr="000C39ED">
        <w:trPr>
          <w:trHeight w:val="284"/>
        </w:trPr>
        <w:tc>
          <w:tcPr>
            <w:tcW w:w="1696" w:type="dxa"/>
            <w:shd w:val="clear" w:color="auto" w:fill="auto"/>
          </w:tcPr>
          <w:p w14:paraId="4A035909" w14:textId="363B4053" w:rsidR="00D65BFA" w:rsidRPr="00766DB6" w:rsidRDefault="00D65BFA" w:rsidP="000C39ED">
            <w:pPr>
              <w:spacing w:before="20" w:after="20" w:line="280" w:lineRule="exact"/>
              <w:rPr>
                <w:rFonts w:cs="Traditional Arabic"/>
                <w:b/>
                <w:bCs/>
                <w:sz w:val="20"/>
                <w:lang w:val="es-ES" w:bidi="ar-EG"/>
              </w:rPr>
            </w:pPr>
            <w:r w:rsidRPr="00766DB6">
              <w:rPr>
                <w:rFonts w:cs="Traditional Arabic"/>
                <w:bCs/>
                <w:sz w:val="20"/>
                <w:lang w:val="es-ES" w:bidi="ar-EG"/>
              </w:rPr>
              <w:t xml:space="preserve">Targets and Target </w:t>
            </w:r>
            <w:proofErr w:type="spellStart"/>
            <w:r w:rsidRPr="00766DB6">
              <w:rPr>
                <w:rFonts w:cs="Traditional Arabic"/>
                <w:bCs/>
                <w:sz w:val="20"/>
                <w:lang w:val="es-ES" w:bidi="ar-EG"/>
              </w:rPr>
              <w:t>Indicators</w:t>
            </w:r>
            <w:proofErr w:type="spellEnd"/>
          </w:p>
        </w:tc>
        <w:tc>
          <w:tcPr>
            <w:tcW w:w="1031" w:type="dxa"/>
            <w:shd w:val="clear" w:color="auto" w:fill="auto"/>
          </w:tcPr>
          <w:p w14:paraId="7D7B7838" w14:textId="1A1F8FB0" w:rsidR="00D65BFA" w:rsidRPr="00766DB6" w:rsidRDefault="00D65BFA" w:rsidP="000C39ED">
            <w:pPr>
              <w:bidi/>
              <w:spacing w:before="20" w:after="20" w:line="280" w:lineRule="exact"/>
              <w:rPr>
                <w:rFonts w:cs="Traditional Arabic"/>
                <w:sz w:val="20"/>
                <w:lang w:val="es-ES" w:bidi="ar-EG"/>
              </w:rPr>
            </w:pPr>
            <w:r w:rsidRPr="00766DB6">
              <w:rPr>
                <w:sz w:val="18"/>
                <w:szCs w:val="18"/>
                <w:rtl/>
                <w:lang w:val="es-ES" w:bidi="ar-EG"/>
              </w:rPr>
              <w:t xml:space="preserve"> المقاصد ومؤشرات المقاصد</w:t>
            </w:r>
          </w:p>
        </w:tc>
        <w:tc>
          <w:tcPr>
            <w:tcW w:w="1917" w:type="dxa"/>
            <w:shd w:val="clear" w:color="auto" w:fill="auto"/>
          </w:tcPr>
          <w:p w14:paraId="04C00744" w14:textId="47D81D1E" w:rsidR="00D65BFA" w:rsidRPr="00766DB6" w:rsidRDefault="00D65BFA" w:rsidP="000C39ED">
            <w:pPr>
              <w:spacing w:before="20" w:after="20" w:line="280" w:lineRule="exact"/>
              <w:rPr>
                <w:rFonts w:asciiTheme="majorEastAsia" w:eastAsia="SimSun" w:hAnsiTheme="majorEastAsia" w:cs="Arial"/>
                <w:sz w:val="20"/>
                <w:lang w:val="es-ES" w:eastAsia="zh-CN" w:bidi="ar-EG"/>
              </w:rPr>
            </w:pPr>
          </w:p>
          <w:p w14:paraId="55E36630" w14:textId="77777777" w:rsidR="00D65BFA" w:rsidRPr="00766DB6" w:rsidRDefault="00D65BFA" w:rsidP="000C39ED">
            <w:pPr>
              <w:spacing w:before="20" w:after="20" w:line="280" w:lineRule="exact"/>
              <w:rPr>
                <w:rFonts w:asciiTheme="majorEastAsia" w:eastAsiaTheme="majorEastAsia" w:hAnsiTheme="majorEastAsia" w:cs="Arial"/>
                <w:sz w:val="20"/>
                <w:lang w:val="es-ES" w:eastAsia="zh-CN" w:bidi="ar-EG"/>
              </w:rPr>
            </w:pPr>
            <w:r w:rsidRPr="00766DB6">
              <w:rPr>
                <w:rFonts w:ascii="SimSun" w:eastAsia="SimSun" w:hAnsi="SimSun" w:cs="Arial"/>
                <w:sz w:val="20"/>
                <w:lang w:val="es-ES" w:eastAsia="zh-CN" w:bidi="ar-EG"/>
              </w:rPr>
              <w:t>具体目标和具体目标指标</w:t>
            </w:r>
          </w:p>
        </w:tc>
        <w:tc>
          <w:tcPr>
            <w:tcW w:w="1492" w:type="dxa"/>
            <w:shd w:val="clear" w:color="auto" w:fill="auto"/>
          </w:tcPr>
          <w:p w14:paraId="0FD418E8" w14:textId="48E1DAFE" w:rsidR="00D65BFA" w:rsidRPr="00766DB6" w:rsidRDefault="00D65BFA" w:rsidP="000C39ED">
            <w:pPr>
              <w:spacing w:before="20" w:after="20" w:line="280" w:lineRule="exact"/>
              <w:rPr>
                <w:rFonts w:cs="Arial"/>
                <w:sz w:val="20"/>
                <w:lang w:val="es-ES" w:eastAsia="zh-CN" w:bidi="ar-EG"/>
              </w:rPr>
            </w:pPr>
          </w:p>
          <w:p w14:paraId="56CC2B1C" w14:textId="77777777" w:rsidR="00D65BFA" w:rsidRPr="00766DB6" w:rsidRDefault="00D65BFA" w:rsidP="000C39ED">
            <w:pPr>
              <w:spacing w:before="20" w:after="20" w:line="280" w:lineRule="exact"/>
              <w:rPr>
                <w:rFonts w:cs="Arial"/>
                <w:sz w:val="20"/>
                <w:lang w:val="es-ES" w:bidi="ar-EG"/>
              </w:rPr>
            </w:pPr>
            <w:proofErr w:type="spellStart"/>
            <w:r w:rsidRPr="00766DB6">
              <w:rPr>
                <w:sz w:val="20"/>
                <w:lang w:val="es-ES"/>
              </w:rPr>
              <w:t>Cibles</w:t>
            </w:r>
            <w:proofErr w:type="spellEnd"/>
            <w:r w:rsidRPr="00766DB6">
              <w:rPr>
                <w:sz w:val="20"/>
                <w:lang w:val="es-ES"/>
              </w:rPr>
              <w:t xml:space="preserve"> et </w:t>
            </w:r>
            <w:proofErr w:type="spellStart"/>
            <w:r w:rsidRPr="00766DB6">
              <w:rPr>
                <w:sz w:val="20"/>
                <w:lang w:val="es-ES"/>
              </w:rPr>
              <w:t>indicateurs</w:t>
            </w:r>
            <w:proofErr w:type="spellEnd"/>
            <w:r w:rsidRPr="00766DB6">
              <w:rPr>
                <w:sz w:val="20"/>
                <w:lang w:val="es-ES"/>
              </w:rPr>
              <w:t xml:space="preserve"> </w:t>
            </w:r>
            <w:proofErr w:type="spellStart"/>
            <w:r w:rsidRPr="00766DB6">
              <w:rPr>
                <w:sz w:val="20"/>
                <w:lang w:val="es-ES"/>
              </w:rPr>
              <w:t>relatifs</w:t>
            </w:r>
            <w:proofErr w:type="spellEnd"/>
            <w:r w:rsidRPr="00766DB6">
              <w:rPr>
                <w:sz w:val="20"/>
                <w:lang w:val="es-ES"/>
              </w:rPr>
              <w:t xml:space="preserve"> </w:t>
            </w:r>
            <w:proofErr w:type="spellStart"/>
            <w:r w:rsidRPr="00766DB6">
              <w:rPr>
                <w:sz w:val="20"/>
                <w:lang w:val="es-ES"/>
              </w:rPr>
              <w:t>aux</w:t>
            </w:r>
            <w:proofErr w:type="spellEnd"/>
            <w:r w:rsidRPr="00766DB6">
              <w:rPr>
                <w:sz w:val="20"/>
                <w:lang w:val="es-ES"/>
              </w:rPr>
              <w:t xml:space="preserve"> </w:t>
            </w:r>
            <w:proofErr w:type="spellStart"/>
            <w:r w:rsidRPr="00766DB6">
              <w:rPr>
                <w:sz w:val="20"/>
                <w:lang w:val="es-ES"/>
              </w:rPr>
              <w:t>cibles</w:t>
            </w:r>
            <w:proofErr w:type="spellEnd"/>
          </w:p>
        </w:tc>
        <w:tc>
          <w:tcPr>
            <w:tcW w:w="1984" w:type="dxa"/>
            <w:shd w:val="clear" w:color="auto" w:fill="auto"/>
          </w:tcPr>
          <w:p w14:paraId="719EBF2A" w14:textId="1B9B2CF9" w:rsidR="00D65BFA" w:rsidRPr="00766DB6" w:rsidRDefault="00D65BFA" w:rsidP="000C39ED">
            <w:pPr>
              <w:spacing w:before="20" w:after="20" w:line="280" w:lineRule="exact"/>
              <w:rPr>
                <w:rFonts w:cs="Calibri"/>
                <w:sz w:val="20"/>
                <w:lang w:val="es-ES" w:bidi="ar-EG"/>
              </w:rPr>
            </w:pPr>
          </w:p>
          <w:p w14:paraId="7218A0F8" w14:textId="77777777" w:rsidR="00D65BFA" w:rsidRPr="00766DB6" w:rsidRDefault="00D65BFA" w:rsidP="000C39ED">
            <w:pPr>
              <w:spacing w:before="20" w:after="20" w:line="280" w:lineRule="exact"/>
              <w:rPr>
                <w:rFonts w:cs="Calibri"/>
                <w:sz w:val="20"/>
                <w:lang w:val="es-ES" w:bidi="ar-EG"/>
              </w:rPr>
            </w:pPr>
            <w:proofErr w:type="spellStart"/>
            <w:r w:rsidRPr="00677F4E">
              <w:rPr>
                <w:rFonts w:cs="Calibri"/>
                <w:sz w:val="20"/>
                <w:lang w:val="es-ES" w:bidi="ar-EG"/>
              </w:rPr>
              <w:t>Целевые</w:t>
            </w:r>
            <w:proofErr w:type="spellEnd"/>
            <w:r w:rsidRPr="00677F4E">
              <w:rPr>
                <w:rFonts w:cs="Calibri"/>
                <w:sz w:val="20"/>
                <w:lang w:val="es-ES" w:bidi="ar-EG"/>
              </w:rPr>
              <w:t xml:space="preserve"> </w:t>
            </w:r>
            <w:proofErr w:type="spellStart"/>
            <w:r w:rsidRPr="00677F4E">
              <w:rPr>
                <w:rFonts w:cs="Calibri"/>
                <w:sz w:val="20"/>
                <w:lang w:val="es-ES" w:bidi="ar-EG"/>
              </w:rPr>
              <w:t>показатели</w:t>
            </w:r>
            <w:proofErr w:type="spellEnd"/>
            <w:r w:rsidRPr="00677F4E">
              <w:rPr>
                <w:rFonts w:cs="Calibri"/>
                <w:sz w:val="20"/>
                <w:lang w:val="es-ES" w:bidi="ar-EG"/>
              </w:rPr>
              <w:t xml:space="preserve"> и </w:t>
            </w:r>
            <w:proofErr w:type="spellStart"/>
            <w:r w:rsidRPr="00677F4E">
              <w:rPr>
                <w:rFonts w:cs="Calibri"/>
                <w:sz w:val="20"/>
                <w:lang w:val="es-ES" w:bidi="ar-EG"/>
              </w:rPr>
              <w:t>индикаторы</w:t>
            </w:r>
            <w:proofErr w:type="spellEnd"/>
            <w:r w:rsidRPr="00677F4E">
              <w:rPr>
                <w:rFonts w:cs="Calibri"/>
                <w:sz w:val="20"/>
                <w:lang w:val="es-ES" w:bidi="ar-EG"/>
              </w:rPr>
              <w:t xml:space="preserve"> </w:t>
            </w:r>
            <w:proofErr w:type="spellStart"/>
            <w:r w:rsidRPr="00677F4E">
              <w:rPr>
                <w:rFonts w:cs="Calibri"/>
                <w:sz w:val="20"/>
                <w:lang w:val="es-ES" w:bidi="ar-EG"/>
              </w:rPr>
              <w:t>целевых</w:t>
            </w:r>
            <w:proofErr w:type="spellEnd"/>
            <w:r w:rsidRPr="00677F4E">
              <w:rPr>
                <w:rFonts w:cs="Calibri"/>
                <w:sz w:val="20"/>
                <w:lang w:val="es-ES" w:bidi="ar-EG"/>
              </w:rPr>
              <w:t xml:space="preserve"> </w:t>
            </w:r>
            <w:proofErr w:type="spellStart"/>
            <w:r w:rsidRPr="00677F4E">
              <w:rPr>
                <w:rFonts w:cs="Calibri"/>
                <w:sz w:val="20"/>
                <w:lang w:val="es-ES" w:bidi="ar-EG"/>
              </w:rPr>
              <w:t>показателей</w:t>
            </w:r>
            <w:proofErr w:type="spellEnd"/>
          </w:p>
        </w:tc>
        <w:tc>
          <w:tcPr>
            <w:tcW w:w="1702" w:type="dxa"/>
            <w:shd w:val="clear" w:color="auto" w:fill="auto"/>
          </w:tcPr>
          <w:p w14:paraId="35E44DE5" w14:textId="2B19191C" w:rsidR="00D65BFA" w:rsidRPr="00766DB6" w:rsidRDefault="00D65BFA" w:rsidP="000C39ED">
            <w:pPr>
              <w:spacing w:before="20" w:after="20" w:line="280" w:lineRule="exact"/>
              <w:rPr>
                <w:rFonts w:cs="Arial"/>
                <w:sz w:val="20"/>
                <w:lang w:val="es-ES" w:bidi="ar-EG"/>
              </w:rPr>
            </w:pPr>
          </w:p>
          <w:p w14:paraId="128D1127"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Finalidades e indicadores de finalidad</w:t>
            </w:r>
          </w:p>
        </w:tc>
      </w:tr>
      <w:tr w:rsidR="00D65BFA" w:rsidRPr="00766DB6" w14:paraId="328DD846" w14:textId="77777777" w:rsidTr="000C39ED">
        <w:trPr>
          <w:trHeight w:val="284"/>
        </w:trPr>
        <w:tc>
          <w:tcPr>
            <w:tcW w:w="1696" w:type="dxa"/>
            <w:shd w:val="clear" w:color="auto" w:fill="auto"/>
          </w:tcPr>
          <w:p w14:paraId="16E782B6" w14:textId="77777777" w:rsidR="00D65BFA" w:rsidRPr="00766DB6" w:rsidRDefault="00D65BFA" w:rsidP="000C39ED">
            <w:pPr>
              <w:spacing w:before="20" w:after="20" w:line="280" w:lineRule="exact"/>
              <w:rPr>
                <w:rFonts w:cs="Traditional Arabic"/>
                <w:bCs/>
                <w:sz w:val="20"/>
                <w:lang w:val="es-ES" w:bidi="ar-EG"/>
              </w:rPr>
            </w:pPr>
            <w:proofErr w:type="spellStart"/>
            <w:r w:rsidRPr="00766DB6">
              <w:rPr>
                <w:rFonts w:cs="Traditional Arabic"/>
                <w:bCs/>
                <w:sz w:val="20"/>
                <w:lang w:val="es-ES" w:bidi="ar-EG"/>
              </w:rPr>
              <w:t>Thematic</w:t>
            </w:r>
            <w:proofErr w:type="spellEnd"/>
            <w:r w:rsidRPr="00766DB6">
              <w:rPr>
                <w:rFonts w:cs="Traditional Arabic"/>
                <w:bCs/>
                <w:sz w:val="20"/>
                <w:lang w:val="es-ES" w:bidi="ar-EG"/>
              </w:rPr>
              <w:t xml:space="preserve"> </w:t>
            </w:r>
            <w:proofErr w:type="spellStart"/>
            <w:r w:rsidRPr="00766DB6">
              <w:rPr>
                <w:rFonts w:cs="Traditional Arabic"/>
                <w:bCs/>
                <w:sz w:val="20"/>
                <w:lang w:val="es-ES" w:bidi="ar-EG"/>
              </w:rPr>
              <w:t>priorities</w:t>
            </w:r>
            <w:proofErr w:type="spellEnd"/>
          </w:p>
        </w:tc>
        <w:tc>
          <w:tcPr>
            <w:tcW w:w="1031" w:type="dxa"/>
            <w:shd w:val="clear" w:color="auto" w:fill="auto"/>
          </w:tcPr>
          <w:p w14:paraId="4A8E3CA9" w14:textId="77777777" w:rsidR="00D65BFA" w:rsidRPr="00766DB6" w:rsidRDefault="00D65BFA" w:rsidP="000C39ED">
            <w:pPr>
              <w:bidi/>
              <w:spacing w:before="20" w:after="20" w:line="280" w:lineRule="exact"/>
              <w:rPr>
                <w:rFonts w:cs="Traditional Arabic"/>
                <w:sz w:val="20"/>
                <w:rtl/>
                <w:lang w:val="es-ES"/>
              </w:rPr>
            </w:pPr>
            <w:r w:rsidRPr="00766DB6">
              <w:rPr>
                <w:sz w:val="18"/>
                <w:szCs w:val="18"/>
                <w:rtl/>
                <w:lang w:val="es-ES" w:bidi="ar-EG"/>
              </w:rPr>
              <w:t xml:space="preserve">الأولويات </w:t>
            </w:r>
            <w:proofErr w:type="spellStart"/>
            <w:r w:rsidRPr="00766DB6">
              <w:rPr>
                <w:sz w:val="18"/>
                <w:szCs w:val="18"/>
                <w:rtl/>
                <w:lang w:val="es-ES" w:bidi="ar-EG"/>
              </w:rPr>
              <w:t>المواضيعية</w:t>
            </w:r>
            <w:proofErr w:type="spellEnd"/>
          </w:p>
        </w:tc>
        <w:tc>
          <w:tcPr>
            <w:tcW w:w="1917" w:type="dxa"/>
            <w:shd w:val="clear" w:color="auto" w:fill="auto"/>
          </w:tcPr>
          <w:p w14:paraId="4DB9F03E" w14:textId="77777777" w:rsidR="00D65BFA" w:rsidRPr="00766DB6" w:rsidRDefault="00D65BFA" w:rsidP="000C39ED">
            <w:pPr>
              <w:spacing w:before="20" w:after="20" w:line="280" w:lineRule="exact"/>
              <w:rPr>
                <w:rFonts w:asciiTheme="majorEastAsia" w:eastAsiaTheme="majorEastAsia" w:hAnsiTheme="majorEastAsia" w:cs="Microsoft YaHei"/>
                <w:sz w:val="20"/>
                <w:lang w:val="es-ES" w:bidi="ar-EG"/>
              </w:rPr>
            </w:pPr>
            <w:proofErr w:type="spellStart"/>
            <w:r w:rsidRPr="00766DB6">
              <w:rPr>
                <w:rFonts w:eastAsia="SimSun"/>
                <w:sz w:val="20"/>
                <w:lang w:val="es-ES"/>
              </w:rPr>
              <w:t>主题重点</w:t>
            </w:r>
            <w:proofErr w:type="spellEnd"/>
          </w:p>
        </w:tc>
        <w:tc>
          <w:tcPr>
            <w:tcW w:w="1492" w:type="dxa"/>
            <w:shd w:val="clear" w:color="auto" w:fill="auto"/>
          </w:tcPr>
          <w:p w14:paraId="714253FC"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Priorités</w:t>
            </w:r>
            <w:proofErr w:type="spellEnd"/>
            <w:r w:rsidRPr="00766DB6">
              <w:rPr>
                <w:rFonts w:cs="Arial"/>
                <w:sz w:val="20"/>
                <w:lang w:val="es-ES" w:bidi="ar-EG"/>
              </w:rPr>
              <w:t xml:space="preserve"> </w:t>
            </w:r>
            <w:proofErr w:type="spellStart"/>
            <w:r w:rsidRPr="00766DB6">
              <w:rPr>
                <w:rFonts w:cs="Arial"/>
                <w:sz w:val="20"/>
                <w:lang w:val="es-ES" w:bidi="ar-EG"/>
              </w:rPr>
              <w:t>thématiques</w:t>
            </w:r>
            <w:proofErr w:type="spellEnd"/>
          </w:p>
        </w:tc>
        <w:tc>
          <w:tcPr>
            <w:tcW w:w="1984" w:type="dxa"/>
            <w:shd w:val="clear" w:color="auto" w:fill="auto"/>
          </w:tcPr>
          <w:p w14:paraId="189CE61B" w14:textId="77777777" w:rsidR="00D65BFA" w:rsidRPr="00766DB6" w:rsidRDefault="00D65BFA" w:rsidP="000C39ED">
            <w:pPr>
              <w:spacing w:before="20" w:after="20" w:line="280" w:lineRule="exact"/>
              <w:rPr>
                <w:rFonts w:cs="Calibri"/>
                <w:sz w:val="20"/>
                <w:lang w:val="es-ES" w:bidi="ar-EG"/>
              </w:rPr>
            </w:pPr>
            <w:proofErr w:type="spellStart"/>
            <w:r w:rsidRPr="00677F4E">
              <w:rPr>
                <w:rFonts w:cs="Calibri"/>
                <w:sz w:val="20"/>
                <w:lang w:val="es-ES" w:bidi="ar-EG"/>
              </w:rPr>
              <w:t>Тематические</w:t>
            </w:r>
            <w:proofErr w:type="spellEnd"/>
            <w:r w:rsidRPr="00677F4E">
              <w:rPr>
                <w:rFonts w:cs="Calibri"/>
                <w:sz w:val="20"/>
                <w:lang w:val="es-ES" w:bidi="ar-EG"/>
              </w:rPr>
              <w:t xml:space="preserve"> </w:t>
            </w:r>
            <w:proofErr w:type="spellStart"/>
            <w:r w:rsidRPr="00677F4E">
              <w:rPr>
                <w:rFonts w:cs="Calibri"/>
                <w:sz w:val="20"/>
                <w:lang w:val="es-ES" w:bidi="ar-EG"/>
              </w:rPr>
              <w:t>приоритеты</w:t>
            </w:r>
            <w:proofErr w:type="spellEnd"/>
          </w:p>
        </w:tc>
        <w:tc>
          <w:tcPr>
            <w:tcW w:w="1702" w:type="dxa"/>
            <w:shd w:val="clear" w:color="auto" w:fill="auto"/>
          </w:tcPr>
          <w:p w14:paraId="56346184"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Prioridades temáticas</w:t>
            </w:r>
          </w:p>
        </w:tc>
      </w:tr>
      <w:tr w:rsidR="00D65BFA" w:rsidRPr="00766DB6" w14:paraId="30CCB06B" w14:textId="77777777" w:rsidTr="000C39ED">
        <w:trPr>
          <w:trHeight w:val="284"/>
        </w:trPr>
        <w:tc>
          <w:tcPr>
            <w:tcW w:w="1696" w:type="dxa"/>
            <w:shd w:val="clear" w:color="auto" w:fill="auto"/>
          </w:tcPr>
          <w:p w14:paraId="06AECEAC"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Values</w:t>
            </w:r>
            <w:proofErr w:type="spellEnd"/>
          </w:p>
        </w:tc>
        <w:tc>
          <w:tcPr>
            <w:tcW w:w="1031" w:type="dxa"/>
            <w:shd w:val="clear" w:color="auto" w:fill="auto"/>
          </w:tcPr>
          <w:p w14:paraId="7B3B5CC5"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القيم</w:t>
            </w:r>
          </w:p>
        </w:tc>
        <w:tc>
          <w:tcPr>
            <w:tcW w:w="1917" w:type="dxa"/>
            <w:shd w:val="clear" w:color="auto" w:fill="auto"/>
          </w:tcPr>
          <w:p w14:paraId="2F62EBED"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价值</w:t>
            </w:r>
            <w:proofErr w:type="spellEnd"/>
            <w:r w:rsidRPr="00766DB6">
              <w:rPr>
                <w:rFonts w:ascii="SimSun" w:eastAsia="SimSun" w:hAnsi="SimSun" w:cs="Arial"/>
                <w:sz w:val="20"/>
                <w:lang w:val="es-ES" w:bidi="ar-EG"/>
              </w:rPr>
              <w:t>/</w:t>
            </w:r>
            <w:proofErr w:type="spellStart"/>
            <w:r w:rsidRPr="00766DB6">
              <w:rPr>
                <w:rFonts w:ascii="SimSun" w:eastAsia="SimSun" w:hAnsi="SimSun" w:cs="Arial"/>
                <w:sz w:val="20"/>
                <w:lang w:val="es-ES" w:bidi="ar-EG"/>
              </w:rPr>
              <w:t>价值观</w:t>
            </w:r>
            <w:proofErr w:type="spellEnd"/>
          </w:p>
        </w:tc>
        <w:tc>
          <w:tcPr>
            <w:tcW w:w="1492" w:type="dxa"/>
            <w:shd w:val="clear" w:color="auto" w:fill="auto"/>
          </w:tcPr>
          <w:p w14:paraId="0101AE68"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Valeurs</w:t>
            </w:r>
            <w:proofErr w:type="spellEnd"/>
          </w:p>
        </w:tc>
        <w:tc>
          <w:tcPr>
            <w:tcW w:w="1984" w:type="dxa"/>
            <w:shd w:val="clear" w:color="auto" w:fill="auto"/>
          </w:tcPr>
          <w:p w14:paraId="388C6DF3"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Ценности</w:t>
            </w:r>
            <w:proofErr w:type="spellEnd"/>
          </w:p>
        </w:tc>
        <w:tc>
          <w:tcPr>
            <w:tcW w:w="1702" w:type="dxa"/>
            <w:shd w:val="clear" w:color="auto" w:fill="auto"/>
          </w:tcPr>
          <w:p w14:paraId="7E62D685"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Valores</w:t>
            </w:r>
          </w:p>
        </w:tc>
      </w:tr>
      <w:tr w:rsidR="00D65BFA" w:rsidRPr="00766DB6" w14:paraId="51078FAD" w14:textId="77777777" w:rsidTr="000C39ED">
        <w:trPr>
          <w:trHeight w:val="284"/>
        </w:trPr>
        <w:tc>
          <w:tcPr>
            <w:tcW w:w="1696" w:type="dxa"/>
            <w:shd w:val="clear" w:color="auto" w:fill="auto"/>
          </w:tcPr>
          <w:p w14:paraId="3798B557" w14:textId="77777777" w:rsidR="00D65BFA" w:rsidRPr="00766DB6" w:rsidRDefault="00D65BFA" w:rsidP="000C39ED">
            <w:pPr>
              <w:spacing w:before="20" w:after="20" w:line="280" w:lineRule="exact"/>
              <w:rPr>
                <w:rFonts w:cs="Traditional Arabic"/>
                <w:b/>
                <w:bCs/>
                <w:sz w:val="20"/>
                <w:lang w:val="es-ES" w:bidi="ar-EG"/>
              </w:rPr>
            </w:pPr>
            <w:proofErr w:type="spellStart"/>
            <w:r w:rsidRPr="00766DB6">
              <w:rPr>
                <w:rFonts w:cs="Traditional Arabic"/>
                <w:bCs/>
                <w:sz w:val="20"/>
                <w:lang w:val="es-ES" w:bidi="ar-EG"/>
              </w:rPr>
              <w:t>Vision</w:t>
            </w:r>
            <w:proofErr w:type="spellEnd"/>
          </w:p>
        </w:tc>
        <w:tc>
          <w:tcPr>
            <w:tcW w:w="1031" w:type="dxa"/>
            <w:shd w:val="clear" w:color="auto" w:fill="auto"/>
          </w:tcPr>
          <w:p w14:paraId="7871947B" w14:textId="77777777" w:rsidR="00D65BFA" w:rsidRPr="00766DB6" w:rsidRDefault="00D65BFA" w:rsidP="000C39ED">
            <w:pPr>
              <w:bidi/>
              <w:spacing w:before="20" w:after="20" w:line="280" w:lineRule="exact"/>
              <w:rPr>
                <w:rFonts w:cs="Traditional Arabic"/>
                <w:sz w:val="20"/>
                <w:lang w:val="es-ES" w:bidi="ar-EG"/>
              </w:rPr>
            </w:pPr>
            <w:r w:rsidRPr="00766DB6">
              <w:rPr>
                <w:rFonts w:cs="Traditional Arabic"/>
                <w:sz w:val="20"/>
                <w:rtl/>
                <w:lang w:val="es-ES" w:bidi="ar-EG"/>
              </w:rPr>
              <w:t>الرؤية</w:t>
            </w:r>
          </w:p>
        </w:tc>
        <w:tc>
          <w:tcPr>
            <w:tcW w:w="1917" w:type="dxa"/>
            <w:shd w:val="clear" w:color="auto" w:fill="auto"/>
          </w:tcPr>
          <w:p w14:paraId="385A36A2" w14:textId="77777777" w:rsidR="00D65BFA" w:rsidRPr="00766DB6" w:rsidRDefault="00D65BFA" w:rsidP="000C39ED">
            <w:pPr>
              <w:spacing w:before="20" w:after="20" w:line="280" w:lineRule="exact"/>
              <w:rPr>
                <w:rFonts w:ascii="SimSun" w:eastAsia="SimSun" w:hAnsi="SimSun" w:cs="Arial"/>
                <w:sz w:val="20"/>
                <w:lang w:val="es-ES" w:bidi="ar-EG"/>
              </w:rPr>
            </w:pPr>
            <w:proofErr w:type="spellStart"/>
            <w:r w:rsidRPr="00766DB6">
              <w:rPr>
                <w:rFonts w:ascii="SimSun" w:eastAsia="SimSun" w:hAnsi="SimSun" w:cs="Arial"/>
                <w:sz w:val="20"/>
                <w:lang w:val="es-ES" w:bidi="ar-EG"/>
              </w:rPr>
              <w:t>愿景</w:t>
            </w:r>
            <w:proofErr w:type="spellEnd"/>
          </w:p>
        </w:tc>
        <w:tc>
          <w:tcPr>
            <w:tcW w:w="1492" w:type="dxa"/>
            <w:shd w:val="clear" w:color="auto" w:fill="auto"/>
          </w:tcPr>
          <w:p w14:paraId="77EEB9BE" w14:textId="77777777" w:rsidR="00D65BFA" w:rsidRPr="00766DB6" w:rsidRDefault="00D65BFA" w:rsidP="000C39ED">
            <w:pPr>
              <w:spacing w:before="20" w:after="20" w:line="280" w:lineRule="exact"/>
              <w:rPr>
                <w:rFonts w:cs="Arial"/>
                <w:sz w:val="20"/>
                <w:lang w:val="es-ES" w:bidi="ar-EG"/>
              </w:rPr>
            </w:pPr>
            <w:proofErr w:type="spellStart"/>
            <w:r w:rsidRPr="00766DB6">
              <w:rPr>
                <w:rFonts w:cs="Arial"/>
                <w:sz w:val="20"/>
                <w:lang w:val="es-ES" w:bidi="ar-EG"/>
              </w:rPr>
              <w:t>Vision</w:t>
            </w:r>
            <w:proofErr w:type="spellEnd"/>
          </w:p>
        </w:tc>
        <w:tc>
          <w:tcPr>
            <w:tcW w:w="1984" w:type="dxa"/>
            <w:shd w:val="clear" w:color="auto" w:fill="auto"/>
          </w:tcPr>
          <w:p w14:paraId="1C58A683" w14:textId="77777777" w:rsidR="00D65BFA" w:rsidRPr="00766DB6" w:rsidRDefault="00D65BFA" w:rsidP="000C39ED">
            <w:pPr>
              <w:spacing w:before="20" w:after="20" w:line="280" w:lineRule="exact"/>
              <w:rPr>
                <w:rFonts w:cs="Calibri"/>
                <w:sz w:val="20"/>
                <w:lang w:val="es-ES" w:bidi="ar-EG"/>
              </w:rPr>
            </w:pPr>
            <w:proofErr w:type="spellStart"/>
            <w:r w:rsidRPr="00766DB6">
              <w:rPr>
                <w:rFonts w:cs="Calibri"/>
                <w:sz w:val="20"/>
                <w:lang w:val="es-ES" w:bidi="ar-EG"/>
              </w:rPr>
              <w:t>Концепция</w:t>
            </w:r>
            <w:proofErr w:type="spellEnd"/>
          </w:p>
        </w:tc>
        <w:tc>
          <w:tcPr>
            <w:tcW w:w="1702" w:type="dxa"/>
            <w:shd w:val="clear" w:color="auto" w:fill="auto"/>
          </w:tcPr>
          <w:p w14:paraId="0FF8A611" w14:textId="77777777" w:rsidR="00D65BFA" w:rsidRPr="00766DB6" w:rsidRDefault="00D65BFA" w:rsidP="000C39ED">
            <w:pPr>
              <w:spacing w:before="20" w:after="20" w:line="280" w:lineRule="exact"/>
              <w:rPr>
                <w:rFonts w:cs="Arial"/>
                <w:sz w:val="20"/>
                <w:lang w:val="es-ES" w:bidi="ar-EG"/>
              </w:rPr>
            </w:pPr>
            <w:r w:rsidRPr="00766DB6">
              <w:rPr>
                <w:rFonts w:cs="Arial"/>
                <w:sz w:val="20"/>
                <w:lang w:val="es-ES" w:bidi="ar-EG"/>
              </w:rPr>
              <w:t>Visión</w:t>
            </w:r>
          </w:p>
        </w:tc>
      </w:tr>
    </w:tbl>
    <w:p w14:paraId="2903B807" w14:textId="77777777" w:rsidR="00D65BFA" w:rsidRPr="00766DB6" w:rsidRDefault="00D65BFA" w:rsidP="00411C49">
      <w:pPr>
        <w:pStyle w:val="Reasons"/>
        <w:rPr>
          <w:lang w:val="es-ES"/>
        </w:rPr>
      </w:pPr>
    </w:p>
    <w:p w14:paraId="0BA3CECA" w14:textId="374F46F6" w:rsidR="00D65BFA" w:rsidRPr="00766DB6" w:rsidRDefault="00D65BFA" w:rsidP="00D65BFA">
      <w:pPr>
        <w:jc w:val="center"/>
        <w:rPr>
          <w:lang w:val="es-ES"/>
        </w:rPr>
      </w:pPr>
      <w:r w:rsidRPr="00766DB6">
        <w:rPr>
          <w:lang w:val="es-ES"/>
        </w:rPr>
        <w:t>______________</w:t>
      </w:r>
    </w:p>
    <w:sectPr w:rsidR="00D65BFA" w:rsidRPr="00766DB6"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3B05" w14:textId="77777777" w:rsidR="00D65BFA" w:rsidRDefault="00D65BFA">
      <w:r>
        <w:separator/>
      </w:r>
    </w:p>
  </w:endnote>
  <w:endnote w:type="continuationSeparator" w:id="0">
    <w:p w14:paraId="595004B5" w14:textId="77777777" w:rsidR="00D65BFA" w:rsidRDefault="00D6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618B" w14:textId="602FA683" w:rsidR="00547F08" w:rsidRPr="005F2BBA" w:rsidRDefault="00547F08" w:rsidP="00547F08">
    <w:pPr>
      <w:pStyle w:val="Footer"/>
      <w:rPr>
        <w:lang w:val="fr-FR"/>
      </w:rPr>
    </w:pPr>
    <w:r w:rsidRPr="005F2BBA">
      <w:rPr>
        <w:color w:val="F2F2F2" w:themeColor="background1" w:themeShade="F2"/>
      </w:rPr>
      <w:fldChar w:fldCharType="begin"/>
    </w:r>
    <w:r w:rsidRPr="005F2BBA">
      <w:rPr>
        <w:color w:val="F2F2F2" w:themeColor="background1" w:themeShade="F2"/>
        <w:lang w:val="fr-FR"/>
      </w:rPr>
      <w:instrText xml:space="preserve"> FILENAME \p  \* MERGEFORMAT </w:instrText>
    </w:r>
    <w:r w:rsidRPr="005F2BBA">
      <w:rPr>
        <w:color w:val="F2F2F2" w:themeColor="background1" w:themeShade="F2"/>
      </w:rPr>
      <w:fldChar w:fldCharType="separate"/>
    </w:r>
    <w:r w:rsidRPr="005F2BBA">
      <w:rPr>
        <w:color w:val="F2F2F2" w:themeColor="background1" w:themeShade="F2"/>
        <w:lang w:val="fr-FR"/>
      </w:rPr>
      <w:t>P:\ESP\SG\CONSEIL\C22\000\027ANN3S.docx</w:t>
    </w:r>
    <w:r w:rsidRPr="005F2BBA">
      <w:rPr>
        <w:color w:val="F2F2F2" w:themeColor="background1" w:themeShade="F2"/>
      </w:rPr>
      <w:fldChar w:fldCharType="end"/>
    </w:r>
    <w:r w:rsidRPr="005F2BBA">
      <w:rPr>
        <w:color w:val="F2F2F2" w:themeColor="background1" w:themeShade="F2"/>
        <w:lang w:val="fr-FR"/>
      </w:rPr>
      <w:t xml:space="preserve"> (502308)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94DC" w14:textId="1B2983B3" w:rsidR="00760F1C" w:rsidRDefault="00760F1C">
    <w:pPr>
      <w:spacing w:after="120"/>
      <w:jc w:val="center"/>
    </w:pPr>
    <w:r>
      <w:t xml:space="preserve">• </w:t>
    </w:r>
    <w:hyperlink r:id="rId1" w:history="1">
      <w:r>
        <w:rPr>
          <w:rStyle w:val="Hyperlink"/>
        </w:rPr>
        <w:t>http://www.itu.int/council</w:t>
      </w:r>
    </w:hyperlink>
    <w:r>
      <w:t xml:space="preserve"> •</w:t>
    </w:r>
  </w:p>
  <w:p w14:paraId="22AE21DA" w14:textId="7949021A" w:rsidR="007020EA" w:rsidRPr="005F2BBA" w:rsidRDefault="007020EA" w:rsidP="007020EA">
    <w:pPr>
      <w:pStyle w:val="Footer"/>
      <w:rPr>
        <w:lang w:val="fr-FR"/>
      </w:rPr>
    </w:pPr>
    <w:r w:rsidRPr="005F2BBA">
      <w:rPr>
        <w:color w:val="F2F2F2" w:themeColor="background1" w:themeShade="F2"/>
      </w:rPr>
      <w:fldChar w:fldCharType="begin"/>
    </w:r>
    <w:r w:rsidRPr="005F2BBA">
      <w:rPr>
        <w:color w:val="F2F2F2" w:themeColor="background1" w:themeShade="F2"/>
        <w:lang w:val="fr-FR"/>
      </w:rPr>
      <w:instrText xml:space="preserve"> FILENAME \p  \* MERGEFORMAT </w:instrText>
    </w:r>
    <w:r w:rsidRPr="005F2BBA">
      <w:rPr>
        <w:color w:val="F2F2F2" w:themeColor="background1" w:themeShade="F2"/>
      </w:rPr>
      <w:fldChar w:fldCharType="separate"/>
    </w:r>
    <w:r w:rsidRPr="005F2BBA">
      <w:rPr>
        <w:color w:val="F2F2F2" w:themeColor="background1" w:themeShade="F2"/>
        <w:lang w:val="fr-FR"/>
      </w:rPr>
      <w:t>P:\ESP\SG\CONSEIL\C22\000\027ANN3S.docx</w:t>
    </w:r>
    <w:r w:rsidRPr="005F2BBA">
      <w:rPr>
        <w:color w:val="F2F2F2" w:themeColor="background1" w:themeShade="F2"/>
      </w:rPr>
      <w:fldChar w:fldCharType="end"/>
    </w:r>
    <w:r w:rsidRPr="005F2BBA">
      <w:rPr>
        <w:color w:val="F2F2F2" w:themeColor="background1" w:themeShade="F2"/>
        <w:lang w:val="fr-FR"/>
      </w:rPr>
      <w:t xml:space="preserve"> (502308)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5FBE" w14:textId="77777777" w:rsidR="00D65BFA" w:rsidRDefault="00D65BFA">
      <w:r>
        <w:t>____________________</w:t>
      </w:r>
    </w:p>
  </w:footnote>
  <w:footnote w:type="continuationSeparator" w:id="0">
    <w:p w14:paraId="1A90DEED" w14:textId="77777777" w:rsidR="00D65BFA" w:rsidRDefault="00D65BFA">
      <w:r>
        <w:continuationSeparator/>
      </w:r>
    </w:p>
  </w:footnote>
  <w:footnote w:id="1">
    <w:p w14:paraId="473691E1" w14:textId="77777777" w:rsidR="00D65BFA" w:rsidRPr="00677F4E" w:rsidRDefault="00D65BFA" w:rsidP="00D65BFA">
      <w:pPr>
        <w:pStyle w:val="FootnoteText"/>
      </w:pPr>
      <w:r>
        <w:rPr>
          <w:rStyle w:val="FootnoteReference"/>
        </w:rPr>
        <w:footnoteRef/>
      </w:r>
      <w:r w:rsidRPr="001D6D3B">
        <w:rPr>
          <w:lang w:val="es-ES"/>
        </w:rPr>
        <w:t xml:space="preserve"> </w:t>
      </w:r>
      <w:r>
        <w:rPr>
          <w:lang w:val="es-ES"/>
        </w:rPr>
        <w:tab/>
      </w:r>
      <w:r w:rsidRPr="00677F4E">
        <w:t>Las actividades y los productos se definen de manera detallada durante el proceso de planificación, asegurando así una estrecha vinculación entre la planificación estratégica y la operacional.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F7D8" w14:textId="599D472C" w:rsidR="00760F1C" w:rsidRDefault="000B7C15" w:rsidP="007657F0">
    <w:pPr>
      <w:pStyle w:val="Header"/>
    </w:pPr>
    <w:r>
      <w:fldChar w:fldCharType="begin"/>
    </w:r>
    <w:r>
      <w:instrText>PAGE</w:instrText>
    </w:r>
    <w:r>
      <w:fldChar w:fldCharType="separate"/>
    </w:r>
    <w:r w:rsidR="00677F4E">
      <w:rPr>
        <w:noProof/>
      </w:rPr>
      <w:t>2</w:t>
    </w:r>
    <w:r>
      <w:rPr>
        <w:noProof/>
      </w:rPr>
      <w:fldChar w:fldCharType="end"/>
    </w:r>
  </w:p>
  <w:p w14:paraId="18EDCA40" w14:textId="6F54174C" w:rsidR="00760F1C" w:rsidRDefault="00760F1C" w:rsidP="00C2727F">
    <w:pPr>
      <w:pStyle w:val="Header"/>
    </w:pPr>
    <w:r>
      <w:t>C</w:t>
    </w:r>
    <w:r w:rsidR="007955DA">
      <w:t>2</w:t>
    </w:r>
    <w:r w:rsidR="00D50A36">
      <w:t>2</w:t>
    </w:r>
    <w:r>
      <w:t>/</w:t>
    </w:r>
    <w:r w:rsidR="00D65BFA">
      <w:t>27</w:t>
    </w:r>
    <w:r w:rsidR="00677F4E">
      <w:t>(Anexo-3)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FA"/>
    <w:rsid w:val="000007D1"/>
    <w:rsid w:val="00093EEB"/>
    <w:rsid w:val="000B0D00"/>
    <w:rsid w:val="000B7C15"/>
    <w:rsid w:val="000D1D0F"/>
    <w:rsid w:val="000F5290"/>
    <w:rsid w:val="0010165C"/>
    <w:rsid w:val="00146BFB"/>
    <w:rsid w:val="001F14A2"/>
    <w:rsid w:val="002801AA"/>
    <w:rsid w:val="002C4676"/>
    <w:rsid w:val="002C70B0"/>
    <w:rsid w:val="002F3CC4"/>
    <w:rsid w:val="00486AC2"/>
    <w:rsid w:val="00513630"/>
    <w:rsid w:val="00547F08"/>
    <w:rsid w:val="00560125"/>
    <w:rsid w:val="00585553"/>
    <w:rsid w:val="005B34D9"/>
    <w:rsid w:val="005D0CCF"/>
    <w:rsid w:val="005F2BBA"/>
    <w:rsid w:val="005F3BCB"/>
    <w:rsid w:val="005F410F"/>
    <w:rsid w:val="0060149A"/>
    <w:rsid w:val="00601924"/>
    <w:rsid w:val="006447EA"/>
    <w:rsid w:val="0064731F"/>
    <w:rsid w:val="00664572"/>
    <w:rsid w:val="006710F6"/>
    <w:rsid w:val="00677F4E"/>
    <w:rsid w:val="006C1B56"/>
    <w:rsid w:val="006D4761"/>
    <w:rsid w:val="007020EA"/>
    <w:rsid w:val="00726872"/>
    <w:rsid w:val="00760F1C"/>
    <w:rsid w:val="007657F0"/>
    <w:rsid w:val="00766DB6"/>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65BFA"/>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606FE"/>
  <w15:docId w15:val="{DF2E0B8C-3CE5-4697-AAC0-F3C42372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D65BFA"/>
    <w:rPr>
      <w:rFonts w:ascii="Calibri" w:hAnsi="Calibri"/>
      <w:sz w:val="24"/>
      <w:lang w:val="es-ES_tradnl" w:eastAsia="en-US"/>
    </w:rPr>
  </w:style>
  <w:style w:type="character" w:customStyle="1" w:styleId="TabletextChar">
    <w:name w:val="Table_text Char"/>
    <w:basedOn w:val="DefaultParagraphFont"/>
    <w:link w:val="Tabletext"/>
    <w:locked/>
    <w:rsid w:val="00D65BFA"/>
    <w:rPr>
      <w:rFonts w:ascii="Calibri" w:hAnsi="Calibr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6</Pages>
  <Words>1541</Words>
  <Characters>8593</Characters>
  <Application>Microsoft Office Word</Application>
  <DocSecurity>4</DocSecurity>
  <Lines>71</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10114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 AL INFORME DEL GTC-PEF</dc:title>
  <dc:subject>Consejo 2022</dc:subject>
  <dc:creator>Spanish</dc:creator>
  <cp:keywords>C2022, C22, Council-22</cp:keywords>
  <dc:description/>
  <cp:lastModifiedBy>Xue, Kun</cp:lastModifiedBy>
  <cp:revision>2</cp:revision>
  <cp:lastPrinted>2006-03-24T09:51:00Z</cp:lastPrinted>
  <dcterms:created xsi:type="dcterms:W3CDTF">2022-03-11T19:51:00Z</dcterms:created>
  <dcterms:modified xsi:type="dcterms:W3CDTF">2022-03-11T19:51:00Z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