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94C1D" w14:paraId="2520DEF7" w14:textId="77777777">
        <w:trPr>
          <w:cantSplit/>
        </w:trPr>
        <w:tc>
          <w:tcPr>
            <w:tcW w:w="6911" w:type="dxa"/>
          </w:tcPr>
          <w:p w14:paraId="18886F43" w14:textId="77777777" w:rsidR="00BC7BC0" w:rsidRPr="00E94C1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94C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E94C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E94C1D">
              <w:rPr>
                <w:b/>
                <w:bCs/>
                <w:szCs w:val="24"/>
                <w:lang w:val="ru-RU"/>
              </w:rPr>
              <w:t>Женева</w:t>
            </w:r>
            <w:r w:rsidR="00225368" w:rsidRPr="00E94C1D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E94C1D">
              <w:rPr>
                <w:b/>
                <w:bCs/>
                <w:szCs w:val="24"/>
                <w:lang w:val="ru-RU"/>
              </w:rPr>
              <w:t>21</w:t>
            </w:r>
            <w:r w:rsidR="005B3DEC" w:rsidRPr="00E94C1D">
              <w:rPr>
                <w:b/>
                <w:bCs/>
                <w:szCs w:val="24"/>
                <w:lang w:val="ru-RU"/>
              </w:rPr>
              <w:t>–</w:t>
            </w:r>
            <w:r w:rsidR="00005BE0" w:rsidRPr="00E94C1D">
              <w:rPr>
                <w:b/>
                <w:bCs/>
                <w:szCs w:val="24"/>
                <w:lang w:val="ru-RU"/>
              </w:rPr>
              <w:t>31</w:t>
            </w:r>
            <w:r w:rsidR="00005BE0" w:rsidRPr="00E94C1D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E94C1D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E94C1D">
              <w:rPr>
                <w:b/>
                <w:bCs/>
                <w:szCs w:val="24"/>
                <w:lang w:val="ru-RU"/>
              </w:rPr>
              <w:t>20</w:t>
            </w:r>
            <w:r w:rsidR="00442515" w:rsidRPr="00E94C1D">
              <w:rPr>
                <w:b/>
                <w:bCs/>
                <w:szCs w:val="24"/>
                <w:lang w:val="ru-RU"/>
              </w:rPr>
              <w:t>2</w:t>
            </w:r>
            <w:r w:rsidR="00005BE0" w:rsidRPr="00E94C1D">
              <w:rPr>
                <w:b/>
                <w:bCs/>
                <w:szCs w:val="24"/>
                <w:lang w:val="ru-RU"/>
              </w:rPr>
              <w:t>2</w:t>
            </w:r>
            <w:r w:rsidR="00225368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5212F50" w14:textId="77777777" w:rsidR="00BC7BC0" w:rsidRPr="00E94C1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94C1D">
              <w:rPr>
                <w:noProof/>
                <w:lang w:val="en-US"/>
              </w:rPr>
              <w:drawing>
                <wp:inline distT="0" distB="0" distL="0" distR="0" wp14:anchorId="7304174D" wp14:editId="7EFEC7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4C1D" w14:paraId="026D87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66778" w14:textId="77777777" w:rsidR="00BC7BC0" w:rsidRPr="00E94C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8C5A35" w14:textId="77777777" w:rsidR="00BC7BC0" w:rsidRPr="00E94C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4C1D" w14:paraId="62D5CA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F7415C" w14:textId="77777777" w:rsidR="00BC7BC0" w:rsidRPr="00E94C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934549" w14:textId="77777777" w:rsidR="00BC7BC0" w:rsidRPr="00E94C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E3AD9" w14:paraId="07E346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EC0A773" w14:textId="77777777" w:rsidR="00BC7BC0" w:rsidRPr="00E94C1D" w:rsidRDefault="00BC7BC0" w:rsidP="003E548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E94C1D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E548A" w:rsidRPr="00E94C1D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7FE4CEED" w14:textId="4A3E8E29" w:rsidR="00BC7BC0" w:rsidRPr="00E94C1D" w:rsidRDefault="007E0CA9" w:rsidP="004901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</w:t>
            </w:r>
            <w:r w:rsidRPr="007E0CA9">
              <w:rPr>
                <w:b/>
                <w:bCs/>
                <w:szCs w:val="22"/>
                <w:lang w:val="ru-RU"/>
              </w:rPr>
              <w:t xml:space="preserve"> 1</w:t>
            </w:r>
            <w:r>
              <w:rPr>
                <w:b/>
                <w:bCs/>
                <w:szCs w:val="22"/>
                <w:lang w:val="ru-RU"/>
              </w:rPr>
              <w:t xml:space="preserve"> </w:t>
            </w:r>
            <w:r w:rsidR="004800B2">
              <w:rPr>
                <w:b/>
                <w:bCs/>
                <w:szCs w:val="22"/>
                <w:lang w:val="ru-RU"/>
              </w:rPr>
              <w:br/>
            </w:r>
            <w:r w:rsidR="003E548A" w:rsidRPr="00E94C1D">
              <w:rPr>
                <w:b/>
                <w:bCs/>
                <w:szCs w:val="22"/>
                <w:lang w:val="ru-RU"/>
              </w:rPr>
              <w:t>Приложени</w:t>
            </w:r>
            <w:r>
              <w:rPr>
                <w:b/>
                <w:bCs/>
                <w:szCs w:val="22"/>
                <w:lang w:val="ru-RU"/>
              </w:rPr>
              <w:t>я</w:t>
            </w:r>
            <w:r w:rsidR="003E548A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4901C5" w:rsidRPr="00E94C1D">
              <w:rPr>
                <w:b/>
                <w:bCs/>
                <w:szCs w:val="22"/>
                <w:lang w:val="ru-RU"/>
              </w:rPr>
              <w:t>2</w:t>
            </w:r>
            <w:r w:rsidR="003E548A" w:rsidRPr="00E94C1D">
              <w:rPr>
                <w:b/>
                <w:bCs/>
                <w:szCs w:val="22"/>
                <w:lang w:val="ru-RU"/>
              </w:rPr>
              <w:t xml:space="preserve"> к</w:t>
            </w:r>
            <w:r w:rsidR="003E548A" w:rsidRPr="00E94C1D">
              <w:rPr>
                <w:b/>
                <w:bCs/>
                <w:szCs w:val="22"/>
                <w:lang w:val="ru-RU"/>
              </w:rPr>
              <w:br/>
            </w:r>
            <w:r w:rsidR="00BC7BC0" w:rsidRPr="00E94C1D">
              <w:rPr>
                <w:b/>
                <w:bCs/>
                <w:szCs w:val="22"/>
                <w:lang w:val="ru-RU"/>
              </w:rPr>
              <w:t>Документ</w:t>
            </w:r>
            <w:r w:rsidR="003E548A" w:rsidRPr="00E94C1D">
              <w:rPr>
                <w:b/>
                <w:bCs/>
                <w:szCs w:val="22"/>
                <w:lang w:val="ru-RU"/>
              </w:rPr>
              <w:t>у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="00005BE0"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>/</w:t>
            </w:r>
            <w:r w:rsidR="003E548A" w:rsidRPr="00E94C1D">
              <w:rPr>
                <w:b/>
                <w:bCs/>
                <w:szCs w:val="22"/>
                <w:lang w:val="ru-RU"/>
              </w:rPr>
              <w:t>27</w:t>
            </w:r>
            <w:r w:rsidR="00BC7BC0" w:rsidRPr="00E94C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4C1D" w14:paraId="269C3B10" w14:textId="77777777">
        <w:trPr>
          <w:cantSplit/>
          <w:trHeight w:val="23"/>
        </w:trPr>
        <w:tc>
          <w:tcPr>
            <w:tcW w:w="6911" w:type="dxa"/>
            <w:vMerge/>
          </w:tcPr>
          <w:p w14:paraId="350F701F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4D2549" w14:textId="3DA6760E" w:rsidR="00BC7BC0" w:rsidRPr="00E94C1D" w:rsidRDefault="009741C9" w:rsidP="003E54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3E548A" w:rsidRPr="00E94C1D">
              <w:rPr>
                <w:b/>
                <w:bCs/>
                <w:szCs w:val="22"/>
                <w:lang w:val="ru-RU"/>
              </w:rPr>
              <w:t>марта</w:t>
            </w:r>
            <w:r w:rsidR="00EB4FCB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94C1D">
              <w:rPr>
                <w:b/>
                <w:bCs/>
                <w:szCs w:val="22"/>
                <w:lang w:val="ru-RU"/>
              </w:rPr>
              <w:t>20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="003E548A"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4C1D" w14:paraId="553D0396" w14:textId="77777777">
        <w:trPr>
          <w:cantSplit/>
          <w:trHeight w:val="23"/>
        </w:trPr>
        <w:tc>
          <w:tcPr>
            <w:tcW w:w="6911" w:type="dxa"/>
            <w:vMerge/>
          </w:tcPr>
          <w:p w14:paraId="52928A9C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DC6C8B" w14:textId="77777777" w:rsidR="00BC7BC0" w:rsidRPr="00E94C1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130E5" w14:paraId="6A856D8C" w14:textId="77777777">
        <w:trPr>
          <w:cantSplit/>
        </w:trPr>
        <w:tc>
          <w:tcPr>
            <w:tcW w:w="10031" w:type="dxa"/>
            <w:gridSpan w:val="2"/>
          </w:tcPr>
          <w:p w14:paraId="20BF6B55" w14:textId="0720B3D5" w:rsidR="00BC7BC0" w:rsidRPr="00E94C1D" w:rsidRDefault="009F066C" w:rsidP="003E548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94C1D">
              <w:rPr>
                <w:lang w:val="ru-RU"/>
              </w:rPr>
              <w:t xml:space="preserve">Председатель Рабочей группы Совета по разработке </w:t>
            </w:r>
            <w:r w:rsidR="00EB786B" w:rsidRPr="00E94C1D">
              <w:rPr>
                <w:lang w:val="ru-RU"/>
              </w:rPr>
              <w:br/>
            </w:r>
            <w:r w:rsidRPr="00E94C1D">
              <w:rPr>
                <w:lang w:val="ru-RU"/>
              </w:rPr>
              <w:t>Стратегического и Финансового планов на 2024−2027 годы (РГС-СФП)</w:t>
            </w:r>
          </w:p>
        </w:tc>
      </w:tr>
      <w:tr w:rsidR="00BC7BC0" w:rsidRPr="000130E5" w14:paraId="6DEA2217" w14:textId="77777777">
        <w:trPr>
          <w:cantSplit/>
        </w:trPr>
        <w:tc>
          <w:tcPr>
            <w:tcW w:w="10031" w:type="dxa"/>
            <w:gridSpan w:val="2"/>
          </w:tcPr>
          <w:p w14:paraId="47882B6D" w14:textId="0C7678AF" w:rsidR="0094411A" w:rsidRPr="00E94C1D" w:rsidRDefault="0094411A" w:rsidP="0094411A">
            <w:pPr>
              <w:pStyle w:val="Title1"/>
              <w:rPr>
                <w:lang w:val="ru-RU"/>
              </w:rPr>
            </w:pPr>
            <w:bookmarkStart w:id="2" w:name="lt_pId011"/>
            <w:bookmarkStart w:id="3" w:name="_Hlk90019171"/>
            <w:bookmarkStart w:id="4" w:name="dtitle3" w:colFirst="0" w:colLast="0"/>
            <w:bookmarkEnd w:id="1"/>
            <w:r w:rsidRPr="00E94C1D">
              <w:rPr>
                <w:lang w:val="ru-RU"/>
              </w:rPr>
              <w:t xml:space="preserve">приложение 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отчету РГС-СФП</w:t>
            </w:r>
          </w:p>
          <w:p w14:paraId="78D3BC42" w14:textId="20213E01" w:rsidR="00BC7BC0" w:rsidRPr="00E94C1D" w:rsidRDefault="0094411A" w:rsidP="000B4CBB">
            <w:pPr>
              <w:pStyle w:val="Title1"/>
              <w:rPr>
                <w:szCs w:val="22"/>
                <w:lang w:val="ru-RU"/>
              </w:rPr>
            </w:pPr>
            <w:r w:rsidRPr="00E94C1D">
              <w:rPr>
                <w:lang w:val="ru-RU"/>
              </w:rPr>
              <w:t>проект приложения 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РЕЗОЛЮЦИИ 71</w:t>
            </w:r>
            <w:bookmarkEnd w:id="2"/>
            <w:r w:rsidR="006630B1" w:rsidRPr="00E94C1D">
              <w:rPr>
                <w:lang w:val="ru-RU"/>
              </w:rPr>
              <w:t>:</w:t>
            </w:r>
            <w:r w:rsidR="000B4CBB" w:rsidRPr="00E94C1D">
              <w:rPr>
                <w:lang w:val="ru-RU"/>
              </w:rPr>
              <w:t xml:space="preserve"> </w:t>
            </w:r>
            <w:r w:rsidRPr="00E94C1D">
              <w:rPr>
                <w:lang w:val="ru-RU"/>
              </w:rPr>
              <w:br/>
            </w:r>
            <w:bookmarkEnd w:id="3"/>
            <w:r w:rsidR="00EB786B" w:rsidRPr="00E94C1D">
              <w:rPr>
                <w:lang w:val="ru-RU"/>
              </w:rPr>
              <w:t>СИТУАЦИОНН</w:t>
            </w:r>
            <w:r w:rsidR="009741C9">
              <w:rPr>
                <w:lang w:val="ru-RU"/>
              </w:rPr>
              <w:t>ЫЙ</w:t>
            </w:r>
            <w:r w:rsidR="00EB786B" w:rsidRPr="00E94C1D">
              <w:rPr>
                <w:lang w:val="ru-RU"/>
              </w:rPr>
              <w:t xml:space="preserve"> АНАЛИЗ</w:t>
            </w:r>
          </w:p>
        </w:tc>
      </w:tr>
      <w:tr w:rsidR="0094411A" w:rsidRPr="000130E5" w14:paraId="29119B1C" w14:textId="77777777">
        <w:trPr>
          <w:cantSplit/>
        </w:trPr>
        <w:tc>
          <w:tcPr>
            <w:tcW w:w="10031" w:type="dxa"/>
            <w:gridSpan w:val="2"/>
          </w:tcPr>
          <w:p w14:paraId="357A1F5A" w14:textId="77777777" w:rsidR="0094411A" w:rsidRPr="00E94C1D" w:rsidRDefault="0094411A" w:rsidP="0094411A">
            <w:pPr>
              <w:pStyle w:val="Title1"/>
              <w:rPr>
                <w:lang w:val="ru-RU"/>
              </w:rPr>
            </w:pPr>
          </w:p>
        </w:tc>
      </w:tr>
      <w:bookmarkEnd w:id="4"/>
    </w:tbl>
    <w:p w14:paraId="64E5737D" w14:textId="77777777" w:rsidR="003E548A" w:rsidRPr="00E94C1D" w:rsidRDefault="003E548A" w:rsidP="003E548A">
      <w:pPr>
        <w:rPr>
          <w:lang w:val="ru-RU"/>
        </w:rPr>
      </w:pPr>
      <w:r w:rsidRPr="00E94C1D">
        <w:rPr>
          <w:lang w:val="ru-RU"/>
        </w:rPr>
        <w:br w:type="page"/>
      </w:r>
    </w:p>
    <w:p w14:paraId="24A38163" w14:textId="77777777" w:rsidR="00DB5589" w:rsidRPr="00E94C1D" w:rsidRDefault="00DB5589" w:rsidP="00DB5589">
      <w:pPr>
        <w:pStyle w:val="AnnexNo"/>
        <w:rPr>
          <w:lang w:val="ru-RU"/>
        </w:rPr>
      </w:pPr>
      <w:r w:rsidRPr="00E94C1D">
        <w:rPr>
          <w:lang w:val="ru-RU"/>
        </w:rPr>
        <w:lastRenderedPageBreak/>
        <w:t>проект ПРИЛОЖЕНИя 2 К РЕЗОЛЮЦИИ 71: СИТУАЦИОННЫЙ АНАЛИЗ</w:t>
      </w:r>
    </w:p>
    <w:p w14:paraId="2FA77B46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как часть системы Организации Объединенных Наций</w:t>
      </w:r>
    </w:p>
    <w:p w14:paraId="4730EAC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– специализированное учреждение Организации Объединенных Наций в области электросвязи/информационно-коммуникационных технологий (ИКТ). 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располагают, чтобы никто не был забыт. Целью работы МСЭ являются защита и поддержка основополагающего права каждого на общение.</w:t>
      </w:r>
    </w:p>
    <w:p w14:paraId="3AAB6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Основой МСЭ со времени его создания в 1865 году является партнерство разнообразных членов. Ввиду этого он занимает уникальное положение в системе ООН, объединяя 193 Государства</w:t>
      </w:r>
      <w:r w:rsidRPr="00E94C1D">
        <w:rPr>
          <w:lang w:val="ru-RU"/>
        </w:rPr>
        <w:noBreakHyphen/>
        <w:t>Члена, свыше 900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возможности установления универсальных и приемлемых в ценовом отношении соединений для всех.</w:t>
      </w:r>
    </w:p>
    <w:p w14:paraId="5C7C9C2D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Динамика после Полномочной конференции МСЭ 2018 года</w:t>
      </w:r>
    </w:p>
    <w:p w14:paraId="33804889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2.1</w:t>
      </w:r>
      <w:r w:rsidRPr="00E94C1D">
        <w:rPr>
          <w:lang w:val="ru-RU"/>
        </w:rPr>
        <w:tab/>
        <w:t>Динамика в системе ООН</w:t>
      </w:r>
    </w:p>
    <w:p w14:paraId="5B6B6F9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3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Pr="00E94C1D">
        <w:rPr>
          <w:lang w:val="ru-RU"/>
        </w:rPr>
        <w:t>. Стремительный прогресс цифровых технологий преобразует социально-экономические реалии в глобальном масштабе</w:t>
      </w:r>
      <w:r w:rsidRPr="00E94C1D">
        <w:rPr>
          <w:rFonts w:eastAsia="Calibri"/>
          <w:lang w:val="ru-RU"/>
        </w:rPr>
        <w:t>. 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(ЦУР). 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кибербезопасности, 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для своих программ, фондов и внутренних процессов. Также все чаще проводятся конференции и международные дни ООН по цифровой тематике. В частности, Генеральный секретарь ООН изложил свою концепцию открытого, свободного и безопасного цифрового будущего для всех в "Дорожной карте по цифровому сотрудничеству", опубликованной в июне 2020 года</w:t>
      </w:r>
      <w:r w:rsidRPr="00E94C1D">
        <w:rPr>
          <w:rStyle w:val="FootnoteReference"/>
          <w:rFonts w:eastAsia="Calibri" w:cs="Calibri"/>
          <w:lang w:val="ru-RU"/>
        </w:rPr>
        <w:footnoteReference w:id="1"/>
      </w:r>
      <w:r w:rsidRPr="00E94C1D">
        <w:rPr>
          <w:rFonts w:eastAsia="Calibri"/>
          <w:lang w:val="ru-RU"/>
        </w:rPr>
        <w:t>. Она была подкреплена комплексом рекомендаций, соответствующих обязательствам, принятым государствами-членами в "</w:t>
      </w:r>
      <w:r w:rsidRPr="00E94C1D">
        <w:rPr>
          <w:lang w:val="ru-RU"/>
        </w:rPr>
        <w:t>Декларации о праздновании семьдесят пятой годовщины Организации Объединенных Наций"</w:t>
      </w:r>
      <w:r w:rsidRPr="00E94C1D">
        <w:rPr>
          <w:rStyle w:val="FootnoteReference"/>
          <w:rFonts w:eastAsia="Calibri"/>
          <w:lang w:val="ru-RU"/>
        </w:rPr>
        <w:footnoteReference w:id="2"/>
      </w:r>
      <w:r w:rsidRPr="00E94C1D">
        <w:rPr>
          <w:lang w:val="ru-RU"/>
        </w:rPr>
        <w:t>, в его недавнем докладе "Наша общая повестка дня", выпущенном в сентябре 2021 года</w:t>
      </w:r>
      <w:r w:rsidRPr="00E94C1D">
        <w:rPr>
          <w:rStyle w:val="FootnoteReference"/>
          <w:rFonts w:eastAsia="Calibri"/>
          <w:lang w:val="ru-RU"/>
        </w:rPr>
        <w:footnoteReference w:id="3"/>
      </w:r>
      <w:r w:rsidRPr="00E94C1D">
        <w:rPr>
          <w:lang w:val="ru-RU"/>
        </w:rPr>
        <w:t>.</w:t>
      </w:r>
    </w:p>
    <w:p w14:paraId="43A58438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4</w:t>
      </w:r>
      <w:r w:rsidRPr="00E94C1D">
        <w:rPr>
          <w:lang w:val="ru-RU"/>
        </w:rPr>
        <w:tab/>
        <w:t xml:space="preserve">Эта динамика в системе ООН может создать параллельные направления работы и связанные с ними моменты неэффективности в организациях системы ООН, работа которых частично совпадает с мандатом МСЭ в областях электросвязи/ИКТ, таких как </w:t>
      </w:r>
      <w:r w:rsidRPr="00E94C1D">
        <w:rPr>
          <w:color w:val="000000"/>
          <w:lang w:val="ru-RU"/>
        </w:rPr>
        <w:t>универсальная возможность установления соединений</w:t>
      </w:r>
      <w:r w:rsidRPr="00E94C1D">
        <w:rPr>
          <w:lang w:val="ru-RU"/>
        </w:rPr>
        <w:t xml:space="preserve">. Это может также помешать созданию МСЭ ценностей при поддержке цифровой </w:t>
      </w:r>
      <w:r w:rsidRPr="00E94C1D">
        <w:rPr>
          <w:lang w:val="ru-RU"/>
        </w:rPr>
        <w:lastRenderedPageBreak/>
        <w:t xml:space="preserve">трансформации у своих членов. В то же время эти изменения могут также открыть перспективы укрепления уникальной роли МСЭ как ведущей организации в области электросвязи/ИКТ. В частности, МСЭ может сотрудничать и участвовать в направлениях работы организаций системы ООН 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уровнях. Так, МСЭ уже участвует в направлениях деятельности ООН, возглавляя реализацию </w:t>
      </w:r>
      <w:r w:rsidRPr="00E94C1D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Pr="00E94C1D">
        <w:rPr>
          <w:lang w:val="ru-RU"/>
        </w:rPr>
        <w:t>. 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ООН, намеченных результатах деятельности и пунктах повестки дня.</w:t>
      </w:r>
    </w:p>
    <w:p w14:paraId="3FCE3C4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Pr="00E94C1D">
        <w:rPr>
          <w:lang w:val="ru-RU"/>
        </w:rPr>
        <w:t>. Следствием принятия Повестки дня на период до 2030 года явились радикальные изменения в Системе развития ООН (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), включая </w:t>
      </w:r>
      <w:r w:rsidRPr="00E94C1D">
        <w:rPr>
          <w:color w:val="000000"/>
          <w:lang w:val="ru-RU"/>
        </w:rPr>
        <w:t>введение нового поколения страновых групп ООН</w:t>
      </w:r>
      <w:r w:rsidRPr="00E94C1D">
        <w:rPr>
          <w:lang w:val="ru-RU"/>
        </w:rPr>
        <w:t xml:space="preserve">, </w:t>
      </w:r>
      <w:r w:rsidRPr="00E94C1D">
        <w:rPr>
          <w:color w:val="000000"/>
          <w:lang w:val="ru-RU"/>
        </w:rPr>
        <w:t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независимых и наделенных полномочиями координаторов-резидентов (КР)</w:t>
      </w:r>
      <w:r w:rsidRPr="00E94C1D">
        <w:rPr>
          <w:rStyle w:val="FootnoteReference"/>
          <w:rFonts w:eastAsia="Calibri" w:cs="Calibri"/>
          <w:lang w:val="ru-RU"/>
        </w:rPr>
        <w:footnoteReference w:id="4"/>
      </w:r>
      <w:r w:rsidRPr="00E94C1D">
        <w:rPr>
          <w:lang w:val="ru-RU"/>
        </w:rPr>
        <w:t xml:space="preserve">. В частности,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подчеркивает коллективное стремление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оказывать странам помощь в отношении приоритетов и пробелов в ЦУР; эта программа также повышает подотчетность страновых групп ООН и принимающих правительств по коллективному представлению результатов развития. 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ООН, </w:t>
      </w:r>
      <w:r w:rsidRPr="00E94C1D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Pr="00E94C1D">
        <w:rPr>
          <w:lang w:val="ru-RU"/>
        </w:rPr>
        <w:t xml:space="preserve">.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также 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Pr="00E94C1D">
        <w:rPr>
          <w:rStyle w:val="FootnoteReference"/>
          <w:rFonts w:eastAsia="Calibri" w:cs="Calibri"/>
          <w:lang w:val="ru-RU"/>
        </w:rPr>
        <w:footnoteReference w:id="5"/>
      </w:r>
      <w:r w:rsidRPr="00E94C1D">
        <w:rPr>
          <w:lang w:val="ru-RU"/>
        </w:rPr>
        <w:t xml:space="preserve">. Это дает организациям системы ООН возможность использовать направления политики, процедуры, системы контрактов и связанные с этим оперативные механизмы других организаций системы ООН для осуществления своих мандатов, без дополнительной оценки, проверок или утверждений. </w:t>
      </w:r>
    </w:p>
    <w:p w14:paraId="65EC154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6</w:t>
      </w:r>
      <w:r w:rsidRPr="00E94C1D">
        <w:rPr>
          <w:lang w:val="ru-RU"/>
        </w:rPr>
        <w:tab/>
        <w:t xml:space="preserve">Для обеспечения применимости системы ООН для МСЭ Союз может и далее взаимодействовать с реформированной СРООН, в особенности с системой </w:t>
      </w:r>
      <w:r w:rsidRPr="00E94C1D">
        <w:rPr>
          <w:color w:val="000000"/>
          <w:lang w:val="ru-RU"/>
        </w:rPr>
        <w:t>обладающих необходимыми полномочиями координаторов-резидентов (</w:t>
      </w:r>
      <w:r w:rsidRPr="00E94C1D">
        <w:rPr>
          <w:lang w:val="ru-RU"/>
        </w:rPr>
        <w:t xml:space="preserve">КР). В частности, Союз может принимать меры для повышения информированности КР о мандате и функциях МСЭ, привлекая их к собраниям и консультациям с Членами. 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. Наряду с этим, для расширения своего участия в ОСО и других периодических обзорах ООН МСЭ может предоставлять руководящие указания или данные по конкретным странам или регионам, касающиеся электросвязи/ИКТ. В то же время МСЭ может продолжать расширять свою роль в системе ООН на настоящее время. Организация является стороной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и тесно сотрудничает с </w:t>
      </w:r>
      <w:r w:rsidRPr="00E94C1D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Pr="00E94C1D">
        <w:rPr>
          <w:lang w:val="ru-RU"/>
        </w:rPr>
        <w:t xml:space="preserve"> для представления предложений КР, а также участвовала в виртуальных брифингах, проводимых УКОР. Директорам региональных отделений МСЭ также регулярно предоставляются сведения о новых событиях, включая обновляемые руководящие указания по взаимодействию КР и организаций системы ООН, такие как пересмотренная </w:t>
      </w:r>
      <w:r w:rsidRPr="00E94C1D">
        <w:rPr>
          <w:color w:val="000000"/>
          <w:lang w:val="ru-RU"/>
        </w:rPr>
        <w:t xml:space="preserve">Рамочная программа по вопросам управления и </w:t>
      </w:r>
      <w:r w:rsidRPr="00E94C1D">
        <w:rPr>
          <w:color w:val="000000"/>
          <w:lang w:val="ru-RU"/>
        </w:rPr>
        <w:lastRenderedPageBreak/>
        <w:t>подотчетности, которая была недавно опубликована с включением национальных, региональных и глобальных глав</w:t>
      </w:r>
      <w:r w:rsidRPr="00E94C1D">
        <w:rPr>
          <w:lang w:val="ru-RU"/>
        </w:rPr>
        <w:t>.</w:t>
      </w:r>
    </w:p>
    <w:p w14:paraId="2CF97E04" w14:textId="77777777" w:rsidR="00DB5589" w:rsidRPr="00E94C1D" w:rsidRDefault="00DB5589" w:rsidP="00DB5589">
      <w:pPr>
        <w:pStyle w:val="Heading2"/>
        <w:rPr>
          <w:rFonts w:eastAsiaTheme="minorHAnsi"/>
          <w:lang w:val="ru-RU"/>
        </w:rPr>
      </w:pPr>
      <w:r w:rsidRPr="00E94C1D">
        <w:rPr>
          <w:rFonts w:eastAsiaTheme="minorHAnsi"/>
          <w:lang w:val="ru-RU"/>
        </w:rPr>
        <w:t>2.2</w:t>
      </w:r>
      <w:r w:rsidRPr="00E94C1D">
        <w:rPr>
          <w:rFonts w:eastAsiaTheme="minorHAnsi"/>
          <w:lang w:val="ru-RU"/>
        </w:rPr>
        <w:tab/>
        <w:t>Динамика в области электросвязи и ИКТ</w:t>
      </w:r>
    </w:p>
    <w:p w14:paraId="7A6439E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7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Пандемия COVID-19 показала решающую роль электросвязи и ИКТ в соединении обществ и ускорении цифровой трансформации</w:t>
      </w:r>
      <w:r w:rsidRPr="00E94C1D">
        <w:rPr>
          <w:lang w:val="ru-RU"/>
        </w:rPr>
        <w:t>. Кризис COVID-19 создал беспрецедентный спрос на сети связи. В результате глобальных мер изоляции и увеличения масштабов телеработы, дистанционного обучения, дистанционного досуга и телемедицины трафик интернета возрос на 30%</w:t>
      </w:r>
      <w:r w:rsidRPr="00E94C1D">
        <w:rPr>
          <w:rStyle w:val="FootnoteReference"/>
          <w:lang w:val="ru-RU"/>
        </w:rPr>
        <w:footnoteReference w:id="6"/>
      </w:r>
      <w:r w:rsidRPr="00E94C1D">
        <w:rPr>
          <w:lang w:val="ru-RU"/>
        </w:rPr>
        <w:t xml:space="preserve">. 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Pr="00E94C1D">
        <w:rPr>
          <w:color w:val="000000"/>
          <w:lang w:val="ru-RU"/>
        </w:rPr>
        <w:t>в периоды мер изоляции, связанных с пандемией COVID-19</w:t>
      </w:r>
      <w:r w:rsidRPr="00E94C1D">
        <w:rPr>
          <w:rStyle w:val="FootnoteReference"/>
          <w:lang w:val="ru-RU"/>
        </w:rPr>
        <w:footnoteReference w:id="7"/>
      </w:r>
      <w:r w:rsidRPr="00E94C1D">
        <w:rPr>
          <w:lang w:val="ru-RU"/>
        </w:rPr>
        <w:t>. Для удовлетворения этих постоянно развивающихся потребностей пользователей стремительно увеличиваются масштабы применения новых технологий. Сохраняются темпы развертывания сетей 5G, что дает возможность быстрее устанавливать соединения на большие расстояния. С марта 2020 года в строй вводится в среднем восемь новых сетей 5G, тогда как в 2019 году этот показатель равнялся шести</w:t>
      </w:r>
      <w:r w:rsidRPr="00E94C1D">
        <w:rPr>
          <w:rStyle w:val="FootnoteReference"/>
          <w:lang w:val="ru-RU"/>
        </w:rPr>
        <w:footnoteReference w:id="8"/>
      </w:r>
      <w:r w:rsidRPr="00E94C1D">
        <w:rPr>
          <w:lang w:val="ru-RU"/>
        </w:rPr>
        <w:t>. Инфраструктура ИТ также развивается и становится более демократичной. Трафик интернета в облаке за время пандемии удвоился по сравнению с 2019 годом</w:t>
      </w:r>
      <w:r w:rsidRPr="00E94C1D">
        <w:rPr>
          <w:rStyle w:val="FootnoteReference"/>
          <w:lang w:val="ru-RU"/>
        </w:rPr>
        <w:footnoteReference w:id="9"/>
      </w:r>
      <w:r w:rsidRPr="00E94C1D">
        <w:rPr>
          <w:lang w:val="ru-RU"/>
        </w:rPr>
        <w:t>. Наряду с этим развиваются и распространяются IoT, квантовые вычисления и ИИ. 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Pr="00E94C1D">
        <w:rPr>
          <w:rStyle w:val="FootnoteReference"/>
          <w:lang w:val="ru-RU"/>
        </w:rPr>
        <w:footnoteReference w:id="10"/>
      </w:r>
      <w:r w:rsidRPr="00E94C1D">
        <w:rPr>
          <w:lang w:val="ru-RU"/>
        </w:rPr>
        <w:t>. Кризис COVID-19 показал, что появляющиеся технологии необходимы для функционирования нашего общества и экономики, а также для обеспечения критической инфраструктуры. По мере развития цифровизации растет значение обеспечения справедливого и устойчивого развития.</w:t>
      </w:r>
    </w:p>
    <w:p w14:paraId="720DC2E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то же время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Pr="00E94C1D">
        <w:rPr>
          <w:lang w:val="ru-RU"/>
        </w:rPr>
        <w:t>. Из-за пандемии увеличились различия в инвестициях в области электросвязи/ИКТ и в развитии инфраструктуры в различных странах. 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5G и волоконно-оптической связи. В развивающихся странах снизились капитальные инвестиции и расходы на душу населения, а темпы развития покрытия 4G и 5G замедлились. Связь 5G в настоящее время охватывает 3% населения в Латинской Америке и 0% в Африке. Таким образом, при стремительных темпах цифровизации после COVID-19 лишенные приемлемых в ценовом отношении возможностей установления соединений рискуют оказаться забытыми еще в большей степени. В 2021 году около 2,9 млрд. человек лишены доступа к интернету, и 96% из них живут в развивающихся странах</w:t>
      </w:r>
      <w:r w:rsidRPr="00E94C1D">
        <w:rPr>
          <w:rStyle w:val="FootnoteReference"/>
          <w:lang w:val="ru-RU"/>
        </w:rPr>
        <w:footnoteReference w:id="11"/>
      </w:r>
      <w:r w:rsidRPr="00E94C1D">
        <w:rPr>
          <w:lang w:val="ru-RU"/>
        </w:rPr>
        <w:t>. В частности, в определенных ООН наименее развитых странах (НРС)</w:t>
      </w:r>
      <w:r w:rsidRPr="00E94C1D">
        <w:rPr>
          <w:rStyle w:val="FootnoteReference"/>
          <w:lang w:val="ru-RU"/>
        </w:rPr>
        <w:footnoteReference w:id="12"/>
      </w:r>
      <w:r w:rsidRPr="00E94C1D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навыков. 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50% НРС не достигли международных целевых показателей приемлемости в ценовом отношении</w:t>
      </w:r>
      <w:r w:rsidRPr="00E94C1D">
        <w:rPr>
          <w:rStyle w:val="FootnoteReference"/>
          <w:lang w:val="ru-RU"/>
        </w:rPr>
        <w:footnoteReference w:id="13"/>
      </w:r>
      <w:r w:rsidRPr="00E94C1D">
        <w:rPr>
          <w:lang w:val="ru-RU"/>
        </w:rPr>
        <w:t xml:space="preserve">. Поскольку все большее число услуг предоставляется в </w:t>
      </w:r>
      <w:r w:rsidRPr="00E94C1D">
        <w:rPr>
          <w:lang w:val="ru-RU"/>
        </w:rPr>
        <w:lastRenderedPageBreak/>
        <w:t>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связи.</w:t>
      </w:r>
    </w:p>
    <w:p w14:paraId="14FA370A" w14:textId="51ADB2C8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Pr="00E94C1D">
        <w:rPr>
          <w:lang w:val="ru-RU"/>
        </w:rPr>
        <w:t>. За</w:t>
      </w:r>
      <w:r w:rsidR="00CE1974" w:rsidRPr="00E94C1D">
        <w:rPr>
          <w:lang w:val="ru-RU"/>
        </w:rPr>
        <w:t> </w:t>
      </w:r>
      <w:r w:rsidRPr="00E94C1D">
        <w:rPr>
          <w:lang w:val="ru-RU"/>
        </w:rPr>
        <w:t>последние 2000 лет воздействие человека вызвало беспрецедентное потепление климата. В то же время стремительное развитие и развертывание электросвязи/ИКТ во всем мире привело к увеличению выбросов парниковых газов (ПГ), потребления энергии и объемов электронных отходов. По последним оценкам, на сектор электросвязи/ИКТ приходится 3–4% глобальных выбросов CO</w:t>
      </w:r>
      <w:r w:rsidRPr="00E94C1D">
        <w:rPr>
          <w:vertAlign w:val="subscript"/>
          <w:lang w:val="ru-RU"/>
        </w:rPr>
        <w:t>2</w:t>
      </w:r>
      <w:r w:rsidRPr="00E94C1D">
        <w:rPr>
          <w:lang w:val="ru-RU"/>
        </w:rPr>
        <w:t>, примерно в два раза больше, чем на гражданскую авиацию. Поскольку ожидается, что ежегодно глобальный трафик данных будет увеличиваться примерно на 60%, прогнозируется дальнейший рост доли отрасли</w:t>
      </w:r>
      <w:r w:rsidRPr="00E94C1D">
        <w:rPr>
          <w:rStyle w:val="FootnoteReference"/>
          <w:lang w:val="ru-RU"/>
        </w:rPr>
        <w:footnoteReference w:id="14"/>
      </w:r>
      <w:r w:rsidRPr="00E94C1D">
        <w:rPr>
          <w:lang w:val="ru-RU"/>
        </w:rPr>
        <w:t>. 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и адаптации к нему. Так, электросвязь/ИКТ играют решающую роль в мониторинге и анализе краткосрочных и долгосрочных климатических тенденций,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ПГ. 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развития.</w:t>
      </w:r>
    </w:p>
    <w:p w14:paraId="5E1E3380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устойчивой цифровой трансформации</w:t>
      </w:r>
      <w:r w:rsidRPr="00E94C1D">
        <w:rPr>
          <w:lang w:val="ru-RU"/>
        </w:rPr>
        <w:t xml:space="preserve">. Разнообразный членский состав МСЭ дает Союзу уникальную возможность решать проблемы цифрового неравенства. В частности, правительства и регуляторные органы развивающихся стран могут выдвигать инициативы, направленные на </w:t>
      </w:r>
      <w:r w:rsidRPr="00E94C1D">
        <w:rPr>
          <w:color w:val="000000"/>
          <w:lang w:val="ru-RU"/>
        </w:rPr>
        <w:t xml:space="preserve">обращение вспять тенденции к сокращению капитальных затрат </w:t>
      </w:r>
      <w:r w:rsidRPr="00E94C1D">
        <w:rPr>
          <w:lang w:val="ru-RU"/>
        </w:rPr>
        <w:t>и стимулирование инвестиций для содействие развертыванию сетей. 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связи. 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отраслью. 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изменения в среде электросвязи/ИКТ</w:t>
      </w:r>
      <w:r w:rsidRPr="00E94C1D">
        <w:rPr>
          <w:rStyle w:val="FootnoteReference"/>
          <w:rFonts w:cs="Calibri"/>
          <w:lang w:val="ru-RU"/>
        </w:rPr>
        <w:footnoteReference w:id="15"/>
      </w:r>
      <w:r w:rsidRPr="00E94C1D">
        <w:rPr>
          <w:lang w:val="ru-RU"/>
        </w:rPr>
        <w:t>. Наконец, для поддержки достижения ЦУР 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сектора.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 применении экологической призмы во всей свой работе.</w:t>
      </w:r>
    </w:p>
    <w:p w14:paraId="47AAB088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2.3</w:t>
      </w:r>
      <w:r w:rsidRPr="00E94C1D">
        <w:rPr>
          <w:lang w:val="ru-RU"/>
        </w:rPr>
        <w:tab/>
        <w:t>Ход достижения целевых показателей Стратегического плана МСЭ на 2020–2023 годы</w:t>
      </w:r>
    </w:p>
    <w:p w14:paraId="7A4334F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11</w:t>
      </w:r>
      <w:r w:rsidRPr="00E94C1D">
        <w:rPr>
          <w:lang w:val="ru-RU"/>
        </w:rPr>
        <w:tab/>
        <w:t>В Стратегическом плане МСЭ на 2020–2023 годы поставлено пять стратегических целей (рост, открытость, устойчивость, инновации и партнерство), измеряемых по 24 целевым показателям, которые содействуют выполнению Повестки дня "Соединим к 2030 году".</w:t>
      </w:r>
    </w:p>
    <w:p w14:paraId="7F5490BE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lastRenderedPageBreak/>
        <w:t>12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Pr="00E94C1D">
        <w:rPr>
          <w:lang w:val="ru-RU"/>
        </w:rPr>
        <w:t>. Согласно оценкам, в 2021 году интернетом пользуются 4,9 млрд. человек</w:t>
      </w:r>
      <w:r w:rsidRPr="00E94C1D">
        <w:rPr>
          <w:rStyle w:val="FootnoteReference"/>
          <w:lang w:val="ru-RU"/>
        </w:rPr>
        <w:footnoteReference w:id="16"/>
      </w:r>
      <w:r w:rsidRPr="00E94C1D">
        <w:rPr>
          <w:lang w:val="ru-RU"/>
        </w:rPr>
        <w:t>, что означает, что подключены 63% населения мира – увеличение на 17% – и, по оценкам, почти 800 млн. подключились к интернету с 2019 года. 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(НРС).</w:t>
      </w:r>
    </w:p>
    <w:p w14:paraId="6A41CA1F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13</w:t>
      </w:r>
      <w:r w:rsidRPr="00E94C1D">
        <w:rPr>
          <w:lang w:val="ru-RU"/>
        </w:rPr>
        <w:tab/>
      </w:r>
      <w:bookmarkStart w:id="5" w:name="lt_pId100"/>
      <w:r w:rsidRPr="00E94C1D">
        <w:rPr>
          <w:b/>
          <w:bCs/>
          <w:lang w:val="ru-RU"/>
        </w:rPr>
        <w:t>Рост был объяснимо слабее в развитых экономиках, где использование интернета является практически универсальным</w:t>
      </w:r>
      <w:r w:rsidRPr="00E94C1D">
        <w:rPr>
          <w:lang w:val="ru-RU"/>
        </w:rPr>
        <w:t xml:space="preserve"> и составляет более 90%.</w:t>
      </w:r>
      <w:bookmarkEnd w:id="5"/>
      <w:r w:rsidRPr="00E94C1D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году.</w:t>
      </w:r>
    </w:p>
    <w:p w14:paraId="78F4064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14</w:t>
      </w:r>
      <w:r w:rsidRPr="00E94C1D">
        <w:rPr>
          <w:lang w:val="ru-RU"/>
        </w:rPr>
        <w:tab/>
      </w:r>
      <w:bookmarkStart w:id="6" w:name="lt_pId102"/>
      <w:r w:rsidRPr="00E94C1D">
        <w:rPr>
          <w:b/>
          <w:bCs/>
          <w:lang w:val="ru-RU"/>
        </w:rPr>
        <w:t>Рост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числа контрактов на широкополосную связь в 2021 году</w:t>
      </w:r>
      <w:r w:rsidRPr="00E94C1D">
        <w:rPr>
          <w:lang w:val="ru-RU"/>
        </w:rPr>
        <w:t>: после небольшого снижения в 2020 году проникновение контрактов на подвижную сотовую связь в 2021 году опять увеличилось и достигло рекордного показателя – 110 контрактов на 100 человек населения.</w:t>
      </w:r>
      <w:bookmarkEnd w:id="6"/>
      <w:r w:rsidRPr="00E94C1D">
        <w:rPr>
          <w:lang w:val="ru-RU"/>
        </w:rPr>
        <w:t xml:space="preserve"> Та же тенденция наблюдалась в отношении контрактов на подвижную связь с возможностью широкополосной связи (3G или выше) – 83 контракта на 100 человек населения.</w:t>
      </w:r>
    </w:p>
    <w:p w14:paraId="44A133F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Разрыв между городскими и сельскими районами не столь значителен в развитых странах, но остается серьезной проблемой в отношении возможности установления цифровых соединений во всем остальном мире</w:t>
      </w:r>
      <w:r w:rsidRPr="00E94C1D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7753A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16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Цифровой гендерный разрыв также сокращается во всем мире, но в более бедных странах разрыв остается большим</w:t>
      </w:r>
      <w:r w:rsidRPr="00E94C1D">
        <w:rPr>
          <w:lang w:val="ru-RU"/>
        </w:rPr>
        <w:t xml:space="preserve">. </w:t>
      </w:r>
      <w:r w:rsidRPr="00E94C1D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5F1C156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17</w:t>
      </w:r>
      <w:r w:rsidRPr="00E94C1D">
        <w:rPr>
          <w:lang w:val="ru-RU"/>
        </w:rPr>
        <w:tab/>
      </w:r>
      <w:r w:rsidRPr="00E94C1D">
        <w:rPr>
          <w:rFonts w:cs="Calibri"/>
          <w:b/>
          <w:bCs/>
          <w:szCs w:val="22"/>
          <w:lang w:val="ru-RU" w:eastAsia="en-GB"/>
        </w:rPr>
        <w:t xml:space="preserve">Во </w:t>
      </w:r>
      <w:r w:rsidRPr="00E94C1D">
        <w:rPr>
          <w:rFonts w:cs="Arial"/>
          <w:b/>
          <w:bCs/>
          <w:szCs w:val="22"/>
          <w:lang w:val="ru-RU" w:eastAsia="en-GB"/>
        </w:rPr>
        <w:t>всех</w:t>
      </w:r>
      <w:r w:rsidRPr="00E94C1D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Pr="00E94C1D">
        <w:rPr>
          <w:lang w:val="ru-RU"/>
        </w:rPr>
        <w:t>. 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приходит на рынок труда.</w:t>
      </w:r>
    </w:p>
    <w:p w14:paraId="536EA5E0" w14:textId="0EE09D2B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Мониторинг изменения цифрового разрыва в мире</w:t>
      </w:r>
      <w:r w:rsidRPr="00E94C1D">
        <w:rPr>
          <w:lang w:val="ru-RU"/>
        </w:rPr>
        <w:t xml:space="preserve">. Имеющиеся у МСЭ </w:t>
      </w:r>
      <w:r w:rsidR="00757990" w:rsidRPr="00E94C1D">
        <w:rPr>
          <w:lang w:val="ru-RU"/>
        </w:rPr>
        <w:t>данные</w:t>
      </w:r>
      <w:r w:rsidRPr="00E94C1D">
        <w:rPr>
          <w:lang w:val="ru-RU"/>
        </w:rPr>
        <w:t xml:space="preserve">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миллиарды из них не подключаются. </w:t>
      </w:r>
    </w:p>
    <w:p w14:paraId="56DE73D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Серьезным барьером остается вопрос приемлемости цен на устройства и услуги</w:t>
      </w:r>
      <w:r w:rsidRPr="00E94C1D">
        <w:rPr>
          <w:lang w:val="ru-RU"/>
        </w:rPr>
        <w:t xml:space="preserve">. Широко признанный целевой показатель приемлемости широкополосной связи в ценовом отношении в развивающихся странах устанавливает стоимость пакета базовых услуг подвижной широкополосной </w:t>
      </w:r>
      <w:r w:rsidRPr="00E94C1D">
        <w:rPr>
          <w:lang w:val="ru-RU"/>
        </w:rPr>
        <w:lastRenderedPageBreak/>
        <w:t xml:space="preserve">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 </w:t>
      </w:r>
    </w:p>
    <w:p w14:paraId="2F0DF2E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Отсутствие цифровых навыков и понимания преимуществ онлайнового подключения – еще один фактор, сдерживающий рост</w:t>
      </w:r>
      <w:r w:rsidRPr="00E94C1D">
        <w:rPr>
          <w:lang w:val="ru-RU"/>
        </w:rPr>
        <w:t>, который также усугубляется отсутствием контента на местных языках и тем, что работа с интерфейсами требует навыков чтения и счета, которыми многие не обладают.</w:t>
      </w:r>
    </w:p>
    <w:p w14:paraId="452CDA9E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2.4</w:t>
      </w:r>
      <w:r w:rsidRPr="00E94C1D">
        <w:rPr>
          <w:lang w:val="ru-RU"/>
        </w:rPr>
        <w:tab/>
        <w:t>Оценка предлагаемых МСЭ стоимостных преимуществ и их организационной эффективности</w:t>
      </w:r>
    </w:p>
    <w:p w14:paraId="64CBB08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21</w:t>
      </w:r>
      <w:r w:rsidRPr="00E94C1D">
        <w:rPr>
          <w:lang w:val="ru-RU"/>
        </w:rPr>
        <w:tab/>
        <w:t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по дальнейшему совершенствованию предлагаемых членам стоимостных преимуществ и советы руководству МСЭ по совершенствованию организационной эффективности. Сюда относятся обзор регионального присутствия МСЭ, проект "Культура и навыки" и неофициальные консультации с Членами в процессе стратегического планирования.</w:t>
      </w:r>
    </w:p>
    <w:p w14:paraId="7540B9D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22</w:t>
      </w:r>
      <w:r w:rsidRPr="00E94C1D">
        <w:rPr>
          <w:lang w:val="ru-RU"/>
        </w:rPr>
        <w:tab/>
        <w:t>В частности, в отзывах Членов подчеркивается необходимость установления четких областей воздействия и использования синергии всех Секторов МСЭ. Для совершенствования предлагаемых Членам МСЭ преимуществ также предлагалось предоставить Членам каталог услуг. 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подотчетности.</w:t>
      </w:r>
    </w:p>
    <w:p w14:paraId="4F260B7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23</w:t>
      </w:r>
      <w:r w:rsidRPr="00E94C1D">
        <w:rPr>
          <w:lang w:val="ru-RU"/>
        </w:rPr>
        <w:tab/>
        <w:t xml:space="preserve">В отчете по проекту "Культура и навыки" отмечается необходимость реформирования организационной культуры МСЭ путем содействия межфункционального сотрудничества, инноваций "снизу вверх" и реагирования на изменения в области электросвязи/ИКТ. 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медленному принятию решений с опозданием. К числу других областей совершенствования в отношении культуры относятся предоставление персоналу большей </w:t>
      </w:r>
      <w:r w:rsidRPr="00E94C1D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E94C1D">
        <w:rPr>
          <w:lang w:val="ru-RU"/>
        </w:rPr>
        <w:t>, при укреплении руководства путем минимизации организационной иерархии.</w:t>
      </w:r>
    </w:p>
    <w:p w14:paraId="01922A5A" w14:textId="57246B22" w:rsidR="00DB5589" w:rsidRDefault="00DB5589" w:rsidP="00DB5589">
      <w:pPr>
        <w:rPr>
          <w:lang w:val="ru-RU"/>
        </w:rPr>
      </w:pPr>
      <w:r w:rsidRPr="00E94C1D">
        <w:rPr>
          <w:lang w:val="ru-RU"/>
        </w:rPr>
        <w:t>24</w:t>
      </w:r>
      <w:r w:rsidRPr="00E94C1D">
        <w:rPr>
          <w:lang w:val="ru-RU"/>
        </w:rPr>
        <w:tab/>
        <w:t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 для повышения их согласованности и направления внимания на региональные программы и инициативы. В частности, подчеркивается необходимость уточнения региональных мандатов и обязанностей,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деятельности.</w:t>
      </w:r>
    </w:p>
    <w:p w14:paraId="2B2EDB62" w14:textId="3FA304E2" w:rsidR="00D2298F" w:rsidRPr="004800B2" w:rsidRDefault="00D2298F" w:rsidP="00DB5589">
      <w:pPr>
        <w:rPr>
          <w:lang w:val="ru-RU"/>
        </w:rPr>
      </w:pPr>
      <w:r w:rsidRPr="004800B2">
        <w:rPr>
          <w:lang w:val="ru-RU"/>
        </w:rPr>
        <w:t>[</w:t>
      </w:r>
    </w:p>
    <w:p w14:paraId="5F6F5D90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2.5</w:t>
      </w:r>
      <w:r w:rsidRPr="00E94C1D">
        <w:rPr>
          <w:lang w:val="ru-RU"/>
        </w:rPr>
        <w:tab/>
        <w:t xml:space="preserve">Краткий обзор </w:t>
      </w:r>
      <w:r w:rsidRPr="00E94C1D">
        <w:rPr>
          <w:color w:val="000000"/>
          <w:lang w:val="ru-RU"/>
        </w:rPr>
        <w:t>сильных и слабых сторон, возможностей и угроз</w:t>
      </w:r>
      <w:r w:rsidRPr="00E94C1D">
        <w:rPr>
          <w:lang w:val="ru-RU"/>
        </w:rPr>
        <w:t xml:space="preserve"> МСЭ (SWOT)</w:t>
      </w:r>
    </w:p>
    <w:p w14:paraId="4E65573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25</w:t>
      </w:r>
      <w:r w:rsidRPr="00E94C1D">
        <w:rPr>
          <w:lang w:val="ru-RU"/>
        </w:rPr>
        <w:tab/>
        <w:t xml:space="preserve">Для реагирования на стремительные изменения в цифровой среде МСЭ необходимо использовать имеющиеся у него как у ведущего учреждения системы ООН в области электросвязи/ИКТ сильные стороны и четко продемонстрировать свою решающую роль в совершенствовании доступа к этим технологиям и их использования для устойчивого развития. МСЭ будет также стремиться использовать как внутренние, так и внешние возможности повышать пользу услуг, продуктов и инициатив МСЭ. Вместе с тем для укрепления и сохранения своей важной роли в секторе электросвязи и ИКТ Союз должен также уделять внимание исправлению своих слабых сторон как организации и реагированию на появляющиеся угрозы. МСЭ определил, проанализировал и </w:t>
      </w:r>
      <w:r w:rsidRPr="00E94C1D">
        <w:rPr>
          <w:lang w:val="ru-RU"/>
        </w:rPr>
        <w:lastRenderedPageBreak/>
        <w:t>оценил стратегические риски в процессе стратегического планирования (как часть общей структуры управления рисками организации), что далее отражено в результатах настоящего анализа.</w:t>
      </w:r>
    </w:p>
    <w:p w14:paraId="20CFF8F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26</w:t>
      </w:r>
      <w:r w:rsidRPr="00E94C1D">
        <w:rPr>
          <w:lang w:val="ru-RU"/>
        </w:rPr>
        <w:tab/>
        <w:t>Дополнительные сведения о сильных и слабых сторонах, возможностях и угрозах (SWOT) для МСЭ приведены в таблицах ниже.</w:t>
      </w:r>
    </w:p>
    <w:p w14:paraId="658E7AE9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Сильные стороны</w:t>
      </w:r>
    </w:p>
    <w:p w14:paraId="260E276B" w14:textId="12BA7588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Целенаправленные действия в области электросвязи/ИКТ и более 150 лет истории, что создает для МСЭ уникальное положение в системе ООН</w:t>
      </w:r>
      <w:r w:rsidR="00CE1974" w:rsidRPr="00E94C1D">
        <w:rPr>
          <w:lang w:val="ru-RU" w:eastAsia="en-GB"/>
        </w:rPr>
        <w:t>.</w:t>
      </w:r>
    </w:p>
    <w:p w14:paraId="080B077F" w14:textId="163BA18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>Ведущая роль в организации использования ресурсов ИКТ и доступа к ним в глобальном масштабе с помощью регуляторных норм и стандартов универсальной применимости</w:t>
      </w:r>
      <w:r w:rsidR="00CE1974" w:rsidRPr="00E94C1D">
        <w:rPr>
          <w:lang w:val="ru-RU"/>
        </w:rPr>
        <w:t>.</w:t>
      </w:r>
    </w:p>
    <w:p w14:paraId="2A2B3B86" w14:textId="117D65E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Надежная глобальная и нейтральная платформа с признанной торговой маркой и пользующаяся доверием в международном сообществе для содействия достижению ЦУР и реализации Направлений деятельности ВВУИО</w:t>
      </w:r>
      <w:r w:rsidR="00CE1974" w:rsidRPr="00E94C1D">
        <w:rPr>
          <w:lang w:val="ru-RU" w:eastAsia="en-GB"/>
        </w:rPr>
        <w:t>.</w:t>
      </w:r>
    </w:p>
    <w:p w14:paraId="579759D9" w14:textId="08AF5CBB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Комплексный и разнообразный членский состав, в который входят правительства и регуляторные органы, частный сектор и академические организации и который предоставляет уникальную платформу для многосторонних обсуждений и дает возможность формирования партнерств с заинтересованными сторонами из сектора электросвязи/ИКТ</w:t>
      </w:r>
      <w:r w:rsidR="00CE1974" w:rsidRPr="00E94C1D">
        <w:rPr>
          <w:lang w:val="ru-RU" w:eastAsia="en-GB"/>
        </w:rPr>
        <w:t>.</w:t>
      </w:r>
    </w:p>
    <w:p w14:paraId="645EAF53" w14:textId="35A8381C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Разносторонний диапазон отраслевых мандатов, которые содействуют комплексным и взаимодополняющим мерам для выполнения миссии МСЭ</w:t>
      </w:r>
      <w:r w:rsidR="00CE1974" w:rsidRPr="00E94C1D">
        <w:rPr>
          <w:lang w:val="ru-RU" w:eastAsia="en-GB"/>
        </w:rPr>
        <w:t>.</w:t>
      </w:r>
    </w:p>
    <w:p w14:paraId="1F78E6A9" w14:textId="38ABE62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Значительный технический потенциал сотрудников и Членов, в особенности в рамках основных сфер компетенции</w:t>
      </w:r>
      <w:r w:rsidR="00CE1974" w:rsidRPr="00E94C1D">
        <w:rPr>
          <w:lang w:val="ru-RU" w:eastAsia="en-GB"/>
        </w:rPr>
        <w:t>.</w:t>
      </w:r>
    </w:p>
    <w:p w14:paraId="7C359D42" w14:textId="77D4C58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Разнообразие мандатов Секторов МСЭ, позволяющее широкое взаимодействие внутри Союза, способствующее выполнению его миссии (при условии реализации такой возможности, как использование синергии всех Секторов МСЭ)</w:t>
      </w:r>
      <w:r w:rsidR="00CE1974" w:rsidRPr="00E94C1D">
        <w:rPr>
          <w:lang w:val="ru-RU" w:eastAsia="en-GB"/>
        </w:rPr>
        <w:t>.</w:t>
      </w:r>
    </w:p>
    <w:p w14:paraId="2FDEF233" w14:textId="7F659A1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Структура Союза, в особенности Секторов МСЭ, позволяющая наилучшим образом удовлетворять различные потребности членства в рамках мандата МСЭ и специализации Секторов (в частности, путем использования функции регионального присутствия, делегирования персоналу б</w:t>
      </w:r>
      <w:r w:rsidRPr="00E94C1D">
        <w:rPr>
          <w:rFonts w:cs="Calibri"/>
          <w:lang w:val="ru-RU" w:eastAsia="en-GB"/>
        </w:rPr>
        <w:t>ó</w:t>
      </w:r>
      <w:r w:rsidRPr="00E94C1D">
        <w:rPr>
          <w:lang w:val="ru-RU" w:eastAsia="en-GB"/>
        </w:rPr>
        <w:t>льших полномочий и соответствующих им ответственности и подотчетности на основании управления кадровым потенциалом на базе показателей деятельности и др.)</w:t>
      </w:r>
      <w:r w:rsidR="00CE1974" w:rsidRPr="00E94C1D">
        <w:rPr>
          <w:lang w:val="ru-RU" w:eastAsia="en-GB"/>
        </w:rPr>
        <w:t>.</w:t>
      </w:r>
    </w:p>
    <w:p w14:paraId="16FE66DF" w14:textId="77777777" w:rsidR="00DB5589" w:rsidRPr="00E94C1D" w:rsidRDefault="00DB5589" w:rsidP="00CE1974">
      <w:pPr>
        <w:pStyle w:val="Headingb"/>
        <w:rPr>
          <w:rFonts w:cstheme="majorBidi"/>
          <w:lang w:val="ru-RU"/>
        </w:rPr>
      </w:pPr>
      <w:r w:rsidRPr="00E94C1D">
        <w:rPr>
          <w:lang w:val="ru-RU"/>
        </w:rPr>
        <w:t>Слабые стороны</w:t>
      </w:r>
    </w:p>
    <w:p w14:paraId="38BD3268" w14:textId="323D940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[Отсутствие эффективности и бюрократизм, что приводит к медленному осуществлению процессов с опозданием]</w:t>
      </w:r>
      <w:r w:rsidR="00CE1974" w:rsidRPr="00E94C1D">
        <w:rPr>
          <w:lang w:val="ru-RU" w:eastAsia="en-GB"/>
        </w:rPr>
        <w:t>.</w:t>
      </w:r>
    </w:p>
    <w:p w14:paraId="4D439EDD" w14:textId="5882EFFD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[Сложная структура управления, ограничивающая организационную гибкость и скорость принятия решений]</w:t>
      </w:r>
      <w:r w:rsidR="00CE1974" w:rsidRPr="00E94C1D">
        <w:rPr>
          <w:lang w:val="ru-RU" w:eastAsia="en-GB"/>
        </w:rPr>
        <w:t>.</w:t>
      </w:r>
    </w:p>
    <w:p w14:paraId="36327162" w14:textId="7053C394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[Несогласованный подход при ограниченном межфункциональном сотрудничестве, что препятствует потенциальной синергии и оперативной эффективности]</w:t>
      </w:r>
      <w:r w:rsidR="00CE1974" w:rsidRPr="00E94C1D">
        <w:rPr>
          <w:lang w:val="ru-RU" w:eastAsia="en-GB"/>
        </w:rPr>
        <w:t>.</w:t>
      </w:r>
    </w:p>
    <w:p w14:paraId="4834820F" w14:textId="61A0C934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[Избегающие рисков организационная культура и процессы, сдерживающие инновации и предпринимательство "снизу вверх"]</w:t>
      </w:r>
      <w:r w:rsidR="00CE1974" w:rsidRPr="00E94C1D">
        <w:rPr>
          <w:lang w:val="ru-RU" w:eastAsia="en-GB"/>
        </w:rPr>
        <w:t>.</w:t>
      </w:r>
    </w:p>
    <w:p w14:paraId="216E61E7" w14:textId="2555A4D2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Ограниченная способность мобилизации ресурсов, сдерживающая возможности организации из-за особенностей финансирования деятельности со стороны Государств-Членов как результат ограничений на размер единицы взносов, вариабельности в принятии Государствами-Членами на себя обязательств по выбору класса взносов, а также задолженности Членов перед Союзом</w:t>
      </w:r>
      <w:r w:rsidR="00CE1974" w:rsidRPr="00E94C1D">
        <w:rPr>
          <w:lang w:val="ru-RU" w:eastAsia="en-GB"/>
        </w:rPr>
        <w:t>.</w:t>
      </w:r>
    </w:p>
    <w:p w14:paraId="22AE9657" w14:textId="6A1E3EA1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 xml:space="preserve">[МСЭ − организация системы Организации Объединенных Наций, управляемая независимыми Государствами-Членами, что может приводить к размыванию и выхолащиванию основных компетенций МСЭ и, как следствие, уменьшению его ценности </w:t>
      </w:r>
      <w:r w:rsidRPr="00E94C1D">
        <w:rPr>
          <w:lang w:val="ru-RU"/>
        </w:rPr>
        <w:lastRenderedPageBreak/>
        <w:t>для Членов МСЭ – Ограниченные возможности быстрого изменения ориентации сфер деятельности из-за сравнительно медленной процедуры изменения мандата (Устава и Конвенции МСЭ) и неотъемлемых свойств международной организации]</w:t>
      </w:r>
      <w:r w:rsidR="00CE1974" w:rsidRPr="00E94C1D">
        <w:rPr>
          <w:lang w:val="ru-RU"/>
        </w:rPr>
        <w:t>.</w:t>
      </w:r>
    </w:p>
    <w:p w14:paraId="1ECA3CA8" w14:textId="20D6C3B2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>Относительная обособленность региональных и зональных отделений от основного направления деятельности</w:t>
      </w:r>
      <w:r w:rsidR="00CE1974" w:rsidRPr="00E94C1D">
        <w:rPr>
          <w:lang w:val="ru-RU"/>
        </w:rPr>
        <w:t>.</w:t>
      </w:r>
    </w:p>
    <w:p w14:paraId="4F85C396" w14:textId="7EA1D0D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Нечеткость мандатов региональных и зональных отделений, приводящая к неэффективности оказания услуг членам и предоставления преимуществ заинтересованным сторонам</w:t>
      </w:r>
      <w:r w:rsidR="00CE1974" w:rsidRPr="00E94C1D">
        <w:rPr>
          <w:lang w:val="ru-RU" w:eastAsia="en-GB"/>
        </w:rPr>
        <w:t>.</w:t>
      </w:r>
    </w:p>
    <w:p w14:paraId="59AD2111" w14:textId="213162A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Существенное сокращение доходной части при дополнительных требованиях в расходной части</w:t>
      </w:r>
      <w:r w:rsidR="00CE1974" w:rsidRPr="00E94C1D">
        <w:rPr>
          <w:lang w:val="ru-RU" w:eastAsia="en-GB"/>
        </w:rPr>
        <w:t>.</w:t>
      </w:r>
    </w:p>
    <w:p w14:paraId="61DA5F44" w14:textId="17D3535A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[Существующая бизнес-модель мероприятий Telecom не обоснована в финансовом отношении, и предлагаемые мероприятиями преимущества обладают явными признаками слабости</w:t>
      </w:r>
      <w:r w:rsidRPr="00E94C1D">
        <w:rPr>
          <w:lang w:val="ru-RU"/>
        </w:rPr>
        <w:t>]</w:t>
      </w:r>
      <w:r w:rsidR="00CE1974" w:rsidRPr="00E94C1D">
        <w:rPr>
          <w:lang w:val="ru-RU"/>
        </w:rPr>
        <w:t>.</w:t>
      </w:r>
    </w:p>
    <w:p w14:paraId="1185A898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Возможности</w:t>
      </w:r>
    </w:p>
    <w:p w14:paraId="4FA1907B" w14:textId="2F0617F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Увеличение вклада электросвязи и ИКТ в устойчивое развитие, расширение роли МСЭ в достижении ЦУР</w:t>
      </w:r>
      <w:r w:rsidR="00CE1974" w:rsidRPr="00E94C1D">
        <w:rPr>
          <w:lang w:val="ru-RU" w:eastAsia="en-GB"/>
        </w:rPr>
        <w:t>.</w:t>
      </w:r>
    </w:p>
    <w:p w14:paraId="0430A08B" w14:textId="7C499C82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Ускорение цифровизации и цифровой трансформации под воздействием пандемии COVID</w:t>
      </w:r>
      <w:r w:rsidRPr="00E94C1D">
        <w:rPr>
          <w:lang w:val="ru-RU" w:eastAsia="en-GB"/>
        </w:rPr>
        <w:noBreakHyphen/>
        <w:t>19, увеличение значимости программ и платформы МСЭ</w:t>
      </w:r>
      <w:r w:rsidR="00CE1974" w:rsidRPr="00E94C1D">
        <w:rPr>
          <w:lang w:val="ru-RU" w:eastAsia="en-GB"/>
        </w:rPr>
        <w:t>.</w:t>
      </w:r>
    </w:p>
    <w:p w14:paraId="588BB083" w14:textId="0D7C801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Укрепление взаимодействия с новыми технологиями и группами заинтересованных сторон, таких как молодежь, женщины и маргинализированные сообщества, для получения разнообразных мнений по проблемам и перспективам цифровизации</w:t>
      </w:r>
      <w:r w:rsidR="00CE1974" w:rsidRPr="00E94C1D">
        <w:rPr>
          <w:lang w:val="ru-RU" w:eastAsia="en-GB"/>
        </w:rPr>
        <w:t>.</w:t>
      </w:r>
    </w:p>
    <w:p w14:paraId="01FF7E64" w14:textId="0777797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Возможности роста членского состава и партнерств при стремительном развитии новых компаний и организаций в области электросвязи/ИКТ в связи с цифровой трансформацией</w:t>
      </w:r>
      <w:r w:rsidR="00CE1974" w:rsidRPr="00E94C1D">
        <w:rPr>
          <w:lang w:val="ru-RU" w:eastAsia="en-GB"/>
        </w:rPr>
        <w:t>.</w:t>
      </w:r>
    </w:p>
    <w:p w14:paraId="41A06BEA" w14:textId="7502CCCB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 xml:space="preserve">Расширение цифрового программирования в рамках системы ООН в целом, создание для МСЭ возможности использования своего уникального специального опыта и знаний и занятия положения ведущего катализатора в области электросвязи/ИКТ для деятельности других учреждений системы ООН, включая </w:t>
      </w:r>
      <w:r w:rsidRPr="00E94C1D">
        <w:rPr>
          <w:color w:val="000000"/>
          <w:lang w:val="ru-RU"/>
        </w:rPr>
        <w:t>изменения, касающиеся повестки дня ООН в области цифрового сотрудничества и соответствующей Дорожной карты и доклада Генерального секретаря ООН "Наша общая повестка дня", которые открывают ряд возможностей для формирования совместных партнерств с различными организациями</w:t>
      </w:r>
      <w:r w:rsidR="00CE1974" w:rsidRPr="00E94C1D">
        <w:rPr>
          <w:color w:val="000000"/>
          <w:lang w:val="ru-RU"/>
        </w:rPr>
        <w:t>.</w:t>
      </w:r>
    </w:p>
    <w:p w14:paraId="4258C295" w14:textId="77777777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Использование конкурентных преимуществ МСЭ, в том числе его продуктов и услуг, для повышения доходов Союза, или разработка дополнительных новых финансовых механизмов.</w:t>
      </w:r>
    </w:p>
    <w:p w14:paraId="622D9F0D" w14:textId="59B0F70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Более целенаправленное использование регионального присутствия МСЭ может улучшить составление программ и достижение результатов</w:t>
      </w:r>
      <w:r w:rsidR="00CE1974" w:rsidRPr="00E94C1D">
        <w:rPr>
          <w:lang w:val="ru-RU" w:eastAsia="en-GB"/>
        </w:rPr>
        <w:t>.</w:t>
      </w:r>
    </w:p>
    <w:p w14:paraId="0B3B9629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Угрозы</w:t>
      </w:r>
    </w:p>
    <w:p w14:paraId="07FC4D9B" w14:textId="6CA6E52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Обстановка в области электросвязи/ИКТ и ее развитие могут меняться слишком быстро, чтобы МСЭ мог эффективно адаптировать составление своих программ и свой потенциал и сохранять предлагаемые стоимостные преимущества</w:t>
      </w:r>
      <w:r w:rsidR="00CE1974" w:rsidRPr="00E94C1D">
        <w:rPr>
          <w:lang w:val="ru-RU" w:eastAsia="en-GB"/>
        </w:rPr>
        <w:t>.</w:t>
      </w:r>
    </w:p>
    <w:p w14:paraId="7539FB50" w14:textId="6373CDB1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Вызванные пандемией COVID-19 глобальное замедление экономического развития и угрозы сильному, сбалансированному и устойчивому росту могут ограничить ресурсы МСЭ и его способность достигать своих стратегических целей</w:t>
      </w:r>
      <w:r w:rsidR="00CE1974" w:rsidRPr="00E94C1D">
        <w:rPr>
          <w:lang w:val="ru-RU" w:eastAsia="en-GB"/>
        </w:rPr>
        <w:t>.</w:t>
      </w:r>
    </w:p>
    <w:p w14:paraId="4C6B1B41" w14:textId="7B8CCBC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 стремительно меняющейся обстановке Государства-Члены, лидеры отрасли, другие учреждения системы ООН и международные организации могут воспользоваться большей долей новых возможностей регулирования в рамках мандата, установления стандартов и финансирования, что может снизить значение некоторых видов деятельности МСЭ</w:t>
      </w:r>
      <w:r w:rsidR="00CE1974" w:rsidRPr="00E94C1D">
        <w:rPr>
          <w:lang w:val="ru-RU" w:eastAsia="en-GB"/>
        </w:rPr>
        <w:t>.</w:t>
      </w:r>
    </w:p>
    <w:p w14:paraId="44017BBB" w14:textId="7007EFF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lastRenderedPageBreak/>
        <w:t>–</w:t>
      </w:r>
      <w:r w:rsidRPr="00E94C1D">
        <w:rPr>
          <w:lang w:val="ru-RU" w:eastAsia="en-GB"/>
        </w:rPr>
        <w:tab/>
        <w:t>Разнообразные указания по конкретной сфере деятельности МСЭ приводят к распылению ресурсов, что создает риск снижения воздействия деятельности МСЭ</w:t>
      </w:r>
      <w:r w:rsidR="00CE1974" w:rsidRPr="00E94C1D">
        <w:rPr>
          <w:lang w:val="ru-RU" w:eastAsia="en-GB"/>
        </w:rPr>
        <w:t>.</w:t>
      </w:r>
    </w:p>
    <w:p w14:paraId="07F49D16" w14:textId="0633106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Большую обеспокоенность вызывает способность конкурировать и сохранять актуальность на международном и региональном уровнях</w:t>
      </w:r>
      <w:r w:rsidR="00CE1974" w:rsidRPr="00E94C1D">
        <w:rPr>
          <w:lang w:val="ru-RU" w:eastAsia="en-GB"/>
        </w:rPr>
        <w:t>.</w:t>
      </w:r>
    </w:p>
    <w:p w14:paraId="4E3B1AE6" w14:textId="78D7B476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[Другие организации системы ООН расширяют свое участие в областях цифрового сотрудничества и ИКТ]</w:t>
      </w:r>
      <w:r w:rsidR="00CE1974" w:rsidRPr="00E94C1D">
        <w:rPr>
          <w:lang w:val="ru-RU" w:eastAsia="en-GB"/>
        </w:rPr>
        <w:t>.</w:t>
      </w:r>
    </w:p>
    <w:p w14:paraId="4C83D573" w14:textId="6F750F45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Проблемы, связанные с тем, где они могут применить потенциал, который может превышать потенциал МСЭ на региональном уровне</w:t>
      </w:r>
      <w:r w:rsidR="00CE1974" w:rsidRPr="00E94C1D">
        <w:rPr>
          <w:lang w:val="ru-RU" w:eastAsia="en-GB"/>
        </w:rPr>
        <w:t>.</w:t>
      </w:r>
    </w:p>
    <w:p w14:paraId="78A08C31" w14:textId="3199AC55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Низкий уровень участия ООН в целом, координации и сотрудничества в совместном стратегическом планировании</w:t>
      </w:r>
      <w:r w:rsidR="00CE1974" w:rsidRPr="00E94C1D">
        <w:rPr>
          <w:lang w:val="ru-RU" w:eastAsia="en-GB"/>
        </w:rPr>
        <w:t>.</w:t>
      </w:r>
    </w:p>
    <w:p w14:paraId="422F37D3" w14:textId="6BFF3A79" w:rsidR="00DB5589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Недостаточное финансирование – риск несбалансированности Финансового плана</w:t>
      </w:r>
      <w:r w:rsidR="00CE1974" w:rsidRPr="00E94C1D">
        <w:rPr>
          <w:lang w:val="ru-RU" w:eastAsia="en-GB"/>
        </w:rPr>
        <w:t>.</w:t>
      </w:r>
    </w:p>
    <w:p w14:paraId="39733522" w14:textId="13CA38E3" w:rsidR="00D2298F" w:rsidRPr="00D2298F" w:rsidRDefault="00D2298F" w:rsidP="00DB5589">
      <w:pPr>
        <w:pStyle w:val="enumlev1"/>
        <w:rPr>
          <w:lang w:val="en-US"/>
        </w:rPr>
      </w:pPr>
      <w:r>
        <w:rPr>
          <w:lang w:val="en-US" w:eastAsia="en-GB"/>
        </w:rPr>
        <w:t>]</w:t>
      </w:r>
    </w:p>
    <w:p w14:paraId="225C1E6E" w14:textId="0809627B" w:rsidR="0094411A" w:rsidRPr="00E94C1D" w:rsidRDefault="0094411A" w:rsidP="0094411A">
      <w:pPr>
        <w:keepNext/>
        <w:keepLines/>
        <w:spacing w:before="720"/>
        <w:jc w:val="center"/>
        <w:rPr>
          <w:lang w:val="ru-RU"/>
        </w:rPr>
      </w:pPr>
      <w:r w:rsidRPr="00E94C1D">
        <w:rPr>
          <w:lang w:val="ru-RU"/>
        </w:rPr>
        <w:t>______________</w:t>
      </w:r>
    </w:p>
    <w:sectPr w:rsidR="0094411A" w:rsidRPr="00E94C1D" w:rsidSect="00B04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049" w14:textId="77777777" w:rsidR="00CE12C7" w:rsidRDefault="00CE12C7">
      <w:r>
        <w:separator/>
      </w:r>
    </w:p>
  </w:endnote>
  <w:endnote w:type="continuationSeparator" w:id="0">
    <w:p w14:paraId="27AF96DA" w14:textId="77777777" w:rsidR="00CE12C7" w:rsidRDefault="00C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E430" w14:textId="77777777" w:rsidR="00DE3AD9" w:rsidRDefault="00DE3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25D" w14:textId="1F21F736" w:rsidR="000E568E" w:rsidRPr="00945A1D" w:rsidRDefault="000130E5" w:rsidP="009B0BAE">
    <w:pPr>
      <w:pStyle w:val="Footer"/>
      <w:rPr>
        <w:sz w:val="18"/>
        <w:szCs w:val="18"/>
      </w:rPr>
    </w:pPr>
    <w:r w:rsidRPr="00DE3AD9">
      <w:rPr>
        <w:color w:val="F2F2F2" w:themeColor="background1" w:themeShade="F2"/>
      </w:rPr>
      <w:fldChar w:fldCharType="begin"/>
    </w:r>
    <w:r w:rsidRPr="00DE3AD9">
      <w:rPr>
        <w:color w:val="F2F2F2" w:themeColor="background1" w:themeShade="F2"/>
      </w:rPr>
      <w:instrText xml:space="preserve"> FILENAME \p  \* MERGEFORMAT </w:instrText>
    </w:r>
    <w:r w:rsidRPr="00DE3AD9">
      <w:rPr>
        <w:color w:val="F2F2F2" w:themeColor="background1" w:themeShade="F2"/>
      </w:rPr>
      <w:fldChar w:fldCharType="separate"/>
    </w:r>
    <w:r w:rsidR="00945A1D" w:rsidRPr="00DE3AD9">
      <w:rPr>
        <w:color w:val="F2F2F2" w:themeColor="background1" w:themeShade="F2"/>
      </w:rPr>
      <w:t>P:\RUS\SG\CONSEIL\C22\000\027ANN2Rev1R.docx</w:t>
    </w:r>
    <w:r w:rsidRPr="00DE3AD9">
      <w:rPr>
        <w:color w:val="F2F2F2" w:themeColor="background1" w:themeShade="F2"/>
      </w:rPr>
      <w:fldChar w:fldCharType="end"/>
    </w:r>
    <w:r w:rsidR="000E568E" w:rsidRPr="00DE3AD9">
      <w:rPr>
        <w:color w:val="F2F2F2" w:themeColor="background1" w:themeShade="F2"/>
      </w:rPr>
      <w:t xml:space="preserve"> (</w:t>
    </w:r>
    <w:r w:rsidR="00945A1D" w:rsidRPr="00DE3AD9">
      <w:rPr>
        <w:color w:val="F2F2F2" w:themeColor="background1" w:themeShade="F2"/>
      </w:rPr>
      <w:t>502931</w:t>
    </w:r>
    <w:r w:rsidR="000E568E" w:rsidRPr="00DE3AD9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89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D595" w14:textId="77777777" w:rsidR="00CE12C7" w:rsidRDefault="00CE12C7">
      <w:r>
        <w:t>____________________</w:t>
      </w:r>
    </w:p>
  </w:footnote>
  <w:footnote w:type="continuationSeparator" w:id="0">
    <w:p w14:paraId="0C5A1FBC" w14:textId="77777777" w:rsidR="00CE12C7" w:rsidRDefault="00CE12C7">
      <w:r>
        <w:continuationSeparator/>
      </w:r>
    </w:p>
  </w:footnote>
  <w:footnote w:id="1">
    <w:p w14:paraId="287D7597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1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>, июнь 2020 года (</w:t>
      </w:r>
      <w:hyperlink r:id="rId2" w:history="1">
        <w:r w:rsidRPr="00A0767C">
          <w:rPr>
            <w:rStyle w:val="Hyperlink"/>
            <w:lang w:val="ru-RU"/>
          </w:rPr>
          <w:t>https://undocs.org/A/74/821</w:t>
        </w:r>
      </w:hyperlink>
      <w:r w:rsidRPr="00A0767C">
        <w:rPr>
          <w:lang w:val="ru-RU"/>
        </w:rPr>
        <w:t>).</w:t>
      </w:r>
    </w:p>
  </w:footnote>
  <w:footnote w:id="2">
    <w:p w14:paraId="7014F6D2" w14:textId="77777777" w:rsidR="00DB5589" w:rsidRPr="007E0CA9" w:rsidRDefault="00DB5589" w:rsidP="00DB5589">
      <w:pPr>
        <w:pStyle w:val="FootnoteText"/>
        <w:ind w:left="255" w:hanging="255"/>
        <w:rPr>
          <w:lang w:val="es-ES"/>
        </w:rPr>
      </w:pPr>
      <w:r w:rsidRPr="00A0767C">
        <w:rPr>
          <w:rStyle w:val="FootnoteReference"/>
          <w:lang w:val="ru-RU"/>
        </w:rPr>
        <w:footnoteRef/>
      </w:r>
      <w:r w:rsidRPr="007E0CA9">
        <w:rPr>
          <w:sz w:val="18"/>
          <w:szCs w:val="18"/>
          <w:lang w:val="es-ES"/>
        </w:rPr>
        <w:tab/>
      </w:r>
      <w:hyperlink r:id="rId3" w:history="1">
        <w:r w:rsidRPr="007E0CA9">
          <w:rPr>
            <w:rStyle w:val="Hyperlink"/>
            <w:lang w:val="es-ES"/>
          </w:rPr>
          <w:t>A/RES/75/1 − E − A/RES/75/1 − Desktop (undocs.org)</w:t>
        </w:r>
      </w:hyperlink>
      <w:r w:rsidRPr="007E0CA9">
        <w:rPr>
          <w:lang w:val="es-ES"/>
        </w:rPr>
        <w:t>.</w:t>
      </w:r>
    </w:p>
  </w:footnote>
  <w:footnote w:id="3">
    <w:p w14:paraId="6F4DD5BD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r w:rsidR="00DE3AD9">
        <w:fldChar w:fldCharType="begin"/>
      </w:r>
      <w:r w:rsidR="00DE3AD9" w:rsidRPr="00DE3AD9">
        <w:rPr>
          <w:lang w:val="es-ES"/>
        </w:rPr>
        <w:instrText xml:space="preserve"> HYPERLINK "https://www.un.org/en/content/common-agenda-report/" </w:instrText>
      </w:r>
      <w:r w:rsidR="00DE3AD9">
        <w:fldChar w:fldCharType="separate"/>
      </w:r>
      <w:r w:rsidRPr="00A0767C">
        <w:rPr>
          <w:rStyle w:val="Hyperlink"/>
          <w:lang w:val="ru-RU"/>
        </w:rPr>
        <w:t>Организация Объединенных Наций</w:t>
      </w:r>
      <w:r w:rsidR="00DE3AD9">
        <w:rPr>
          <w:rStyle w:val="Hyperlink"/>
          <w:lang w:val="ru-RU"/>
        </w:rPr>
        <w:fldChar w:fldCharType="end"/>
      </w:r>
      <w:r w:rsidRPr="00A0767C">
        <w:rPr>
          <w:lang w:val="ru-RU"/>
        </w:rPr>
        <w:t xml:space="preserve">, </w:t>
      </w:r>
      <w:r>
        <w:rPr>
          <w:lang w:val="ru-RU"/>
        </w:rPr>
        <w:t>сентябрь</w:t>
      </w:r>
      <w:r w:rsidRPr="00A0767C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r w:rsidRPr="00A0767C">
        <w:rPr>
          <w:lang w:val="ru-RU"/>
        </w:rPr>
        <w:t>.</w:t>
      </w:r>
    </w:p>
  </w:footnote>
  <w:footnote w:id="4">
    <w:p w14:paraId="180DB2D1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4" w:history="1">
        <w:r w:rsidRPr="00911ED6">
          <w:rPr>
            <w:rStyle w:val="Hyperlink"/>
          </w:rPr>
          <w:t>UNSG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2019 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5">
    <w:p w14:paraId="6091B8D7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undocs</w:instrText>
      </w:r>
      <w:r w:rsidR="00DE3AD9" w:rsidRPr="00DE3AD9">
        <w:rPr>
          <w:lang w:val="ru-RU"/>
        </w:rPr>
        <w:instrText>.</w:instrText>
      </w:r>
      <w:r w:rsidR="00DE3AD9">
        <w:instrText>org</w:instrText>
      </w:r>
      <w:r w:rsidR="00DE3AD9" w:rsidRPr="00DE3AD9">
        <w:rPr>
          <w:lang w:val="ru-RU"/>
        </w:rPr>
        <w:instrText>/</w:instrText>
      </w:r>
      <w:r w:rsidR="00DE3AD9">
        <w:instrText>en</w:instrText>
      </w:r>
      <w:r w:rsidR="00DE3AD9" w:rsidRPr="00DE3AD9">
        <w:rPr>
          <w:lang w:val="ru-RU"/>
        </w:rPr>
        <w:instrText>/</w:instrText>
      </w:r>
      <w:r w:rsidR="00DE3AD9">
        <w:instrText>A</w:instrText>
      </w:r>
      <w:r w:rsidR="00DE3AD9" w:rsidRPr="00DE3AD9">
        <w:rPr>
          <w:lang w:val="ru-RU"/>
        </w:rPr>
        <w:instrText>/</w:instrText>
      </w:r>
      <w:r w:rsidR="00DE3AD9">
        <w:instrText>RES</w:instrText>
      </w:r>
      <w:r w:rsidR="00DE3AD9" w:rsidRPr="00DE3AD9">
        <w:rPr>
          <w:lang w:val="ru-RU"/>
        </w:rPr>
        <w:instrText xml:space="preserve">/71/243" </w:instrText>
      </w:r>
      <w:r w:rsidR="00DE3AD9">
        <w:fldChar w:fldCharType="separate"/>
      </w:r>
      <w:r>
        <w:rPr>
          <w:rStyle w:val="Hyperlink"/>
          <w:lang w:val="ru-RU"/>
        </w:rPr>
        <w:t>ООН</w:t>
      </w:r>
      <w:r w:rsidR="00DE3AD9">
        <w:rPr>
          <w:rStyle w:val="Hyperlink"/>
          <w:lang w:val="ru-RU"/>
        </w:rPr>
        <w:fldChar w:fldCharType="end"/>
      </w:r>
      <w:r w:rsidRPr="00A77A65">
        <w:rPr>
          <w:lang w:val="ru-RU"/>
        </w:rPr>
        <w:t xml:space="preserve">, 1 </w:t>
      </w:r>
      <w:r>
        <w:rPr>
          <w:lang w:val="ru-RU"/>
        </w:rPr>
        <w:t>февраля</w:t>
      </w:r>
      <w:r w:rsidRPr="00A77A65">
        <w:rPr>
          <w:lang w:val="ru-RU"/>
        </w:rPr>
        <w:t xml:space="preserve"> 2017</w:t>
      </w:r>
      <w:r w:rsidRPr="00750DF4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6">
    <w:p w14:paraId="516D03CB" w14:textId="77777777" w:rsidR="00DB5589" w:rsidRPr="009137DF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sz w:val="18"/>
          <w:szCs w:val="18"/>
          <w:lang w:val="ru-RU"/>
        </w:rPr>
        <w:tab/>
      </w:r>
      <w:hyperlink r:id="rId5" w:history="1">
        <w:r>
          <w:rPr>
            <w:rStyle w:val="Hyperlink"/>
            <w:lang w:val="ru-RU"/>
          </w:rPr>
          <w:t>Публикация МСЭ</w:t>
        </w:r>
      </w:hyperlink>
      <w:r w:rsidRPr="009137DF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>
        <w:rPr>
          <w:lang w:val="ru-RU"/>
        </w:rPr>
        <w:t> года</w:t>
      </w:r>
      <w:r w:rsidRPr="009137DF">
        <w:rPr>
          <w:lang w:val="ru-RU"/>
        </w:rPr>
        <w:t>.</w:t>
      </w:r>
    </w:p>
  </w:footnote>
  <w:footnote w:id="7">
    <w:p w14:paraId="5E376DF8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5F4429">
        <w:rPr>
          <w:rStyle w:val="FootnoteReference"/>
          <w:b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www</w:instrText>
      </w:r>
      <w:r w:rsidR="00DE3AD9" w:rsidRPr="00DE3AD9">
        <w:rPr>
          <w:lang w:val="ru-RU"/>
        </w:rPr>
        <w:instrText>.</w:instrText>
      </w:r>
      <w:r w:rsidR="00DE3AD9">
        <w:instrText>ericsson</w:instrText>
      </w:r>
      <w:r w:rsidR="00DE3AD9" w:rsidRPr="00DE3AD9">
        <w:rPr>
          <w:lang w:val="ru-RU"/>
        </w:rPr>
        <w:instrText>.</w:instrText>
      </w:r>
      <w:r w:rsidR="00DE3AD9">
        <w:instrText>com</w:instrText>
      </w:r>
      <w:r w:rsidR="00DE3AD9" w:rsidRPr="00DE3AD9">
        <w:rPr>
          <w:lang w:val="ru-RU"/>
        </w:rPr>
        <w:instrText>/</w:instrText>
      </w:r>
      <w:r w:rsidR="00DE3AD9">
        <w:instrText>en</w:instrText>
      </w:r>
      <w:r w:rsidR="00DE3AD9" w:rsidRPr="00DE3AD9">
        <w:rPr>
          <w:lang w:val="ru-RU"/>
        </w:rPr>
        <w:instrText>/</w:instrText>
      </w:r>
      <w:r w:rsidR="00DE3AD9">
        <w:instrText>blog</w:instrText>
      </w:r>
      <w:r w:rsidR="00DE3AD9" w:rsidRPr="00DE3AD9">
        <w:rPr>
          <w:lang w:val="ru-RU"/>
        </w:rPr>
        <w:instrText>/2020/4/</w:instrText>
      </w:r>
      <w:r w:rsidR="00DE3AD9">
        <w:instrText>networks</w:instrText>
      </w:r>
      <w:r w:rsidR="00DE3AD9" w:rsidRPr="00DE3AD9">
        <w:rPr>
          <w:lang w:val="ru-RU"/>
        </w:rPr>
        <w:instrText>-</w:instrText>
      </w:r>
      <w:r w:rsidR="00DE3AD9">
        <w:instrText>adapting</w:instrText>
      </w:r>
      <w:r w:rsidR="00DE3AD9" w:rsidRPr="00DE3AD9">
        <w:rPr>
          <w:lang w:val="ru-RU"/>
        </w:rPr>
        <w:instrText>-</w:instrText>
      </w:r>
      <w:r w:rsidR="00DE3AD9">
        <w:instrText>data</w:instrText>
      </w:r>
      <w:r w:rsidR="00DE3AD9" w:rsidRPr="00DE3AD9">
        <w:rPr>
          <w:lang w:val="ru-RU"/>
        </w:rPr>
        <w:instrText>-</w:instrText>
      </w:r>
      <w:r w:rsidR="00DE3AD9">
        <w:instrText>traffic</w:instrText>
      </w:r>
      <w:r w:rsidR="00DE3AD9" w:rsidRPr="00DE3AD9">
        <w:rPr>
          <w:lang w:val="ru-RU"/>
        </w:rPr>
        <w:instrText>-</w:instrText>
      </w:r>
      <w:r w:rsidR="00DE3AD9">
        <w:instrText>new</w:instrText>
      </w:r>
      <w:r w:rsidR="00DE3AD9" w:rsidRPr="00DE3AD9">
        <w:rPr>
          <w:lang w:val="ru-RU"/>
        </w:rPr>
        <w:instrText>-</w:instrText>
      </w:r>
      <w:r w:rsidR="00DE3AD9">
        <w:instrText>normal</w:instrText>
      </w:r>
      <w:r w:rsidR="00DE3AD9" w:rsidRPr="00DE3AD9">
        <w:rPr>
          <w:lang w:val="ru-RU"/>
        </w:rPr>
        <w:instrText xml:space="preserve">" </w:instrText>
      </w:r>
      <w:r w:rsidR="00DE3AD9">
        <w:fldChar w:fldCharType="separate"/>
      </w:r>
      <w:r w:rsidRPr="00911ED6">
        <w:rPr>
          <w:rStyle w:val="Hyperlink"/>
        </w:rPr>
        <w:t>Ericsson</w:t>
      </w:r>
      <w:r w:rsidR="00DE3AD9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апрель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8">
    <w:p w14:paraId="0F829A2A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6" w:history="1">
        <w:r w:rsidRPr="00911ED6">
          <w:rPr>
            <w:rStyle w:val="Hyperlink"/>
            <w:lang w:val="en-US"/>
          </w:rPr>
          <w:t>GSMA</w:t>
        </w:r>
        <w:r w:rsidRPr="00A77A65">
          <w:rPr>
            <w:rStyle w:val="Hyperlink"/>
            <w:lang w:val="ru-RU"/>
          </w:rPr>
          <w:t xml:space="preserve"> </w:t>
        </w:r>
        <w:r w:rsidRPr="00911ED6">
          <w:rPr>
            <w:rStyle w:val="Hyperlink"/>
            <w:lang w:val="en-US"/>
          </w:rPr>
          <w:t>Intelligence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9">
    <w:p w14:paraId="2060F349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www</w:instrText>
      </w:r>
      <w:r w:rsidR="00DE3AD9" w:rsidRPr="00DE3AD9">
        <w:rPr>
          <w:lang w:val="ru-RU"/>
        </w:rPr>
        <w:instrText>2.</w:instrText>
      </w:r>
      <w:r w:rsidR="00DE3AD9">
        <w:instrText>deloitte</w:instrText>
      </w:r>
      <w:r w:rsidR="00DE3AD9" w:rsidRPr="00DE3AD9">
        <w:rPr>
          <w:lang w:val="ru-RU"/>
        </w:rPr>
        <w:instrText>.</w:instrText>
      </w:r>
      <w:r w:rsidR="00DE3AD9">
        <w:instrText>com</w:instrText>
      </w:r>
      <w:r w:rsidR="00DE3AD9" w:rsidRPr="00DE3AD9">
        <w:rPr>
          <w:lang w:val="ru-RU"/>
        </w:rPr>
        <w:instrText>/</w:instrText>
      </w:r>
      <w:r w:rsidR="00DE3AD9">
        <w:instrText>content</w:instrText>
      </w:r>
      <w:r w:rsidR="00DE3AD9" w:rsidRPr="00DE3AD9">
        <w:rPr>
          <w:lang w:val="ru-RU"/>
        </w:rPr>
        <w:instrText>/</w:instrText>
      </w:r>
      <w:r w:rsidR="00DE3AD9">
        <w:instrText>dam</w:instrText>
      </w:r>
      <w:r w:rsidR="00DE3AD9" w:rsidRPr="00DE3AD9">
        <w:rPr>
          <w:lang w:val="ru-RU"/>
        </w:rPr>
        <w:instrText>/</w:instrText>
      </w:r>
      <w:r w:rsidR="00DE3AD9">
        <w:instrText>insights</w:instrText>
      </w:r>
      <w:r w:rsidR="00DE3AD9" w:rsidRPr="00DE3AD9">
        <w:rPr>
          <w:lang w:val="ru-RU"/>
        </w:rPr>
        <w:instrText>/</w:instrText>
      </w:r>
      <w:r w:rsidR="00DE3AD9">
        <w:instrText>articles</w:instrText>
      </w:r>
      <w:r w:rsidR="00DE3AD9" w:rsidRPr="00DE3AD9">
        <w:rPr>
          <w:lang w:val="ru-RU"/>
        </w:rPr>
        <w:instrText>/</w:instrText>
      </w:r>
      <w:r w:rsidR="00DE3AD9">
        <w:instrText>US</w:instrText>
      </w:r>
      <w:r w:rsidR="00DE3AD9" w:rsidRPr="00DE3AD9">
        <w:rPr>
          <w:lang w:val="ru-RU"/>
        </w:rPr>
        <w:instrText>93838_</w:instrText>
      </w:r>
      <w:r w:rsidR="00DE3AD9">
        <w:instrText>TMT</w:instrText>
      </w:r>
      <w:r w:rsidR="00DE3AD9" w:rsidRPr="00DE3AD9">
        <w:rPr>
          <w:lang w:val="ru-RU"/>
        </w:rPr>
        <w:instrText>_</w:instrText>
      </w:r>
      <w:r w:rsidR="00DE3AD9">
        <w:instrText>Predictions</w:instrText>
      </w:r>
      <w:r w:rsidR="00DE3AD9" w:rsidRPr="00DE3AD9">
        <w:rPr>
          <w:lang w:val="ru-RU"/>
        </w:rPr>
        <w:instrText>_2021/93838_</w:instrText>
      </w:r>
      <w:r w:rsidR="00DE3AD9">
        <w:instrText>TMT</w:instrText>
      </w:r>
      <w:r w:rsidR="00DE3AD9" w:rsidRPr="00DE3AD9">
        <w:rPr>
          <w:lang w:val="ru-RU"/>
        </w:rPr>
        <w:instrText>-</w:instrText>
      </w:r>
      <w:r w:rsidR="00DE3AD9">
        <w:instrText>predictions</w:instrText>
      </w:r>
      <w:r w:rsidR="00DE3AD9" w:rsidRPr="00DE3AD9">
        <w:rPr>
          <w:lang w:val="ru-RU"/>
        </w:rPr>
        <w:instrText>-2021-</w:instrText>
      </w:r>
      <w:r w:rsidR="00DE3AD9">
        <w:instrText>infographic</w:instrText>
      </w:r>
      <w:r w:rsidR="00DE3AD9" w:rsidRPr="00DE3AD9">
        <w:rPr>
          <w:lang w:val="ru-RU"/>
        </w:rPr>
        <w:instrText>.</w:instrText>
      </w:r>
      <w:r w:rsidR="00DE3AD9">
        <w:instrText>pdf</w:instrText>
      </w:r>
      <w:r w:rsidR="00DE3AD9" w:rsidRPr="00DE3AD9">
        <w:rPr>
          <w:lang w:val="ru-RU"/>
        </w:rPr>
        <w:instrText xml:space="preserve">" </w:instrText>
      </w:r>
      <w:r w:rsidR="00DE3AD9">
        <w:fldChar w:fldCharType="separate"/>
      </w:r>
      <w:r w:rsidRPr="00911ED6">
        <w:rPr>
          <w:rStyle w:val="Hyperlink"/>
          <w:lang w:val="en-US"/>
        </w:rPr>
        <w:t>Deloitte</w:t>
      </w:r>
      <w:r w:rsidR="00DE3AD9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0">
    <w:p w14:paraId="4261E992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lang w:val="ru-RU"/>
        </w:rPr>
        <w:tab/>
      </w:r>
      <w:hyperlink r:id="rId7" w:history="1">
        <w:r w:rsidRPr="00911ED6">
          <w:rPr>
            <w:rStyle w:val="Hyperlink"/>
            <w:lang w:val="en-US"/>
          </w:rPr>
          <w:t>McKinsey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1">
    <w:p w14:paraId="414A6CC4" w14:textId="77777777" w:rsidR="00DB5589" w:rsidRPr="009137DF" w:rsidRDefault="00DB5589" w:rsidP="00DB5589">
      <w:pPr>
        <w:pStyle w:val="FootnoteText"/>
        <w:ind w:left="255" w:hanging="255"/>
        <w:rPr>
          <w:b/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www</w:instrText>
      </w:r>
      <w:r w:rsidR="00DE3AD9" w:rsidRPr="00DE3AD9">
        <w:rPr>
          <w:lang w:val="ru-RU"/>
        </w:rPr>
        <w:instrText>.</w:instrText>
      </w:r>
      <w:r w:rsidR="00DE3AD9">
        <w:instrText>itu</w:instrText>
      </w:r>
      <w:r w:rsidR="00DE3AD9" w:rsidRPr="00DE3AD9">
        <w:rPr>
          <w:lang w:val="ru-RU"/>
        </w:rPr>
        <w:instrText>.</w:instrText>
      </w:r>
      <w:r w:rsidR="00DE3AD9">
        <w:instrText>int</w:instrText>
      </w:r>
      <w:r w:rsidR="00DE3AD9" w:rsidRPr="00DE3AD9">
        <w:rPr>
          <w:lang w:val="ru-RU"/>
        </w:rPr>
        <w:instrText>/</w:instrText>
      </w:r>
      <w:r w:rsidR="00DE3AD9">
        <w:instrText>pub</w:instrText>
      </w:r>
      <w:r w:rsidR="00DE3AD9" w:rsidRPr="00DE3AD9">
        <w:rPr>
          <w:lang w:val="ru-RU"/>
        </w:rPr>
        <w:instrText>/</w:instrText>
      </w:r>
      <w:r w:rsidR="00DE3AD9">
        <w:instrText>D</w:instrText>
      </w:r>
      <w:r w:rsidR="00DE3AD9" w:rsidRPr="00DE3AD9">
        <w:rPr>
          <w:lang w:val="ru-RU"/>
        </w:rPr>
        <w:instrText>-</w:instrText>
      </w:r>
      <w:r w:rsidR="00DE3AD9">
        <w:instrText>PREF</w:instrText>
      </w:r>
      <w:r w:rsidR="00DE3AD9" w:rsidRPr="00DE3AD9">
        <w:rPr>
          <w:lang w:val="ru-RU"/>
        </w:rPr>
        <w:instrText>-</w:instrText>
      </w:r>
      <w:r w:rsidR="00DE3AD9">
        <w:instrText>EF</w:instrText>
      </w:r>
      <w:r w:rsidR="00DE3AD9" w:rsidRPr="00DE3AD9">
        <w:rPr>
          <w:lang w:val="ru-RU"/>
        </w:rPr>
        <w:instrText>.</w:instrText>
      </w:r>
      <w:r w:rsidR="00DE3AD9">
        <w:instrText>COV</w:instrText>
      </w:r>
      <w:r w:rsidR="00DE3AD9" w:rsidRPr="00DE3AD9">
        <w:rPr>
          <w:lang w:val="ru-RU"/>
        </w:rPr>
        <w:instrText>_</w:instrText>
      </w:r>
      <w:r w:rsidR="00DE3AD9">
        <w:instrText>ECO</w:instrText>
      </w:r>
      <w:r w:rsidR="00DE3AD9" w:rsidRPr="00DE3AD9">
        <w:rPr>
          <w:lang w:val="ru-RU"/>
        </w:rPr>
        <w:instrText>_</w:instrText>
      </w:r>
      <w:r w:rsidR="00DE3AD9">
        <w:instrText>IMPACT</w:instrText>
      </w:r>
      <w:r w:rsidR="00DE3AD9" w:rsidRPr="00DE3AD9">
        <w:rPr>
          <w:lang w:val="ru-RU"/>
        </w:rPr>
        <w:instrText>_</w:instrText>
      </w:r>
      <w:r w:rsidR="00DE3AD9">
        <w:instrText>B</w:instrText>
      </w:r>
      <w:r w:rsidR="00DE3AD9" w:rsidRPr="00DE3AD9">
        <w:rPr>
          <w:lang w:val="ru-RU"/>
        </w:rPr>
        <w:instrText xml:space="preserve">-2021" </w:instrText>
      </w:r>
      <w:r w:rsidR="00DE3AD9">
        <w:fldChar w:fldCharType="separate"/>
      </w:r>
      <w:r>
        <w:rPr>
          <w:rStyle w:val="Hyperlink"/>
          <w:lang w:val="ru-RU"/>
        </w:rPr>
        <w:t>Публикация МСЭ</w:t>
      </w:r>
      <w:r w:rsidR="00DE3AD9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2">
    <w:p w14:paraId="5F3B762A" w14:textId="77777777" w:rsidR="00DB5589" w:rsidRPr="006630B1" w:rsidRDefault="00DB5589" w:rsidP="00DB5589">
      <w:pPr>
        <w:pStyle w:val="FootnoteText"/>
        <w:rPr>
          <w:lang w:val="ru-RU"/>
        </w:rPr>
      </w:pPr>
      <w:r w:rsidRPr="00DB5589">
        <w:rPr>
          <w:rStyle w:val="FootnoteReference"/>
        </w:rPr>
        <w:footnoteRef/>
      </w:r>
      <w:r w:rsidRPr="00DB5589">
        <w:rPr>
          <w:lang w:val="ru-RU"/>
        </w:rPr>
        <w:t xml:space="preserve"> </w:t>
      </w:r>
      <w:hyperlink r:id="rId8" w:history="1">
        <w:r w:rsidRPr="006630B1">
          <w:rPr>
            <w:rStyle w:val="Hyperlink"/>
            <w:lang w:val="ru-RU"/>
          </w:rPr>
          <w:t>Публикация МСЭ</w:t>
        </w:r>
      </w:hyperlink>
      <w:r w:rsidRPr="006630B1">
        <w:rPr>
          <w:lang w:val="ru-RU"/>
        </w:rPr>
        <w:t>, 2021 год.</w:t>
      </w:r>
    </w:p>
  </w:footnote>
  <w:footnote w:id="13">
    <w:p w14:paraId="073116BB" w14:textId="77777777" w:rsidR="00DB5589" w:rsidRPr="00B80226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B80226">
        <w:rPr>
          <w:sz w:val="18"/>
          <w:szCs w:val="18"/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data</w:instrText>
      </w:r>
      <w:r w:rsidR="00DE3AD9" w:rsidRPr="00DE3AD9">
        <w:rPr>
          <w:lang w:val="ru-RU"/>
        </w:rPr>
        <w:instrText>.</w:instrText>
      </w:r>
      <w:r w:rsidR="00DE3AD9">
        <w:instrText>gsmaintelligence</w:instrText>
      </w:r>
      <w:r w:rsidR="00DE3AD9" w:rsidRPr="00DE3AD9">
        <w:rPr>
          <w:lang w:val="ru-RU"/>
        </w:rPr>
        <w:instrText>.</w:instrText>
      </w:r>
      <w:r w:rsidR="00DE3AD9">
        <w:instrText>com</w:instrText>
      </w:r>
      <w:r w:rsidR="00DE3AD9" w:rsidRPr="00DE3AD9">
        <w:rPr>
          <w:lang w:val="ru-RU"/>
        </w:rPr>
        <w:instrText>/</w:instrText>
      </w:r>
      <w:r w:rsidR="00DE3AD9">
        <w:instrText>api</w:instrText>
      </w:r>
      <w:r w:rsidR="00DE3AD9" w:rsidRPr="00DE3AD9">
        <w:rPr>
          <w:lang w:val="ru-RU"/>
        </w:rPr>
        <w:instrText>-</w:instrText>
      </w:r>
      <w:r w:rsidR="00DE3AD9">
        <w:instrText>web</w:instrText>
      </w:r>
      <w:r w:rsidR="00DE3AD9" w:rsidRPr="00DE3AD9">
        <w:rPr>
          <w:lang w:val="ru-RU"/>
        </w:rPr>
        <w:instrText>/</w:instrText>
      </w:r>
      <w:r w:rsidR="00DE3AD9">
        <w:instrText>v</w:instrText>
      </w:r>
      <w:r w:rsidR="00DE3AD9" w:rsidRPr="00DE3AD9">
        <w:rPr>
          <w:lang w:val="ru-RU"/>
        </w:rPr>
        <w:instrText>2/</w:instrText>
      </w:r>
      <w:r w:rsidR="00DE3AD9">
        <w:instrText>research</w:instrText>
      </w:r>
      <w:r w:rsidR="00DE3AD9" w:rsidRPr="00DE3AD9">
        <w:rPr>
          <w:lang w:val="ru-RU"/>
        </w:rPr>
        <w:instrText>-</w:instrText>
      </w:r>
      <w:r w:rsidR="00DE3AD9">
        <w:instrText>file</w:instrText>
      </w:r>
      <w:r w:rsidR="00DE3AD9" w:rsidRPr="00DE3AD9">
        <w:rPr>
          <w:lang w:val="ru-RU"/>
        </w:rPr>
        <w:instrText>-</w:instrText>
      </w:r>
      <w:r w:rsidR="00DE3AD9">
        <w:instrText>download</w:instrText>
      </w:r>
      <w:r w:rsidR="00DE3AD9" w:rsidRPr="00DE3AD9">
        <w:rPr>
          <w:lang w:val="ru-RU"/>
        </w:rPr>
        <w:instrText>?</w:instrText>
      </w:r>
      <w:r w:rsidR="00DE3AD9">
        <w:instrText>id</w:instrText>
      </w:r>
      <w:r w:rsidR="00DE3AD9" w:rsidRPr="00DE3AD9">
        <w:rPr>
          <w:lang w:val="ru-RU"/>
        </w:rPr>
        <w:instrText>=58621970&amp;</w:instrText>
      </w:r>
      <w:r w:rsidR="00DE3AD9">
        <w:instrText>file</w:instrText>
      </w:r>
      <w:r w:rsidR="00DE3AD9" w:rsidRPr="00DE3AD9">
        <w:rPr>
          <w:lang w:val="ru-RU"/>
        </w:rPr>
        <w:instrText>=141220-</w:instrText>
      </w:r>
      <w:r w:rsidR="00DE3AD9">
        <w:instrText>Global</w:instrText>
      </w:r>
      <w:r w:rsidR="00DE3AD9" w:rsidRPr="00DE3AD9">
        <w:rPr>
          <w:lang w:val="ru-RU"/>
        </w:rPr>
        <w:instrText>-</w:instrText>
      </w:r>
      <w:r w:rsidR="00DE3AD9">
        <w:instrText>Mobile</w:instrText>
      </w:r>
      <w:r w:rsidR="00DE3AD9" w:rsidRPr="00DE3AD9">
        <w:rPr>
          <w:lang w:val="ru-RU"/>
        </w:rPr>
        <w:instrText>-</w:instrText>
      </w:r>
      <w:r w:rsidR="00DE3AD9">
        <w:instrText>Trends</w:instrText>
      </w:r>
      <w:r w:rsidR="00DE3AD9" w:rsidRPr="00DE3AD9">
        <w:rPr>
          <w:lang w:val="ru-RU"/>
        </w:rPr>
        <w:instrText>.</w:instrText>
      </w:r>
      <w:r w:rsidR="00DE3AD9">
        <w:instrText>pdf</w:instrText>
      </w:r>
      <w:r w:rsidR="00DE3AD9" w:rsidRPr="00DE3AD9">
        <w:rPr>
          <w:lang w:val="ru-RU"/>
        </w:rPr>
        <w:instrText xml:space="preserve">" </w:instrText>
      </w:r>
      <w:r w:rsidR="00DE3AD9">
        <w:fldChar w:fldCharType="separate"/>
      </w:r>
      <w:r w:rsidRPr="001124E7">
        <w:rPr>
          <w:rStyle w:val="Hyperlink"/>
          <w:lang w:val="fr-FR"/>
        </w:rPr>
        <w:t>GSMA</w:t>
      </w:r>
      <w:r w:rsidRPr="00B80226">
        <w:rPr>
          <w:rStyle w:val="Hyperlink"/>
          <w:lang w:val="ru-RU"/>
        </w:rPr>
        <w:t xml:space="preserve"> </w:t>
      </w:r>
      <w:r w:rsidRPr="001124E7">
        <w:rPr>
          <w:rStyle w:val="Hyperlink"/>
          <w:lang w:val="fr-FR"/>
        </w:rPr>
        <w:t>Intelligence</w:t>
      </w:r>
      <w:r w:rsidR="00DE3AD9">
        <w:rPr>
          <w:rStyle w:val="Hyperlink"/>
          <w:lang w:val="fr-FR"/>
        </w:rPr>
        <w:fldChar w:fldCharType="end"/>
      </w:r>
      <w:r w:rsidRPr="00B80226">
        <w:rPr>
          <w:lang w:val="ru-RU"/>
        </w:rPr>
        <w:t xml:space="preserve">, </w:t>
      </w:r>
      <w:r>
        <w:rPr>
          <w:lang w:val="ru-RU"/>
        </w:rPr>
        <w:t>декабрь</w:t>
      </w:r>
      <w:r w:rsidRPr="00B80226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B80226">
        <w:rPr>
          <w:lang w:val="ru-RU"/>
        </w:rPr>
        <w:t>.</w:t>
      </w:r>
    </w:p>
  </w:footnote>
  <w:footnote w:id="14">
    <w:p w14:paraId="0141C5E0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hyperlink r:id="rId9" w:history="1">
        <w:r w:rsidRPr="00A77A65">
          <w:rPr>
            <w:rStyle w:val="Hyperlink"/>
            <w:u w:val="none"/>
            <w:lang w:val="ru-RU"/>
          </w:rPr>
          <w:tab/>
        </w:r>
        <w:r w:rsidRPr="001124E7">
          <w:rPr>
            <w:rStyle w:val="Hyperlink"/>
          </w:rPr>
          <w:t>BCG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5">
    <w:p w14:paraId="5350CFDB" w14:textId="77777777" w:rsidR="00DB5589" w:rsidRPr="004E3DDB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www</w:instrText>
      </w:r>
      <w:r w:rsidR="00DE3AD9" w:rsidRPr="00DE3AD9">
        <w:rPr>
          <w:lang w:val="ru-RU"/>
        </w:rPr>
        <w:instrText>.</w:instrText>
      </w:r>
      <w:r w:rsidR="00DE3AD9">
        <w:instrText>itu</w:instrText>
      </w:r>
      <w:r w:rsidR="00DE3AD9" w:rsidRPr="00DE3AD9">
        <w:rPr>
          <w:lang w:val="ru-RU"/>
        </w:rPr>
        <w:instrText>.</w:instrText>
      </w:r>
      <w:r w:rsidR="00DE3AD9">
        <w:instrText>int</w:instrText>
      </w:r>
      <w:r w:rsidR="00DE3AD9" w:rsidRPr="00DE3AD9">
        <w:rPr>
          <w:lang w:val="ru-RU"/>
        </w:rPr>
        <w:instrText>/</w:instrText>
      </w:r>
      <w:r w:rsidR="00DE3AD9">
        <w:instrText>pub</w:instrText>
      </w:r>
      <w:r w:rsidR="00DE3AD9" w:rsidRPr="00DE3AD9">
        <w:rPr>
          <w:lang w:val="ru-RU"/>
        </w:rPr>
        <w:instrText>/</w:instrText>
      </w:r>
      <w:r w:rsidR="00DE3AD9">
        <w:instrText>D</w:instrText>
      </w:r>
      <w:r w:rsidR="00DE3AD9" w:rsidRPr="00DE3AD9">
        <w:rPr>
          <w:lang w:val="ru-RU"/>
        </w:rPr>
        <w:instrText>-</w:instrText>
      </w:r>
      <w:r w:rsidR="00DE3AD9">
        <w:instrText>PREF</w:instrText>
      </w:r>
      <w:r w:rsidR="00DE3AD9" w:rsidRPr="00DE3AD9">
        <w:rPr>
          <w:lang w:val="ru-RU"/>
        </w:rPr>
        <w:instrText>-</w:instrText>
      </w:r>
      <w:r w:rsidR="00DE3AD9">
        <w:instrText>EF</w:instrText>
      </w:r>
      <w:r w:rsidR="00DE3AD9" w:rsidRPr="00DE3AD9">
        <w:rPr>
          <w:lang w:val="ru-RU"/>
        </w:rPr>
        <w:instrText>.</w:instrText>
      </w:r>
      <w:r w:rsidR="00DE3AD9">
        <w:instrText>COV</w:instrText>
      </w:r>
      <w:r w:rsidR="00DE3AD9" w:rsidRPr="00DE3AD9">
        <w:rPr>
          <w:lang w:val="ru-RU"/>
        </w:rPr>
        <w:instrText>_</w:instrText>
      </w:r>
      <w:r w:rsidR="00DE3AD9">
        <w:instrText>ECO</w:instrText>
      </w:r>
      <w:r w:rsidR="00DE3AD9" w:rsidRPr="00DE3AD9">
        <w:rPr>
          <w:lang w:val="ru-RU"/>
        </w:rPr>
        <w:instrText>_</w:instrText>
      </w:r>
      <w:r w:rsidR="00DE3AD9">
        <w:instrText>IMPACT</w:instrText>
      </w:r>
      <w:r w:rsidR="00DE3AD9" w:rsidRPr="00DE3AD9">
        <w:rPr>
          <w:lang w:val="ru-RU"/>
        </w:rPr>
        <w:instrText>_</w:instrText>
      </w:r>
      <w:r w:rsidR="00DE3AD9">
        <w:instrText>B</w:instrText>
      </w:r>
      <w:r w:rsidR="00DE3AD9" w:rsidRPr="00DE3AD9">
        <w:rPr>
          <w:lang w:val="ru-RU"/>
        </w:rPr>
        <w:instrText xml:space="preserve">-2021" </w:instrText>
      </w:r>
      <w:r w:rsidR="00DE3AD9">
        <w:fldChar w:fldCharType="separate"/>
      </w:r>
      <w:r>
        <w:rPr>
          <w:rStyle w:val="Hyperlink"/>
          <w:lang w:val="ru-RU"/>
        </w:rPr>
        <w:t>Публикация</w:t>
      </w:r>
      <w:r w:rsidRPr="004E3DDB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DE3AD9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4E3DDB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4E3DDB">
        <w:rPr>
          <w:lang w:val="ru-RU"/>
        </w:rPr>
        <w:t>.</w:t>
      </w:r>
    </w:p>
  </w:footnote>
  <w:footnote w:id="16">
    <w:p w14:paraId="5E42E836" w14:textId="77777777" w:rsidR="00DB5589" w:rsidRPr="00564691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</w:rPr>
        <w:footnoteRef/>
      </w:r>
      <w:r w:rsidRPr="00564691">
        <w:rPr>
          <w:lang w:val="ru-RU"/>
        </w:rPr>
        <w:tab/>
      </w:r>
      <w:r w:rsidR="00DE3AD9">
        <w:fldChar w:fldCharType="begin"/>
      </w:r>
      <w:r w:rsidR="00DE3AD9" w:rsidRPr="00DE3AD9">
        <w:rPr>
          <w:lang w:val="ru-RU"/>
        </w:rPr>
        <w:instrText xml:space="preserve"> </w:instrText>
      </w:r>
      <w:r w:rsidR="00DE3AD9">
        <w:instrText>HYPERLINK</w:instrText>
      </w:r>
      <w:r w:rsidR="00DE3AD9" w:rsidRPr="00DE3AD9">
        <w:rPr>
          <w:lang w:val="ru-RU"/>
        </w:rPr>
        <w:instrText xml:space="preserve"> "</w:instrText>
      </w:r>
      <w:r w:rsidR="00DE3AD9">
        <w:instrText>https</w:instrText>
      </w:r>
      <w:r w:rsidR="00DE3AD9" w:rsidRPr="00DE3AD9">
        <w:rPr>
          <w:lang w:val="ru-RU"/>
        </w:rPr>
        <w:instrText>://</w:instrText>
      </w:r>
      <w:r w:rsidR="00DE3AD9">
        <w:instrText>www</w:instrText>
      </w:r>
      <w:r w:rsidR="00DE3AD9" w:rsidRPr="00DE3AD9">
        <w:rPr>
          <w:lang w:val="ru-RU"/>
        </w:rPr>
        <w:instrText>.</w:instrText>
      </w:r>
      <w:r w:rsidR="00DE3AD9">
        <w:instrText>itu</w:instrText>
      </w:r>
      <w:r w:rsidR="00DE3AD9" w:rsidRPr="00DE3AD9">
        <w:rPr>
          <w:lang w:val="ru-RU"/>
        </w:rPr>
        <w:instrText>.</w:instrText>
      </w:r>
      <w:r w:rsidR="00DE3AD9">
        <w:instrText>int</w:instrText>
      </w:r>
      <w:r w:rsidR="00DE3AD9" w:rsidRPr="00DE3AD9">
        <w:rPr>
          <w:lang w:val="ru-RU"/>
        </w:rPr>
        <w:instrText>/</w:instrText>
      </w:r>
      <w:r w:rsidR="00DE3AD9">
        <w:instrText>en</w:instrText>
      </w:r>
      <w:r w:rsidR="00DE3AD9" w:rsidRPr="00DE3AD9">
        <w:rPr>
          <w:lang w:val="ru-RU"/>
        </w:rPr>
        <w:instrText>/</w:instrText>
      </w:r>
      <w:r w:rsidR="00DE3AD9">
        <w:instrText>ITU</w:instrText>
      </w:r>
      <w:r w:rsidR="00DE3AD9" w:rsidRPr="00DE3AD9">
        <w:rPr>
          <w:lang w:val="ru-RU"/>
        </w:rPr>
        <w:instrText>-</w:instrText>
      </w:r>
      <w:r w:rsidR="00DE3AD9">
        <w:instrText>D</w:instrText>
      </w:r>
      <w:r w:rsidR="00DE3AD9" w:rsidRPr="00DE3AD9">
        <w:rPr>
          <w:lang w:val="ru-RU"/>
        </w:rPr>
        <w:instrText>/</w:instrText>
      </w:r>
      <w:r w:rsidR="00DE3AD9">
        <w:instrText>Statistics</w:instrText>
      </w:r>
      <w:r w:rsidR="00DE3AD9" w:rsidRPr="00DE3AD9">
        <w:rPr>
          <w:lang w:val="ru-RU"/>
        </w:rPr>
        <w:instrText>/</w:instrText>
      </w:r>
      <w:r w:rsidR="00DE3AD9">
        <w:instrText>Documents</w:instrText>
      </w:r>
      <w:r w:rsidR="00DE3AD9" w:rsidRPr="00DE3AD9">
        <w:rPr>
          <w:lang w:val="ru-RU"/>
        </w:rPr>
        <w:instrText>/</w:instrText>
      </w:r>
      <w:r w:rsidR="00DE3AD9">
        <w:instrText>facts</w:instrText>
      </w:r>
      <w:r w:rsidR="00DE3AD9" w:rsidRPr="00DE3AD9">
        <w:rPr>
          <w:lang w:val="ru-RU"/>
        </w:rPr>
        <w:instrText>/</w:instrText>
      </w:r>
      <w:r w:rsidR="00DE3AD9">
        <w:instrText>FactsFigures</w:instrText>
      </w:r>
      <w:r w:rsidR="00DE3AD9" w:rsidRPr="00DE3AD9">
        <w:rPr>
          <w:lang w:val="ru-RU"/>
        </w:rPr>
        <w:instrText>2021.</w:instrText>
      </w:r>
      <w:r w:rsidR="00DE3AD9">
        <w:instrText>pdf</w:instrText>
      </w:r>
      <w:r w:rsidR="00DE3AD9" w:rsidRPr="00DE3AD9">
        <w:rPr>
          <w:lang w:val="ru-RU"/>
        </w:rPr>
        <w:instrText xml:space="preserve">" </w:instrText>
      </w:r>
      <w:r w:rsidR="00DE3AD9">
        <w:fldChar w:fldCharType="separate"/>
      </w:r>
      <w:r>
        <w:rPr>
          <w:rStyle w:val="Hyperlink"/>
          <w:lang w:val="ru-RU"/>
        </w:rPr>
        <w:t>Публикация</w:t>
      </w:r>
      <w:r w:rsidRPr="00564691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DE3AD9">
        <w:rPr>
          <w:rStyle w:val="Hyperlink"/>
          <w:lang w:val="ru-RU"/>
        </w:rPr>
        <w:fldChar w:fldCharType="end"/>
      </w:r>
      <w:r w:rsidRPr="00564691">
        <w:rPr>
          <w:lang w:val="ru-RU"/>
        </w:rPr>
        <w:t xml:space="preserve">, </w:t>
      </w:r>
      <w:r>
        <w:rPr>
          <w:lang w:val="ru-RU"/>
        </w:rPr>
        <w:t>издание</w:t>
      </w:r>
      <w:r w:rsidRPr="00564691">
        <w:rPr>
          <w:lang w:val="ru-RU"/>
        </w:rPr>
        <w:t xml:space="preserve"> 2021</w:t>
      </w:r>
      <w:r w:rsidRPr="00564691">
        <w:t> </w:t>
      </w:r>
      <w:r>
        <w:rPr>
          <w:lang w:val="ru-RU"/>
        </w:rPr>
        <w:t>года</w:t>
      </w:r>
      <w:r w:rsidRPr="00564691">
        <w:rPr>
          <w:lang w:val="ru-RU"/>
        </w:rPr>
        <w:t xml:space="preserve"> – </w:t>
      </w:r>
      <w:r w:rsidRPr="00564691">
        <w:rPr>
          <w:color w:val="000000"/>
          <w:lang w:val="ru-RU"/>
        </w:rPr>
        <w:t>Измерение цифрового развития – факты и цифры</w:t>
      </w:r>
      <w:r w:rsidRPr="00564691">
        <w:rPr>
          <w:lang w:val="ru-RU"/>
        </w:rPr>
        <w:t xml:space="preserve">, </w:t>
      </w:r>
      <w:r>
        <w:rPr>
          <w:lang w:val="ru-RU"/>
        </w:rPr>
        <w:t>ноябрь</w:t>
      </w:r>
      <w:r w:rsidRPr="00564691">
        <w:rPr>
          <w:lang w:val="ru-RU"/>
        </w:rPr>
        <w:t xml:space="preserve"> 2021</w:t>
      </w:r>
      <w:r>
        <w:rPr>
          <w:lang w:val="ru-RU"/>
        </w:rPr>
        <w:t> года</w:t>
      </w:r>
      <w:r w:rsidRPr="0056469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31F2" w14:textId="77777777" w:rsidR="00DE3AD9" w:rsidRDefault="00DE3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0248" w14:textId="14EE026E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45A1D">
      <w:rPr>
        <w:noProof/>
      </w:rPr>
      <w:t>2</w:t>
    </w:r>
    <w:r>
      <w:rPr>
        <w:noProof/>
      </w:rPr>
      <w:fldChar w:fldCharType="end"/>
    </w:r>
  </w:p>
  <w:p w14:paraId="67EF5228" w14:textId="0048604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3E548A">
      <w:rPr>
        <w:lang w:val="ru-RU"/>
      </w:rPr>
      <w:t>27(</w:t>
    </w:r>
    <w:r w:rsidR="003E548A">
      <w:rPr>
        <w:lang w:val="en-US"/>
      </w:rPr>
      <w:t>Annex</w:t>
    </w:r>
    <w:r w:rsidR="000130E5">
      <w:rPr>
        <w:lang w:val="ru-RU"/>
      </w:rPr>
      <w:t xml:space="preserve"> </w:t>
    </w:r>
    <w:r w:rsidR="004901C5">
      <w:rPr>
        <w:lang w:val="ru-RU"/>
      </w:rPr>
      <w:t>2</w:t>
    </w:r>
    <w:r w:rsidR="00515FFB">
      <w:rPr>
        <w:lang w:val="en-US"/>
      </w:rPr>
      <w:t>)</w:t>
    </w:r>
    <w:r w:rsidR="000130E5">
      <w:rPr>
        <w:lang w:val="ru-RU"/>
      </w:rPr>
      <w:t>(</w:t>
    </w:r>
    <w:r w:rsidR="004800B2">
      <w:rPr>
        <w:lang w:val="en-US"/>
      </w:rPr>
      <w:t>Rev.1</w:t>
    </w:r>
    <w:r w:rsidR="000130E5">
      <w:rPr>
        <w:lang w:val="ru-RU"/>
      </w:rPr>
      <w:t>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E86" w14:textId="77777777" w:rsidR="00DE3AD9" w:rsidRDefault="00DE3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37"/>
    <w:rsid w:val="00005BE0"/>
    <w:rsid w:val="000130E5"/>
    <w:rsid w:val="0002183E"/>
    <w:rsid w:val="000569B4"/>
    <w:rsid w:val="00080E82"/>
    <w:rsid w:val="00084745"/>
    <w:rsid w:val="000B4CBB"/>
    <w:rsid w:val="000E568E"/>
    <w:rsid w:val="000E75BA"/>
    <w:rsid w:val="001403B8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3698F"/>
    <w:rsid w:val="00291EB6"/>
    <w:rsid w:val="002D2F57"/>
    <w:rsid w:val="002D48C5"/>
    <w:rsid w:val="002D7A90"/>
    <w:rsid w:val="00375138"/>
    <w:rsid w:val="0038617C"/>
    <w:rsid w:val="003E30D9"/>
    <w:rsid w:val="003E52CA"/>
    <w:rsid w:val="003E548A"/>
    <w:rsid w:val="003F099E"/>
    <w:rsid w:val="003F235E"/>
    <w:rsid w:val="003F6CBD"/>
    <w:rsid w:val="004023E0"/>
    <w:rsid w:val="00403DD8"/>
    <w:rsid w:val="00425B02"/>
    <w:rsid w:val="00442515"/>
    <w:rsid w:val="0045686C"/>
    <w:rsid w:val="004800B2"/>
    <w:rsid w:val="004901C5"/>
    <w:rsid w:val="004918C4"/>
    <w:rsid w:val="00497703"/>
    <w:rsid w:val="004A0374"/>
    <w:rsid w:val="004A45B5"/>
    <w:rsid w:val="004D0129"/>
    <w:rsid w:val="00515FFB"/>
    <w:rsid w:val="005A64D5"/>
    <w:rsid w:val="005B3DEC"/>
    <w:rsid w:val="005D23E6"/>
    <w:rsid w:val="005F4429"/>
    <w:rsid w:val="00601994"/>
    <w:rsid w:val="006630B1"/>
    <w:rsid w:val="0069474F"/>
    <w:rsid w:val="006A06CF"/>
    <w:rsid w:val="006E2D42"/>
    <w:rsid w:val="00703676"/>
    <w:rsid w:val="00707304"/>
    <w:rsid w:val="00732269"/>
    <w:rsid w:val="00757990"/>
    <w:rsid w:val="00785ABD"/>
    <w:rsid w:val="007A2DD4"/>
    <w:rsid w:val="007D38B5"/>
    <w:rsid w:val="007E0CA9"/>
    <w:rsid w:val="007E7EA0"/>
    <w:rsid w:val="00807255"/>
    <w:rsid w:val="0081023E"/>
    <w:rsid w:val="008173AA"/>
    <w:rsid w:val="0083383C"/>
    <w:rsid w:val="00840A14"/>
    <w:rsid w:val="00882BFE"/>
    <w:rsid w:val="008B62B4"/>
    <w:rsid w:val="008D2D7B"/>
    <w:rsid w:val="008E0737"/>
    <w:rsid w:val="008F7C2C"/>
    <w:rsid w:val="00940E96"/>
    <w:rsid w:val="0094411A"/>
    <w:rsid w:val="00945A1D"/>
    <w:rsid w:val="009741C9"/>
    <w:rsid w:val="009950D5"/>
    <w:rsid w:val="009B0BAE"/>
    <w:rsid w:val="009C1C89"/>
    <w:rsid w:val="009F066C"/>
    <w:rsid w:val="009F3448"/>
    <w:rsid w:val="00A01CF9"/>
    <w:rsid w:val="00A159EB"/>
    <w:rsid w:val="00A71773"/>
    <w:rsid w:val="00A84CF9"/>
    <w:rsid w:val="00AE2C85"/>
    <w:rsid w:val="00B04AF3"/>
    <w:rsid w:val="00B12A37"/>
    <w:rsid w:val="00B529AB"/>
    <w:rsid w:val="00B63EF2"/>
    <w:rsid w:val="00B8480C"/>
    <w:rsid w:val="00B957F1"/>
    <w:rsid w:val="00BA077E"/>
    <w:rsid w:val="00BA7D89"/>
    <w:rsid w:val="00BC0D39"/>
    <w:rsid w:val="00BC7BC0"/>
    <w:rsid w:val="00BD57B7"/>
    <w:rsid w:val="00BE63E2"/>
    <w:rsid w:val="00C04937"/>
    <w:rsid w:val="00C17E4E"/>
    <w:rsid w:val="00C32C0D"/>
    <w:rsid w:val="00C937FC"/>
    <w:rsid w:val="00CB0EAC"/>
    <w:rsid w:val="00CD2009"/>
    <w:rsid w:val="00CE12C7"/>
    <w:rsid w:val="00CE1974"/>
    <w:rsid w:val="00CF629C"/>
    <w:rsid w:val="00D2298F"/>
    <w:rsid w:val="00D92EEA"/>
    <w:rsid w:val="00DA5D4E"/>
    <w:rsid w:val="00DB5589"/>
    <w:rsid w:val="00DE3AD9"/>
    <w:rsid w:val="00E176BA"/>
    <w:rsid w:val="00E423EC"/>
    <w:rsid w:val="00E55121"/>
    <w:rsid w:val="00E94C1D"/>
    <w:rsid w:val="00EB4FCB"/>
    <w:rsid w:val="00EB5B88"/>
    <w:rsid w:val="00EB786B"/>
    <w:rsid w:val="00EC6BC5"/>
    <w:rsid w:val="00F35898"/>
    <w:rsid w:val="00F5225B"/>
    <w:rsid w:val="00F84BD8"/>
    <w:rsid w:val="00FE5701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4F35B"/>
  <w15:docId w15:val="{2727C5FF-B00A-4594-866C-3E5A432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1">
    <w:name w:val="Plain Table 1"/>
    <w:basedOn w:val="TableNormal"/>
    <w:uiPriority w:val="41"/>
    <w:rsid w:val="006947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qFormat/>
    <w:rsid w:val="0069474F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360" w:after="120" w:line="259" w:lineRule="auto"/>
      <w:ind w:left="680" w:hanging="680"/>
      <w:textAlignment w:val="auto"/>
    </w:pPr>
    <w:rPr>
      <w:rFonts w:asciiTheme="minorHAnsi" w:eastAsiaTheme="minorHAnsi" w:hAnsiTheme="minorHAnsi" w:cstheme="minorBidi"/>
      <w:noProof/>
      <w:color w:val="1F497D" w:themeColor="text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94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11A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94411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4411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9441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4411A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94411A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9441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11A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4411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94411A"/>
  </w:style>
  <w:style w:type="table" w:styleId="TableGrid">
    <w:name w:val="Table Grid"/>
    <w:basedOn w:val="TableNormal"/>
    <w:uiPriority w:val="39"/>
    <w:rsid w:val="0094411A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411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4411A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94411A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1A"/>
    <w:rPr>
      <w:color w:val="605E5C"/>
      <w:shd w:val="clear" w:color="auto" w:fill="E1DFDD"/>
    </w:rPr>
  </w:style>
  <w:style w:type="paragraph" w:customStyle="1" w:styleId="Default">
    <w:name w:val="Default"/>
    <w:rsid w:val="00944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94411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94411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4411A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411A"/>
    <w:rPr>
      <w:rFonts w:ascii="Calibri" w:eastAsia="SimSun" w:hAnsi="Calibri"/>
      <w:b/>
      <w:bCs/>
      <w:lang w:val="en-GB" w:eastAsia="en-US"/>
    </w:rPr>
  </w:style>
  <w:style w:type="paragraph" w:customStyle="1" w:styleId="SimpleHeading">
    <w:name w:val="Simple Heading"/>
    <w:basedOn w:val="Normal"/>
    <w:qFormat/>
    <w:rsid w:val="00DB558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d/reports/statistics/connectivity-in-the-least-developed-countries-status-report-2021/%5d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mckinsey.com/business-functions/mckinsey-digital/our-insights/the-top-trends-in-tech" TargetMode="External"/><Relationship Id="rId2" Type="http://schemas.openxmlformats.org/officeDocument/2006/relationships/hyperlink" Target="https://undocs.org/A/74/821" TargetMode="External"/><Relationship Id="rId1" Type="http://schemas.openxmlformats.org/officeDocument/2006/relationships/hyperlink" Target="https://www.un.org/en/content/digital-cooperation-roadmap/" TargetMode="External"/><Relationship Id="rId6" Type="http://schemas.openxmlformats.org/officeDocument/2006/relationships/hyperlink" Target="https://data.gsmaintelligence.com/api-web/v2/research-file-download?id=58621970&amp;file=141220-Global-Mobile-Trends.pdf" TargetMode="External"/><Relationship Id="rId5" Type="http://schemas.openxmlformats.org/officeDocument/2006/relationships/hyperlink" Target="https://www.itu.int/pub/D-PREF-EF.COV_ECO_IMPACT_B-2021" TargetMode="External"/><Relationship Id="rId4" Type="http://schemas.openxmlformats.org/officeDocument/2006/relationships/hyperlink" Target="https://unsdg.un.org/2030-agenda/cooperation-framework" TargetMode="External"/><Relationship Id="rId9" Type="http://schemas.openxmlformats.org/officeDocument/2006/relationships/hyperlink" Target="https://www.bcg.com/en-gb/publications/2021/building-sustainable-telecommunications-compan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10</Pages>
  <Words>3651</Words>
  <Characters>25173</Characters>
  <Application>Microsoft Office Word</Application>
  <DocSecurity>4</DocSecurity>
  <Lines>209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2 to Report of the Council Working Group for Strategic and Financial Plans for 2024-2027 (CWG-SFP)</vt:lpstr>
    </vt:vector>
  </TitlesOfParts>
  <Manager>General Secretariat - Pool</Manager>
  <Company>International Telecommunication Union (ITU)</Company>
  <LinksUpToDate>false</LinksUpToDate>
  <CharactersWithSpaces>28767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2022-03-22T15:30:00Z</dcterms:created>
  <dcterms:modified xsi:type="dcterms:W3CDTF">2022-03-22T15:30:00Z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