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3707C" w14:paraId="377611D3" w14:textId="77777777">
        <w:trPr>
          <w:cantSplit/>
        </w:trPr>
        <w:tc>
          <w:tcPr>
            <w:tcW w:w="6912" w:type="dxa"/>
          </w:tcPr>
          <w:p w14:paraId="1D4E5949" w14:textId="77777777" w:rsidR="00093EEB" w:rsidRPr="0083707C" w:rsidRDefault="00093EEB" w:rsidP="00C2727F">
            <w:pPr>
              <w:spacing w:before="360"/>
              <w:rPr>
                <w:szCs w:val="24"/>
              </w:rPr>
            </w:pPr>
            <w:bookmarkStart w:id="0" w:name="dc06"/>
            <w:bookmarkStart w:id="1" w:name="dbluepink" w:colFirst="0" w:colLast="0"/>
            <w:bookmarkEnd w:id="0"/>
            <w:r w:rsidRPr="0083707C">
              <w:rPr>
                <w:b/>
                <w:bCs/>
                <w:sz w:val="30"/>
                <w:szCs w:val="30"/>
              </w:rPr>
              <w:t>Consejo 20</w:t>
            </w:r>
            <w:r w:rsidR="007955DA" w:rsidRPr="0083707C">
              <w:rPr>
                <w:b/>
                <w:bCs/>
                <w:sz w:val="30"/>
                <w:szCs w:val="30"/>
              </w:rPr>
              <w:t>2</w:t>
            </w:r>
            <w:r w:rsidR="00D50A36" w:rsidRPr="0083707C">
              <w:rPr>
                <w:b/>
                <w:bCs/>
                <w:sz w:val="30"/>
                <w:szCs w:val="30"/>
              </w:rPr>
              <w:t>2</w:t>
            </w:r>
            <w:r w:rsidRPr="0083707C">
              <w:rPr>
                <w:b/>
                <w:bCs/>
                <w:sz w:val="26"/>
                <w:szCs w:val="26"/>
              </w:rPr>
              <w:br/>
            </w:r>
            <w:r w:rsidR="00D50A36" w:rsidRPr="0083707C">
              <w:rPr>
                <w:b/>
                <w:bCs/>
                <w:sz w:val="26"/>
                <w:szCs w:val="26"/>
              </w:rPr>
              <w:t>Ginebra</w:t>
            </w:r>
            <w:r w:rsidRPr="0083707C">
              <w:rPr>
                <w:b/>
                <w:bCs/>
                <w:sz w:val="26"/>
                <w:szCs w:val="26"/>
              </w:rPr>
              <w:t xml:space="preserve">, </w:t>
            </w:r>
            <w:r w:rsidR="00D50A36" w:rsidRPr="0083707C">
              <w:rPr>
                <w:b/>
                <w:bCs/>
                <w:sz w:val="26"/>
                <w:szCs w:val="26"/>
              </w:rPr>
              <w:t>21</w:t>
            </w:r>
            <w:r w:rsidRPr="0083707C">
              <w:rPr>
                <w:b/>
                <w:bCs/>
                <w:sz w:val="26"/>
                <w:szCs w:val="26"/>
              </w:rPr>
              <w:t>-</w:t>
            </w:r>
            <w:r w:rsidR="00D50A36" w:rsidRPr="0083707C">
              <w:rPr>
                <w:b/>
                <w:bCs/>
                <w:sz w:val="26"/>
                <w:szCs w:val="26"/>
              </w:rPr>
              <w:t>31</w:t>
            </w:r>
            <w:r w:rsidRPr="0083707C">
              <w:rPr>
                <w:b/>
                <w:bCs/>
                <w:sz w:val="26"/>
                <w:szCs w:val="26"/>
              </w:rPr>
              <w:t xml:space="preserve"> de </w:t>
            </w:r>
            <w:r w:rsidR="00D50A36" w:rsidRPr="0083707C">
              <w:rPr>
                <w:b/>
                <w:bCs/>
                <w:sz w:val="26"/>
                <w:szCs w:val="26"/>
              </w:rPr>
              <w:t>marzo</w:t>
            </w:r>
            <w:r w:rsidRPr="0083707C">
              <w:rPr>
                <w:b/>
                <w:bCs/>
                <w:sz w:val="26"/>
                <w:szCs w:val="26"/>
              </w:rPr>
              <w:t xml:space="preserve"> de 20</w:t>
            </w:r>
            <w:r w:rsidR="007955DA" w:rsidRPr="0083707C">
              <w:rPr>
                <w:b/>
                <w:bCs/>
                <w:sz w:val="26"/>
                <w:szCs w:val="26"/>
              </w:rPr>
              <w:t>2</w:t>
            </w:r>
            <w:r w:rsidR="00D50A36" w:rsidRPr="0083707C">
              <w:rPr>
                <w:b/>
                <w:bCs/>
                <w:sz w:val="26"/>
                <w:szCs w:val="26"/>
              </w:rPr>
              <w:t>2</w:t>
            </w:r>
          </w:p>
        </w:tc>
        <w:tc>
          <w:tcPr>
            <w:tcW w:w="3261" w:type="dxa"/>
          </w:tcPr>
          <w:p w14:paraId="61C40163" w14:textId="77777777" w:rsidR="00093EEB" w:rsidRPr="0083707C" w:rsidRDefault="007955DA" w:rsidP="007955DA">
            <w:pPr>
              <w:spacing w:before="0"/>
              <w:rPr>
                <w:szCs w:val="24"/>
              </w:rPr>
            </w:pPr>
            <w:bookmarkStart w:id="2" w:name="ditulogo"/>
            <w:bookmarkEnd w:id="2"/>
            <w:r w:rsidRPr="0083707C">
              <w:rPr>
                <w:noProof/>
                <w:lang w:eastAsia="zh-CN"/>
              </w:rPr>
              <w:drawing>
                <wp:inline distT="0" distB="0" distL="0" distR="0" wp14:anchorId="1441B543" wp14:editId="37D378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3707C" w14:paraId="7918674A" w14:textId="77777777">
        <w:trPr>
          <w:cantSplit/>
          <w:trHeight w:val="20"/>
        </w:trPr>
        <w:tc>
          <w:tcPr>
            <w:tcW w:w="10173" w:type="dxa"/>
            <w:gridSpan w:val="2"/>
            <w:tcBorders>
              <w:bottom w:val="single" w:sz="12" w:space="0" w:color="auto"/>
            </w:tcBorders>
          </w:tcPr>
          <w:p w14:paraId="4796A3D8" w14:textId="77777777" w:rsidR="00093EEB" w:rsidRPr="0083707C" w:rsidRDefault="00093EEB">
            <w:pPr>
              <w:spacing w:before="0"/>
              <w:rPr>
                <w:b/>
                <w:bCs/>
                <w:szCs w:val="24"/>
              </w:rPr>
            </w:pPr>
          </w:p>
        </w:tc>
      </w:tr>
      <w:tr w:rsidR="00093EEB" w:rsidRPr="0083707C" w14:paraId="5BD77A51" w14:textId="77777777">
        <w:trPr>
          <w:cantSplit/>
          <w:trHeight w:val="20"/>
        </w:trPr>
        <w:tc>
          <w:tcPr>
            <w:tcW w:w="6912" w:type="dxa"/>
            <w:tcBorders>
              <w:top w:val="single" w:sz="12" w:space="0" w:color="auto"/>
            </w:tcBorders>
          </w:tcPr>
          <w:p w14:paraId="383F6936" w14:textId="77777777" w:rsidR="00093EEB" w:rsidRPr="0083707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3B402AC" w14:textId="77777777" w:rsidR="00093EEB" w:rsidRPr="0083707C" w:rsidRDefault="00093EEB">
            <w:pPr>
              <w:spacing w:before="0"/>
              <w:rPr>
                <w:b/>
                <w:bCs/>
                <w:szCs w:val="24"/>
              </w:rPr>
            </w:pPr>
          </w:p>
        </w:tc>
      </w:tr>
      <w:tr w:rsidR="00093EEB" w:rsidRPr="0083707C" w14:paraId="133271BD" w14:textId="77777777">
        <w:trPr>
          <w:cantSplit/>
          <w:trHeight w:val="20"/>
        </w:trPr>
        <w:tc>
          <w:tcPr>
            <w:tcW w:w="6912" w:type="dxa"/>
            <w:shd w:val="clear" w:color="auto" w:fill="auto"/>
          </w:tcPr>
          <w:p w14:paraId="747C5CC0" w14:textId="79762D2B" w:rsidR="00093EEB" w:rsidRPr="0083707C" w:rsidRDefault="006C40F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3707C">
              <w:rPr>
                <w:rFonts w:cs="Times"/>
                <w:b/>
                <w:szCs w:val="24"/>
              </w:rPr>
              <w:t>Punto del orden del día: 19</w:t>
            </w:r>
          </w:p>
        </w:tc>
        <w:tc>
          <w:tcPr>
            <w:tcW w:w="3261" w:type="dxa"/>
          </w:tcPr>
          <w:p w14:paraId="61FF1E18" w14:textId="0F62B2C9" w:rsidR="00093EEB" w:rsidRPr="0083707C" w:rsidRDefault="00093EEB" w:rsidP="00C2727F">
            <w:pPr>
              <w:spacing w:before="0"/>
              <w:rPr>
                <w:b/>
                <w:bCs/>
                <w:szCs w:val="24"/>
              </w:rPr>
            </w:pPr>
            <w:r w:rsidRPr="0083707C">
              <w:rPr>
                <w:b/>
                <w:bCs/>
                <w:szCs w:val="24"/>
              </w:rPr>
              <w:t>Documento C</w:t>
            </w:r>
            <w:r w:rsidR="007955DA" w:rsidRPr="0083707C">
              <w:rPr>
                <w:b/>
                <w:bCs/>
                <w:szCs w:val="24"/>
              </w:rPr>
              <w:t>2</w:t>
            </w:r>
            <w:r w:rsidR="00D50A36" w:rsidRPr="0083707C">
              <w:rPr>
                <w:b/>
                <w:bCs/>
                <w:szCs w:val="24"/>
              </w:rPr>
              <w:t>2</w:t>
            </w:r>
            <w:r w:rsidRPr="0083707C">
              <w:rPr>
                <w:b/>
                <w:bCs/>
                <w:szCs w:val="24"/>
              </w:rPr>
              <w:t>/</w:t>
            </w:r>
            <w:r w:rsidR="006C40F0" w:rsidRPr="0083707C">
              <w:rPr>
                <w:b/>
                <w:bCs/>
                <w:szCs w:val="24"/>
              </w:rPr>
              <w:t>25</w:t>
            </w:r>
            <w:r w:rsidRPr="0083707C">
              <w:rPr>
                <w:b/>
                <w:bCs/>
                <w:szCs w:val="24"/>
              </w:rPr>
              <w:t>-S</w:t>
            </w:r>
          </w:p>
        </w:tc>
      </w:tr>
      <w:tr w:rsidR="00093EEB" w:rsidRPr="0083707C" w14:paraId="115EF287" w14:textId="77777777">
        <w:trPr>
          <w:cantSplit/>
          <w:trHeight w:val="20"/>
        </w:trPr>
        <w:tc>
          <w:tcPr>
            <w:tcW w:w="6912" w:type="dxa"/>
            <w:shd w:val="clear" w:color="auto" w:fill="auto"/>
          </w:tcPr>
          <w:p w14:paraId="11420C2C" w14:textId="77777777" w:rsidR="00093EEB" w:rsidRPr="0083707C" w:rsidRDefault="00093EEB">
            <w:pPr>
              <w:shd w:val="solid" w:color="FFFFFF" w:fill="FFFFFF"/>
              <w:spacing w:before="0"/>
              <w:rPr>
                <w:smallCaps/>
                <w:szCs w:val="24"/>
              </w:rPr>
            </w:pPr>
            <w:bookmarkStart w:id="5" w:name="ddate" w:colFirst="1" w:colLast="1"/>
            <w:bookmarkEnd w:id="3"/>
            <w:bookmarkEnd w:id="4"/>
          </w:p>
        </w:tc>
        <w:tc>
          <w:tcPr>
            <w:tcW w:w="3261" w:type="dxa"/>
          </w:tcPr>
          <w:p w14:paraId="2DD9A36A" w14:textId="492B7AA0" w:rsidR="00093EEB" w:rsidRPr="0083707C" w:rsidRDefault="006C40F0" w:rsidP="00C2727F">
            <w:pPr>
              <w:spacing w:before="0"/>
              <w:rPr>
                <w:b/>
                <w:bCs/>
                <w:szCs w:val="24"/>
              </w:rPr>
            </w:pPr>
            <w:r w:rsidRPr="0083707C">
              <w:rPr>
                <w:b/>
                <w:bCs/>
                <w:szCs w:val="24"/>
              </w:rPr>
              <w:t>10 de enero</w:t>
            </w:r>
            <w:r w:rsidR="00093EEB" w:rsidRPr="0083707C">
              <w:rPr>
                <w:b/>
                <w:bCs/>
                <w:szCs w:val="24"/>
              </w:rPr>
              <w:t xml:space="preserve"> de 20</w:t>
            </w:r>
            <w:r w:rsidR="007955DA" w:rsidRPr="0083707C">
              <w:rPr>
                <w:b/>
                <w:bCs/>
                <w:szCs w:val="24"/>
              </w:rPr>
              <w:t>2</w:t>
            </w:r>
            <w:r w:rsidR="000007D1" w:rsidRPr="0083707C">
              <w:rPr>
                <w:b/>
                <w:bCs/>
                <w:szCs w:val="24"/>
              </w:rPr>
              <w:t>1</w:t>
            </w:r>
          </w:p>
        </w:tc>
      </w:tr>
      <w:tr w:rsidR="00093EEB" w:rsidRPr="0083707C" w14:paraId="7539121B" w14:textId="77777777">
        <w:trPr>
          <w:cantSplit/>
          <w:trHeight w:val="20"/>
        </w:trPr>
        <w:tc>
          <w:tcPr>
            <w:tcW w:w="6912" w:type="dxa"/>
            <w:shd w:val="clear" w:color="auto" w:fill="auto"/>
          </w:tcPr>
          <w:p w14:paraId="028AD06E" w14:textId="77777777" w:rsidR="00093EEB" w:rsidRPr="0083707C" w:rsidRDefault="00093EEB">
            <w:pPr>
              <w:shd w:val="solid" w:color="FFFFFF" w:fill="FFFFFF"/>
              <w:spacing w:before="0"/>
              <w:rPr>
                <w:smallCaps/>
                <w:szCs w:val="24"/>
              </w:rPr>
            </w:pPr>
            <w:bookmarkStart w:id="6" w:name="dorlang" w:colFirst="1" w:colLast="1"/>
            <w:bookmarkEnd w:id="5"/>
          </w:p>
        </w:tc>
        <w:tc>
          <w:tcPr>
            <w:tcW w:w="3261" w:type="dxa"/>
          </w:tcPr>
          <w:p w14:paraId="226AC5F5" w14:textId="77777777" w:rsidR="00093EEB" w:rsidRPr="0083707C" w:rsidRDefault="00093EEB" w:rsidP="00093EEB">
            <w:pPr>
              <w:spacing w:before="0"/>
              <w:rPr>
                <w:b/>
                <w:bCs/>
                <w:szCs w:val="24"/>
              </w:rPr>
            </w:pPr>
            <w:r w:rsidRPr="0083707C">
              <w:rPr>
                <w:b/>
                <w:bCs/>
                <w:szCs w:val="24"/>
              </w:rPr>
              <w:t>Original: inglés</w:t>
            </w:r>
          </w:p>
        </w:tc>
      </w:tr>
      <w:tr w:rsidR="00093EEB" w:rsidRPr="0083707C" w14:paraId="138432CE" w14:textId="77777777">
        <w:trPr>
          <w:cantSplit/>
        </w:trPr>
        <w:tc>
          <w:tcPr>
            <w:tcW w:w="10173" w:type="dxa"/>
            <w:gridSpan w:val="2"/>
          </w:tcPr>
          <w:p w14:paraId="29789F4E" w14:textId="3011995B" w:rsidR="00093EEB" w:rsidRPr="0083707C" w:rsidRDefault="006C40F0">
            <w:pPr>
              <w:pStyle w:val="Source"/>
            </w:pPr>
            <w:bookmarkStart w:id="7" w:name="dsource" w:colFirst="0" w:colLast="0"/>
            <w:bookmarkEnd w:id="1"/>
            <w:bookmarkEnd w:id="6"/>
            <w:r w:rsidRPr="0083707C">
              <w:t>Informe del Secretario General</w:t>
            </w:r>
          </w:p>
        </w:tc>
      </w:tr>
      <w:tr w:rsidR="00093EEB" w:rsidRPr="0083707C" w14:paraId="2A70C4B2" w14:textId="77777777">
        <w:trPr>
          <w:cantSplit/>
        </w:trPr>
        <w:tc>
          <w:tcPr>
            <w:tcW w:w="10173" w:type="dxa"/>
            <w:gridSpan w:val="2"/>
          </w:tcPr>
          <w:p w14:paraId="519DB68B" w14:textId="4FA29754" w:rsidR="00093EEB" w:rsidRPr="0083707C" w:rsidRDefault="006C40F0">
            <w:pPr>
              <w:pStyle w:val="Title1"/>
            </w:pPr>
            <w:bookmarkStart w:id="8" w:name="dtitle1" w:colFirst="0" w:colLast="0"/>
            <w:bookmarkStart w:id="9" w:name="_Hlk93479289"/>
            <w:bookmarkEnd w:id="7"/>
            <w:r w:rsidRPr="0083707C">
              <w:t>FORTALECIMIENTO DE LA PREsEnCIA REGIONAL</w:t>
            </w:r>
            <w:bookmarkEnd w:id="9"/>
          </w:p>
        </w:tc>
      </w:tr>
      <w:bookmarkEnd w:id="8"/>
    </w:tbl>
    <w:p w14:paraId="43369E1B" w14:textId="77777777" w:rsidR="00093EEB" w:rsidRPr="0083707C"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3707C" w14:paraId="4DDD886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15C498D" w14:textId="77777777" w:rsidR="00093EEB" w:rsidRPr="0083707C" w:rsidRDefault="00093EEB">
            <w:pPr>
              <w:pStyle w:val="Headingb"/>
            </w:pPr>
            <w:r w:rsidRPr="0083707C">
              <w:t>Resumen</w:t>
            </w:r>
          </w:p>
          <w:p w14:paraId="6C7E7498" w14:textId="1BD1EF40" w:rsidR="00093EEB" w:rsidRPr="0083707C" w:rsidRDefault="006C40F0">
            <w:r w:rsidRPr="0083707C">
              <w:t>El presente documento tiene por objeto informar sobre la aplicación de la Resolución 25 (Rev. Dubái, 2018)</w:t>
            </w:r>
            <w:r w:rsidR="008E2FAB" w:rsidRPr="0083707C">
              <w:t xml:space="preserve"> de la Conferencia de Plenipotenciarios</w:t>
            </w:r>
            <w:r w:rsidRPr="0083707C">
              <w:t xml:space="preserve">. El Documento </w:t>
            </w:r>
            <w:hyperlink r:id="rId8" w:history="1">
              <w:r w:rsidRPr="0083707C">
                <w:rPr>
                  <w:rStyle w:val="Hyperlink"/>
                </w:rPr>
                <w:t>C22/INF/5</w:t>
              </w:r>
            </w:hyperlink>
            <w:r w:rsidRPr="0083707C">
              <w:t xml:space="preserve"> contiene Anexos </w:t>
            </w:r>
            <w:r w:rsidR="008E2FAB" w:rsidRPr="0083707C">
              <w:t>relacionados</w:t>
            </w:r>
            <w:r w:rsidRPr="0083707C">
              <w:t xml:space="preserve"> con el presente documento (Anexos 1 a 9). </w:t>
            </w:r>
          </w:p>
          <w:p w14:paraId="4A4BEB45" w14:textId="77777777" w:rsidR="00093EEB" w:rsidRPr="0083707C" w:rsidRDefault="00093EEB">
            <w:pPr>
              <w:pStyle w:val="Headingb"/>
            </w:pPr>
            <w:r w:rsidRPr="0083707C">
              <w:t>Acción solicitada</w:t>
            </w:r>
          </w:p>
          <w:p w14:paraId="5D8DA03D" w14:textId="5FD41DB9" w:rsidR="00093EEB" w:rsidRPr="0083707C" w:rsidRDefault="006C40F0">
            <w:r w:rsidRPr="0083707C">
              <w:t xml:space="preserve">Se invita al Consejo a </w:t>
            </w:r>
            <w:r w:rsidRPr="0083707C">
              <w:rPr>
                <w:b/>
                <w:bCs/>
              </w:rPr>
              <w:t xml:space="preserve">tomar nota </w:t>
            </w:r>
            <w:r w:rsidRPr="0083707C">
              <w:t>del presente informe.</w:t>
            </w:r>
          </w:p>
          <w:p w14:paraId="1D492CC3" w14:textId="77777777" w:rsidR="00093EEB" w:rsidRPr="0083707C" w:rsidRDefault="00093EEB">
            <w:pPr>
              <w:pStyle w:val="Table"/>
              <w:keepNext w:val="0"/>
              <w:spacing w:before="0" w:after="0"/>
              <w:rPr>
                <w:caps w:val="0"/>
                <w:sz w:val="22"/>
                <w:lang w:val="es-ES_tradnl"/>
              </w:rPr>
            </w:pPr>
            <w:r w:rsidRPr="0083707C">
              <w:rPr>
                <w:caps w:val="0"/>
                <w:sz w:val="22"/>
                <w:lang w:val="es-ES_tradnl"/>
              </w:rPr>
              <w:t>____________</w:t>
            </w:r>
          </w:p>
          <w:p w14:paraId="1B46FE32" w14:textId="77777777" w:rsidR="00093EEB" w:rsidRPr="0083707C" w:rsidRDefault="00093EEB">
            <w:pPr>
              <w:pStyle w:val="Headingb"/>
            </w:pPr>
            <w:r w:rsidRPr="0083707C">
              <w:t>Referencia</w:t>
            </w:r>
          </w:p>
          <w:p w14:paraId="4BC4898B" w14:textId="66D5487E" w:rsidR="00093EEB" w:rsidRPr="0083707C" w:rsidRDefault="00466840" w:rsidP="006C40F0">
            <w:pPr>
              <w:spacing w:after="120"/>
              <w:rPr>
                <w:i/>
                <w:iCs/>
              </w:rPr>
            </w:pPr>
            <w:hyperlink r:id="rId9" w:history="1">
              <w:r w:rsidR="006C40F0" w:rsidRPr="0083707C">
                <w:rPr>
                  <w:rStyle w:val="Hyperlink"/>
                  <w:i/>
                  <w:iCs/>
                </w:rPr>
                <w:t>Resolución 25 (Rev. Dubái, 2018)</w:t>
              </w:r>
            </w:hyperlink>
            <w:r w:rsidR="006C40F0" w:rsidRPr="0083707C">
              <w:rPr>
                <w:i/>
                <w:iCs/>
              </w:rPr>
              <w:t xml:space="preserve">; </w:t>
            </w:r>
            <w:hyperlink r:id="rId10" w:history="1">
              <w:r w:rsidR="006C40F0" w:rsidRPr="0083707C">
                <w:rPr>
                  <w:rStyle w:val="Hyperlink"/>
                  <w:i/>
                  <w:iCs/>
                </w:rPr>
                <w:t>C22/INF/5</w:t>
              </w:r>
            </w:hyperlink>
          </w:p>
        </w:tc>
      </w:tr>
    </w:tbl>
    <w:p w14:paraId="1F1E1DF7" w14:textId="77777777" w:rsidR="006C40F0" w:rsidRPr="0083707C" w:rsidRDefault="006C40F0" w:rsidP="006C40F0">
      <w:pPr>
        <w:pStyle w:val="Heading1"/>
        <w:spacing w:before="720"/>
      </w:pPr>
      <w:r w:rsidRPr="0083707C">
        <w:t>1</w:t>
      </w:r>
      <w:r w:rsidRPr="0083707C">
        <w:tab/>
        <w:t>Antecedentes</w:t>
      </w:r>
    </w:p>
    <w:p w14:paraId="617049A6" w14:textId="5067740B" w:rsidR="006C40F0" w:rsidRPr="0083707C" w:rsidRDefault="006C40F0" w:rsidP="006C40F0">
      <w:pPr>
        <w:rPr>
          <w:rFonts w:eastAsia="Arial Unicode MS"/>
        </w:rPr>
      </w:pPr>
      <w:r w:rsidRPr="0083707C">
        <w:t>1.1</w:t>
      </w:r>
      <w:r w:rsidRPr="0083707C">
        <w:tab/>
      </w:r>
      <w:bookmarkStart w:id="10" w:name="lt_pId023"/>
      <w:r w:rsidRPr="0083707C">
        <w:t xml:space="preserve">La </w:t>
      </w:r>
      <w:r w:rsidRPr="0083707C">
        <w:rPr>
          <w:rFonts w:eastAsia="Arial Unicode MS" w:cstheme="minorHAnsi"/>
          <w:szCs w:val="24"/>
        </w:rPr>
        <w:t>Resolución 25 (Fortalecimiento de la presencia regional) fue revisada por la Conferencia de Plenipotenciarios de la UIT de 2018 (PP-18) celebrada en Dubái.</w:t>
      </w:r>
      <w:bookmarkEnd w:id="10"/>
      <w:r w:rsidRPr="0083707C">
        <w:rPr>
          <w:rFonts w:eastAsia="Arial Unicode MS" w:cstheme="minorHAnsi"/>
          <w:szCs w:val="24"/>
        </w:rPr>
        <w:t xml:space="preserve"> En esta Conferencia, los miembros de la UIT resolvieron </w:t>
      </w:r>
      <w:r w:rsidR="00F71C5C" w:rsidRPr="0083707C">
        <w:rPr>
          <w:rFonts w:eastAsia="Arial Unicode MS" w:cstheme="minorHAnsi"/>
          <w:szCs w:val="24"/>
        </w:rPr>
        <w:t>"</w:t>
      </w:r>
      <w:r w:rsidRPr="0083707C">
        <w:t>que se refuercen las funciones de las Oficinas Regionales para que puedan participar en la ejecución del Plan Estratégico, los programas y proyectos de la UIT, y las iniciativas regionales establecidas en la Resolución 17 (Rev. Buenos Aires, 2017) de la CMDT</w:t>
      </w:r>
      <w:r w:rsidR="00F71C5C" w:rsidRPr="0083707C">
        <w:rPr>
          <w:rFonts w:eastAsia="Arial Unicode MS" w:cstheme="minorHAnsi"/>
          <w:szCs w:val="24"/>
        </w:rPr>
        <w:t>"</w:t>
      </w:r>
      <w:r w:rsidRPr="0083707C">
        <w:rPr>
          <w:rFonts w:eastAsia="Arial Unicode MS"/>
        </w:rPr>
        <w:t>.</w:t>
      </w:r>
    </w:p>
    <w:p w14:paraId="2BC64045" w14:textId="421FAF0A" w:rsidR="006C40F0" w:rsidRPr="0083707C" w:rsidRDefault="006C40F0" w:rsidP="006C40F0">
      <w:pPr>
        <w:rPr>
          <w:szCs w:val="24"/>
        </w:rPr>
      </w:pPr>
      <w:r w:rsidRPr="0083707C">
        <w:rPr>
          <w:rFonts w:eastAsia="Arial Unicode MS" w:cstheme="minorHAnsi"/>
          <w:szCs w:val="24"/>
        </w:rPr>
        <w:t>1.2</w:t>
      </w:r>
      <w:r w:rsidRPr="0083707C">
        <w:rPr>
          <w:rFonts w:eastAsia="Arial Unicode MS" w:cstheme="minorHAnsi"/>
          <w:szCs w:val="24"/>
        </w:rPr>
        <w:tab/>
        <w:t>En 2021 se desplegaron asimismo esfuerzos para mejorar la presencia regional de la UIT mediante una serie de medidas encaminadas a facilitar a la UIT la adaptación de su labor a las necesidades específicas de las regiones y a proporcionar productos y servicios de gran calidad, de forma oportuna y eficaz a escalas nacional y regional</w:t>
      </w:r>
      <w:r w:rsidRPr="0083707C">
        <w:rPr>
          <w:szCs w:val="24"/>
        </w:rPr>
        <w:t xml:space="preserve">. </w:t>
      </w:r>
    </w:p>
    <w:p w14:paraId="6F9C5E2C" w14:textId="2C57ED75" w:rsidR="006C40F0" w:rsidRPr="0083707C" w:rsidRDefault="006C40F0" w:rsidP="006C40F0">
      <w:pPr>
        <w:rPr>
          <w:rFonts w:eastAsia="Arial Unicode MS"/>
        </w:rPr>
      </w:pPr>
      <w:r w:rsidRPr="0083707C">
        <w:rPr>
          <w:rFonts w:eastAsia="Arial Unicode MS"/>
        </w:rPr>
        <w:t>1.3</w:t>
      </w:r>
      <w:r w:rsidRPr="0083707C">
        <w:rPr>
          <w:rFonts w:eastAsia="Arial Unicode MS"/>
        </w:rPr>
        <w:tab/>
        <w:t xml:space="preserve">En el presente informe se aborda la ejecución del Plan de Acción y de las iniciativas regionales. Contiene asimismo información pormenorizada sobre la aplicación del presupuesto de 2021, tanto para las fuentes de financiación ordinarias como para las extrapresupuestarias. También se proporciona información actualizada sobre el grado de dotación de personal de cada Oficina Regional y Zona, así como otro tipo de información operacional, en particular sobre becas, </w:t>
      </w:r>
      <w:r w:rsidRPr="0083707C">
        <w:rPr>
          <w:rFonts w:eastAsia="Arial Unicode MS"/>
        </w:rPr>
        <w:lastRenderedPageBreak/>
        <w:t xml:space="preserve">expertos y misiones internas de expertos. El informe se complementa mediante el Documento de información </w:t>
      </w:r>
      <w:r w:rsidRPr="0083707C">
        <w:t xml:space="preserve">C22/INF/5 </w:t>
      </w:r>
      <w:r w:rsidRPr="0083707C">
        <w:rPr>
          <w:rFonts w:eastAsia="Arial Unicode MS"/>
        </w:rPr>
        <w:t>que contiene los anexos siguientes:</w:t>
      </w:r>
    </w:p>
    <w:p w14:paraId="5CD5A648" w14:textId="443D74C0" w:rsidR="006C40F0" w:rsidRPr="0083707C" w:rsidRDefault="006C40F0" w:rsidP="006C40F0">
      <w:pPr>
        <w:pStyle w:val="enumlev1"/>
        <w:rPr>
          <w:rFonts w:eastAsia="Arial Unicode MS"/>
        </w:rPr>
      </w:pPr>
      <w:r w:rsidRPr="0083707C">
        <w:rPr>
          <w:rFonts w:eastAsia="Arial Unicode MS"/>
        </w:rPr>
        <w:t>•</w:t>
      </w:r>
      <w:r w:rsidRPr="0083707C">
        <w:rPr>
          <w:rFonts w:eastAsia="Arial Unicode MS"/>
        </w:rPr>
        <w:tab/>
        <w:t>Anexo 1:</w:t>
      </w:r>
      <w:r w:rsidRPr="0083707C">
        <w:rPr>
          <w:rFonts w:eastAsia="Arial Unicode MS"/>
        </w:rPr>
        <w:tab/>
        <w:t>Principales logros por región en 2021</w:t>
      </w:r>
    </w:p>
    <w:p w14:paraId="0B59125E" w14:textId="77777777" w:rsidR="006C40F0" w:rsidRPr="0083707C" w:rsidRDefault="006C40F0" w:rsidP="006C40F0">
      <w:pPr>
        <w:pStyle w:val="enumlev1"/>
        <w:rPr>
          <w:rFonts w:eastAsia="Arial Unicode MS"/>
        </w:rPr>
      </w:pPr>
      <w:r w:rsidRPr="0083707C">
        <w:rPr>
          <w:rFonts w:eastAsia="Arial Unicode MS"/>
        </w:rPr>
        <w:t>•</w:t>
      </w:r>
      <w:r w:rsidRPr="0083707C">
        <w:rPr>
          <w:rFonts w:eastAsia="Arial Unicode MS"/>
        </w:rPr>
        <w:tab/>
        <w:t>Anexo 2:</w:t>
      </w:r>
      <w:r w:rsidRPr="0083707C">
        <w:rPr>
          <w:rFonts w:eastAsia="Arial Unicode MS"/>
        </w:rPr>
        <w:tab/>
        <w:t>Contribución a otros Sectores y a la Secretaría General</w:t>
      </w:r>
    </w:p>
    <w:p w14:paraId="73225D70" w14:textId="04B4BC06" w:rsidR="006C40F0" w:rsidRPr="0083707C" w:rsidRDefault="006C40F0" w:rsidP="006C40F0">
      <w:pPr>
        <w:pStyle w:val="enumlev1"/>
        <w:rPr>
          <w:rFonts w:eastAsia="Arial Unicode MS"/>
        </w:rPr>
      </w:pPr>
      <w:r w:rsidRPr="0083707C">
        <w:rPr>
          <w:rFonts w:eastAsia="Arial Unicode MS"/>
        </w:rPr>
        <w:t>•</w:t>
      </w:r>
      <w:r w:rsidRPr="0083707C">
        <w:rPr>
          <w:rFonts w:eastAsia="Arial Unicode MS"/>
        </w:rPr>
        <w:tab/>
        <w:t>Anexo 3:</w:t>
      </w:r>
      <w:r w:rsidRPr="0083707C">
        <w:rPr>
          <w:rFonts w:eastAsia="Arial Unicode MS"/>
        </w:rPr>
        <w:tab/>
        <w:t>Actividades en pro del empoderamiento regional y de la Oficinas Zona</w:t>
      </w:r>
      <w:r w:rsidR="00444C1A" w:rsidRPr="0083707C">
        <w:rPr>
          <w:rFonts w:eastAsia="Arial Unicode MS"/>
        </w:rPr>
        <w:t>les</w:t>
      </w:r>
    </w:p>
    <w:p w14:paraId="086781DC" w14:textId="5B09D279" w:rsidR="006C40F0" w:rsidRPr="0083707C" w:rsidRDefault="006C40F0" w:rsidP="006C40F0">
      <w:pPr>
        <w:pStyle w:val="enumlev1"/>
        <w:rPr>
          <w:rFonts w:eastAsia="Arial Unicode MS"/>
        </w:rPr>
      </w:pPr>
      <w:r w:rsidRPr="0083707C">
        <w:rPr>
          <w:rFonts w:eastAsia="Arial Unicode MS"/>
        </w:rPr>
        <w:t>•</w:t>
      </w:r>
      <w:r w:rsidRPr="0083707C">
        <w:rPr>
          <w:rFonts w:eastAsia="Arial Unicode MS"/>
        </w:rPr>
        <w:tab/>
        <w:t>Anexo 4:</w:t>
      </w:r>
      <w:r w:rsidRPr="0083707C">
        <w:rPr>
          <w:rFonts w:eastAsia="Arial Unicode MS"/>
        </w:rPr>
        <w:tab/>
        <w:t>Resumen de los gastos de las Oficinas Regionales y Zona</w:t>
      </w:r>
      <w:r w:rsidR="008E2FAB" w:rsidRPr="0083707C">
        <w:rPr>
          <w:rFonts w:eastAsia="Arial Unicode MS"/>
        </w:rPr>
        <w:t>les</w:t>
      </w:r>
      <w:r w:rsidRPr="0083707C">
        <w:rPr>
          <w:rFonts w:eastAsia="Arial Unicode MS"/>
        </w:rPr>
        <w:t xml:space="preserve"> en 2021</w:t>
      </w:r>
    </w:p>
    <w:p w14:paraId="05ED8541" w14:textId="22DC6112" w:rsidR="006C40F0" w:rsidRPr="0083707C" w:rsidRDefault="006C40F0" w:rsidP="006C40F0">
      <w:pPr>
        <w:pStyle w:val="enumlev1"/>
        <w:rPr>
          <w:rFonts w:eastAsia="Arial Unicode MS"/>
        </w:rPr>
      </w:pPr>
      <w:r w:rsidRPr="0083707C">
        <w:rPr>
          <w:rFonts w:eastAsia="Arial Unicode MS"/>
        </w:rPr>
        <w:t>•</w:t>
      </w:r>
      <w:r w:rsidRPr="0083707C">
        <w:rPr>
          <w:rFonts w:eastAsia="Arial Unicode MS"/>
        </w:rPr>
        <w:tab/>
        <w:t>Anexo 5:</w:t>
      </w:r>
      <w:r w:rsidRPr="0083707C">
        <w:rPr>
          <w:rFonts w:eastAsia="Arial Unicode MS"/>
        </w:rPr>
        <w:tab/>
        <w:t xml:space="preserve">Nivel de ejecución de proyectos y del Plan Operacional en 2021, por región </w:t>
      </w:r>
    </w:p>
    <w:p w14:paraId="041DC82A" w14:textId="2FA18640" w:rsidR="006C40F0" w:rsidRPr="0083707C" w:rsidRDefault="006C40F0" w:rsidP="006C40F0">
      <w:pPr>
        <w:pStyle w:val="enumlev1"/>
        <w:ind w:left="1701" w:hanging="1701"/>
        <w:rPr>
          <w:rFonts w:eastAsia="Arial Unicode MS"/>
        </w:rPr>
      </w:pPr>
      <w:r w:rsidRPr="0083707C">
        <w:rPr>
          <w:rFonts w:eastAsia="Arial Unicode MS"/>
        </w:rPr>
        <w:t>•</w:t>
      </w:r>
      <w:r w:rsidRPr="0083707C">
        <w:rPr>
          <w:rFonts w:eastAsia="Arial Unicode MS"/>
        </w:rPr>
        <w:tab/>
        <w:t>Anexo 6:</w:t>
      </w:r>
      <w:r w:rsidRPr="0083707C">
        <w:rPr>
          <w:rFonts w:eastAsia="Arial Unicode MS"/>
        </w:rPr>
        <w:tab/>
        <w:t>Desglose de los gastos de las Oficinas Regionales y Zona</w:t>
      </w:r>
      <w:r w:rsidR="00444C1A" w:rsidRPr="0083707C">
        <w:rPr>
          <w:rFonts w:eastAsia="Arial Unicode MS"/>
        </w:rPr>
        <w:t>les</w:t>
      </w:r>
      <w:r w:rsidRPr="0083707C">
        <w:rPr>
          <w:rFonts w:eastAsia="Arial Unicode MS"/>
        </w:rPr>
        <w:t xml:space="preserve"> en 2021, por categoría de gastos</w:t>
      </w:r>
    </w:p>
    <w:p w14:paraId="0594938E" w14:textId="62A80277" w:rsidR="006C40F0" w:rsidRPr="0083707C" w:rsidRDefault="006C40F0" w:rsidP="00961BEB">
      <w:pPr>
        <w:pStyle w:val="enumlev1"/>
        <w:rPr>
          <w:rFonts w:eastAsia="Arial Unicode MS"/>
        </w:rPr>
      </w:pPr>
      <w:r w:rsidRPr="0083707C">
        <w:rPr>
          <w:rFonts w:eastAsia="Arial Unicode MS"/>
        </w:rPr>
        <w:t>•</w:t>
      </w:r>
      <w:r w:rsidRPr="0083707C">
        <w:rPr>
          <w:rFonts w:eastAsia="Arial Unicode MS"/>
        </w:rPr>
        <w:tab/>
        <w:t>Anexo 7:</w:t>
      </w:r>
      <w:r w:rsidRPr="0083707C">
        <w:rPr>
          <w:rFonts w:eastAsia="Arial Unicode MS"/>
        </w:rPr>
        <w:tab/>
        <w:t>Becas concedidas y expertos contratados en 2021</w:t>
      </w:r>
    </w:p>
    <w:p w14:paraId="2FED6D14" w14:textId="6273786E" w:rsidR="006C40F0" w:rsidRPr="0083707C" w:rsidRDefault="006C40F0" w:rsidP="00961BEB">
      <w:pPr>
        <w:pStyle w:val="enumlev1"/>
        <w:rPr>
          <w:rFonts w:eastAsia="Arial Unicode MS"/>
        </w:rPr>
      </w:pPr>
      <w:r w:rsidRPr="0083707C">
        <w:rPr>
          <w:rFonts w:eastAsia="Arial Unicode MS"/>
        </w:rPr>
        <w:t>•</w:t>
      </w:r>
      <w:r w:rsidRPr="0083707C">
        <w:rPr>
          <w:rFonts w:eastAsia="Arial Unicode MS"/>
        </w:rPr>
        <w:tab/>
        <w:t>Anexo 8:</w:t>
      </w:r>
      <w:r w:rsidRPr="0083707C">
        <w:rPr>
          <w:rFonts w:eastAsia="Arial Unicode MS"/>
        </w:rPr>
        <w:tab/>
        <w:t>Resumen del nivel de dotación de personal por Oficina Regional y Zona</w:t>
      </w:r>
      <w:r w:rsidR="00444C1A" w:rsidRPr="0083707C">
        <w:rPr>
          <w:rFonts w:eastAsia="Arial Unicode MS"/>
        </w:rPr>
        <w:t>l</w:t>
      </w:r>
    </w:p>
    <w:p w14:paraId="427E5E79" w14:textId="02DFEEB4" w:rsidR="006C40F0" w:rsidRPr="0083707C" w:rsidRDefault="006C40F0" w:rsidP="00961BEB">
      <w:pPr>
        <w:pStyle w:val="enumlev1"/>
        <w:rPr>
          <w:rFonts w:eastAsia="Arial Unicode MS"/>
        </w:rPr>
      </w:pPr>
      <w:r w:rsidRPr="0083707C">
        <w:rPr>
          <w:rFonts w:eastAsia="Arial Unicode MS"/>
        </w:rPr>
        <w:t>•</w:t>
      </w:r>
      <w:r w:rsidRPr="0083707C">
        <w:rPr>
          <w:rFonts w:eastAsia="Arial Unicode MS"/>
        </w:rPr>
        <w:tab/>
        <w:t>Anexo 9:</w:t>
      </w:r>
      <w:r w:rsidRPr="0083707C">
        <w:rPr>
          <w:rFonts w:eastAsia="Arial Unicode MS"/>
        </w:rPr>
        <w:tab/>
        <w:t>Desglose del nivel de dotación de personal por Oficina Regional y Zona</w:t>
      </w:r>
      <w:r w:rsidR="00444C1A" w:rsidRPr="0083707C">
        <w:rPr>
          <w:rFonts w:eastAsia="Arial Unicode MS"/>
        </w:rPr>
        <w:t>l</w:t>
      </w:r>
    </w:p>
    <w:p w14:paraId="04FB295E" w14:textId="095879AB" w:rsidR="006C40F0" w:rsidRPr="0083707C" w:rsidRDefault="006C40F0" w:rsidP="006B652A">
      <w:pPr>
        <w:pStyle w:val="Heading1"/>
        <w:rPr>
          <w:rFonts w:eastAsia="Arial Unicode MS"/>
        </w:rPr>
      </w:pPr>
      <w:r w:rsidRPr="0083707C">
        <w:t>2</w:t>
      </w:r>
      <w:r w:rsidRPr="0083707C">
        <w:tab/>
      </w:r>
      <w:r w:rsidR="00961BEB" w:rsidRPr="0083707C">
        <w:t xml:space="preserve">Examen de la </w:t>
      </w:r>
      <w:r w:rsidR="00826AF2" w:rsidRPr="0083707C">
        <w:t xml:space="preserve">presencia regional </w:t>
      </w:r>
      <w:r w:rsidR="00961BEB" w:rsidRPr="0083707C">
        <w:t>de la UIT</w:t>
      </w:r>
    </w:p>
    <w:p w14:paraId="59BBE910" w14:textId="2B623813" w:rsidR="006C40F0" w:rsidRPr="0083707C" w:rsidRDefault="006C40F0" w:rsidP="006C40F0">
      <w:r w:rsidRPr="0083707C">
        <w:t>2.1</w:t>
      </w:r>
      <w:r w:rsidRPr="0083707C">
        <w:tab/>
        <w:t>En la revisión de la Resolución 25 (Rev. Dubái, 2018)</w:t>
      </w:r>
      <w:r w:rsidR="00826AF2" w:rsidRPr="0083707C">
        <w:t>,</w:t>
      </w:r>
      <w:r w:rsidRPr="0083707C">
        <w:t xml:space="preserve"> se encarga al Secretario General que realice un examen general de la presencia regional de la UIT. </w:t>
      </w:r>
      <w:bookmarkStart w:id="11" w:name="lt_pId063"/>
      <w:r w:rsidRPr="0083707C">
        <w:t xml:space="preserve">Entre los elementos que deben incluirse en el examen están los indicados en el Anexo a la Resolución 25 (Rev. Dubái, 2018). </w:t>
      </w:r>
    </w:p>
    <w:bookmarkEnd w:id="11"/>
    <w:p w14:paraId="3BAC746A" w14:textId="0C8839AF" w:rsidR="006C40F0" w:rsidRPr="0083707C" w:rsidRDefault="006C40F0" w:rsidP="006B652A">
      <w:r w:rsidRPr="0083707C">
        <w:t>2.2</w:t>
      </w:r>
      <w:r w:rsidRPr="0083707C">
        <w:tab/>
      </w:r>
      <w:r w:rsidR="00961BEB" w:rsidRPr="0083707C">
        <w:t xml:space="preserve">Durante su reunión de 2019, el Consejo aprobó el Acuerdo 616, </w:t>
      </w:r>
      <w:r w:rsidR="00A13264" w:rsidRPr="0083707C">
        <w:t>por el que se encarga al Secretario General que realice un examen de la presencia regional en un intento de mejorar su eficiencia y eficacia. Dicho examen se encomendó a la empresa</w:t>
      </w:r>
      <w:r w:rsidR="00961BEB" w:rsidRPr="0083707C">
        <w:t xml:space="preserve"> </w:t>
      </w:r>
      <w:r w:rsidRPr="0083707C">
        <w:rPr>
          <w:szCs w:val="24"/>
        </w:rPr>
        <w:t>PwC</w:t>
      </w:r>
      <w:r w:rsidR="00A13264" w:rsidRPr="0083707C">
        <w:rPr>
          <w:szCs w:val="24"/>
        </w:rPr>
        <w:t>, que</w:t>
      </w:r>
      <w:r w:rsidRPr="0083707C">
        <w:rPr>
          <w:szCs w:val="24"/>
        </w:rPr>
        <w:t xml:space="preserve"> comenzó a trabajar en noviembre de 2019. Su informe, presentado en julio de 2020, contiene recomendaciones para mejorar la presencia regional de la UIT y un plan de acción. El informe de PwC</w:t>
      </w:r>
      <w:r w:rsidRPr="0083707C">
        <w:t>,</w:t>
      </w:r>
      <w:r w:rsidR="00100B40" w:rsidRPr="0083707C">
        <w:t xml:space="preserve"> incluido en el</w:t>
      </w:r>
      <w:r w:rsidRPr="0083707C">
        <w:rPr>
          <w:szCs w:val="24"/>
        </w:rPr>
        <w:t xml:space="preserve"> Documento </w:t>
      </w:r>
      <w:hyperlink r:id="rId11" w:history="1">
        <w:r w:rsidRPr="0083707C">
          <w:rPr>
            <w:rStyle w:val="Hyperlink"/>
          </w:rPr>
          <w:t>C20/74</w:t>
        </w:r>
      </w:hyperlink>
      <w:r w:rsidRPr="0083707C">
        <w:t xml:space="preserve">, </w:t>
      </w:r>
      <w:r w:rsidRPr="0083707C">
        <w:rPr>
          <w:szCs w:val="24"/>
        </w:rPr>
        <w:t xml:space="preserve">se presentó </w:t>
      </w:r>
      <w:r w:rsidRPr="0083707C">
        <w:t>en noviembre de 2020 y el Consejo tomó nota de</w:t>
      </w:r>
      <w:r w:rsidR="00100B40" w:rsidRPr="0083707C">
        <w:t xml:space="preserve"> su contenido</w:t>
      </w:r>
      <w:r w:rsidRPr="0083707C">
        <w:t>. También se sometió al Consejo una nota del Grupo de Tareas Especiales de la Secretaría,</w:t>
      </w:r>
      <w:r w:rsidR="00100B40" w:rsidRPr="0083707C">
        <w:t xml:space="preserve"> </w:t>
      </w:r>
      <w:r w:rsidR="00614854" w:rsidRPr="0083707C">
        <w:t>consignad</w:t>
      </w:r>
      <w:r w:rsidR="00100B40" w:rsidRPr="0083707C">
        <w:t>a en el</w:t>
      </w:r>
      <w:r w:rsidRPr="0083707C">
        <w:t xml:space="preserve"> Documento </w:t>
      </w:r>
      <w:hyperlink r:id="rId12" w:history="1">
        <w:r w:rsidRPr="0083707C">
          <w:rPr>
            <w:rStyle w:val="Hyperlink"/>
          </w:rPr>
          <w:t>C20/75</w:t>
        </w:r>
      </w:hyperlink>
      <w:r w:rsidRPr="0083707C">
        <w:t xml:space="preserve">. Las recomendaciones de PwC se remitieron al Grupo de Trabajo del Consejo sobre Recursos Humanos y Financieros (GTC-RHF) para que oriente sobre la forma de proceder para aplicar dichas recomendaciones. El GTC-RHF remitió por su parte el informe de PwC a un </w:t>
      </w:r>
      <w:r w:rsidR="00883D28" w:rsidRPr="0083707C">
        <w:t xml:space="preserve">Grupo </w:t>
      </w:r>
      <w:r w:rsidRPr="0083707C">
        <w:t>ad hoc para que lo evaluara e informara al GTC</w:t>
      </w:r>
      <w:r w:rsidRPr="0083707C">
        <w:noBreakHyphen/>
        <w:t>RHF antes de la siguiente reunión del Consejo.</w:t>
      </w:r>
    </w:p>
    <w:p w14:paraId="43F81959" w14:textId="34D91D14" w:rsidR="006C40F0" w:rsidRPr="0083707C" w:rsidRDefault="006C40F0" w:rsidP="006B652A">
      <w:r w:rsidRPr="0083707C">
        <w:t>2.3</w:t>
      </w:r>
      <w:r w:rsidRPr="0083707C">
        <w:tab/>
      </w:r>
      <w:r w:rsidR="00883D28" w:rsidRPr="0083707C">
        <w:t>El Grupo ad hoc celebró dos reuniones (virtuales), en marzo y abril de 2021, en las que examinó en detalle las recomendaciones del informe de PwC, y varios Estados Miembros aportaron contribuciones a estas reuni</w:t>
      </w:r>
      <w:r w:rsidR="007108DF" w:rsidRPr="0083707C">
        <w:t>ones</w:t>
      </w:r>
      <w:r w:rsidR="00883D28" w:rsidRPr="0083707C">
        <w:t xml:space="preserve"> con comentarios sobre el informe. El 3 de junio de 2021, el GTC-RHF hizo suyas las conclusiones del Grupo ad hoc y la secretaría recibió el encargo de aplicar el informe en cuestión de acuerdo con dichas conclusiones.</w:t>
      </w:r>
    </w:p>
    <w:p w14:paraId="3F12986C" w14:textId="4E7DF23B" w:rsidR="006C40F0" w:rsidRPr="0083707C" w:rsidRDefault="006C40F0" w:rsidP="006B652A">
      <w:pPr>
        <w:spacing w:after="120"/>
        <w:jc w:val="both"/>
        <w:rPr>
          <w:rFonts w:cstheme="minorHAnsi"/>
          <w:b/>
          <w:bCs/>
          <w:szCs w:val="24"/>
        </w:rPr>
      </w:pPr>
      <w:r w:rsidRPr="0083707C">
        <w:t>2.4</w:t>
      </w:r>
      <w:r w:rsidRPr="0083707C">
        <w:tab/>
      </w:r>
      <w:r w:rsidR="00883D28" w:rsidRPr="0083707C">
        <w:rPr>
          <w:rFonts w:asciiTheme="minorHAnsi" w:hAnsiTheme="minorHAnsi"/>
        </w:rPr>
        <w:t xml:space="preserve">En su informe sobre la presencia regional de la UIT, PwC recomendó </w:t>
      </w:r>
      <w:r w:rsidRPr="0083707C">
        <w:rPr>
          <w:rFonts w:asciiTheme="minorHAnsi" w:hAnsiTheme="minorHAnsi"/>
          <w:color w:val="000000"/>
        </w:rPr>
        <w:t>un plan de acción para fortalecer la presencia regional de la UIT con cuatro ejes de aplicación, desglosados en quince recomendaciones y 50 medidas de apoyo.</w:t>
      </w:r>
      <w:r w:rsidR="003D3F87" w:rsidRPr="0083707C">
        <w:rPr>
          <w:rFonts w:asciiTheme="minorHAnsi" w:hAnsiTheme="minorHAnsi"/>
          <w:color w:val="000000"/>
        </w:rPr>
        <w:t xml:space="preserve"> Por su parte, l</w:t>
      </w:r>
      <w:r w:rsidRPr="0083707C">
        <w:t>a Secretaría ha elaborado un plan de trabajo en el que se prevé la plena aplicación de aquellas secciones del informe de PwC que la Secretaría está facultada para aplicar (sobre la base de las decisiones adoptadas por el Grupo ad hoc) antes de finales de 2023. El plan de trabajo propuesto se divide en tres cuadros</w:t>
      </w:r>
      <w:r w:rsidR="003D3F87" w:rsidRPr="0083707C">
        <w:t>,</w:t>
      </w:r>
      <w:r w:rsidRPr="0083707C">
        <w:t xml:space="preserve"> que clasifican 60 medidas derivadas del informe de PwC en las siguientes categorías:</w:t>
      </w:r>
    </w:p>
    <w:p w14:paraId="476E415F" w14:textId="614FD6C5" w:rsidR="006C40F0" w:rsidRPr="0083707C" w:rsidRDefault="006C40F0" w:rsidP="008E2635">
      <w:pPr>
        <w:pStyle w:val="enumlev1"/>
        <w:keepNext/>
      </w:pPr>
      <w:r w:rsidRPr="0083707C">
        <w:lastRenderedPageBreak/>
        <w:t>i)</w:t>
      </w:r>
      <w:r w:rsidRPr="0083707C">
        <w:tab/>
      </w:r>
      <w:r w:rsidR="00D44049" w:rsidRPr="0083707C">
        <w:t xml:space="preserve">medidas </w:t>
      </w:r>
      <w:r w:rsidRPr="0083707C">
        <w:t>en curso</w:t>
      </w:r>
    </w:p>
    <w:p w14:paraId="6BCEC70E" w14:textId="4CD3D536" w:rsidR="006C40F0" w:rsidRPr="0083707C" w:rsidRDefault="006C40F0" w:rsidP="003D3F87">
      <w:pPr>
        <w:pStyle w:val="enumlev1"/>
        <w:rPr>
          <w:rFonts w:asciiTheme="minorHAnsi" w:hAnsiTheme="minorHAnsi"/>
        </w:rPr>
      </w:pPr>
      <w:r w:rsidRPr="0083707C">
        <w:t>ii)</w:t>
      </w:r>
      <w:r w:rsidRPr="0083707C">
        <w:tab/>
      </w:r>
      <w:r w:rsidR="00D44049" w:rsidRPr="0083707C">
        <w:rPr>
          <w:rFonts w:asciiTheme="minorHAnsi" w:hAnsiTheme="minorHAnsi"/>
        </w:rPr>
        <w:t xml:space="preserve">recomendaciones </w:t>
      </w:r>
      <w:r w:rsidRPr="0083707C">
        <w:rPr>
          <w:rFonts w:asciiTheme="minorHAnsi" w:hAnsiTheme="minorHAnsi"/>
        </w:rPr>
        <w:t>completadas; y</w:t>
      </w:r>
    </w:p>
    <w:p w14:paraId="76B7535A" w14:textId="2CC8FCF9" w:rsidR="006C40F0" w:rsidRPr="0083707C" w:rsidRDefault="006C40F0" w:rsidP="006B652A">
      <w:pPr>
        <w:pStyle w:val="enumlev1"/>
        <w:rPr>
          <w:rFonts w:asciiTheme="minorHAnsi" w:hAnsiTheme="minorHAnsi"/>
        </w:rPr>
      </w:pPr>
      <w:r w:rsidRPr="0083707C">
        <w:rPr>
          <w:rFonts w:asciiTheme="minorHAnsi" w:hAnsiTheme="minorHAnsi"/>
        </w:rPr>
        <w:t>iii)</w:t>
      </w:r>
      <w:r w:rsidRPr="0083707C">
        <w:rPr>
          <w:rFonts w:asciiTheme="minorHAnsi" w:hAnsiTheme="minorHAnsi"/>
        </w:rPr>
        <w:tab/>
      </w:r>
      <w:r w:rsidR="00D44049" w:rsidRPr="0083707C">
        <w:rPr>
          <w:rFonts w:asciiTheme="minorHAnsi" w:hAnsiTheme="minorHAnsi"/>
        </w:rPr>
        <w:t xml:space="preserve">recomendaciones </w:t>
      </w:r>
      <w:r w:rsidRPr="0083707C">
        <w:rPr>
          <w:rFonts w:asciiTheme="minorHAnsi" w:hAnsiTheme="minorHAnsi"/>
        </w:rPr>
        <w:t>que requieren acuerdos del Consejo.</w:t>
      </w:r>
    </w:p>
    <w:p w14:paraId="4F52241F" w14:textId="2C031532" w:rsidR="003D3F87" w:rsidRPr="0083707C" w:rsidRDefault="003D3F87" w:rsidP="00867541">
      <w:pPr>
        <w:rPr>
          <w:rFonts w:eastAsia="Calibri"/>
        </w:rPr>
      </w:pPr>
      <w:r w:rsidRPr="0083707C">
        <w:rPr>
          <w:rFonts w:eastAsia="Calibri"/>
        </w:rPr>
        <w:t xml:space="preserve">El Grupo ad hoc del </w:t>
      </w:r>
      <w:r w:rsidR="00867541" w:rsidRPr="0083707C">
        <w:rPr>
          <w:rFonts w:eastAsia="Calibri"/>
        </w:rPr>
        <w:t>GTC-RHF</w:t>
      </w:r>
      <w:r w:rsidRPr="0083707C">
        <w:rPr>
          <w:rFonts w:eastAsia="Calibri"/>
        </w:rPr>
        <w:t xml:space="preserve"> sobre la presencia regional de la UIT propuso que la Secretaría </w:t>
      </w:r>
      <w:r w:rsidR="00867541" w:rsidRPr="0083707C">
        <w:rPr>
          <w:rFonts w:eastAsia="Calibri"/>
        </w:rPr>
        <w:t>creara</w:t>
      </w:r>
      <w:r w:rsidRPr="0083707C">
        <w:rPr>
          <w:rFonts w:eastAsia="Calibri"/>
        </w:rPr>
        <w:t xml:space="preserve"> y publicara en el sitio web un </w:t>
      </w:r>
      <w:r w:rsidR="00867541" w:rsidRPr="0083707C">
        <w:rPr>
          <w:rFonts w:eastAsia="Calibri"/>
        </w:rPr>
        <w:t xml:space="preserve">panel de información, que permitiera a </w:t>
      </w:r>
      <w:r w:rsidRPr="0083707C">
        <w:rPr>
          <w:rFonts w:eastAsia="Calibri"/>
        </w:rPr>
        <w:t xml:space="preserve">los miembros </w:t>
      </w:r>
      <w:r w:rsidR="00867541" w:rsidRPr="0083707C">
        <w:rPr>
          <w:rFonts w:eastAsia="Calibri"/>
        </w:rPr>
        <w:t>consultar e</w:t>
      </w:r>
      <w:r w:rsidRPr="0083707C">
        <w:rPr>
          <w:rFonts w:eastAsia="Calibri"/>
        </w:rPr>
        <w:t xml:space="preserve">l estado del plan de trabajo. El </w:t>
      </w:r>
      <w:r w:rsidR="00867541" w:rsidRPr="0083707C">
        <w:rPr>
          <w:rFonts w:eastAsia="Calibri"/>
        </w:rPr>
        <w:t>GTC-RHF</w:t>
      </w:r>
      <w:r w:rsidRPr="0083707C">
        <w:rPr>
          <w:rFonts w:eastAsia="Calibri"/>
        </w:rPr>
        <w:t xml:space="preserve"> aceptó esta recomendación en su reunión</w:t>
      </w:r>
      <w:r w:rsidR="007D560F" w:rsidRPr="0083707C">
        <w:rPr>
          <w:rFonts w:eastAsia="Calibri"/>
        </w:rPr>
        <w:t xml:space="preserve"> celebrada los días</w:t>
      </w:r>
      <w:r w:rsidRPr="0083707C">
        <w:rPr>
          <w:rFonts w:eastAsia="Calibri"/>
        </w:rPr>
        <w:t xml:space="preserve"> 25 y 26 de enero de 2021, y el Consejo adoptó la decisión del </w:t>
      </w:r>
      <w:r w:rsidR="00867541" w:rsidRPr="0083707C">
        <w:rPr>
          <w:rFonts w:eastAsia="Calibri"/>
        </w:rPr>
        <w:t>GTC-RHF</w:t>
      </w:r>
      <w:r w:rsidRPr="0083707C">
        <w:rPr>
          <w:rFonts w:eastAsia="Calibri"/>
        </w:rPr>
        <w:t xml:space="preserve"> </w:t>
      </w:r>
      <w:r w:rsidR="007D560F" w:rsidRPr="0083707C">
        <w:rPr>
          <w:rFonts w:eastAsia="Calibri"/>
        </w:rPr>
        <w:t xml:space="preserve">en su reunión </w:t>
      </w:r>
      <w:r w:rsidRPr="0083707C">
        <w:rPr>
          <w:rFonts w:eastAsia="Calibri"/>
        </w:rPr>
        <w:t>de junio de 2021.</w:t>
      </w:r>
    </w:p>
    <w:p w14:paraId="7BDACE47" w14:textId="2F423D21" w:rsidR="006C40F0" w:rsidRPr="0083707C" w:rsidRDefault="007D560F" w:rsidP="006B652A">
      <w:pPr>
        <w:rPr>
          <w:rFonts w:asciiTheme="minorHAnsi" w:hAnsiTheme="minorHAnsi" w:cstheme="minorHAnsi"/>
        </w:rPr>
      </w:pPr>
      <w:r w:rsidRPr="0083707C">
        <w:rPr>
          <w:rFonts w:eastAsia="Calibri"/>
        </w:rPr>
        <w:t>Dicho panel</w:t>
      </w:r>
      <w:r w:rsidR="003D3F87" w:rsidRPr="0083707C">
        <w:rPr>
          <w:rFonts w:eastAsia="Calibri"/>
        </w:rPr>
        <w:t xml:space="preserve"> se ha puesto a disposición de los </w:t>
      </w:r>
      <w:r w:rsidR="00D44049" w:rsidRPr="0083707C">
        <w:rPr>
          <w:rFonts w:eastAsia="Calibri"/>
        </w:rPr>
        <w:t xml:space="preserve">miembros </w:t>
      </w:r>
      <w:r w:rsidR="003D3F87" w:rsidRPr="0083707C">
        <w:rPr>
          <w:rFonts w:eastAsia="Calibri"/>
        </w:rPr>
        <w:t xml:space="preserve">a través de la </w:t>
      </w:r>
      <w:r w:rsidRPr="0083707C">
        <w:rPr>
          <w:rFonts w:eastAsia="Calibri"/>
        </w:rPr>
        <w:t>sección</w:t>
      </w:r>
      <w:r w:rsidR="003D3F87" w:rsidRPr="0083707C">
        <w:rPr>
          <w:rFonts w:eastAsia="Calibri"/>
        </w:rPr>
        <w:t xml:space="preserve"> de</w:t>
      </w:r>
      <w:r w:rsidRPr="0083707C">
        <w:rPr>
          <w:rFonts w:eastAsia="Calibri"/>
        </w:rPr>
        <w:t>dicada a la</w:t>
      </w:r>
      <w:r w:rsidR="003D3F87" w:rsidRPr="0083707C">
        <w:rPr>
          <w:rFonts w:eastAsia="Calibri"/>
        </w:rPr>
        <w:t xml:space="preserve"> presencia regional de la</w:t>
      </w:r>
      <w:r w:rsidRPr="0083707C">
        <w:rPr>
          <w:rFonts w:eastAsia="Calibri"/>
        </w:rPr>
        <w:t xml:space="preserve"> página</w:t>
      </w:r>
      <w:r w:rsidR="009F069C" w:rsidRPr="0083707C">
        <w:rPr>
          <w:rFonts w:eastAsia="Calibri"/>
        </w:rPr>
        <w:t xml:space="preserve"> de</w:t>
      </w:r>
      <w:r w:rsidR="003D3F87" w:rsidRPr="0083707C">
        <w:rPr>
          <w:rFonts w:eastAsia="Calibri"/>
        </w:rPr>
        <w:t>l Consejo</w:t>
      </w:r>
      <w:r w:rsidR="009F069C" w:rsidRPr="0083707C">
        <w:rPr>
          <w:rFonts w:eastAsia="Calibri"/>
        </w:rPr>
        <w:t xml:space="preserve">, a la que puede accederse desde </w:t>
      </w:r>
      <w:r w:rsidR="003D3F87" w:rsidRPr="0083707C">
        <w:rPr>
          <w:rFonts w:eastAsia="Calibri"/>
        </w:rPr>
        <w:t>el sitio web de la UIT:</w:t>
      </w:r>
      <w:r w:rsidRPr="0083707C">
        <w:rPr>
          <w:rFonts w:eastAsia="Calibri"/>
        </w:rPr>
        <w:t xml:space="preserve"> </w:t>
      </w:r>
      <w:hyperlink r:id="rId13">
        <w:r w:rsidR="006C40F0" w:rsidRPr="0083707C">
          <w:rPr>
            <w:rStyle w:val="Hyperlink"/>
            <w:rFonts w:eastAsia="Calibri" w:cs="Calibri"/>
            <w:szCs w:val="24"/>
          </w:rPr>
          <w:t>https://www.itu.int/en/council/ties/Pages/regional-presence-dashboard.aspx</w:t>
        </w:r>
      </w:hyperlink>
      <w:r w:rsidR="00D44049" w:rsidRPr="0083707C">
        <w:rPr>
          <w:rStyle w:val="Hyperlink"/>
          <w:rFonts w:eastAsia="Calibri" w:cs="Calibri"/>
          <w:szCs w:val="24"/>
          <w:u w:val="none"/>
        </w:rPr>
        <w:t>.</w:t>
      </w:r>
    </w:p>
    <w:p w14:paraId="61FAE4C4" w14:textId="6B9B313C" w:rsidR="006C40F0" w:rsidRPr="0083707C" w:rsidRDefault="006C40F0" w:rsidP="006C40F0">
      <w:pPr>
        <w:pStyle w:val="Heading1"/>
      </w:pPr>
      <w:r w:rsidRPr="0083707C">
        <w:t>3</w:t>
      </w:r>
      <w:r w:rsidRPr="0083707C">
        <w:tab/>
      </w:r>
      <w:r w:rsidR="007D560F" w:rsidRPr="0083707C">
        <w:t>Encuesta de satisfacción de los Estados Miembros</w:t>
      </w:r>
    </w:p>
    <w:p w14:paraId="7127205F" w14:textId="6D28E90A" w:rsidR="006C40F0" w:rsidRPr="0083707C" w:rsidRDefault="006C40F0" w:rsidP="006C40F0">
      <w:pPr>
        <w:keepNext/>
        <w:keepLines/>
      </w:pPr>
      <w:r w:rsidRPr="0083707C">
        <w:t>3.1</w:t>
      </w:r>
      <w:r w:rsidRPr="0083707C">
        <w:tab/>
        <w:t>En la Resolución 25</w:t>
      </w:r>
      <w:r w:rsidR="007D560F" w:rsidRPr="0083707C">
        <w:t>,</w:t>
      </w:r>
      <w:r w:rsidRPr="0083707C">
        <w:t xml:space="preserve"> se </w:t>
      </w:r>
      <w:r w:rsidR="009F069C" w:rsidRPr="0083707C">
        <w:t>aboga por la organización de</w:t>
      </w:r>
      <w:r w:rsidRPr="0083707C">
        <w:t xml:space="preserve"> una encuesta cuadrienal acerca </w:t>
      </w:r>
      <w:r w:rsidR="00F71C5C" w:rsidRPr="0083707C">
        <w:t>"</w:t>
      </w:r>
      <w:r w:rsidRPr="0083707C">
        <w:t>del nivel de satisfacción de los Estados Miembros, los Miembros de Sector y las organizaciones regionales de telecomunicaciones en lo tocante a la presencia regional de la UIT</w:t>
      </w:r>
      <w:r w:rsidR="00F71C5C" w:rsidRPr="0083707C">
        <w:t>"</w:t>
      </w:r>
      <w:r w:rsidRPr="0083707C">
        <w:t>.</w:t>
      </w:r>
    </w:p>
    <w:p w14:paraId="0511CF4E" w14:textId="3FD02618" w:rsidR="006C40F0" w:rsidRPr="0083707C" w:rsidRDefault="006C40F0" w:rsidP="006C40F0">
      <w:r w:rsidRPr="0083707C">
        <w:t>3.2</w:t>
      </w:r>
      <w:r w:rsidRPr="0083707C">
        <w:tab/>
      </w:r>
      <w:r w:rsidR="007D560F" w:rsidRPr="0083707C">
        <w:t xml:space="preserve">La encuesta se puso en marcha en noviembre de 2021 y los resultados se </w:t>
      </w:r>
      <w:r w:rsidR="007108DF" w:rsidRPr="0083707C">
        <w:t>someterán</w:t>
      </w:r>
      <w:r w:rsidR="007D560F" w:rsidRPr="0083707C">
        <w:t xml:space="preserve"> al Consejo en 2022.</w:t>
      </w:r>
    </w:p>
    <w:p w14:paraId="146E6EE2" w14:textId="59F0524D" w:rsidR="006C40F0" w:rsidRPr="0083707C" w:rsidRDefault="006C40F0" w:rsidP="006C40F0">
      <w:pPr>
        <w:pStyle w:val="Heading1"/>
      </w:pPr>
      <w:r w:rsidRPr="0083707C">
        <w:t>4</w:t>
      </w:r>
      <w:r w:rsidRPr="0083707C">
        <w:tab/>
        <w:t>Creación de una Oficina Zona</w:t>
      </w:r>
      <w:r w:rsidR="00444C1A" w:rsidRPr="0083707C">
        <w:t>l</w:t>
      </w:r>
      <w:r w:rsidRPr="0083707C">
        <w:t xml:space="preserve"> de la UIT para Asia meridional</w:t>
      </w:r>
    </w:p>
    <w:p w14:paraId="6BA08A0C" w14:textId="3D0811EC" w:rsidR="006C40F0" w:rsidRPr="0083707C" w:rsidRDefault="006C40F0" w:rsidP="00CD72DA">
      <w:r w:rsidRPr="0083707C">
        <w:t>4.1</w:t>
      </w:r>
      <w:r w:rsidRPr="0083707C">
        <w:tab/>
      </w:r>
      <w:r w:rsidR="00CD72DA" w:rsidRPr="0083707C">
        <w:t xml:space="preserve">El acuerdo con el país anfitrión relativo a la apertura de </w:t>
      </w:r>
      <w:r w:rsidR="009F069C" w:rsidRPr="0083707C">
        <w:t>un</w:t>
      </w:r>
      <w:r w:rsidR="00CD72DA" w:rsidRPr="0083707C">
        <w:t xml:space="preserve">a Oficina Zonal de la UIT en Nueva Delhi (India) se concluyó durante el verano de 2021. El acuerdo se presentará en una reunión del </w:t>
      </w:r>
      <w:r w:rsidR="00D44049" w:rsidRPr="0083707C">
        <w:t xml:space="preserve">gabinete </w:t>
      </w:r>
      <w:r w:rsidR="009F069C" w:rsidRPr="0083707C">
        <w:t xml:space="preserve">competente </w:t>
      </w:r>
      <w:r w:rsidR="00CD72DA" w:rsidRPr="0083707C">
        <w:t>a efectos de su aprobación en la India</w:t>
      </w:r>
      <w:r w:rsidRPr="0083707C">
        <w:t>.</w:t>
      </w:r>
    </w:p>
    <w:p w14:paraId="08DCE62C" w14:textId="12C1B974" w:rsidR="006C40F0" w:rsidRPr="0083707C" w:rsidRDefault="006C40F0" w:rsidP="006C40F0">
      <w:pPr>
        <w:pStyle w:val="Heading1"/>
      </w:pPr>
      <w:r w:rsidRPr="0083707C">
        <w:t>5</w:t>
      </w:r>
      <w:r w:rsidRPr="0083707C">
        <w:tab/>
      </w:r>
      <w:bookmarkStart w:id="12" w:name="lt_pId085"/>
      <w:r w:rsidRPr="0083707C">
        <w:t>Logros a escala regional durante 2021 (Plan Operacional, iniciativas regionales y proyectos)</w:t>
      </w:r>
      <w:bookmarkEnd w:id="12"/>
    </w:p>
    <w:p w14:paraId="1D76EA8C" w14:textId="2A26D83C" w:rsidR="006C40F0" w:rsidRPr="0083707C" w:rsidRDefault="006C40F0" w:rsidP="008C7A8C">
      <w:r w:rsidRPr="0083707C">
        <w:t>5.1</w:t>
      </w:r>
      <w:r w:rsidRPr="0083707C">
        <w:tab/>
        <w:t xml:space="preserve">La implementación de las </w:t>
      </w:r>
      <w:r w:rsidR="00D44049" w:rsidRPr="0083707C">
        <w:t xml:space="preserve">iniciativas regionales </w:t>
      </w:r>
      <w:r w:rsidRPr="0083707C">
        <w:t>y la ejecución de los programas, proyectos y actividades se realiza sobre el terreno bajo los auspicios de las Oficinas Regionales y Zona</w:t>
      </w:r>
      <w:r w:rsidR="00444C1A" w:rsidRPr="0083707C">
        <w:t>les</w:t>
      </w:r>
      <w:r w:rsidRPr="0083707C">
        <w:t xml:space="preserve">. Se informa al GADT y al Consejo de los principales resultados. </w:t>
      </w:r>
    </w:p>
    <w:p w14:paraId="29E84F8E" w14:textId="4D678DBF" w:rsidR="00445150" w:rsidRPr="0083707C" w:rsidRDefault="006C40F0" w:rsidP="008E2635">
      <w:r w:rsidRPr="0083707C">
        <w:t>5.2</w:t>
      </w:r>
      <w:r w:rsidRPr="0083707C">
        <w:tab/>
      </w:r>
      <w:r w:rsidR="00445150" w:rsidRPr="0083707C">
        <w:t xml:space="preserve">En 2021, dada la necesidad de digitalizar la prestación de servicios y productos para </w:t>
      </w:r>
      <w:r w:rsidR="00ED78E5" w:rsidRPr="0083707C">
        <w:t xml:space="preserve">proseguir las actividades, a causa de la </w:t>
      </w:r>
      <w:r w:rsidR="00445150" w:rsidRPr="0083707C">
        <w:t>COVID, la BDT consolidó gran parte de su oferta en</w:t>
      </w:r>
      <w:r w:rsidR="00ED78E5" w:rsidRPr="0083707C">
        <w:t xml:space="preserve"> un número menor de iniciativas </w:t>
      </w:r>
      <w:r w:rsidR="00445150" w:rsidRPr="0083707C">
        <w:t>globales de</w:t>
      </w:r>
      <w:r w:rsidR="00ED78E5" w:rsidRPr="0083707C">
        <w:t xml:space="preserve"> envergadura, capaces de aportar </w:t>
      </w:r>
      <w:r w:rsidR="00445150" w:rsidRPr="0083707C">
        <w:t>benefici</w:t>
      </w:r>
      <w:r w:rsidR="00ED78E5" w:rsidRPr="0083707C">
        <w:t>os</w:t>
      </w:r>
      <w:r w:rsidR="00445150" w:rsidRPr="0083707C">
        <w:t xml:space="preserve"> a múltiples regiones (</w:t>
      </w:r>
      <w:r w:rsidR="008C7A8C" w:rsidRPr="0083707C">
        <w:t>véase</w:t>
      </w:r>
      <w:r w:rsidR="00445150" w:rsidRPr="0083707C">
        <w:t xml:space="preserve"> el Cuadro 1)</w:t>
      </w:r>
      <w:r w:rsidR="00ED78E5" w:rsidRPr="0083707C">
        <w:rPr>
          <w:rStyle w:val="FootnoteReference"/>
          <w:sz w:val="20"/>
        </w:rPr>
        <w:footnoteReference w:id="1"/>
      </w:r>
      <w:r w:rsidR="00445150" w:rsidRPr="0083707C">
        <w:t xml:space="preserve">. </w:t>
      </w:r>
      <w:r w:rsidR="00ED78E5" w:rsidRPr="0083707C">
        <w:t>El nivel de ejecución de proyectos se elevó a </w:t>
      </w:r>
      <w:r w:rsidR="00445150" w:rsidRPr="0083707C">
        <w:t xml:space="preserve">5,1 millones USD para un </w:t>
      </w:r>
      <w:r w:rsidR="00ED78E5" w:rsidRPr="0083707C">
        <w:t>total</w:t>
      </w:r>
      <w:r w:rsidR="00445150" w:rsidRPr="0083707C">
        <w:t xml:space="preserve"> de 91 proyectos</w:t>
      </w:r>
      <w:r w:rsidR="008C7A8C" w:rsidRPr="0083707C">
        <w:t>, para los que se</w:t>
      </w:r>
      <w:r w:rsidR="00445150" w:rsidRPr="0083707C">
        <w:t xml:space="preserve"> habían</w:t>
      </w:r>
      <w:r w:rsidR="008C7A8C" w:rsidRPr="0083707C">
        <w:t xml:space="preserve"> ido</w:t>
      </w:r>
      <w:r w:rsidR="00445150" w:rsidRPr="0083707C">
        <w:t xml:space="preserve"> desembolsado fondos a lo largo de 2021 (</w:t>
      </w:r>
      <w:r w:rsidR="008C7A8C" w:rsidRPr="0083707C">
        <w:t xml:space="preserve">véase el </w:t>
      </w:r>
      <w:r w:rsidR="00445150" w:rsidRPr="0083707C">
        <w:t>Cuadro 2).</w:t>
      </w:r>
    </w:p>
    <w:p w14:paraId="7A71B797" w14:textId="6E905D9D" w:rsidR="006C40F0" w:rsidRPr="0083707C" w:rsidRDefault="006C40F0" w:rsidP="008C7A8C">
      <w:pPr>
        <w:pStyle w:val="Tabletitle"/>
        <w:spacing w:before="480" w:after="0"/>
      </w:pPr>
      <w:bookmarkStart w:id="13" w:name="_Hlk70931697"/>
      <w:r w:rsidRPr="0083707C">
        <w:lastRenderedPageBreak/>
        <w:t xml:space="preserve">Cuadro 1 – Ejecución del Plan Operacional de la BDT en </w:t>
      </w:r>
      <w:r w:rsidR="00B81B32" w:rsidRPr="0083707C">
        <w:t>2021</w:t>
      </w:r>
    </w:p>
    <w:p w14:paraId="779D1935" w14:textId="77777777" w:rsidR="006C40F0" w:rsidRPr="0083707C" w:rsidRDefault="006C40F0" w:rsidP="006C40F0">
      <w:pPr>
        <w:keepNext/>
        <w:keepLines/>
        <w:tabs>
          <w:tab w:val="clear" w:pos="567"/>
          <w:tab w:val="clear" w:pos="1134"/>
          <w:tab w:val="clear" w:pos="1701"/>
          <w:tab w:val="clear" w:pos="2268"/>
          <w:tab w:val="clear" w:pos="2835"/>
        </w:tabs>
        <w:spacing w:before="0" w:after="120"/>
        <w:jc w:val="center"/>
        <w:rPr>
          <w:i/>
          <w:iCs/>
        </w:rPr>
      </w:pPr>
      <w:r w:rsidRPr="0083707C">
        <w:rPr>
          <w:i/>
          <w:iCs/>
        </w:rPr>
        <w:t>(en miles de francos suizos (CHF))</w:t>
      </w:r>
    </w:p>
    <w:tbl>
      <w:tblPr>
        <w:tblStyle w:val="TableGrid"/>
        <w:tblW w:w="0" w:type="auto"/>
        <w:tblInd w:w="-75" w:type="dxa"/>
        <w:tblLook w:val="04A0" w:firstRow="1" w:lastRow="0" w:firstColumn="1" w:lastColumn="0" w:noHBand="0" w:noVBand="1"/>
      </w:tblPr>
      <w:tblGrid>
        <w:gridCol w:w="1278"/>
        <w:gridCol w:w="1203"/>
        <w:gridCol w:w="1203"/>
        <w:gridCol w:w="1204"/>
        <w:gridCol w:w="1204"/>
        <w:gridCol w:w="1204"/>
        <w:gridCol w:w="1204"/>
        <w:gridCol w:w="1204"/>
      </w:tblGrid>
      <w:tr w:rsidR="00157469" w:rsidRPr="0083707C" w14:paraId="17AD06B0" w14:textId="77777777" w:rsidTr="00955485">
        <w:tc>
          <w:tcPr>
            <w:tcW w:w="1278" w:type="dxa"/>
            <w:shd w:val="clear" w:color="auto" w:fill="C6D9F1" w:themeFill="text2" w:themeFillTint="33"/>
            <w:vAlign w:val="center"/>
          </w:tcPr>
          <w:bookmarkEnd w:id="13"/>
          <w:p w14:paraId="7C01EFF1" w14:textId="41CC66C6" w:rsidR="00157469" w:rsidRPr="0083707C" w:rsidRDefault="00157469" w:rsidP="00955485">
            <w:pPr>
              <w:pStyle w:val="Tabletext"/>
              <w:jc w:val="center"/>
            </w:pPr>
            <w:r w:rsidRPr="0083707C">
              <w:t>Objetivo</w:t>
            </w:r>
          </w:p>
        </w:tc>
        <w:tc>
          <w:tcPr>
            <w:tcW w:w="1203" w:type="dxa"/>
            <w:shd w:val="clear" w:color="auto" w:fill="C6D9F1" w:themeFill="text2" w:themeFillTint="33"/>
            <w:vAlign w:val="center"/>
          </w:tcPr>
          <w:p w14:paraId="715EF53F" w14:textId="0F93CED8" w:rsidR="00157469" w:rsidRPr="0083707C" w:rsidRDefault="00157469" w:rsidP="00955485">
            <w:pPr>
              <w:pStyle w:val="Tabletext"/>
              <w:jc w:val="center"/>
            </w:pPr>
            <w:r w:rsidRPr="0083707C">
              <w:t>Nivel de ejecución CHF (000)</w:t>
            </w:r>
          </w:p>
        </w:tc>
        <w:tc>
          <w:tcPr>
            <w:tcW w:w="1203" w:type="dxa"/>
            <w:shd w:val="clear" w:color="auto" w:fill="C6D9F1" w:themeFill="text2" w:themeFillTint="33"/>
            <w:vAlign w:val="center"/>
          </w:tcPr>
          <w:p w14:paraId="62F36619" w14:textId="56EA0247" w:rsidR="00157469" w:rsidRPr="0083707C" w:rsidRDefault="00157469" w:rsidP="00955485">
            <w:pPr>
              <w:pStyle w:val="Tabletext"/>
              <w:jc w:val="center"/>
            </w:pPr>
            <w:r w:rsidRPr="0083707C">
              <w:t>Iniciativas en África</w:t>
            </w:r>
          </w:p>
        </w:tc>
        <w:tc>
          <w:tcPr>
            <w:tcW w:w="1204" w:type="dxa"/>
            <w:shd w:val="clear" w:color="auto" w:fill="C6D9F1" w:themeFill="text2" w:themeFillTint="33"/>
            <w:vAlign w:val="center"/>
          </w:tcPr>
          <w:p w14:paraId="2EA0C2CC" w14:textId="71DAA773" w:rsidR="00157469" w:rsidRPr="0083707C" w:rsidRDefault="00157469" w:rsidP="00955485">
            <w:pPr>
              <w:pStyle w:val="Tabletext"/>
              <w:jc w:val="center"/>
            </w:pPr>
            <w:r w:rsidRPr="0083707C">
              <w:t>Iniciativas en las Américas</w:t>
            </w:r>
          </w:p>
        </w:tc>
        <w:tc>
          <w:tcPr>
            <w:tcW w:w="1204" w:type="dxa"/>
            <w:shd w:val="clear" w:color="auto" w:fill="C6D9F1" w:themeFill="text2" w:themeFillTint="33"/>
            <w:vAlign w:val="center"/>
          </w:tcPr>
          <w:p w14:paraId="685DCD4B" w14:textId="172A973B" w:rsidR="00157469" w:rsidRPr="0083707C" w:rsidRDefault="00157469" w:rsidP="00955485">
            <w:pPr>
              <w:pStyle w:val="Tabletext"/>
              <w:jc w:val="center"/>
            </w:pPr>
            <w:r w:rsidRPr="0083707C">
              <w:t>Iniciativas en los Estados Árabes</w:t>
            </w:r>
          </w:p>
        </w:tc>
        <w:tc>
          <w:tcPr>
            <w:tcW w:w="1204" w:type="dxa"/>
            <w:shd w:val="clear" w:color="auto" w:fill="C6D9F1" w:themeFill="text2" w:themeFillTint="33"/>
            <w:vAlign w:val="center"/>
          </w:tcPr>
          <w:p w14:paraId="7199B77F" w14:textId="2A9BCC40" w:rsidR="00157469" w:rsidRPr="0083707C" w:rsidRDefault="00157469" w:rsidP="00955485">
            <w:pPr>
              <w:pStyle w:val="Tabletext"/>
              <w:jc w:val="center"/>
            </w:pPr>
            <w:r w:rsidRPr="0083707C">
              <w:t>Iniciativas en Asia-Pacífico</w:t>
            </w:r>
          </w:p>
        </w:tc>
        <w:tc>
          <w:tcPr>
            <w:tcW w:w="1204" w:type="dxa"/>
            <w:shd w:val="clear" w:color="auto" w:fill="C6D9F1" w:themeFill="text2" w:themeFillTint="33"/>
            <w:vAlign w:val="center"/>
          </w:tcPr>
          <w:p w14:paraId="312169A4" w14:textId="31682177" w:rsidR="00157469" w:rsidRPr="0083707C" w:rsidRDefault="00157469" w:rsidP="00955485">
            <w:pPr>
              <w:pStyle w:val="Tabletext"/>
              <w:jc w:val="center"/>
            </w:pPr>
            <w:r w:rsidRPr="0083707C">
              <w:t>Iniciativas en la CEI</w:t>
            </w:r>
          </w:p>
        </w:tc>
        <w:tc>
          <w:tcPr>
            <w:tcW w:w="1204" w:type="dxa"/>
            <w:shd w:val="clear" w:color="auto" w:fill="C6D9F1" w:themeFill="text2" w:themeFillTint="33"/>
            <w:vAlign w:val="center"/>
          </w:tcPr>
          <w:p w14:paraId="69DE7EA2" w14:textId="75024DC0" w:rsidR="00157469" w:rsidRPr="0083707C" w:rsidRDefault="00157469" w:rsidP="00955485">
            <w:pPr>
              <w:pStyle w:val="Tabletext"/>
              <w:jc w:val="center"/>
            </w:pPr>
            <w:r w:rsidRPr="0083707C">
              <w:t>Iniciativas en Europa</w:t>
            </w:r>
          </w:p>
        </w:tc>
      </w:tr>
      <w:tr w:rsidR="00157469" w:rsidRPr="0083707C" w14:paraId="0D7D201B" w14:textId="77777777" w:rsidTr="00D44049">
        <w:tc>
          <w:tcPr>
            <w:tcW w:w="1278" w:type="dxa"/>
            <w:tcBorders>
              <w:bottom w:val="nil"/>
            </w:tcBorders>
          </w:tcPr>
          <w:p w14:paraId="63E64EC0" w14:textId="79A4652B" w:rsidR="00157469" w:rsidRPr="0083707C" w:rsidRDefault="00157469" w:rsidP="008E2635">
            <w:pPr>
              <w:pStyle w:val="Tabletext"/>
            </w:pPr>
            <w:r w:rsidRPr="0083707C">
              <w:t>Objetivo 1</w:t>
            </w:r>
            <w:r w:rsidR="00D44049" w:rsidRPr="0083707C">
              <w:t>*</w:t>
            </w:r>
          </w:p>
        </w:tc>
        <w:tc>
          <w:tcPr>
            <w:tcW w:w="1203" w:type="dxa"/>
            <w:tcBorders>
              <w:bottom w:val="nil"/>
            </w:tcBorders>
            <w:vAlign w:val="center"/>
          </w:tcPr>
          <w:p w14:paraId="1567FA2A" w14:textId="2D894544" w:rsidR="00157469" w:rsidRPr="0083707C" w:rsidRDefault="008E2635" w:rsidP="008E2635">
            <w:pPr>
              <w:pStyle w:val="Tabletext"/>
              <w:jc w:val="right"/>
            </w:pPr>
            <w:r w:rsidRPr="0083707C">
              <w:t>972</w:t>
            </w:r>
          </w:p>
        </w:tc>
        <w:tc>
          <w:tcPr>
            <w:tcW w:w="1203" w:type="dxa"/>
            <w:tcBorders>
              <w:bottom w:val="nil"/>
            </w:tcBorders>
            <w:vAlign w:val="center"/>
          </w:tcPr>
          <w:p w14:paraId="50F4CBA3" w14:textId="5302876C" w:rsidR="00157469" w:rsidRPr="0083707C" w:rsidRDefault="008E2635" w:rsidP="008E2635">
            <w:pPr>
              <w:pStyle w:val="Tabletext"/>
              <w:jc w:val="right"/>
            </w:pPr>
            <w:r w:rsidRPr="0083707C">
              <w:t>1</w:t>
            </w:r>
          </w:p>
        </w:tc>
        <w:tc>
          <w:tcPr>
            <w:tcW w:w="1204" w:type="dxa"/>
            <w:tcBorders>
              <w:bottom w:val="nil"/>
            </w:tcBorders>
            <w:vAlign w:val="center"/>
          </w:tcPr>
          <w:p w14:paraId="5A3516C3" w14:textId="231216C6" w:rsidR="00157469" w:rsidRPr="0083707C" w:rsidRDefault="008E2635" w:rsidP="008E2635">
            <w:pPr>
              <w:pStyle w:val="Tabletext"/>
              <w:jc w:val="right"/>
            </w:pPr>
            <w:r w:rsidRPr="0083707C">
              <w:t>1</w:t>
            </w:r>
          </w:p>
        </w:tc>
        <w:tc>
          <w:tcPr>
            <w:tcW w:w="1204" w:type="dxa"/>
            <w:tcBorders>
              <w:bottom w:val="nil"/>
            </w:tcBorders>
            <w:vAlign w:val="center"/>
          </w:tcPr>
          <w:p w14:paraId="41B71BEB" w14:textId="080069EC" w:rsidR="00157469" w:rsidRPr="0083707C" w:rsidRDefault="008E2635" w:rsidP="008E2635">
            <w:pPr>
              <w:pStyle w:val="Tabletext"/>
              <w:jc w:val="right"/>
            </w:pPr>
            <w:r w:rsidRPr="0083707C">
              <w:t>1</w:t>
            </w:r>
          </w:p>
        </w:tc>
        <w:tc>
          <w:tcPr>
            <w:tcW w:w="1204" w:type="dxa"/>
            <w:tcBorders>
              <w:bottom w:val="nil"/>
            </w:tcBorders>
            <w:vAlign w:val="center"/>
          </w:tcPr>
          <w:p w14:paraId="28B6E17C" w14:textId="12EC3ADC" w:rsidR="00157469" w:rsidRPr="0083707C" w:rsidRDefault="008E2635" w:rsidP="008E2635">
            <w:pPr>
              <w:pStyle w:val="Tabletext"/>
              <w:jc w:val="right"/>
            </w:pPr>
            <w:r w:rsidRPr="0083707C">
              <w:t>1</w:t>
            </w:r>
          </w:p>
        </w:tc>
        <w:tc>
          <w:tcPr>
            <w:tcW w:w="1204" w:type="dxa"/>
            <w:tcBorders>
              <w:bottom w:val="nil"/>
            </w:tcBorders>
            <w:vAlign w:val="center"/>
          </w:tcPr>
          <w:p w14:paraId="0AF52718" w14:textId="4221E73A" w:rsidR="00157469" w:rsidRPr="0083707C" w:rsidRDefault="008E2635" w:rsidP="008E2635">
            <w:pPr>
              <w:pStyle w:val="Tabletext"/>
              <w:jc w:val="right"/>
            </w:pPr>
            <w:r w:rsidRPr="0083707C">
              <w:t>2</w:t>
            </w:r>
          </w:p>
        </w:tc>
        <w:tc>
          <w:tcPr>
            <w:tcW w:w="1204" w:type="dxa"/>
            <w:tcBorders>
              <w:bottom w:val="nil"/>
            </w:tcBorders>
            <w:vAlign w:val="center"/>
          </w:tcPr>
          <w:p w14:paraId="79E97D69" w14:textId="29B073AA" w:rsidR="00157469" w:rsidRPr="0083707C" w:rsidRDefault="008E2635" w:rsidP="008E2635">
            <w:pPr>
              <w:pStyle w:val="Tabletext"/>
              <w:jc w:val="right"/>
            </w:pPr>
            <w:r w:rsidRPr="0083707C">
              <w:t>1</w:t>
            </w:r>
          </w:p>
        </w:tc>
      </w:tr>
      <w:tr w:rsidR="00157469" w:rsidRPr="0083707C" w14:paraId="4B3C65CD" w14:textId="77777777" w:rsidTr="00D44049">
        <w:tc>
          <w:tcPr>
            <w:tcW w:w="1278" w:type="dxa"/>
            <w:tcBorders>
              <w:top w:val="nil"/>
              <w:bottom w:val="nil"/>
            </w:tcBorders>
          </w:tcPr>
          <w:p w14:paraId="14456222" w14:textId="6DA5FB01" w:rsidR="00157469" w:rsidRPr="0083707C" w:rsidRDefault="00157469" w:rsidP="008E2635">
            <w:pPr>
              <w:pStyle w:val="Tabletext"/>
            </w:pPr>
            <w:r w:rsidRPr="0083707C">
              <w:t>Objetivo 2</w:t>
            </w:r>
          </w:p>
        </w:tc>
        <w:tc>
          <w:tcPr>
            <w:tcW w:w="1203" w:type="dxa"/>
            <w:tcBorders>
              <w:top w:val="nil"/>
              <w:bottom w:val="nil"/>
            </w:tcBorders>
            <w:vAlign w:val="center"/>
          </w:tcPr>
          <w:p w14:paraId="44D28047" w14:textId="528AE762" w:rsidR="00157469" w:rsidRPr="0083707C" w:rsidRDefault="008E2635" w:rsidP="008E2635">
            <w:pPr>
              <w:pStyle w:val="Tabletext"/>
              <w:jc w:val="right"/>
            </w:pPr>
            <w:r w:rsidRPr="0083707C">
              <w:t>879</w:t>
            </w:r>
          </w:p>
        </w:tc>
        <w:tc>
          <w:tcPr>
            <w:tcW w:w="1203" w:type="dxa"/>
            <w:tcBorders>
              <w:top w:val="nil"/>
              <w:bottom w:val="nil"/>
            </w:tcBorders>
            <w:vAlign w:val="center"/>
          </w:tcPr>
          <w:p w14:paraId="5A8FFA09" w14:textId="35DB8C6B" w:rsidR="00157469" w:rsidRPr="0083707C" w:rsidRDefault="008E2635" w:rsidP="008E2635">
            <w:pPr>
              <w:pStyle w:val="Tabletext"/>
              <w:jc w:val="right"/>
            </w:pPr>
            <w:r w:rsidRPr="0083707C">
              <w:t>9</w:t>
            </w:r>
          </w:p>
        </w:tc>
        <w:tc>
          <w:tcPr>
            <w:tcW w:w="1204" w:type="dxa"/>
            <w:tcBorders>
              <w:top w:val="nil"/>
              <w:bottom w:val="nil"/>
            </w:tcBorders>
            <w:vAlign w:val="center"/>
          </w:tcPr>
          <w:p w14:paraId="607807BB" w14:textId="3AF60AB1" w:rsidR="00157469" w:rsidRPr="0083707C" w:rsidRDefault="008E2635" w:rsidP="008E2635">
            <w:pPr>
              <w:pStyle w:val="Tabletext"/>
              <w:jc w:val="right"/>
            </w:pPr>
            <w:r w:rsidRPr="0083707C">
              <w:t>7</w:t>
            </w:r>
          </w:p>
        </w:tc>
        <w:tc>
          <w:tcPr>
            <w:tcW w:w="1204" w:type="dxa"/>
            <w:tcBorders>
              <w:top w:val="nil"/>
              <w:bottom w:val="nil"/>
            </w:tcBorders>
            <w:vAlign w:val="center"/>
          </w:tcPr>
          <w:p w14:paraId="77CD7050" w14:textId="6F7E6281" w:rsidR="00157469" w:rsidRPr="0083707C" w:rsidRDefault="008E2635" w:rsidP="008E2635">
            <w:pPr>
              <w:pStyle w:val="Tabletext"/>
              <w:jc w:val="right"/>
            </w:pPr>
            <w:r w:rsidRPr="0083707C">
              <w:t>6</w:t>
            </w:r>
          </w:p>
        </w:tc>
        <w:tc>
          <w:tcPr>
            <w:tcW w:w="1204" w:type="dxa"/>
            <w:tcBorders>
              <w:top w:val="nil"/>
              <w:bottom w:val="nil"/>
            </w:tcBorders>
            <w:vAlign w:val="center"/>
          </w:tcPr>
          <w:p w14:paraId="1F5AB609" w14:textId="5E95E001" w:rsidR="00157469" w:rsidRPr="0083707C" w:rsidRDefault="008E2635" w:rsidP="008E2635">
            <w:pPr>
              <w:pStyle w:val="Tabletext"/>
              <w:jc w:val="right"/>
            </w:pPr>
            <w:r w:rsidRPr="0083707C">
              <w:t>5</w:t>
            </w:r>
          </w:p>
        </w:tc>
        <w:tc>
          <w:tcPr>
            <w:tcW w:w="1204" w:type="dxa"/>
            <w:tcBorders>
              <w:top w:val="nil"/>
              <w:bottom w:val="nil"/>
            </w:tcBorders>
            <w:vAlign w:val="center"/>
          </w:tcPr>
          <w:p w14:paraId="76062C3E" w14:textId="64188E3F" w:rsidR="00157469" w:rsidRPr="0083707C" w:rsidRDefault="008E2635" w:rsidP="008E2635">
            <w:pPr>
              <w:pStyle w:val="Tabletext"/>
              <w:jc w:val="right"/>
            </w:pPr>
            <w:r w:rsidRPr="0083707C">
              <w:t>8</w:t>
            </w:r>
          </w:p>
        </w:tc>
        <w:tc>
          <w:tcPr>
            <w:tcW w:w="1204" w:type="dxa"/>
            <w:tcBorders>
              <w:top w:val="nil"/>
              <w:bottom w:val="nil"/>
            </w:tcBorders>
            <w:vAlign w:val="center"/>
          </w:tcPr>
          <w:p w14:paraId="65DC3078" w14:textId="71520132" w:rsidR="00157469" w:rsidRPr="0083707C" w:rsidRDefault="008E2635" w:rsidP="008E2635">
            <w:pPr>
              <w:pStyle w:val="Tabletext"/>
              <w:jc w:val="right"/>
            </w:pPr>
            <w:r w:rsidRPr="0083707C">
              <w:t>5</w:t>
            </w:r>
          </w:p>
        </w:tc>
      </w:tr>
      <w:tr w:rsidR="00157469" w:rsidRPr="0083707C" w14:paraId="7CB43140" w14:textId="77777777" w:rsidTr="00D44049">
        <w:tc>
          <w:tcPr>
            <w:tcW w:w="1278" w:type="dxa"/>
            <w:tcBorders>
              <w:top w:val="nil"/>
              <w:bottom w:val="nil"/>
            </w:tcBorders>
          </w:tcPr>
          <w:p w14:paraId="671A4D20" w14:textId="490ECEC5" w:rsidR="00157469" w:rsidRPr="0083707C" w:rsidRDefault="00157469" w:rsidP="008E2635">
            <w:pPr>
              <w:pStyle w:val="Tabletext"/>
            </w:pPr>
            <w:r w:rsidRPr="0083707C">
              <w:t>Objetivo 3</w:t>
            </w:r>
          </w:p>
        </w:tc>
        <w:tc>
          <w:tcPr>
            <w:tcW w:w="1203" w:type="dxa"/>
            <w:tcBorders>
              <w:top w:val="nil"/>
              <w:bottom w:val="nil"/>
            </w:tcBorders>
            <w:vAlign w:val="center"/>
          </w:tcPr>
          <w:p w14:paraId="770DB4CA" w14:textId="30D8F06C" w:rsidR="00157469" w:rsidRPr="0083707C" w:rsidRDefault="008E2635" w:rsidP="008E2635">
            <w:pPr>
              <w:pStyle w:val="Tabletext"/>
              <w:jc w:val="right"/>
            </w:pPr>
            <w:r w:rsidRPr="0083707C">
              <w:t>1 368</w:t>
            </w:r>
          </w:p>
        </w:tc>
        <w:tc>
          <w:tcPr>
            <w:tcW w:w="1203" w:type="dxa"/>
            <w:tcBorders>
              <w:top w:val="nil"/>
              <w:bottom w:val="nil"/>
            </w:tcBorders>
            <w:vAlign w:val="center"/>
          </w:tcPr>
          <w:p w14:paraId="63DDA65D" w14:textId="24914DD8" w:rsidR="00157469" w:rsidRPr="0083707C" w:rsidRDefault="00D44049" w:rsidP="008E2635">
            <w:pPr>
              <w:pStyle w:val="Tabletext"/>
              <w:jc w:val="right"/>
            </w:pPr>
            <w:r w:rsidRPr="0083707C">
              <w:t>2</w:t>
            </w:r>
          </w:p>
        </w:tc>
        <w:tc>
          <w:tcPr>
            <w:tcW w:w="1204" w:type="dxa"/>
            <w:tcBorders>
              <w:top w:val="nil"/>
              <w:bottom w:val="nil"/>
            </w:tcBorders>
            <w:vAlign w:val="center"/>
          </w:tcPr>
          <w:p w14:paraId="494416BA" w14:textId="218268B6" w:rsidR="00157469" w:rsidRPr="0083707C" w:rsidRDefault="008E2635" w:rsidP="008E2635">
            <w:pPr>
              <w:pStyle w:val="Tabletext"/>
              <w:jc w:val="right"/>
            </w:pPr>
            <w:r w:rsidRPr="0083707C">
              <w:t>3</w:t>
            </w:r>
          </w:p>
        </w:tc>
        <w:tc>
          <w:tcPr>
            <w:tcW w:w="1204" w:type="dxa"/>
            <w:tcBorders>
              <w:top w:val="nil"/>
              <w:bottom w:val="nil"/>
            </w:tcBorders>
            <w:vAlign w:val="center"/>
          </w:tcPr>
          <w:p w14:paraId="5428A859" w14:textId="3FDBD4C5" w:rsidR="00157469" w:rsidRPr="0083707C" w:rsidRDefault="008E2635" w:rsidP="008E2635">
            <w:pPr>
              <w:pStyle w:val="Tabletext"/>
              <w:jc w:val="right"/>
            </w:pPr>
            <w:r w:rsidRPr="0083707C">
              <w:t>5</w:t>
            </w:r>
          </w:p>
        </w:tc>
        <w:tc>
          <w:tcPr>
            <w:tcW w:w="1204" w:type="dxa"/>
            <w:tcBorders>
              <w:top w:val="nil"/>
              <w:bottom w:val="nil"/>
            </w:tcBorders>
            <w:vAlign w:val="center"/>
          </w:tcPr>
          <w:p w14:paraId="36CF42D0" w14:textId="70C7E652" w:rsidR="00157469" w:rsidRPr="0083707C" w:rsidRDefault="008E2635" w:rsidP="008E2635">
            <w:pPr>
              <w:pStyle w:val="Tabletext"/>
              <w:jc w:val="right"/>
            </w:pPr>
            <w:r w:rsidRPr="0083707C">
              <w:t>4</w:t>
            </w:r>
          </w:p>
        </w:tc>
        <w:tc>
          <w:tcPr>
            <w:tcW w:w="1204" w:type="dxa"/>
            <w:tcBorders>
              <w:top w:val="nil"/>
              <w:bottom w:val="nil"/>
            </w:tcBorders>
            <w:vAlign w:val="center"/>
          </w:tcPr>
          <w:p w14:paraId="4842EF4B" w14:textId="1D15F4F5" w:rsidR="00157469" w:rsidRPr="0083707C" w:rsidRDefault="008E2635" w:rsidP="008E2635">
            <w:pPr>
              <w:pStyle w:val="Tabletext"/>
              <w:jc w:val="right"/>
            </w:pPr>
            <w:r w:rsidRPr="0083707C">
              <w:t>2</w:t>
            </w:r>
          </w:p>
        </w:tc>
        <w:tc>
          <w:tcPr>
            <w:tcW w:w="1204" w:type="dxa"/>
            <w:tcBorders>
              <w:top w:val="nil"/>
              <w:bottom w:val="nil"/>
            </w:tcBorders>
            <w:vAlign w:val="center"/>
          </w:tcPr>
          <w:p w14:paraId="4AE2DFE5" w14:textId="7204BD18" w:rsidR="00157469" w:rsidRPr="0083707C" w:rsidRDefault="008E2635" w:rsidP="008E2635">
            <w:pPr>
              <w:pStyle w:val="Tabletext"/>
              <w:jc w:val="right"/>
            </w:pPr>
            <w:r w:rsidRPr="0083707C">
              <w:t>1</w:t>
            </w:r>
          </w:p>
        </w:tc>
      </w:tr>
      <w:tr w:rsidR="00157469" w:rsidRPr="0083707C" w14:paraId="2D59345B" w14:textId="77777777" w:rsidTr="00D44049">
        <w:tc>
          <w:tcPr>
            <w:tcW w:w="1278" w:type="dxa"/>
            <w:tcBorders>
              <w:top w:val="nil"/>
              <w:bottom w:val="single" w:sz="4" w:space="0" w:color="auto"/>
            </w:tcBorders>
          </w:tcPr>
          <w:p w14:paraId="27D25505" w14:textId="414ABD34" w:rsidR="00157469" w:rsidRPr="0083707C" w:rsidRDefault="00157469" w:rsidP="008E2635">
            <w:pPr>
              <w:pStyle w:val="Tabletext"/>
            </w:pPr>
            <w:r w:rsidRPr="0083707C">
              <w:t>Objetivo 4</w:t>
            </w:r>
          </w:p>
        </w:tc>
        <w:tc>
          <w:tcPr>
            <w:tcW w:w="1203" w:type="dxa"/>
            <w:tcBorders>
              <w:top w:val="nil"/>
              <w:bottom w:val="single" w:sz="4" w:space="0" w:color="auto"/>
            </w:tcBorders>
            <w:vAlign w:val="center"/>
          </w:tcPr>
          <w:p w14:paraId="4B146287" w14:textId="09891053" w:rsidR="00157469" w:rsidRPr="0083707C" w:rsidRDefault="008E2635" w:rsidP="008E2635">
            <w:pPr>
              <w:pStyle w:val="Tabletext"/>
              <w:jc w:val="right"/>
            </w:pPr>
            <w:r w:rsidRPr="0083707C">
              <w:t>901</w:t>
            </w:r>
          </w:p>
        </w:tc>
        <w:tc>
          <w:tcPr>
            <w:tcW w:w="1203" w:type="dxa"/>
            <w:tcBorders>
              <w:top w:val="nil"/>
              <w:bottom w:val="single" w:sz="4" w:space="0" w:color="auto"/>
            </w:tcBorders>
            <w:vAlign w:val="center"/>
          </w:tcPr>
          <w:p w14:paraId="6814BA58" w14:textId="116DC39D" w:rsidR="00157469" w:rsidRPr="0083707C" w:rsidRDefault="008E2635" w:rsidP="008E2635">
            <w:pPr>
              <w:pStyle w:val="Tabletext"/>
              <w:jc w:val="right"/>
            </w:pPr>
            <w:r w:rsidRPr="0083707C">
              <w:t>7</w:t>
            </w:r>
          </w:p>
        </w:tc>
        <w:tc>
          <w:tcPr>
            <w:tcW w:w="1204" w:type="dxa"/>
            <w:tcBorders>
              <w:top w:val="nil"/>
              <w:bottom w:val="single" w:sz="4" w:space="0" w:color="auto"/>
            </w:tcBorders>
            <w:vAlign w:val="center"/>
          </w:tcPr>
          <w:p w14:paraId="7E3DB1FC" w14:textId="6169FA60" w:rsidR="00157469" w:rsidRPr="0083707C" w:rsidRDefault="008E2635" w:rsidP="008E2635">
            <w:pPr>
              <w:pStyle w:val="Tabletext"/>
              <w:jc w:val="right"/>
            </w:pPr>
            <w:r w:rsidRPr="0083707C">
              <w:t>10</w:t>
            </w:r>
          </w:p>
        </w:tc>
        <w:tc>
          <w:tcPr>
            <w:tcW w:w="1204" w:type="dxa"/>
            <w:tcBorders>
              <w:top w:val="nil"/>
              <w:bottom w:val="single" w:sz="4" w:space="0" w:color="auto"/>
            </w:tcBorders>
            <w:vAlign w:val="center"/>
          </w:tcPr>
          <w:p w14:paraId="1FE1FF98" w14:textId="39B72F15" w:rsidR="00157469" w:rsidRPr="0083707C" w:rsidRDefault="008E2635" w:rsidP="008E2635">
            <w:pPr>
              <w:pStyle w:val="Tabletext"/>
              <w:jc w:val="right"/>
            </w:pPr>
            <w:r w:rsidRPr="0083707C">
              <w:t>9</w:t>
            </w:r>
          </w:p>
        </w:tc>
        <w:tc>
          <w:tcPr>
            <w:tcW w:w="1204" w:type="dxa"/>
            <w:tcBorders>
              <w:top w:val="nil"/>
              <w:bottom w:val="single" w:sz="4" w:space="0" w:color="auto"/>
            </w:tcBorders>
            <w:vAlign w:val="center"/>
          </w:tcPr>
          <w:p w14:paraId="3C172530" w14:textId="43961C49" w:rsidR="00157469" w:rsidRPr="0083707C" w:rsidRDefault="008E2635" w:rsidP="008E2635">
            <w:pPr>
              <w:pStyle w:val="Tabletext"/>
              <w:jc w:val="right"/>
            </w:pPr>
            <w:r w:rsidRPr="0083707C">
              <w:t>8</w:t>
            </w:r>
          </w:p>
        </w:tc>
        <w:tc>
          <w:tcPr>
            <w:tcW w:w="1204" w:type="dxa"/>
            <w:tcBorders>
              <w:top w:val="nil"/>
              <w:bottom w:val="single" w:sz="4" w:space="0" w:color="auto"/>
            </w:tcBorders>
            <w:vAlign w:val="center"/>
          </w:tcPr>
          <w:p w14:paraId="5EFA7A67" w14:textId="6E632E52" w:rsidR="00157469" w:rsidRPr="0083707C" w:rsidRDefault="008E2635" w:rsidP="008E2635">
            <w:pPr>
              <w:pStyle w:val="Tabletext"/>
              <w:jc w:val="right"/>
            </w:pPr>
            <w:r w:rsidRPr="0083707C">
              <w:t>6</w:t>
            </w:r>
          </w:p>
        </w:tc>
        <w:tc>
          <w:tcPr>
            <w:tcW w:w="1204" w:type="dxa"/>
            <w:tcBorders>
              <w:top w:val="nil"/>
              <w:bottom w:val="single" w:sz="4" w:space="0" w:color="auto"/>
            </w:tcBorders>
            <w:vAlign w:val="center"/>
          </w:tcPr>
          <w:p w14:paraId="4A36A4B3" w14:textId="3AD72B25" w:rsidR="00157469" w:rsidRPr="0083707C" w:rsidRDefault="008E2635" w:rsidP="008E2635">
            <w:pPr>
              <w:pStyle w:val="Tabletext"/>
              <w:jc w:val="right"/>
            </w:pPr>
            <w:r w:rsidRPr="0083707C">
              <w:t>6</w:t>
            </w:r>
          </w:p>
        </w:tc>
      </w:tr>
      <w:tr w:rsidR="00157469" w:rsidRPr="0083707C" w14:paraId="4AE14D8D" w14:textId="77777777" w:rsidTr="00D44049">
        <w:tc>
          <w:tcPr>
            <w:tcW w:w="1278" w:type="dxa"/>
            <w:tcBorders>
              <w:top w:val="single" w:sz="4" w:space="0" w:color="auto"/>
              <w:bottom w:val="single" w:sz="4" w:space="0" w:color="auto"/>
            </w:tcBorders>
            <w:shd w:val="clear" w:color="auto" w:fill="C6D9F1" w:themeFill="text2" w:themeFillTint="33"/>
          </w:tcPr>
          <w:p w14:paraId="523A4BEB" w14:textId="25D5F89A" w:rsidR="00157469" w:rsidRPr="0083707C" w:rsidRDefault="00157469" w:rsidP="008E2635">
            <w:pPr>
              <w:pStyle w:val="Tabletext"/>
              <w:rPr>
                <w:b/>
                <w:bCs/>
              </w:rPr>
            </w:pPr>
            <w:r w:rsidRPr="0083707C">
              <w:rPr>
                <w:b/>
                <w:bCs/>
              </w:rPr>
              <w:t>Total</w:t>
            </w:r>
          </w:p>
        </w:tc>
        <w:tc>
          <w:tcPr>
            <w:tcW w:w="1203" w:type="dxa"/>
            <w:tcBorders>
              <w:top w:val="single" w:sz="4" w:space="0" w:color="auto"/>
              <w:bottom w:val="single" w:sz="4" w:space="0" w:color="auto"/>
            </w:tcBorders>
            <w:shd w:val="clear" w:color="auto" w:fill="C6D9F1" w:themeFill="text2" w:themeFillTint="33"/>
            <w:vAlign w:val="center"/>
          </w:tcPr>
          <w:p w14:paraId="217F4D71" w14:textId="7173D6CB" w:rsidR="00157469" w:rsidRPr="0083707C" w:rsidRDefault="008E2635" w:rsidP="008E2635">
            <w:pPr>
              <w:pStyle w:val="Tabletext"/>
              <w:jc w:val="right"/>
              <w:rPr>
                <w:b/>
                <w:bCs/>
              </w:rPr>
            </w:pPr>
            <w:r w:rsidRPr="0083707C">
              <w:rPr>
                <w:b/>
                <w:bCs/>
              </w:rPr>
              <w:t>4 120</w:t>
            </w:r>
          </w:p>
        </w:tc>
        <w:tc>
          <w:tcPr>
            <w:tcW w:w="1203" w:type="dxa"/>
            <w:tcBorders>
              <w:top w:val="single" w:sz="4" w:space="0" w:color="auto"/>
              <w:bottom w:val="single" w:sz="4" w:space="0" w:color="auto"/>
            </w:tcBorders>
            <w:shd w:val="clear" w:color="auto" w:fill="C6D9F1" w:themeFill="text2" w:themeFillTint="33"/>
            <w:vAlign w:val="center"/>
          </w:tcPr>
          <w:p w14:paraId="2BCA9E13" w14:textId="22CB12C6" w:rsidR="00157469" w:rsidRPr="0083707C" w:rsidRDefault="008E2635" w:rsidP="008E2635">
            <w:pPr>
              <w:pStyle w:val="Tabletext"/>
              <w:jc w:val="right"/>
              <w:rPr>
                <w:b/>
                <w:bCs/>
              </w:rPr>
            </w:pPr>
            <w:r w:rsidRPr="0083707C">
              <w:rPr>
                <w:b/>
                <w:bCs/>
              </w:rPr>
              <w:t>19</w:t>
            </w:r>
          </w:p>
        </w:tc>
        <w:tc>
          <w:tcPr>
            <w:tcW w:w="1204" w:type="dxa"/>
            <w:tcBorders>
              <w:top w:val="single" w:sz="4" w:space="0" w:color="auto"/>
              <w:bottom w:val="single" w:sz="4" w:space="0" w:color="auto"/>
            </w:tcBorders>
            <w:shd w:val="clear" w:color="auto" w:fill="C6D9F1" w:themeFill="text2" w:themeFillTint="33"/>
            <w:vAlign w:val="center"/>
          </w:tcPr>
          <w:p w14:paraId="171F1752" w14:textId="18A7024A" w:rsidR="00157469" w:rsidRPr="0083707C" w:rsidRDefault="008E2635" w:rsidP="008E2635">
            <w:pPr>
              <w:pStyle w:val="Tabletext"/>
              <w:jc w:val="right"/>
              <w:rPr>
                <w:b/>
                <w:bCs/>
              </w:rPr>
            </w:pPr>
            <w:r w:rsidRPr="0083707C">
              <w:rPr>
                <w:b/>
                <w:bCs/>
              </w:rPr>
              <w:t>21</w:t>
            </w:r>
          </w:p>
        </w:tc>
        <w:tc>
          <w:tcPr>
            <w:tcW w:w="1204" w:type="dxa"/>
            <w:tcBorders>
              <w:top w:val="single" w:sz="4" w:space="0" w:color="auto"/>
              <w:bottom w:val="single" w:sz="4" w:space="0" w:color="auto"/>
            </w:tcBorders>
            <w:shd w:val="clear" w:color="auto" w:fill="C6D9F1" w:themeFill="text2" w:themeFillTint="33"/>
            <w:vAlign w:val="center"/>
          </w:tcPr>
          <w:p w14:paraId="1ECE6528" w14:textId="46D0F55D" w:rsidR="00157469" w:rsidRPr="0083707C" w:rsidRDefault="008E2635" w:rsidP="008E2635">
            <w:pPr>
              <w:pStyle w:val="Tabletext"/>
              <w:jc w:val="right"/>
              <w:rPr>
                <w:b/>
                <w:bCs/>
              </w:rPr>
            </w:pPr>
            <w:r w:rsidRPr="0083707C">
              <w:rPr>
                <w:b/>
                <w:bCs/>
              </w:rPr>
              <w:t>21</w:t>
            </w:r>
          </w:p>
        </w:tc>
        <w:tc>
          <w:tcPr>
            <w:tcW w:w="1204" w:type="dxa"/>
            <w:tcBorders>
              <w:top w:val="single" w:sz="4" w:space="0" w:color="auto"/>
              <w:bottom w:val="single" w:sz="4" w:space="0" w:color="auto"/>
            </w:tcBorders>
            <w:shd w:val="clear" w:color="auto" w:fill="C6D9F1" w:themeFill="text2" w:themeFillTint="33"/>
            <w:vAlign w:val="center"/>
          </w:tcPr>
          <w:p w14:paraId="6F0B6421" w14:textId="1E3573C7" w:rsidR="00157469" w:rsidRPr="0083707C" w:rsidRDefault="008E2635" w:rsidP="008E2635">
            <w:pPr>
              <w:pStyle w:val="Tabletext"/>
              <w:jc w:val="right"/>
              <w:rPr>
                <w:b/>
                <w:bCs/>
              </w:rPr>
            </w:pPr>
            <w:r w:rsidRPr="0083707C">
              <w:rPr>
                <w:b/>
                <w:bCs/>
              </w:rPr>
              <w:t>18</w:t>
            </w:r>
          </w:p>
        </w:tc>
        <w:tc>
          <w:tcPr>
            <w:tcW w:w="1204" w:type="dxa"/>
            <w:tcBorders>
              <w:top w:val="single" w:sz="4" w:space="0" w:color="auto"/>
              <w:bottom w:val="single" w:sz="4" w:space="0" w:color="auto"/>
            </w:tcBorders>
            <w:shd w:val="clear" w:color="auto" w:fill="C6D9F1" w:themeFill="text2" w:themeFillTint="33"/>
            <w:vAlign w:val="center"/>
          </w:tcPr>
          <w:p w14:paraId="230D3376" w14:textId="6AF6860D" w:rsidR="00157469" w:rsidRPr="0083707C" w:rsidRDefault="008E2635" w:rsidP="008E2635">
            <w:pPr>
              <w:pStyle w:val="Tabletext"/>
              <w:jc w:val="right"/>
              <w:rPr>
                <w:b/>
                <w:bCs/>
              </w:rPr>
            </w:pPr>
            <w:r w:rsidRPr="0083707C">
              <w:rPr>
                <w:b/>
                <w:bCs/>
              </w:rPr>
              <w:t>18</w:t>
            </w:r>
          </w:p>
        </w:tc>
        <w:tc>
          <w:tcPr>
            <w:tcW w:w="1204" w:type="dxa"/>
            <w:tcBorders>
              <w:top w:val="single" w:sz="4" w:space="0" w:color="auto"/>
              <w:bottom w:val="single" w:sz="4" w:space="0" w:color="auto"/>
            </w:tcBorders>
            <w:shd w:val="clear" w:color="auto" w:fill="C6D9F1" w:themeFill="text2" w:themeFillTint="33"/>
            <w:vAlign w:val="center"/>
          </w:tcPr>
          <w:p w14:paraId="4C7BF7E1" w14:textId="4BFBAC48" w:rsidR="00157469" w:rsidRPr="0083707C" w:rsidRDefault="008E2635" w:rsidP="008E2635">
            <w:pPr>
              <w:pStyle w:val="Tabletext"/>
              <w:jc w:val="right"/>
              <w:rPr>
                <w:b/>
                <w:bCs/>
              </w:rPr>
            </w:pPr>
            <w:r w:rsidRPr="0083707C">
              <w:rPr>
                <w:b/>
                <w:bCs/>
              </w:rPr>
              <w:t>13</w:t>
            </w:r>
          </w:p>
        </w:tc>
      </w:tr>
      <w:tr w:rsidR="00157469" w:rsidRPr="0083707C" w14:paraId="014279D0" w14:textId="77777777" w:rsidTr="00D44049">
        <w:tc>
          <w:tcPr>
            <w:tcW w:w="9704" w:type="dxa"/>
            <w:gridSpan w:val="8"/>
            <w:tcBorders>
              <w:top w:val="single" w:sz="4" w:space="0" w:color="auto"/>
              <w:left w:val="nil"/>
              <w:bottom w:val="nil"/>
              <w:right w:val="nil"/>
            </w:tcBorders>
          </w:tcPr>
          <w:p w14:paraId="069AF1FF" w14:textId="55855E88" w:rsidR="00157469" w:rsidRPr="0083707C" w:rsidRDefault="00157469" w:rsidP="008E2635">
            <w:pPr>
              <w:pStyle w:val="Tablelegend"/>
            </w:pPr>
            <w:r w:rsidRPr="0083707C">
              <w:t>*</w:t>
            </w:r>
            <w:r w:rsidR="008E2635" w:rsidRPr="0083707C">
              <w:t xml:space="preserve"> </w:t>
            </w:r>
            <w:r w:rsidRPr="0083707C">
              <w:t>El Objetivo 1 no incluye ni al GADT ni a las CE</w:t>
            </w:r>
            <w:r w:rsidR="00D44049" w:rsidRPr="0083707C">
              <w:t>.</w:t>
            </w:r>
          </w:p>
        </w:tc>
      </w:tr>
    </w:tbl>
    <w:p w14:paraId="544A2542" w14:textId="041DF9D8" w:rsidR="006C40F0" w:rsidRPr="0083707C" w:rsidRDefault="006C40F0" w:rsidP="006C40F0">
      <w:pPr>
        <w:pStyle w:val="Tabletitle"/>
        <w:keepLines/>
        <w:spacing w:before="480" w:after="0"/>
      </w:pPr>
      <w:bookmarkStart w:id="14" w:name="_Hlk70931686"/>
      <w:r w:rsidRPr="0083707C">
        <w:t xml:space="preserve">Cuadro 2 – Desembolsos para proyectos en </w:t>
      </w:r>
      <w:r w:rsidR="00B81B32" w:rsidRPr="0083707C">
        <w:t>2021</w:t>
      </w:r>
    </w:p>
    <w:p w14:paraId="3B842E84" w14:textId="77777777" w:rsidR="006C40F0" w:rsidRPr="0083707C" w:rsidRDefault="006C40F0" w:rsidP="006C40F0">
      <w:pPr>
        <w:keepNext/>
        <w:keepLines/>
        <w:tabs>
          <w:tab w:val="clear" w:pos="567"/>
          <w:tab w:val="clear" w:pos="1134"/>
          <w:tab w:val="clear" w:pos="1701"/>
          <w:tab w:val="clear" w:pos="2268"/>
          <w:tab w:val="clear" w:pos="2835"/>
        </w:tabs>
        <w:spacing w:before="0" w:after="120"/>
        <w:jc w:val="center"/>
        <w:rPr>
          <w:i/>
          <w:iCs/>
        </w:rPr>
      </w:pPr>
      <w:r w:rsidRPr="0083707C">
        <w:rPr>
          <w:i/>
          <w:iCs/>
        </w:rPr>
        <w:t>(en miles de dólares de Estados Unidos (USD))</w:t>
      </w:r>
    </w:p>
    <w:tbl>
      <w:tblPr>
        <w:tblStyle w:val="TableGrid"/>
        <w:tblW w:w="9922" w:type="dxa"/>
        <w:jc w:val="center"/>
        <w:tblLook w:val="04A0" w:firstRow="1" w:lastRow="0" w:firstColumn="1" w:lastColumn="0" w:noHBand="0" w:noVBand="1"/>
      </w:tblPr>
      <w:tblGrid>
        <w:gridCol w:w="1084"/>
        <w:gridCol w:w="887"/>
        <w:gridCol w:w="883"/>
        <w:gridCol w:w="887"/>
        <w:gridCol w:w="880"/>
        <w:gridCol w:w="887"/>
        <w:gridCol w:w="880"/>
        <w:gridCol w:w="887"/>
        <w:gridCol w:w="880"/>
        <w:gridCol w:w="887"/>
        <w:gridCol w:w="880"/>
      </w:tblGrid>
      <w:tr w:rsidR="006C40F0" w:rsidRPr="0083707C" w14:paraId="3B7BCFDC" w14:textId="77777777" w:rsidTr="00157469">
        <w:trPr>
          <w:trHeight w:val="268"/>
          <w:jc w:val="center"/>
        </w:trPr>
        <w:tc>
          <w:tcPr>
            <w:tcW w:w="1084" w:type="dxa"/>
            <w:vMerge w:val="restart"/>
            <w:shd w:val="clear" w:color="auto" w:fill="C6D9F1" w:themeFill="text2" w:themeFillTint="33"/>
            <w:vAlign w:val="center"/>
          </w:tcPr>
          <w:bookmarkEnd w:id="14"/>
          <w:p w14:paraId="58F95A1D" w14:textId="77777777" w:rsidR="006C40F0" w:rsidRPr="0083707C" w:rsidRDefault="006C40F0" w:rsidP="000B03D9">
            <w:pPr>
              <w:spacing w:before="20" w:after="20"/>
              <w:rPr>
                <w:sz w:val="16"/>
                <w:szCs w:val="16"/>
              </w:rPr>
            </w:pPr>
            <w:r w:rsidRPr="0083707C">
              <w:rPr>
                <w:sz w:val="16"/>
                <w:szCs w:val="16"/>
              </w:rPr>
              <w:t>Región</w:t>
            </w:r>
          </w:p>
        </w:tc>
        <w:tc>
          <w:tcPr>
            <w:tcW w:w="1770" w:type="dxa"/>
            <w:gridSpan w:val="2"/>
            <w:shd w:val="clear" w:color="auto" w:fill="C6D9F1" w:themeFill="text2" w:themeFillTint="33"/>
          </w:tcPr>
          <w:p w14:paraId="7102F468" w14:textId="77777777" w:rsidR="006C40F0" w:rsidRPr="0083707C" w:rsidRDefault="006C40F0" w:rsidP="000B03D9">
            <w:pPr>
              <w:tabs>
                <w:tab w:val="clear" w:pos="567"/>
                <w:tab w:val="clear" w:pos="1134"/>
                <w:tab w:val="clear" w:pos="1701"/>
                <w:tab w:val="clear" w:pos="2268"/>
                <w:tab w:val="clear" w:pos="2835"/>
              </w:tabs>
              <w:spacing w:before="20" w:after="20"/>
              <w:jc w:val="center"/>
              <w:rPr>
                <w:b/>
                <w:sz w:val="16"/>
                <w:szCs w:val="16"/>
              </w:rPr>
            </w:pPr>
            <w:r w:rsidRPr="0083707C">
              <w:rPr>
                <w:b/>
                <w:sz w:val="16"/>
                <w:szCs w:val="16"/>
              </w:rPr>
              <w:t>FIT</w:t>
            </w:r>
          </w:p>
        </w:tc>
        <w:tc>
          <w:tcPr>
            <w:tcW w:w="1767" w:type="dxa"/>
            <w:gridSpan w:val="2"/>
            <w:shd w:val="clear" w:color="auto" w:fill="C6D9F1" w:themeFill="text2" w:themeFillTint="33"/>
          </w:tcPr>
          <w:p w14:paraId="19672CE0" w14:textId="77777777" w:rsidR="006C40F0" w:rsidRPr="0083707C" w:rsidRDefault="006C40F0" w:rsidP="000B03D9">
            <w:pPr>
              <w:tabs>
                <w:tab w:val="clear" w:pos="567"/>
                <w:tab w:val="clear" w:pos="1134"/>
                <w:tab w:val="clear" w:pos="1701"/>
                <w:tab w:val="clear" w:pos="2268"/>
                <w:tab w:val="clear" w:pos="2835"/>
              </w:tabs>
              <w:spacing w:before="20" w:after="20"/>
              <w:jc w:val="center"/>
              <w:rPr>
                <w:b/>
                <w:sz w:val="16"/>
                <w:szCs w:val="16"/>
              </w:rPr>
            </w:pPr>
            <w:r w:rsidRPr="0083707C">
              <w:rPr>
                <w:b/>
                <w:sz w:val="16"/>
                <w:szCs w:val="16"/>
              </w:rPr>
              <w:t>FD-TIC</w:t>
            </w:r>
          </w:p>
        </w:tc>
        <w:tc>
          <w:tcPr>
            <w:tcW w:w="1767" w:type="dxa"/>
            <w:gridSpan w:val="2"/>
            <w:shd w:val="clear" w:color="auto" w:fill="C6D9F1" w:themeFill="text2" w:themeFillTint="33"/>
          </w:tcPr>
          <w:p w14:paraId="263140DA" w14:textId="7564156E" w:rsidR="006C40F0" w:rsidRPr="0083707C" w:rsidRDefault="002E65A5" w:rsidP="002E65A5">
            <w:pPr>
              <w:tabs>
                <w:tab w:val="clear" w:pos="567"/>
                <w:tab w:val="clear" w:pos="1134"/>
                <w:tab w:val="clear" w:pos="1701"/>
                <w:tab w:val="clear" w:pos="2268"/>
                <w:tab w:val="clear" w:pos="2835"/>
              </w:tabs>
              <w:spacing w:before="20" w:after="20"/>
              <w:jc w:val="center"/>
              <w:rPr>
                <w:b/>
                <w:sz w:val="16"/>
                <w:szCs w:val="16"/>
              </w:rPr>
            </w:pPr>
            <w:r w:rsidRPr="0083707C">
              <w:rPr>
                <w:b/>
                <w:sz w:val="16"/>
                <w:szCs w:val="16"/>
              </w:rPr>
              <w:t>Financiación interna</w:t>
            </w:r>
          </w:p>
        </w:tc>
        <w:tc>
          <w:tcPr>
            <w:tcW w:w="1767" w:type="dxa"/>
            <w:gridSpan w:val="2"/>
            <w:shd w:val="clear" w:color="auto" w:fill="C6D9F1" w:themeFill="text2" w:themeFillTint="33"/>
          </w:tcPr>
          <w:p w14:paraId="4A91BCDE" w14:textId="77777777" w:rsidR="006C40F0" w:rsidRPr="0083707C" w:rsidRDefault="006C40F0" w:rsidP="000B03D9">
            <w:pPr>
              <w:tabs>
                <w:tab w:val="clear" w:pos="567"/>
                <w:tab w:val="clear" w:pos="1134"/>
                <w:tab w:val="clear" w:pos="1701"/>
                <w:tab w:val="clear" w:pos="2268"/>
                <w:tab w:val="clear" w:pos="2835"/>
              </w:tabs>
              <w:spacing w:before="20" w:after="20"/>
              <w:jc w:val="center"/>
              <w:rPr>
                <w:b/>
                <w:sz w:val="16"/>
                <w:szCs w:val="16"/>
              </w:rPr>
            </w:pPr>
            <w:r w:rsidRPr="0083707C">
              <w:rPr>
                <w:b/>
                <w:sz w:val="16"/>
                <w:szCs w:val="16"/>
              </w:rPr>
              <w:t>PNUD</w:t>
            </w:r>
          </w:p>
        </w:tc>
        <w:tc>
          <w:tcPr>
            <w:tcW w:w="1767" w:type="dxa"/>
            <w:gridSpan w:val="2"/>
            <w:shd w:val="clear" w:color="auto" w:fill="C6D9F1" w:themeFill="text2" w:themeFillTint="33"/>
          </w:tcPr>
          <w:p w14:paraId="54076A09" w14:textId="77777777" w:rsidR="006C40F0" w:rsidRPr="0083707C" w:rsidRDefault="006C40F0" w:rsidP="000B03D9">
            <w:pPr>
              <w:tabs>
                <w:tab w:val="clear" w:pos="567"/>
                <w:tab w:val="clear" w:pos="1134"/>
                <w:tab w:val="clear" w:pos="1701"/>
                <w:tab w:val="clear" w:pos="2268"/>
                <w:tab w:val="clear" w:pos="2835"/>
              </w:tabs>
              <w:spacing w:before="20" w:after="20"/>
              <w:jc w:val="center"/>
              <w:rPr>
                <w:b/>
                <w:sz w:val="16"/>
                <w:szCs w:val="16"/>
              </w:rPr>
            </w:pPr>
            <w:r w:rsidRPr="0083707C">
              <w:rPr>
                <w:b/>
                <w:sz w:val="16"/>
                <w:szCs w:val="16"/>
              </w:rPr>
              <w:t>TOTAL</w:t>
            </w:r>
          </w:p>
        </w:tc>
      </w:tr>
      <w:tr w:rsidR="00157469" w:rsidRPr="0083707C" w14:paraId="78DF9AC6" w14:textId="77777777" w:rsidTr="00157469">
        <w:trPr>
          <w:trHeight w:val="943"/>
          <w:jc w:val="center"/>
        </w:trPr>
        <w:tc>
          <w:tcPr>
            <w:tcW w:w="1084" w:type="dxa"/>
            <w:vMerge/>
            <w:shd w:val="clear" w:color="auto" w:fill="C6D9F1" w:themeFill="text2" w:themeFillTint="33"/>
          </w:tcPr>
          <w:p w14:paraId="17E1F6AD" w14:textId="77777777" w:rsidR="006C40F0" w:rsidRPr="0083707C" w:rsidRDefault="006C40F0" w:rsidP="000B03D9">
            <w:pPr>
              <w:spacing w:before="20" w:after="20"/>
              <w:rPr>
                <w:sz w:val="16"/>
                <w:szCs w:val="16"/>
              </w:rPr>
            </w:pPr>
          </w:p>
        </w:tc>
        <w:tc>
          <w:tcPr>
            <w:tcW w:w="887" w:type="dxa"/>
            <w:shd w:val="clear" w:color="auto" w:fill="C6D9F1" w:themeFill="text2" w:themeFillTint="33"/>
          </w:tcPr>
          <w:p w14:paraId="52C116D3" w14:textId="77777777" w:rsidR="006C40F0" w:rsidRPr="0083707C" w:rsidRDefault="006C40F0" w:rsidP="000B03D9">
            <w:pPr>
              <w:spacing w:before="20" w:after="20"/>
              <w:jc w:val="center"/>
              <w:rPr>
                <w:sz w:val="16"/>
                <w:szCs w:val="16"/>
              </w:rPr>
            </w:pPr>
            <w:r w:rsidRPr="0083707C">
              <w:rPr>
                <w:sz w:val="16"/>
                <w:szCs w:val="16"/>
              </w:rPr>
              <w:t>Número de proyectos</w:t>
            </w:r>
          </w:p>
        </w:tc>
        <w:tc>
          <w:tcPr>
            <w:tcW w:w="883" w:type="dxa"/>
            <w:shd w:val="clear" w:color="auto" w:fill="C6D9F1" w:themeFill="text2" w:themeFillTint="33"/>
          </w:tcPr>
          <w:p w14:paraId="54957D89" w14:textId="28696B7E" w:rsidR="006C40F0" w:rsidRPr="0083707C" w:rsidRDefault="006C40F0" w:rsidP="000B03D9">
            <w:pPr>
              <w:spacing w:before="20" w:after="20"/>
              <w:jc w:val="center"/>
              <w:rPr>
                <w:sz w:val="16"/>
                <w:szCs w:val="16"/>
              </w:rPr>
            </w:pPr>
            <w:r w:rsidRPr="0083707C">
              <w:rPr>
                <w:sz w:val="16"/>
                <w:szCs w:val="16"/>
              </w:rPr>
              <w:t xml:space="preserve">Nivel de </w:t>
            </w:r>
            <w:r w:rsidR="002E65A5" w:rsidRPr="0083707C">
              <w:rPr>
                <w:sz w:val="16"/>
                <w:szCs w:val="16"/>
              </w:rPr>
              <w:t>ejecución</w:t>
            </w:r>
            <w:r w:rsidRPr="0083707C">
              <w:rPr>
                <w:sz w:val="16"/>
                <w:szCs w:val="16"/>
              </w:rPr>
              <w:t xml:space="preserve"> </w:t>
            </w:r>
            <w:r w:rsidRPr="0083707C">
              <w:rPr>
                <w:sz w:val="16"/>
                <w:szCs w:val="16"/>
              </w:rPr>
              <w:br/>
              <w:t>USD (000)</w:t>
            </w:r>
          </w:p>
        </w:tc>
        <w:tc>
          <w:tcPr>
            <w:tcW w:w="887" w:type="dxa"/>
            <w:shd w:val="clear" w:color="auto" w:fill="C6D9F1" w:themeFill="text2" w:themeFillTint="33"/>
          </w:tcPr>
          <w:p w14:paraId="05FDC54B" w14:textId="77777777" w:rsidR="006C40F0" w:rsidRPr="0083707C" w:rsidRDefault="006C40F0" w:rsidP="000B03D9">
            <w:pPr>
              <w:spacing w:before="20" w:after="20"/>
              <w:jc w:val="center"/>
              <w:rPr>
                <w:sz w:val="16"/>
                <w:szCs w:val="16"/>
              </w:rPr>
            </w:pPr>
            <w:r w:rsidRPr="0083707C">
              <w:rPr>
                <w:sz w:val="16"/>
                <w:szCs w:val="16"/>
              </w:rPr>
              <w:t>Número de proyectos</w:t>
            </w:r>
          </w:p>
        </w:tc>
        <w:tc>
          <w:tcPr>
            <w:tcW w:w="880" w:type="dxa"/>
            <w:shd w:val="clear" w:color="auto" w:fill="C6D9F1" w:themeFill="text2" w:themeFillTint="33"/>
          </w:tcPr>
          <w:p w14:paraId="73867D86" w14:textId="2FA52EFA" w:rsidR="006C40F0" w:rsidRPr="0083707C" w:rsidRDefault="006C40F0" w:rsidP="002E65A5">
            <w:pPr>
              <w:spacing w:before="20" w:after="20"/>
              <w:jc w:val="center"/>
              <w:rPr>
                <w:sz w:val="16"/>
                <w:szCs w:val="16"/>
              </w:rPr>
            </w:pPr>
            <w:r w:rsidRPr="0083707C">
              <w:rPr>
                <w:sz w:val="16"/>
                <w:szCs w:val="16"/>
              </w:rPr>
              <w:t xml:space="preserve">Nivel de </w:t>
            </w:r>
            <w:r w:rsidR="002E65A5" w:rsidRPr="0083707C">
              <w:rPr>
                <w:sz w:val="16"/>
                <w:szCs w:val="16"/>
              </w:rPr>
              <w:t>ejecución</w:t>
            </w:r>
            <w:r w:rsidRPr="0083707C">
              <w:rPr>
                <w:sz w:val="16"/>
                <w:szCs w:val="16"/>
              </w:rPr>
              <w:t xml:space="preserve"> </w:t>
            </w:r>
            <w:r w:rsidRPr="0083707C">
              <w:rPr>
                <w:sz w:val="16"/>
                <w:szCs w:val="16"/>
              </w:rPr>
              <w:br/>
              <w:t>USD (000)</w:t>
            </w:r>
          </w:p>
        </w:tc>
        <w:tc>
          <w:tcPr>
            <w:tcW w:w="887" w:type="dxa"/>
            <w:shd w:val="clear" w:color="auto" w:fill="C6D9F1" w:themeFill="text2" w:themeFillTint="33"/>
          </w:tcPr>
          <w:p w14:paraId="098A6F20" w14:textId="77777777" w:rsidR="006C40F0" w:rsidRPr="0083707C" w:rsidRDefault="006C40F0" w:rsidP="000B03D9">
            <w:pPr>
              <w:spacing w:before="20" w:after="20"/>
              <w:jc w:val="center"/>
              <w:rPr>
                <w:sz w:val="16"/>
                <w:szCs w:val="16"/>
              </w:rPr>
            </w:pPr>
            <w:r w:rsidRPr="0083707C">
              <w:rPr>
                <w:sz w:val="16"/>
                <w:szCs w:val="16"/>
              </w:rPr>
              <w:t>Número de proyectos</w:t>
            </w:r>
          </w:p>
        </w:tc>
        <w:tc>
          <w:tcPr>
            <w:tcW w:w="880" w:type="dxa"/>
            <w:shd w:val="clear" w:color="auto" w:fill="C6D9F1" w:themeFill="text2" w:themeFillTint="33"/>
          </w:tcPr>
          <w:p w14:paraId="1ED5D267" w14:textId="0EC6EF7F" w:rsidR="006C40F0" w:rsidRPr="0083707C" w:rsidRDefault="006C40F0" w:rsidP="002E65A5">
            <w:pPr>
              <w:spacing w:before="20" w:after="20"/>
              <w:jc w:val="center"/>
              <w:rPr>
                <w:sz w:val="16"/>
                <w:szCs w:val="16"/>
              </w:rPr>
            </w:pPr>
            <w:r w:rsidRPr="0083707C">
              <w:rPr>
                <w:sz w:val="16"/>
                <w:szCs w:val="16"/>
              </w:rPr>
              <w:t>Nivel de</w:t>
            </w:r>
            <w:r w:rsidR="002E65A5" w:rsidRPr="0083707C">
              <w:rPr>
                <w:sz w:val="16"/>
                <w:szCs w:val="16"/>
              </w:rPr>
              <w:t xml:space="preserve"> ejecución</w:t>
            </w:r>
            <w:r w:rsidRPr="0083707C">
              <w:rPr>
                <w:sz w:val="16"/>
                <w:szCs w:val="16"/>
              </w:rPr>
              <w:t xml:space="preserve"> </w:t>
            </w:r>
            <w:r w:rsidRPr="0083707C">
              <w:rPr>
                <w:sz w:val="16"/>
                <w:szCs w:val="16"/>
              </w:rPr>
              <w:br/>
              <w:t>USD (000)</w:t>
            </w:r>
          </w:p>
        </w:tc>
        <w:tc>
          <w:tcPr>
            <w:tcW w:w="887" w:type="dxa"/>
            <w:shd w:val="clear" w:color="auto" w:fill="C6D9F1" w:themeFill="text2" w:themeFillTint="33"/>
          </w:tcPr>
          <w:p w14:paraId="0BF5809A" w14:textId="77777777" w:rsidR="006C40F0" w:rsidRPr="0083707C" w:rsidRDefault="006C40F0" w:rsidP="000B03D9">
            <w:pPr>
              <w:spacing w:before="20" w:after="20"/>
              <w:jc w:val="center"/>
              <w:rPr>
                <w:sz w:val="16"/>
                <w:szCs w:val="16"/>
              </w:rPr>
            </w:pPr>
            <w:r w:rsidRPr="0083707C">
              <w:rPr>
                <w:sz w:val="16"/>
                <w:szCs w:val="16"/>
              </w:rPr>
              <w:t>Número de proyectos</w:t>
            </w:r>
          </w:p>
        </w:tc>
        <w:tc>
          <w:tcPr>
            <w:tcW w:w="880" w:type="dxa"/>
            <w:shd w:val="clear" w:color="auto" w:fill="C6D9F1" w:themeFill="text2" w:themeFillTint="33"/>
          </w:tcPr>
          <w:p w14:paraId="64535CD9" w14:textId="6F07FA85" w:rsidR="006C40F0" w:rsidRPr="0083707C" w:rsidRDefault="006C40F0" w:rsidP="002E65A5">
            <w:pPr>
              <w:spacing w:before="20" w:after="20"/>
              <w:jc w:val="center"/>
              <w:rPr>
                <w:sz w:val="16"/>
                <w:szCs w:val="16"/>
              </w:rPr>
            </w:pPr>
            <w:r w:rsidRPr="0083707C">
              <w:rPr>
                <w:sz w:val="16"/>
                <w:szCs w:val="16"/>
              </w:rPr>
              <w:t>Nivel de</w:t>
            </w:r>
            <w:r w:rsidR="002E65A5" w:rsidRPr="0083707C">
              <w:rPr>
                <w:sz w:val="16"/>
                <w:szCs w:val="16"/>
              </w:rPr>
              <w:t xml:space="preserve"> ejecución</w:t>
            </w:r>
            <w:r w:rsidRPr="0083707C">
              <w:rPr>
                <w:sz w:val="16"/>
                <w:szCs w:val="16"/>
              </w:rPr>
              <w:t xml:space="preserve"> </w:t>
            </w:r>
            <w:r w:rsidRPr="0083707C">
              <w:rPr>
                <w:sz w:val="16"/>
                <w:szCs w:val="16"/>
              </w:rPr>
              <w:br/>
              <w:t>USD (000)</w:t>
            </w:r>
          </w:p>
        </w:tc>
        <w:tc>
          <w:tcPr>
            <w:tcW w:w="887" w:type="dxa"/>
            <w:shd w:val="clear" w:color="auto" w:fill="C6D9F1" w:themeFill="text2" w:themeFillTint="33"/>
          </w:tcPr>
          <w:p w14:paraId="6D1DE6EB" w14:textId="77777777" w:rsidR="006C40F0" w:rsidRPr="0083707C" w:rsidRDefault="006C40F0" w:rsidP="000B03D9">
            <w:pPr>
              <w:spacing w:before="20" w:after="20"/>
              <w:jc w:val="center"/>
              <w:rPr>
                <w:sz w:val="16"/>
                <w:szCs w:val="16"/>
              </w:rPr>
            </w:pPr>
            <w:r w:rsidRPr="0083707C">
              <w:rPr>
                <w:sz w:val="16"/>
                <w:szCs w:val="16"/>
              </w:rPr>
              <w:t>Número de proyectos</w:t>
            </w:r>
          </w:p>
        </w:tc>
        <w:tc>
          <w:tcPr>
            <w:tcW w:w="880" w:type="dxa"/>
            <w:shd w:val="clear" w:color="auto" w:fill="C6D9F1" w:themeFill="text2" w:themeFillTint="33"/>
          </w:tcPr>
          <w:p w14:paraId="2F30A967" w14:textId="74DE3108" w:rsidR="006C40F0" w:rsidRPr="0083707C" w:rsidRDefault="006C40F0" w:rsidP="002E65A5">
            <w:pPr>
              <w:spacing w:before="20" w:after="20"/>
              <w:jc w:val="center"/>
              <w:rPr>
                <w:sz w:val="16"/>
                <w:szCs w:val="16"/>
              </w:rPr>
            </w:pPr>
            <w:r w:rsidRPr="0083707C">
              <w:rPr>
                <w:sz w:val="16"/>
                <w:szCs w:val="16"/>
              </w:rPr>
              <w:t xml:space="preserve">Nivel de </w:t>
            </w:r>
            <w:r w:rsidR="002E65A5" w:rsidRPr="0083707C">
              <w:rPr>
                <w:sz w:val="16"/>
                <w:szCs w:val="16"/>
              </w:rPr>
              <w:t>ejecución</w:t>
            </w:r>
            <w:r w:rsidRPr="0083707C">
              <w:rPr>
                <w:sz w:val="16"/>
                <w:szCs w:val="16"/>
              </w:rPr>
              <w:t xml:space="preserve"> </w:t>
            </w:r>
            <w:r w:rsidRPr="0083707C">
              <w:rPr>
                <w:sz w:val="16"/>
                <w:szCs w:val="16"/>
              </w:rPr>
              <w:br/>
              <w:t>USD (000)</w:t>
            </w:r>
          </w:p>
        </w:tc>
      </w:tr>
      <w:tr w:rsidR="00CA45DF" w:rsidRPr="0083707C" w14:paraId="261F0DE5" w14:textId="77777777" w:rsidTr="000B03D9">
        <w:trPr>
          <w:trHeight w:val="268"/>
          <w:jc w:val="center"/>
        </w:trPr>
        <w:tc>
          <w:tcPr>
            <w:tcW w:w="1084" w:type="dxa"/>
          </w:tcPr>
          <w:p w14:paraId="35418D46" w14:textId="77777777" w:rsidR="006C40F0" w:rsidRPr="0083707C" w:rsidRDefault="006C40F0" w:rsidP="000B03D9">
            <w:pPr>
              <w:spacing w:before="20" w:after="20"/>
              <w:rPr>
                <w:sz w:val="16"/>
                <w:szCs w:val="16"/>
              </w:rPr>
            </w:pPr>
            <w:r w:rsidRPr="0083707C">
              <w:rPr>
                <w:sz w:val="16"/>
                <w:szCs w:val="16"/>
              </w:rPr>
              <w:t>África</w:t>
            </w:r>
          </w:p>
        </w:tc>
        <w:tc>
          <w:tcPr>
            <w:tcW w:w="887" w:type="dxa"/>
          </w:tcPr>
          <w:p w14:paraId="2ED58D46" w14:textId="4A818DD7" w:rsidR="006C40F0" w:rsidRPr="0083707C" w:rsidRDefault="00D44049" w:rsidP="000B03D9">
            <w:pPr>
              <w:spacing w:before="20" w:after="20"/>
              <w:jc w:val="center"/>
              <w:rPr>
                <w:sz w:val="16"/>
                <w:szCs w:val="16"/>
              </w:rPr>
            </w:pPr>
            <w:r w:rsidRPr="0083707C">
              <w:rPr>
                <w:sz w:val="16"/>
                <w:szCs w:val="16"/>
              </w:rPr>
              <w:t>9</w:t>
            </w:r>
          </w:p>
        </w:tc>
        <w:tc>
          <w:tcPr>
            <w:tcW w:w="883" w:type="dxa"/>
          </w:tcPr>
          <w:p w14:paraId="51997DE9" w14:textId="761613FB" w:rsidR="006C40F0" w:rsidRPr="0083707C" w:rsidRDefault="00D44049" w:rsidP="000B03D9">
            <w:pPr>
              <w:spacing w:before="20" w:after="20"/>
              <w:jc w:val="center"/>
              <w:rPr>
                <w:sz w:val="16"/>
                <w:szCs w:val="16"/>
              </w:rPr>
            </w:pPr>
            <w:r w:rsidRPr="0083707C">
              <w:rPr>
                <w:sz w:val="16"/>
                <w:szCs w:val="16"/>
              </w:rPr>
              <w:t>363</w:t>
            </w:r>
          </w:p>
        </w:tc>
        <w:tc>
          <w:tcPr>
            <w:tcW w:w="887" w:type="dxa"/>
          </w:tcPr>
          <w:p w14:paraId="0880386D" w14:textId="3050D9E7" w:rsidR="006C40F0" w:rsidRPr="0083707C" w:rsidRDefault="00D44049" w:rsidP="000B03D9">
            <w:pPr>
              <w:spacing w:before="20" w:after="20"/>
              <w:jc w:val="center"/>
              <w:rPr>
                <w:sz w:val="16"/>
                <w:szCs w:val="16"/>
              </w:rPr>
            </w:pPr>
            <w:r w:rsidRPr="0083707C">
              <w:rPr>
                <w:sz w:val="16"/>
                <w:szCs w:val="16"/>
              </w:rPr>
              <w:t>3</w:t>
            </w:r>
          </w:p>
        </w:tc>
        <w:tc>
          <w:tcPr>
            <w:tcW w:w="880" w:type="dxa"/>
          </w:tcPr>
          <w:p w14:paraId="3A016CD6" w14:textId="1541D579" w:rsidR="006C40F0" w:rsidRPr="0083707C" w:rsidRDefault="00D44049" w:rsidP="000B03D9">
            <w:pPr>
              <w:spacing w:before="20" w:after="20"/>
              <w:jc w:val="center"/>
              <w:rPr>
                <w:sz w:val="16"/>
                <w:szCs w:val="16"/>
              </w:rPr>
            </w:pPr>
            <w:r w:rsidRPr="0083707C">
              <w:rPr>
                <w:sz w:val="16"/>
                <w:szCs w:val="16"/>
              </w:rPr>
              <w:t>131</w:t>
            </w:r>
          </w:p>
        </w:tc>
        <w:tc>
          <w:tcPr>
            <w:tcW w:w="887" w:type="dxa"/>
          </w:tcPr>
          <w:p w14:paraId="63B93345" w14:textId="7F9EE698" w:rsidR="006C40F0" w:rsidRPr="0083707C" w:rsidRDefault="00FB0E43" w:rsidP="000B03D9">
            <w:pPr>
              <w:spacing w:before="20" w:after="20"/>
              <w:jc w:val="center"/>
              <w:rPr>
                <w:sz w:val="16"/>
                <w:szCs w:val="16"/>
              </w:rPr>
            </w:pPr>
            <w:r w:rsidRPr="0083707C">
              <w:rPr>
                <w:sz w:val="16"/>
                <w:szCs w:val="16"/>
              </w:rPr>
              <w:t>2</w:t>
            </w:r>
          </w:p>
        </w:tc>
        <w:tc>
          <w:tcPr>
            <w:tcW w:w="880" w:type="dxa"/>
          </w:tcPr>
          <w:p w14:paraId="52F0BCA0" w14:textId="30E1EAED" w:rsidR="006C40F0" w:rsidRPr="0083707C" w:rsidRDefault="00FB0E43" w:rsidP="000B03D9">
            <w:pPr>
              <w:spacing w:before="20" w:after="20"/>
              <w:jc w:val="center"/>
              <w:rPr>
                <w:sz w:val="16"/>
                <w:szCs w:val="16"/>
              </w:rPr>
            </w:pPr>
            <w:r w:rsidRPr="0083707C">
              <w:rPr>
                <w:sz w:val="16"/>
                <w:szCs w:val="16"/>
              </w:rPr>
              <w:t>130</w:t>
            </w:r>
          </w:p>
        </w:tc>
        <w:tc>
          <w:tcPr>
            <w:tcW w:w="887" w:type="dxa"/>
          </w:tcPr>
          <w:p w14:paraId="788128CD" w14:textId="265EFBD8" w:rsidR="006C40F0" w:rsidRPr="0083707C" w:rsidRDefault="00FB0E43" w:rsidP="000B03D9">
            <w:pPr>
              <w:spacing w:before="20" w:after="20"/>
              <w:jc w:val="center"/>
              <w:rPr>
                <w:sz w:val="16"/>
                <w:szCs w:val="16"/>
              </w:rPr>
            </w:pPr>
            <w:r w:rsidRPr="0083707C">
              <w:rPr>
                <w:sz w:val="16"/>
                <w:szCs w:val="16"/>
              </w:rPr>
              <w:t>0</w:t>
            </w:r>
          </w:p>
        </w:tc>
        <w:tc>
          <w:tcPr>
            <w:tcW w:w="880" w:type="dxa"/>
          </w:tcPr>
          <w:p w14:paraId="0E074925" w14:textId="5C82F0DB" w:rsidR="006C40F0" w:rsidRPr="0083707C" w:rsidRDefault="00FB0E43" w:rsidP="000B03D9">
            <w:pPr>
              <w:spacing w:before="20" w:after="20"/>
              <w:jc w:val="center"/>
              <w:rPr>
                <w:sz w:val="16"/>
                <w:szCs w:val="16"/>
              </w:rPr>
            </w:pPr>
            <w:r w:rsidRPr="0083707C">
              <w:rPr>
                <w:sz w:val="16"/>
                <w:szCs w:val="16"/>
              </w:rPr>
              <w:t>0</w:t>
            </w:r>
          </w:p>
        </w:tc>
        <w:tc>
          <w:tcPr>
            <w:tcW w:w="887" w:type="dxa"/>
          </w:tcPr>
          <w:p w14:paraId="488DCFE8" w14:textId="327C389E" w:rsidR="006C40F0" w:rsidRPr="0083707C" w:rsidRDefault="006C40F0" w:rsidP="000B03D9">
            <w:pPr>
              <w:spacing w:before="20" w:after="20"/>
              <w:jc w:val="center"/>
              <w:rPr>
                <w:b/>
                <w:bCs/>
                <w:sz w:val="16"/>
                <w:szCs w:val="16"/>
              </w:rPr>
            </w:pPr>
            <w:r w:rsidRPr="0083707C">
              <w:rPr>
                <w:b/>
                <w:bCs/>
                <w:sz w:val="16"/>
                <w:szCs w:val="16"/>
              </w:rPr>
              <w:t>1</w:t>
            </w:r>
            <w:r w:rsidR="00FB0E43" w:rsidRPr="0083707C">
              <w:rPr>
                <w:b/>
                <w:bCs/>
                <w:sz w:val="16"/>
                <w:szCs w:val="16"/>
              </w:rPr>
              <w:t>4</w:t>
            </w:r>
          </w:p>
        </w:tc>
        <w:tc>
          <w:tcPr>
            <w:tcW w:w="880" w:type="dxa"/>
          </w:tcPr>
          <w:p w14:paraId="036DCB5B" w14:textId="0265A57C" w:rsidR="006C40F0" w:rsidRPr="0083707C" w:rsidRDefault="00FB0E43" w:rsidP="000B03D9">
            <w:pPr>
              <w:spacing w:before="20" w:after="20"/>
              <w:jc w:val="center"/>
              <w:rPr>
                <w:sz w:val="16"/>
                <w:szCs w:val="16"/>
              </w:rPr>
            </w:pPr>
            <w:r w:rsidRPr="0083707C">
              <w:rPr>
                <w:sz w:val="16"/>
                <w:szCs w:val="16"/>
              </w:rPr>
              <w:t>624</w:t>
            </w:r>
          </w:p>
        </w:tc>
      </w:tr>
      <w:tr w:rsidR="00CA45DF" w:rsidRPr="0083707C" w14:paraId="5DAEF74E" w14:textId="77777777" w:rsidTr="000B03D9">
        <w:trPr>
          <w:trHeight w:val="268"/>
          <w:jc w:val="center"/>
        </w:trPr>
        <w:tc>
          <w:tcPr>
            <w:tcW w:w="1084" w:type="dxa"/>
          </w:tcPr>
          <w:p w14:paraId="1064C7A3" w14:textId="77777777" w:rsidR="006C40F0" w:rsidRPr="0083707C" w:rsidRDefault="006C40F0" w:rsidP="000B03D9">
            <w:pPr>
              <w:spacing w:before="20" w:after="20"/>
              <w:rPr>
                <w:sz w:val="16"/>
                <w:szCs w:val="16"/>
              </w:rPr>
            </w:pPr>
            <w:r w:rsidRPr="0083707C">
              <w:rPr>
                <w:sz w:val="16"/>
                <w:szCs w:val="16"/>
              </w:rPr>
              <w:t>Américas</w:t>
            </w:r>
          </w:p>
        </w:tc>
        <w:tc>
          <w:tcPr>
            <w:tcW w:w="887" w:type="dxa"/>
          </w:tcPr>
          <w:p w14:paraId="054B6999" w14:textId="061472FE" w:rsidR="006C40F0" w:rsidRPr="0083707C" w:rsidRDefault="00D44049" w:rsidP="000B03D9">
            <w:pPr>
              <w:spacing w:before="20" w:after="20"/>
              <w:jc w:val="center"/>
              <w:rPr>
                <w:sz w:val="16"/>
                <w:szCs w:val="16"/>
              </w:rPr>
            </w:pPr>
            <w:r w:rsidRPr="0083707C">
              <w:rPr>
                <w:sz w:val="16"/>
                <w:szCs w:val="16"/>
              </w:rPr>
              <w:t>9</w:t>
            </w:r>
          </w:p>
        </w:tc>
        <w:tc>
          <w:tcPr>
            <w:tcW w:w="883" w:type="dxa"/>
          </w:tcPr>
          <w:p w14:paraId="391EBA98" w14:textId="2A42A608" w:rsidR="006C40F0" w:rsidRPr="0083707C" w:rsidRDefault="00D44049" w:rsidP="000B03D9">
            <w:pPr>
              <w:spacing w:before="20" w:after="20"/>
              <w:jc w:val="center"/>
              <w:rPr>
                <w:sz w:val="16"/>
                <w:szCs w:val="16"/>
              </w:rPr>
            </w:pPr>
            <w:r w:rsidRPr="0083707C">
              <w:rPr>
                <w:sz w:val="16"/>
                <w:szCs w:val="16"/>
              </w:rPr>
              <w:t>1 081</w:t>
            </w:r>
          </w:p>
        </w:tc>
        <w:tc>
          <w:tcPr>
            <w:tcW w:w="887" w:type="dxa"/>
          </w:tcPr>
          <w:p w14:paraId="6AE932E8" w14:textId="77777777" w:rsidR="006C40F0" w:rsidRPr="0083707C" w:rsidRDefault="006C40F0" w:rsidP="000B03D9">
            <w:pPr>
              <w:spacing w:before="20" w:after="20"/>
              <w:jc w:val="center"/>
              <w:rPr>
                <w:sz w:val="16"/>
                <w:szCs w:val="16"/>
              </w:rPr>
            </w:pPr>
            <w:r w:rsidRPr="0083707C">
              <w:rPr>
                <w:sz w:val="16"/>
                <w:szCs w:val="16"/>
              </w:rPr>
              <w:t>0</w:t>
            </w:r>
          </w:p>
        </w:tc>
        <w:tc>
          <w:tcPr>
            <w:tcW w:w="880" w:type="dxa"/>
          </w:tcPr>
          <w:p w14:paraId="0F52D862" w14:textId="77777777" w:rsidR="006C40F0" w:rsidRPr="0083707C" w:rsidRDefault="006C40F0" w:rsidP="000B03D9">
            <w:pPr>
              <w:spacing w:before="20" w:after="20"/>
              <w:jc w:val="center"/>
              <w:rPr>
                <w:sz w:val="16"/>
                <w:szCs w:val="16"/>
              </w:rPr>
            </w:pPr>
            <w:r w:rsidRPr="0083707C">
              <w:rPr>
                <w:sz w:val="16"/>
                <w:szCs w:val="16"/>
              </w:rPr>
              <w:t>0</w:t>
            </w:r>
          </w:p>
        </w:tc>
        <w:tc>
          <w:tcPr>
            <w:tcW w:w="887" w:type="dxa"/>
          </w:tcPr>
          <w:p w14:paraId="7843E2DE" w14:textId="71D0B2C4" w:rsidR="006C40F0" w:rsidRPr="0083707C" w:rsidRDefault="00FB0E43" w:rsidP="000B03D9">
            <w:pPr>
              <w:spacing w:before="20" w:after="20"/>
              <w:jc w:val="center"/>
              <w:rPr>
                <w:sz w:val="16"/>
                <w:szCs w:val="16"/>
              </w:rPr>
            </w:pPr>
            <w:r w:rsidRPr="0083707C">
              <w:rPr>
                <w:sz w:val="16"/>
                <w:szCs w:val="16"/>
              </w:rPr>
              <w:t>1</w:t>
            </w:r>
          </w:p>
        </w:tc>
        <w:tc>
          <w:tcPr>
            <w:tcW w:w="880" w:type="dxa"/>
          </w:tcPr>
          <w:p w14:paraId="5F63527C" w14:textId="62995E5F" w:rsidR="006C40F0" w:rsidRPr="0083707C" w:rsidRDefault="00FB0E43" w:rsidP="000B03D9">
            <w:pPr>
              <w:spacing w:before="20" w:after="20"/>
              <w:jc w:val="center"/>
              <w:rPr>
                <w:sz w:val="16"/>
                <w:szCs w:val="16"/>
              </w:rPr>
            </w:pPr>
            <w:r w:rsidRPr="0083707C">
              <w:rPr>
                <w:sz w:val="16"/>
                <w:szCs w:val="16"/>
              </w:rPr>
              <w:t>19</w:t>
            </w:r>
          </w:p>
        </w:tc>
        <w:tc>
          <w:tcPr>
            <w:tcW w:w="887" w:type="dxa"/>
          </w:tcPr>
          <w:p w14:paraId="0060585C" w14:textId="35BF9136" w:rsidR="006C40F0" w:rsidRPr="0083707C" w:rsidRDefault="00FB0E43" w:rsidP="000B03D9">
            <w:pPr>
              <w:spacing w:before="20" w:after="20"/>
              <w:jc w:val="center"/>
              <w:rPr>
                <w:sz w:val="16"/>
                <w:szCs w:val="16"/>
              </w:rPr>
            </w:pPr>
            <w:r w:rsidRPr="0083707C">
              <w:rPr>
                <w:sz w:val="16"/>
                <w:szCs w:val="16"/>
              </w:rPr>
              <w:t>0</w:t>
            </w:r>
          </w:p>
        </w:tc>
        <w:tc>
          <w:tcPr>
            <w:tcW w:w="880" w:type="dxa"/>
          </w:tcPr>
          <w:p w14:paraId="0B2A77D3" w14:textId="113294CB" w:rsidR="006C40F0" w:rsidRPr="0083707C" w:rsidRDefault="00FB0E43" w:rsidP="000B03D9">
            <w:pPr>
              <w:spacing w:before="20" w:after="20"/>
              <w:jc w:val="center"/>
              <w:rPr>
                <w:sz w:val="16"/>
                <w:szCs w:val="16"/>
              </w:rPr>
            </w:pPr>
            <w:r w:rsidRPr="0083707C">
              <w:rPr>
                <w:sz w:val="16"/>
                <w:szCs w:val="16"/>
              </w:rPr>
              <w:t>0</w:t>
            </w:r>
          </w:p>
        </w:tc>
        <w:tc>
          <w:tcPr>
            <w:tcW w:w="887" w:type="dxa"/>
          </w:tcPr>
          <w:p w14:paraId="7743882E" w14:textId="03D7BDC0" w:rsidR="006C40F0" w:rsidRPr="0083707C" w:rsidRDefault="006C40F0" w:rsidP="000B03D9">
            <w:pPr>
              <w:spacing w:before="20" w:after="20"/>
              <w:jc w:val="center"/>
              <w:rPr>
                <w:b/>
                <w:bCs/>
                <w:sz w:val="16"/>
                <w:szCs w:val="16"/>
              </w:rPr>
            </w:pPr>
            <w:r w:rsidRPr="0083707C">
              <w:rPr>
                <w:b/>
                <w:bCs/>
                <w:sz w:val="16"/>
                <w:szCs w:val="16"/>
              </w:rPr>
              <w:t>1</w:t>
            </w:r>
            <w:r w:rsidR="00FB0E43" w:rsidRPr="0083707C">
              <w:rPr>
                <w:b/>
                <w:bCs/>
                <w:sz w:val="16"/>
                <w:szCs w:val="16"/>
              </w:rPr>
              <w:t>0</w:t>
            </w:r>
          </w:p>
        </w:tc>
        <w:tc>
          <w:tcPr>
            <w:tcW w:w="880" w:type="dxa"/>
          </w:tcPr>
          <w:p w14:paraId="74CC5392" w14:textId="298AD547" w:rsidR="006C40F0" w:rsidRPr="0083707C" w:rsidRDefault="00727DCE" w:rsidP="000B03D9">
            <w:pPr>
              <w:spacing w:before="20" w:after="20"/>
              <w:jc w:val="center"/>
              <w:rPr>
                <w:sz w:val="16"/>
                <w:szCs w:val="16"/>
              </w:rPr>
            </w:pPr>
            <w:r w:rsidRPr="0083707C">
              <w:rPr>
                <w:sz w:val="16"/>
                <w:szCs w:val="16"/>
              </w:rPr>
              <w:t>1 100</w:t>
            </w:r>
          </w:p>
        </w:tc>
      </w:tr>
      <w:tr w:rsidR="00CA45DF" w:rsidRPr="0083707C" w14:paraId="34A0EBC8" w14:textId="77777777" w:rsidTr="000B03D9">
        <w:trPr>
          <w:trHeight w:val="490"/>
          <w:jc w:val="center"/>
        </w:trPr>
        <w:tc>
          <w:tcPr>
            <w:tcW w:w="1084" w:type="dxa"/>
          </w:tcPr>
          <w:p w14:paraId="1C526180" w14:textId="77777777" w:rsidR="006C40F0" w:rsidRPr="0083707C" w:rsidRDefault="006C40F0" w:rsidP="000B03D9">
            <w:pPr>
              <w:spacing w:before="20" w:after="20"/>
              <w:rPr>
                <w:sz w:val="16"/>
                <w:szCs w:val="16"/>
              </w:rPr>
            </w:pPr>
            <w:r w:rsidRPr="0083707C">
              <w:rPr>
                <w:sz w:val="16"/>
                <w:szCs w:val="16"/>
              </w:rPr>
              <w:t>Estados Árabes</w:t>
            </w:r>
          </w:p>
        </w:tc>
        <w:tc>
          <w:tcPr>
            <w:tcW w:w="887" w:type="dxa"/>
          </w:tcPr>
          <w:p w14:paraId="1F733023" w14:textId="77777777" w:rsidR="006C40F0" w:rsidRPr="0083707C" w:rsidRDefault="006C40F0" w:rsidP="000B03D9">
            <w:pPr>
              <w:spacing w:before="20" w:after="20"/>
              <w:jc w:val="center"/>
              <w:rPr>
                <w:sz w:val="16"/>
                <w:szCs w:val="16"/>
              </w:rPr>
            </w:pPr>
            <w:r w:rsidRPr="0083707C">
              <w:rPr>
                <w:sz w:val="16"/>
                <w:szCs w:val="16"/>
              </w:rPr>
              <w:t>7</w:t>
            </w:r>
          </w:p>
        </w:tc>
        <w:tc>
          <w:tcPr>
            <w:tcW w:w="883" w:type="dxa"/>
          </w:tcPr>
          <w:p w14:paraId="210A70E1" w14:textId="06F07902" w:rsidR="006C40F0" w:rsidRPr="0083707C" w:rsidRDefault="00D44049" w:rsidP="000B03D9">
            <w:pPr>
              <w:spacing w:before="20" w:after="20"/>
              <w:jc w:val="center"/>
              <w:rPr>
                <w:sz w:val="16"/>
                <w:szCs w:val="16"/>
              </w:rPr>
            </w:pPr>
            <w:r w:rsidRPr="0083707C">
              <w:rPr>
                <w:sz w:val="16"/>
                <w:szCs w:val="16"/>
              </w:rPr>
              <w:t>257</w:t>
            </w:r>
          </w:p>
        </w:tc>
        <w:tc>
          <w:tcPr>
            <w:tcW w:w="887" w:type="dxa"/>
          </w:tcPr>
          <w:p w14:paraId="28992A20" w14:textId="77777777" w:rsidR="006C40F0" w:rsidRPr="0083707C" w:rsidRDefault="006C40F0" w:rsidP="000B03D9">
            <w:pPr>
              <w:spacing w:before="20" w:after="20"/>
              <w:jc w:val="center"/>
              <w:rPr>
                <w:sz w:val="16"/>
                <w:szCs w:val="16"/>
              </w:rPr>
            </w:pPr>
            <w:r w:rsidRPr="0083707C">
              <w:rPr>
                <w:sz w:val="16"/>
                <w:szCs w:val="16"/>
              </w:rPr>
              <w:t>0</w:t>
            </w:r>
          </w:p>
        </w:tc>
        <w:tc>
          <w:tcPr>
            <w:tcW w:w="880" w:type="dxa"/>
          </w:tcPr>
          <w:p w14:paraId="16F1E4EB" w14:textId="77777777" w:rsidR="006C40F0" w:rsidRPr="0083707C" w:rsidRDefault="006C40F0" w:rsidP="000B03D9">
            <w:pPr>
              <w:spacing w:before="20" w:after="20"/>
              <w:jc w:val="center"/>
              <w:rPr>
                <w:sz w:val="16"/>
                <w:szCs w:val="16"/>
              </w:rPr>
            </w:pPr>
            <w:r w:rsidRPr="0083707C">
              <w:rPr>
                <w:sz w:val="16"/>
                <w:szCs w:val="16"/>
              </w:rPr>
              <w:t>0</w:t>
            </w:r>
          </w:p>
        </w:tc>
        <w:tc>
          <w:tcPr>
            <w:tcW w:w="887" w:type="dxa"/>
          </w:tcPr>
          <w:p w14:paraId="58E7D64C" w14:textId="7BCFD657" w:rsidR="006C40F0" w:rsidRPr="0083707C" w:rsidRDefault="00D44049" w:rsidP="000B03D9">
            <w:pPr>
              <w:spacing w:before="20" w:after="20"/>
              <w:jc w:val="center"/>
              <w:rPr>
                <w:sz w:val="16"/>
                <w:szCs w:val="16"/>
              </w:rPr>
            </w:pPr>
            <w:r w:rsidRPr="0083707C">
              <w:rPr>
                <w:sz w:val="16"/>
                <w:szCs w:val="16"/>
              </w:rPr>
              <w:t>0</w:t>
            </w:r>
          </w:p>
        </w:tc>
        <w:tc>
          <w:tcPr>
            <w:tcW w:w="880" w:type="dxa"/>
          </w:tcPr>
          <w:p w14:paraId="51151406" w14:textId="446727EE" w:rsidR="006C40F0" w:rsidRPr="0083707C" w:rsidRDefault="00FB0E43" w:rsidP="000B03D9">
            <w:pPr>
              <w:spacing w:before="20" w:after="20"/>
              <w:jc w:val="center"/>
              <w:rPr>
                <w:sz w:val="16"/>
                <w:szCs w:val="16"/>
              </w:rPr>
            </w:pPr>
            <w:r w:rsidRPr="0083707C">
              <w:rPr>
                <w:sz w:val="16"/>
                <w:szCs w:val="16"/>
              </w:rPr>
              <w:t>0</w:t>
            </w:r>
          </w:p>
        </w:tc>
        <w:tc>
          <w:tcPr>
            <w:tcW w:w="887" w:type="dxa"/>
          </w:tcPr>
          <w:p w14:paraId="30AE1208" w14:textId="0D8EAE40" w:rsidR="006C40F0" w:rsidRPr="0083707C" w:rsidRDefault="00FB0E43" w:rsidP="000B03D9">
            <w:pPr>
              <w:spacing w:before="20" w:after="20"/>
              <w:jc w:val="center"/>
              <w:rPr>
                <w:sz w:val="16"/>
                <w:szCs w:val="16"/>
              </w:rPr>
            </w:pPr>
            <w:r w:rsidRPr="0083707C">
              <w:rPr>
                <w:sz w:val="16"/>
                <w:szCs w:val="16"/>
              </w:rPr>
              <w:t>0</w:t>
            </w:r>
          </w:p>
        </w:tc>
        <w:tc>
          <w:tcPr>
            <w:tcW w:w="880" w:type="dxa"/>
          </w:tcPr>
          <w:p w14:paraId="20F68D4E" w14:textId="7C98D0C9" w:rsidR="006C40F0" w:rsidRPr="0083707C" w:rsidRDefault="00FB0E43" w:rsidP="000B03D9">
            <w:pPr>
              <w:spacing w:before="20" w:after="20"/>
              <w:jc w:val="center"/>
              <w:rPr>
                <w:sz w:val="16"/>
                <w:szCs w:val="16"/>
              </w:rPr>
            </w:pPr>
            <w:r w:rsidRPr="0083707C">
              <w:rPr>
                <w:sz w:val="16"/>
                <w:szCs w:val="16"/>
              </w:rPr>
              <w:t>0</w:t>
            </w:r>
          </w:p>
        </w:tc>
        <w:tc>
          <w:tcPr>
            <w:tcW w:w="887" w:type="dxa"/>
          </w:tcPr>
          <w:p w14:paraId="2D97BF5B" w14:textId="6F705815" w:rsidR="006C40F0" w:rsidRPr="0083707C" w:rsidRDefault="00FB0E43" w:rsidP="000B03D9">
            <w:pPr>
              <w:spacing w:before="20" w:after="20"/>
              <w:jc w:val="center"/>
              <w:rPr>
                <w:b/>
                <w:bCs/>
                <w:sz w:val="16"/>
                <w:szCs w:val="16"/>
              </w:rPr>
            </w:pPr>
            <w:r w:rsidRPr="0083707C">
              <w:rPr>
                <w:b/>
                <w:bCs/>
                <w:sz w:val="16"/>
                <w:szCs w:val="16"/>
              </w:rPr>
              <w:t>7</w:t>
            </w:r>
          </w:p>
        </w:tc>
        <w:tc>
          <w:tcPr>
            <w:tcW w:w="880" w:type="dxa"/>
          </w:tcPr>
          <w:p w14:paraId="3194CD9E" w14:textId="73FE109E" w:rsidR="006C40F0" w:rsidRPr="0083707C" w:rsidRDefault="00727DCE" w:rsidP="000B03D9">
            <w:pPr>
              <w:spacing w:before="20" w:after="20"/>
              <w:jc w:val="center"/>
              <w:rPr>
                <w:sz w:val="16"/>
                <w:szCs w:val="16"/>
              </w:rPr>
            </w:pPr>
            <w:r w:rsidRPr="0083707C">
              <w:rPr>
                <w:sz w:val="16"/>
                <w:szCs w:val="16"/>
              </w:rPr>
              <w:t>257</w:t>
            </w:r>
          </w:p>
        </w:tc>
      </w:tr>
      <w:tr w:rsidR="00CA45DF" w:rsidRPr="0083707C" w14:paraId="29766989" w14:textId="77777777" w:rsidTr="000B03D9">
        <w:trPr>
          <w:trHeight w:val="394"/>
          <w:jc w:val="center"/>
        </w:trPr>
        <w:tc>
          <w:tcPr>
            <w:tcW w:w="1084" w:type="dxa"/>
          </w:tcPr>
          <w:p w14:paraId="1C823924" w14:textId="77777777" w:rsidR="006C40F0" w:rsidRPr="0083707C" w:rsidRDefault="006C40F0" w:rsidP="000B03D9">
            <w:pPr>
              <w:spacing w:before="20" w:after="20"/>
              <w:rPr>
                <w:sz w:val="16"/>
                <w:szCs w:val="16"/>
              </w:rPr>
            </w:pPr>
            <w:r w:rsidRPr="0083707C">
              <w:rPr>
                <w:sz w:val="16"/>
                <w:szCs w:val="16"/>
              </w:rPr>
              <w:t>Asia-Pacífico</w:t>
            </w:r>
          </w:p>
        </w:tc>
        <w:tc>
          <w:tcPr>
            <w:tcW w:w="887" w:type="dxa"/>
          </w:tcPr>
          <w:p w14:paraId="4AD6D99E" w14:textId="20E1F1B2" w:rsidR="006C40F0" w:rsidRPr="0083707C" w:rsidRDefault="00D44049" w:rsidP="000B03D9">
            <w:pPr>
              <w:spacing w:before="20" w:after="20"/>
              <w:jc w:val="center"/>
              <w:rPr>
                <w:sz w:val="16"/>
                <w:szCs w:val="16"/>
              </w:rPr>
            </w:pPr>
            <w:r w:rsidRPr="0083707C">
              <w:rPr>
                <w:sz w:val="16"/>
                <w:szCs w:val="16"/>
              </w:rPr>
              <w:t>12</w:t>
            </w:r>
          </w:p>
        </w:tc>
        <w:tc>
          <w:tcPr>
            <w:tcW w:w="883" w:type="dxa"/>
          </w:tcPr>
          <w:p w14:paraId="2F675D70" w14:textId="6493533D" w:rsidR="006C40F0" w:rsidRPr="0083707C" w:rsidRDefault="006C40F0" w:rsidP="000B03D9">
            <w:pPr>
              <w:spacing w:before="20" w:after="20"/>
              <w:jc w:val="center"/>
              <w:rPr>
                <w:sz w:val="16"/>
                <w:szCs w:val="16"/>
              </w:rPr>
            </w:pPr>
            <w:r w:rsidRPr="0083707C">
              <w:rPr>
                <w:sz w:val="16"/>
                <w:szCs w:val="16"/>
              </w:rPr>
              <w:t>5</w:t>
            </w:r>
            <w:r w:rsidR="00D44049" w:rsidRPr="0083707C">
              <w:rPr>
                <w:sz w:val="16"/>
                <w:szCs w:val="16"/>
              </w:rPr>
              <w:t>78</w:t>
            </w:r>
          </w:p>
        </w:tc>
        <w:tc>
          <w:tcPr>
            <w:tcW w:w="887" w:type="dxa"/>
          </w:tcPr>
          <w:p w14:paraId="2B785FC4" w14:textId="77777777" w:rsidR="006C40F0" w:rsidRPr="0083707C" w:rsidRDefault="006C40F0" w:rsidP="000B03D9">
            <w:pPr>
              <w:spacing w:before="20" w:after="20"/>
              <w:jc w:val="center"/>
              <w:rPr>
                <w:sz w:val="16"/>
                <w:szCs w:val="16"/>
              </w:rPr>
            </w:pPr>
            <w:r w:rsidRPr="0083707C">
              <w:rPr>
                <w:sz w:val="16"/>
                <w:szCs w:val="16"/>
              </w:rPr>
              <w:t>1</w:t>
            </w:r>
          </w:p>
        </w:tc>
        <w:tc>
          <w:tcPr>
            <w:tcW w:w="880" w:type="dxa"/>
          </w:tcPr>
          <w:p w14:paraId="43FEA005" w14:textId="57F5AEEE" w:rsidR="006C40F0" w:rsidRPr="0083707C" w:rsidRDefault="00D44049" w:rsidP="000B03D9">
            <w:pPr>
              <w:spacing w:before="20" w:after="20"/>
              <w:jc w:val="center"/>
              <w:rPr>
                <w:sz w:val="16"/>
                <w:szCs w:val="16"/>
              </w:rPr>
            </w:pPr>
            <w:r w:rsidRPr="0083707C">
              <w:rPr>
                <w:sz w:val="16"/>
                <w:szCs w:val="16"/>
              </w:rPr>
              <w:t>0</w:t>
            </w:r>
          </w:p>
        </w:tc>
        <w:tc>
          <w:tcPr>
            <w:tcW w:w="887" w:type="dxa"/>
          </w:tcPr>
          <w:p w14:paraId="1A4DB40A" w14:textId="5E945B83" w:rsidR="006C40F0" w:rsidRPr="0083707C" w:rsidRDefault="006C40F0" w:rsidP="000B03D9">
            <w:pPr>
              <w:spacing w:before="20" w:after="20"/>
              <w:jc w:val="center"/>
              <w:rPr>
                <w:sz w:val="16"/>
                <w:szCs w:val="16"/>
              </w:rPr>
            </w:pPr>
            <w:r w:rsidRPr="0083707C">
              <w:rPr>
                <w:sz w:val="16"/>
                <w:szCs w:val="16"/>
              </w:rPr>
              <w:t>1</w:t>
            </w:r>
          </w:p>
        </w:tc>
        <w:tc>
          <w:tcPr>
            <w:tcW w:w="880" w:type="dxa"/>
          </w:tcPr>
          <w:p w14:paraId="32009D67" w14:textId="75BBE414" w:rsidR="006C40F0" w:rsidRPr="0083707C" w:rsidRDefault="00FB0E43" w:rsidP="000B03D9">
            <w:pPr>
              <w:spacing w:before="20" w:after="20"/>
              <w:jc w:val="center"/>
              <w:rPr>
                <w:sz w:val="16"/>
                <w:szCs w:val="16"/>
              </w:rPr>
            </w:pPr>
            <w:r w:rsidRPr="0083707C">
              <w:rPr>
                <w:sz w:val="16"/>
                <w:szCs w:val="16"/>
              </w:rPr>
              <w:t>14</w:t>
            </w:r>
          </w:p>
        </w:tc>
        <w:tc>
          <w:tcPr>
            <w:tcW w:w="887" w:type="dxa"/>
          </w:tcPr>
          <w:p w14:paraId="5CA353FB" w14:textId="145C4930" w:rsidR="006C40F0" w:rsidRPr="0083707C" w:rsidRDefault="00FB0E43" w:rsidP="000B03D9">
            <w:pPr>
              <w:spacing w:before="20" w:after="20"/>
              <w:jc w:val="center"/>
              <w:rPr>
                <w:sz w:val="16"/>
                <w:szCs w:val="16"/>
              </w:rPr>
            </w:pPr>
            <w:r w:rsidRPr="0083707C">
              <w:rPr>
                <w:sz w:val="16"/>
                <w:szCs w:val="16"/>
              </w:rPr>
              <w:t>0</w:t>
            </w:r>
          </w:p>
        </w:tc>
        <w:tc>
          <w:tcPr>
            <w:tcW w:w="880" w:type="dxa"/>
          </w:tcPr>
          <w:p w14:paraId="00D99CAE" w14:textId="3370772D" w:rsidR="006C40F0" w:rsidRPr="0083707C" w:rsidRDefault="00FB0E43" w:rsidP="000B03D9">
            <w:pPr>
              <w:spacing w:before="20" w:after="20"/>
              <w:jc w:val="center"/>
              <w:rPr>
                <w:sz w:val="16"/>
                <w:szCs w:val="16"/>
              </w:rPr>
            </w:pPr>
            <w:r w:rsidRPr="0083707C">
              <w:rPr>
                <w:sz w:val="16"/>
                <w:szCs w:val="16"/>
              </w:rPr>
              <w:t>0</w:t>
            </w:r>
          </w:p>
        </w:tc>
        <w:tc>
          <w:tcPr>
            <w:tcW w:w="887" w:type="dxa"/>
          </w:tcPr>
          <w:p w14:paraId="375C602E" w14:textId="03BB0AC5" w:rsidR="006C40F0" w:rsidRPr="0083707C" w:rsidRDefault="00FB0E43" w:rsidP="000B03D9">
            <w:pPr>
              <w:spacing w:before="20" w:after="20"/>
              <w:jc w:val="center"/>
              <w:rPr>
                <w:b/>
                <w:bCs/>
                <w:sz w:val="16"/>
                <w:szCs w:val="16"/>
              </w:rPr>
            </w:pPr>
            <w:r w:rsidRPr="0083707C">
              <w:rPr>
                <w:b/>
                <w:bCs/>
                <w:sz w:val="16"/>
                <w:szCs w:val="16"/>
              </w:rPr>
              <w:t>14</w:t>
            </w:r>
          </w:p>
        </w:tc>
        <w:tc>
          <w:tcPr>
            <w:tcW w:w="880" w:type="dxa"/>
          </w:tcPr>
          <w:p w14:paraId="6DE29B8D" w14:textId="091E7DFE" w:rsidR="006C40F0" w:rsidRPr="0083707C" w:rsidRDefault="00FB0E43" w:rsidP="000B03D9">
            <w:pPr>
              <w:spacing w:before="20" w:after="20"/>
              <w:jc w:val="center"/>
              <w:rPr>
                <w:sz w:val="16"/>
                <w:szCs w:val="16"/>
              </w:rPr>
            </w:pPr>
            <w:r w:rsidRPr="0083707C">
              <w:rPr>
                <w:sz w:val="16"/>
                <w:szCs w:val="16"/>
              </w:rPr>
              <w:t>592</w:t>
            </w:r>
          </w:p>
        </w:tc>
      </w:tr>
      <w:tr w:rsidR="00CA45DF" w:rsidRPr="0083707C" w14:paraId="4B1D2E26" w14:textId="77777777" w:rsidTr="000B03D9">
        <w:trPr>
          <w:trHeight w:val="268"/>
          <w:jc w:val="center"/>
        </w:trPr>
        <w:tc>
          <w:tcPr>
            <w:tcW w:w="1084" w:type="dxa"/>
          </w:tcPr>
          <w:p w14:paraId="3EBB633E" w14:textId="77777777" w:rsidR="006C40F0" w:rsidRPr="0083707C" w:rsidRDefault="006C40F0" w:rsidP="000B03D9">
            <w:pPr>
              <w:spacing w:before="20" w:after="20"/>
              <w:rPr>
                <w:sz w:val="16"/>
                <w:szCs w:val="16"/>
              </w:rPr>
            </w:pPr>
            <w:r w:rsidRPr="0083707C">
              <w:rPr>
                <w:sz w:val="16"/>
                <w:szCs w:val="16"/>
              </w:rPr>
              <w:t>CEI</w:t>
            </w:r>
          </w:p>
        </w:tc>
        <w:tc>
          <w:tcPr>
            <w:tcW w:w="887" w:type="dxa"/>
          </w:tcPr>
          <w:p w14:paraId="35DB1D63" w14:textId="43A22555" w:rsidR="006C40F0" w:rsidRPr="0083707C" w:rsidRDefault="00D44049" w:rsidP="000B03D9">
            <w:pPr>
              <w:spacing w:before="20" w:after="20"/>
              <w:jc w:val="center"/>
              <w:rPr>
                <w:sz w:val="16"/>
                <w:szCs w:val="16"/>
              </w:rPr>
            </w:pPr>
            <w:r w:rsidRPr="0083707C">
              <w:rPr>
                <w:sz w:val="16"/>
                <w:szCs w:val="16"/>
              </w:rPr>
              <w:t>4</w:t>
            </w:r>
          </w:p>
        </w:tc>
        <w:tc>
          <w:tcPr>
            <w:tcW w:w="883" w:type="dxa"/>
          </w:tcPr>
          <w:p w14:paraId="32032CF7" w14:textId="017DF45D" w:rsidR="006C40F0" w:rsidRPr="0083707C" w:rsidRDefault="00D44049" w:rsidP="000B03D9">
            <w:pPr>
              <w:spacing w:before="20" w:after="20"/>
              <w:jc w:val="center"/>
              <w:rPr>
                <w:sz w:val="16"/>
                <w:szCs w:val="16"/>
              </w:rPr>
            </w:pPr>
            <w:r w:rsidRPr="0083707C">
              <w:rPr>
                <w:sz w:val="16"/>
                <w:szCs w:val="16"/>
              </w:rPr>
              <w:t>193</w:t>
            </w:r>
          </w:p>
        </w:tc>
        <w:tc>
          <w:tcPr>
            <w:tcW w:w="887" w:type="dxa"/>
          </w:tcPr>
          <w:p w14:paraId="3EE0DCF1" w14:textId="77777777" w:rsidR="006C40F0" w:rsidRPr="0083707C" w:rsidRDefault="006C40F0" w:rsidP="000B03D9">
            <w:pPr>
              <w:spacing w:before="20" w:after="20"/>
              <w:jc w:val="center"/>
              <w:rPr>
                <w:sz w:val="16"/>
                <w:szCs w:val="16"/>
              </w:rPr>
            </w:pPr>
            <w:r w:rsidRPr="0083707C">
              <w:rPr>
                <w:sz w:val="16"/>
                <w:szCs w:val="16"/>
              </w:rPr>
              <w:t>0</w:t>
            </w:r>
          </w:p>
        </w:tc>
        <w:tc>
          <w:tcPr>
            <w:tcW w:w="880" w:type="dxa"/>
          </w:tcPr>
          <w:p w14:paraId="5388E1E4" w14:textId="77777777" w:rsidR="006C40F0" w:rsidRPr="0083707C" w:rsidRDefault="006C40F0" w:rsidP="000B03D9">
            <w:pPr>
              <w:spacing w:before="20" w:after="20"/>
              <w:jc w:val="center"/>
              <w:rPr>
                <w:sz w:val="16"/>
                <w:szCs w:val="16"/>
              </w:rPr>
            </w:pPr>
            <w:r w:rsidRPr="0083707C">
              <w:rPr>
                <w:sz w:val="16"/>
                <w:szCs w:val="16"/>
              </w:rPr>
              <w:t>0</w:t>
            </w:r>
          </w:p>
        </w:tc>
        <w:tc>
          <w:tcPr>
            <w:tcW w:w="887" w:type="dxa"/>
          </w:tcPr>
          <w:p w14:paraId="454EC796" w14:textId="6AA6BEE8" w:rsidR="006C40F0" w:rsidRPr="0083707C" w:rsidRDefault="00FB0E43" w:rsidP="000B03D9">
            <w:pPr>
              <w:spacing w:before="20" w:after="20"/>
              <w:jc w:val="center"/>
              <w:rPr>
                <w:sz w:val="16"/>
                <w:szCs w:val="16"/>
              </w:rPr>
            </w:pPr>
            <w:r w:rsidRPr="0083707C">
              <w:rPr>
                <w:sz w:val="16"/>
                <w:szCs w:val="16"/>
              </w:rPr>
              <w:t>4</w:t>
            </w:r>
          </w:p>
        </w:tc>
        <w:tc>
          <w:tcPr>
            <w:tcW w:w="880" w:type="dxa"/>
          </w:tcPr>
          <w:p w14:paraId="7A4BA493" w14:textId="5C72BE2D" w:rsidR="006C40F0" w:rsidRPr="0083707C" w:rsidRDefault="00FB0E43" w:rsidP="000B03D9">
            <w:pPr>
              <w:spacing w:before="20" w:after="20"/>
              <w:jc w:val="center"/>
              <w:rPr>
                <w:sz w:val="16"/>
                <w:szCs w:val="16"/>
              </w:rPr>
            </w:pPr>
            <w:r w:rsidRPr="0083707C">
              <w:rPr>
                <w:sz w:val="16"/>
                <w:szCs w:val="16"/>
              </w:rPr>
              <w:t>145</w:t>
            </w:r>
          </w:p>
        </w:tc>
        <w:tc>
          <w:tcPr>
            <w:tcW w:w="887" w:type="dxa"/>
          </w:tcPr>
          <w:p w14:paraId="42F58880" w14:textId="14F38624" w:rsidR="006C40F0" w:rsidRPr="0083707C" w:rsidRDefault="00FB0E43" w:rsidP="000B03D9">
            <w:pPr>
              <w:spacing w:before="20" w:after="20"/>
              <w:jc w:val="center"/>
              <w:rPr>
                <w:sz w:val="16"/>
                <w:szCs w:val="16"/>
              </w:rPr>
            </w:pPr>
            <w:r w:rsidRPr="0083707C">
              <w:rPr>
                <w:sz w:val="16"/>
                <w:szCs w:val="16"/>
              </w:rPr>
              <w:t>0</w:t>
            </w:r>
          </w:p>
        </w:tc>
        <w:tc>
          <w:tcPr>
            <w:tcW w:w="880" w:type="dxa"/>
          </w:tcPr>
          <w:p w14:paraId="60825BF5" w14:textId="59E24AAD" w:rsidR="006C40F0" w:rsidRPr="0083707C" w:rsidRDefault="00FB0E43" w:rsidP="000B03D9">
            <w:pPr>
              <w:spacing w:before="20" w:after="20"/>
              <w:jc w:val="center"/>
              <w:rPr>
                <w:sz w:val="16"/>
                <w:szCs w:val="16"/>
              </w:rPr>
            </w:pPr>
            <w:r w:rsidRPr="0083707C">
              <w:rPr>
                <w:sz w:val="16"/>
                <w:szCs w:val="16"/>
              </w:rPr>
              <w:t>0</w:t>
            </w:r>
          </w:p>
        </w:tc>
        <w:tc>
          <w:tcPr>
            <w:tcW w:w="887" w:type="dxa"/>
          </w:tcPr>
          <w:p w14:paraId="040EAE75" w14:textId="4BDF1928" w:rsidR="006C40F0" w:rsidRPr="0083707C" w:rsidRDefault="00FB0E43" w:rsidP="000B03D9">
            <w:pPr>
              <w:spacing w:before="20" w:after="20"/>
              <w:jc w:val="center"/>
              <w:rPr>
                <w:b/>
                <w:bCs/>
                <w:sz w:val="16"/>
                <w:szCs w:val="16"/>
              </w:rPr>
            </w:pPr>
            <w:r w:rsidRPr="0083707C">
              <w:rPr>
                <w:b/>
                <w:bCs/>
                <w:sz w:val="16"/>
                <w:szCs w:val="16"/>
              </w:rPr>
              <w:t>8</w:t>
            </w:r>
          </w:p>
        </w:tc>
        <w:tc>
          <w:tcPr>
            <w:tcW w:w="880" w:type="dxa"/>
          </w:tcPr>
          <w:p w14:paraId="424779EC" w14:textId="25FEA1FF" w:rsidR="006C40F0" w:rsidRPr="0083707C" w:rsidRDefault="00FB0E43" w:rsidP="000B03D9">
            <w:pPr>
              <w:spacing w:before="20" w:after="20"/>
              <w:jc w:val="center"/>
              <w:rPr>
                <w:sz w:val="16"/>
                <w:szCs w:val="16"/>
              </w:rPr>
            </w:pPr>
            <w:r w:rsidRPr="0083707C">
              <w:rPr>
                <w:sz w:val="16"/>
                <w:szCs w:val="16"/>
              </w:rPr>
              <w:t>338</w:t>
            </w:r>
          </w:p>
        </w:tc>
      </w:tr>
      <w:tr w:rsidR="00CA45DF" w:rsidRPr="0083707C" w14:paraId="512BF0B1" w14:textId="77777777" w:rsidTr="000B03D9">
        <w:trPr>
          <w:trHeight w:val="257"/>
          <w:jc w:val="center"/>
        </w:trPr>
        <w:tc>
          <w:tcPr>
            <w:tcW w:w="1084" w:type="dxa"/>
          </w:tcPr>
          <w:p w14:paraId="3980325C" w14:textId="77777777" w:rsidR="006C40F0" w:rsidRPr="0083707C" w:rsidRDefault="006C40F0" w:rsidP="000B03D9">
            <w:pPr>
              <w:spacing w:before="20" w:after="20"/>
              <w:rPr>
                <w:sz w:val="16"/>
                <w:szCs w:val="16"/>
              </w:rPr>
            </w:pPr>
            <w:r w:rsidRPr="0083707C">
              <w:rPr>
                <w:sz w:val="16"/>
                <w:szCs w:val="16"/>
              </w:rPr>
              <w:t>Europa</w:t>
            </w:r>
          </w:p>
        </w:tc>
        <w:tc>
          <w:tcPr>
            <w:tcW w:w="887" w:type="dxa"/>
          </w:tcPr>
          <w:p w14:paraId="0618C300" w14:textId="28EDBFD0" w:rsidR="006C40F0" w:rsidRPr="0083707C" w:rsidRDefault="00D44049" w:rsidP="000B03D9">
            <w:pPr>
              <w:spacing w:before="20" w:after="20"/>
              <w:jc w:val="center"/>
              <w:rPr>
                <w:sz w:val="16"/>
                <w:szCs w:val="16"/>
              </w:rPr>
            </w:pPr>
            <w:r w:rsidRPr="0083707C">
              <w:rPr>
                <w:sz w:val="16"/>
                <w:szCs w:val="16"/>
              </w:rPr>
              <w:t>0</w:t>
            </w:r>
          </w:p>
        </w:tc>
        <w:tc>
          <w:tcPr>
            <w:tcW w:w="883" w:type="dxa"/>
          </w:tcPr>
          <w:p w14:paraId="7EFD86BA" w14:textId="62B13E5A" w:rsidR="006C40F0" w:rsidRPr="0083707C" w:rsidRDefault="00D44049" w:rsidP="000B03D9">
            <w:pPr>
              <w:spacing w:before="20" w:after="20"/>
              <w:jc w:val="center"/>
              <w:rPr>
                <w:sz w:val="16"/>
                <w:szCs w:val="16"/>
              </w:rPr>
            </w:pPr>
            <w:r w:rsidRPr="0083707C">
              <w:rPr>
                <w:sz w:val="16"/>
                <w:szCs w:val="16"/>
              </w:rPr>
              <w:t>0</w:t>
            </w:r>
          </w:p>
        </w:tc>
        <w:tc>
          <w:tcPr>
            <w:tcW w:w="887" w:type="dxa"/>
          </w:tcPr>
          <w:p w14:paraId="5F268275" w14:textId="77777777" w:rsidR="006C40F0" w:rsidRPr="0083707C" w:rsidRDefault="006C40F0" w:rsidP="000B03D9">
            <w:pPr>
              <w:spacing w:before="20" w:after="20"/>
              <w:jc w:val="center"/>
              <w:rPr>
                <w:sz w:val="16"/>
                <w:szCs w:val="16"/>
              </w:rPr>
            </w:pPr>
            <w:r w:rsidRPr="0083707C">
              <w:rPr>
                <w:sz w:val="16"/>
                <w:szCs w:val="16"/>
              </w:rPr>
              <w:t>0</w:t>
            </w:r>
          </w:p>
        </w:tc>
        <w:tc>
          <w:tcPr>
            <w:tcW w:w="880" w:type="dxa"/>
          </w:tcPr>
          <w:p w14:paraId="6367AA21" w14:textId="77777777" w:rsidR="006C40F0" w:rsidRPr="0083707C" w:rsidRDefault="006C40F0" w:rsidP="000B03D9">
            <w:pPr>
              <w:spacing w:before="20" w:after="20"/>
              <w:jc w:val="center"/>
              <w:rPr>
                <w:sz w:val="16"/>
                <w:szCs w:val="16"/>
              </w:rPr>
            </w:pPr>
            <w:r w:rsidRPr="0083707C">
              <w:rPr>
                <w:sz w:val="16"/>
                <w:szCs w:val="16"/>
              </w:rPr>
              <w:t>0</w:t>
            </w:r>
          </w:p>
        </w:tc>
        <w:tc>
          <w:tcPr>
            <w:tcW w:w="887" w:type="dxa"/>
          </w:tcPr>
          <w:p w14:paraId="1AF695D9" w14:textId="52BB7229" w:rsidR="006C40F0" w:rsidRPr="0083707C" w:rsidRDefault="00D44049" w:rsidP="000B03D9">
            <w:pPr>
              <w:spacing w:before="20" w:after="20"/>
              <w:jc w:val="center"/>
              <w:rPr>
                <w:sz w:val="16"/>
                <w:szCs w:val="16"/>
              </w:rPr>
            </w:pPr>
            <w:r w:rsidRPr="0083707C">
              <w:rPr>
                <w:sz w:val="16"/>
                <w:szCs w:val="16"/>
              </w:rPr>
              <w:t>0</w:t>
            </w:r>
          </w:p>
        </w:tc>
        <w:tc>
          <w:tcPr>
            <w:tcW w:w="880" w:type="dxa"/>
          </w:tcPr>
          <w:p w14:paraId="00DF61DB" w14:textId="6CE7F204" w:rsidR="006C40F0" w:rsidRPr="0083707C" w:rsidRDefault="00FB0E43" w:rsidP="000B03D9">
            <w:pPr>
              <w:spacing w:before="20" w:after="20"/>
              <w:jc w:val="center"/>
              <w:rPr>
                <w:sz w:val="16"/>
                <w:szCs w:val="16"/>
              </w:rPr>
            </w:pPr>
            <w:r w:rsidRPr="0083707C">
              <w:rPr>
                <w:sz w:val="16"/>
                <w:szCs w:val="16"/>
              </w:rPr>
              <w:t>0</w:t>
            </w:r>
          </w:p>
        </w:tc>
        <w:tc>
          <w:tcPr>
            <w:tcW w:w="887" w:type="dxa"/>
          </w:tcPr>
          <w:p w14:paraId="14B9AEA2" w14:textId="5957B234" w:rsidR="006C40F0" w:rsidRPr="0083707C" w:rsidRDefault="00FB0E43" w:rsidP="000B03D9">
            <w:pPr>
              <w:spacing w:before="20" w:after="20"/>
              <w:jc w:val="center"/>
              <w:rPr>
                <w:sz w:val="16"/>
                <w:szCs w:val="16"/>
              </w:rPr>
            </w:pPr>
            <w:r w:rsidRPr="0083707C">
              <w:rPr>
                <w:sz w:val="16"/>
                <w:szCs w:val="16"/>
              </w:rPr>
              <w:t>0</w:t>
            </w:r>
          </w:p>
        </w:tc>
        <w:tc>
          <w:tcPr>
            <w:tcW w:w="880" w:type="dxa"/>
          </w:tcPr>
          <w:p w14:paraId="326D2670" w14:textId="5D6DD71D" w:rsidR="006C40F0" w:rsidRPr="0083707C" w:rsidRDefault="00FB0E43" w:rsidP="000B03D9">
            <w:pPr>
              <w:spacing w:before="20" w:after="20"/>
              <w:jc w:val="center"/>
              <w:rPr>
                <w:sz w:val="16"/>
                <w:szCs w:val="16"/>
              </w:rPr>
            </w:pPr>
            <w:r w:rsidRPr="0083707C">
              <w:rPr>
                <w:sz w:val="16"/>
                <w:szCs w:val="16"/>
              </w:rPr>
              <w:t>0</w:t>
            </w:r>
          </w:p>
        </w:tc>
        <w:tc>
          <w:tcPr>
            <w:tcW w:w="887" w:type="dxa"/>
          </w:tcPr>
          <w:p w14:paraId="206874C3" w14:textId="2AE56FB8" w:rsidR="006C40F0" w:rsidRPr="0083707C" w:rsidRDefault="00FB0E43" w:rsidP="000B03D9">
            <w:pPr>
              <w:spacing w:before="20" w:after="20"/>
              <w:jc w:val="center"/>
              <w:rPr>
                <w:b/>
                <w:bCs/>
                <w:sz w:val="16"/>
                <w:szCs w:val="16"/>
              </w:rPr>
            </w:pPr>
            <w:r w:rsidRPr="0083707C">
              <w:rPr>
                <w:b/>
                <w:bCs/>
                <w:sz w:val="16"/>
                <w:szCs w:val="16"/>
              </w:rPr>
              <w:t>0</w:t>
            </w:r>
          </w:p>
        </w:tc>
        <w:tc>
          <w:tcPr>
            <w:tcW w:w="880" w:type="dxa"/>
          </w:tcPr>
          <w:p w14:paraId="62542568" w14:textId="173C1F03" w:rsidR="006C40F0" w:rsidRPr="0083707C" w:rsidRDefault="00FB0E43" w:rsidP="000B03D9">
            <w:pPr>
              <w:spacing w:before="20" w:after="20"/>
              <w:jc w:val="center"/>
              <w:rPr>
                <w:sz w:val="16"/>
                <w:szCs w:val="16"/>
              </w:rPr>
            </w:pPr>
            <w:r w:rsidRPr="0083707C">
              <w:rPr>
                <w:sz w:val="16"/>
                <w:szCs w:val="16"/>
              </w:rPr>
              <w:t>0</w:t>
            </w:r>
          </w:p>
        </w:tc>
      </w:tr>
      <w:tr w:rsidR="00CA45DF" w:rsidRPr="0083707C" w14:paraId="6FEA6EC0" w14:textId="77777777" w:rsidTr="000B03D9">
        <w:trPr>
          <w:trHeight w:val="268"/>
          <w:jc w:val="center"/>
        </w:trPr>
        <w:tc>
          <w:tcPr>
            <w:tcW w:w="1084" w:type="dxa"/>
          </w:tcPr>
          <w:p w14:paraId="1DBD99A8" w14:textId="77777777" w:rsidR="006C40F0" w:rsidRPr="0083707C" w:rsidRDefault="006C40F0" w:rsidP="000B03D9">
            <w:pPr>
              <w:spacing w:before="20" w:after="20"/>
              <w:rPr>
                <w:sz w:val="16"/>
                <w:szCs w:val="16"/>
              </w:rPr>
            </w:pPr>
            <w:r w:rsidRPr="0083707C">
              <w:rPr>
                <w:sz w:val="16"/>
                <w:szCs w:val="16"/>
              </w:rPr>
              <w:t>Multi</w:t>
            </w:r>
          </w:p>
        </w:tc>
        <w:tc>
          <w:tcPr>
            <w:tcW w:w="887" w:type="dxa"/>
          </w:tcPr>
          <w:p w14:paraId="0DBC9654" w14:textId="11FAA36D" w:rsidR="006C40F0" w:rsidRPr="0083707C" w:rsidRDefault="00D44049" w:rsidP="000B03D9">
            <w:pPr>
              <w:spacing w:before="20" w:after="20"/>
              <w:jc w:val="center"/>
              <w:rPr>
                <w:sz w:val="16"/>
                <w:szCs w:val="16"/>
              </w:rPr>
            </w:pPr>
            <w:r w:rsidRPr="0083707C">
              <w:rPr>
                <w:sz w:val="16"/>
                <w:szCs w:val="16"/>
              </w:rPr>
              <w:t>22</w:t>
            </w:r>
          </w:p>
        </w:tc>
        <w:tc>
          <w:tcPr>
            <w:tcW w:w="883" w:type="dxa"/>
          </w:tcPr>
          <w:p w14:paraId="16DFD542" w14:textId="30A47E55" w:rsidR="006C40F0" w:rsidRPr="0083707C" w:rsidRDefault="00D44049" w:rsidP="000B03D9">
            <w:pPr>
              <w:spacing w:before="20" w:after="20"/>
              <w:jc w:val="center"/>
              <w:rPr>
                <w:sz w:val="16"/>
                <w:szCs w:val="16"/>
              </w:rPr>
            </w:pPr>
            <w:r w:rsidRPr="0083707C">
              <w:rPr>
                <w:sz w:val="16"/>
                <w:szCs w:val="16"/>
              </w:rPr>
              <w:t>1 524</w:t>
            </w:r>
          </w:p>
        </w:tc>
        <w:tc>
          <w:tcPr>
            <w:tcW w:w="887" w:type="dxa"/>
          </w:tcPr>
          <w:p w14:paraId="2404F60E" w14:textId="0BD5F644" w:rsidR="006C40F0" w:rsidRPr="0083707C" w:rsidRDefault="00D44049" w:rsidP="000B03D9">
            <w:pPr>
              <w:spacing w:before="20" w:after="20"/>
              <w:jc w:val="center"/>
              <w:rPr>
                <w:sz w:val="16"/>
                <w:szCs w:val="16"/>
              </w:rPr>
            </w:pPr>
            <w:r w:rsidRPr="0083707C">
              <w:rPr>
                <w:sz w:val="16"/>
                <w:szCs w:val="16"/>
              </w:rPr>
              <w:t>4</w:t>
            </w:r>
          </w:p>
        </w:tc>
        <w:tc>
          <w:tcPr>
            <w:tcW w:w="880" w:type="dxa"/>
          </w:tcPr>
          <w:p w14:paraId="6D604FF3" w14:textId="53A42023" w:rsidR="006C40F0" w:rsidRPr="0083707C" w:rsidRDefault="00D44049" w:rsidP="000B03D9">
            <w:pPr>
              <w:spacing w:before="20" w:after="20"/>
              <w:jc w:val="center"/>
              <w:rPr>
                <w:sz w:val="16"/>
                <w:szCs w:val="16"/>
              </w:rPr>
            </w:pPr>
            <w:r w:rsidRPr="0083707C">
              <w:rPr>
                <w:sz w:val="16"/>
                <w:szCs w:val="16"/>
              </w:rPr>
              <w:t>200</w:t>
            </w:r>
          </w:p>
        </w:tc>
        <w:tc>
          <w:tcPr>
            <w:tcW w:w="887" w:type="dxa"/>
          </w:tcPr>
          <w:p w14:paraId="22E80774" w14:textId="507921BD" w:rsidR="006C40F0" w:rsidRPr="0083707C" w:rsidRDefault="00D44049" w:rsidP="000B03D9">
            <w:pPr>
              <w:spacing w:before="20" w:after="20"/>
              <w:jc w:val="center"/>
              <w:rPr>
                <w:sz w:val="16"/>
                <w:szCs w:val="16"/>
              </w:rPr>
            </w:pPr>
            <w:r w:rsidRPr="0083707C">
              <w:rPr>
                <w:sz w:val="16"/>
                <w:szCs w:val="16"/>
              </w:rPr>
              <w:t>12</w:t>
            </w:r>
          </w:p>
        </w:tc>
        <w:tc>
          <w:tcPr>
            <w:tcW w:w="880" w:type="dxa"/>
          </w:tcPr>
          <w:p w14:paraId="3A72AF74" w14:textId="52E9677A" w:rsidR="006C40F0" w:rsidRPr="0083707C" w:rsidRDefault="00FB0E43" w:rsidP="000B03D9">
            <w:pPr>
              <w:spacing w:before="20" w:after="20"/>
              <w:jc w:val="center"/>
              <w:rPr>
                <w:sz w:val="16"/>
                <w:szCs w:val="16"/>
              </w:rPr>
            </w:pPr>
            <w:r w:rsidRPr="0083707C">
              <w:rPr>
                <w:sz w:val="16"/>
                <w:szCs w:val="16"/>
              </w:rPr>
              <w:t>471</w:t>
            </w:r>
          </w:p>
        </w:tc>
        <w:tc>
          <w:tcPr>
            <w:tcW w:w="887" w:type="dxa"/>
          </w:tcPr>
          <w:p w14:paraId="5CC1C576" w14:textId="5F338CEF" w:rsidR="006C40F0" w:rsidRPr="0083707C" w:rsidRDefault="00FB0E43" w:rsidP="000B03D9">
            <w:pPr>
              <w:spacing w:before="20" w:after="20"/>
              <w:jc w:val="center"/>
              <w:rPr>
                <w:sz w:val="16"/>
                <w:szCs w:val="16"/>
              </w:rPr>
            </w:pPr>
            <w:r w:rsidRPr="0083707C">
              <w:rPr>
                <w:sz w:val="16"/>
                <w:szCs w:val="16"/>
              </w:rPr>
              <w:t>0</w:t>
            </w:r>
          </w:p>
        </w:tc>
        <w:tc>
          <w:tcPr>
            <w:tcW w:w="880" w:type="dxa"/>
          </w:tcPr>
          <w:p w14:paraId="10C13548" w14:textId="57B28FF4" w:rsidR="006C40F0" w:rsidRPr="0083707C" w:rsidRDefault="00FB0E43" w:rsidP="000B03D9">
            <w:pPr>
              <w:spacing w:before="20" w:after="20"/>
              <w:jc w:val="center"/>
              <w:rPr>
                <w:sz w:val="16"/>
                <w:szCs w:val="16"/>
              </w:rPr>
            </w:pPr>
            <w:r w:rsidRPr="0083707C">
              <w:rPr>
                <w:sz w:val="16"/>
                <w:szCs w:val="16"/>
              </w:rPr>
              <w:t>0</w:t>
            </w:r>
          </w:p>
        </w:tc>
        <w:tc>
          <w:tcPr>
            <w:tcW w:w="887" w:type="dxa"/>
          </w:tcPr>
          <w:p w14:paraId="5F25D6D5" w14:textId="4F93CBE7" w:rsidR="006C40F0" w:rsidRPr="0083707C" w:rsidRDefault="00FB0E43" w:rsidP="000B03D9">
            <w:pPr>
              <w:spacing w:before="20" w:after="20"/>
              <w:jc w:val="center"/>
              <w:rPr>
                <w:b/>
                <w:bCs/>
                <w:sz w:val="16"/>
                <w:szCs w:val="16"/>
              </w:rPr>
            </w:pPr>
            <w:r w:rsidRPr="0083707C">
              <w:rPr>
                <w:b/>
                <w:bCs/>
                <w:sz w:val="16"/>
                <w:szCs w:val="16"/>
              </w:rPr>
              <w:t>38</w:t>
            </w:r>
          </w:p>
        </w:tc>
        <w:tc>
          <w:tcPr>
            <w:tcW w:w="880" w:type="dxa"/>
          </w:tcPr>
          <w:p w14:paraId="49AF94C0" w14:textId="3CF48AF0" w:rsidR="006C40F0" w:rsidRPr="0083707C" w:rsidRDefault="00FB0E43" w:rsidP="000B03D9">
            <w:pPr>
              <w:spacing w:before="20" w:after="20"/>
              <w:jc w:val="center"/>
              <w:rPr>
                <w:sz w:val="16"/>
                <w:szCs w:val="16"/>
              </w:rPr>
            </w:pPr>
            <w:r w:rsidRPr="0083707C">
              <w:rPr>
                <w:sz w:val="16"/>
                <w:szCs w:val="16"/>
              </w:rPr>
              <w:t>2 195</w:t>
            </w:r>
          </w:p>
        </w:tc>
      </w:tr>
      <w:tr w:rsidR="00157469" w:rsidRPr="0083707C" w14:paraId="37010E83" w14:textId="77777777" w:rsidTr="00D44049">
        <w:trPr>
          <w:trHeight w:val="268"/>
          <w:jc w:val="center"/>
        </w:trPr>
        <w:tc>
          <w:tcPr>
            <w:tcW w:w="1084" w:type="dxa"/>
            <w:tcBorders>
              <w:bottom w:val="single" w:sz="4" w:space="0" w:color="auto"/>
            </w:tcBorders>
            <w:shd w:val="clear" w:color="auto" w:fill="C6D9F1" w:themeFill="text2" w:themeFillTint="33"/>
          </w:tcPr>
          <w:p w14:paraId="0FA7B643" w14:textId="77777777" w:rsidR="006C40F0" w:rsidRPr="0083707C" w:rsidRDefault="006C40F0" w:rsidP="000B03D9">
            <w:pPr>
              <w:spacing w:before="20" w:after="20"/>
              <w:rPr>
                <w:b/>
                <w:bCs/>
                <w:sz w:val="16"/>
                <w:szCs w:val="16"/>
              </w:rPr>
            </w:pPr>
            <w:r w:rsidRPr="0083707C">
              <w:rPr>
                <w:b/>
                <w:bCs/>
                <w:sz w:val="16"/>
                <w:szCs w:val="16"/>
              </w:rPr>
              <w:t>Total</w:t>
            </w:r>
          </w:p>
        </w:tc>
        <w:tc>
          <w:tcPr>
            <w:tcW w:w="887" w:type="dxa"/>
            <w:tcBorders>
              <w:bottom w:val="single" w:sz="4" w:space="0" w:color="auto"/>
            </w:tcBorders>
            <w:shd w:val="clear" w:color="auto" w:fill="C6D9F1" w:themeFill="text2" w:themeFillTint="33"/>
          </w:tcPr>
          <w:p w14:paraId="3007DB38" w14:textId="0AE1B5C2" w:rsidR="006C40F0" w:rsidRPr="0083707C" w:rsidRDefault="00D44049" w:rsidP="000B03D9">
            <w:pPr>
              <w:spacing w:before="20" w:after="20"/>
              <w:jc w:val="center"/>
              <w:rPr>
                <w:b/>
                <w:bCs/>
                <w:sz w:val="16"/>
                <w:szCs w:val="16"/>
              </w:rPr>
            </w:pPr>
            <w:r w:rsidRPr="0083707C">
              <w:rPr>
                <w:b/>
                <w:bCs/>
                <w:sz w:val="16"/>
                <w:szCs w:val="16"/>
              </w:rPr>
              <w:t>6</w:t>
            </w:r>
            <w:r w:rsidR="006C40F0" w:rsidRPr="0083707C">
              <w:rPr>
                <w:b/>
                <w:bCs/>
                <w:sz w:val="16"/>
                <w:szCs w:val="16"/>
              </w:rPr>
              <w:t>3</w:t>
            </w:r>
          </w:p>
        </w:tc>
        <w:tc>
          <w:tcPr>
            <w:tcW w:w="883" w:type="dxa"/>
            <w:tcBorders>
              <w:bottom w:val="single" w:sz="4" w:space="0" w:color="auto"/>
            </w:tcBorders>
            <w:shd w:val="clear" w:color="auto" w:fill="C6D9F1" w:themeFill="text2" w:themeFillTint="33"/>
          </w:tcPr>
          <w:p w14:paraId="3871B3A2" w14:textId="1E7EFF5D" w:rsidR="006C40F0" w:rsidRPr="0083707C" w:rsidRDefault="00D44049" w:rsidP="000B03D9">
            <w:pPr>
              <w:spacing w:before="20" w:after="20"/>
              <w:jc w:val="center"/>
              <w:rPr>
                <w:b/>
                <w:bCs/>
                <w:sz w:val="16"/>
                <w:szCs w:val="16"/>
              </w:rPr>
            </w:pPr>
            <w:r w:rsidRPr="0083707C">
              <w:rPr>
                <w:b/>
                <w:bCs/>
                <w:sz w:val="16"/>
                <w:szCs w:val="16"/>
              </w:rPr>
              <w:t>3 996</w:t>
            </w:r>
          </w:p>
        </w:tc>
        <w:tc>
          <w:tcPr>
            <w:tcW w:w="887" w:type="dxa"/>
            <w:tcBorders>
              <w:bottom w:val="single" w:sz="4" w:space="0" w:color="auto"/>
            </w:tcBorders>
            <w:shd w:val="clear" w:color="auto" w:fill="C6D9F1" w:themeFill="text2" w:themeFillTint="33"/>
          </w:tcPr>
          <w:p w14:paraId="7D0521D8" w14:textId="25E6B8B8" w:rsidR="006C40F0" w:rsidRPr="0083707C" w:rsidRDefault="00D44049" w:rsidP="000B03D9">
            <w:pPr>
              <w:spacing w:before="20" w:after="20"/>
              <w:jc w:val="center"/>
              <w:rPr>
                <w:b/>
                <w:bCs/>
                <w:sz w:val="16"/>
                <w:szCs w:val="16"/>
              </w:rPr>
            </w:pPr>
            <w:r w:rsidRPr="0083707C">
              <w:rPr>
                <w:b/>
                <w:bCs/>
                <w:sz w:val="16"/>
                <w:szCs w:val="16"/>
              </w:rPr>
              <w:t>8</w:t>
            </w:r>
          </w:p>
        </w:tc>
        <w:tc>
          <w:tcPr>
            <w:tcW w:w="880" w:type="dxa"/>
            <w:tcBorders>
              <w:bottom w:val="single" w:sz="4" w:space="0" w:color="auto"/>
            </w:tcBorders>
            <w:shd w:val="clear" w:color="auto" w:fill="C6D9F1" w:themeFill="text2" w:themeFillTint="33"/>
          </w:tcPr>
          <w:p w14:paraId="48F04D0F" w14:textId="31E0CCDC" w:rsidR="006C40F0" w:rsidRPr="0083707C" w:rsidRDefault="00D44049" w:rsidP="000B03D9">
            <w:pPr>
              <w:spacing w:before="20" w:after="20"/>
              <w:jc w:val="center"/>
              <w:rPr>
                <w:b/>
                <w:bCs/>
                <w:sz w:val="16"/>
                <w:szCs w:val="16"/>
              </w:rPr>
            </w:pPr>
            <w:r w:rsidRPr="0083707C">
              <w:rPr>
                <w:b/>
                <w:bCs/>
                <w:sz w:val="16"/>
                <w:szCs w:val="16"/>
              </w:rPr>
              <w:t>331</w:t>
            </w:r>
          </w:p>
        </w:tc>
        <w:tc>
          <w:tcPr>
            <w:tcW w:w="887" w:type="dxa"/>
            <w:tcBorders>
              <w:bottom w:val="single" w:sz="4" w:space="0" w:color="auto"/>
            </w:tcBorders>
            <w:shd w:val="clear" w:color="auto" w:fill="C6D9F1" w:themeFill="text2" w:themeFillTint="33"/>
          </w:tcPr>
          <w:p w14:paraId="45C92060" w14:textId="587A1E4B" w:rsidR="006C40F0" w:rsidRPr="0083707C" w:rsidRDefault="00D44049" w:rsidP="000B03D9">
            <w:pPr>
              <w:spacing w:before="20" w:after="20"/>
              <w:jc w:val="center"/>
              <w:rPr>
                <w:b/>
                <w:bCs/>
                <w:sz w:val="16"/>
                <w:szCs w:val="16"/>
              </w:rPr>
            </w:pPr>
            <w:r w:rsidRPr="0083707C">
              <w:rPr>
                <w:b/>
                <w:bCs/>
                <w:sz w:val="16"/>
                <w:szCs w:val="16"/>
              </w:rPr>
              <w:t>20</w:t>
            </w:r>
          </w:p>
        </w:tc>
        <w:tc>
          <w:tcPr>
            <w:tcW w:w="880" w:type="dxa"/>
            <w:tcBorders>
              <w:bottom w:val="single" w:sz="4" w:space="0" w:color="auto"/>
            </w:tcBorders>
            <w:shd w:val="clear" w:color="auto" w:fill="C6D9F1" w:themeFill="text2" w:themeFillTint="33"/>
          </w:tcPr>
          <w:p w14:paraId="4FEBDA3E" w14:textId="249100B8" w:rsidR="006C40F0" w:rsidRPr="0083707C" w:rsidRDefault="00727DCE" w:rsidP="000B03D9">
            <w:pPr>
              <w:spacing w:before="20" w:after="20"/>
              <w:jc w:val="center"/>
              <w:rPr>
                <w:b/>
                <w:bCs/>
                <w:sz w:val="16"/>
                <w:szCs w:val="16"/>
              </w:rPr>
            </w:pPr>
            <w:r w:rsidRPr="0083707C">
              <w:rPr>
                <w:b/>
                <w:bCs/>
                <w:sz w:val="16"/>
                <w:szCs w:val="16"/>
              </w:rPr>
              <w:t>779</w:t>
            </w:r>
          </w:p>
        </w:tc>
        <w:tc>
          <w:tcPr>
            <w:tcW w:w="887" w:type="dxa"/>
            <w:tcBorders>
              <w:bottom w:val="single" w:sz="4" w:space="0" w:color="auto"/>
            </w:tcBorders>
            <w:shd w:val="clear" w:color="auto" w:fill="C6D9F1" w:themeFill="text2" w:themeFillTint="33"/>
          </w:tcPr>
          <w:p w14:paraId="26204E6C" w14:textId="77777777" w:rsidR="006C40F0" w:rsidRPr="0083707C" w:rsidRDefault="006C40F0" w:rsidP="000B03D9">
            <w:pPr>
              <w:spacing w:before="20" w:after="20"/>
              <w:jc w:val="center"/>
              <w:rPr>
                <w:b/>
                <w:bCs/>
                <w:sz w:val="16"/>
                <w:szCs w:val="16"/>
              </w:rPr>
            </w:pPr>
            <w:r w:rsidRPr="0083707C">
              <w:rPr>
                <w:b/>
                <w:bCs/>
                <w:sz w:val="16"/>
                <w:szCs w:val="16"/>
              </w:rPr>
              <w:t>0</w:t>
            </w:r>
          </w:p>
        </w:tc>
        <w:tc>
          <w:tcPr>
            <w:tcW w:w="880" w:type="dxa"/>
            <w:tcBorders>
              <w:bottom w:val="single" w:sz="4" w:space="0" w:color="auto"/>
            </w:tcBorders>
            <w:shd w:val="clear" w:color="auto" w:fill="C6D9F1" w:themeFill="text2" w:themeFillTint="33"/>
          </w:tcPr>
          <w:p w14:paraId="406D4D2A" w14:textId="77777777" w:rsidR="006C40F0" w:rsidRPr="0083707C" w:rsidRDefault="006C40F0" w:rsidP="000B03D9">
            <w:pPr>
              <w:spacing w:before="20" w:after="20"/>
              <w:jc w:val="center"/>
              <w:rPr>
                <w:b/>
                <w:bCs/>
                <w:sz w:val="16"/>
                <w:szCs w:val="16"/>
              </w:rPr>
            </w:pPr>
            <w:r w:rsidRPr="0083707C">
              <w:rPr>
                <w:b/>
                <w:bCs/>
                <w:sz w:val="16"/>
                <w:szCs w:val="16"/>
              </w:rPr>
              <w:t>0</w:t>
            </w:r>
          </w:p>
        </w:tc>
        <w:tc>
          <w:tcPr>
            <w:tcW w:w="887" w:type="dxa"/>
            <w:tcBorders>
              <w:bottom w:val="single" w:sz="4" w:space="0" w:color="auto"/>
            </w:tcBorders>
            <w:shd w:val="clear" w:color="auto" w:fill="C6D9F1" w:themeFill="text2" w:themeFillTint="33"/>
          </w:tcPr>
          <w:p w14:paraId="3C362C7C" w14:textId="3BF75694" w:rsidR="006C40F0" w:rsidRPr="0083707C" w:rsidRDefault="00FB0E43" w:rsidP="000B03D9">
            <w:pPr>
              <w:spacing w:before="20" w:after="20"/>
              <w:jc w:val="center"/>
              <w:rPr>
                <w:b/>
                <w:bCs/>
                <w:sz w:val="16"/>
                <w:szCs w:val="16"/>
              </w:rPr>
            </w:pPr>
            <w:r w:rsidRPr="0083707C">
              <w:rPr>
                <w:b/>
                <w:bCs/>
                <w:sz w:val="16"/>
                <w:szCs w:val="16"/>
              </w:rPr>
              <w:t>91</w:t>
            </w:r>
          </w:p>
        </w:tc>
        <w:tc>
          <w:tcPr>
            <w:tcW w:w="880" w:type="dxa"/>
            <w:tcBorders>
              <w:bottom w:val="single" w:sz="4" w:space="0" w:color="auto"/>
            </w:tcBorders>
            <w:shd w:val="clear" w:color="auto" w:fill="C6D9F1" w:themeFill="text2" w:themeFillTint="33"/>
          </w:tcPr>
          <w:p w14:paraId="05555DED" w14:textId="06A0ED16" w:rsidR="006C40F0" w:rsidRPr="0083707C" w:rsidRDefault="00FB0E43" w:rsidP="000B03D9">
            <w:pPr>
              <w:spacing w:before="20" w:after="20"/>
              <w:jc w:val="center"/>
              <w:rPr>
                <w:b/>
                <w:bCs/>
                <w:sz w:val="16"/>
                <w:szCs w:val="16"/>
              </w:rPr>
            </w:pPr>
            <w:r w:rsidRPr="0083707C">
              <w:rPr>
                <w:b/>
                <w:bCs/>
                <w:sz w:val="16"/>
                <w:szCs w:val="16"/>
              </w:rPr>
              <w:t>5 105</w:t>
            </w:r>
          </w:p>
        </w:tc>
      </w:tr>
      <w:tr w:rsidR="00D44049" w:rsidRPr="0083707C" w14:paraId="46DFCA9B" w14:textId="77777777" w:rsidTr="00D44049">
        <w:trPr>
          <w:trHeight w:val="268"/>
          <w:jc w:val="center"/>
        </w:trPr>
        <w:tc>
          <w:tcPr>
            <w:tcW w:w="9922" w:type="dxa"/>
            <w:gridSpan w:val="11"/>
            <w:tcBorders>
              <w:top w:val="single" w:sz="4" w:space="0" w:color="auto"/>
              <w:left w:val="nil"/>
              <w:bottom w:val="nil"/>
              <w:right w:val="nil"/>
            </w:tcBorders>
            <w:shd w:val="clear" w:color="auto" w:fill="FFFFFF" w:themeFill="background1"/>
          </w:tcPr>
          <w:p w14:paraId="13B5F760" w14:textId="757BC84F" w:rsidR="00D44049" w:rsidRPr="0083707C" w:rsidRDefault="00D44049" w:rsidP="00FB0E43">
            <w:pPr>
              <w:pStyle w:val="Tablelegend"/>
              <w:rPr>
                <w:b/>
                <w:bCs/>
                <w:i/>
                <w:iCs/>
                <w:sz w:val="16"/>
                <w:szCs w:val="16"/>
              </w:rPr>
            </w:pPr>
            <w:r w:rsidRPr="0083707C">
              <w:rPr>
                <w:i/>
                <w:iCs/>
                <w:sz w:val="16"/>
                <w:szCs w:val="16"/>
              </w:rPr>
              <w:t>Nota: En este cuadro, el número de proyectos representa el número de fuentes de financiación procedentes de subvenciones individuales suscritas con socios de proyectos o de fondos asignados por la UIT.</w:t>
            </w:r>
          </w:p>
        </w:tc>
      </w:tr>
    </w:tbl>
    <w:p w14:paraId="3E968105" w14:textId="7713310A" w:rsidR="006C40F0" w:rsidRPr="0083707C" w:rsidRDefault="006C40F0" w:rsidP="006B652A">
      <w:pPr>
        <w:pStyle w:val="Normalaftertitle"/>
        <w:spacing w:before="360"/>
      </w:pPr>
      <w:r w:rsidRPr="0083707C">
        <w:t>5.3</w:t>
      </w:r>
      <w:r w:rsidRPr="0083707C">
        <w:tab/>
        <w:t>Cabe recordar que en 2018 el Consejo de la UIT decidió atribuir recursos para la financiación de proyectos destinados a poner en marcha las iniciativas regionales de la CMDT-17. Se aprobaron 2 millones CHF para el periodo 2018</w:t>
      </w:r>
      <w:r w:rsidRPr="0083707C">
        <w:noBreakHyphen/>
        <w:t xml:space="preserve">2019 y otros 3 millones CHF para 2020-2021 en el Plan Financiero 2020-2023. </w:t>
      </w:r>
      <w:bookmarkStart w:id="15" w:name="lt_pId111"/>
      <w:r w:rsidRPr="0083707C">
        <w:t xml:space="preserve">Estos fondos se asignaron como fondos iniciales utilizados para obtener fondos de los asociados. A finales de </w:t>
      </w:r>
      <w:r w:rsidR="002E65A5" w:rsidRPr="0083707C">
        <w:t xml:space="preserve">octubre de 2021, </w:t>
      </w:r>
      <w:r w:rsidRPr="0083707C">
        <w:t xml:space="preserve">se habían firmado un total de </w:t>
      </w:r>
      <w:r w:rsidR="002E65A5" w:rsidRPr="0083707C">
        <w:t>28</w:t>
      </w:r>
      <w:r w:rsidR="00D44049" w:rsidRPr="0083707C">
        <w:t> </w:t>
      </w:r>
      <w:r w:rsidRPr="0083707C">
        <w:t xml:space="preserve">proyectos para impulsar estas iniciativas, por un valor total de </w:t>
      </w:r>
      <w:r w:rsidR="002E65A5" w:rsidRPr="0083707C">
        <w:t>11,7</w:t>
      </w:r>
      <w:r w:rsidRPr="0083707C">
        <w:t xml:space="preserve"> millones CHF (incluidas las contribuciones en especie). Estos proyectos abarcan todas las regiones de la UIT, así como una serie de proyectos multirregionales. La contribución de la UIT con los recursos asignados por el Consejo para estos proyectos ascendió a 3,</w:t>
      </w:r>
      <w:r w:rsidR="002E65A5" w:rsidRPr="0083707C">
        <w:t xml:space="preserve">9 </w:t>
      </w:r>
      <w:r w:rsidRPr="0083707C">
        <w:t>millones CHF. Los proyectos se encuentran actualmente en distintas fases de ejecución. Además, se están ultimando con diversos socios nueve nuevos proyectos que</w:t>
      </w:r>
      <w:r w:rsidR="001F5C4D" w:rsidRPr="0083707C">
        <w:t>, en principio,</w:t>
      </w:r>
      <w:r w:rsidRPr="0083707C">
        <w:t xml:space="preserve"> </w:t>
      </w:r>
      <w:r w:rsidR="001F5C4D" w:rsidRPr="0083707C">
        <w:t xml:space="preserve">deberían firmarse </w:t>
      </w:r>
      <w:r w:rsidR="00245184" w:rsidRPr="0083707C">
        <w:t xml:space="preserve">antes de finales de </w:t>
      </w:r>
      <w:r w:rsidRPr="0083707C">
        <w:t xml:space="preserve">2021. La Directora de la BDT está haciendo todo lo posible para que las iniciativas estén bien coordinadas </w:t>
      </w:r>
      <w:r w:rsidRPr="0083707C">
        <w:lastRenderedPageBreak/>
        <w:t>con los programas, las Comisiones de Estudio y la labor de los demás sectores a fin de evitar la fragmentación y maximizar sus efectos y resultados.</w:t>
      </w:r>
      <w:bookmarkEnd w:id="15"/>
    </w:p>
    <w:p w14:paraId="2EE076F5" w14:textId="195313D4" w:rsidR="006C40F0" w:rsidRPr="0083707C" w:rsidRDefault="006C40F0" w:rsidP="006C40F0">
      <w:r w:rsidRPr="0083707C">
        <w:t>5.4</w:t>
      </w:r>
      <w:r w:rsidRPr="0083707C">
        <w:rPr>
          <w:b/>
          <w:bCs/>
        </w:rPr>
        <w:tab/>
      </w:r>
      <w:bookmarkStart w:id="16" w:name="lt_pId114"/>
      <w:r w:rsidRPr="0083707C">
        <w:t>Las Oficinas Regionales y Zona</w:t>
      </w:r>
      <w:r w:rsidR="00444C1A" w:rsidRPr="0083707C">
        <w:t>les</w:t>
      </w:r>
      <w:r w:rsidRPr="0083707C">
        <w:t xml:space="preserve"> contribuyeron a la ejecución del Plan Estratégico de la UIT y de los Planes Operacionales del UIT-D. En el </w:t>
      </w:r>
      <w:r w:rsidRPr="0083707C">
        <w:rPr>
          <w:b/>
          <w:bCs/>
        </w:rPr>
        <w:t>Anexo 1</w:t>
      </w:r>
      <w:r w:rsidRPr="0083707C">
        <w:t xml:space="preserve"> figura un resumen de los principales logros por región.</w:t>
      </w:r>
      <w:bookmarkEnd w:id="16"/>
    </w:p>
    <w:p w14:paraId="74405C2F" w14:textId="77777777" w:rsidR="006C40F0" w:rsidRPr="0083707C" w:rsidRDefault="006C40F0" w:rsidP="006C40F0">
      <w:pPr>
        <w:pStyle w:val="Heading1"/>
      </w:pPr>
      <w:r w:rsidRPr="0083707C">
        <w:t>6</w:t>
      </w:r>
      <w:r w:rsidRPr="0083707C">
        <w:tab/>
        <w:t>Contribución a otros Sectores y a la Secretaría General</w:t>
      </w:r>
    </w:p>
    <w:p w14:paraId="641D6657" w14:textId="21E841A2" w:rsidR="006C40F0" w:rsidRPr="0083707C" w:rsidRDefault="006C40F0" w:rsidP="006C40F0">
      <w:r w:rsidRPr="0083707C">
        <w:t>6.1</w:t>
      </w:r>
      <w:r w:rsidRPr="0083707C">
        <w:tab/>
        <w:t>Las Oficinas Regionales y Zona</w:t>
      </w:r>
      <w:r w:rsidR="00444C1A" w:rsidRPr="0083707C">
        <w:t>les</w:t>
      </w:r>
      <w:r w:rsidRPr="0083707C">
        <w:t xml:space="preserve"> contribuyeron a la ejecución del Plan Estratégico de la UIT y de los Planes Operacionales del UIT-R, UIT-T y la Secretaría General, como se describe en el </w:t>
      </w:r>
      <w:r w:rsidRPr="0083707C">
        <w:rPr>
          <w:b/>
          <w:bCs/>
        </w:rPr>
        <w:t>Anexo 2</w:t>
      </w:r>
      <w:r w:rsidRPr="0083707C">
        <w:t>.</w:t>
      </w:r>
    </w:p>
    <w:p w14:paraId="531AB891" w14:textId="22CA46F9" w:rsidR="00453AB3" w:rsidRPr="0083707C" w:rsidRDefault="00245184" w:rsidP="00453AB3">
      <w:r w:rsidRPr="0083707C">
        <w:t xml:space="preserve">En Asia y el Pacífico, la </w:t>
      </w:r>
      <w:r w:rsidR="00A54E12" w:rsidRPr="0083707C">
        <w:t xml:space="preserve">Oficina Regional competente </w:t>
      </w:r>
      <w:r w:rsidRPr="0083707C">
        <w:t xml:space="preserve">y la BR organizaron </w:t>
      </w:r>
      <w:r w:rsidR="00A54E12" w:rsidRPr="0083707C">
        <w:t>un</w:t>
      </w:r>
      <w:r w:rsidRPr="0083707C">
        <w:t xml:space="preserve"> Seminario Regional de Radiocomunicaciones</w:t>
      </w:r>
      <w:r w:rsidR="00A54E12" w:rsidRPr="0083707C">
        <w:t>,</w:t>
      </w:r>
      <w:r w:rsidRPr="0083707C">
        <w:t xml:space="preserve"> del 11 al 22 de octubre de 2021</w:t>
      </w:r>
      <w:r w:rsidR="00A54E12" w:rsidRPr="0083707C">
        <w:t>,</w:t>
      </w:r>
      <w:r w:rsidRPr="0083707C">
        <w:t xml:space="preserve"> en colaboración con la APT. La UIT recibió cerca de 400 </w:t>
      </w:r>
      <w:r w:rsidR="00A54E12" w:rsidRPr="0083707C">
        <w:t>solicitudes de inscripción</w:t>
      </w:r>
      <w:r w:rsidRPr="0083707C">
        <w:t xml:space="preserve"> para e</w:t>
      </w:r>
      <w:r w:rsidR="00A54E12" w:rsidRPr="0083707C">
        <w:t>ste</w:t>
      </w:r>
      <w:r w:rsidRPr="0083707C">
        <w:t xml:space="preserve"> </w:t>
      </w:r>
      <w:r w:rsidR="00FB0E43" w:rsidRPr="0083707C">
        <w:t>seminario</w:t>
      </w:r>
      <w:r w:rsidRPr="0083707C">
        <w:t xml:space="preserve">, que abarcó las </w:t>
      </w:r>
      <w:r w:rsidR="00A54E12" w:rsidRPr="0083707C">
        <w:t>últimas</w:t>
      </w:r>
      <w:r w:rsidRPr="0083707C">
        <w:t xml:space="preserve"> tendencias en </w:t>
      </w:r>
      <w:r w:rsidR="00A54E12" w:rsidRPr="0083707C">
        <w:t>materia de</w:t>
      </w:r>
      <w:r w:rsidRPr="0083707C">
        <w:t xml:space="preserve"> gestión del espectro, comunicación por satélite y desarrollo de infraestructuras en la región. </w:t>
      </w:r>
      <w:r w:rsidR="00A54E12" w:rsidRPr="0083707C">
        <w:t>Con la ayuda de</w:t>
      </w:r>
      <w:r w:rsidRPr="0083707C">
        <w:t xml:space="preserve"> la TSB, la </w:t>
      </w:r>
      <w:r w:rsidR="00A54E12" w:rsidRPr="0083707C">
        <w:t xml:space="preserve">Oficina Regional </w:t>
      </w:r>
      <w:r w:rsidRPr="0083707C">
        <w:t>prom</w:t>
      </w:r>
      <w:r w:rsidR="001F5C4D" w:rsidRPr="0083707C">
        <w:t>ueve</w:t>
      </w:r>
      <w:r w:rsidRPr="0083707C">
        <w:t xml:space="preserve"> el</w:t>
      </w:r>
      <w:r w:rsidR="00453AB3" w:rsidRPr="0083707C">
        <w:t xml:space="preserve"> laboratorio de servicios financieros digitales </w:t>
      </w:r>
      <w:r w:rsidRPr="0083707C">
        <w:t xml:space="preserve">y la importancia de la seguridad en las aplicaciones financieras móviles, al tiempo que organiza seminarios web sobre innovación digital </w:t>
      </w:r>
      <w:r w:rsidR="00453AB3" w:rsidRPr="0083707C">
        <w:t xml:space="preserve">en colaboración </w:t>
      </w:r>
      <w:r w:rsidRPr="0083707C">
        <w:t xml:space="preserve">con la </w:t>
      </w:r>
      <w:r w:rsidR="00453AB3" w:rsidRPr="0083707C">
        <w:t>Sociedad de Normalización de las Telecomunicaciones de la India.</w:t>
      </w:r>
    </w:p>
    <w:p w14:paraId="301D1B5B" w14:textId="4DCA4832" w:rsidR="00B81B32" w:rsidRPr="0083707C" w:rsidRDefault="00245184" w:rsidP="00184E2F">
      <w:r w:rsidRPr="0083707C">
        <w:t xml:space="preserve">En la </w:t>
      </w:r>
      <w:r w:rsidR="00453AB3" w:rsidRPr="0083707C">
        <w:t>Región Árabe</w:t>
      </w:r>
      <w:r w:rsidRPr="0083707C">
        <w:t xml:space="preserve">, </w:t>
      </w:r>
      <w:r w:rsidR="00453AB3" w:rsidRPr="0083707C">
        <w:t xml:space="preserve">la Oficina Regional competente </w:t>
      </w:r>
      <w:r w:rsidRPr="0083707C">
        <w:t xml:space="preserve">participa en reuniones mensuales y trimestrales con la TSB y la BR. </w:t>
      </w:r>
      <w:r w:rsidR="00453AB3" w:rsidRPr="0083707C">
        <w:t xml:space="preserve">Dicha Oficina </w:t>
      </w:r>
      <w:r w:rsidR="00E41C10" w:rsidRPr="0083707C">
        <w:t xml:space="preserve">está prestando apoyo </w:t>
      </w:r>
      <w:r w:rsidRPr="0083707C">
        <w:t>a la TSB en</w:t>
      </w:r>
      <w:r w:rsidR="00E41C10" w:rsidRPr="0083707C">
        <w:t xml:space="preserve"> el marco de</w:t>
      </w:r>
      <w:r w:rsidRPr="0083707C">
        <w:t xml:space="preserve"> las reuniones </w:t>
      </w:r>
      <w:r w:rsidR="00E41C10" w:rsidRPr="0083707C">
        <w:t xml:space="preserve">preparatorias </w:t>
      </w:r>
      <w:r w:rsidRPr="0083707C">
        <w:t xml:space="preserve">regionales </w:t>
      </w:r>
      <w:r w:rsidR="00E41C10" w:rsidRPr="0083707C">
        <w:t>para</w:t>
      </w:r>
      <w:r w:rsidRPr="0083707C">
        <w:t xml:space="preserve"> la AMNT</w:t>
      </w:r>
      <w:r w:rsidR="00E41C10" w:rsidRPr="0083707C">
        <w:t xml:space="preserve">, así como </w:t>
      </w:r>
      <w:r w:rsidR="001F5C4D" w:rsidRPr="0083707C">
        <w:t>de</w:t>
      </w:r>
      <w:r w:rsidR="00E41C10" w:rsidRPr="0083707C">
        <w:t xml:space="preserve"> la planificación regional de </w:t>
      </w:r>
      <w:r w:rsidR="001F5C4D" w:rsidRPr="0083707C">
        <w:t>las</w:t>
      </w:r>
      <w:r w:rsidRPr="0083707C">
        <w:t xml:space="preserve"> actividades </w:t>
      </w:r>
      <w:r w:rsidR="00E41B13" w:rsidRPr="0083707C">
        <w:t xml:space="preserve">regionales de </w:t>
      </w:r>
      <w:r w:rsidRPr="0083707C">
        <w:t xml:space="preserve">las </w:t>
      </w:r>
      <w:r w:rsidR="00E41C10" w:rsidRPr="0083707C">
        <w:t xml:space="preserve">Comisiones </w:t>
      </w:r>
      <w:r w:rsidRPr="0083707C">
        <w:t xml:space="preserve">de </w:t>
      </w:r>
      <w:r w:rsidR="00E41B13" w:rsidRPr="0083707C">
        <w:t xml:space="preserve">Estudio </w:t>
      </w:r>
      <w:r w:rsidRPr="0083707C">
        <w:t>de la TSB. Con</w:t>
      </w:r>
      <w:r w:rsidR="001F5C4D" w:rsidRPr="0083707C">
        <w:t xml:space="preserve"> ayuda de</w:t>
      </w:r>
      <w:r w:rsidRPr="0083707C">
        <w:t xml:space="preserve"> la BR, la </w:t>
      </w:r>
      <w:r w:rsidR="00E41B13" w:rsidRPr="0083707C">
        <w:t xml:space="preserve">Oficina Regional para los Estados Árabes </w:t>
      </w:r>
      <w:r w:rsidRPr="0083707C">
        <w:t>también coordina</w:t>
      </w:r>
      <w:r w:rsidR="00E41B13" w:rsidRPr="0083707C">
        <w:t xml:space="preserve"> tanto las</w:t>
      </w:r>
      <w:r w:rsidRPr="0083707C">
        <w:t xml:space="preserve"> </w:t>
      </w:r>
      <w:r w:rsidR="00E41B13" w:rsidRPr="0083707C">
        <w:t>cuestiones</w:t>
      </w:r>
      <w:r w:rsidRPr="0083707C">
        <w:t xml:space="preserve"> relacionad</w:t>
      </w:r>
      <w:r w:rsidR="00E41B13" w:rsidRPr="0083707C">
        <w:t>a</w:t>
      </w:r>
      <w:r w:rsidRPr="0083707C">
        <w:t xml:space="preserve">s con el </w:t>
      </w:r>
      <w:r w:rsidR="00E41B13" w:rsidRPr="0083707C">
        <w:t>Grupo Árabe de Gestión del Espectro (ASMG</w:t>
      </w:r>
      <w:r w:rsidRPr="0083707C">
        <w:t>), como los asuntos relacionados con l</w:t>
      </w:r>
      <w:r w:rsidR="00184E2F" w:rsidRPr="0083707C">
        <w:t>a iniciativa</w:t>
      </w:r>
      <w:r w:rsidRPr="0083707C">
        <w:t xml:space="preserve"> PRIDA </w:t>
      </w:r>
      <w:r w:rsidR="00184E2F" w:rsidRPr="0083707C">
        <w:t>(</w:t>
      </w:r>
      <w:r w:rsidRPr="0083707C">
        <w:t>con la BR</w:t>
      </w:r>
      <w:r w:rsidR="00184E2F" w:rsidRPr="0083707C">
        <w:t>, en su caso).</w:t>
      </w:r>
    </w:p>
    <w:p w14:paraId="38D90334" w14:textId="77777777" w:rsidR="006C40F0" w:rsidRPr="0083707C" w:rsidRDefault="006C40F0" w:rsidP="006C40F0">
      <w:pPr>
        <w:pStyle w:val="Heading1"/>
      </w:pPr>
      <w:r w:rsidRPr="0083707C">
        <w:t>7</w:t>
      </w:r>
      <w:r w:rsidRPr="0083707C">
        <w:tab/>
        <w:t>Estructura y dotación de personal</w:t>
      </w:r>
    </w:p>
    <w:p w14:paraId="785CA40D" w14:textId="0B708140" w:rsidR="006C40F0" w:rsidRPr="0083707C" w:rsidRDefault="006C40F0" w:rsidP="006B652A">
      <w:r w:rsidRPr="0083707C">
        <w:rPr>
          <w:rFonts w:asciiTheme="minorHAnsi" w:hAnsiTheme="minorHAnsi"/>
        </w:rPr>
        <w:t>7.1</w:t>
      </w:r>
      <w:r w:rsidRPr="0083707C">
        <w:rPr>
          <w:rFonts w:asciiTheme="minorHAnsi" w:hAnsiTheme="minorHAnsi"/>
        </w:rPr>
        <w:tab/>
        <w:t xml:space="preserve">En los Anexos 8 y 9 del </w:t>
      </w:r>
      <w:r w:rsidRPr="0083707C">
        <w:t>Documento C21/INF/</w:t>
      </w:r>
      <w:r w:rsidR="00B81B32" w:rsidRPr="0083707C">
        <w:t xml:space="preserve">5 </w:t>
      </w:r>
      <w:r w:rsidRPr="0083707C">
        <w:rPr>
          <w:rFonts w:asciiTheme="minorHAnsi" w:hAnsiTheme="minorHAnsi"/>
        </w:rPr>
        <w:t xml:space="preserve">se indica el nivel de dotación de personal a partir de finales de </w:t>
      </w:r>
      <w:r w:rsidR="00B81B32" w:rsidRPr="0083707C">
        <w:rPr>
          <w:rFonts w:asciiTheme="minorHAnsi" w:hAnsiTheme="minorHAnsi"/>
        </w:rPr>
        <w:t xml:space="preserve">2021 </w:t>
      </w:r>
      <w:r w:rsidRPr="0083707C">
        <w:rPr>
          <w:rFonts w:asciiTheme="minorHAnsi" w:hAnsiTheme="minorHAnsi"/>
        </w:rPr>
        <w:t xml:space="preserve">para las </w:t>
      </w:r>
      <w:r w:rsidRPr="0083707C">
        <w:t>Oficinas Regionales y Zona</w:t>
      </w:r>
      <w:r w:rsidR="00444C1A" w:rsidRPr="0083707C">
        <w:t>les</w:t>
      </w:r>
      <w:r w:rsidRPr="0083707C">
        <w:t xml:space="preserve"> </w:t>
      </w:r>
      <w:r w:rsidRPr="0083707C">
        <w:rPr>
          <w:rFonts w:asciiTheme="minorHAnsi" w:hAnsiTheme="minorHAnsi"/>
        </w:rPr>
        <w:t>desglosado por cargo, región y oficina.</w:t>
      </w:r>
      <w:r w:rsidRPr="0083707C">
        <w:t xml:space="preserve"> Las estructuras y el nivel de dotación de personal de las diversas Oficinas Regionales y Zona</w:t>
      </w:r>
      <w:r w:rsidR="00444C1A" w:rsidRPr="0083707C">
        <w:t>les</w:t>
      </w:r>
      <w:r w:rsidRPr="0083707C">
        <w:t xml:space="preserve"> toman en consideración las recomendaciones de la Dependencia Común de Inspección de las Naciones Unidas sobre las formas de mejorar la presencia regional de la UIT, y de atender mejor a las expectativas de los </w:t>
      </w:r>
      <w:r w:rsidR="00D44049" w:rsidRPr="0083707C">
        <w:t>miembros</w:t>
      </w:r>
      <w:r w:rsidRPr="0083707C">
        <w:t xml:space="preserve">. </w:t>
      </w:r>
      <w:r w:rsidR="006D5FE7" w:rsidRPr="0083707C">
        <w:t>A</w:t>
      </w:r>
      <w:r w:rsidRPr="0083707C">
        <w:t xml:space="preserve"> finales de </w:t>
      </w:r>
      <w:r w:rsidR="006D5FE7" w:rsidRPr="0083707C">
        <w:t>octubre de 2021,</w:t>
      </w:r>
      <w:r w:rsidRPr="0083707C">
        <w:t xml:space="preserve"> quedó vacante el puesto de Director Regional de la Región </w:t>
      </w:r>
      <w:r w:rsidR="006D5FE7" w:rsidRPr="0083707C">
        <w:t>AFR</w:t>
      </w:r>
      <w:r w:rsidRPr="0083707C">
        <w:t xml:space="preserve">. </w:t>
      </w:r>
      <w:r w:rsidR="006D5FE7" w:rsidRPr="0083707C">
        <w:t>El anuncio de vacante se publicó en mayo de 2021 y, posteriormente, se seleccionó y nombró a una nueva Directora, la Sra. Anne-Rachel Inne. La Sra.</w:t>
      </w:r>
      <w:r w:rsidR="00FB0E43" w:rsidRPr="0083707C">
        <w:t> </w:t>
      </w:r>
      <w:r w:rsidR="006D5FE7" w:rsidRPr="0083707C">
        <w:t xml:space="preserve">Inne asumió sus funciones a principios de septiembre de 2021, lo que permitió </w:t>
      </w:r>
      <w:r w:rsidR="00D706D4" w:rsidRPr="0083707C">
        <w:t>establecer</w:t>
      </w:r>
      <w:r w:rsidR="006D5FE7" w:rsidRPr="0083707C">
        <w:t xml:space="preserve"> un periodo de relevo entre el Director saliente y su sucesora.</w:t>
      </w:r>
    </w:p>
    <w:p w14:paraId="150E6F7A" w14:textId="330863CE" w:rsidR="006C40F0" w:rsidRPr="0083707C" w:rsidRDefault="006C40F0" w:rsidP="006C40F0">
      <w:r w:rsidRPr="0083707C">
        <w:t>7.2</w:t>
      </w:r>
      <w:r w:rsidRPr="0083707C">
        <w:tab/>
        <w:t>La capacidad de las Oficinas Regionales y Zona</w:t>
      </w:r>
      <w:r w:rsidR="00444C1A" w:rsidRPr="0083707C">
        <w:t>les</w:t>
      </w:r>
      <w:r w:rsidRPr="0083707C">
        <w:t xml:space="preserve"> en determinadas esferas de especialización sigue fortaleciéndose mediante la contratación de expertos técnicos asociados y de personal de apoyo en el marco de iniciativas y proyectos regionales, sobre la base de redes de expertos altamente especializados. </w:t>
      </w:r>
      <w:bookmarkStart w:id="17" w:name="lt_pId128"/>
      <w:r w:rsidRPr="0083707C">
        <w:t>Actualmente se está estudiando la contratación de jóvenes funcionarios profesionales.</w:t>
      </w:r>
    </w:p>
    <w:bookmarkEnd w:id="17"/>
    <w:p w14:paraId="65D74C65" w14:textId="1D8902FB" w:rsidR="006C40F0" w:rsidRPr="0083707C" w:rsidRDefault="006C40F0" w:rsidP="006C40F0">
      <w:pPr>
        <w:pStyle w:val="Heading1"/>
      </w:pPr>
      <w:r w:rsidRPr="0083707C">
        <w:lastRenderedPageBreak/>
        <w:t>8</w:t>
      </w:r>
      <w:r w:rsidRPr="0083707C">
        <w:tab/>
        <w:t>Ayuda a las actividades de empoderamiento de las Oficinas Regionales y Zona</w:t>
      </w:r>
      <w:r w:rsidR="00444C1A" w:rsidRPr="0083707C">
        <w:t>les</w:t>
      </w:r>
    </w:p>
    <w:p w14:paraId="0F9ABDEC" w14:textId="4C480550" w:rsidR="006C40F0" w:rsidRPr="0083707C" w:rsidRDefault="006C40F0" w:rsidP="006C40F0">
      <w:bookmarkStart w:id="18" w:name="lt_pId131"/>
      <w:r w:rsidRPr="0083707C">
        <w:t>8.1</w:t>
      </w:r>
      <w:r w:rsidRPr="0083707C">
        <w:tab/>
        <w:t xml:space="preserve">En el </w:t>
      </w:r>
      <w:r w:rsidRPr="0083707C">
        <w:rPr>
          <w:b/>
          <w:bCs/>
        </w:rPr>
        <w:t xml:space="preserve">Anexo 3 </w:t>
      </w:r>
      <w:r w:rsidRPr="0083707C">
        <w:t xml:space="preserve">se describen las actividades realizadas durante </w:t>
      </w:r>
      <w:r w:rsidR="00B81B32" w:rsidRPr="0083707C">
        <w:t xml:space="preserve">2021 </w:t>
      </w:r>
      <w:r w:rsidRPr="0083707C">
        <w:t>para habilitar a las Oficinas Regionales y Zona</w:t>
      </w:r>
      <w:r w:rsidR="00444C1A" w:rsidRPr="0083707C">
        <w:t>les</w:t>
      </w:r>
      <w:r w:rsidRPr="0083707C">
        <w:t>.</w:t>
      </w:r>
      <w:bookmarkEnd w:id="18"/>
    </w:p>
    <w:p w14:paraId="16BAD31D" w14:textId="4F9E3094" w:rsidR="00B81B32" w:rsidRPr="0083707C" w:rsidRDefault="006D5FE7" w:rsidP="006B652A">
      <w:r w:rsidRPr="0083707C">
        <w:t xml:space="preserve">En Asia y el Pacífico, se contrató a un oficial de coordinación de las Naciones Unidas para profundizar y ampliar la coordinación con las </w:t>
      </w:r>
      <w:r w:rsidR="000B0EA9" w:rsidRPr="0083707C">
        <w:t>Oficinas de los Coordinadores Residentes de las Naciones Unidas</w:t>
      </w:r>
      <w:r w:rsidRPr="0083707C">
        <w:t>, la</w:t>
      </w:r>
      <w:r w:rsidR="007633BC" w:rsidRPr="0083707C">
        <w:t xml:space="preserve"> Oficina de la</w:t>
      </w:r>
      <w:r w:rsidRPr="0083707C">
        <w:t xml:space="preserve"> UNDC y los </w:t>
      </w:r>
      <w:r w:rsidR="007633BC" w:rsidRPr="0083707C">
        <w:t>equipos de las Naciones Unidas en el país</w:t>
      </w:r>
      <w:r w:rsidRPr="0083707C">
        <w:t xml:space="preserve">. </w:t>
      </w:r>
      <w:r w:rsidR="007633BC" w:rsidRPr="0083707C">
        <w:t>Gracias al</w:t>
      </w:r>
      <w:r w:rsidRPr="0083707C">
        <w:t xml:space="preserve"> apoyo </w:t>
      </w:r>
      <w:r w:rsidR="007633BC" w:rsidRPr="0083707C">
        <w:t>logrado, se formularon con éxito diversos</w:t>
      </w:r>
      <w:r w:rsidRPr="0083707C">
        <w:t xml:space="preserve"> </w:t>
      </w:r>
      <w:r w:rsidR="007633BC" w:rsidRPr="0083707C">
        <w:t>proyectos del Fondo para los ODS de las Naciones Unidas sobre islas inteligentes</w:t>
      </w:r>
      <w:r w:rsidRPr="0083707C">
        <w:t xml:space="preserve"> y transformación digital en el Pacífico. </w:t>
      </w:r>
      <w:r w:rsidR="00F65D93" w:rsidRPr="0083707C">
        <w:t xml:space="preserve">Este refuerzo de la relación de colaboración con los equipos de las Naciones Unidas en el país se materializó en países tales como </w:t>
      </w:r>
      <w:r w:rsidR="007633BC" w:rsidRPr="0083707C">
        <w:t>Tailandia e Indonesia</w:t>
      </w:r>
      <w:r w:rsidR="00F65D93" w:rsidRPr="0083707C">
        <w:t>,</w:t>
      </w:r>
      <w:r w:rsidRPr="0083707C">
        <w:t xml:space="preserve"> donde se </w:t>
      </w:r>
      <w:r w:rsidR="00F65D93" w:rsidRPr="0083707C">
        <w:t>solic</w:t>
      </w:r>
      <w:r w:rsidRPr="0083707C">
        <w:t>i</w:t>
      </w:r>
      <w:r w:rsidR="00F65D93" w:rsidRPr="0083707C">
        <w:t>t</w:t>
      </w:r>
      <w:r w:rsidRPr="0083707C">
        <w:t>ó a la UIT que codirigiera los grupos de resultados</w:t>
      </w:r>
      <w:r w:rsidR="00F65D93" w:rsidRPr="0083707C">
        <w:t xml:space="preserve"> en materia </w:t>
      </w:r>
      <w:r w:rsidRPr="0083707C">
        <w:t xml:space="preserve">de digitalización e innovación. Además, </w:t>
      </w:r>
      <w:r w:rsidR="00F65D93" w:rsidRPr="0083707C">
        <w:t xml:space="preserve">recientemente, </w:t>
      </w:r>
      <w:r w:rsidRPr="0083707C">
        <w:t xml:space="preserve">se pidió a la UIT que </w:t>
      </w:r>
      <w:r w:rsidR="00F9743B" w:rsidRPr="0083707C">
        <w:t>participara en</w:t>
      </w:r>
      <w:r w:rsidRPr="0083707C">
        <w:t xml:space="preserve"> la elaboración del </w:t>
      </w:r>
      <w:r w:rsidR="000259FB" w:rsidRPr="0083707C">
        <w:t xml:space="preserve">Marco de Cooperación de las Naciones Unidas para el Desarrollo Sostenible </w:t>
      </w:r>
      <w:r w:rsidR="004860F4" w:rsidRPr="0083707C">
        <w:t xml:space="preserve">(MCNUDS) </w:t>
      </w:r>
      <w:r w:rsidR="00F9743B" w:rsidRPr="0083707C">
        <w:t xml:space="preserve">de </w:t>
      </w:r>
      <w:r w:rsidRPr="0083707C">
        <w:t>Bangladesh, Malasia, Mongolia y Viet Nam.</w:t>
      </w:r>
    </w:p>
    <w:p w14:paraId="05C92E81" w14:textId="5D36DA1B" w:rsidR="00B81B32" w:rsidRPr="0083707C" w:rsidRDefault="006D5FE7" w:rsidP="000D0B85">
      <w:r w:rsidRPr="0083707C">
        <w:rPr>
          <w:rFonts w:asciiTheme="minorHAnsi" w:hAnsiTheme="minorHAnsi"/>
          <w:szCs w:val="24"/>
        </w:rPr>
        <w:t xml:space="preserve">En la </w:t>
      </w:r>
      <w:r w:rsidR="000259FB" w:rsidRPr="0083707C">
        <w:rPr>
          <w:rFonts w:asciiTheme="minorHAnsi" w:hAnsiTheme="minorHAnsi"/>
          <w:szCs w:val="24"/>
        </w:rPr>
        <w:t>Región Árabe</w:t>
      </w:r>
      <w:r w:rsidRPr="0083707C">
        <w:rPr>
          <w:rFonts w:asciiTheme="minorHAnsi" w:hAnsiTheme="minorHAnsi"/>
          <w:szCs w:val="24"/>
        </w:rPr>
        <w:t xml:space="preserve">, se contrató a un oficial de coordinación de las Naciones Unidas </w:t>
      </w:r>
      <w:r w:rsidR="000259FB" w:rsidRPr="0083707C">
        <w:rPr>
          <w:rFonts w:asciiTheme="minorHAnsi" w:hAnsiTheme="minorHAnsi"/>
          <w:szCs w:val="24"/>
        </w:rPr>
        <w:t>a efectos de la elaboración de un</w:t>
      </w:r>
      <w:r w:rsidRPr="0083707C">
        <w:rPr>
          <w:rFonts w:asciiTheme="minorHAnsi" w:hAnsiTheme="minorHAnsi"/>
          <w:szCs w:val="24"/>
        </w:rPr>
        <w:t>a estrategia de</w:t>
      </w:r>
      <w:r w:rsidR="000259FB" w:rsidRPr="0083707C">
        <w:rPr>
          <w:rFonts w:asciiTheme="minorHAnsi" w:hAnsiTheme="minorHAnsi"/>
          <w:szCs w:val="24"/>
        </w:rPr>
        <w:t xml:space="preserve"> colaboración, que permitiese </w:t>
      </w:r>
      <w:r w:rsidRPr="0083707C">
        <w:rPr>
          <w:rFonts w:asciiTheme="minorHAnsi" w:hAnsiTheme="minorHAnsi"/>
          <w:szCs w:val="24"/>
        </w:rPr>
        <w:t xml:space="preserve">profundizar y ampliar la coordinación </w:t>
      </w:r>
      <w:r w:rsidR="000259FB" w:rsidRPr="0083707C">
        <w:rPr>
          <w:rFonts w:asciiTheme="minorHAnsi" w:hAnsiTheme="minorHAnsi"/>
          <w:szCs w:val="24"/>
        </w:rPr>
        <w:t xml:space="preserve">con las Oficinas de los Coordinadores Residentes de las Naciones Unidas, la Oficina de la UNDC y los equipos de las Naciones Unidas en el país. </w:t>
      </w:r>
      <w:r w:rsidR="003C6AA3" w:rsidRPr="0083707C">
        <w:rPr>
          <w:rFonts w:asciiTheme="minorHAnsi" w:hAnsiTheme="minorHAnsi"/>
          <w:szCs w:val="24"/>
        </w:rPr>
        <w:t>E</w:t>
      </w:r>
      <w:r w:rsidR="004860F4" w:rsidRPr="0083707C">
        <w:rPr>
          <w:rFonts w:asciiTheme="minorHAnsi" w:hAnsiTheme="minorHAnsi"/>
          <w:szCs w:val="24"/>
        </w:rPr>
        <w:t>sta iniciativa</w:t>
      </w:r>
      <w:r w:rsidR="003C6AA3" w:rsidRPr="0083707C">
        <w:rPr>
          <w:rFonts w:asciiTheme="minorHAnsi" w:hAnsiTheme="minorHAnsi"/>
          <w:szCs w:val="24"/>
        </w:rPr>
        <w:t xml:space="preserve"> ha propiciado tanto una</w:t>
      </w:r>
      <w:r w:rsidR="000D0B85" w:rsidRPr="0083707C">
        <w:rPr>
          <w:rFonts w:asciiTheme="minorHAnsi" w:hAnsiTheme="minorHAnsi"/>
          <w:szCs w:val="24"/>
        </w:rPr>
        <w:t xml:space="preserve"> participación eficaz </w:t>
      </w:r>
      <w:r w:rsidRPr="0083707C">
        <w:rPr>
          <w:rFonts w:asciiTheme="minorHAnsi" w:hAnsiTheme="minorHAnsi"/>
          <w:szCs w:val="24"/>
        </w:rPr>
        <w:t xml:space="preserve">en </w:t>
      </w:r>
      <w:r w:rsidR="003C6AA3" w:rsidRPr="0083707C">
        <w:rPr>
          <w:rFonts w:asciiTheme="minorHAnsi" w:hAnsiTheme="minorHAnsi"/>
          <w:szCs w:val="24"/>
        </w:rPr>
        <w:t>diversos</w:t>
      </w:r>
      <w:r w:rsidRPr="0083707C">
        <w:rPr>
          <w:rFonts w:asciiTheme="minorHAnsi" w:hAnsiTheme="minorHAnsi"/>
          <w:szCs w:val="24"/>
        </w:rPr>
        <w:t xml:space="preserve"> </w:t>
      </w:r>
      <w:r w:rsidR="004860F4" w:rsidRPr="0083707C">
        <w:rPr>
          <w:rFonts w:asciiTheme="minorHAnsi" w:hAnsiTheme="minorHAnsi"/>
          <w:szCs w:val="24"/>
        </w:rPr>
        <w:t xml:space="preserve">MCNUDS </w:t>
      </w:r>
      <w:r w:rsidRPr="0083707C">
        <w:rPr>
          <w:rFonts w:asciiTheme="minorHAnsi" w:hAnsiTheme="minorHAnsi"/>
          <w:szCs w:val="24"/>
        </w:rPr>
        <w:t>a nivel regional</w:t>
      </w:r>
      <w:r w:rsidR="003C6AA3" w:rsidRPr="0083707C">
        <w:rPr>
          <w:rFonts w:asciiTheme="minorHAnsi" w:hAnsiTheme="minorHAnsi"/>
          <w:szCs w:val="24"/>
        </w:rPr>
        <w:t>, como</w:t>
      </w:r>
      <w:r w:rsidRPr="0083707C">
        <w:rPr>
          <w:rFonts w:asciiTheme="minorHAnsi" w:hAnsiTheme="minorHAnsi"/>
          <w:szCs w:val="24"/>
        </w:rPr>
        <w:t xml:space="preserve"> la </w:t>
      </w:r>
      <w:r w:rsidR="000D0B85" w:rsidRPr="0083707C">
        <w:rPr>
          <w:rFonts w:asciiTheme="minorHAnsi" w:hAnsiTheme="minorHAnsi"/>
          <w:szCs w:val="24"/>
        </w:rPr>
        <w:t>elaboración</w:t>
      </w:r>
      <w:r w:rsidRPr="0083707C">
        <w:rPr>
          <w:rFonts w:asciiTheme="minorHAnsi" w:hAnsiTheme="minorHAnsi"/>
          <w:szCs w:val="24"/>
        </w:rPr>
        <w:t xml:space="preserve"> de un plan para </w:t>
      </w:r>
      <w:r w:rsidR="003C6AA3" w:rsidRPr="0083707C">
        <w:rPr>
          <w:rFonts w:asciiTheme="minorHAnsi" w:hAnsiTheme="minorHAnsi"/>
          <w:szCs w:val="24"/>
        </w:rPr>
        <w:t xml:space="preserve">el refuerzo de la </w:t>
      </w:r>
      <w:r w:rsidRPr="0083707C">
        <w:rPr>
          <w:rFonts w:asciiTheme="minorHAnsi" w:hAnsiTheme="minorHAnsi"/>
          <w:szCs w:val="24"/>
        </w:rPr>
        <w:t>participación en 2022. Por el momento, la oficina ha firmado el</w:t>
      </w:r>
      <w:r w:rsidR="000D0B85" w:rsidRPr="0083707C">
        <w:rPr>
          <w:rFonts w:asciiTheme="minorHAnsi" w:hAnsiTheme="minorHAnsi"/>
          <w:szCs w:val="24"/>
        </w:rPr>
        <w:t xml:space="preserve"> MCNUDS</w:t>
      </w:r>
      <w:r w:rsidRPr="0083707C">
        <w:rPr>
          <w:rFonts w:asciiTheme="minorHAnsi" w:hAnsiTheme="minorHAnsi"/>
          <w:szCs w:val="24"/>
        </w:rPr>
        <w:t xml:space="preserve"> para Bahrein y</w:t>
      </w:r>
      <w:r w:rsidR="000D0B85" w:rsidRPr="0083707C">
        <w:rPr>
          <w:rFonts w:asciiTheme="minorHAnsi" w:hAnsiTheme="minorHAnsi"/>
          <w:szCs w:val="24"/>
        </w:rPr>
        <w:t>,</w:t>
      </w:r>
      <w:r w:rsidRPr="0083707C">
        <w:rPr>
          <w:rFonts w:asciiTheme="minorHAnsi" w:hAnsiTheme="minorHAnsi"/>
          <w:szCs w:val="24"/>
        </w:rPr>
        <w:t xml:space="preserve"> actualmente</w:t>
      </w:r>
      <w:r w:rsidR="000D0B85" w:rsidRPr="0083707C">
        <w:rPr>
          <w:rFonts w:asciiTheme="minorHAnsi" w:hAnsiTheme="minorHAnsi"/>
          <w:szCs w:val="24"/>
        </w:rPr>
        <w:t>,</w:t>
      </w:r>
      <w:r w:rsidRPr="0083707C">
        <w:rPr>
          <w:rFonts w:asciiTheme="minorHAnsi" w:hAnsiTheme="minorHAnsi"/>
          <w:szCs w:val="24"/>
        </w:rPr>
        <w:t xml:space="preserve"> está </w:t>
      </w:r>
      <w:r w:rsidR="000D0B85" w:rsidRPr="0083707C">
        <w:rPr>
          <w:rFonts w:asciiTheme="minorHAnsi" w:hAnsiTheme="minorHAnsi"/>
          <w:szCs w:val="24"/>
        </w:rPr>
        <w:t xml:space="preserve">inmersa </w:t>
      </w:r>
      <w:r w:rsidRPr="0083707C">
        <w:rPr>
          <w:rFonts w:asciiTheme="minorHAnsi" w:hAnsiTheme="minorHAnsi"/>
          <w:szCs w:val="24"/>
        </w:rPr>
        <w:t xml:space="preserve">en conversaciones para los </w:t>
      </w:r>
      <w:r w:rsidR="000D0B85" w:rsidRPr="0083707C">
        <w:rPr>
          <w:rFonts w:asciiTheme="minorHAnsi" w:hAnsiTheme="minorHAnsi"/>
          <w:szCs w:val="24"/>
        </w:rPr>
        <w:t>MCNUDS de lo</w:t>
      </w:r>
      <w:r w:rsidRPr="0083707C">
        <w:rPr>
          <w:rFonts w:asciiTheme="minorHAnsi" w:hAnsiTheme="minorHAnsi"/>
          <w:szCs w:val="24"/>
        </w:rPr>
        <w:t>s EAU, Túnez y Marruecos.</w:t>
      </w:r>
    </w:p>
    <w:p w14:paraId="52EB3D56" w14:textId="77777777" w:rsidR="006C40F0" w:rsidRPr="0083707C" w:rsidRDefault="006C40F0" w:rsidP="006C40F0">
      <w:pPr>
        <w:pStyle w:val="Reasons"/>
      </w:pPr>
    </w:p>
    <w:p w14:paraId="259CE389" w14:textId="77777777" w:rsidR="006C40F0" w:rsidRPr="0083707C" w:rsidRDefault="006C40F0" w:rsidP="006C40F0">
      <w:pPr>
        <w:jc w:val="center"/>
      </w:pPr>
      <w:r w:rsidRPr="0083707C">
        <w:t>______________</w:t>
      </w:r>
    </w:p>
    <w:sectPr w:rsidR="006C40F0" w:rsidRPr="0083707C"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EDD5" w14:textId="77777777" w:rsidR="00BC43FD" w:rsidRDefault="00BC43FD">
      <w:r>
        <w:separator/>
      </w:r>
    </w:p>
  </w:endnote>
  <w:endnote w:type="continuationSeparator" w:id="0">
    <w:p w14:paraId="7E5198E7" w14:textId="77777777" w:rsidR="00BC43FD" w:rsidRDefault="00BC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A378" w14:textId="32B525EE" w:rsidR="00760F1C" w:rsidRPr="00466840" w:rsidRDefault="00FF0575">
    <w:pPr>
      <w:pStyle w:val="Footer"/>
      <w:rPr>
        <w:color w:val="F2F2F2" w:themeColor="background1" w:themeShade="F2"/>
        <w:lang w:val="fr-FR"/>
      </w:rPr>
    </w:pPr>
    <w:r w:rsidRPr="00466840">
      <w:rPr>
        <w:color w:val="F2F2F2" w:themeColor="background1" w:themeShade="F2"/>
      </w:rPr>
      <w:fldChar w:fldCharType="begin"/>
    </w:r>
    <w:r w:rsidRPr="00466840">
      <w:rPr>
        <w:color w:val="F2F2F2" w:themeColor="background1" w:themeShade="F2"/>
        <w:lang w:val="fr-FR"/>
      </w:rPr>
      <w:instrText xml:space="preserve"> FILENAME \p \* MERGEFORMAT </w:instrText>
    </w:r>
    <w:r w:rsidRPr="00466840">
      <w:rPr>
        <w:color w:val="F2F2F2" w:themeColor="background1" w:themeShade="F2"/>
      </w:rPr>
      <w:fldChar w:fldCharType="separate"/>
    </w:r>
    <w:r w:rsidR="00F71C5C" w:rsidRPr="00466840">
      <w:rPr>
        <w:color w:val="F2F2F2" w:themeColor="background1" w:themeShade="F2"/>
        <w:lang w:val="fr-FR"/>
      </w:rPr>
      <w:t>P:\ESP\SG\CONSEIL\C22\000\025S.docx</w:t>
    </w:r>
    <w:r w:rsidRPr="00466840">
      <w:rPr>
        <w:color w:val="F2F2F2" w:themeColor="background1" w:themeShade="F2"/>
        <w:lang w:val="en-US"/>
      </w:rPr>
      <w:fldChar w:fldCharType="end"/>
    </w:r>
    <w:r w:rsidRPr="00466840">
      <w:rPr>
        <w:color w:val="F2F2F2" w:themeColor="background1" w:themeShade="F2"/>
        <w:lang w:val="fr-FR"/>
      </w:rPr>
      <w:t xml:space="preserve"> (498295)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EBE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170C" w14:textId="77777777" w:rsidR="00BC43FD" w:rsidRDefault="00BC43FD">
      <w:r>
        <w:t>____________________</w:t>
      </w:r>
    </w:p>
  </w:footnote>
  <w:footnote w:type="continuationSeparator" w:id="0">
    <w:p w14:paraId="007F1AB4" w14:textId="77777777" w:rsidR="00BC43FD" w:rsidRDefault="00BC43FD">
      <w:r>
        <w:continuationSeparator/>
      </w:r>
    </w:p>
  </w:footnote>
  <w:footnote w:id="1">
    <w:p w14:paraId="117565F5" w14:textId="52EF20C5" w:rsidR="00ED78E5" w:rsidRPr="006B652A" w:rsidRDefault="00ED78E5" w:rsidP="006B652A">
      <w:pPr>
        <w:pStyle w:val="NormalWeb"/>
        <w:spacing w:before="0"/>
        <w:rPr>
          <w:sz w:val="20"/>
          <w:lang w:val="es-ES"/>
        </w:rPr>
      </w:pPr>
      <w:r>
        <w:rPr>
          <w:rStyle w:val="FootnoteReference"/>
        </w:rPr>
        <w:footnoteRef/>
      </w:r>
      <w:r w:rsidRPr="006B652A">
        <w:rPr>
          <w:lang w:val="es-ES"/>
        </w:rPr>
        <w:t xml:space="preserve"> </w:t>
      </w:r>
      <w:r w:rsidR="008C7A8C" w:rsidRPr="006B652A">
        <w:rPr>
          <w:rFonts w:ascii="Calibri" w:hAnsi="Calibri"/>
          <w:sz w:val="20"/>
          <w:szCs w:val="20"/>
          <w:lang w:val="es-ES"/>
        </w:rPr>
        <w:t>Nivel de ejecución del PO</w:t>
      </w:r>
      <w:r w:rsidRPr="006B652A">
        <w:rPr>
          <w:rFonts w:ascii="Calibri" w:hAnsi="Calibri"/>
          <w:sz w:val="20"/>
          <w:szCs w:val="20"/>
          <w:lang w:val="es-ES"/>
        </w:rPr>
        <w:t xml:space="preserve"> = </w:t>
      </w:r>
      <w:r w:rsidR="008C7A8C">
        <w:rPr>
          <w:rFonts w:ascii="Calibri" w:hAnsi="Calibri"/>
          <w:sz w:val="20"/>
          <w:szCs w:val="20"/>
          <w:lang w:val="es-ES"/>
        </w:rPr>
        <w:t xml:space="preserve">Cifras </w:t>
      </w:r>
      <w:r w:rsidR="008C7A8C" w:rsidRPr="008C7A8C">
        <w:rPr>
          <w:rFonts w:ascii="Calibri" w:hAnsi="Calibri"/>
          <w:sz w:val="20"/>
          <w:szCs w:val="20"/>
          <w:lang w:val="es-ES"/>
        </w:rPr>
        <w:t>de gastos reales</w:t>
      </w:r>
      <w:r w:rsidR="008C7A8C">
        <w:rPr>
          <w:rFonts w:ascii="Calibri" w:hAnsi="Calibri"/>
          <w:sz w:val="20"/>
          <w:szCs w:val="20"/>
          <w:lang w:val="es-ES"/>
        </w:rPr>
        <w:t xml:space="preserve"> al</w:t>
      </w:r>
      <w:r w:rsidRPr="006B652A">
        <w:rPr>
          <w:rFonts w:ascii="Calibri" w:hAnsi="Calibri"/>
          <w:sz w:val="20"/>
          <w:szCs w:val="20"/>
          <w:lang w:val="es-ES"/>
        </w:rPr>
        <w:t xml:space="preserve"> 7 </w:t>
      </w:r>
      <w:r w:rsidR="008C7A8C">
        <w:rPr>
          <w:rFonts w:ascii="Calibri" w:hAnsi="Calibri"/>
          <w:sz w:val="20"/>
          <w:szCs w:val="20"/>
          <w:lang w:val="es-ES"/>
        </w:rPr>
        <w:t>de diciembre de</w:t>
      </w:r>
      <w:r w:rsidRPr="006B652A">
        <w:rPr>
          <w:rFonts w:ascii="Calibri" w:hAnsi="Calibri"/>
          <w:sz w:val="20"/>
          <w:szCs w:val="20"/>
          <w:lang w:val="es-ES"/>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8C02"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16818AC" w14:textId="095ADFB3" w:rsidR="00760F1C" w:rsidRDefault="00760F1C" w:rsidP="00C2727F">
    <w:pPr>
      <w:pStyle w:val="Header"/>
    </w:pPr>
    <w:r>
      <w:t>C</w:t>
    </w:r>
    <w:r w:rsidR="007955DA">
      <w:t>2</w:t>
    </w:r>
    <w:r w:rsidR="00D50A36">
      <w:t>2</w:t>
    </w:r>
    <w:r>
      <w:t>/</w:t>
    </w:r>
    <w:r w:rsidR="00E441CB">
      <w:t>25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FD"/>
    <w:rsid w:val="000007D1"/>
    <w:rsid w:val="000259FB"/>
    <w:rsid w:val="00093EEB"/>
    <w:rsid w:val="000B0D00"/>
    <w:rsid w:val="000B0EA9"/>
    <w:rsid w:val="000B7C15"/>
    <w:rsid w:val="000C37A2"/>
    <w:rsid w:val="000D0B85"/>
    <w:rsid w:val="000D1D0F"/>
    <w:rsid w:val="000F5290"/>
    <w:rsid w:val="00100B40"/>
    <w:rsid w:val="0010165C"/>
    <w:rsid w:val="00146BFB"/>
    <w:rsid w:val="00157469"/>
    <w:rsid w:val="00184E2F"/>
    <w:rsid w:val="001F14A2"/>
    <w:rsid w:val="001F5C4D"/>
    <w:rsid w:val="00245184"/>
    <w:rsid w:val="00267EAE"/>
    <w:rsid w:val="002801AA"/>
    <w:rsid w:val="002C4676"/>
    <w:rsid w:val="002C70B0"/>
    <w:rsid w:val="002E65A5"/>
    <w:rsid w:val="002F3CC4"/>
    <w:rsid w:val="0033354C"/>
    <w:rsid w:val="00340585"/>
    <w:rsid w:val="00365462"/>
    <w:rsid w:val="003B2645"/>
    <w:rsid w:val="003C6AA3"/>
    <w:rsid w:val="003D3F87"/>
    <w:rsid w:val="00444C1A"/>
    <w:rsid w:val="00445150"/>
    <w:rsid w:val="00453AB3"/>
    <w:rsid w:val="00466840"/>
    <w:rsid w:val="004860F4"/>
    <w:rsid w:val="004E602F"/>
    <w:rsid w:val="00513630"/>
    <w:rsid w:val="00560125"/>
    <w:rsid w:val="00585553"/>
    <w:rsid w:val="005B34D9"/>
    <w:rsid w:val="005D0CCF"/>
    <w:rsid w:val="005F3BCB"/>
    <w:rsid w:val="005F410F"/>
    <w:rsid w:val="0060149A"/>
    <w:rsid w:val="00601924"/>
    <w:rsid w:val="00614854"/>
    <w:rsid w:val="006447EA"/>
    <w:rsid w:val="0064731F"/>
    <w:rsid w:val="00664572"/>
    <w:rsid w:val="006710F6"/>
    <w:rsid w:val="006B652A"/>
    <w:rsid w:val="006C1B56"/>
    <w:rsid w:val="006C40F0"/>
    <w:rsid w:val="006D4761"/>
    <w:rsid w:val="006D5FE7"/>
    <w:rsid w:val="007108DF"/>
    <w:rsid w:val="00726872"/>
    <w:rsid w:val="00727DCE"/>
    <w:rsid w:val="00760F1C"/>
    <w:rsid w:val="007633BC"/>
    <w:rsid w:val="007657F0"/>
    <w:rsid w:val="0077252D"/>
    <w:rsid w:val="007955DA"/>
    <w:rsid w:val="007D560F"/>
    <w:rsid w:val="007E5DD3"/>
    <w:rsid w:val="007F350B"/>
    <w:rsid w:val="00820BE4"/>
    <w:rsid w:val="00826AF2"/>
    <w:rsid w:val="0083707C"/>
    <w:rsid w:val="008451E8"/>
    <w:rsid w:val="00867541"/>
    <w:rsid w:val="00883D28"/>
    <w:rsid w:val="008C7A8C"/>
    <w:rsid w:val="008E2635"/>
    <w:rsid w:val="008E2FAB"/>
    <w:rsid w:val="00913B9C"/>
    <w:rsid w:val="00955485"/>
    <w:rsid w:val="00956E77"/>
    <w:rsid w:val="00961BEB"/>
    <w:rsid w:val="009F069C"/>
    <w:rsid w:val="009F4811"/>
    <w:rsid w:val="00A13264"/>
    <w:rsid w:val="00A54E12"/>
    <w:rsid w:val="00AA390C"/>
    <w:rsid w:val="00B0200A"/>
    <w:rsid w:val="00B5422B"/>
    <w:rsid w:val="00B574DB"/>
    <w:rsid w:val="00B81B32"/>
    <w:rsid w:val="00B826C2"/>
    <w:rsid w:val="00B8298E"/>
    <w:rsid w:val="00BC43FD"/>
    <w:rsid w:val="00BD0723"/>
    <w:rsid w:val="00BD2518"/>
    <w:rsid w:val="00BF1D1C"/>
    <w:rsid w:val="00C20C59"/>
    <w:rsid w:val="00C2727F"/>
    <w:rsid w:val="00C55B1F"/>
    <w:rsid w:val="00C93A51"/>
    <w:rsid w:val="00CA45DF"/>
    <w:rsid w:val="00CD72DA"/>
    <w:rsid w:val="00CF1A67"/>
    <w:rsid w:val="00D2750E"/>
    <w:rsid w:val="00D44049"/>
    <w:rsid w:val="00D50A36"/>
    <w:rsid w:val="00D62446"/>
    <w:rsid w:val="00D706D4"/>
    <w:rsid w:val="00DA4EA2"/>
    <w:rsid w:val="00DC3D3E"/>
    <w:rsid w:val="00DE2C90"/>
    <w:rsid w:val="00DE3B24"/>
    <w:rsid w:val="00E06947"/>
    <w:rsid w:val="00E3592D"/>
    <w:rsid w:val="00E41B13"/>
    <w:rsid w:val="00E41C10"/>
    <w:rsid w:val="00E441CB"/>
    <w:rsid w:val="00E75C74"/>
    <w:rsid w:val="00E92DE8"/>
    <w:rsid w:val="00EB1212"/>
    <w:rsid w:val="00ED65AB"/>
    <w:rsid w:val="00ED78E5"/>
    <w:rsid w:val="00F12850"/>
    <w:rsid w:val="00F33BF4"/>
    <w:rsid w:val="00F46D57"/>
    <w:rsid w:val="00F65D93"/>
    <w:rsid w:val="00F7105E"/>
    <w:rsid w:val="00F71C5C"/>
    <w:rsid w:val="00F75F57"/>
    <w:rsid w:val="00F82FEE"/>
    <w:rsid w:val="00F9743B"/>
    <w:rsid w:val="00FB0E43"/>
    <w:rsid w:val="00FD4395"/>
    <w:rsid w:val="00FD57D3"/>
    <w:rsid w:val="00FF057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2862"/>
  <w15:docId w15:val="{43C4B706-C7C0-4964-9AF5-587A7C7E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link w:val="enumlev2Char"/>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Style 58,超????,超?级链,超级链接,하이퍼링크2,하이퍼링크21"/>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6C40F0"/>
    <w:rPr>
      <w:color w:val="605E5C"/>
      <w:shd w:val="clear" w:color="auto" w:fill="E1DFDD"/>
    </w:rPr>
  </w:style>
  <w:style w:type="character" w:customStyle="1" w:styleId="FootnoteTextChar">
    <w:name w:val="Footnote Text Char"/>
    <w:basedOn w:val="DefaultParagraphFont"/>
    <w:link w:val="FootnoteText"/>
    <w:rsid w:val="006C40F0"/>
    <w:rPr>
      <w:rFonts w:ascii="Calibri" w:hAnsi="Calibri"/>
      <w:sz w:val="24"/>
      <w:lang w:val="es-ES_tradnl" w:eastAsia="en-US"/>
    </w:rPr>
  </w:style>
  <w:style w:type="character" w:customStyle="1" w:styleId="enumlev1Char">
    <w:name w:val="enumlev1 Char"/>
    <w:basedOn w:val="DefaultParagraphFont"/>
    <w:link w:val="enumlev1"/>
    <w:rsid w:val="006C40F0"/>
    <w:rPr>
      <w:rFonts w:ascii="Calibri" w:hAnsi="Calibri"/>
      <w:sz w:val="24"/>
      <w:lang w:val="es-ES_tradnl" w:eastAsia="en-US"/>
    </w:rPr>
  </w:style>
  <w:style w:type="table" w:styleId="TableGrid">
    <w:name w:val="Table Grid"/>
    <w:basedOn w:val="TableNormal"/>
    <w:rsid w:val="006C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rsid w:val="006C40F0"/>
    <w:rPr>
      <w:rFonts w:ascii="Calibri" w:hAnsi="Calibri"/>
      <w:i/>
      <w:sz w:val="24"/>
      <w:lang w:val="es-ES_tradnl" w:eastAsia="en-US"/>
    </w:rPr>
  </w:style>
  <w:style w:type="character" w:customStyle="1" w:styleId="NormalaftertitleChar">
    <w:name w:val="Normal after title Char"/>
    <w:link w:val="Normalaftertitle"/>
    <w:locked/>
    <w:rsid w:val="006C40F0"/>
    <w:rPr>
      <w:rFonts w:ascii="Calibri" w:hAnsi="Calibri"/>
      <w:sz w:val="24"/>
      <w:lang w:val="es-ES_tradnl" w:eastAsia="en-US"/>
    </w:rPr>
  </w:style>
  <w:style w:type="character" w:customStyle="1" w:styleId="AnnexNoChar">
    <w:name w:val="Annex_No Char"/>
    <w:basedOn w:val="DefaultParagraphFont"/>
    <w:link w:val="AnnexNo"/>
    <w:rsid w:val="006C40F0"/>
    <w:rPr>
      <w:rFonts w:ascii="Calibri" w:hAnsi="Calibri"/>
      <w:caps/>
      <w:sz w:val="28"/>
      <w:lang w:val="es-ES_tradnl" w:eastAsia="en-US"/>
    </w:rPr>
  </w:style>
  <w:style w:type="character" w:customStyle="1" w:styleId="enumlev2Char">
    <w:name w:val="enumlev2 Char"/>
    <w:link w:val="enumlev2"/>
    <w:locked/>
    <w:rsid w:val="006C40F0"/>
    <w:rPr>
      <w:rFonts w:ascii="Calibri" w:hAnsi="Calibri"/>
      <w:sz w:val="24"/>
      <w:lang w:val="es-ES_tradnl" w:eastAsia="en-US"/>
    </w:rPr>
  </w:style>
  <w:style w:type="paragraph" w:customStyle="1" w:styleId="DecNo">
    <w:name w:val="Dec_No"/>
    <w:basedOn w:val="Normal"/>
    <w:qFormat/>
    <w:rsid w:val="006C40F0"/>
    <w:pPr>
      <w:keepNext/>
      <w:keepLines/>
      <w:spacing w:before="720"/>
      <w:jc w:val="center"/>
    </w:pPr>
    <w:rPr>
      <w:caps/>
      <w:sz w:val="28"/>
    </w:rPr>
  </w:style>
  <w:style w:type="table" w:customStyle="1" w:styleId="TableGrid1">
    <w:name w:val="Table Grid1"/>
    <w:basedOn w:val="TableNormal"/>
    <w:next w:val="TableGrid"/>
    <w:rsid w:val="006C40F0"/>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0F0"/>
    <w:rPr>
      <w:rFonts w:ascii="Calibri" w:hAnsi="Calibri"/>
      <w:sz w:val="24"/>
      <w:lang w:val="es-ES_tradnl" w:eastAsia="en-US"/>
    </w:rPr>
  </w:style>
  <w:style w:type="paragraph" w:styleId="NormalWeb">
    <w:name w:val="Normal (Web)"/>
    <w:basedOn w:val="Normal"/>
    <w:unhideWhenUsed/>
    <w:rsid w:val="00ED78E5"/>
    <w:rPr>
      <w:rFonts w:ascii="Times New Roman" w:hAnsi="Times New Roman"/>
      <w:szCs w:val="24"/>
      <w:lang w:val="en-GB"/>
    </w:rPr>
  </w:style>
  <w:style w:type="character" w:styleId="CommentReference">
    <w:name w:val="annotation reference"/>
    <w:basedOn w:val="DefaultParagraphFont"/>
    <w:semiHidden/>
    <w:unhideWhenUsed/>
    <w:rsid w:val="002E65A5"/>
    <w:rPr>
      <w:sz w:val="16"/>
      <w:szCs w:val="16"/>
    </w:rPr>
  </w:style>
  <w:style w:type="paragraph" w:styleId="CommentText">
    <w:name w:val="annotation text"/>
    <w:basedOn w:val="Normal"/>
    <w:link w:val="CommentTextChar"/>
    <w:unhideWhenUsed/>
    <w:rsid w:val="002E65A5"/>
    <w:rPr>
      <w:sz w:val="20"/>
    </w:rPr>
  </w:style>
  <w:style w:type="character" w:customStyle="1" w:styleId="CommentTextChar">
    <w:name w:val="Comment Text Char"/>
    <w:basedOn w:val="DefaultParagraphFont"/>
    <w:link w:val="CommentText"/>
    <w:rsid w:val="002E65A5"/>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2E65A5"/>
    <w:rPr>
      <w:b/>
      <w:bCs/>
    </w:rPr>
  </w:style>
  <w:style w:type="character" w:customStyle="1" w:styleId="CommentSubjectChar">
    <w:name w:val="Comment Subject Char"/>
    <w:basedOn w:val="CommentTextChar"/>
    <w:link w:val="CommentSubject"/>
    <w:semiHidden/>
    <w:rsid w:val="002E65A5"/>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INF-0005/en" TargetMode="External"/><Relationship Id="rId13" Type="http://schemas.openxmlformats.org/officeDocument/2006/relationships/hyperlink" Target="https://www.itu.int/en/council/ties/Pages/regional-presence-dashboard.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0-CL-C-0075/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0-CL-C-0074/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2-CL-INF-0005/en" TargetMode="External"/><Relationship Id="rId4" Type="http://schemas.openxmlformats.org/officeDocument/2006/relationships/webSettings" Target="webSettings.xml"/><Relationship Id="rId9" Type="http://schemas.openxmlformats.org/officeDocument/2006/relationships/hyperlink" Target="https://www.itu.int/en/council/Documents/basic-texts/RES-025-S.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3A13-2B9C-4A67-B1E7-89A69A95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6</Pages>
  <Words>2554</Words>
  <Characters>13021</Characters>
  <Application>Microsoft Office Word</Application>
  <DocSecurity>4</DocSecurity>
  <Lines>108</Lines>
  <Paragraphs>31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15544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Fortalecimiento de la presencia regional</dc:title>
  <dc:subject>Consejo 2022</dc:subject>
  <dc:creator>Spanish</dc:creator>
  <cp:keywords>C2022, C22, Council-22</cp:keywords>
  <dc:description/>
  <cp:lastModifiedBy>Xue, Kun</cp:lastModifiedBy>
  <cp:revision>2</cp:revision>
  <cp:lastPrinted>2022-01-14T13:49:00Z</cp:lastPrinted>
  <dcterms:created xsi:type="dcterms:W3CDTF">2022-01-19T09:09:00Z</dcterms:created>
  <dcterms:modified xsi:type="dcterms:W3CDTF">2022-01-19T09:09:00Z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