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6C7D58D8" w14:textId="77777777" w:rsidTr="006C7CC0">
        <w:trPr>
          <w:cantSplit/>
          <w:trHeight w:val="20"/>
        </w:trPr>
        <w:tc>
          <w:tcPr>
            <w:tcW w:w="6620" w:type="dxa"/>
          </w:tcPr>
          <w:p w14:paraId="059C0939" w14:textId="4F045CA1" w:rsidR="00290728" w:rsidRPr="00290728" w:rsidRDefault="00290728" w:rsidP="0026373E">
            <w:pPr>
              <w:spacing w:before="240"/>
              <w:jc w:val="left"/>
              <w:rPr>
                <w:b/>
                <w:bCs/>
                <w:rtl/>
                <w:lang w:bidi="ar-EG"/>
              </w:rPr>
            </w:pPr>
            <w:proofErr w:type="spellStart"/>
            <w:r w:rsidRPr="006A793B">
              <w:rPr>
                <w:rFonts w:hint="cs"/>
                <w:b/>
                <w:bCs/>
                <w:w w:val="110"/>
                <w:sz w:val="30"/>
                <w:szCs w:val="30"/>
                <w:rtl/>
                <w:lang w:bidi="ar-EG"/>
              </w:rPr>
              <w:t>ال‍مجلس</w:t>
            </w:r>
            <w:proofErr w:type="spellEnd"/>
            <w:r w:rsidRPr="006A793B">
              <w:rPr>
                <w:rFonts w:hint="cs"/>
                <w:b/>
                <w:bCs/>
                <w:w w:val="110"/>
                <w:sz w:val="30"/>
                <w:szCs w:val="30"/>
                <w:rtl/>
                <w:lang w:bidi="ar-EG"/>
              </w:rPr>
              <w:t xml:space="preserve"> </w:t>
            </w:r>
            <w:r w:rsidR="003C72CA">
              <w:rPr>
                <w:b/>
                <w:bCs/>
                <w:w w:val="110"/>
                <w:sz w:val="30"/>
                <w:szCs w:val="30"/>
                <w:lang w:bidi="ar-SY"/>
              </w:rPr>
              <w:t>2022</w:t>
            </w:r>
            <w:r w:rsidR="00C002DE" w:rsidRPr="006A793B">
              <w:rPr>
                <w:b/>
                <w:bCs/>
                <w:w w:val="110"/>
                <w:sz w:val="30"/>
                <w:szCs w:val="30"/>
                <w:rtl/>
                <w:lang w:bidi="ar-SY"/>
              </w:rPr>
              <w:br/>
            </w:r>
            <w:r w:rsidR="003C72CA">
              <w:rPr>
                <w:rFonts w:hint="cs"/>
                <w:b/>
                <w:bCs/>
                <w:sz w:val="24"/>
                <w:szCs w:val="24"/>
                <w:rtl/>
                <w:lang w:bidi="ar-EG"/>
              </w:rPr>
              <w:t>جنيف</w:t>
            </w:r>
            <w:r w:rsidRPr="0026373E">
              <w:rPr>
                <w:rFonts w:hint="cs"/>
                <w:b/>
                <w:bCs/>
                <w:sz w:val="24"/>
                <w:szCs w:val="24"/>
                <w:rtl/>
                <w:lang w:bidi="ar-EG"/>
              </w:rPr>
              <w:t xml:space="preserve">، </w:t>
            </w:r>
            <w:r w:rsidR="003C72CA">
              <w:rPr>
                <w:b/>
                <w:bCs/>
                <w:sz w:val="24"/>
                <w:szCs w:val="24"/>
                <w:lang w:bidi="ar-SY"/>
              </w:rPr>
              <w:t>31-21</w:t>
            </w:r>
            <w:r w:rsidR="003C72CA">
              <w:rPr>
                <w:rFonts w:hint="cs"/>
                <w:b/>
                <w:bCs/>
                <w:sz w:val="24"/>
                <w:szCs w:val="24"/>
                <w:rtl/>
                <w:lang w:bidi="ar-SY"/>
              </w:rPr>
              <w:t xml:space="preserve"> مارس</w:t>
            </w:r>
            <w:r w:rsidR="00DC1E02" w:rsidRPr="0026373E">
              <w:rPr>
                <w:rFonts w:hint="cs"/>
                <w:b/>
                <w:bCs/>
                <w:sz w:val="24"/>
                <w:szCs w:val="24"/>
                <w:rtl/>
                <w:lang w:bidi="ar-EG"/>
              </w:rPr>
              <w:t xml:space="preserve"> </w:t>
            </w:r>
            <w:r w:rsidR="003C72CA">
              <w:rPr>
                <w:b/>
                <w:bCs/>
                <w:sz w:val="24"/>
                <w:szCs w:val="24"/>
                <w:lang w:bidi="ar-EG"/>
              </w:rPr>
              <w:t>2022</w:t>
            </w:r>
          </w:p>
        </w:tc>
        <w:tc>
          <w:tcPr>
            <w:tcW w:w="3052" w:type="dxa"/>
          </w:tcPr>
          <w:p w14:paraId="4E1A92C4" w14:textId="77777777" w:rsidR="00290728" w:rsidRPr="00290728" w:rsidRDefault="006A793B" w:rsidP="0015650C">
            <w:pPr>
              <w:spacing w:before="0" w:line="240" w:lineRule="auto"/>
              <w:jc w:val="left"/>
              <w:rPr>
                <w:rtl/>
                <w:lang w:bidi="ar-EG"/>
              </w:rPr>
            </w:pPr>
            <w:bookmarkStart w:id="0" w:name="ditulogo"/>
            <w:bookmarkEnd w:id="0"/>
            <w:r>
              <w:rPr>
                <w:noProof/>
                <w:lang w:eastAsia="en-US"/>
              </w:rPr>
              <w:drawing>
                <wp:inline distT="0" distB="0" distL="0" distR="0" wp14:anchorId="4C9AA183" wp14:editId="6332F88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56D32DB1" w14:textId="77777777" w:rsidTr="005919CC">
        <w:trPr>
          <w:cantSplit/>
          <w:trHeight w:val="20"/>
        </w:trPr>
        <w:tc>
          <w:tcPr>
            <w:tcW w:w="6620" w:type="dxa"/>
            <w:tcBorders>
              <w:bottom w:val="single" w:sz="12" w:space="0" w:color="auto"/>
            </w:tcBorders>
          </w:tcPr>
          <w:p w14:paraId="1FC64909"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14ECADC5" w14:textId="77777777" w:rsidR="00290728" w:rsidRPr="006A793B" w:rsidRDefault="00290728" w:rsidP="006A793B">
            <w:pPr>
              <w:spacing w:before="0" w:line="120" w:lineRule="auto"/>
              <w:rPr>
                <w:lang w:bidi="ar-EG"/>
              </w:rPr>
            </w:pPr>
          </w:p>
        </w:tc>
      </w:tr>
      <w:tr w:rsidR="00290728" w:rsidRPr="00290728" w14:paraId="1275C8CA" w14:textId="77777777" w:rsidTr="005919CC">
        <w:trPr>
          <w:cantSplit/>
          <w:trHeight w:val="20"/>
        </w:trPr>
        <w:tc>
          <w:tcPr>
            <w:tcW w:w="6620" w:type="dxa"/>
            <w:tcBorders>
              <w:top w:val="single" w:sz="12" w:space="0" w:color="auto"/>
            </w:tcBorders>
          </w:tcPr>
          <w:p w14:paraId="7E8CB1F1" w14:textId="77777777" w:rsidR="00290728" w:rsidRPr="00290728" w:rsidRDefault="00290728" w:rsidP="003C72CA">
            <w:pPr>
              <w:spacing w:before="0" w:line="240" w:lineRule="exact"/>
              <w:rPr>
                <w:b/>
                <w:bCs/>
                <w:rtl/>
                <w:lang w:bidi="ar-EG"/>
              </w:rPr>
            </w:pPr>
          </w:p>
        </w:tc>
        <w:tc>
          <w:tcPr>
            <w:tcW w:w="3052" w:type="dxa"/>
            <w:tcBorders>
              <w:top w:val="single" w:sz="12" w:space="0" w:color="auto"/>
            </w:tcBorders>
          </w:tcPr>
          <w:p w14:paraId="7693782A" w14:textId="77777777" w:rsidR="00290728" w:rsidRPr="00290728" w:rsidRDefault="00290728" w:rsidP="003C72CA">
            <w:pPr>
              <w:spacing w:before="0" w:line="240" w:lineRule="exact"/>
              <w:rPr>
                <w:b/>
                <w:bCs/>
                <w:lang w:bidi="ar-SY"/>
              </w:rPr>
            </w:pPr>
          </w:p>
        </w:tc>
      </w:tr>
      <w:tr w:rsidR="0015650C" w:rsidRPr="00290728" w14:paraId="26784CE0" w14:textId="77777777" w:rsidTr="005919CC">
        <w:trPr>
          <w:cantSplit/>
        </w:trPr>
        <w:tc>
          <w:tcPr>
            <w:tcW w:w="6620" w:type="dxa"/>
            <w:vMerge w:val="restart"/>
          </w:tcPr>
          <w:p w14:paraId="0673E152" w14:textId="7192222D" w:rsidR="005805EA" w:rsidRPr="003C72CA" w:rsidRDefault="0015650C" w:rsidP="002145D0">
            <w:pPr>
              <w:spacing w:before="20" w:after="20" w:line="300" w:lineRule="exact"/>
              <w:rPr>
                <w:b/>
                <w:bCs/>
                <w:rtl/>
                <w:lang w:bidi="ar-EG"/>
              </w:rPr>
            </w:pPr>
            <w:r w:rsidRPr="003C72CA">
              <w:rPr>
                <w:rFonts w:hint="cs"/>
                <w:b/>
                <w:bCs/>
                <w:rtl/>
                <w:lang w:bidi="ar-EG"/>
              </w:rPr>
              <w:t xml:space="preserve">بند جدول الأعمال: </w:t>
            </w:r>
            <w:r w:rsidR="003C72CA" w:rsidRPr="003C72CA">
              <w:rPr>
                <w:b/>
                <w:bCs/>
                <w:lang w:bidi="ar-EG"/>
              </w:rPr>
              <w:t>19</w:t>
            </w:r>
            <w:r w:rsidRPr="003C72CA">
              <w:rPr>
                <w:b/>
                <w:bCs/>
                <w:lang w:bidi="ar-EG"/>
              </w:rPr>
              <w:t> </w:t>
            </w:r>
          </w:p>
        </w:tc>
        <w:tc>
          <w:tcPr>
            <w:tcW w:w="3052" w:type="dxa"/>
            <w:vAlign w:val="center"/>
          </w:tcPr>
          <w:p w14:paraId="2697BE9D" w14:textId="2F8898EC" w:rsidR="0015650C" w:rsidRPr="003C72CA" w:rsidRDefault="0015650C" w:rsidP="003C6B4F">
            <w:pPr>
              <w:spacing w:before="20" w:after="20" w:line="300" w:lineRule="exact"/>
              <w:rPr>
                <w:b/>
                <w:bCs/>
                <w:lang w:bidi="ar-SY"/>
              </w:rPr>
            </w:pPr>
            <w:r w:rsidRPr="003C72CA">
              <w:rPr>
                <w:rFonts w:hint="cs"/>
                <w:b/>
                <w:bCs/>
                <w:rtl/>
                <w:lang w:bidi="ar-EG"/>
              </w:rPr>
              <w:t xml:space="preserve">الوثيقة </w:t>
            </w:r>
            <w:r w:rsidRPr="003C72CA">
              <w:rPr>
                <w:b/>
                <w:bCs/>
                <w:lang w:bidi="ar-SY"/>
              </w:rPr>
              <w:t>C</w:t>
            </w:r>
            <w:r w:rsidR="003C72CA">
              <w:rPr>
                <w:b/>
                <w:bCs/>
                <w:lang w:bidi="ar-SY"/>
              </w:rPr>
              <w:t>22</w:t>
            </w:r>
            <w:r w:rsidRPr="003C72CA">
              <w:rPr>
                <w:b/>
                <w:bCs/>
                <w:lang w:bidi="ar-SY"/>
              </w:rPr>
              <w:t>/</w:t>
            </w:r>
            <w:r w:rsidR="003C72CA">
              <w:rPr>
                <w:b/>
                <w:bCs/>
                <w:lang w:bidi="ar-SY"/>
              </w:rPr>
              <w:t>25</w:t>
            </w:r>
            <w:r w:rsidRPr="003C72CA">
              <w:rPr>
                <w:b/>
                <w:bCs/>
                <w:lang w:bidi="ar-SY"/>
              </w:rPr>
              <w:t>-A</w:t>
            </w:r>
          </w:p>
        </w:tc>
      </w:tr>
      <w:tr w:rsidR="0015650C" w:rsidRPr="00290728" w14:paraId="791587C3" w14:textId="77777777" w:rsidTr="005919CC">
        <w:trPr>
          <w:cantSplit/>
        </w:trPr>
        <w:tc>
          <w:tcPr>
            <w:tcW w:w="6620" w:type="dxa"/>
            <w:vMerge/>
          </w:tcPr>
          <w:p w14:paraId="7029FDEC" w14:textId="77777777" w:rsidR="0015650C" w:rsidRPr="003C72CA" w:rsidRDefault="0015650C" w:rsidP="003C6B4F">
            <w:pPr>
              <w:spacing w:before="20" w:after="20" w:line="300" w:lineRule="exact"/>
              <w:rPr>
                <w:b/>
                <w:bCs/>
                <w:lang w:bidi="ar-SY"/>
              </w:rPr>
            </w:pPr>
          </w:p>
        </w:tc>
        <w:tc>
          <w:tcPr>
            <w:tcW w:w="3052" w:type="dxa"/>
            <w:vAlign w:val="center"/>
          </w:tcPr>
          <w:p w14:paraId="15FF2AB1" w14:textId="67901D4C" w:rsidR="0015650C" w:rsidRPr="003C72CA" w:rsidRDefault="003C72CA" w:rsidP="003C6B4F">
            <w:pPr>
              <w:spacing w:before="20" w:after="20" w:line="300" w:lineRule="exact"/>
              <w:rPr>
                <w:b/>
                <w:bCs/>
                <w:rtl/>
                <w:lang w:bidi="ar-EG"/>
              </w:rPr>
            </w:pPr>
            <w:r>
              <w:rPr>
                <w:b/>
                <w:bCs/>
                <w:lang w:bidi="ar-SY"/>
              </w:rPr>
              <w:t>10</w:t>
            </w:r>
            <w:r w:rsidR="0015650C" w:rsidRPr="003C72CA">
              <w:rPr>
                <w:rFonts w:hint="cs"/>
                <w:b/>
                <w:bCs/>
                <w:rtl/>
                <w:lang w:bidi="ar-EG"/>
              </w:rPr>
              <w:t xml:space="preserve"> </w:t>
            </w:r>
            <w:r>
              <w:rPr>
                <w:rFonts w:hint="cs"/>
                <w:b/>
                <w:bCs/>
                <w:rtl/>
                <w:lang w:bidi="ar-EG"/>
              </w:rPr>
              <w:t>يناير</w:t>
            </w:r>
            <w:r w:rsidR="0015650C" w:rsidRPr="003C72CA">
              <w:rPr>
                <w:rFonts w:hint="cs"/>
                <w:b/>
                <w:bCs/>
                <w:rtl/>
                <w:lang w:bidi="ar-EG"/>
              </w:rPr>
              <w:t xml:space="preserve"> </w:t>
            </w:r>
            <w:r>
              <w:rPr>
                <w:b/>
                <w:bCs/>
                <w:lang w:bidi="ar-SY"/>
              </w:rPr>
              <w:t>2022</w:t>
            </w:r>
          </w:p>
        </w:tc>
      </w:tr>
      <w:tr w:rsidR="0015650C" w:rsidRPr="00290728" w14:paraId="6508FEAB" w14:textId="77777777" w:rsidTr="005919CC">
        <w:trPr>
          <w:cantSplit/>
        </w:trPr>
        <w:tc>
          <w:tcPr>
            <w:tcW w:w="6620" w:type="dxa"/>
            <w:vMerge/>
          </w:tcPr>
          <w:p w14:paraId="4A063E46" w14:textId="77777777" w:rsidR="0015650C" w:rsidRPr="003C72CA" w:rsidRDefault="0015650C" w:rsidP="003C6B4F">
            <w:pPr>
              <w:spacing w:before="20" w:after="20" w:line="300" w:lineRule="exact"/>
              <w:rPr>
                <w:b/>
                <w:bCs/>
                <w:lang w:bidi="ar-EG"/>
              </w:rPr>
            </w:pPr>
          </w:p>
        </w:tc>
        <w:tc>
          <w:tcPr>
            <w:tcW w:w="3052" w:type="dxa"/>
            <w:vAlign w:val="center"/>
          </w:tcPr>
          <w:p w14:paraId="6C8FD5C6" w14:textId="77777777" w:rsidR="0015650C" w:rsidRPr="003C72CA" w:rsidRDefault="0015650C" w:rsidP="003C6B4F">
            <w:pPr>
              <w:spacing w:before="20" w:after="20" w:line="300" w:lineRule="exact"/>
              <w:rPr>
                <w:b/>
                <w:bCs/>
                <w:lang w:bidi="ar-SY"/>
              </w:rPr>
            </w:pPr>
            <w:r w:rsidRPr="003C72CA">
              <w:rPr>
                <w:b/>
                <w:bCs/>
                <w:rtl/>
                <w:lang w:bidi="ar-EG"/>
              </w:rPr>
              <w:t xml:space="preserve">الأصل: </w:t>
            </w:r>
            <w:r w:rsidRPr="003C72CA">
              <w:rPr>
                <w:rFonts w:hint="cs"/>
                <w:b/>
                <w:bCs/>
                <w:rtl/>
                <w:lang w:bidi="ar-EG"/>
              </w:rPr>
              <w:t>بالإنكليزية</w:t>
            </w:r>
          </w:p>
        </w:tc>
      </w:tr>
      <w:tr w:rsidR="00290728" w:rsidRPr="00290728" w14:paraId="2BEFE16A" w14:textId="77777777" w:rsidTr="005919CC">
        <w:trPr>
          <w:cantSplit/>
        </w:trPr>
        <w:tc>
          <w:tcPr>
            <w:tcW w:w="9672" w:type="dxa"/>
            <w:gridSpan w:val="2"/>
          </w:tcPr>
          <w:p w14:paraId="251EDC23" w14:textId="7A00A665" w:rsidR="00290728" w:rsidRPr="00290728" w:rsidRDefault="003C72CA" w:rsidP="00290728">
            <w:pPr>
              <w:pStyle w:val="Source"/>
              <w:rPr>
                <w:rtl/>
                <w:lang w:bidi="ar-EG"/>
              </w:rPr>
            </w:pPr>
            <w:r>
              <w:rPr>
                <w:rFonts w:hint="cs"/>
                <w:rtl/>
                <w:lang w:bidi="ar-SY"/>
              </w:rPr>
              <w:t>تقرير من الأمين العام</w:t>
            </w:r>
          </w:p>
        </w:tc>
      </w:tr>
      <w:tr w:rsidR="00290728" w:rsidRPr="00290728" w14:paraId="2D96F7A5" w14:textId="77777777" w:rsidTr="005919CC">
        <w:trPr>
          <w:cantSplit/>
        </w:trPr>
        <w:tc>
          <w:tcPr>
            <w:tcW w:w="9672" w:type="dxa"/>
            <w:gridSpan w:val="2"/>
          </w:tcPr>
          <w:p w14:paraId="2CA769EA" w14:textId="4BC51CEF" w:rsidR="00290728" w:rsidRPr="003C72CA" w:rsidRDefault="003C72CA" w:rsidP="003C72CA">
            <w:pPr>
              <w:pStyle w:val="Title1"/>
              <w:rPr>
                <w:rtl/>
              </w:rPr>
            </w:pPr>
            <w:r w:rsidRPr="003C72CA">
              <w:rPr>
                <w:rFonts w:hint="cs"/>
                <w:rtl/>
              </w:rPr>
              <w:t>تقوية الحضور الإقليمي</w:t>
            </w:r>
          </w:p>
        </w:tc>
      </w:tr>
      <w:tr w:rsidR="00DC5FB0" w:rsidRPr="00290728" w14:paraId="15329892" w14:textId="77777777" w:rsidTr="005919CC">
        <w:trPr>
          <w:cantSplit/>
        </w:trPr>
        <w:tc>
          <w:tcPr>
            <w:tcW w:w="9672" w:type="dxa"/>
            <w:gridSpan w:val="2"/>
          </w:tcPr>
          <w:p w14:paraId="13A75347" w14:textId="77777777" w:rsidR="00DC5FB0" w:rsidRPr="00383829" w:rsidRDefault="00DC5FB0" w:rsidP="006A793B">
            <w:pPr>
              <w:rPr>
                <w:rtl/>
              </w:rPr>
            </w:pPr>
          </w:p>
        </w:tc>
      </w:tr>
    </w:tbl>
    <w:p w14:paraId="5113E158" w14:textId="77777777"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14:paraId="4BA4DC98" w14:textId="77777777" w:rsidTr="00952F86">
        <w:trPr>
          <w:jc w:val="center"/>
        </w:trPr>
        <w:tc>
          <w:tcPr>
            <w:tcW w:w="8080" w:type="dxa"/>
          </w:tcPr>
          <w:p w14:paraId="02B8D1AD" w14:textId="77777777" w:rsidR="00290728" w:rsidRPr="00290728" w:rsidRDefault="00290728" w:rsidP="00706D7A">
            <w:pPr>
              <w:rPr>
                <w:b/>
                <w:bCs/>
                <w:rtl/>
                <w:lang w:bidi="ar-SY"/>
              </w:rPr>
            </w:pPr>
            <w:r w:rsidRPr="00290728">
              <w:rPr>
                <w:rFonts w:hint="cs"/>
                <w:b/>
                <w:bCs/>
                <w:rtl/>
                <w:lang w:bidi="ar-SY"/>
              </w:rPr>
              <w:t>ملخص</w:t>
            </w:r>
          </w:p>
          <w:p w14:paraId="1B437501" w14:textId="033B0808" w:rsidR="003C72CA" w:rsidRDefault="003C72CA" w:rsidP="003C72CA">
            <w:pPr>
              <w:rPr>
                <w:rtl/>
                <w:lang w:bidi="ar-SY"/>
              </w:rPr>
            </w:pPr>
            <w:r w:rsidRPr="005F0ADE">
              <w:rPr>
                <w:rFonts w:hint="cs"/>
                <w:rtl/>
              </w:rPr>
              <w:t xml:space="preserve">الغرض من هذه الوثيقة تقديم تقرير بشأن تنفيذ القرار </w:t>
            </w:r>
            <w:r w:rsidRPr="005F0ADE">
              <w:rPr>
                <w:lang w:bidi="ar-SY"/>
              </w:rPr>
              <w:t>25</w:t>
            </w:r>
            <w:r w:rsidRPr="005F0ADE">
              <w:rPr>
                <w:rFonts w:hint="cs"/>
                <w:rtl/>
              </w:rPr>
              <w:t xml:space="preserve"> (المراجَع في دبي،</w:t>
            </w:r>
            <w:r w:rsidRPr="005F0ADE">
              <w:rPr>
                <w:rFonts w:hint="eastAsia"/>
                <w:rtl/>
              </w:rPr>
              <w:t> </w:t>
            </w:r>
            <w:r w:rsidRPr="005F0ADE">
              <w:rPr>
                <w:lang w:bidi="ar-SY"/>
              </w:rPr>
              <w:t>2018</w:t>
            </w:r>
            <w:r w:rsidRPr="005F0ADE">
              <w:rPr>
                <w:rFonts w:hint="cs"/>
                <w:rtl/>
              </w:rPr>
              <w:t>) لمؤتمر المندوبين المفوضين.</w:t>
            </w:r>
            <w:r w:rsidRPr="005F0ADE">
              <w:rPr>
                <w:rFonts w:hint="cs"/>
                <w:rtl/>
                <w:lang w:bidi="ar-EG"/>
              </w:rPr>
              <w:t xml:space="preserve"> وتتضمن </w:t>
            </w:r>
            <w:r w:rsidRPr="005F0ADE">
              <w:rPr>
                <w:rFonts w:hint="cs"/>
                <w:rtl/>
              </w:rPr>
              <w:t>الوثيقة </w:t>
            </w:r>
            <w:hyperlink r:id="rId9" w:history="1">
              <w:r>
                <w:rPr>
                  <w:rStyle w:val="Hyperlink"/>
                </w:rPr>
                <w:t>C22/INF/5</w:t>
              </w:r>
            </w:hyperlink>
            <w:r w:rsidRPr="005F0ADE">
              <w:rPr>
                <w:rFonts w:hint="cs"/>
                <w:rtl/>
                <w:lang w:bidi="ar-EG"/>
              </w:rPr>
              <w:t xml:space="preserve"> ملحقات تتعلق بهذه الوثيقة (الملحقات من </w:t>
            </w:r>
            <w:r w:rsidRPr="005F0ADE">
              <w:rPr>
                <w:lang w:bidi="ar-SY"/>
              </w:rPr>
              <w:t>1</w:t>
            </w:r>
            <w:r w:rsidRPr="005F0ADE">
              <w:rPr>
                <w:rFonts w:hint="cs"/>
                <w:rtl/>
                <w:lang w:bidi="ar-EG"/>
              </w:rPr>
              <w:t xml:space="preserve"> إلى </w:t>
            </w:r>
            <w:r w:rsidRPr="005F0ADE">
              <w:rPr>
                <w:lang w:bidi="ar-SY"/>
              </w:rPr>
              <w:t>9</w:t>
            </w:r>
            <w:r w:rsidRPr="005F0ADE">
              <w:rPr>
                <w:rFonts w:hint="cs"/>
                <w:rtl/>
                <w:lang w:bidi="ar-EG"/>
              </w:rPr>
              <w:t xml:space="preserve">). </w:t>
            </w:r>
          </w:p>
          <w:p w14:paraId="05EC6362" w14:textId="77777777" w:rsidR="003C72CA" w:rsidRPr="00290728" w:rsidRDefault="003C72CA" w:rsidP="003C72CA">
            <w:pPr>
              <w:rPr>
                <w:b/>
                <w:bCs/>
                <w:rtl/>
                <w:lang w:bidi="ar-SY"/>
              </w:rPr>
            </w:pPr>
            <w:r w:rsidRPr="00290728">
              <w:rPr>
                <w:rFonts w:hint="cs"/>
                <w:b/>
                <w:bCs/>
                <w:rtl/>
                <w:lang w:bidi="ar-SY"/>
              </w:rPr>
              <w:t>الإجراء المطلوب</w:t>
            </w:r>
          </w:p>
          <w:p w14:paraId="6D79C4DC" w14:textId="738222D5" w:rsidR="003C72CA" w:rsidRDefault="003C72CA" w:rsidP="003C72CA">
            <w:pPr>
              <w:rPr>
                <w:rtl/>
                <w:lang w:bidi="ar-SY"/>
              </w:rPr>
            </w:pPr>
            <w:r>
              <w:rPr>
                <w:rFonts w:hint="cs"/>
                <w:rtl/>
                <w:lang w:bidi="ar-SY"/>
              </w:rPr>
              <w:t>يُدعى</w:t>
            </w:r>
            <w:r w:rsidRPr="00CC485D">
              <w:rPr>
                <w:rFonts w:hint="cs"/>
                <w:rtl/>
                <w:lang w:bidi="ar-SY"/>
              </w:rPr>
              <w:t xml:space="preserve"> المجلس</w:t>
            </w:r>
            <w:r>
              <w:rPr>
                <w:rFonts w:hint="cs"/>
                <w:rtl/>
                <w:lang w:bidi="ar-SY"/>
              </w:rPr>
              <w:t xml:space="preserve"> إلى</w:t>
            </w:r>
            <w:r w:rsidRPr="00CC485D">
              <w:rPr>
                <w:rFonts w:hint="cs"/>
                <w:rtl/>
                <w:lang w:bidi="ar-SY"/>
              </w:rPr>
              <w:t xml:space="preserve"> </w:t>
            </w:r>
            <w:r w:rsidRPr="00CC485D">
              <w:rPr>
                <w:rFonts w:hint="cs"/>
                <w:b/>
                <w:bCs/>
                <w:rtl/>
                <w:lang w:bidi="ar-SY"/>
              </w:rPr>
              <w:t>الإحاطة علماً</w:t>
            </w:r>
            <w:r w:rsidRPr="00CC485D">
              <w:rPr>
                <w:rFonts w:hint="cs"/>
                <w:rtl/>
                <w:lang w:bidi="ar-SY"/>
              </w:rPr>
              <w:t xml:space="preserve"> بهذا التقرير</w:t>
            </w:r>
            <w:r>
              <w:rPr>
                <w:rFonts w:hint="cs"/>
                <w:rtl/>
                <w:lang w:bidi="ar-SY"/>
              </w:rPr>
              <w:t>.</w:t>
            </w:r>
          </w:p>
          <w:p w14:paraId="103CC239" w14:textId="3B18A015" w:rsidR="003C72CA" w:rsidRPr="00B27CE0" w:rsidRDefault="00B27CE0" w:rsidP="003C72CA">
            <w:pPr>
              <w:jc w:val="center"/>
              <w:rPr>
                <w:rtl/>
                <w:lang w:bidi="ar-SY"/>
              </w:rPr>
            </w:pPr>
            <w:r>
              <w:rPr>
                <w:rFonts w:hint="cs"/>
                <w:rtl/>
                <w:lang w:bidi="ar-SY"/>
              </w:rPr>
              <w:t>ـــــــــــــــــــــــــــــــــــــــــــــــــــــــــــــــــــــــــــــــ</w:t>
            </w:r>
          </w:p>
          <w:p w14:paraId="05F3B0EB" w14:textId="77777777" w:rsidR="003C72CA" w:rsidRPr="00290728" w:rsidRDefault="003C72CA" w:rsidP="003C72CA">
            <w:pPr>
              <w:rPr>
                <w:b/>
                <w:bCs/>
                <w:rtl/>
                <w:lang w:bidi="ar-SY"/>
              </w:rPr>
            </w:pPr>
            <w:r w:rsidRPr="00290728">
              <w:rPr>
                <w:rFonts w:hint="cs"/>
                <w:b/>
                <w:bCs/>
                <w:rtl/>
                <w:lang w:bidi="ar-SY"/>
              </w:rPr>
              <w:t>المراجع</w:t>
            </w:r>
          </w:p>
          <w:p w14:paraId="0072B560" w14:textId="5676916C" w:rsidR="00290728" w:rsidRPr="00290728" w:rsidRDefault="00D14F1A" w:rsidP="00F464A7">
            <w:pPr>
              <w:spacing w:after="120"/>
              <w:jc w:val="left"/>
              <w:rPr>
                <w:i/>
                <w:iCs/>
                <w:rtl/>
                <w:lang w:bidi="ar-SY"/>
              </w:rPr>
            </w:pPr>
            <w:hyperlink r:id="rId10" w:history="1">
              <w:r w:rsidR="003C72CA" w:rsidRPr="00612C44">
                <w:rPr>
                  <w:rStyle w:val="Hyperlink"/>
                  <w:rFonts w:hint="cs"/>
                  <w:i/>
                  <w:iCs/>
                  <w:spacing w:val="-2"/>
                  <w:rtl/>
                </w:rPr>
                <w:t xml:space="preserve">القرار </w:t>
              </w:r>
              <w:r w:rsidR="003C72CA" w:rsidRPr="00612C44">
                <w:rPr>
                  <w:rStyle w:val="Hyperlink"/>
                  <w:i/>
                  <w:iCs/>
                  <w:spacing w:val="-2"/>
                  <w:lang w:bidi="ar-SY"/>
                </w:rPr>
                <w:t>25</w:t>
              </w:r>
              <w:r w:rsidR="003C72CA" w:rsidRPr="00612C44">
                <w:rPr>
                  <w:rStyle w:val="Hyperlink"/>
                  <w:rFonts w:hint="cs"/>
                  <w:i/>
                  <w:iCs/>
                  <w:spacing w:val="-2"/>
                  <w:rtl/>
                </w:rPr>
                <w:t xml:space="preserve"> (المراجَع في دبي، </w:t>
              </w:r>
              <w:r w:rsidR="003C72CA" w:rsidRPr="00612C44">
                <w:rPr>
                  <w:rStyle w:val="Hyperlink"/>
                  <w:i/>
                  <w:iCs/>
                  <w:spacing w:val="-2"/>
                  <w:lang w:bidi="ar-SY"/>
                </w:rPr>
                <w:t>2018</w:t>
              </w:r>
              <w:r w:rsidR="003C72CA" w:rsidRPr="00612C44">
                <w:rPr>
                  <w:rStyle w:val="Hyperlink"/>
                  <w:rFonts w:hint="cs"/>
                  <w:i/>
                  <w:iCs/>
                  <w:spacing w:val="-2"/>
                  <w:rtl/>
                </w:rPr>
                <w:t>)</w:t>
              </w:r>
            </w:hyperlink>
            <w:r w:rsidR="003C72CA" w:rsidRPr="00612C44">
              <w:rPr>
                <w:rFonts w:hint="cs"/>
                <w:i/>
                <w:iCs/>
                <w:spacing w:val="-2"/>
                <w:rtl/>
                <w:lang w:bidi="ar-SY"/>
              </w:rPr>
              <w:t xml:space="preserve">؛ </w:t>
            </w:r>
            <w:r w:rsidR="003C72CA">
              <w:rPr>
                <w:rFonts w:hint="cs"/>
                <w:i/>
                <w:iCs/>
                <w:spacing w:val="-2"/>
                <w:rtl/>
                <w:lang w:bidi="ar-SY"/>
              </w:rPr>
              <w:t>الوثيقة</w:t>
            </w:r>
            <w:r w:rsidR="003C72CA" w:rsidRPr="00612C44">
              <w:rPr>
                <w:rFonts w:hint="cs"/>
                <w:i/>
                <w:iCs/>
                <w:spacing w:val="-2"/>
                <w:rtl/>
                <w:lang w:bidi="ar-SY"/>
              </w:rPr>
              <w:t xml:space="preserve"> </w:t>
            </w:r>
            <w:hyperlink r:id="rId11" w:history="1">
              <w:r w:rsidR="003C72CA">
                <w:rPr>
                  <w:rStyle w:val="Hyperlink"/>
                  <w:rFonts w:eastAsia="Arial Unicode MS" w:cstheme="minorHAnsi"/>
                  <w:i/>
                  <w:iCs/>
                  <w:szCs w:val="24"/>
                </w:rPr>
                <w:t>C22/INF/5</w:t>
              </w:r>
            </w:hyperlink>
            <w:r w:rsidR="003C72CA">
              <w:rPr>
                <w:rFonts w:hint="cs"/>
                <w:rtl/>
              </w:rPr>
              <w:t xml:space="preserve"> </w:t>
            </w:r>
          </w:p>
        </w:tc>
      </w:tr>
    </w:tbl>
    <w:p w14:paraId="5C3B676F" w14:textId="77777777" w:rsidR="001C5EE6" w:rsidRPr="001C5EE6" w:rsidRDefault="001C5EE6" w:rsidP="001C5EE6">
      <w:pPr>
        <w:pStyle w:val="Heading1"/>
        <w:rPr>
          <w:rtl/>
        </w:rPr>
      </w:pPr>
      <w:r w:rsidRPr="001C5EE6">
        <w:t>1</w:t>
      </w:r>
      <w:r w:rsidRPr="001C5EE6">
        <w:tab/>
      </w:r>
      <w:r w:rsidRPr="001C5EE6">
        <w:rPr>
          <w:rFonts w:hint="cs"/>
          <w:rtl/>
        </w:rPr>
        <w:t>خلفية</w:t>
      </w:r>
    </w:p>
    <w:p w14:paraId="6DFBF625" w14:textId="77777777" w:rsidR="001C5EE6" w:rsidRPr="005A42CA" w:rsidRDefault="001C5EE6" w:rsidP="001C5EE6">
      <w:pPr>
        <w:rPr>
          <w:rtl/>
        </w:rPr>
      </w:pPr>
      <w:r w:rsidRPr="00C462E9">
        <w:rPr>
          <w:lang w:bidi="ar-SY"/>
        </w:rPr>
        <w:t>1.1</w:t>
      </w:r>
      <w:r w:rsidRPr="00C462E9">
        <w:rPr>
          <w:lang w:bidi="ar-SY"/>
        </w:rPr>
        <w:tab/>
      </w:r>
      <w:r w:rsidRPr="005A42CA">
        <w:rPr>
          <w:rFonts w:hint="cs"/>
          <w:rtl/>
          <w:lang w:bidi="ar-SY"/>
        </w:rPr>
        <w:t xml:space="preserve">راجع </w:t>
      </w:r>
      <w:r w:rsidRPr="005A42CA">
        <w:rPr>
          <w:rFonts w:hint="cs"/>
          <w:rtl/>
        </w:rPr>
        <w:t>مؤتمر المندوبين المفوضين للاتحاد لعام</w:t>
      </w:r>
      <w:r w:rsidRPr="005A42CA">
        <w:rPr>
          <w:rFonts w:hint="eastAsia"/>
          <w:rtl/>
        </w:rPr>
        <w:t> </w:t>
      </w:r>
      <w:r w:rsidRPr="005A42CA">
        <w:t>2018</w:t>
      </w:r>
      <w:r w:rsidRPr="005A42CA">
        <w:rPr>
          <w:rFonts w:hint="cs"/>
          <w:rtl/>
          <w:lang w:bidi="ar-LB"/>
        </w:rPr>
        <w:t xml:space="preserve"> </w:t>
      </w:r>
      <w:r w:rsidRPr="005A42CA">
        <w:rPr>
          <w:lang w:bidi="ar-LB"/>
        </w:rPr>
        <w:t>(PP-18)</w:t>
      </w:r>
      <w:r w:rsidRPr="005A42CA">
        <w:rPr>
          <w:rFonts w:hint="cs"/>
          <w:rtl/>
          <w:lang w:bidi="ar-LB"/>
        </w:rPr>
        <w:t xml:space="preserve"> </w:t>
      </w:r>
      <w:r w:rsidRPr="005A42CA">
        <w:rPr>
          <w:rFonts w:hint="cs"/>
          <w:rtl/>
          <w:lang w:bidi="ar-EG"/>
        </w:rPr>
        <w:t xml:space="preserve">الذي عُقد في دبي </w:t>
      </w:r>
      <w:r w:rsidRPr="005A42CA">
        <w:rPr>
          <w:rFonts w:hint="cs"/>
          <w:rtl/>
          <w:lang w:bidi="ar-LB"/>
        </w:rPr>
        <w:t xml:space="preserve">القرار </w:t>
      </w:r>
      <w:r w:rsidRPr="005A42CA">
        <w:rPr>
          <w:lang w:bidi="ar-LB"/>
        </w:rPr>
        <w:t>25</w:t>
      </w:r>
      <w:r w:rsidRPr="005A42CA">
        <w:rPr>
          <w:rFonts w:hint="cs"/>
          <w:rtl/>
          <w:lang w:bidi="ar-SY"/>
        </w:rPr>
        <w:t xml:space="preserve"> (</w:t>
      </w:r>
      <w:r w:rsidRPr="005A42CA">
        <w:rPr>
          <w:rFonts w:hint="cs"/>
          <w:rtl/>
        </w:rPr>
        <w:t>تقوية الحضور الإقليمي). وفي</w:t>
      </w:r>
      <w:r w:rsidRPr="005A42CA">
        <w:rPr>
          <w:rFonts w:hint="eastAsia"/>
          <w:rtl/>
        </w:rPr>
        <w:t> </w:t>
      </w:r>
      <w:r w:rsidRPr="005A42CA">
        <w:rPr>
          <w:rFonts w:hint="cs"/>
          <w:rtl/>
        </w:rPr>
        <w:t>هذا المؤتمر، قرر أعضاء الاتحاد "</w:t>
      </w:r>
      <w:r w:rsidRPr="005A42CA">
        <w:rPr>
          <w:rtl/>
        </w:rPr>
        <w:t xml:space="preserve">تقوية وظائف المكاتب الإقليمية بحيث يمكن أن تؤدي دوراً في تنفيذ </w:t>
      </w:r>
      <w:r w:rsidRPr="005A42CA">
        <w:rPr>
          <w:rFonts w:hint="cs"/>
          <w:rtl/>
        </w:rPr>
        <w:t xml:space="preserve">خطة الاتحاد الاستراتيجية </w:t>
      </w:r>
      <w:r w:rsidRPr="005A42CA">
        <w:rPr>
          <w:rtl/>
        </w:rPr>
        <w:t xml:space="preserve">وبرامجه ومشاريعه والمبادرات الإقليمية المذكورة في القرار </w:t>
      </w:r>
      <w:r w:rsidRPr="005A42CA">
        <w:t>17</w:t>
      </w:r>
      <w:r w:rsidRPr="005A42CA">
        <w:rPr>
          <w:rtl/>
        </w:rPr>
        <w:t xml:space="preserve"> (المراجَع في بوينس آيرس، </w:t>
      </w:r>
      <w:r w:rsidRPr="005A42CA">
        <w:t>2017</w:t>
      </w:r>
      <w:r w:rsidRPr="005A42CA">
        <w:rPr>
          <w:rtl/>
        </w:rPr>
        <w:t>) للمؤتمر</w:t>
      </w:r>
      <w:r w:rsidRPr="005A42CA">
        <w:rPr>
          <w:rFonts w:hint="cs"/>
          <w:rtl/>
          <w:lang w:bidi="ar-EG"/>
        </w:rPr>
        <w:t xml:space="preserve"> </w:t>
      </w:r>
      <w:r w:rsidRPr="005A42CA">
        <w:rPr>
          <w:rtl/>
        </w:rPr>
        <w:t>العالمي لتنمية الاتصالات</w:t>
      </w:r>
      <w:r w:rsidRPr="005A42CA">
        <w:rPr>
          <w:rFonts w:hint="cs"/>
          <w:rtl/>
        </w:rPr>
        <w:t>".</w:t>
      </w:r>
    </w:p>
    <w:p w14:paraId="761EEE10" w14:textId="27FD0AF7" w:rsidR="001C5EE6" w:rsidRPr="000A56FB" w:rsidRDefault="001C5EE6" w:rsidP="001C5EE6">
      <w:pPr>
        <w:rPr>
          <w:spacing w:val="-6"/>
          <w:rtl/>
          <w:lang w:val="en-GB" w:bidi="ar-EG"/>
        </w:rPr>
      </w:pPr>
      <w:r w:rsidRPr="000A56FB">
        <w:rPr>
          <w:spacing w:val="-6"/>
          <w:lang w:bidi="ar-SY"/>
        </w:rPr>
        <w:t>2.1</w:t>
      </w:r>
      <w:r w:rsidRPr="000A56FB">
        <w:rPr>
          <w:spacing w:val="-6"/>
          <w:rtl/>
        </w:rPr>
        <w:tab/>
        <w:t>و</w:t>
      </w:r>
      <w:r w:rsidRPr="000A56FB">
        <w:rPr>
          <w:rFonts w:hint="cs"/>
          <w:spacing w:val="-6"/>
          <w:rtl/>
        </w:rPr>
        <w:t>في عام</w:t>
      </w:r>
      <w:r w:rsidRPr="000A56FB">
        <w:rPr>
          <w:rFonts w:hint="cs"/>
          <w:spacing w:val="-6"/>
          <w:rtl/>
          <w:lang w:bidi="ar-EG"/>
        </w:rPr>
        <w:t xml:space="preserve"> </w:t>
      </w:r>
      <w:r w:rsidRPr="000A56FB">
        <w:rPr>
          <w:spacing w:val="-6"/>
          <w:lang w:val="es-ES" w:bidi="ar-EG"/>
        </w:rPr>
        <w:t>2021</w:t>
      </w:r>
      <w:r w:rsidRPr="000A56FB">
        <w:rPr>
          <w:rFonts w:hint="cs"/>
          <w:spacing w:val="-6"/>
          <w:rtl/>
          <w:lang w:bidi="ar-EG"/>
        </w:rPr>
        <w:t xml:space="preserve">، تواصلت الجهود الرامية إلى </w:t>
      </w:r>
      <w:r w:rsidRPr="000A56FB">
        <w:rPr>
          <w:rFonts w:hint="cs"/>
          <w:spacing w:val="-6"/>
          <w:rtl/>
          <w:lang w:bidi="ar-LB"/>
        </w:rPr>
        <w:t>تعزيز الحضور الإقليمي للاتحاد عن طريق مجموعة من التدابير التي تمكّنه من</w:t>
      </w:r>
      <w:r w:rsidRPr="000A56FB">
        <w:rPr>
          <w:rFonts w:hint="eastAsia"/>
          <w:spacing w:val="-6"/>
          <w:rtl/>
          <w:lang w:bidi="ar-LB"/>
        </w:rPr>
        <w:t> </w:t>
      </w:r>
      <w:r w:rsidRPr="000A56FB">
        <w:rPr>
          <w:rFonts w:hint="cs"/>
          <w:spacing w:val="-6"/>
          <w:rtl/>
          <w:lang w:bidi="ar-LB"/>
        </w:rPr>
        <w:t xml:space="preserve">زيادة تلبية الاحتياجات المحددة للمناطق </w:t>
      </w:r>
      <w:r w:rsidRPr="000A56FB">
        <w:rPr>
          <w:rFonts w:hint="cs"/>
          <w:spacing w:val="-6"/>
          <w:rtl/>
        </w:rPr>
        <w:t>وتقديم</w:t>
      </w:r>
      <w:r w:rsidRPr="000A56FB">
        <w:rPr>
          <w:spacing w:val="-6"/>
          <w:rtl/>
        </w:rPr>
        <w:t xml:space="preserve"> </w:t>
      </w:r>
      <w:r w:rsidRPr="000A56FB">
        <w:rPr>
          <w:rFonts w:hint="cs"/>
          <w:spacing w:val="-6"/>
          <w:rtl/>
        </w:rPr>
        <w:t xml:space="preserve">منتجات وخدمات </w:t>
      </w:r>
      <w:r w:rsidRPr="000A56FB">
        <w:rPr>
          <w:spacing w:val="-6"/>
          <w:rtl/>
        </w:rPr>
        <w:t>عالية الجودة وفي الوقت المناسب على الصعيدين القُطري</w:t>
      </w:r>
      <w:r w:rsidRPr="000A56FB">
        <w:rPr>
          <w:rFonts w:hint="cs"/>
          <w:spacing w:val="-6"/>
          <w:rtl/>
        </w:rPr>
        <w:t> </w:t>
      </w:r>
      <w:r w:rsidRPr="000A56FB">
        <w:rPr>
          <w:spacing w:val="-6"/>
          <w:rtl/>
        </w:rPr>
        <w:t>والإقليمي</w:t>
      </w:r>
      <w:r w:rsidRPr="000A56FB">
        <w:rPr>
          <w:rFonts w:hint="cs"/>
          <w:spacing w:val="-6"/>
          <w:rtl/>
        </w:rPr>
        <w:t>.</w:t>
      </w:r>
      <w:r w:rsidRPr="000A56FB">
        <w:rPr>
          <w:rFonts w:hint="cs"/>
          <w:spacing w:val="-6"/>
          <w:rtl/>
          <w:lang w:bidi="ar-EG"/>
        </w:rPr>
        <w:t xml:space="preserve"> </w:t>
      </w:r>
    </w:p>
    <w:p w14:paraId="1B9FC923" w14:textId="0FEF5003" w:rsidR="001C5EE6" w:rsidRPr="000A56FB" w:rsidRDefault="001C5EE6" w:rsidP="001C5EE6">
      <w:pPr>
        <w:rPr>
          <w:spacing w:val="-4"/>
          <w:lang w:bidi="ar-EG"/>
        </w:rPr>
      </w:pPr>
      <w:r w:rsidRPr="000A56FB">
        <w:rPr>
          <w:spacing w:val="-4"/>
          <w:lang w:bidi="ar-EG"/>
        </w:rPr>
        <w:t>3.1</w:t>
      </w:r>
      <w:r w:rsidRPr="000A56FB">
        <w:rPr>
          <w:spacing w:val="-4"/>
          <w:rtl/>
          <w:lang w:bidi="ar-EG"/>
        </w:rPr>
        <w:tab/>
      </w:r>
      <w:r w:rsidRPr="000A56FB">
        <w:rPr>
          <w:rFonts w:hint="cs"/>
          <w:spacing w:val="-4"/>
          <w:rtl/>
        </w:rPr>
        <w:t>ويقدم هذا التقرير معلومات بشأن تنفيذ خطة العمل والمبادرات الإقليمية. كما يقدم معلومات تفصيلية عن تنفيذ ميزانية</w:t>
      </w:r>
      <w:r w:rsidRPr="000A56FB">
        <w:rPr>
          <w:rFonts w:hint="eastAsia"/>
          <w:spacing w:val="-4"/>
          <w:rtl/>
        </w:rPr>
        <w:t> </w:t>
      </w:r>
      <w:r w:rsidRPr="000A56FB">
        <w:rPr>
          <w:spacing w:val="-4"/>
        </w:rPr>
        <w:t>2021</w:t>
      </w:r>
      <w:r w:rsidRPr="000A56FB">
        <w:rPr>
          <w:rFonts w:hint="cs"/>
          <w:spacing w:val="-4"/>
          <w:rtl/>
        </w:rPr>
        <w:t xml:space="preserve"> بالنسبة </w:t>
      </w:r>
      <w:r w:rsidR="000C31EE" w:rsidRPr="000A56FB">
        <w:rPr>
          <w:rFonts w:hint="cs"/>
          <w:spacing w:val="-4"/>
          <w:rtl/>
        </w:rPr>
        <w:t>إلى مصادر</w:t>
      </w:r>
      <w:r w:rsidRPr="000A56FB">
        <w:rPr>
          <w:rFonts w:hint="cs"/>
          <w:spacing w:val="-4"/>
          <w:rtl/>
        </w:rPr>
        <w:t xml:space="preserve"> التمويل العادية من الميزانية، ومن خارج الميزانية على السواء. ويقدم كذلك معلومات محدّثة بشأن مستوى التوظيف في</w:t>
      </w:r>
      <w:r w:rsidRPr="000A56FB">
        <w:rPr>
          <w:rFonts w:hint="eastAsia"/>
          <w:spacing w:val="-4"/>
          <w:rtl/>
        </w:rPr>
        <w:t> </w:t>
      </w:r>
      <w:r w:rsidRPr="000A56FB">
        <w:rPr>
          <w:rFonts w:hint="cs"/>
          <w:spacing w:val="-4"/>
          <w:rtl/>
        </w:rPr>
        <w:t>مختلف المكاتب الإقليمية ومكاتب</w:t>
      </w:r>
      <w:r w:rsidRPr="000A56FB">
        <w:rPr>
          <w:rFonts w:hint="eastAsia"/>
          <w:spacing w:val="-4"/>
          <w:rtl/>
        </w:rPr>
        <w:t> </w:t>
      </w:r>
      <w:r w:rsidRPr="000A56FB">
        <w:rPr>
          <w:rFonts w:hint="cs"/>
          <w:spacing w:val="-4"/>
          <w:rtl/>
        </w:rPr>
        <w:t xml:space="preserve">المناطق، إضافةً إلى معلومات تشغيلية أخرى كالمعلومات المتعلقة بالمِنح والخبراء وبعثات الخبراء الداخليين. </w:t>
      </w:r>
      <w:r w:rsidRPr="000A56FB">
        <w:rPr>
          <w:rFonts w:hint="cs"/>
          <w:spacing w:val="-4"/>
          <w:rtl/>
          <w:lang w:bidi="ar-EG"/>
        </w:rPr>
        <w:t xml:space="preserve">وتُستكمل الوثيقة الحالية </w:t>
      </w:r>
      <w:hyperlink r:id="rId12" w:history="1">
        <w:r w:rsidRPr="000A56FB">
          <w:rPr>
            <w:rFonts w:hint="cs"/>
            <w:spacing w:val="-4"/>
            <w:rtl/>
          </w:rPr>
          <w:t xml:space="preserve">بوثيقة </w:t>
        </w:r>
        <w:r w:rsidRPr="000A56FB">
          <w:rPr>
            <w:spacing w:val="-4"/>
            <w:rtl/>
          </w:rPr>
          <w:t>المعلومات</w:t>
        </w:r>
        <w:r w:rsidRPr="000A56FB">
          <w:rPr>
            <w:rFonts w:hint="cs"/>
            <w:spacing w:val="-4"/>
            <w:rtl/>
          </w:rPr>
          <w:t xml:space="preserve"> </w:t>
        </w:r>
        <w:r w:rsidRPr="000A56FB">
          <w:rPr>
            <w:spacing w:val="-4"/>
          </w:rPr>
          <w:t>C22/INF/5</w:t>
        </w:r>
      </w:hyperlink>
      <w:r w:rsidRPr="000A56FB">
        <w:rPr>
          <w:rFonts w:hint="cs"/>
          <w:spacing w:val="-4"/>
          <w:rtl/>
          <w:lang w:bidi="ar-EG"/>
        </w:rPr>
        <w:t xml:space="preserve"> التي تضم الملحقات التالية:</w:t>
      </w:r>
    </w:p>
    <w:p w14:paraId="5BF3F7CA" w14:textId="06EC8371" w:rsidR="001C5EE6" w:rsidRPr="001C5EE6" w:rsidRDefault="001B73B2" w:rsidP="001C5EE6">
      <w:pPr>
        <w:pStyle w:val="enumlev1"/>
        <w:rPr>
          <w:rtl/>
        </w:rPr>
      </w:pPr>
      <w:r>
        <w:rPr>
          <w:rFonts w:ascii="Arial" w:hAnsi="Arial" w:cs="Arial" w:hint="cs"/>
        </w:rPr>
        <w:sym w:font="Symbol" w:char="F0B7"/>
      </w:r>
      <w:r w:rsidR="001C5EE6" w:rsidRPr="001C5EE6">
        <w:rPr>
          <w:rtl/>
        </w:rPr>
        <w:tab/>
      </w:r>
      <w:r w:rsidR="001C5EE6" w:rsidRPr="001C5EE6">
        <w:rPr>
          <w:rFonts w:hint="cs"/>
          <w:rtl/>
        </w:rPr>
        <w:t xml:space="preserve">الملحق </w:t>
      </w:r>
      <w:r w:rsidR="001C5EE6" w:rsidRPr="001C5EE6">
        <w:t>1</w:t>
      </w:r>
      <w:r w:rsidR="001C5EE6" w:rsidRPr="001C5EE6">
        <w:rPr>
          <w:rFonts w:hint="cs"/>
          <w:rtl/>
        </w:rPr>
        <w:tab/>
        <w:t xml:space="preserve">الإنجازات الرئيسية في عام </w:t>
      </w:r>
      <w:r w:rsidR="001C5EE6">
        <w:t>2021</w:t>
      </w:r>
      <w:r w:rsidR="001C5EE6" w:rsidRPr="001C5EE6">
        <w:rPr>
          <w:rFonts w:hint="cs"/>
          <w:rtl/>
        </w:rPr>
        <w:t xml:space="preserve"> بحسب المناطق</w:t>
      </w:r>
    </w:p>
    <w:p w14:paraId="3975E370" w14:textId="3D9CC329" w:rsidR="001C5EE6" w:rsidRPr="001C5EE6" w:rsidRDefault="001B73B2" w:rsidP="001C5EE6">
      <w:pPr>
        <w:pStyle w:val="enumlev1"/>
        <w:rPr>
          <w:rtl/>
        </w:rPr>
      </w:pPr>
      <w:r>
        <w:rPr>
          <w:rFonts w:ascii="Arial" w:hAnsi="Arial" w:cs="Arial" w:hint="cs"/>
        </w:rPr>
        <w:sym w:font="Symbol" w:char="F0B7"/>
      </w:r>
      <w:r w:rsidR="001C5EE6" w:rsidRPr="001C5EE6">
        <w:rPr>
          <w:rtl/>
        </w:rPr>
        <w:tab/>
      </w:r>
      <w:r w:rsidR="001C5EE6" w:rsidRPr="001C5EE6">
        <w:rPr>
          <w:rFonts w:hint="cs"/>
          <w:rtl/>
        </w:rPr>
        <w:t xml:space="preserve">الملحق </w:t>
      </w:r>
      <w:r w:rsidR="001C5EE6" w:rsidRPr="001C5EE6">
        <w:t>2</w:t>
      </w:r>
      <w:r w:rsidR="001C5EE6" w:rsidRPr="001C5EE6">
        <w:rPr>
          <w:rFonts w:hint="cs"/>
          <w:rtl/>
        </w:rPr>
        <w:tab/>
      </w:r>
      <w:r w:rsidR="001C5EE6" w:rsidRPr="001C5EE6">
        <w:rPr>
          <w:rtl/>
        </w:rPr>
        <w:t>المساهمة في أعمال القطاعين الآخرين والأمانة العامة</w:t>
      </w:r>
    </w:p>
    <w:p w14:paraId="7AA31E78" w14:textId="7D5B2196" w:rsidR="001C5EE6" w:rsidRPr="001C5EE6" w:rsidRDefault="001B73B2" w:rsidP="001C5EE6">
      <w:pPr>
        <w:pStyle w:val="enumlev1"/>
        <w:rPr>
          <w:rtl/>
        </w:rPr>
      </w:pPr>
      <w:r>
        <w:rPr>
          <w:rFonts w:ascii="Arial" w:hAnsi="Arial" w:cs="Arial" w:hint="cs"/>
        </w:rPr>
        <w:sym w:font="Symbol" w:char="F0B7"/>
      </w:r>
      <w:r w:rsidR="001C5EE6" w:rsidRPr="001C5EE6">
        <w:rPr>
          <w:rtl/>
        </w:rPr>
        <w:tab/>
      </w:r>
      <w:r w:rsidR="001C5EE6" w:rsidRPr="001C5EE6">
        <w:rPr>
          <w:rFonts w:hint="cs"/>
          <w:rtl/>
        </w:rPr>
        <w:t xml:space="preserve">الملحق </w:t>
      </w:r>
      <w:r w:rsidR="001C5EE6" w:rsidRPr="001C5EE6">
        <w:t>3</w:t>
      </w:r>
      <w:r w:rsidR="001C5EE6" w:rsidRPr="001C5EE6">
        <w:rPr>
          <w:rFonts w:hint="cs"/>
          <w:rtl/>
        </w:rPr>
        <w:tab/>
      </w:r>
      <w:r w:rsidR="001C5EE6" w:rsidRPr="001C5EE6">
        <w:rPr>
          <w:rtl/>
        </w:rPr>
        <w:t xml:space="preserve">أنشطة الدعم </w:t>
      </w:r>
      <w:r w:rsidR="001C5EE6" w:rsidRPr="001C5EE6">
        <w:rPr>
          <w:rFonts w:hint="cs"/>
          <w:rtl/>
        </w:rPr>
        <w:t>الرامية إلى</w:t>
      </w:r>
      <w:r w:rsidR="001C5EE6" w:rsidRPr="001C5EE6">
        <w:rPr>
          <w:rtl/>
        </w:rPr>
        <w:t xml:space="preserve"> تمكين المكاتب الإقليمية ومكاتب المناطق</w:t>
      </w:r>
    </w:p>
    <w:p w14:paraId="5ED4D92E" w14:textId="329C357F" w:rsidR="001C5EE6" w:rsidRPr="001C5EE6" w:rsidRDefault="001B73B2" w:rsidP="001C5EE6">
      <w:pPr>
        <w:pStyle w:val="enumlev1"/>
        <w:rPr>
          <w:rtl/>
        </w:rPr>
      </w:pPr>
      <w:r>
        <w:rPr>
          <w:rFonts w:ascii="Arial" w:hAnsi="Arial" w:cs="Arial" w:hint="cs"/>
        </w:rPr>
        <w:sym w:font="Symbol" w:char="F0B7"/>
      </w:r>
      <w:r w:rsidR="001C5EE6" w:rsidRPr="001C5EE6">
        <w:rPr>
          <w:rtl/>
        </w:rPr>
        <w:tab/>
      </w:r>
      <w:r w:rsidR="001C5EE6" w:rsidRPr="001C5EE6">
        <w:rPr>
          <w:rFonts w:hint="cs"/>
          <w:rtl/>
        </w:rPr>
        <w:t xml:space="preserve">الملحق </w:t>
      </w:r>
      <w:r w:rsidR="001C5EE6" w:rsidRPr="001C5EE6">
        <w:t>4</w:t>
      </w:r>
      <w:r w:rsidR="001C5EE6" w:rsidRPr="001C5EE6">
        <w:rPr>
          <w:rFonts w:hint="cs"/>
          <w:rtl/>
        </w:rPr>
        <w:tab/>
        <w:t>ملخص نفقات المكاتب الإقليمية ومكاتب المناطق في عام</w:t>
      </w:r>
      <w:r w:rsidR="001C5EE6" w:rsidRPr="001C5EE6">
        <w:rPr>
          <w:rFonts w:hint="eastAsia"/>
          <w:rtl/>
        </w:rPr>
        <w:t> </w:t>
      </w:r>
      <w:r w:rsidR="001C5EE6">
        <w:t>2021</w:t>
      </w:r>
    </w:p>
    <w:p w14:paraId="269C8FA8" w14:textId="4EA5543C" w:rsidR="001C5EE6" w:rsidRPr="001C5EE6" w:rsidRDefault="001B73B2" w:rsidP="001C5EE6">
      <w:pPr>
        <w:pStyle w:val="enumlev1"/>
        <w:rPr>
          <w:rtl/>
        </w:rPr>
      </w:pPr>
      <w:r>
        <w:rPr>
          <w:rFonts w:ascii="Arial" w:hAnsi="Arial" w:cs="Arial" w:hint="cs"/>
        </w:rPr>
        <w:lastRenderedPageBreak/>
        <w:sym w:font="Symbol" w:char="F0B7"/>
      </w:r>
      <w:r w:rsidR="001C5EE6" w:rsidRPr="001C5EE6">
        <w:rPr>
          <w:rtl/>
        </w:rPr>
        <w:tab/>
      </w:r>
      <w:r w:rsidR="001C5EE6" w:rsidRPr="001C5EE6">
        <w:rPr>
          <w:rFonts w:hint="cs"/>
          <w:rtl/>
        </w:rPr>
        <w:t xml:space="preserve">الملحق </w:t>
      </w:r>
      <w:r w:rsidR="001C5EE6" w:rsidRPr="001C5EE6">
        <w:t>5</w:t>
      </w:r>
      <w:r w:rsidR="001C5EE6" w:rsidRPr="001C5EE6">
        <w:rPr>
          <w:rFonts w:hint="cs"/>
          <w:rtl/>
        </w:rPr>
        <w:tab/>
        <w:t xml:space="preserve">مستوى تنفيذ الخطة التشغيلية والمشاريع في عام </w:t>
      </w:r>
      <w:r w:rsidR="001C5EE6">
        <w:t>2021</w:t>
      </w:r>
      <w:r w:rsidR="001C5EE6" w:rsidRPr="001C5EE6">
        <w:rPr>
          <w:rFonts w:hint="cs"/>
          <w:rtl/>
        </w:rPr>
        <w:t xml:space="preserve"> بحسب المناطق</w:t>
      </w:r>
    </w:p>
    <w:p w14:paraId="5F3FE09E" w14:textId="644C7BC2" w:rsidR="001C5EE6" w:rsidRPr="001C5EE6" w:rsidRDefault="001B73B2" w:rsidP="001C5EE6">
      <w:pPr>
        <w:pStyle w:val="enumlev1"/>
        <w:rPr>
          <w:rtl/>
        </w:rPr>
      </w:pPr>
      <w:r>
        <w:rPr>
          <w:rFonts w:ascii="Arial" w:hAnsi="Arial" w:cs="Arial" w:hint="cs"/>
        </w:rPr>
        <w:sym w:font="Symbol" w:char="F0B7"/>
      </w:r>
      <w:r w:rsidR="001C5EE6" w:rsidRPr="001C5EE6">
        <w:rPr>
          <w:rtl/>
        </w:rPr>
        <w:tab/>
      </w:r>
      <w:r w:rsidR="001C5EE6" w:rsidRPr="001C5EE6">
        <w:rPr>
          <w:rFonts w:hint="cs"/>
          <w:rtl/>
        </w:rPr>
        <w:t xml:space="preserve">الملحق </w:t>
      </w:r>
      <w:r w:rsidR="001C5EE6" w:rsidRPr="001C5EE6">
        <w:t>6</w:t>
      </w:r>
      <w:r w:rsidR="001C5EE6" w:rsidRPr="001C5EE6">
        <w:rPr>
          <w:rFonts w:hint="cs"/>
          <w:rtl/>
        </w:rPr>
        <w:tab/>
        <w:t xml:space="preserve">تفصيل نفقات المكاتب الإقليمية ومكاتب المناطق في عام </w:t>
      </w:r>
      <w:r w:rsidR="001C5EE6">
        <w:t>2021</w:t>
      </w:r>
      <w:r w:rsidR="001C5EE6" w:rsidRPr="001C5EE6">
        <w:rPr>
          <w:rFonts w:hint="cs"/>
          <w:rtl/>
        </w:rPr>
        <w:t xml:space="preserve"> بحسب الفئة</w:t>
      </w:r>
    </w:p>
    <w:p w14:paraId="3098FD45" w14:textId="22B24FD3" w:rsidR="001C5EE6" w:rsidRPr="001C5EE6" w:rsidRDefault="001B73B2" w:rsidP="001C5EE6">
      <w:pPr>
        <w:pStyle w:val="enumlev1"/>
        <w:rPr>
          <w:rtl/>
        </w:rPr>
      </w:pPr>
      <w:r>
        <w:rPr>
          <w:rFonts w:ascii="Arial" w:hAnsi="Arial" w:cs="Arial" w:hint="cs"/>
        </w:rPr>
        <w:sym w:font="Symbol" w:char="F0B7"/>
      </w:r>
      <w:r w:rsidR="001C5EE6" w:rsidRPr="001C5EE6">
        <w:rPr>
          <w:rtl/>
        </w:rPr>
        <w:tab/>
      </w:r>
      <w:r w:rsidR="001C5EE6" w:rsidRPr="001C5EE6">
        <w:rPr>
          <w:rFonts w:hint="cs"/>
          <w:rtl/>
        </w:rPr>
        <w:t xml:space="preserve">الملحق </w:t>
      </w:r>
      <w:r w:rsidR="001C5EE6" w:rsidRPr="001C5EE6">
        <w:t>7</w:t>
      </w:r>
      <w:r w:rsidR="001C5EE6" w:rsidRPr="001C5EE6">
        <w:rPr>
          <w:rFonts w:hint="cs"/>
          <w:rtl/>
        </w:rPr>
        <w:tab/>
        <w:t xml:space="preserve">المِنح المقدمة في عام </w:t>
      </w:r>
      <w:r w:rsidR="001C5EE6">
        <w:t>2021</w:t>
      </w:r>
      <w:r w:rsidR="001C5EE6" w:rsidRPr="001C5EE6">
        <w:rPr>
          <w:rFonts w:hint="cs"/>
          <w:rtl/>
        </w:rPr>
        <w:t xml:space="preserve"> والخبراء المعيّنون</w:t>
      </w:r>
    </w:p>
    <w:p w14:paraId="7838FACF" w14:textId="645B61F0" w:rsidR="001C5EE6" w:rsidRPr="001C5EE6" w:rsidRDefault="001B73B2" w:rsidP="001C5EE6">
      <w:pPr>
        <w:pStyle w:val="enumlev1"/>
        <w:rPr>
          <w:rtl/>
        </w:rPr>
      </w:pPr>
      <w:r>
        <w:rPr>
          <w:rFonts w:ascii="Arial" w:hAnsi="Arial" w:cs="Arial" w:hint="cs"/>
        </w:rPr>
        <w:sym w:font="Symbol" w:char="F0B7"/>
      </w:r>
      <w:r w:rsidR="001C5EE6" w:rsidRPr="001C5EE6">
        <w:rPr>
          <w:rtl/>
        </w:rPr>
        <w:tab/>
      </w:r>
      <w:r w:rsidR="001C5EE6" w:rsidRPr="001C5EE6">
        <w:rPr>
          <w:rFonts w:hint="cs"/>
          <w:rtl/>
        </w:rPr>
        <w:t xml:space="preserve">الملحق </w:t>
      </w:r>
      <w:r w:rsidR="001C5EE6" w:rsidRPr="001C5EE6">
        <w:t>8</w:t>
      </w:r>
      <w:r w:rsidR="001C5EE6" w:rsidRPr="001C5EE6">
        <w:rPr>
          <w:rFonts w:hint="cs"/>
          <w:rtl/>
        </w:rPr>
        <w:tab/>
        <w:t>ملخص مستوى التوظيف بحسب المكاتب الإقليمية ومكاتب المناطق</w:t>
      </w:r>
    </w:p>
    <w:p w14:paraId="3CFAC0A0" w14:textId="1904D8C2" w:rsidR="001C5EE6" w:rsidRPr="001C5EE6" w:rsidRDefault="001B73B2" w:rsidP="001C5EE6">
      <w:pPr>
        <w:pStyle w:val="enumlev1"/>
        <w:rPr>
          <w:rtl/>
        </w:rPr>
      </w:pPr>
      <w:r>
        <w:rPr>
          <w:rFonts w:ascii="Arial" w:hAnsi="Arial" w:cs="Arial" w:hint="cs"/>
        </w:rPr>
        <w:sym w:font="Symbol" w:char="F0B7"/>
      </w:r>
      <w:r w:rsidR="001C5EE6" w:rsidRPr="001C5EE6">
        <w:rPr>
          <w:rtl/>
        </w:rPr>
        <w:tab/>
      </w:r>
      <w:r w:rsidR="001C5EE6" w:rsidRPr="001C5EE6">
        <w:rPr>
          <w:rFonts w:hint="cs"/>
          <w:rtl/>
        </w:rPr>
        <w:t xml:space="preserve">الملحق </w:t>
      </w:r>
      <w:r w:rsidR="001C5EE6" w:rsidRPr="001C5EE6">
        <w:t>9</w:t>
      </w:r>
      <w:r w:rsidR="001C5EE6" w:rsidRPr="001C5EE6">
        <w:rPr>
          <w:rFonts w:hint="cs"/>
          <w:rtl/>
        </w:rPr>
        <w:tab/>
        <w:t>تحليل مستوى التوظيف بحسب المكاتب الإقليمية ومكاتب المناطق</w:t>
      </w:r>
    </w:p>
    <w:p w14:paraId="7ABC837A" w14:textId="0581B1C0" w:rsidR="001C5EE6" w:rsidRPr="001C5EE6" w:rsidRDefault="001C5EE6" w:rsidP="00CD5816">
      <w:pPr>
        <w:pStyle w:val="Heading1"/>
      </w:pPr>
      <w:r w:rsidRPr="001C5EE6">
        <w:t>2</w:t>
      </w:r>
      <w:r w:rsidRPr="001C5EE6">
        <w:tab/>
      </w:r>
      <w:r w:rsidR="000A11F4">
        <w:rPr>
          <w:rFonts w:hint="cs"/>
          <w:rtl/>
        </w:rPr>
        <w:t>استعراض</w:t>
      </w:r>
      <w:r w:rsidR="000A11F4" w:rsidRPr="001C5EE6">
        <w:rPr>
          <w:rFonts w:hint="cs"/>
          <w:rtl/>
        </w:rPr>
        <w:t xml:space="preserve"> </w:t>
      </w:r>
      <w:r w:rsidRPr="001C5EE6">
        <w:rPr>
          <w:rFonts w:hint="cs"/>
          <w:rtl/>
        </w:rPr>
        <w:t>الحضور الإقليمي للاتحاد</w:t>
      </w:r>
    </w:p>
    <w:p w14:paraId="427AEA8F" w14:textId="2CC887D4" w:rsidR="001C5EE6" w:rsidRPr="00CC485D" w:rsidRDefault="001C5EE6" w:rsidP="00CD5816">
      <w:pPr>
        <w:rPr>
          <w:rtl/>
        </w:rPr>
      </w:pPr>
      <w:r w:rsidRPr="00CC485D">
        <w:rPr>
          <w:lang w:bidi="ar-SY"/>
        </w:rPr>
        <w:t>1.2</w:t>
      </w:r>
      <w:r w:rsidRPr="00CC485D">
        <w:rPr>
          <w:lang w:bidi="ar-SY"/>
        </w:rPr>
        <w:tab/>
      </w:r>
      <w:r w:rsidRPr="00CC485D">
        <w:rPr>
          <w:rFonts w:hint="cs"/>
          <w:rtl/>
          <w:lang w:bidi="ar-EG"/>
        </w:rPr>
        <w:t xml:space="preserve">كلّف </w:t>
      </w:r>
      <w:r w:rsidRPr="00CC485D">
        <w:rPr>
          <w:rFonts w:hint="cs"/>
          <w:rtl/>
        </w:rPr>
        <w:t xml:space="preserve">القرار </w:t>
      </w:r>
      <w:r w:rsidRPr="00CC485D">
        <w:rPr>
          <w:lang w:bidi="ar-SY"/>
        </w:rPr>
        <w:t>25</w:t>
      </w:r>
      <w:r w:rsidRPr="00CC485D">
        <w:rPr>
          <w:rFonts w:hint="cs"/>
          <w:rtl/>
        </w:rPr>
        <w:t xml:space="preserve"> (المراجَع في دبي،</w:t>
      </w:r>
      <w:r w:rsidRPr="00CC485D">
        <w:rPr>
          <w:rFonts w:hint="eastAsia"/>
          <w:rtl/>
        </w:rPr>
        <w:t> </w:t>
      </w:r>
      <w:r w:rsidRPr="00CC485D">
        <w:rPr>
          <w:lang w:bidi="ar-SY"/>
        </w:rPr>
        <w:t>2018</w:t>
      </w:r>
      <w:r w:rsidRPr="00CC485D">
        <w:rPr>
          <w:rFonts w:hint="cs"/>
          <w:rtl/>
        </w:rPr>
        <w:t xml:space="preserve">) الأمين العام </w:t>
      </w:r>
      <w:r w:rsidRPr="00CC485D">
        <w:rPr>
          <w:rtl/>
        </w:rPr>
        <w:t>بإجراء استعراض شامل للحضور الإقليمي للاتحاد</w:t>
      </w:r>
      <w:r w:rsidRPr="00CC485D">
        <w:rPr>
          <w:rFonts w:hint="cs"/>
          <w:rtl/>
          <w:lang w:bidi="ar-EG"/>
        </w:rPr>
        <w:t xml:space="preserve">. ويتضمن ملحق القرار </w:t>
      </w:r>
      <w:r w:rsidRPr="00CC485D">
        <w:rPr>
          <w:lang w:val="es-ES" w:bidi="ar-EG"/>
        </w:rPr>
        <w:t>25</w:t>
      </w:r>
      <w:r w:rsidRPr="00CC485D">
        <w:rPr>
          <w:rFonts w:hint="cs"/>
          <w:rtl/>
          <w:lang w:val="es-ES" w:bidi="ar-EG"/>
        </w:rPr>
        <w:t xml:space="preserve"> </w:t>
      </w:r>
      <w:r w:rsidRPr="00CC485D">
        <w:rPr>
          <w:rFonts w:hint="cs"/>
          <w:rtl/>
        </w:rPr>
        <w:t>(المراجَع في دبي،</w:t>
      </w:r>
      <w:r w:rsidRPr="00CC485D">
        <w:rPr>
          <w:rFonts w:hint="eastAsia"/>
          <w:rtl/>
        </w:rPr>
        <w:t> </w:t>
      </w:r>
      <w:r w:rsidRPr="00CC485D">
        <w:rPr>
          <w:lang w:bidi="ar-SY"/>
        </w:rPr>
        <w:t>2018</w:t>
      </w:r>
      <w:r w:rsidRPr="00CC485D">
        <w:rPr>
          <w:rFonts w:hint="cs"/>
          <w:rtl/>
        </w:rPr>
        <w:t>)</w:t>
      </w:r>
      <w:r w:rsidRPr="00CC485D">
        <w:rPr>
          <w:rFonts w:hint="cs"/>
          <w:rtl/>
          <w:lang w:bidi="ar-EG"/>
        </w:rPr>
        <w:t xml:space="preserve"> العناصر التي ينبغي أن يشملها الاستعراض، ضمن عدة مسائل.</w:t>
      </w:r>
    </w:p>
    <w:p w14:paraId="123375AA" w14:textId="1E68B881" w:rsidR="001C5EE6" w:rsidRPr="000A56FB" w:rsidRDefault="00C45159" w:rsidP="00CD5816">
      <w:pPr>
        <w:rPr>
          <w:spacing w:val="-2"/>
          <w:rtl/>
          <w:lang w:bidi="ar-EG"/>
        </w:rPr>
      </w:pPr>
      <w:r w:rsidRPr="000A56FB">
        <w:rPr>
          <w:spacing w:val="-2"/>
          <w:lang w:bidi="ar-EG"/>
        </w:rPr>
        <w:t>2</w:t>
      </w:r>
      <w:r w:rsidR="001C5EE6" w:rsidRPr="000A56FB">
        <w:rPr>
          <w:spacing w:val="-2"/>
          <w:lang w:bidi="ar-EG"/>
        </w:rPr>
        <w:t>.2</w:t>
      </w:r>
      <w:r w:rsidR="001C5EE6" w:rsidRPr="000A56FB">
        <w:rPr>
          <w:spacing w:val="-2"/>
          <w:rtl/>
          <w:lang w:bidi="ar-EG"/>
        </w:rPr>
        <w:tab/>
      </w:r>
      <w:r w:rsidR="00A001E4" w:rsidRPr="000A56FB">
        <w:rPr>
          <w:spacing w:val="-2"/>
          <w:rtl/>
        </w:rPr>
        <w:t>واعتمد</w:t>
      </w:r>
      <w:r w:rsidR="00A001E4" w:rsidRPr="000A56FB">
        <w:rPr>
          <w:rFonts w:hint="cs"/>
          <w:spacing w:val="-2"/>
          <w:rtl/>
        </w:rPr>
        <w:t xml:space="preserve"> المجلس في </w:t>
      </w:r>
      <w:r w:rsidR="001C5EE6" w:rsidRPr="000A56FB">
        <w:rPr>
          <w:rFonts w:hint="cs"/>
          <w:spacing w:val="-2"/>
          <w:rtl/>
        </w:rPr>
        <w:t>دور</w:t>
      </w:r>
      <w:r w:rsidR="00A001E4" w:rsidRPr="000A56FB">
        <w:rPr>
          <w:rFonts w:hint="cs"/>
          <w:spacing w:val="-2"/>
          <w:rtl/>
        </w:rPr>
        <w:t>ته</w:t>
      </w:r>
      <w:r w:rsidR="001C5EE6" w:rsidRPr="000A56FB">
        <w:rPr>
          <w:rFonts w:hint="cs"/>
          <w:spacing w:val="-2"/>
          <w:rtl/>
        </w:rPr>
        <w:t xml:space="preserve"> لعام </w:t>
      </w:r>
      <w:r w:rsidR="001C5EE6" w:rsidRPr="000A56FB">
        <w:rPr>
          <w:rFonts w:hint="cs"/>
          <w:spacing w:val="-2"/>
          <w:rtl/>
          <w:lang w:bidi="ar"/>
        </w:rPr>
        <w:t xml:space="preserve">2019 </w:t>
      </w:r>
      <w:r w:rsidR="001C5EE6" w:rsidRPr="000A56FB">
        <w:rPr>
          <w:rFonts w:hint="cs"/>
          <w:spacing w:val="-2"/>
          <w:rtl/>
        </w:rPr>
        <w:t xml:space="preserve">المقرر </w:t>
      </w:r>
      <w:r w:rsidR="001C5EE6" w:rsidRPr="000A56FB">
        <w:rPr>
          <w:rFonts w:hint="cs"/>
          <w:spacing w:val="-2"/>
          <w:rtl/>
          <w:lang w:bidi="ar"/>
        </w:rPr>
        <w:t>616</w:t>
      </w:r>
      <w:r w:rsidR="001C5EE6" w:rsidRPr="000A56FB">
        <w:rPr>
          <w:rFonts w:hint="cs"/>
          <w:spacing w:val="-2"/>
          <w:rtl/>
          <w:lang w:val="fr-FR" w:bidi="ar-EG"/>
        </w:rPr>
        <w:t xml:space="preserve"> </w:t>
      </w:r>
      <w:r w:rsidR="001C5EE6" w:rsidRPr="000A56FB">
        <w:rPr>
          <w:rFonts w:hint="cs"/>
          <w:spacing w:val="-2"/>
          <w:rtl/>
        </w:rPr>
        <w:t>الذي</w:t>
      </w:r>
      <w:r w:rsidR="001C5EE6" w:rsidRPr="000A56FB">
        <w:rPr>
          <w:spacing w:val="-2"/>
          <w:rtl/>
        </w:rPr>
        <w:t xml:space="preserve"> يكلف الأمين العام</w:t>
      </w:r>
      <w:r w:rsidR="001C5EE6" w:rsidRPr="000A56FB">
        <w:rPr>
          <w:rFonts w:hint="cs"/>
          <w:spacing w:val="-2"/>
          <w:rtl/>
        </w:rPr>
        <w:t xml:space="preserve"> </w:t>
      </w:r>
      <w:r w:rsidR="001C5EE6" w:rsidRPr="000A56FB">
        <w:rPr>
          <w:spacing w:val="-2"/>
          <w:rtl/>
          <w:lang w:bidi="ar-EG"/>
        </w:rPr>
        <w:t>ب</w:t>
      </w:r>
      <w:r w:rsidR="001B0541" w:rsidRPr="000A56FB">
        <w:rPr>
          <w:spacing w:val="-2"/>
          <w:rtl/>
          <w:lang w:bidi="ar-EG"/>
        </w:rPr>
        <w:t xml:space="preserve">إجراء </w:t>
      </w:r>
      <w:r w:rsidR="00A001E4" w:rsidRPr="000A56FB">
        <w:rPr>
          <w:spacing w:val="-2"/>
          <w:rtl/>
          <w:lang w:bidi="ar-EG"/>
        </w:rPr>
        <w:t>استعراض</w:t>
      </w:r>
      <w:r w:rsidR="00A001E4" w:rsidRPr="000A56FB">
        <w:rPr>
          <w:rFonts w:hint="cs"/>
          <w:spacing w:val="-2"/>
          <w:rtl/>
          <w:lang w:bidi="ar-EG"/>
        </w:rPr>
        <w:t xml:space="preserve"> الحضور الإقليمي من أجل تحسين كفاءته وفعاليته. </w:t>
      </w:r>
      <w:r w:rsidR="001C5EE6" w:rsidRPr="000A56FB">
        <w:rPr>
          <w:rFonts w:hint="cs"/>
          <w:spacing w:val="-2"/>
          <w:rtl/>
        </w:rPr>
        <w:t>واختير</w:t>
      </w:r>
      <w:r w:rsidR="00DE6806" w:rsidRPr="000A56FB">
        <w:rPr>
          <w:rFonts w:hint="cs"/>
          <w:spacing w:val="-2"/>
          <w:rtl/>
        </w:rPr>
        <w:t>ت</w:t>
      </w:r>
      <w:r w:rsidR="001C5EE6" w:rsidRPr="000A56FB">
        <w:rPr>
          <w:rFonts w:hint="cs"/>
          <w:spacing w:val="-2"/>
          <w:rtl/>
        </w:rPr>
        <w:t xml:space="preserve"> </w:t>
      </w:r>
      <w:r w:rsidR="00DE6806" w:rsidRPr="000A56FB">
        <w:rPr>
          <w:rFonts w:hint="cs"/>
          <w:spacing w:val="-2"/>
          <w:rtl/>
        </w:rPr>
        <w:t xml:space="preserve">مؤسسة </w:t>
      </w:r>
      <w:r w:rsidR="001C5EE6" w:rsidRPr="000A56FB">
        <w:rPr>
          <w:rFonts w:hint="cs"/>
          <w:spacing w:val="-2"/>
          <w:rtl/>
        </w:rPr>
        <w:t xml:space="preserve">برايس </w:t>
      </w:r>
      <w:proofErr w:type="spellStart"/>
      <w:r w:rsidR="001C5EE6" w:rsidRPr="000A56FB">
        <w:rPr>
          <w:rFonts w:hint="cs"/>
          <w:spacing w:val="-2"/>
          <w:rtl/>
        </w:rPr>
        <w:t>ووترهاوس</w:t>
      </w:r>
      <w:proofErr w:type="spellEnd"/>
      <w:r w:rsidR="001C5EE6" w:rsidRPr="000A56FB">
        <w:rPr>
          <w:rFonts w:hint="cs"/>
          <w:spacing w:val="-2"/>
          <w:rtl/>
        </w:rPr>
        <w:t xml:space="preserve"> كوبرز </w:t>
      </w:r>
      <w:r w:rsidR="001C5EE6" w:rsidRPr="000A56FB">
        <w:rPr>
          <w:spacing w:val="-2"/>
          <w:lang w:bidi="ar"/>
        </w:rPr>
        <w:t>(</w:t>
      </w:r>
      <w:r w:rsidR="001C5EE6" w:rsidRPr="000A56FB">
        <w:rPr>
          <w:rFonts w:eastAsia="Times New Roman"/>
          <w:spacing w:val="-2"/>
          <w:lang w:val="en-GB" w:eastAsia="en-US"/>
        </w:rPr>
        <w:t>Price</w:t>
      </w:r>
      <w:r w:rsidR="001C5EE6" w:rsidRPr="000A56FB">
        <w:rPr>
          <w:rFonts w:hint="eastAsia"/>
          <w:spacing w:val="-2"/>
        </w:rPr>
        <w:t> </w:t>
      </w:r>
      <w:r w:rsidR="001C5EE6" w:rsidRPr="000A56FB">
        <w:rPr>
          <w:rFonts w:eastAsia="Times New Roman"/>
          <w:spacing w:val="-2"/>
          <w:lang w:val="en-GB" w:eastAsia="en-US"/>
        </w:rPr>
        <w:t>Waterhouse Coopers)</w:t>
      </w:r>
      <w:r w:rsidR="001C5EE6" w:rsidRPr="000A56FB">
        <w:rPr>
          <w:rFonts w:hint="cs"/>
          <w:spacing w:val="-2"/>
          <w:rtl/>
        </w:rPr>
        <w:t xml:space="preserve"> لإجراء</w:t>
      </w:r>
      <w:r w:rsidR="001C5EE6" w:rsidRPr="000A56FB">
        <w:rPr>
          <w:rFonts w:hint="eastAsia"/>
          <w:spacing w:val="-2"/>
          <w:rtl/>
          <w:lang w:bidi="ar"/>
        </w:rPr>
        <w:t> </w:t>
      </w:r>
      <w:r w:rsidR="001C5EE6" w:rsidRPr="000A56FB">
        <w:rPr>
          <w:rFonts w:hint="cs"/>
          <w:spacing w:val="-2"/>
          <w:rtl/>
        </w:rPr>
        <w:t>الاستعراض</w:t>
      </w:r>
      <w:r w:rsidR="00DE6806" w:rsidRPr="000A56FB">
        <w:rPr>
          <w:rFonts w:hint="cs"/>
          <w:spacing w:val="-2"/>
          <w:rtl/>
          <w:lang w:bidi="ar-EG"/>
        </w:rPr>
        <w:t xml:space="preserve"> </w:t>
      </w:r>
      <w:r w:rsidR="001C5EE6" w:rsidRPr="000A56FB">
        <w:rPr>
          <w:rFonts w:hint="cs"/>
          <w:spacing w:val="-2"/>
          <w:rtl/>
          <w:lang w:bidi="ar-EG"/>
        </w:rPr>
        <w:t>وبدأ</w:t>
      </w:r>
      <w:r w:rsidR="00DE6806" w:rsidRPr="000A56FB">
        <w:rPr>
          <w:rFonts w:hint="cs"/>
          <w:spacing w:val="-2"/>
          <w:rtl/>
          <w:lang w:bidi="ar-EG"/>
        </w:rPr>
        <w:t>ت</w:t>
      </w:r>
      <w:r w:rsidR="001C5EE6" w:rsidRPr="000A56FB">
        <w:rPr>
          <w:rFonts w:hint="cs"/>
          <w:spacing w:val="-2"/>
          <w:rtl/>
          <w:lang w:bidi="ar-EG"/>
        </w:rPr>
        <w:t xml:space="preserve"> عمله</w:t>
      </w:r>
      <w:r w:rsidR="00DE6806" w:rsidRPr="000A56FB">
        <w:rPr>
          <w:rFonts w:hint="cs"/>
          <w:spacing w:val="-2"/>
          <w:rtl/>
          <w:lang w:bidi="ar-EG"/>
        </w:rPr>
        <w:t>ا</w:t>
      </w:r>
      <w:r w:rsidR="001C5EE6" w:rsidRPr="000A56FB">
        <w:rPr>
          <w:rFonts w:hint="cs"/>
          <w:spacing w:val="-2"/>
          <w:rtl/>
          <w:lang w:bidi="ar-EG"/>
        </w:rPr>
        <w:t xml:space="preserve"> في نوفمبر </w:t>
      </w:r>
      <w:r w:rsidR="001C5EE6" w:rsidRPr="000A56FB">
        <w:rPr>
          <w:spacing w:val="-2"/>
          <w:lang w:bidi="ar-EG"/>
        </w:rPr>
        <w:t>2019</w:t>
      </w:r>
      <w:r w:rsidR="001C5EE6" w:rsidRPr="000A56FB">
        <w:rPr>
          <w:rFonts w:hint="cs"/>
          <w:spacing w:val="-2"/>
          <w:rtl/>
          <w:lang w:bidi="ar-EG"/>
        </w:rPr>
        <w:t xml:space="preserve">. </w:t>
      </w:r>
      <w:r w:rsidR="001C5EE6" w:rsidRPr="000A56FB">
        <w:rPr>
          <w:color w:val="000000"/>
          <w:spacing w:val="-2"/>
          <w:rtl/>
          <w:lang w:bidi="ar-EG"/>
        </w:rPr>
        <w:t xml:space="preserve">وقدمت </w:t>
      </w:r>
      <w:r w:rsidR="001C5EE6" w:rsidRPr="000A56FB">
        <w:rPr>
          <w:rFonts w:hint="cs"/>
          <w:color w:val="000000"/>
          <w:spacing w:val="-2"/>
          <w:rtl/>
          <w:lang w:bidi="ar-EG"/>
        </w:rPr>
        <w:t>المؤسسة</w:t>
      </w:r>
      <w:r w:rsidR="001C5EE6" w:rsidRPr="000A56FB">
        <w:rPr>
          <w:color w:val="000000"/>
          <w:spacing w:val="-2"/>
          <w:rtl/>
          <w:lang w:bidi="ar-EG"/>
        </w:rPr>
        <w:t xml:space="preserve"> تقريرها في يوليو 2020</w:t>
      </w:r>
      <w:r w:rsidR="001C5EE6" w:rsidRPr="000A56FB">
        <w:rPr>
          <w:rFonts w:hint="cs"/>
          <w:color w:val="000000"/>
          <w:spacing w:val="-2"/>
          <w:rtl/>
          <w:lang w:bidi="ar-EG"/>
        </w:rPr>
        <w:t xml:space="preserve">، ويحدد التقرير </w:t>
      </w:r>
      <w:r w:rsidR="001C5EE6" w:rsidRPr="000A56FB">
        <w:rPr>
          <w:color w:val="000000"/>
          <w:spacing w:val="-2"/>
          <w:rtl/>
          <w:lang w:bidi="ar-EG"/>
        </w:rPr>
        <w:t>توصيات لتحسين الحضور الإقليمي للاتحاد وخطة عمل لتنفيذها</w:t>
      </w:r>
      <w:r w:rsidR="001C5EE6" w:rsidRPr="000A56FB">
        <w:rPr>
          <w:rFonts w:hint="cs"/>
          <w:color w:val="000000"/>
          <w:spacing w:val="-2"/>
          <w:rtl/>
          <w:lang w:bidi="ar-EG"/>
        </w:rPr>
        <w:t xml:space="preserve">. </w:t>
      </w:r>
      <w:r w:rsidR="001C5EE6" w:rsidRPr="000A56FB">
        <w:rPr>
          <w:rFonts w:hint="cs"/>
          <w:spacing w:val="-2"/>
          <w:rtl/>
          <w:lang w:val="fr-FR" w:bidi="ar-EG"/>
        </w:rPr>
        <w:t xml:space="preserve">وقُدم تقرير مؤسسة </w:t>
      </w:r>
      <w:r w:rsidR="001C5EE6" w:rsidRPr="000A56FB">
        <w:rPr>
          <w:spacing w:val="-2"/>
          <w:lang w:bidi="ar-EG"/>
        </w:rPr>
        <w:t>PwC</w:t>
      </w:r>
      <w:r w:rsidR="001C5EE6" w:rsidRPr="000A56FB">
        <w:rPr>
          <w:rFonts w:hint="cs"/>
          <w:spacing w:val="-2"/>
          <w:rtl/>
          <w:lang w:bidi="ar-EG"/>
        </w:rPr>
        <w:t xml:space="preserve"> في الوثيقة </w:t>
      </w:r>
      <w:hyperlink r:id="rId13" w:history="1">
        <w:r w:rsidR="001C5EE6" w:rsidRPr="000A56FB">
          <w:rPr>
            <w:rStyle w:val="Hyperlink"/>
            <w:spacing w:val="-2"/>
            <w:lang w:bidi="ar-EG"/>
          </w:rPr>
          <w:t>C20/74</w:t>
        </w:r>
      </w:hyperlink>
      <w:r w:rsidR="00DE6806" w:rsidRPr="000A56FB">
        <w:rPr>
          <w:rFonts w:hint="cs"/>
          <w:spacing w:val="-2"/>
          <w:rtl/>
          <w:lang w:bidi="ar-EG"/>
        </w:rPr>
        <w:t xml:space="preserve"> في نوفمبر 2020،</w:t>
      </w:r>
      <w:r w:rsidR="001C5EE6" w:rsidRPr="000A56FB">
        <w:rPr>
          <w:rFonts w:hint="cs"/>
          <w:spacing w:val="-2"/>
          <w:rtl/>
          <w:lang w:bidi="ar-EG"/>
        </w:rPr>
        <w:t xml:space="preserve"> وأحاط المجلس به علماً. كما قُدمت مذكرة من فريق المهام التابع للأمانة إلى المجلس في الوثيقة </w:t>
      </w:r>
      <w:hyperlink r:id="rId14" w:history="1">
        <w:r w:rsidR="001C5EE6" w:rsidRPr="000A56FB">
          <w:rPr>
            <w:rStyle w:val="Hyperlink"/>
            <w:spacing w:val="-2"/>
            <w:lang w:bidi="ar-EG"/>
          </w:rPr>
          <w:t>C20/75</w:t>
        </w:r>
      </w:hyperlink>
      <w:r w:rsidR="001C5EE6" w:rsidRPr="000A56FB">
        <w:rPr>
          <w:rFonts w:hint="cs"/>
          <w:spacing w:val="-2"/>
          <w:rtl/>
          <w:lang w:bidi="ar-EG"/>
        </w:rPr>
        <w:t xml:space="preserve">. وأُحيلت توصيات مؤسسة </w:t>
      </w:r>
      <w:r w:rsidR="001C5EE6" w:rsidRPr="000A56FB">
        <w:rPr>
          <w:spacing w:val="-2"/>
          <w:lang w:bidi="ar-EG"/>
        </w:rPr>
        <w:t>PwC</w:t>
      </w:r>
      <w:r w:rsidR="001C5EE6" w:rsidRPr="000A56FB">
        <w:rPr>
          <w:rFonts w:hint="cs"/>
          <w:spacing w:val="-2"/>
          <w:rtl/>
          <w:lang w:bidi="ar-EG"/>
        </w:rPr>
        <w:t xml:space="preserve"> إلى فريق العمل التابع للمجلس والمعني بالموارد المالية والبشرية </w:t>
      </w:r>
      <w:r w:rsidR="001C5EE6" w:rsidRPr="000A56FB">
        <w:rPr>
          <w:spacing w:val="-2"/>
          <w:lang w:bidi="ar-EG"/>
        </w:rPr>
        <w:t>(CWG-FHR)</w:t>
      </w:r>
      <w:r w:rsidR="001C5EE6" w:rsidRPr="000A56FB">
        <w:rPr>
          <w:rFonts w:hint="cs"/>
          <w:spacing w:val="-2"/>
          <w:rtl/>
          <w:lang w:bidi="ar-EG"/>
        </w:rPr>
        <w:t xml:space="preserve"> ليقدم التوجيه بشأن كيفية المضيّ بتنفيذها. فأحال فريق العمل </w:t>
      </w:r>
      <w:r w:rsidR="001C5EE6" w:rsidRPr="000A56FB">
        <w:rPr>
          <w:spacing w:val="-2"/>
          <w:lang w:bidi="ar-EG"/>
        </w:rPr>
        <w:t>CWG-FHR</w:t>
      </w:r>
      <w:r w:rsidR="001C5EE6" w:rsidRPr="000A56FB">
        <w:rPr>
          <w:rFonts w:hint="cs"/>
          <w:spacing w:val="-2"/>
          <w:rtl/>
          <w:lang w:bidi="ar-EG"/>
        </w:rPr>
        <w:t xml:space="preserve"> بدوره تقرير مؤسسة </w:t>
      </w:r>
      <w:r w:rsidR="001C5EE6" w:rsidRPr="000A56FB">
        <w:rPr>
          <w:spacing w:val="-2"/>
          <w:lang w:bidi="ar-EG"/>
        </w:rPr>
        <w:t>PwC</w:t>
      </w:r>
      <w:r w:rsidR="001C5EE6" w:rsidRPr="000A56FB">
        <w:rPr>
          <w:rFonts w:hint="cs"/>
          <w:spacing w:val="-2"/>
          <w:rtl/>
          <w:lang w:bidi="ar-EG"/>
        </w:rPr>
        <w:t xml:space="preserve"> إلى فريق مخصَّص ليتولى تقييمه وإبلاغ فريق العمل بنتائج التقييم قبل انعقاد دورة المجلس المقبلة.</w:t>
      </w:r>
    </w:p>
    <w:p w14:paraId="0E6154A9" w14:textId="502A2542" w:rsidR="00D02D14" w:rsidRPr="00D02D14" w:rsidRDefault="00A154E3" w:rsidP="00CD5816">
      <w:pPr>
        <w:rPr>
          <w:spacing w:val="-4"/>
          <w:rtl/>
          <w:lang w:bidi="ar-EG"/>
        </w:rPr>
      </w:pPr>
      <w:r w:rsidRPr="00EE793C">
        <w:rPr>
          <w:spacing w:val="-4"/>
          <w:lang w:bidi="ar-EG"/>
        </w:rPr>
        <w:t>3</w:t>
      </w:r>
      <w:r w:rsidR="00C45159" w:rsidRPr="00EE793C">
        <w:rPr>
          <w:spacing w:val="-4"/>
          <w:lang w:bidi="ar-EG"/>
        </w:rPr>
        <w:t>.2</w:t>
      </w:r>
      <w:r w:rsidR="00C45159" w:rsidRPr="001B0541">
        <w:rPr>
          <w:spacing w:val="-4"/>
          <w:rtl/>
          <w:lang w:bidi="ar-EG"/>
        </w:rPr>
        <w:tab/>
      </w:r>
      <w:r w:rsidR="007649A1" w:rsidRPr="00EE793C">
        <w:rPr>
          <w:spacing w:val="-4"/>
          <w:rtl/>
          <w:lang w:bidi="ar-EG"/>
        </w:rPr>
        <w:t xml:space="preserve">وعقد </w:t>
      </w:r>
      <w:r w:rsidR="001B0541" w:rsidRPr="00EE793C">
        <w:rPr>
          <w:spacing w:val="-4"/>
          <w:rtl/>
          <w:lang w:bidi="ar-EG"/>
        </w:rPr>
        <w:t xml:space="preserve">الفريق </w:t>
      </w:r>
      <w:r w:rsidR="007649A1" w:rsidRPr="00EE793C">
        <w:rPr>
          <w:spacing w:val="-4"/>
          <w:rtl/>
          <w:lang w:bidi="ar-EG"/>
        </w:rPr>
        <w:t>المخصص</w:t>
      </w:r>
      <w:r w:rsidR="001B0541" w:rsidRPr="001B0541">
        <w:rPr>
          <w:rFonts w:hint="cs"/>
          <w:spacing w:val="-4"/>
          <w:rtl/>
          <w:lang w:bidi="ar-EG"/>
        </w:rPr>
        <w:t xml:space="preserve"> </w:t>
      </w:r>
      <w:r w:rsidR="007649A1" w:rsidRPr="001B0541">
        <w:rPr>
          <w:spacing w:val="-4"/>
          <w:rtl/>
          <w:lang w:bidi="ar-EG"/>
        </w:rPr>
        <w:t>اجتماعين (افتراضيا</w:t>
      </w:r>
      <w:r w:rsidR="007649A1" w:rsidRPr="001B0541">
        <w:rPr>
          <w:rFonts w:hint="cs"/>
          <w:spacing w:val="-4"/>
          <w:rtl/>
          <w:lang w:bidi="ar-EG"/>
        </w:rPr>
        <w:t>ً</w:t>
      </w:r>
      <w:r w:rsidR="007649A1" w:rsidRPr="001B0541">
        <w:rPr>
          <w:spacing w:val="-4"/>
          <w:rtl/>
          <w:lang w:bidi="ar-EG"/>
        </w:rPr>
        <w:t xml:space="preserve">) في مارس وأبريل 2021 نظرت فيهما بالتفصيل في توصيات تقرير </w:t>
      </w:r>
      <w:r w:rsidR="007649A1" w:rsidRPr="001B0541">
        <w:rPr>
          <w:rFonts w:hint="cs"/>
          <w:spacing w:val="-4"/>
          <w:rtl/>
          <w:lang w:bidi="ar-EG"/>
        </w:rPr>
        <w:t>مؤسسة</w:t>
      </w:r>
      <w:r w:rsidR="000754A3">
        <w:rPr>
          <w:rFonts w:hint="eastAsia"/>
          <w:spacing w:val="-4"/>
          <w:rtl/>
          <w:lang w:bidi="ar-EG"/>
        </w:rPr>
        <w:t> </w:t>
      </w:r>
      <w:r w:rsidR="007649A1" w:rsidRPr="001B0541">
        <w:rPr>
          <w:spacing w:val="-4"/>
          <w:lang w:bidi="ar-EG"/>
        </w:rPr>
        <w:t>PwC</w:t>
      </w:r>
      <w:r w:rsidR="007649A1" w:rsidRPr="001B0541">
        <w:rPr>
          <w:spacing w:val="-4"/>
          <w:rtl/>
          <w:lang w:bidi="ar-EG"/>
        </w:rPr>
        <w:t xml:space="preserve">، وقدمت </w:t>
      </w:r>
      <w:r w:rsidR="007649A1" w:rsidRPr="001B0541">
        <w:rPr>
          <w:rFonts w:hint="cs"/>
          <w:spacing w:val="-4"/>
          <w:rtl/>
          <w:lang w:bidi="ar-EG"/>
        </w:rPr>
        <w:t>عدّة</w:t>
      </w:r>
      <w:r w:rsidR="007649A1" w:rsidRPr="001B0541">
        <w:rPr>
          <w:spacing w:val="-4"/>
          <w:rtl/>
          <w:lang w:bidi="ar-EG"/>
        </w:rPr>
        <w:t xml:space="preserve"> دول أعضاء</w:t>
      </w:r>
      <w:r w:rsidR="007649A1" w:rsidRPr="001B0541">
        <w:rPr>
          <w:rFonts w:hint="cs"/>
          <w:spacing w:val="-4"/>
          <w:rtl/>
          <w:lang w:bidi="ar-EG"/>
        </w:rPr>
        <w:t xml:space="preserve"> </w:t>
      </w:r>
      <w:r w:rsidR="007649A1" w:rsidRPr="001B0541">
        <w:rPr>
          <w:spacing w:val="-4"/>
          <w:rtl/>
          <w:lang w:bidi="ar-EG"/>
        </w:rPr>
        <w:t>مدخلات مادية للاجتماع تعل</w:t>
      </w:r>
      <w:r w:rsidR="007649A1" w:rsidRPr="001B0541">
        <w:rPr>
          <w:rFonts w:hint="cs"/>
          <w:spacing w:val="-4"/>
          <w:rtl/>
          <w:lang w:bidi="ar-EG"/>
        </w:rPr>
        <w:t>ّ</w:t>
      </w:r>
      <w:r w:rsidR="007649A1" w:rsidRPr="001B0541">
        <w:rPr>
          <w:spacing w:val="-4"/>
          <w:rtl/>
          <w:lang w:bidi="ar-EG"/>
        </w:rPr>
        <w:t>ق</w:t>
      </w:r>
      <w:r w:rsidR="007649A1" w:rsidRPr="001B0541">
        <w:rPr>
          <w:rFonts w:hint="cs"/>
          <w:spacing w:val="-4"/>
          <w:rtl/>
          <w:lang w:bidi="ar-EG"/>
        </w:rPr>
        <w:t xml:space="preserve"> فيها</w:t>
      </w:r>
      <w:r w:rsidR="007649A1" w:rsidRPr="001B0541">
        <w:rPr>
          <w:spacing w:val="-4"/>
          <w:rtl/>
          <w:lang w:bidi="ar-EG"/>
        </w:rPr>
        <w:t xml:space="preserve"> على التقرير. </w:t>
      </w:r>
      <w:r w:rsidR="007649A1" w:rsidRPr="001B0541">
        <w:rPr>
          <w:rFonts w:hint="cs"/>
          <w:spacing w:val="-4"/>
          <w:rtl/>
          <w:lang w:bidi="ar-EG"/>
        </w:rPr>
        <w:t>و</w:t>
      </w:r>
      <w:r w:rsidR="007649A1" w:rsidRPr="001B0541">
        <w:rPr>
          <w:spacing w:val="-4"/>
          <w:rtl/>
          <w:lang w:bidi="ar-EG"/>
        </w:rPr>
        <w:t>في 3 يونيو 2021</w:t>
      </w:r>
      <w:r w:rsidR="00CF67DC" w:rsidRPr="001B0541">
        <w:rPr>
          <w:spacing w:val="-4"/>
          <w:rtl/>
          <w:lang w:bidi="ar-EG"/>
        </w:rPr>
        <w:t>،</w:t>
      </w:r>
      <w:r w:rsidR="00CF67DC" w:rsidRPr="001B0541">
        <w:rPr>
          <w:rFonts w:hint="cs"/>
          <w:spacing w:val="-4"/>
          <w:rtl/>
        </w:rPr>
        <w:t xml:space="preserve"> </w:t>
      </w:r>
      <w:r w:rsidR="001B0541" w:rsidRPr="001B0541">
        <w:rPr>
          <w:rFonts w:hint="cs"/>
          <w:spacing w:val="-4"/>
          <w:rtl/>
        </w:rPr>
        <w:t>أقر</w:t>
      </w:r>
      <w:r w:rsidR="001B0541" w:rsidRPr="001B0541">
        <w:rPr>
          <w:spacing w:val="-4"/>
          <w:rtl/>
          <w:lang w:bidi="ar-EG"/>
        </w:rPr>
        <w:t xml:space="preserve"> </w:t>
      </w:r>
      <w:r w:rsidR="007649A1" w:rsidRPr="001B0541">
        <w:rPr>
          <w:spacing w:val="-4"/>
          <w:rtl/>
          <w:lang w:bidi="ar-EG"/>
        </w:rPr>
        <w:t>فريق</w:t>
      </w:r>
      <w:r w:rsidR="007649A1" w:rsidRPr="001B0541">
        <w:rPr>
          <w:rFonts w:hint="cs"/>
          <w:spacing w:val="-4"/>
          <w:rtl/>
          <w:lang w:bidi="ar-EG"/>
        </w:rPr>
        <w:t xml:space="preserve"> العمل</w:t>
      </w:r>
      <w:r w:rsidR="002644AA">
        <w:rPr>
          <w:rFonts w:hint="cs"/>
          <w:spacing w:val="-4"/>
          <w:rtl/>
          <w:lang w:bidi="ar-EG"/>
        </w:rPr>
        <w:t> </w:t>
      </w:r>
      <w:r w:rsidR="007649A1" w:rsidRPr="001B0541">
        <w:rPr>
          <w:spacing w:val="-4"/>
          <w:lang w:bidi="ar-EG"/>
        </w:rPr>
        <w:t>CWG</w:t>
      </w:r>
      <w:r w:rsidR="000754A3">
        <w:rPr>
          <w:spacing w:val="-4"/>
          <w:lang w:bidi="ar-EG"/>
        </w:rPr>
        <w:noBreakHyphen/>
      </w:r>
      <w:r w:rsidR="007649A1" w:rsidRPr="001B0541">
        <w:rPr>
          <w:spacing w:val="-4"/>
          <w:lang w:bidi="ar-EG"/>
        </w:rPr>
        <w:t>FHR</w:t>
      </w:r>
      <w:r w:rsidR="007649A1" w:rsidRPr="001B0541">
        <w:rPr>
          <w:spacing w:val="-4"/>
          <w:rtl/>
          <w:lang w:bidi="ar-EG"/>
        </w:rPr>
        <w:t xml:space="preserve"> النتائج التي توصل إليها الفريق المخص</w:t>
      </w:r>
      <w:r w:rsidR="00CF67DC" w:rsidRPr="001B0541">
        <w:rPr>
          <w:rFonts w:hint="cs"/>
          <w:spacing w:val="-4"/>
          <w:rtl/>
          <w:lang w:bidi="ar-EG"/>
        </w:rPr>
        <w:t>َّ</w:t>
      </w:r>
      <w:r w:rsidR="007649A1" w:rsidRPr="001B0541">
        <w:rPr>
          <w:spacing w:val="-4"/>
          <w:rtl/>
          <w:lang w:bidi="ar-EG"/>
        </w:rPr>
        <w:t xml:space="preserve">ص، </w:t>
      </w:r>
      <w:r w:rsidR="001B0541" w:rsidRPr="001B0541">
        <w:rPr>
          <w:rFonts w:hint="cs"/>
          <w:spacing w:val="-4"/>
          <w:rtl/>
          <w:lang w:bidi="ar-EG"/>
        </w:rPr>
        <w:t>وكُلفت</w:t>
      </w:r>
      <w:r w:rsidR="00CF67DC" w:rsidRPr="001B0541">
        <w:rPr>
          <w:rFonts w:hint="cs"/>
          <w:spacing w:val="-4"/>
          <w:rtl/>
          <w:lang w:bidi="ar-EG"/>
        </w:rPr>
        <w:t xml:space="preserve"> </w:t>
      </w:r>
      <w:r w:rsidR="00CF67DC" w:rsidRPr="001B0541">
        <w:rPr>
          <w:spacing w:val="-4"/>
          <w:rtl/>
          <w:lang w:bidi="ar-EG"/>
        </w:rPr>
        <w:t xml:space="preserve">الأمانة </w:t>
      </w:r>
      <w:r w:rsidR="00CC5671" w:rsidRPr="001B0541">
        <w:rPr>
          <w:rFonts w:hint="cs"/>
          <w:spacing w:val="-4"/>
          <w:rtl/>
        </w:rPr>
        <w:t>ب</w:t>
      </w:r>
      <w:r w:rsidR="007649A1" w:rsidRPr="001B0541">
        <w:rPr>
          <w:spacing w:val="-4"/>
          <w:rtl/>
          <w:lang w:bidi="ar-EG"/>
        </w:rPr>
        <w:t xml:space="preserve">تنفيذ التقرير </w:t>
      </w:r>
      <w:r w:rsidR="001B0541" w:rsidRPr="001B0541">
        <w:rPr>
          <w:rFonts w:hint="cs"/>
          <w:spacing w:val="-4"/>
          <w:rtl/>
          <w:lang w:bidi="ar-EG"/>
        </w:rPr>
        <w:t xml:space="preserve">وفقاً </w:t>
      </w:r>
      <w:r w:rsidR="007649A1" w:rsidRPr="001B0541">
        <w:rPr>
          <w:spacing w:val="-4"/>
          <w:rtl/>
          <w:lang w:bidi="ar-EG"/>
        </w:rPr>
        <w:t>تلك النتائج.</w:t>
      </w:r>
      <w:r w:rsidR="00C45159">
        <w:rPr>
          <w:rFonts w:hint="cs"/>
          <w:spacing w:val="-4"/>
          <w:rtl/>
          <w:lang w:bidi="ar-EG"/>
        </w:rPr>
        <w:t xml:space="preserve"> </w:t>
      </w:r>
    </w:p>
    <w:p w14:paraId="4CA9A4D8" w14:textId="066E0EE9" w:rsidR="00C45159" w:rsidRDefault="00A154E3" w:rsidP="003407B0">
      <w:pPr>
        <w:rPr>
          <w:rtl/>
          <w:lang w:bidi="ar-EG"/>
        </w:rPr>
      </w:pPr>
      <w:r>
        <w:rPr>
          <w:spacing w:val="-4"/>
          <w:lang w:bidi="ar-EG"/>
        </w:rPr>
        <w:t>4</w:t>
      </w:r>
      <w:r w:rsidR="00C45159">
        <w:rPr>
          <w:spacing w:val="-4"/>
          <w:lang w:bidi="ar-EG"/>
        </w:rPr>
        <w:t>.2</w:t>
      </w:r>
      <w:r w:rsidR="00C45159">
        <w:rPr>
          <w:spacing w:val="-4"/>
          <w:rtl/>
          <w:lang w:bidi="ar-EG"/>
        </w:rPr>
        <w:tab/>
      </w:r>
      <w:r w:rsidR="00D02D14">
        <w:rPr>
          <w:rFonts w:hint="cs"/>
          <w:rtl/>
          <w:lang w:bidi="ar-EG"/>
        </w:rPr>
        <w:t>و</w:t>
      </w:r>
      <w:r w:rsidR="00C45159">
        <w:rPr>
          <w:rFonts w:hint="cs"/>
          <w:rtl/>
          <w:lang w:bidi="ar-EG"/>
        </w:rPr>
        <w:t xml:space="preserve">قد أوصت مؤسسة </w:t>
      </w:r>
      <w:r w:rsidR="00C45159" w:rsidRPr="0058318A">
        <w:rPr>
          <w:lang w:bidi="ar-EG"/>
        </w:rPr>
        <w:t>PwC</w:t>
      </w:r>
      <w:r w:rsidR="00D02D14">
        <w:rPr>
          <w:rFonts w:hint="cs"/>
          <w:rtl/>
          <w:lang w:bidi="ar-EG"/>
        </w:rPr>
        <w:t>، في تقريرها بشأن الحضور الإقليمي للاتحاد،</w:t>
      </w:r>
      <w:r w:rsidR="00C45159" w:rsidRPr="0058318A">
        <w:rPr>
          <w:rFonts w:hint="cs"/>
          <w:rtl/>
          <w:lang w:bidi="ar-EG"/>
        </w:rPr>
        <w:t xml:space="preserve"> بخطة عمل </w:t>
      </w:r>
      <w:r w:rsidR="00C45159">
        <w:rPr>
          <w:rFonts w:hint="cs"/>
          <w:rtl/>
          <w:lang w:bidi="ar-EG"/>
        </w:rPr>
        <w:t>لتقوية الحضور الإقليمي للاتحاد تشمل أربعة مسارات تنفيذ مقسمة إلى خمس عشرة توصية و</w:t>
      </w:r>
      <w:r w:rsidR="00C45159" w:rsidRPr="00523DAC">
        <w:rPr>
          <w:lang w:bidi="ar-EG"/>
        </w:rPr>
        <w:t>50</w:t>
      </w:r>
      <w:r w:rsidR="00C45159">
        <w:rPr>
          <w:rFonts w:hint="cs"/>
          <w:rtl/>
          <w:lang w:bidi="ar-EG"/>
        </w:rPr>
        <w:t xml:space="preserve"> إجراءً داعماً. </w:t>
      </w:r>
      <w:r w:rsidR="001B0541" w:rsidRPr="001B0541">
        <w:rPr>
          <w:rFonts w:hint="cs"/>
          <w:rtl/>
          <w:lang w:bidi="ar-EG"/>
        </w:rPr>
        <w:t>و</w:t>
      </w:r>
      <w:r w:rsidR="00C45159" w:rsidRPr="00EE793C">
        <w:rPr>
          <w:rtl/>
          <w:lang w:bidi="ar-EG"/>
        </w:rPr>
        <w:t>وضعت</w:t>
      </w:r>
      <w:r w:rsidR="00C45159">
        <w:rPr>
          <w:rFonts w:hint="cs"/>
          <w:rtl/>
          <w:lang w:bidi="ar-EG"/>
        </w:rPr>
        <w:t xml:space="preserve"> الأمانة خطة عمل تهدف إلى التنفيذ الكامل لأقسام تقرير مؤسسة </w:t>
      </w:r>
      <w:r w:rsidR="00C45159">
        <w:rPr>
          <w:lang w:bidi="ar-EG"/>
        </w:rPr>
        <w:t>PWC</w:t>
      </w:r>
      <w:r w:rsidR="00C45159">
        <w:rPr>
          <w:rFonts w:hint="cs"/>
          <w:rtl/>
          <w:lang w:bidi="ar-EG"/>
        </w:rPr>
        <w:t xml:space="preserve"> التي بإمكان الأمانة تنفيذها (استناداً إلى قرارات الفريق المخصص) </w:t>
      </w:r>
      <w:r w:rsidR="001B0541">
        <w:rPr>
          <w:rFonts w:hint="cs"/>
          <w:rtl/>
          <w:lang w:bidi="ar-EG"/>
        </w:rPr>
        <w:t xml:space="preserve">قبل </w:t>
      </w:r>
      <w:r w:rsidR="00C45159">
        <w:rPr>
          <w:rFonts w:hint="cs"/>
          <w:rtl/>
          <w:lang w:bidi="ar-EG"/>
        </w:rPr>
        <w:t xml:space="preserve">نهاية عام </w:t>
      </w:r>
      <w:r w:rsidR="00C45159">
        <w:rPr>
          <w:lang w:bidi="ar-EG"/>
        </w:rPr>
        <w:t>2023</w:t>
      </w:r>
      <w:r w:rsidR="00C45159">
        <w:rPr>
          <w:rFonts w:hint="cs"/>
          <w:rtl/>
          <w:lang w:bidi="ar-EG"/>
        </w:rPr>
        <w:t>.</w:t>
      </w:r>
      <w:r w:rsidR="004C165F">
        <w:rPr>
          <w:rFonts w:hint="cs"/>
          <w:rtl/>
          <w:lang w:bidi="ar-EG"/>
        </w:rPr>
        <w:t xml:space="preserve"> </w:t>
      </w:r>
      <w:r w:rsidR="00C45159">
        <w:rPr>
          <w:rFonts w:hint="cs"/>
          <w:rtl/>
          <w:lang w:bidi="ar-EG"/>
        </w:rPr>
        <w:t xml:space="preserve">وتنقسم خطة العمل المقترحة إلى </w:t>
      </w:r>
      <w:proofErr w:type="gramStart"/>
      <w:r w:rsidR="00C45159">
        <w:rPr>
          <w:rFonts w:hint="cs"/>
          <w:rtl/>
          <w:lang w:bidi="ar-EG"/>
        </w:rPr>
        <w:t>ثلاثة</w:t>
      </w:r>
      <w:proofErr w:type="gramEnd"/>
      <w:r w:rsidR="00C45159">
        <w:rPr>
          <w:rFonts w:hint="cs"/>
          <w:rtl/>
          <w:lang w:bidi="ar-EG"/>
        </w:rPr>
        <w:t xml:space="preserve"> مخططات بحيث يوزَّع </w:t>
      </w:r>
      <w:r w:rsidR="00C45159">
        <w:rPr>
          <w:lang w:bidi="ar-EG"/>
        </w:rPr>
        <w:t>60</w:t>
      </w:r>
      <w:r w:rsidR="00C45159">
        <w:rPr>
          <w:rFonts w:hint="cs"/>
          <w:rtl/>
          <w:lang w:bidi="ar-EG"/>
        </w:rPr>
        <w:t xml:space="preserve"> إجراءً منبثقاً عن تقرير مؤسسة </w:t>
      </w:r>
      <w:r w:rsidR="00C45159">
        <w:rPr>
          <w:lang w:bidi="ar-EG"/>
        </w:rPr>
        <w:t>PWC</w:t>
      </w:r>
      <w:r w:rsidR="00C45159">
        <w:rPr>
          <w:rFonts w:hint="cs"/>
          <w:rtl/>
          <w:lang w:bidi="ar-EG"/>
        </w:rPr>
        <w:t xml:space="preserve"> إلى الفئات التالية:</w:t>
      </w:r>
    </w:p>
    <w:p w14:paraId="2325C81D" w14:textId="1E170F3A" w:rsidR="00C45159" w:rsidRPr="00C45159" w:rsidRDefault="00C45159" w:rsidP="00C45159">
      <w:pPr>
        <w:pStyle w:val="enumlev1"/>
      </w:pPr>
      <w:r w:rsidRPr="00C45159">
        <w:rPr>
          <w:rFonts w:hint="cs"/>
          <w:rtl/>
        </w:rPr>
        <w:t>’</w:t>
      </w:r>
      <w:r w:rsidRPr="00C45159">
        <w:t>1</w:t>
      </w:r>
      <w:r w:rsidRPr="00C45159">
        <w:rPr>
          <w:rFonts w:hint="cs"/>
          <w:rtl/>
        </w:rPr>
        <w:t>‘</w:t>
      </w:r>
      <w:r w:rsidRPr="00C45159">
        <w:tab/>
      </w:r>
      <w:r w:rsidRPr="00C45159">
        <w:rPr>
          <w:rFonts w:hint="cs"/>
          <w:rtl/>
        </w:rPr>
        <w:t>إجراءات قيد التنفيذ؛</w:t>
      </w:r>
    </w:p>
    <w:p w14:paraId="7B7ACB9C" w14:textId="30734ED3" w:rsidR="00C45159" w:rsidRPr="00C45159" w:rsidRDefault="00C45159" w:rsidP="00C45159">
      <w:pPr>
        <w:pStyle w:val="enumlev1"/>
        <w:rPr>
          <w:rtl/>
        </w:rPr>
      </w:pPr>
      <w:r w:rsidRPr="00C45159">
        <w:rPr>
          <w:rFonts w:hint="cs"/>
          <w:rtl/>
        </w:rPr>
        <w:t>’</w:t>
      </w:r>
      <w:r w:rsidRPr="00C45159">
        <w:t>2</w:t>
      </w:r>
      <w:r w:rsidRPr="00C45159">
        <w:rPr>
          <w:rFonts w:hint="cs"/>
          <w:rtl/>
        </w:rPr>
        <w:t>‘</w:t>
      </w:r>
      <w:r w:rsidRPr="00C45159">
        <w:tab/>
      </w:r>
      <w:r w:rsidRPr="00C45159">
        <w:rPr>
          <w:rFonts w:hint="cs"/>
          <w:rtl/>
        </w:rPr>
        <w:t>توصيات مستكملة؛</w:t>
      </w:r>
    </w:p>
    <w:p w14:paraId="78067032" w14:textId="6EE7887A" w:rsidR="00A067D8" w:rsidRPr="00A067D8" w:rsidRDefault="00C45159" w:rsidP="00CD5816">
      <w:pPr>
        <w:pStyle w:val="enumlev1"/>
        <w:rPr>
          <w:rtl/>
          <w:lang w:bidi="ar-EG"/>
        </w:rPr>
      </w:pPr>
      <w:r w:rsidRPr="00C45159">
        <w:rPr>
          <w:rFonts w:hint="cs"/>
          <w:rtl/>
        </w:rPr>
        <w:t>’</w:t>
      </w:r>
      <w:r w:rsidRPr="00C45159">
        <w:t>3</w:t>
      </w:r>
      <w:r w:rsidRPr="00C45159">
        <w:rPr>
          <w:rFonts w:hint="cs"/>
          <w:rtl/>
        </w:rPr>
        <w:t>‘</w:t>
      </w:r>
      <w:r w:rsidRPr="00C45159">
        <w:tab/>
      </w:r>
      <w:r w:rsidRPr="00C45159">
        <w:rPr>
          <w:rFonts w:hint="cs"/>
          <w:rtl/>
        </w:rPr>
        <w:t>توصيات تتطلب اتخاذ المجلس قرارات بشأنها</w:t>
      </w:r>
      <w:r w:rsidR="00F56C39">
        <w:rPr>
          <w:rFonts w:hint="cs"/>
          <w:rtl/>
        </w:rPr>
        <w:t>.</w:t>
      </w:r>
    </w:p>
    <w:p w14:paraId="6FA5FB6B" w14:textId="3FD68662" w:rsidR="00C45159" w:rsidRPr="000A56FB" w:rsidRDefault="00473296" w:rsidP="00CD5816">
      <w:pPr>
        <w:rPr>
          <w:spacing w:val="-4"/>
          <w:lang w:bidi="ar-EG"/>
        </w:rPr>
      </w:pPr>
      <w:r w:rsidRPr="000A56FB">
        <w:rPr>
          <w:rFonts w:hint="cs"/>
          <w:spacing w:val="-4"/>
          <w:rtl/>
          <w:lang w:bidi="ar-EG"/>
        </w:rPr>
        <w:t xml:space="preserve">واقترح </w:t>
      </w:r>
      <w:r w:rsidRPr="000A56FB">
        <w:rPr>
          <w:spacing w:val="-4"/>
          <w:rtl/>
          <w:lang w:bidi="ar-EG"/>
        </w:rPr>
        <w:t>الفريق المخصَّص المعني باستعراض الحضور الإقليمي للاتحاد والتابع لفريق</w:t>
      </w:r>
      <w:r w:rsidRPr="000A56FB">
        <w:rPr>
          <w:rFonts w:hint="cs"/>
          <w:spacing w:val="-4"/>
          <w:rtl/>
          <w:lang w:bidi="ar-EG"/>
        </w:rPr>
        <w:t xml:space="preserve"> العمل</w:t>
      </w:r>
      <w:r w:rsidRPr="000A56FB">
        <w:rPr>
          <w:spacing w:val="-4"/>
          <w:rtl/>
          <w:lang w:bidi="ar-EG"/>
        </w:rPr>
        <w:t xml:space="preserve"> </w:t>
      </w:r>
      <w:r w:rsidRPr="000A56FB">
        <w:rPr>
          <w:spacing w:val="-4"/>
          <w:lang w:bidi="ar-EG"/>
        </w:rPr>
        <w:t>CWG-FHR</w:t>
      </w:r>
      <w:r w:rsidR="00C45159" w:rsidRPr="000A56FB">
        <w:rPr>
          <w:rFonts w:hint="cs"/>
          <w:spacing w:val="-4"/>
          <w:rtl/>
          <w:lang w:bidi="ar-EG"/>
        </w:rPr>
        <w:t xml:space="preserve"> </w:t>
      </w:r>
      <w:r w:rsidRPr="000A56FB">
        <w:rPr>
          <w:rFonts w:hint="cs"/>
          <w:spacing w:val="-4"/>
          <w:rtl/>
          <w:lang w:bidi="ar-EG"/>
        </w:rPr>
        <w:t xml:space="preserve">أن تنتج الأمانة </w:t>
      </w:r>
      <w:r w:rsidR="001B0541" w:rsidRPr="000A56FB">
        <w:rPr>
          <w:rFonts w:hint="cs"/>
          <w:spacing w:val="-4"/>
          <w:rtl/>
          <w:lang w:bidi="ar-EG"/>
        </w:rPr>
        <w:t xml:space="preserve">لوحة تنشرها في </w:t>
      </w:r>
      <w:r w:rsidRPr="000A56FB">
        <w:rPr>
          <w:spacing w:val="-4"/>
          <w:rtl/>
          <w:lang w:bidi="ar-EG"/>
        </w:rPr>
        <w:t xml:space="preserve">الموقع الإلكتروني </w:t>
      </w:r>
      <w:r w:rsidR="001B0541" w:rsidRPr="000A56FB">
        <w:rPr>
          <w:spacing w:val="-4"/>
          <w:rtl/>
          <w:lang w:bidi="ar-EG"/>
        </w:rPr>
        <w:t xml:space="preserve">بحيث </w:t>
      </w:r>
      <w:r w:rsidRPr="000A56FB">
        <w:rPr>
          <w:spacing w:val="-4"/>
          <w:rtl/>
          <w:lang w:bidi="ar-EG"/>
        </w:rPr>
        <w:t>يمكن أن يطلع</w:t>
      </w:r>
      <w:r w:rsidRPr="000A56FB">
        <w:rPr>
          <w:rFonts w:hint="cs"/>
          <w:spacing w:val="-4"/>
          <w:rtl/>
          <w:lang w:bidi="ar-EG"/>
        </w:rPr>
        <w:t xml:space="preserve"> عليها ا</w:t>
      </w:r>
      <w:r w:rsidRPr="000A56FB">
        <w:rPr>
          <w:spacing w:val="-4"/>
          <w:rtl/>
          <w:lang w:bidi="ar-EG"/>
        </w:rPr>
        <w:t xml:space="preserve">لأعضاء </w:t>
      </w:r>
      <w:r w:rsidRPr="000A56FB">
        <w:rPr>
          <w:rFonts w:hint="cs"/>
          <w:spacing w:val="-4"/>
          <w:rtl/>
          <w:lang w:bidi="ar-EG"/>
        </w:rPr>
        <w:t>ع</w:t>
      </w:r>
      <w:r w:rsidRPr="000A56FB">
        <w:rPr>
          <w:spacing w:val="-4"/>
          <w:rtl/>
          <w:lang w:bidi="ar-EG"/>
        </w:rPr>
        <w:t xml:space="preserve">لى حالة خطة العمل. </w:t>
      </w:r>
      <w:r w:rsidRPr="000A56FB">
        <w:rPr>
          <w:rFonts w:hint="cs"/>
          <w:spacing w:val="-4"/>
          <w:rtl/>
          <w:lang w:bidi="ar-EG"/>
        </w:rPr>
        <w:t>و</w:t>
      </w:r>
      <w:r w:rsidRPr="000A56FB">
        <w:rPr>
          <w:spacing w:val="-4"/>
          <w:rtl/>
          <w:lang w:bidi="ar-EG"/>
        </w:rPr>
        <w:t>وافق</w:t>
      </w:r>
      <w:r w:rsidRPr="000A56FB">
        <w:rPr>
          <w:rFonts w:hint="cs"/>
          <w:spacing w:val="-4"/>
          <w:rtl/>
          <w:lang w:bidi="ar-EG"/>
        </w:rPr>
        <w:t xml:space="preserve"> فريق العمل</w:t>
      </w:r>
      <w:r w:rsidRPr="000A56FB">
        <w:rPr>
          <w:spacing w:val="-4"/>
          <w:rtl/>
          <w:lang w:bidi="ar-EG"/>
        </w:rPr>
        <w:t xml:space="preserve"> </w:t>
      </w:r>
      <w:r w:rsidRPr="000A56FB">
        <w:rPr>
          <w:spacing w:val="-4"/>
          <w:lang w:bidi="ar-EG"/>
        </w:rPr>
        <w:t>CWG-FHR</w:t>
      </w:r>
      <w:r w:rsidRPr="000A56FB">
        <w:rPr>
          <w:spacing w:val="-4"/>
          <w:rtl/>
          <w:lang w:bidi="ar-EG"/>
        </w:rPr>
        <w:t xml:space="preserve"> على هذه التوصية في </w:t>
      </w:r>
      <w:r w:rsidR="00077EA2" w:rsidRPr="000A56FB">
        <w:rPr>
          <w:spacing w:val="-4"/>
          <w:rtl/>
          <w:lang w:bidi="ar-EG"/>
        </w:rPr>
        <w:t xml:space="preserve">اجتماعه يومي 25 </w:t>
      </w:r>
      <w:r w:rsidR="00CD5816" w:rsidRPr="000A56FB">
        <w:rPr>
          <w:rFonts w:hint="cs"/>
          <w:spacing w:val="-4"/>
          <w:rtl/>
          <w:lang w:bidi="ar-EG"/>
        </w:rPr>
        <w:t xml:space="preserve">و26 </w:t>
      </w:r>
      <w:r w:rsidR="00077EA2" w:rsidRPr="000A56FB">
        <w:rPr>
          <w:spacing w:val="-4"/>
          <w:rtl/>
          <w:lang w:bidi="ar-EG"/>
        </w:rPr>
        <w:t>يناير 2021</w:t>
      </w:r>
      <w:r w:rsidRPr="000A56FB">
        <w:rPr>
          <w:spacing w:val="-4"/>
          <w:rtl/>
          <w:lang w:bidi="ar-EG"/>
        </w:rPr>
        <w:t>، واعتمد المجلس قرار</w:t>
      </w:r>
      <w:r w:rsidRPr="000A56FB">
        <w:rPr>
          <w:rFonts w:hint="cs"/>
          <w:spacing w:val="-4"/>
          <w:rtl/>
          <w:lang w:bidi="ar-EG"/>
        </w:rPr>
        <w:t xml:space="preserve"> فريق العمل</w:t>
      </w:r>
      <w:r w:rsidRPr="000A56FB">
        <w:rPr>
          <w:spacing w:val="-4"/>
          <w:rtl/>
          <w:lang w:bidi="ar-EG"/>
        </w:rPr>
        <w:t xml:space="preserve"> </w:t>
      </w:r>
      <w:r w:rsidRPr="000A56FB">
        <w:rPr>
          <w:spacing w:val="-4"/>
          <w:lang w:bidi="ar-EG"/>
        </w:rPr>
        <w:t>CWG-FHR</w:t>
      </w:r>
      <w:r w:rsidRPr="000A56FB">
        <w:rPr>
          <w:spacing w:val="-4"/>
          <w:rtl/>
          <w:lang w:bidi="ar-EG"/>
        </w:rPr>
        <w:t xml:space="preserve"> خلال </w:t>
      </w:r>
      <w:r w:rsidRPr="000A56FB">
        <w:rPr>
          <w:rFonts w:hint="cs"/>
          <w:spacing w:val="-4"/>
          <w:rtl/>
          <w:lang w:bidi="ar-EG"/>
        </w:rPr>
        <w:t>دورة</w:t>
      </w:r>
      <w:r w:rsidRPr="000A56FB">
        <w:rPr>
          <w:spacing w:val="-4"/>
          <w:rtl/>
          <w:lang w:bidi="ar-EG"/>
        </w:rPr>
        <w:t xml:space="preserve"> المجلس في</w:t>
      </w:r>
      <w:r w:rsidR="003407B0" w:rsidRPr="000A56FB">
        <w:rPr>
          <w:rFonts w:hint="cs"/>
          <w:spacing w:val="-4"/>
          <w:rtl/>
          <w:lang w:bidi="ar-EG"/>
        </w:rPr>
        <w:t> </w:t>
      </w:r>
      <w:r w:rsidRPr="000A56FB">
        <w:rPr>
          <w:spacing w:val="-4"/>
          <w:rtl/>
          <w:lang w:bidi="ar-EG"/>
        </w:rPr>
        <w:t>يونيو 2021.</w:t>
      </w:r>
    </w:p>
    <w:p w14:paraId="1FFF8CE0" w14:textId="17FDE616" w:rsidR="00C45159" w:rsidRDefault="005754E6" w:rsidP="00CD5816">
      <w:pPr>
        <w:rPr>
          <w:rStyle w:val="Hyperlink"/>
          <w:rFonts w:eastAsia="Calibri" w:cs="Calibri"/>
          <w:szCs w:val="24"/>
          <w:rtl/>
        </w:rPr>
      </w:pPr>
      <w:r>
        <w:rPr>
          <w:rFonts w:hint="cs"/>
          <w:rtl/>
        </w:rPr>
        <w:t>وال</w:t>
      </w:r>
      <w:r w:rsidRPr="005754E6">
        <w:rPr>
          <w:rtl/>
          <w:lang w:bidi="ar-EG"/>
        </w:rPr>
        <w:t xml:space="preserve">لوحة </w:t>
      </w:r>
      <w:r>
        <w:rPr>
          <w:rFonts w:hint="cs"/>
          <w:rtl/>
          <w:lang w:bidi="ar-EG"/>
        </w:rPr>
        <w:t>مُتاحة</w:t>
      </w:r>
      <w:r w:rsidRPr="005754E6">
        <w:rPr>
          <w:rtl/>
          <w:lang w:bidi="ar-EG"/>
        </w:rPr>
        <w:t xml:space="preserve"> للأعضاء من خلال صفحة ال</w:t>
      </w:r>
      <w:r>
        <w:rPr>
          <w:rFonts w:hint="cs"/>
          <w:rtl/>
          <w:lang w:bidi="ar-EG"/>
        </w:rPr>
        <w:t>حضور</w:t>
      </w:r>
      <w:r>
        <w:rPr>
          <w:rtl/>
          <w:lang w:bidi="ar-EG"/>
        </w:rPr>
        <w:t xml:space="preserve"> الإقليمي </w:t>
      </w:r>
      <w:r>
        <w:rPr>
          <w:rFonts w:hint="cs"/>
          <w:rtl/>
          <w:lang w:bidi="ar-EG"/>
        </w:rPr>
        <w:t xml:space="preserve">في </w:t>
      </w:r>
      <w:r w:rsidRPr="005754E6">
        <w:rPr>
          <w:rtl/>
          <w:lang w:bidi="ar-EG"/>
        </w:rPr>
        <w:t xml:space="preserve">قسم المجلس </w:t>
      </w:r>
      <w:r w:rsidR="001B0541">
        <w:rPr>
          <w:rFonts w:hint="cs"/>
          <w:rtl/>
          <w:lang w:bidi="ar-EG"/>
        </w:rPr>
        <w:t>في</w:t>
      </w:r>
      <w:r w:rsidR="001B0541" w:rsidRPr="005754E6">
        <w:rPr>
          <w:rtl/>
          <w:lang w:bidi="ar-EG"/>
        </w:rPr>
        <w:t xml:space="preserve"> </w:t>
      </w:r>
      <w:r>
        <w:rPr>
          <w:rFonts w:hint="cs"/>
          <w:rtl/>
          <w:lang w:bidi="ar-EG"/>
        </w:rPr>
        <w:t>ال</w:t>
      </w:r>
      <w:r w:rsidRPr="005754E6">
        <w:rPr>
          <w:rtl/>
          <w:lang w:bidi="ar-EG"/>
        </w:rPr>
        <w:t>موقع</w:t>
      </w:r>
      <w:r>
        <w:rPr>
          <w:rFonts w:hint="cs"/>
          <w:rtl/>
          <w:lang w:bidi="ar-EG"/>
        </w:rPr>
        <w:t xml:space="preserve"> الإلكتروني</w:t>
      </w:r>
      <w:r>
        <w:rPr>
          <w:rtl/>
          <w:lang w:bidi="ar-EG"/>
        </w:rPr>
        <w:t xml:space="preserve"> </w:t>
      </w:r>
      <w:r>
        <w:rPr>
          <w:rFonts w:hint="cs"/>
          <w:rtl/>
          <w:lang w:bidi="ar-EG"/>
        </w:rPr>
        <w:t>ل</w:t>
      </w:r>
      <w:r w:rsidRPr="005754E6">
        <w:rPr>
          <w:rtl/>
          <w:lang w:bidi="ar-EG"/>
        </w:rPr>
        <w:t>لاتحاد:</w:t>
      </w:r>
      <w:r w:rsidR="00C45159">
        <w:rPr>
          <w:rFonts w:hint="cs"/>
          <w:rtl/>
          <w:lang w:bidi="ar-EG"/>
        </w:rPr>
        <w:t xml:space="preserve"> </w:t>
      </w:r>
      <w:hyperlink r:id="rId15" w:history="1">
        <w:r w:rsidR="00C45159">
          <w:rPr>
            <w:rStyle w:val="Hyperlink"/>
            <w:rFonts w:eastAsia="Calibri" w:cs="Calibri"/>
            <w:szCs w:val="24"/>
          </w:rPr>
          <w:t>https://www.itu.int/en/council/ties/Pages/regional-presence-dashboard.aspx</w:t>
        </w:r>
      </w:hyperlink>
    </w:p>
    <w:p w14:paraId="4422FCDB" w14:textId="38373FF6" w:rsidR="00C45159" w:rsidRDefault="00C45159" w:rsidP="00CD5816">
      <w:pPr>
        <w:pStyle w:val="Heading1"/>
        <w:rPr>
          <w:rtl/>
          <w:lang w:bidi="ar-EG"/>
        </w:rPr>
      </w:pPr>
      <w:r>
        <w:rPr>
          <w:lang w:bidi="ar-EG"/>
        </w:rPr>
        <w:t>3</w:t>
      </w:r>
      <w:r>
        <w:rPr>
          <w:rtl/>
          <w:lang w:bidi="ar-EG"/>
        </w:rPr>
        <w:tab/>
      </w:r>
      <w:r w:rsidR="006E17E9">
        <w:rPr>
          <w:rFonts w:hint="cs"/>
          <w:rtl/>
          <w:lang w:bidi="ar-EG"/>
        </w:rPr>
        <w:t xml:space="preserve">استقصاء بشأن رضا الدول الأعضاء </w:t>
      </w:r>
    </w:p>
    <w:p w14:paraId="2CBA4323" w14:textId="4E2DCCE5" w:rsidR="00C45159" w:rsidRDefault="00C45159" w:rsidP="00C45159">
      <w:pPr>
        <w:rPr>
          <w:rtl/>
        </w:rPr>
      </w:pPr>
      <w:r>
        <w:rPr>
          <w:lang w:bidi="ar-EG"/>
        </w:rPr>
        <w:t>1.3</w:t>
      </w:r>
      <w:r>
        <w:rPr>
          <w:rtl/>
          <w:lang w:bidi="ar-EG"/>
        </w:rPr>
        <w:tab/>
      </w:r>
      <w:r w:rsidRPr="00CC485D">
        <w:rPr>
          <w:rFonts w:hint="cs"/>
          <w:rtl/>
          <w:lang w:bidi="ar-EG"/>
        </w:rPr>
        <w:t xml:space="preserve">بالإضافة إلى ذلك، طلب القرار </w:t>
      </w:r>
      <w:r w:rsidRPr="00CC485D">
        <w:rPr>
          <w:lang w:bidi="ar-EG"/>
        </w:rPr>
        <w:t>25</w:t>
      </w:r>
      <w:r w:rsidRPr="00CC485D">
        <w:rPr>
          <w:rFonts w:hint="cs"/>
          <w:rtl/>
          <w:lang w:bidi="ar-LB"/>
        </w:rPr>
        <w:t xml:space="preserve"> </w:t>
      </w:r>
      <w:r w:rsidRPr="00CC485D">
        <w:rPr>
          <w:rFonts w:hint="cs"/>
          <w:rtl/>
        </w:rPr>
        <w:t>إجراء</w:t>
      </w:r>
      <w:r w:rsidRPr="00CC485D">
        <w:rPr>
          <w:rtl/>
        </w:rPr>
        <w:t xml:space="preserve"> استقصاء مرة كل أربع</w:t>
      </w:r>
      <w:r w:rsidRPr="00CC485D">
        <w:rPr>
          <w:rFonts w:hint="cs"/>
          <w:rtl/>
        </w:rPr>
        <w:t> </w:t>
      </w:r>
      <w:r w:rsidRPr="00CC485D">
        <w:rPr>
          <w:rtl/>
        </w:rPr>
        <w:t xml:space="preserve">سنوات </w:t>
      </w:r>
      <w:r w:rsidRPr="00CC485D">
        <w:rPr>
          <w:rFonts w:hint="cs"/>
          <w:rtl/>
        </w:rPr>
        <w:t>"</w:t>
      </w:r>
      <w:r w:rsidRPr="00CC485D">
        <w:rPr>
          <w:rtl/>
        </w:rPr>
        <w:t xml:space="preserve">لقياس مستوى رضاء الدول الأعضاء وأعضاء القطاعات والمنظمات الإقليمية للاتصالات عن </w:t>
      </w:r>
      <w:r w:rsidRPr="00CC485D">
        <w:rPr>
          <w:rFonts w:hint="cs"/>
          <w:rtl/>
        </w:rPr>
        <w:t>الحضور</w:t>
      </w:r>
      <w:r w:rsidRPr="00CC485D">
        <w:rPr>
          <w:rtl/>
        </w:rPr>
        <w:t xml:space="preserve"> الإقليمي </w:t>
      </w:r>
      <w:r w:rsidRPr="00CC485D">
        <w:rPr>
          <w:rFonts w:hint="cs"/>
          <w:rtl/>
        </w:rPr>
        <w:t>للاتحاد".</w:t>
      </w:r>
    </w:p>
    <w:p w14:paraId="23CFA092" w14:textId="21E5EA1F" w:rsidR="001C5EE6" w:rsidRPr="00CC485D" w:rsidRDefault="00C45159" w:rsidP="00CD5816">
      <w:pPr>
        <w:rPr>
          <w:rtl/>
          <w:lang w:bidi="ar-EG"/>
        </w:rPr>
      </w:pPr>
      <w:r>
        <w:rPr>
          <w:lang w:bidi="ar-EG"/>
        </w:rPr>
        <w:t>2.3</w:t>
      </w:r>
      <w:r>
        <w:rPr>
          <w:rtl/>
          <w:lang w:bidi="ar-EG"/>
        </w:rPr>
        <w:tab/>
      </w:r>
      <w:r w:rsidR="00B91399">
        <w:rPr>
          <w:rFonts w:hint="cs"/>
          <w:rtl/>
          <w:lang w:bidi="ar-EG"/>
        </w:rPr>
        <w:t>وأُطلق</w:t>
      </w:r>
      <w:r w:rsidR="00B91399" w:rsidRPr="00B91399">
        <w:rPr>
          <w:rtl/>
          <w:lang w:bidi="ar-EG"/>
        </w:rPr>
        <w:t xml:space="preserve"> ال</w:t>
      </w:r>
      <w:r w:rsidR="00B91399">
        <w:rPr>
          <w:rFonts w:hint="cs"/>
          <w:rtl/>
          <w:lang w:bidi="ar-EG"/>
        </w:rPr>
        <w:t>استقصاء</w:t>
      </w:r>
      <w:r w:rsidR="00B91399" w:rsidRPr="00B91399">
        <w:rPr>
          <w:rtl/>
          <w:lang w:bidi="ar-EG"/>
        </w:rPr>
        <w:t xml:space="preserve"> في نوفمبر 2021 </w:t>
      </w:r>
      <w:r w:rsidR="00B91399">
        <w:rPr>
          <w:rtl/>
          <w:lang w:bidi="ar-EG"/>
        </w:rPr>
        <w:t xml:space="preserve">، وستُعرض النتائج على </w:t>
      </w:r>
      <w:r w:rsidR="001B0541" w:rsidRPr="001B0541">
        <w:rPr>
          <w:rFonts w:hint="cs"/>
          <w:rtl/>
          <w:lang w:bidi="ar-EG"/>
        </w:rPr>
        <w:t>ال</w:t>
      </w:r>
      <w:r w:rsidR="00B91399" w:rsidRPr="008514D2">
        <w:rPr>
          <w:rtl/>
          <w:lang w:bidi="ar-EG"/>
        </w:rPr>
        <w:t>مجلس</w:t>
      </w:r>
      <w:r w:rsidR="001B0541">
        <w:rPr>
          <w:rFonts w:hint="cs"/>
          <w:rtl/>
          <w:lang w:bidi="ar-EG"/>
        </w:rPr>
        <w:t xml:space="preserve"> في دورته</w:t>
      </w:r>
      <w:r w:rsidR="00B91399">
        <w:rPr>
          <w:rtl/>
          <w:lang w:bidi="ar-EG"/>
        </w:rPr>
        <w:t xml:space="preserve"> 2022</w:t>
      </w:r>
      <w:r>
        <w:rPr>
          <w:rFonts w:hint="cs"/>
          <w:rtl/>
          <w:lang w:bidi="ar-EG"/>
        </w:rPr>
        <w:t xml:space="preserve">. </w:t>
      </w:r>
    </w:p>
    <w:p w14:paraId="2081F9CA" w14:textId="6E046D68" w:rsidR="00435D10" w:rsidRPr="00435D10" w:rsidRDefault="001C5EE6" w:rsidP="00CD5816">
      <w:pPr>
        <w:pStyle w:val="Heading1"/>
        <w:rPr>
          <w:lang w:bidi="ar-SY"/>
        </w:rPr>
      </w:pPr>
      <w:r w:rsidRPr="00CC485D">
        <w:rPr>
          <w:lang w:bidi="ar-SY"/>
        </w:rPr>
        <w:t>4</w:t>
      </w:r>
      <w:r w:rsidRPr="00CC485D">
        <w:rPr>
          <w:lang w:bidi="ar-SY"/>
        </w:rPr>
        <w:tab/>
      </w:r>
      <w:r w:rsidRPr="00CC485D">
        <w:rPr>
          <w:rFonts w:hint="cs"/>
          <w:rtl/>
          <w:lang w:bidi="ar-SY"/>
        </w:rPr>
        <w:t>إنشاء مكتب لمنطقة جنوب آسيا تابع للاتحاد</w:t>
      </w:r>
    </w:p>
    <w:p w14:paraId="638192F2" w14:textId="1FD69845" w:rsidR="001C5EE6" w:rsidRPr="00CC485D" w:rsidRDefault="001C5EE6" w:rsidP="00CD5816">
      <w:pPr>
        <w:rPr>
          <w:rtl/>
          <w:lang w:bidi="ar-EG"/>
        </w:rPr>
      </w:pPr>
      <w:r w:rsidRPr="00CC485D">
        <w:rPr>
          <w:lang w:bidi="ar-EG"/>
        </w:rPr>
        <w:t>1.4</w:t>
      </w:r>
      <w:r w:rsidRPr="00CC485D">
        <w:rPr>
          <w:rtl/>
          <w:lang w:bidi="ar-EG"/>
        </w:rPr>
        <w:tab/>
      </w:r>
      <w:r w:rsidR="00435D10">
        <w:rPr>
          <w:rFonts w:hint="cs"/>
          <w:rtl/>
          <w:lang w:bidi="ar-EG"/>
        </w:rPr>
        <w:t>أُبرم</w:t>
      </w:r>
      <w:r w:rsidR="00F977AF" w:rsidRPr="00F977AF">
        <w:rPr>
          <w:rtl/>
          <w:lang w:bidi="ar-EG"/>
        </w:rPr>
        <w:t xml:space="preserve"> </w:t>
      </w:r>
      <w:r w:rsidR="00F977AF">
        <w:rPr>
          <w:rFonts w:hint="cs"/>
          <w:rtl/>
          <w:lang w:bidi="ar-EG"/>
        </w:rPr>
        <w:t xml:space="preserve">في </w:t>
      </w:r>
      <w:r w:rsidR="00F977AF" w:rsidRPr="00435D10">
        <w:rPr>
          <w:rtl/>
          <w:lang w:bidi="ar-EG"/>
        </w:rPr>
        <w:t>صيف عام 2021</w:t>
      </w:r>
      <w:r w:rsidR="00435D10" w:rsidRPr="00435D10">
        <w:rPr>
          <w:rtl/>
          <w:lang w:bidi="ar-EG"/>
        </w:rPr>
        <w:t xml:space="preserve"> </w:t>
      </w:r>
      <w:r w:rsidR="00435D10">
        <w:rPr>
          <w:rFonts w:hint="cs"/>
          <w:rtl/>
          <w:lang w:bidi="ar-EG"/>
        </w:rPr>
        <w:t>ال</w:t>
      </w:r>
      <w:r w:rsidR="00435D10">
        <w:rPr>
          <w:rtl/>
          <w:lang w:bidi="ar-EG"/>
        </w:rPr>
        <w:t>اتفاق</w:t>
      </w:r>
      <w:r w:rsidR="00435D10">
        <w:rPr>
          <w:rFonts w:hint="cs"/>
          <w:rtl/>
          <w:lang w:bidi="ar-EG"/>
        </w:rPr>
        <w:t xml:space="preserve"> مع</w:t>
      </w:r>
      <w:r w:rsidR="00435D10" w:rsidRPr="00435D10">
        <w:rPr>
          <w:rtl/>
          <w:lang w:bidi="ar-EG"/>
        </w:rPr>
        <w:t xml:space="preserve"> البلد المضيف </w:t>
      </w:r>
      <w:r w:rsidR="00E32A07">
        <w:rPr>
          <w:rFonts w:hint="cs"/>
          <w:rtl/>
          <w:lang w:bidi="ar-EG"/>
        </w:rPr>
        <w:t xml:space="preserve">بشأن </w:t>
      </w:r>
      <w:r w:rsidR="00435D10" w:rsidRPr="00435D10">
        <w:rPr>
          <w:rtl/>
          <w:lang w:bidi="ar-EG"/>
        </w:rPr>
        <w:t xml:space="preserve">افتتاح مكتب </w:t>
      </w:r>
      <w:r w:rsidR="00D03C45">
        <w:rPr>
          <w:rFonts w:hint="cs"/>
          <w:rtl/>
          <w:lang w:bidi="ar-EG"/>
        </w:rPr>
        <w:t>ال</w:t>
      </w:r>
      <w:r w:rsidR="00435D10" w:rsidRPr="00435D10">
        <w:rPr>
          <w:rtl/>
          <w:lang w:bidi="ar-EG"/>
        </w:rPr>
        <w:t xml:space="preserve">منطقة </w:t>
      </w:r>
      <w:r w:rsidR="00D03C45">
        <w:rPr>
          <w:rFonts w:hint="cs"/>
          <w:rtl/>
          <w:lang w:bidi="ar-EG"/>
        </w:rPr>
        <w:t>ال</w:t>
      </w:r>
      <w:r w:rsidR="00E32A07">
        <w:rPr>
          <w:rFonts w:hint="cs"/>
          <w:rtl/>
          <w:lang w:bidi="ar-EG"/>
        </w:rPr>
        <w:t>تابع ل</w:t>
      </w:r>
      <w:r w:rsidR="00435D10" w:rsidRPr="00435D10">
        <w:rPr>
          <w:rtl/>
          <w:lang w:bidi="ar-EG"/>
        </w:rPr>
        <w:t xml:space="preserve">لاتحاد </w:t>
      </w:r>
      <w:r w:rsidR="00E32A07">
        <w:rPr>
          <w:rtl/>
          <w:lang w:bidi="ar-EG"/>
        </w:rPr>
        <w:t>في نيودلهي</w:t>
      </w:r>
      <w:r w:rsidR="00435D10" w:rsidRPr="00435D10">
        <w:rPr>
          <w:rtl/>
          <w:lang w:bidi="ar-EG"/>
        </w:rPr>
        <w:t>، الهند. و</w:t>
      </w:r>
      <w:r w:rsidR="00E32A07">
        <w:rPr>
          <w:rFonts w:hint="cs"/>
          <w:rtl/>
          <w:lang w:bidi="ar-EG"/>
        </w:rPr>
        <w:t>سيُعرض</w:t>
      </w:r>
      <w:r w:rsidR="00E32A07">
        <w:rPr>
          <w:rtl/>
          <w:lang w:bidi="ar-EG"/>
        </w:rPr>
        <w:t xml:space="preserve"> الاتفاق</w:t>
      </w:r>
      <w:r w:rsidR="00435D10" w:rsidRPr="00435D10">
        <w:rPr>
          <w:rtl/>
          <w:lang w:bidi="ar-EG"/>
        </w:rPr>
        <w:t xml:space="preserve"> </w:t>
      </w:r>
      <w:r w:rsidR="00E32A07">
        <w:rPr>
          <w:rFonts w:hint="cs"/>
          <w:rtl/>
          <w:lang w:bidi="ar-EG"/>
        </w:rPr>
        <w:t>في</w:t>
      </w:r>
      <w:r w:rsidR="00E32A07">
        <w:rPr>
          <w:rtl/>
          <w:lang w:bidi="ar-EG"/>
        </w:rPr>
        <w:t xml:space="preserve"> </w:t>
      </w:r>
      <w:r w:rsidR="00807022">
        <w:rPr>
          <w:rFonts w:hint="cs"/>
          <w:rtl/>
          <w:lang w:bidi="ar-EG"/>
        </w:rPr>
        <w:t xml:space="preserve">أحد </w:t>
      </w:r>
      <w:r w:rsidR="00E32A07">
        <w:rPr>
          <w:rtl/>
          <w:lang w:bidi="ar-EG"/>
        </w:rPr>
        <w:t>اجتماع</w:t>
      </w:r>
      <w:r w:rsidR="00807022">
        <w:rPr>
          <w:rFonts w:hint="cs"/>
          <w:rtl/>
          <w:lang w:bidi="ar-EG"/>
        </w:rPr>
        <w:t>ات</w:t>
      </w:r>
      <w:r w:rsidR="00E32A07">
        <w:rPr>
          <w:rtl/>
          <w:lang w:bidi="ar-EG"/>
        </w:rPr>
        <w:t xml:space="preserve"> مجلس الوزراء </w:t>
      </w:r>
      <w:r w:rsidR="00E32A07">
        <w:rPr>
          <w:rFonts w:hint="cs"/>
          <w:rtl/>
          <w:lang w:bidi="ar-EG"/>
        </w:rPr>
        <w:t>من أجل ال</w:t>
      </w:r>
      <w:r w:rsidR="00E32A07">
        <w:rPr>
          <w:rtl/>
          <w:lang w:bidi="ar-EG"/>
        </w:rPr>
        <w:t>موافقة عليه</w:t>
      </w:r>
      <w:r w:rsidR="00435D10" w:rsidRPr="00435D10">
        <w:rPr>
          <w:rtl/>
          <w:lang w:bidi="ar-EG"/>
        </w:rPr>
        <w:t xml:space="preserve"> في الهند.</w:t>
      </w:r>
      <w:r w:rsidR="00C45159">
        <w:rPr>
          <w:rFonts w:hint="cs"/>
          <w:rtl/>
          <w:lang w:bidi="ar-EG"/>
        </w:rPr>
        <w:t xml:space="preserve"> </w:t>
      </w:r>
    </w:p>
    <w:p w14:paraId="7CEF3C6E" w14:textId="5A816654" w:rsidR="001C5EE6" w:rsidRPr="003377EB" w:rsidRDefault="001C5EE6" w:rsidP="001C5EE6">
      <w:pPr>
        <w:pStyle w:val="Heading1"/>
        <w:rPr>
          <w:lang w:val="es-ES"/>
        </w:rPr>
      </w:pPr>
      <w:r w:rsidRPr="003377EB">
        <w:rPr>
          <w:lang w:bidi="ar-SY"/>
        </w:rPr>
        <w:lastRenderedPageBreak/>
        <w:t>5</w:t>
      </w:r>
      <w:r w:rsidRPr="003377EB">
        <w:rPr>
          <w:rtl/>
          <w:lang w:bidi="ar-SY"/>
        </w:rPr>
        <w:tab/>
      </w:r>
      <w:r w:rsidRPr="003377EB">
        <w:rPr>
          <w:rFonts w:hint="cs"/>
          <w:rtl/>
          <w:lang w:bidi="ar-SY"/>
        </w:rPr>
        <w:t xml:space="preserve">الإنجازات المحقَّقة على الصعيد الإقليمي في عام </w:t>
      </w:r>
      <w:r w:rsidR="00C45159">
        <w:rPr>
          <w:lang w:val="es-ES" w:bidi="ar-SY"/>
        </w:rPr>
        <w:t>2021</w:t>
      </w:r>
      <w:r w:rsidRPr="003377EB">
        <w:rPr>
          <w:rFonts w:hint="cs"/>
          <w:rtl/>
          <w:lang w:val="es-ES" w:bidi="ar-SY"/>
        </w:rPr>
        <w:t xml:space="preserve"> (الخطة التشغيلية والمبادرات الإقليمية</w:t>
      </w:r>
      <w:r>
        <w:rPr>
          <w:rFonts w:hint="eastAsia"/>
          <w:rtl/>
          <w:lang w:val="es-ES" w:bidi="ar-SY"/>
        </w:rPr>
        <w:t> </w:t>
      </w:r>
      <w:r w:rsidRPr="003377EB">
        <w:rPr>
          <w:rFonts w:hint="cs"/>
          <w:rtl/>
          <w:lang w:val="es-ES" w:bidi="ar-SY"/>
        </w:rPr>
        <w:t>والمشاريع)</w:t>
      </w:r>
    </w:p>
    <w:p w14:paraId="75FBDC4D" w14:textId="21B0AF95" w:rsidR="001E2988" w:rsidRPr="001E2988" w:rsidRDefault="001C5EE6" w:rsidP="00CD5816">
      <w:pPr>
        <w:rPr>
          <w:spacing w:val="2"/>
          <w:rtl/>
        </w:rPr>
      </w:pPr>
      <w:r w:rsidRPr="00350D9C">
        <w:rPr>
          <w:lang w:val="es-ES" w:bidi="ar-SY"/>
        </w:rPr>
        <w:t>1.5</w:t>
      </w:r>
      <w:r w:rsidRPr="00350D9C">
        <w:rPr>
          <w:lang w:val="es-ES" w:bidi="ar-SY"/>
        </w:rPr>
        <w:tab/>
      </w:r>
      <w:r w:rsidRPr="00CC485D">
        <w:rPr>
          <w:rFonts w:hint="cs"/>
          <w:spacing w:val="2"/>
          <w:rtl/>
          <w:lang w:bidi="ar-EG"/>
        </w:rPr>
        <w:t>تُنفَّذ</w:t>
      </w:r>
      <w:r w:rsidRPr="00CC485D">
        <w:rPr>
          <w:spacing w:val="2"/>
          <w:rtl/>
        </w:rPr>
        <w:t xml:space="preserve"> المبادرات الإقليمية </w:t>
      </w:r>
      <w:r w:rsidRPr="00CC485D">
        <w:rPr>
          <w:rFonts w:hint="cs"/>
          <w:spacing w:val="2"/>
          <w:rtl/>
        </w:rPr>
        <w:t>و</w:t>
      </w:r>
      <w:r w:rsidRPr="00CC485D">
        <w:rPr>
          <w:spacing w:val="2"/>
          <w:rtl/>
        </w:rPr>
        <w:t>البرامج والمشاريع</w:t>
      </w:r>
      <w:r w:rsidRPr="00CC485D">
        <w:rPr>
          <w:rFonts w:hint="cs"/>
          <w:spacing w:val="2"/>
          <w:rtl/>
        </w:rPr>
        <w:t xml:space="preserve"> والأنشطة في الميدان</w:t>
      </w:r>
      <w:r w:rsidRPr="00CC485D">
        <w:rPr>
          <w:spacing w:val="2"/>
          <w:rtl/>
        </w:rPr>
        <w:t xml:space="preserve"> تحت قيادة المكاتب الإقليمية ومكاتب المناطق.</w:t>
      </w:r>
      <w:r w:rsidRPr="00CC485D">
        <w:rPr>
          <w:rFonts w:hint="cs"/>
          <w:spacing w:val="2"/>
          <w:rtl/>
        </w:rPr>
        <w:t xml:space="preserve"> </w:t>
      </w:r>
      <w:r>
        <w:rPr>
          <w:rFonts w:hint="cs"/>
          <w:spacing w:val="2"/>
          <w:rtl/>
        </w:rPr>
        <w:t>وتُقدَّم بانتظام تقارير عن</w:t>
      </w:r>
      <w:r w:rsidRPr="00CC485D">
        <w:rPr>
          <w:rFonts w:hint="cs"/>
          <w:spacing w:val="2"/>
          <w:rtl/>
        </w:rPr>
        <w:t xml:space="preserve"> </w:t>
      </w:r>
      <w:r>
        <w:rPr>
          <w:rFonts w:hint="cs"/>
          <w:spacing w:val="2"/>
          <w:rtl/>
        </w:rPr>
        <w:t>النتائج الرئيسية المحقَّقة</w:t>
      </w:r>
      <w:r w:rsidRPr="00CC485D">
        <w:rPr>
          <w:rFonts w:hint="cs"/>
          <w:spacing w:val="2"/>
          <w:rtl/>
        </w:rPr>
        <w:t xml:space="preserve"> إلى الفريق الاستشاري لتنمية الاتصالات وإلى المجلس.</w:t>
      </w:r>
    </w:p>
    <w:p w14:paraId="6E469C85" w14:textId="46CBE566" w:rsidR="00C45159" w:rsidRPr="004A4F3D" w:rsidRDefault="00C45159" w:rsidP="00B609DD">
      <w:pPr>
        <w:rPr>
          <w:spacing w:val="-8"/>
          <w:rtl/>
          <w:lang w:bidi="ar-EG"/>
        </w:rPr>
      </w:pPr>
      <w:r w:rsidRPr="004A4F3D">
        <w:rPr>
          <w:spacing w:val="-7"/>
        </w:rPr>
        <w:t>2.5</w:t>
      </w:r>
      <w:r w:rsidRPr="004A4F3D">
        <w:rPr>
          <w:spacing w:val="-7"/>
          <w:rtl/>
          <w:lang w:bidi="ar-EG"/>
        </w:rPr>
        <w:tab/>
      </w:r>
      <w:r w:rsidR="001E2988" w:rsidRPr="004A4F3D">
        <w:rPr>
          <w:rFonts w:hint="cs"/>
          <w:spacing w:val="-7"/>
          <w:rtl/>
          <w:lang w:bidi="ar-EG"/>
        </w:rPr>
        <w:t>و</w:t>
      </w:r>
      <w:r w:rsidR="001E2988" w:rsidRPr="004A4F3D">
        <w:rPr>
          <w:spacing w:val="-7"/>
          <w:rtl/>
          <w:lang w:bidi="ar-EG"/>
        </w:rPr>
        <w:t xml:space="preserve">في عام 2021، </w:t>
      </w:r>
      <w:r w:rsidR="00D03C45" w:rsidRPr="004A4F3D">
        <w:rPr>
          <w:rFonts w:hint="cs"/>
          <w:spacing w:val="-7"/>
          <w:rtl/>
          <w:lang w:bidi="ar-EG"/>
        </w:rPr>
        <w:t>وعقب</w:t>
      </w:r>
      <w:r w:rsidR="001E2988" w:rsidRPr="004A4F3D">
        <w:rPr>
          <w:spacing w:val="-7"/>
          <w:rtl/>
          <w:lang w:bidi="ar-EG"/>
        </w:rPr>
        <w:t xml:space="preserve"> الحاجة إلى رقمنة </w:t>
      </w:r>
      <w:r w:rsidR="001B0541" w:rsidRPr="004A4F3D">
        <w:rPr>
          <w:rFonts w:hint="cs"/>
          <w:spacing w:val="-7"/>
          <w:rtl/>
          <w:lang w:bidi="ar-EG"/>
        </w:rPr>
        <w:t>تقديم</w:t>
      </w:r>
      <w:r w:rsidR="001B0541" w:rsidRPr="004A4F3D">
        <w:rPr>
          <w:spacing w:val="-7"/>
          <w:rtl/>
          <w:lang w:bidi="ar-EG"/>
        </w:rPr>
        <w:t xml:space="preserve"> </w:t>
      </w:r>
      <w:r w:rsidR="001E2988" w:rsidRPr="004A4F3D">
        <w:rPr>
          <w:spacing w:val="-7"/>
          <w:rtl/>
          <w:lang w:bidi="ar-EG"/>
        </w:rPr>
        <w:t xml:space="preserve">المنتجات والخدمات لمواصلة التنفيذ بسبب </w:t>
      </w:r>
      <w:r w:rsidR="001E2988" w:rsidRPr="004A4F3D">
        <w:rPr>
          <w:rFonts w:hint="cs"/>
          <w:spacing w:val="-7"/>
          <w:rtl/>
          <w:lang w:bidi="ar-EG"/>
        </w:rPr>
        <w:t>جائحة كوفيد-19</w:t>
      </w:r>
      <w:r w:rsidR="001E2988" w:rsidRPr="004A4F3D">
        <w:rPr>
          <w:spacing w:val="-7"/>
          <w:rtl/>
          <w:lang w:bidi="ar-EG"/>
        </w:rPr>
        <w:t xml:space="preserve">، </w:t>
      </w:r>
      <w:r w:rsidR="001E2988" w:rsidRPr="004A4F3D">
        <w:rPr>
          <w:rFonts w:hint="cs"/>
          <w:spacing w:val="-7"/>
          <w:rtl/>
          <w:lang w:bidi="ar-EG"/>
        </w:rPr>
        <w:t>دمج</w:t>
      </w:r>
      <w:r w:rsidR="001E2988" w:rsidRPr="004A4F3D">
        <w:rPr>
          <w:spacing w:val="-7"/>
          <w:rtl/>
          <w:lang w:bidi="ar-EG"/>
        </w:rPr>
        <w:t xml:space="preserve"> مكتب تنمية الاتصالات الكثير من عروضه في عدد أقل من الإجراءات العالمية الكبيرة التي تفيد مناطق متعددة</w:t>
      </w:r>
      <w:r w:rsidR="001E2988" w:rsidRPr="004A4F3D">
        <w:rPr>
          <w:rFonts w:hint="cs"/>
          <w:spacing w:val="-7"/>
          <w:rtl/>
          <w:lang w:bidi="ar-EG"/>
        </w:rPr>
        <w:t xml:space="preserve"> </w:t>
      </w:r>
      <w:r w:rsidRPr="004A4F3D">
        <w:rPr>
          <w:rFonts w:hint="cs"/>
          <w:spacing w:val="-7"/>
          <w:rtl/>
          <w:lang w:bidi="ar-EG"/>
        </w:rPr>
        <w:t>(</w:t>
      </w:r>
      <w:r w:rsidR="001E2988" w:rsidRPr="004A4F3D">
        <w:rPr>
          <w:rFonts w:hint="cs"/>
          <w:spacing w:val="-7"/>
          <w:rtl/>
          <w:lang w:bidi="ar-EG"/>
        </w:rPr>
        <w:t>على النحو المُشار إليه في</w:t>
      </w:r>
      <w:r w:rsidR="004A4F3D" w:rsidRPr="004A4F3D">
        <w:rPr>
          <w:rFonts w:hint="eastAsia"/>
          <w:spacing w:val="-7"/>
          <w:rtl/>
          <w:lang w:bidi="ar-EG"/>
        </w:rPr>
        <w:t> </w:t>
      </w:r>
      <w:r w:rsidRPr="004A4F3D">
        <w:rPr>
          <w:rFonts w:hint="cs"/>
          <w:spacing w:val="-7"/>
          <w:rtl/>
          <w:lang w:bidi="ar-EG"/>
        </w:rPr>
        <w:t>الجدول</w:t>
      </w:r>
      <w:r w:rsidR="004A4F3D" w:rsidRPr="004A4F3D">
        <w:rPr>
          <w:rFonts w:hint="eastAsia"/>
          <w:spacing w:val="-7"/>
          <w:rtl/>
          <w:lang w:bidi="ar-EG"/>
        </w:rPr>
        <w:t> </w:t>
      </w:r>
      <w:r w:rsidRPr="004A4F3D">
        <w:rPr>
          <w:spacing w:val="-7"/>
          <w:lang w:bidi="ar-EG"/>
        </w:rPr>
        <w:t>1</w:t>
      </w:r>
      <w:r w:rsidRPr="004A4F3D">
        <w:rPr>
          <w:rFonts w:hint="cs"/>
          <w:spacing w:val="-7"/>
          <w:rtl/>
          <w:lang w:bidi="ar-EG"/>
        </w:rPr>
        <w:t>)</w:t>
      </w:r>
      <w:r w:rsidRPr="004A4F3D">
        <w:rPr>
          <w:rStyle w:val="FootnoteReference"/>
          <w:spacing w:val="-7"/>
          <w:rtl/>
          <w:lang w:bidi="ar-EG"/>
        </w:rPr>
        <w:footnoteReference w:id="1"/>
      </w:r>
      <w:r w:rsidRPr="004A4F3D">
        <w:rPr>
          <w:rFonts w:hint="cs"/>
          <w:spacing w:val="-7"/>
          <w:rtl/>
          <w:lang w:bidi="ar-EG"/>
        </w:rPr>
        <w:t xml:space="preserve">. </w:t>
      </w:r>
      <w:r w:rsidRPr="004A4F3D">
        <w:rPr>
          <w:rFonts w:hint="cs"/>
          <w:spacing w:val="-8"/>
          <w:rtl/>
        </w:rPr>
        <w:t xml:space="preserve">وبلغ مستوى تنفيذ </w:t>
      </w:r>
      <w:r w:rsidR="0006353E" w:rsidRPr="004A4F3D">
        <w:rPr>
          <w:rFonts w:hint="cs"/>
          <w:spacing w:val="-8"/>
          <w:rtl/>
          <w:lang w:bidi="ar-EG"/>
        </w:rPr>
        <w:t>المشاريع</w:t>
      </w:r>
      <w:r w:rsidRPr="004A4F3D">
        <w:rPr>
          <w:rFonts w:hint="cs"/>
          <w:spacing w:val="-8"/>
          <w:rtl/>
        </w:rPr>
        <w:t xml:space="preserve"> </w:t>
      </w:r>
      <w:r w:rsidRPr="004A4F3D">
        <w:rPr>
          <w:spacing w:val="-8"/>
          <w:lang w:bidi="ar-SY"/>
        </w:rPr>
        <w:t>5,1</w:t>
      </w:r>
      <w:r w:rsidRPr="004A4F3D">
        <w:rPr>
          <w:rFonts w:hint="cs"/>
          <w:spacing w:val="-8"/>
          <w:rtl/>
          <w:lang w:bidi="ar-EG"/>
        </w:rPr>
        <w:t xml:space="preserve"> ملايين</w:t>
      </w:r>
      <w:r w:rsidRPr="004A4F3D">
        <w:rPr>
          <w:rFonts w:hint="cs"/>
          <w:spacing w:val="-8"/>
          <w:rtl/>
        </w:rPr>
        <w:t xml:space="preserve"> دولار أمريكي</w:t>
      </w:r>
      <w:r w:rsidRPr="004A4F3D">
        <w:rPr>
          <w:rFonts w:hint="cs"/>
          <w:spacing w:val="-8"/>
          <w:rtl/>
          <w:lang w:bidi="ar-EG"/>
        </w:rPr>
        <w:t xml:space="preserve"> في </w:t>
      </w:r>
      <w:r w:rsidRPr="004A4F3D">
        <w:rPr>
          <w:spacing w:val="-8"/>
          <w:lang w:bidi="ar-SY"/>
        </w:rPr>
        <w:t>91</w:t>
      </w:r>
      <w:r w:rsidRPr="004A4F3D">
        <w:rPr>
          <w:rFonts w:hint="cs"/>
          <w:spacing w:val="-8"/>
          <w:rtl/>
          <w:lang w:bidi="ar-EG"/>
        </w:rPr>
        <w:t xml:space="preserve"> مشروعاً </w:t>
      </w:r>
      <w:r w:rsidR="00FF6208" w:rsidRPr="004A4F3D">
        <w:rPr>
          <w:rFonts w:hint="cs"/>
          <w:spacing w:val="-8"/>
          <w:rtl/>
        </w:rPr>
        <w:t>أنفق</w:t>
      </w:r>
      <w:r w:rsidR="001B0541" w:rsidRPr="004A4F3D">
        <w:rPr>
          <w:rFonts w:hint="cs"/>
          <w:spacing w:val="-8"/>
          <w:rtl/>
        </w:rPr>
        <w:t>ت عليها</w:t>
      </w:r>
      <w:r w:rsidR="001E2988" w:rsidRPr="004A4F3D">
        <w:rPr>
          <w:rFonts w:hint="cs"/>
          <w:spacing w:val="-8"/>
          <w:rtl/>
          <w:lang w:bidi="ar-EG"/>
        </w:rPr>
        <w:t xml:space="preserve"> </w:t>
      </w:r>
      <w:r w:rsidR="001E2988" w:rsidRPr="004A4F3D">
        <w:rPr>
          <w:spacing w:val="-8"/>
          <w:rtl/>
          <w:lang w:bidi="ar-EG"/>
        </w:rPr>
        <w:t>أموال</w:t>
      </w:r>
      <w:r w:rsidR="001B0541" w:rsidRPr="004A4F3D">
        <w:rPr>
          <w:spacing w:val="-8"/>
          <w:rtl/>
          <w:lang w:bidi="ar-EG"/>
        </w:rPr>
        <w:t xml:space="preserve"> </w:t>
      </w:r>
      <w:r w:rsidR="001B0541" w:rsidRPr="004A4F3D">
        <w:rPr>
          <w:rFonts w:hint="cs"/>
          <w:spacing w:val="-8"/>
          <w:rtl/>
          <w:lang w:bidi="ar-EG"/>
        </w:rPr>
        <w:t>على مدار</w:t>
      </w:r>
      <w:r w:rsidR="001E2988" w:rsidRPr="004A4F3D">
        <w:rPr>
          <w:rFonts w:hint="cs"/>
          <w:spacing w:val="-8"/>
          <w:rtl/>
          <w:lang w:bidi="ar-EG"/>
        </w:rPr>
        <w:t xml:space="preserve"> عام 2021 </w:t>
      </w:r>
      <w:r w:rsidRPr="004A4F3D">
        <w:rPr>
          <w:rFonts w:hint="cs"/>
          <w:spacing w:val="-8"/>
          <w:rtl/>
          <w:lang w:bidi="ar-EG"/>
        </w:rPr>
        <w:t>(الجدول </w:t>
      </w:r>
      <w:r w:rsidRPr="004A4F3D">
        <w:rPr>
          <w:spacing w:val="-8"/>
          <w:lang w:bidi="ar-EG"/>
        </w:rPr>
        <w:t>2</w:t>
      </w:r>
      <w:r w:rsidRPr="004A4F3D">
        <w:rPr>
          <w:rFonts w:hint="cs"/>
          <w:spacing w:val="-8"/>
          <w:rtl/>
          <w:lang w:bidi="ar-EG"/>
        </w:rPr>
        <w:t>).</w:t>
      </w:r>
    </w:p>
    <w:p w14:paraId="7C470213" w14:textId="07FA79B0" w:rsidR="001C5EE6" w:rsidRDefault="001C5EE6" w:rsidP="000A56FB">
      <w:pPr>
        <w:pStyle w:val="Tabletitle"/>
        <w:spacing w:after="120"/>
        <w:rPr>
          <w:i/>
          <w:iCs/>
          <w:rtl/>
        </w:rPr>
      </w:pPr>
      <w:r w:rsidRPr="00CC485D">
        <w:rPr>
          <w:rFonts w:hint="cs"/>
          <w:rtl/>
        </w:rPr>
        <w:t>الجدول </w:t>
      </w:r>
      <w:r w:rsidRPr="00CC485D">
        <w:t>1</w:t>
      </w:r>
      <w:r w:rsidRPr="00CC485D">
        <w:rPr>
          <w:rFonts w:hint="cs"/>
          <w:rtl/>
        </w:rPr>
        <w:t xml:space="preserve"> - تنفيذ الخطة التشغيلية لمكتب تنمية الاتصالات في</w:t>
      </w:r>
      <w:r>
        <w:rPr>
          <w:rFonts w:hint="cs"/>
          <w:rtl/>
          <w:lang w:bidi="ar-EG"/>
        </w:rPr>
        <w:t xml:space="preserve"> عام</w:t>
      </w:r>
      <w:r w:rsidRPr="00CC485D">
        <w:rPr>
          <w:rFonts w:hint="cs"/>
          <w:rtl/>
        </w:rPr>
        <w:t xml:space="preserve"> </w:t>
      </w:r>
      <w:r w:rsidR="00C45159">
        <w:t>2021</w:t>
      </w:r>
      <w:r w:rsidRPr="00CC485D">
        <w:rPr>
          <w:rtl/>
        </w:rPr>
        <w:br/>
      </w:r>
      <w:r w:rsidRPr="002145D0">
        <w:rPr>
          <w:rFonts w:hint="cs"/>
          <w:b w:val="0"/>
          <w:bCs w:val="0"/>
          <w:i/>
          <w:iCs/>
          <w:rtl/>
        </w:rPr>
        <w:t>(</w:t>
      </w:r>
      <w:r w:rsidRPr="002145D0">
        <w:rPr>
          <w:b w:val="0"/>
          <w:bCs w:val="0"/>
          <w:i/>
          <w:iCs/>
          <w:rtl/>
        </w:rPr>
        <w:t>المبالغ بآلاف الفرنكات السويسرية</w:t>
      </w:r>
      <w:r w:rsidRPr="002145D0">
        <w:rPr>
          <w:rFonts w:hint="cs"/>
          <w:b w:val="0"/>
          <w:bCs w:val="0"/>
          <w:i/>
          <w:iCs/>
          <w:rtl/>
        </w:rPr>
        <w:t>)</w:t>
      </w:r>
    </w:p>
    <w:tbl>
      <w:tblPr>
        <w:tblStyle w:val="TableGrid"/>
        <w:bidiVisual/>
        <w:tblW w:w="0" w:type="auto"/>
        <w:tblLook w:val="04A0" w:firstRow="1" w:lastRow="0" w:firstColumn="1" w:lastColumn="0" w:noHBand="0" w:noVBand="1"/>
      </w:tblPr>
      <w:tblGrid>
        <w:gridCol w:w="1203"/>
        <w:gridCol w:w="1203"/>
        <w:gridCol w:w="1203"/>
        <w:gridCol w:w="1204"/>
        <w:gridCol w:w="1204"/>
        <w:gridCol w:w="1204"/>
        <w:gridCol w:w="1204"/>
        <w:gridCol w:w="1204"/>
      </w:tblGrid>
      <w:tr w:rsidR="00C45159" w:rsidRPr="00E8653E" w14:paraId="732BE6CF" w14:textId="77777777" w:rsidTr="002145D0">
        <w:tc>
          <w:tcPr>
            <w:tcW w:w="1203" w:type="dxa"/>
            <w:tcBorders>
              <w:bottom w:val="single" w:sz="4" w:space="0" w:color="auto"/>
            </w:tcBorders>
            <w:shd w:val="clear" w:color="auto" w:fill="9CC2E5" w:themeFill="accent1" w:themeFillTint="99"/>
          </w:tcPr>
          <w:p w14:paraId="79540B17" w14:textId="7AD6A266" w:rsidR="00C45159" w:rsidRPr="00E8653E" w:rsidRDefault="00C45159" w:rsidP="000A56FB">
            <w:pPr>
              <w:pStyle w:val="TableHead"/>
              <w:spacing w:before="40" w:after="40"/>
              <w:rPr>
                <w:sz w:val="18"/>
                <w:szCs w:val="18"/>
                <w:rtl/>
                <w:lang w:bidi="ar-SY"/>
              </w:rPr>
            </w:pPr>
            <w:r w:rsidRPr="00E8653E">
              <w:rPr>
                <w:sz w:val="18"/>
                <w:szCs w:val="18"/>
                <w:rtl/>
                <w:lang w:bidi="ar-SY"/>
              </w:rPr>
              <w:t>الهدف</w:t>
            </w:r>
          </w:p>
        </w:tc>
        <w:tc>
          <w:tcPr>
            <w:tcW w:w="1203" w:type="dxa"/>
            <w:tcBorders>
              <w:bottom w:val="single" w:sz="4" w:space="0" w:color="auto"/>
            </w:tcBorders>
            <w:shd w:val="clear" w:color="auto" w:fill="9CC2E5" w:themeFill="accent1" w:themeFillTint="99"/>
          </w:tcPr>
          <w:p w14:paraId="283A6F75" w14:textId="236ED0FE" w:rsidR="00C45159" w:rsidRPr="00E8653E" w:rsidRDefault="00107764" w:rsidP="000A56FB">
            <w:pPr>
              <w:pStyle w:val="TableHead"/>
              <w:spacing w:before="40" w:after="40"/>
              <w:rPr>
                <w:sz w:val="18"/>
                <w:szCs w:val="18"/>
                <w:rtl/>
                <w:lang w:bidi="ar-SY"/>
              </w:rPr>
            </w:pPr>
            <w:r w:rsidRPr="00E8653E">
              <w:rPr>
                <w:rFonts w:eastAsia="Times New Roman" w:hint="cs"/>
                <w:spacing w:val="-4"/>
                <w:sz w:val="18"/>
                <w:szCs w:val="18"/>
                <w:rtl/>
                <w:lang w:val="en-GB" w:eastAsia="en-US"/>
              </w:rPr>
              <w:t>مستوى التنفيذ</w:t>
            </w:r>
            <w:r w:rsidRPr="00E8653E">
              <w:rPr>
                <w:rFonts w:eastAsia="Times New Roman"/>
                <w:spacing w:val="-4"/>
                <w:sz w:val="18"/>
                <w:szCs w:val="18"/>
                <w:rtl/>
                <w:lang w:val="en-GB" w:eastAsia="en-US"/>
              </w:rPr>
              <w:br/>
            </w:r>
            <w:r w:rsidRPr="00E8653E">
              <w:rPr>
                <w:rFonts w:eastAsia="Times New Roman" w:hint="cs"/>
                <w:spacing w:val="-4"/>
                <w:sz w:val="18"/>
                <w:szCs w:val="18"/>
                <w:rtl/>
                <w:lang w:val="en-GB" w:eastAsia="en-US"/>
              </w:rPr>
              <w:t>(بآلاف الفرنكات السويسرية)</w:t>
            </w:r>
          </w:p>
        </w:tc>
        <w:tc>
          <w:tcPr>
            <w:tcW w:w="1203" w:type="dxa"/>
            <w:tcBorders>
              <w:bottom w:val="single" w:sz="4" w:space="0" w:color="auto"/>
            </w:tcBorders>
            <w:shd w:val="clear" w:color="auto" w:fill="9CC2E5" w:themeFill="accent1" w:themeFillTint="99"/>
          </w:tcPr>
          <w:p w14:paraId="64D2A24F" w14:textId="5F1AFAE8" w:rsidR="00C45159" w:rsidRPr="00E8653E" w:rsidRDefault="001B1AE1" w:rsidP="000A56FB">
            <w:pPr>
              <w:pStyle w:val="TableHead"/>
              <w:spacing w:before="40" w:after="40"/>
              <w:rPr>
                <w:sz w:val="18"/>
                <w:szCs w:val="18"/>
                <w:rtl/>
                <w:lang w:bidi="ar-EG"/>
              </w:rPr>
            </w:pPr>
            <w:r w:rsidRPr="00E8653E">
              <w:rPr>
                <w:rFonts w:hint="cs"/>
                <w:sz w:val="18"/>
                <w:szCs w:val="18"/>
                <w:rtl/>
                <w:lang w:bidi="ar-EG"/>
              </w:rPr>
              <w:t>الإجراءات في</w:t>
            </w:r>
            <w:r w:rsidR="00A170A6" w:rsidRPr="00E8653E">
              <w:rPr>
                <w:rFonts w:hint="cs"/>
                <w:sz w:val="18"/>
                <w:szCs w:val="18"/>
                <w:rtl/>
                <w:lang w:bidi="ar-EG"/>
              </w:rPr>
              <w:t> </w:t>
            </w:r>
            <w:r w:rsidR="00107764" w:rsidRPr="00E8653E">
              <w:rPr>
                <w:sz w:val="18"/>
                <w:szCs w:val="18"/>
                <w:rtl/>
                <w:lang w:bidi="ar-EG"/>
              </w:rPr>
              <w:t>إفريقيا</w:t>
            </w:r>
          </w:p>
        </w:tc>
        <w:tc>
          <w:tcPr>
            <w:tcW w:w="1204" w:type="dxa"/>
            <w:tcBorders>
              <w:bottom w:val="single" w:sz="4" w:space="0" w:color="auto"/>
            </w:tcBorders>
            <w:shd w:val="clear" w:color="auto" w:fill="9CC2E5" w:themeFill="accent1" w:themeFillTint="99"/>
          </w:tcPr>
          <w:p w14:paraId="7FA9A37C" w14:textId="3A61866D" w:rsidR="00C45159" w:rsidRPr="00E8653E" w:rsidRDefault="001B1AE1" w:rsidP="000A56FB">
            <w:pPr>
              <w:pStyle w:val="TableHead"/>
              <w:spacing w:before="40" w:after="40"/>
              <w:rPr>
                <w:sz w:val="18"/>
                <w:szCs w:val="18"/>
                <w:rtl/>
                <w:lang w:bidi="ar-SY"/>
              </w:rPr>
            </w:pPr>
            <w:r w:rsidRPr="00E8653E">
              <w:rPr>
                <w:rFonts w:hint="cs"/>
                <w:sz w:val="18"/>
                <w:szCs w:val="18"/>
                <w:rtl/>
                <w:lang w:bidi="ar-EG"/>
              </w:rPr>
              <w:t>الإجراءات في</w:t>
            </w:r>
            <w:r w:rsidR="00A170A6" w:rsidRPr="00E8653E">
              <w:rPr>
                <w:rFonts w:hint="cs"/>
                <w:sz w:val="18"/>
                <w:szCs w:val="18"/>
                <w:rtl/>
                <w:lang w:bidi="ar-SY"/>
              </w:rPr>
              <w:t> </w:t>
            </w:r>
            <w:r w:rsidR="00107764" w:rsidRPr="00E8653E">
              <w:rPr>
                <w:sz w:val="18"/>
                <w:szCs w:val="18"/>
                <w:rtl/>
                <w:lang w:bidi="ar-SY"/>
              </w:rPr>
              <w:t>الأمريكت</w:t>
            </w:r>
            <w:r w:rsidRPr="00E8653E">
              <w:rPr>
                <w:rFonts w:hint="cs"/>
                <w:sz w:val="18"/>
                <w:szCs w:val="18"/>
                <w:rtl/>
                <w:lang w:bidi="ar-SY"/>
              </w:rPr>
              <w:t>ي</w:t>
            </w:r>
            <w:r w:rsidR="00107764" w:rsidRPr="00E8653E">
              <w:rPr>
                <w:sz w:val="18"/>
                <w:szCs w:val="18"/>
                <w:rtl/>
                <w:lang w:bidi="ar-SY"/>
              </w:rPr>
              <w:t>ن</w:t>
            </w:r>
          </w:p>
        </w:tc>
        <w:tc>
          <w:tcPr>
            <w:tcW w:w="1204" w:type="dxa"/>
            <w:tcBorders>
              <w:bottom w:val="single" w:sz="4" w:space="0" w:color="auto"/>
            </w:tcBorders>
            <w:shd w:val="clear" w:color="auto" w:fill="9CC2E5" w:themeFill="accent1" w:themeFillTint="99"/>
          </w:tcPr>
          <w:p w14:paraId="29F1D6BE" w14:textId="1CF3A65E" w:rsidR="00C45159" w:rsidRPr="00E8653E" w:rsidRDefault="001B1AE1" w:rsidP="000A56FB">
            <w:pPr>
              <w:pStyle w:val="TableHead"/>
              <w:spacing w:before="40" w:after="40"/>
              <w:rPr>
                <w:sz w:val="18"/>
                <w:szCs w:val="18"/>
                <w:rtl/>
                <w:lang w:bidi="ar-SY"/>
              </w:rPr>
            </w:pPr>
            <w:r w:rsidRPr="00E8653E">
              <w:rPr>
                <w:rFonts w:hint="cs"/>
                <w:sz w:val="18"/>
                <w:szCs w:val="18"/>
                <w:rtl/>
                <w:lang w:bidi="ar-EG"/>
              </w:rPr>
              <w:t>الإجراءات في</w:t>
            </w:r>
            <w:r w:rsidR="00A170A6" w:rsidRPr="00E8653E">
              <w:rPr>
                <w:rFonts w:hint="cs"/>
                <w:sz w:val="18"/>
                <w:szCs w:val="18"/>
                <w:rtl/>
                <w:lang w:bidi="ar-SY"/>
              </w:rPr>
              <w:t> </w:t>
            </w:r>
            <w:r w:rsidR="00107764" w:rsidRPr="00E8653E">
              <w:rPr>
                <w:sz w:val="18"/>
                <w:szCs w:val="18"/>
                <w:rtl/>
                <w:lang w:bidi="ar-SY"/>
              </w:rPr>
              <w:t>الدول العربية</w:t>
            </w:r>
          </w:p>
        </w:tc>
        <w:tc>
          <w:tcPr>
            <w:tcW w:w="1204" w:type="dxa"/>
            <w:tcBorders>
              <w:bottom w:val="single" w:sz="4" w:space="0" w:color="auto"/>
            </w:tcBorders>
            <w:shd w:val="clear" w:color="auto" w:fill="9CC2E5" w:themeFill="accent1" w:themeFillTint="99"/>
          </w:tcPr>
          <w:p w14:paraId="3DC7F2E4" w14:textId="059E12F7" w:rsidR="00C45159" w:rsidRPr="00E8653E" w:rsidRDefault="001B1AE1" w:rsidP="000A56FB">
            <w:pPr>
              <w:pStyle w:val="TableHead"/>
              <w:spacing w:before="40" w:after="40"/>
              <w:rPr>
                <w:sz w:val="18"/>
                <w:szCs w:val="18"/>
                <w:rtl/>
                <w:lang w:bidi="ar-SY"/>
              </w:rPr>
            </w:pPr>
            <w:r w:rsidRPr="00E8653E">
              <w:rPr>
                <w:rFonts w:hint="cs"/>
                <w:sz w:val="18"/>
                <w:szCs w:val="18"/>
                <w:rtl/>
                <w:lang w:bidi="ar-EG"/>
              </w:rPr>
              <w:t>الإجراءات في</w:t>
            </w:r>
            <w:r w:rsidR="00A170A6" w:rsidRPr="00E8653E">
              <w:rPr>
                <w:rFonts w:hint="cs"/>
                <w:sz w:val="18"/>
                <w:szCs w:val="18"/>
                <w:rtl/>
                <w:lang w:bidi="ar-SY"/>
              </w:rPr>
              <w:t> </w:t>
            </w:r>
            <w:r w:rsidR="00107764" w:rsidRPr="00E8653E">
              <w:rPr>
                <w:sz w:val="18"/>
                <w:szCs w:val="18"/>
                <w:rtl/>
                <w:lang w:bidi="ar-SY"/>
              </w:rPr>
              <w:t>آسيا والمحيط الهادئ</w:t>
            </w:r>
          </w:p>
        </w:tc>
        <w:tc>
          <w:tcPr>
            <w:tcW w:w="1204" w:type="dxa"/>
            <w:tcBorders>
              <w:bottom w:val="single" w:sz="4" w:space="0" w:color="auto"/>
            </w:tcBorders>
            <w:shd w:val="clear" w:color="auto" w:fill="9CC2E5" w:themeFill="accent1" w:themeFillTint="99"/>
          </w:tcPr>
          <w:p w14:paraId="3ABDF3B0" w14:textId="31A6754A" w:rsidR="00C45159" w:rsidRPr="00E8653E" w:rsidRDefault="001B1AE1" w:rsidP="000A56FB">
            <w:pPr>
              <w:pStyle w:val="TableHead"/>
              <w:spacing w:before="40" w:after="40"/>
              <w:rPr>
                <w:sz w:val="18"/>
                <w:szCs w:val="18"/>
                <w:rtl/>
                <w:lang w:bidi="ar-SY"/>
              </w:rPr>
            </w:pPr>
            <w:r w:rsidRPr="00E8653E">
              <w:rPr>
                <w:rFonts w:hint="cs"/>
                <w:sz w:val="18"/>
                <w:szCs w:val="18"/>
                <w:rtl/>
                <w:lang w:bidi="ar-EG"/>
              </w:rPr>
              <w:t>الإجراءات في</w:t>
            </w:r>
            <w:r w:rsidR="00A170A6" w:rsidRPr="00E8653E">
              <w:rPr>
                <w:rFonts w:hint="cs"/>
                <w:sz w:val="18"/>
                <w:szCs w:val="18"/>
                <w:rtl/>
                <w:lang w:bidi="ar-SY"/>
              </w:rPr>
              <w:t> </w:t>
            </w:r>
            <w:r w:rsidR="00107764" w:rsidRPr="00E8653E">
              <w:rPr>
                <w:sz w:val="18"/>
                <w:szCs w:val="18"/>
                <w:rtl/>
                <w:lang w:bidi="ar-SY"/>
              </w:rPr>
              <w:t>كومنولث الدول المستقلة</w:t>
            </w:r>
          </w:p>
        </w:tc>
        <w:tc>
          <w:tcPr>
            <w:tcW w:w="1204" w:type="dxa"/>
            <w:tcBorders>
              <w:bottom w:val="single" w:sz="4" w:space="0" w:color="auto"/>
            </w:tcBorders>
            <w:shd w:val="clear" w:color="auto" w:fill="9CC2E5" w:themeFill="accent1" w:themeFillTint="99"/>
          </w:tcPr>
          <w:p w14:paraId="243A7F21" w14:textId="60BDA40E" w:rsidR="00C45159" w:rsidRPr="00E8653E" w:rsidRDefault="001B1AE1" w:rsidP="000A56FB">
            <w:pPr>
              <w:pStyle w:val="TableHead"/>
              <w:spacing w:before="40" w:after="40"/>
              <w:rPr>
                <w:sz w:val="18"/>
                <w:szCs w:val="18"/>
                <w:rtl/>
                <w:lang w:bidi="ar-SY"/>
              </w:rPr>
            </w:pPr>
            <w:r w:rsidRPr="00E8653E">
              <w:rPr>
                <w:rFonts w:hint="cs"/>
                <w:sz w:val="18"/>
                <w:szCs w:val="18"/>
                <w:rtl/>
                <w:lang w:bidi="ar-EG"/>
              </w:rPr>
              <w:t>الإجراءات في</w:t>
            </w:r>
            <w:r w:rsidR="00A170A6" w:rsidRPr="00E8653E">
              <w:rPr>
                <w:rFonts w:hint="cs"/>
                <w:sz w:val="18"/>
                <w:szCs w:val="18"/>
                <w:rtl/>
                <w:lang w:bidi="ar-SY"/>
              </w:rPr>
              <w:t> </w:t>
            </w:r>
            <w:r w:rsidR="00107764" w:rsidRPr="00E8653E">
              <w:rPr>
                <w:sz w:val="18"/>
                <w:szCs w:val="18"/>
                <w:rtl/>
                <w:lang w:bidi="ar-SY"/>
              </w:rPr>
              <w:t>أوروبا</w:t>
            </w:r>
          </w:p>
        </w:tc>
      </w:tr>
      <w:tr w:rsidR="00107764" w:rsidRPr="00E8653E" w14:paraId="28280B4F" w14:textId="77777777" w:rsidTr="002145D0">
        <w:trPr>
          <w:trHeight w:val="301"/>
        </w:trPr>
        <w:tc>
          <w:tcPr>
            <w:tcW w:w="1203" w:type="dxa"/>
            <w:tcBorders>
              <w:bottom w:val="nil"/>
            </w:tcBorders>
          </w:tcPr>
          <w:p w14:paraId="76427A86" w14:textId="3D9FD181" w:rsidR="00107764" w:rsidRPr="00E8653E" w:rsidRDefault="00107764" w:rsidP="000A56FB">
            <w:pPr>
              <w:pStyle w:val="Tabletexte"/>
              <w:spacing w:before="40" w:after="40"/>
              <w:rPr>
                <w:sz w:val="18"/>
                <w:szCs w:val="18"/>
                <w:rtl/>
                <w:lang w:bidi="ar-EG"/>
              </w:rPr>
            </w:pPr>
            <w:r w:rsidRPr="00E8653E">
              <w:rPr>
                <w:sz w:val="18"/>
                <w:szCs w:val="18"/>
                <w:rtl/>
              </w:rPr>
              <w:t xml:space="preserve">الهدف </w:t>
            </w:r>
            <w:r w:rsidRPr="00E8653E">
              <w:rPr>
                <w:sz w:val="18"/>
                <w:szCs w:val="18"/>
              </w:rPr>
              <w:t>1</w:t>
            </w:r>
            <w:r w:rsidRPr="00E8653E">
              <w:rPr>
                <w:sz w:val="18"/>
                <w:szCs w:val="18"/>
                <w:rtl/>
                <w:lang w:bidi="ar-EG"/>
              </w:rPr>
              <w:t>*</w:t>
            </w:r>
          </w:p>
        </w:tc>
        <w:tc>
          <w:tcPr>
            <w:tcW w:w="1203" w:type="dxa"/>
            <w:tcBorders>
              <w:bottom w:val="nil"/>
            </w:tcBorders>
          </w:tcPr>
          <w:p w14:paraId="6F635319" w14:textId="390EA060" w:rsidR="00107764" w:rsidRPr="00E8653E" w:rsidRDefault="00107764" w:rsidP="000A56FB">
            <w:pPr>
              <w:pStyle w:val="Tabletexte"/>
              <w:spacing w:before="40" w:after="40"/>
              <w:rPr>
                <w:sz w:val="18"/>
                <w:szCs w:val="18"/>
              </w:rPr>
            </w:pPr>
            <w:r w:rsidRPr="00E8653E">
              <w:rPr>
                <w:sz w:val="18"/>
                <w:szCs w:val="18"/>
              </w:rPr>
              <w:t>972</w:t>
            </w:r>
          </w:p>
        </w:tc>
        <w:tc>
          <w:tcPr>
            <w:tcW w:w="1203" w:type="dxa"/>
            <w:tcBorders>
              <w:bottom w:val="nil"/>
            </w:tcBorders>
          </w:tcPr>
          <w:p w14:paraId="5077DFFD" w14:textId="2533512D" w:rsidR="00107764" w:rsidRPr="00E8653E" w:rsidRDefault="00107764" w:rsidP="000A56FB">
            <w:pPr>
              <w:pStyle w:val="Tabletexte"/>
              <w:spacing w:before="40" w:after="40"/>
              <w:rPr>
                <w:sz w:val="18"/>
                <w:szCs w:val="18"/>
                <w:rtl/>
              </w:rPr>
            </w:pPr>
            <w:r w:rsidRPr="00E8653E">
              <w:rPr>
                <w:sz w:val="18"/>
                <w:szCs w:val="18"/>
              </w:rPr>
              <w:t>1</w:t>
            </w:r>
          </w:p>
        </w:tc>
        <w:tc>
          <w:tcPr>
            <w:tcW w:w="1204" w:type="dxa"/>
            <w:tcBorders>
              <w:bottom w:val="nil"/>
            </w:tcBorders>
          </w:tcPr>
          <w:p w14:paraId="21D8DB22" w14:textId="31E15B86" w:rsidR="00107764" w:rsidRPr="00E8653E" w:rsidRDefault="00107764" w:rsidP="000A56FB">
            <w:pPr>
              <w:pStyle w:val="Tabletexte"/>
              <w:spacing w:before="40" w:after="40"/>
              <w:rPr>
                <w:sz w:val="18"/>
                <w:szCs w:val="18"/>
                <w:rtl/>
              </w:rPr>
            </w:pPr>
            <w:r w:rsidRPr="00E8653E">
              <w:rPr>
                <w:sz w:val="18"/>
                <w:szCs w:val="18"/>
              </w:rPr>
              <w:t>1</w:t>
            </w:r>
          </w:p>
        </w:tc>
        <w:tc>
          <w:tcPr>
            <w:tcW w:w="1204" w:type="dxa"/>
            <w:tcBorders>
              <w:bottom w:val="nil"/>
            </w:tcBorders>
          </w:tcPr>
          <w:p w14:paraId="175B623F" w14:textId="2CDC7270" w:rsidR="00107764" w:rsidRPr="00E8653E" w:rsidRDefault="00107764" w:rsidP="000A56FB">
            <w:pPr>
              <w:pStyle w:val="Tabletexte"/>
              <w:spacing w:before="40" w:after="40"/>
              <w:rPr>
                <w:sz w:val="18"/>
                <w:szCs w:val="18"/>
                <w:rtl/>
              </w:rPr>
            </w:pPr>
            <w:r w:rsidRPr="00E8653E">
              <w:rPr>
                <w:sz w:val="18"/>
                <w:szCs w:val="18"/>
              </w:rPr>
              <w:t>1</w:t>
            </w:r>
          </w:p>
        </w:tc>
        <w:tc>
          <w:tcPr>
            <w:tcW w:w="1204" w:type="dxa"/>
            <w:tcBorders>
              <w:bottom w:val="nil"/>
            </w:tcBorders>
          </w:tcPr>
          <w:p w14:paraId="27D4DBE3" w14:textId="201F0004" w:rsidR="00107764" w:rsidRPr="00E8653E" w:rsidRDefault="00107764" w:rsidP="000A56FB">
            <w:pPr>
              <w:pStyle w:val="Tabletexte"/>
              <w:spacing w:before="40" w:after="40"/>
              <w:rPr>
                <w:sz w:val="18"/>
                <w:szCs w:val="18"/>
                <w:rtl/>
              </w:rPr>
            </w:pPr>
            <w:r w:rsidRPr="00E8653E">
              <w:rPr>
                <w:sz w:val="18"/>
                <w:szCs w:val="18"/>
              </w:rPr>
              <w:t>1</w:t>
            </w:r>
          </w:p>
        </w:tc>
        <w:tc>
          <w:tcPr>
            <w:tcW w:w="1204" w:type="dxa"/>
            <w:tcBorders>
              <w:bottom w:val="nil"/>
            </w:tcBorders>
          </w:tcPr>
          <w:p w14:paraId="2C045481" w14:textId="60505E50" w:rsidR="00107764" w:rsidRPr="00E8653E" w:rsidRDefault="00107764" w:rsidP="000A56FB">
            <w:pPr>
              <w:pStyle w:val="Tabletexte"/>
              <w:spacing w:before="40" w:after="40"/>
              <w:rPr>
                <w:sz w:val="18"/>
                <w:szCs w:val="18"/>
                <w:rtl/>
              </w:rPr>
            </w:pPr>
            <w:r w:rsidRPr="00E8653E">
              <w:rPr>
                <w:sz w:val="18"/>
                <w:szCs w:val="18"/>
              </w:rPr>
              <w:t>2</w:t>
            </w:r>
          </w:p>
        </w:tc>
        <w:tc>
          <w:tcPr>
            <w:tcW w:w="1204" w:type="dxa"/>
            <w:tcBorders>
              <w:bottom w:val="nil"/>
            </w:tcBorders>
          </w:tcPr>
          <w:p w14:paraId="3D2AA5D1" w14:textId="063EFA22" w:rsidR="00107764" w:rsidRPr="00E8653E" w:rsidRDefault="00107764" w:rsidP="000A56FB">
            <w:pPr>
              <w:pStyle w:val="Tabletexte"/>
              <w:spacing w:before="40" w:after="40"/>
              <w:rPr>
                <w:sz w:val="18"/>
                <w:szCs w:val="18"/>
                <w:rtl/>
              </w:rPr>
            </w:pPr>
            <w:r w:rsidRPr="00E8653E">
              <w:rPr>
                <w:sz w:val="18"/>
                <w:szCs w:val="18"/>
              </w:rPr>
              <w:t>1</w:t>
            </w:r>
          </w:p>
        </w:tc>
      </w:tr>
      <w:tr w:rsidR="002145D0" w:rsidRPr="00E8653E" w14:paraId="7D4D2C61" w14:textId="77777777" w:rsidTr="002145D0">
        <w:trPr>
          <w:trHeight w:val="363"/>
        </w:trPr>
        <w:tc>
          <w:tcPr>
            <w:tcW w:w="1203" w:type="dxa"/>
            <w:tcBorders>
              <w:top w:val="nil"/>
              <w:bottom w:val="nil"/>
            </w:tcBorders>
          </w:tcPr>
          <w:p w14:paraId="043C4E92" w14:textId="1B458A8E" w:rsidR="002145D0" w:rsidRPr="00E8653E" w:rsidRDefault="002145D0" w:rsidP="000A56FB">
            <w:pPr>
              <w:pStyle w:val="Tabletexte"/>
              <w:spacing w:before="40" w:after="40"/>
              <w:rPr>
                <w:sz w:val="18"/>
                <w:szCs w:val="18"/>
                <w:rtl/>
                <w:lang w:bidi="ar-EG"/>
              </w:rPr>
            </w:pPr>
            <w:r w:rsidRPr="00E8653E">
              <w:rPr>
                <w:sz w:val="18"/>
                <w:szCs w:val="18"/>
                <w:rtl/>
                <w:lang w:bidi="ar-EG"/>
              </w:rPr>
              <w:t xml:space="preserve">الهدف </w:t>
            </w:r>
            <w:r w:rsidRPr="00E8653E">
              <w:rPr>
                <w:sz w:val="18"/>
                <w:szCs w:val="18"/>
                <w:lang w:bidi="ar-EG"/>
              </w:rPr>
              <w:t>2</w:t>
            </w:r>
          </w:p>
        </w:tc>
        <w:tc>
          <w:tcPr>
            <w:tcW w:w="1203" w:type="dxa"/>
            <w:tcBorders>
              <w:top w:val="nil"/>
              <w:bottom w:val="nil"/>
            </w:tcBorders>
          </w:tcPr>
          <w:p w14:paraId="189ED6E3" w14:textId="36A6FE5F" w:rsidR="002145D0" w:rsidRPr="00E8653E" w:rsidRDefault="002145D0" w:rsidP="000A56FB">
            <w:pPr>
              <w:pStyle w:val="Tabletexte"/>
              <w:spacing w:before="40" w:after="40"/>
              <w:rPr>
                <w:sz w:val="18"/>
                <w:szCs w:val="18"/>
              </w:rPr>
            </w:pPr>
            <w:r w:rsidRPr="00E8653E">
              <w:rPr>
                <w:sz w:val="18"/>
                <w:szCs w:val="18"/>
              </w:rPr>
              <w:t>879</w:t>
            </w:r>
          </w:p>
        </w:tc>
        <w:tc>
          <w:tcPr>
            <w:tcW w:w="1203" w:type="dxa"/>
            <w:tcBorders>
              <w:top w:val="nil"/>
              <w:bottom w:val="nil"/>
            </w:tcBorders>
          </w:tcPr>
          <w:p w14:paraId="20A67D83" w14:textId="0589D150" w:rsidR="002145D0" w:rsidRPr="00E8653E" w:rsidRDefault="002145D0" w:rsidP="000A56FB">
            <w:pPr>
              <w:pStyle w:val="Tabletexte"/>
              <w:spacing w:before="40" w:after="40"/>
              <w:rPr>
                <w:sz w:val="18"/>
                <w:szCs w:val="18"/>
              </w:rPr>
            </w:pPr>
            <w:r w:rsidRPr="00E8653E">
              <w:rPr>
                <w:sz w:val="18"/>
                <w:szCs w:val="18"/>
              </w:rPr>
              <w:t>9</w:t>
            </w:r>
          </w:p>
        </w:tc>
        <w:tc>
          <w:tcPr>
            <w:tcW w:w="1204" w:type="dxa"/>
            <w:tcBorders>
              <w:top w:val="nil"/>
              <w:bottom w:val="nil"/>
            </w:tcBorders>
          </w:tcPr>
          <w:p w14:paraId="2E29C32A" w14:textId="132FAE66" w:rsidR="002145D0" w:rsidRPr="00E8653E" w:rsidRDefault="002145D0" w:rsidP="000A56FB">
            <w:pPr>
              <w:pStyle w:val="Tabletexte"/>
              <w:spacing w:before="40" w:after="40"/>
              <w:rPr>
                <w:sz w:val="18"/>
                <w:szCs w:val="18"/>
              </w:rPr>
            </w:pPr>
            <w:r w:rsidRPr="00E8653E">
              <w:rPr>
                <w:sz w:val="18"/>
                <w:szCs w:val="18"/>
              </w:rPr>
              <w:t>7</w:t>
            </w:r>
          </w:p>
        </w:tc>
        <w:tc>
          <w:tcPr>
            <w:tcW w:w="1204" w:type="dxa"/>
            <w:tcBorders>
              <w:top w:val="nil"/>
              <w:bottom w:val="nil"/>
            </w:tcBorders>
          </w:tcPr>
          <w:p w14:paraId="1330DB0E" w14:textId="27424BB5" w:rsidR="002145D0" w:rsidRPr="00E8653E" w:rsidRDefault="002145D0" w:rsidP="000A56FB">
            <w:pPr>
              <w:pStyle w:val="Tabletexte"/>
              <w:spacing w:before="40" w:after="40"/>
              <w:rPr>
                <w:sz w:val="18"/>
                <w:szCs w:val="18"/>
              </w:rPr>
            </w:pPr>
            <w:r w:rsidRPr="00E8653E">
              <w:rPr>
                <w:sz w:val="18"/>
                <w:szCs w:val="18"/>
              </w:rPr>
              <w:t>6</w:t>
            </w:r>
          </w:p>
        </w:tc>
        <w:tc>
          <w:tcPr>
            <w:tcW w:w="1204" w:type="dxa"/>
            <w:tcBorders>
              <w:top w:val="nil"/>
              <w:bottom w:val="nil"/>
            </w:tcBorders>
          </w:tcPr>
          <w:p w14:paraId="545075C9" w14:textId="355F31A0" w:rsidR="002145D0" w:rsidRPr="00E8653E" w:rsidRDefault="002145D0" w:rsidP="000A56FB">
            <w:pPr>
              <w:pStyle w:val="Tabletexte"/>
              <w:spacing w:before="40" w:after="40"/>
              <w:rPr>
                <w:sz w:val="18"/>
                <w:szCs w:val="18"/>
              </w:rPr>
            </w:pPr>
            <w:r w:rsidRPr="00E8653E">
              <w:rPr>
                <w:sz w:val="18"/>
                <w:szCs w:val="18"/>
              </w:rPr>
              <w:t>5</w:t>
            </w:r>
          </w:p>
        </w:tc>
        <w:tc>
          <w:tcPr>
            <w:tcW w:w="1204" w:type="dxa"/>
            <w:tcBorders>
              <w:top w:val="nil"/>
              <w:bottom w:val="nil"/>
            </w:tcBorders>
          </w:tcPr>
          <w:p w14:paraId="2DC387B9" w14:textId="1FFF9CEC" w:rsidR="002145D0" w:rsidRPr="00E8653E" w:rsidRDefault="002145D0" w:rsidP="000A56FB">
            <w:pPr>
              <w:pStyle w:val="Tabletexte"/>
              <w:spacing w:before="40" w:after="40"/>
              <w:rPr>
                <w:sz w:val="18"/>
                <w:szCs w:val="18"/>
              </w:rPr>
            </w:pPr>
            <w:r w:rsidRPr="00E8653E">
              <w:rPr>
                <w:sz w:val="18"/>
                <w:szCs w:val="18"/>
              </w:rPr>
              <w:t>8</w:t>
            </w:r>
          </w:p>
        </w:tc>
        <w:tc>
          <w:tcPr>
            <w:tcW w:w="1204" w:type="dxa"/>
            <w:tcBorders>
              <w:top w:val="nil"/>
              <w:bottom w:val="nil"/>
            </w:tcBorders>
          </w:tcPr>
          <w:p w14:paraId="413A86AB" w14:textId="2C33BC63" w:rsidR="002145D0" w:rsidRPr="00E8653E" w:rsidRDefault="002145D0" w:rsidP="000A56FB">
            <w:pPr>
              <w:pStyle w:val="Tabletexte"/>
              <w:spacing w:before="40" w:after="40"/>
              <w:rPr>
                <w:sz w:val="18"/>
                <w:szCs w:val="18"/>
              </w:rPr>
            </w:pPr>
            <w:r w:rsidRPr="00E8653E">
              <w:rPr>
                <w:sz w:val="18"/>
                <w:szCs w:val="18"/>
              </w:rPr>
              <w:t>5</w:t>
            </w:r>
          </w:p>
        </w:tc>
      </w:tr>
      <w:tr w:rsidR="002145D0" w:rsidRPr="00E8653E" w14:paraId="52AA0F8A" w14:textId="77777777" w:rsidTr="002145D0">
        <w:trPr>
          <w:trHeight w:val="411"/>
        </w:trPr>
        <w:tc>
          <w:tcPr>
            <w:tcW w:w="1203" w:type="dxa"/>
            <w:tcBorders>
              <w:top w:val="nil"/>
              <w:bottom w:val="nil"/>
            </w:tcBorders>
          </w:tcPr>
          <w:p w14:paraId="37E7552C" w14:textId="55E1296D" w:rsidR="002145D0" w:rsidRPr="00E8653E" w:rsidRDefault="002145D0" w:rsidP="000A56FB">
            <w:pPr>
              <w:pStyle w:val="Tabletexte"/>
              <w:spacing w:before="40" w:after="40"/>
              <w:rPr>
                <w:sz w:val="18"/>
                <w:szCs w:val="18"/>
                <w:rtl/>
              </w:rPr>
            </w:pPr>
            <w:r w:rsidRPr="00E8653E">
              <w:rPr>
                <w:sz w:val="18"/>
                <w:szCs w:val="18"/>
                <w:rtl/>
                <w:lang w:bidi="ar-EG"/>
              </w:rPr>
              <w:t xml:space="preserve">الهدف </w:t>
            </w:r>
            <w:r w:rsidRPr="00E8653E">
              <w:rPr>
                <w:sz w:val="18"/>
                <w:szCs w:val="18"/>
                <w:lang w:bidi="ar-EG"/>
              </w:rPr>
              <w:t>3</w:t>
            </w:r>
          </w:p>
        </w:tc>
        <w:tc>
          <w:tcPr>
            <w:tcW w:w="1203" w:type="dxa"/>
            <w:tcBorders>
              <w:top w:val="nil"/>
              <w:bottom w:val="nil"/>
            </w:tcBorders>
          </w:tcPr>
          <w:p w14:paraId="40BB48A2" w14:textId="0565CC41" w:rsidR="002145D0" w:rsidRPr="00E8653E" w:rsidRDefault="002145D0" w:rsidP="000A56FB">
            <w:pPr>
              <w:pStyle w:val="Tabletexte"/>
              <w:spacing w:before="40" w:after="40"/>
              <w:rPr>
                <w:sz w:val="18"/>
                <w:szCs w:val="18"/>
              </w:rPr>
            </w:pPr>
            <w:r w:rsidRPr="00E8653E">
              <w:rPr>
                <w:sz w:val="18"/>
                <w:szCs w:val="18"/>
              </w:rPr>
              <w:t>1 368</w:t>
            </w:r>
          </w:p>
        </w:tc>
        <w:tc>
          <w:tcPr>
            <w:tcW w:w="1203" w:type="dxa"/>
            <w:tcBorders>
              <w:top w:val="nil"/>
              <w:bottom w:val="nil"/>
            </w:tcBorders>
          </w:tcPr>
          <w:p w14:paraId="6BDE4BE9" w14:textId="57CEF3B6" w:rsidR="002145D0" w:rsidRPr="00E8653E" w:rsidRDefault="002145D0" w:rsidP="000A56FB">
            <w:pPr>
              <w:pStyle w:val="Tabletexte"/>
              <w:spacing w:before="40" w:after="40"/>
              <w:rPr>
                <w:sz w:val="18"/>
                <w:szCs w:val="18"/>
              </w:rPr>
            </w:pPr>
            <w:r w:rsidRPr="00E8653E">
              <w:rPr>
                <w:sz w:val="18"/>
                <w:szCs w:val="18"/>
              </w:rPr>
              <w:t>2</w:t>
            </w:r>
          </w:p>
        </w:tc>
        <w:tc>
          <w:tcPr>
            <w:tcW w:w="1204" w:type="dxa"/>
            <w:tcBorders>
              <w:top w:val="nil"/>
              <w:bottom w:val="nil"/>
            </w:tcBorders>
          </w:tcPr>
          <w:p w14:paraId="4A131A69" w14:textId="39686D7A" w:rsidR="002145D0" w:rsidRPr="00E8653E" w:rsidRDefault="002145D0" w:rsidP="000A56FB">
            <w:pPr>
              <w:pStyle w:val="Tabletexte"/>
              <w:spacing w:before="40" w:after="40"/>
              <w:rPr>
                <w:sz w:val="18"/>
                <w:szCs w:val="18"/>
              </w:rPr>
            </w:pPr>
            <w:r w:rsidRPr="00E8653E">
              <w:rPr>
                <w:sz w:val="18"/>
                <w:szCs w:val="18"/>
              </w:rPr>
              <w:t>3</w:t>
            </w:r>
          </w:p>
        </w:tc>
        <w:tc>
          <w:tcPr>
            <w:tcW w:w="1204" w:type="dxa"/>
            <w:tcBorders>
              <w:top w:val="nil"/>
              <w:bottom w:val="nil"/>
            </w:tcBorders>
          </w:tcPr>
          <w:p w14:paraId="59E91638" w14:textId="763CAB6C" w:rsidR="002145D0" w:rsidRPr="00E8653E" w:rsidRDefault="002145D0" w:rsidP="000A56FB">
            <w:pPr>
              <w:pStyle w:val="Tabletexte"/>
              <w:spacing w:before="40" w:after="40"/>
              <w:rPr>
                <w:sz w:val="18"/>
                <w:szCs w:val="18"/>
              </w:rPr>
            </w:pPr>
            <w:r w:rsidRPr="00E8653E">
              <w:rPr>
                <w:sz w:val="18"/>
                <w:szCs w:val="18"/>
              </w:rPr>
              <w:t>5</w:t>
            </w:r>
          </w:p>
        </w:tc>
        <w:tc>
          <w:tcPr>
            <w:tcW w:w="1204" w:type="dxa"/>
            <w:tcBorders>
              <w:top w:val="nil"/>
              <w:bottom w:val="nil"/>
            </w:tcBorders>
          </w:tcPr>
          <w:p w14:paraId="5E0647A5" w14:textId="108940BA" w:rsidR="002145D0" w:rsidRPr="00E8653E" w:rsidRDefault="002145D0" w:rsidP="000A56FB">
            <w:pPr>
              <w:pStyle w:val="Tabletexte"/>
              <w:spacing w:before="40" w:after="40"/>
              <w:rPr>
                <w:sz w:val="18"/>
                <w:szCs w:val="18"/>
              </w:rPr>
            </w:pPr>
            <w:r w:rsidRPr="00E8653E">
              <w:rPr>
                <w:sz w:val="18"/>
                <w:szCs w:val="18"/>
              </w:rPr>
              <w:t>4</w:t>
            </w:r>
          </w:p>
        </w:tc>
        <w:tc>
          <w:tcPr>
            <w:tcW w:w="1204" w:type="dxa"/>
            <w:tcBorders>
              <w:top w:val="nil"/>
              <w:bottom w:val="nil"/>
            </w:tcBorders>
          </w:tcPr>
          <w:p w14:paraId="31F774F6" w14:textId="7C84E806" w:rsidR="002145D0" w:rsidRPr="00E8653E" w:rsidRDefault="002145D0" w:rsidP="000A56FB">
            <w:pPr>
              <w:pStyle w:val="Tabletexte"/>
              <w:spacing w:before="40" w:after="40"/>
              <w:rPr>
                <w:sz w:val="18"/>
                <w:szCs w:val="18"/>
              </w:rPr>
            </w:pPr>
            <w:r w:rsidRPr="00E8653E">
              <w:rPr>
                <w:sz w:val="18"/>
                <w:szCs w:val="18"/>
              </w:rPr>
              <w:t>2</w:t>
            </w:r>
          </w:p>
        </w:tc>
        <w:tc>
          <w:tcPr>
            <w:tcW w:w="1204" w:type="dxa"/>
            <w:tcBorders>
              <w:top w:val="nil"/>
              <w:bottom w:val="nil"/>
            </w:tcBorders>
          </w:tcPr>
          <w:p w14:paraId="7D4ECA0B" w14:textId="11C620D3" w:rsidR="002145D0" w:rsidRPr="00E8653E" w:rsidRDefault="002145D0" w:rsidP="000A56FB">
            <w:pPr>
              <w:pStyle w:val="Tabletexte"/>
              <w:spacing w:before="40" w:after="40"/>
              <w:rPr>
                <w:sz w:val="18"/>
                <w:szCs w:val="18"/>
              </w:rPr>
            </w:pPr>
            <w:r w:rsidRPr="00E8653E">
              <w:rPr>
                <w:sz w:val="18"/>
                <w:szCs w:val="18"/>
              </w:rPr>
              <w:t>1</w:t>
            </w:r>
          </w:p>
        </w:tc>
      </w:tr>
      <w:tr w:rsidR="002145D0" w:rsidRPr="00E8653E" w14:paraId="5466234E" w14:textId="77777777" w:rsidTr="00DC00D0">
        <w:trPr>
          <w:trHeight w:val="417"/>
        </w:trPr>
        <w:tc>
          <w:tcPr>
            <w:tcW w:w="1203" w:type="dxa"/>
            <w:tcBorders>
              <w:top w:val="nil"/>
              <w:bottom w:val="single" w:sz="4" w:space="0" w:color="auto"/>
            </w:tcBorders>
          </w:tcPr>
          <w:p w14:paraId="31411A2C" w14:textId="1BA81BF7" w:rsidR="002145D0" w:rsidRPr="00E8653E" w:rsidRDefault="002145D0" w:rsidP="000A56FB">
            <w:pPr>
              <w:pStyle w:val="Tabletexte"/>
              <w:spacing w:before="40" w:after="40"/>
              <w:rPr>
                <w:sz w:val="18"/>
                <w:szCs w:val="18"/>
                <w:rtl/>
              </w:rPr>
            </w:pPr>
            <w:r w:rsidRPr="00E8653E">
              <w:rPr>
                <w:sz w:val="18"/>
                <w:szCs w:val="18"/>
                <w:rtl/>
                <w:lang w:bidi="ar-EG"/>
              </w:rPr>
              <w:t>الهدف 4</w:t>
            </w:r>
          </w:p>
        </w:tc>
        <w:tc>
          <w:tcPr>
            <w:tcW w:w="1203" w:type="dxa"/>
            <w:tcBorders>
              <w:top w:val="nil"/>
              <w:bottom w:val="single" w:sz="4" w:space="0" w:color="auto"/>
            </w:tcBorders>
          </w:tcPr>
          <w:p w14:paraId="2995C75A" w14:textId="1F93A821" w:rsidR="002145D0" w:rsidRPr="00E8653E" w:rsidRDefault="002145D0" w:rsidP="000A56FB">
            <w:pPr>
              <w:pStyle w:val="Tabletexte"/>
              <w:spacing w:before="40" w:after="40"/>
              <w:rPr>
                <w:sz w:val="18"/>
                <w:szCs w:val="18"/>
              </w:rPr>
            </w:pPr>
            <w:r w:rsidRPr="00E8653E">
              <w:rPr>
                <w:sz w:val="18"/>
                <w:szCs w:val="18"/>
              </w:rPr>
              <w:t>901</w:t>
            </w:r>
          </w:p>
        </w:tc>
        <w:tc>
          <w:tcPr>
            <w:tcW w:w="1203" w:type="dxa"/>
            <w:tcBorders>
              <w:top w:val="nil"/>
              <w:bottom w:val="single" w:sz="4" w:space="0" w:color="auto"/>
            </w:tcBorders>
          </w:tcPr>
          <w:p w14:paraId="720D9877" w14:textId="78E5EED4" w:rsidR="002145D0" w:rsidRPr="00E8653E" w:rsidRDefault="002145D0" w:rsidP="000A56FB">
            <w:pPr>
              <w:pStyle w:val="Tabletexte"/>
              <w:spacing w:before="40" w:after="40"/>
              <w:rPr>
                <w:sz w:val="18"/>
                <w:szCs w:val="18"/>
                <w:rtl/>
                <w:lang w:bidi="ar-EG"/>
              </w:rPr>
            </w:pPr>
            <w:r w:rsidRPr="00E8653E">
              <w:rPr>
                <w:sz w:val="18"/>
                <w:szCs w:val="18"/>
              </w:rPr>
              <w:t>7</w:t>
            </w:r>
          </w:p>
        </w:tc>
        <w:tc>
          <w:tcPr>
            <w:tcW w:w="1204" w:type="dxa"/>
            <w:tcBorders>
              <w:top w:val="nil"/>
              <w:bottom w:val="single" w:sz="4" w:space="0" w:color="auto"/>
            </w:tcBorders>
          </w:tcPr>
          <w:p w14:paraId="0E9F0618" w14:textId="5DA6D2BE" w:rsidR="002145D0" w:rsidRPr="00E8653E" w:rsidRDefault="002145D0" w:rsidP="000A56FB">
            <w:pPr>
              <w:pStyle w:val="Tabletexte"/>
              <w:spacing w:before="40" w:after="40"/>
              <w:rPr>
                <w:sz w:val="18"/>
                <w:szCs w:val="18"/>
              </w:rPr>
            </w:pPr>
            <w:r w:rsidRPr="00E8653E">
              <w:rPr>
                <w:sz w:val="18"/>
                <w:szCs w:val="18"/>
              </w:rPr>
              <w:t>10</w:t>
            </w:r>
          </w:p>
        </w:tc>
        <w:tc>
          <w:tcPr>
            <w:tcW w:w="1204" w:type="dxa"/>
            <w:tcBorders>
              <w:top w:val="nil"/>
              <w:bottom w:val="single" w:sz="4" w:space="0" w:color="auto"/>
            </w:tcBorders>
          </w:tcPr>
          <w:p w14:paraId="05B979C0" w14:textId="63EFB510" w:rsidR="002145D0" w:rsidRPr="00E8653E" w:rsidRDefault="002145D0" w:rsidP="000A56FB">
            <w:pPr>
              <w:pStyle w:val="Tabletexte"/>
              <w:spacing w:before="40" w:after="40"/>
              <w:rPr>
                <w:sz w:val="18"/>
                <w:szCs w:val="18"/>
              </w:rPr>
            </w:pPr>
            <w:r w:rsidRPr="00E8653E">
              <w:rPr>
                <w:sz w:val="18"/>
                <w:szCs w:val="18"/>
              </w:rPr>
              <w:t>9</w:t>
            </w:r>
          </w:p>
        </w:tc>
        <w:tc>
          <w:tcPr>
            <w:tcW w:w="1204" w:type="dxa"/>
            <w:tcBorders>
              <w:top w:val="nil"/>
              <w:bottom w:val="single" w:sz="4" w:space="0" w:color="auto"/>
            </w:tcBorders>
          </w:tcPr>
          <w:p w14:paraId="3780629D" w14:textId="7E02122E" w:rsidR="002145D0" w:rsidRPr="00E8653E" w:rsidRDefault="002145D0" w:rsidP="000A56FB">
            <w:pPr>
              <w:pStyle w:val="Tabletexte"/>
              <w:spacing w:before="40" w:after="40"/>
              <w:rPr>
                <w:sz w:val="18"/>
                <w:szCs w:val="18"/>
              </w:rPr>
            </w:pPr>
            <w:r w:rsidRPr="00E8653E">
              <w:rPr>
                <w:sz w:val="18"/>
                <w:szCs w:val="18"/>
              </w:rPr>
              <w:t>8</w:t>
            </w:r>
          </w:p>
        </w:tc>
        <w:tc>
          <w:tcPr>
            <w:tcW w:w="1204" w:type="dxa"/>
            <w:tcBorders>
              <w:top w:val="nil"/>
              <w:bottom w:val="single" w:sz="4" w:space="0" w:color="auto"/>
            </w:tcBorders>
          </w:tcPr>
          <w:p w14:paraId="5353ECC9" w14:textId="30807A14" w:rsidR="002145D0" w:rsidRPr="00E8653E" w:rsidRDefault="002145D0" w:rsidP="000A56FB">
            <w:pPr>
              <w:pStyle w:val="Tabletexte"/>
              <w:spacing w:before="40" w:after="40"/>
              <w:rPr>
                <w:sz w:val="18"/>
                <w:szCs w:val="18"/>
              </w:rPr>
            </w:pPr>
            <w:r w:rsidRPr="00E8653E">
              <w:rPr>
                <w:sz w:val="18"/>
                <w:szCs w:val="18"/>
              </w:rPr>
              <w:t>6</w:t>
            </w:r>
          </w:p>
        </w:tc>
        <w:tc>
          <w:tcPr>
            <w:tcW w:w="1204" w:type="dxa"/>
            <w:tcBorders>
              <w:top w:val="nil"/>
              <w:bottom w:val="single" w:sz="4" w:space="0" w:color="auto"/>
            </w:tcBorders>
          </w:tcPr>
          <w:p w14:paraId="55AFCD5C" w14:textId="4BD82569" w:rsidR="002145D0" w:rsidRPr="00E8653E" w:rsidRDefault="002145D0" w:rsidP="000A56FB">
            <w:pPr>
              <w:pStyle w:val="Tabletexte"/>
              <w:spacing w:before="40" w:after="40"/>
              <w:rPr>
                <w:sz w:val="18"/>
                <w:szCs w:val="18"/>
              </w:rPr>
            </w:pPr>
            <w:r w:rsidRPr="00E8653E">
              <w:rPr>
                <w:sz w:val="18"/>
                <w:szCs w:val="18"/>
              </w:rPr>
              <w:t>6</w:t>
            </w:r>
          </w:p>
        </w:tc>
      </w:tr>
      <w:tr w:rsidR="00107764" w:rsidRPr="00E8653E" w14:paraId="11382135" w14:textId="77777777" w:rsidTr="00DC00D0">
        <w:tc>
          <w:tcPr>
            <w:tcW w:w="1203" w:type="dxa"/>
            <w:tcBorders>
              <w:bottom w:val="single" w:sz="4" w:space="0" w:color="auto"/>
            </w:tcBorders>
            <w:shd w:val="clear" w:color="auto" w:fill="9CC2E5" w:themeFill="accent1" w:themeFillTint="99"/>
          </w:tcPr>
          <w:p w14:paraId="6CA26B4D" w14:textId="615E13B2" w:rsidR="00107764" w:rsidRPr="00E8653E" w:rsidRDefault="00107764" w:rsidP="000A56FB">
            <w:pPr>
              <w:tabs>
                <w:tab w:val="clear" w:pos="794"/>
                <w:tab w:val="left" w:pos="1134"/>
              </w:tabs>
              <w:spacing w:before="40" w:after="40" w:line="260" w:lineRule="exact"/>
              <w:ind w:left="-57"/>
              <w:jc w:val="left"/>
              <w:rPr>
                <w:rFonts w:eastAsia="Times New Roman"/>
                <w:b/>
                <w:bCs/>
                <w:sz w:val="18"/>
                <w:szCs w:val="18"/>
                <w:rtl/>
                <w:lang w:val="fr-FR" w:eastAsia="en-US" w:bidi="ar-EG"/>
              </w:rPr>
            </w:pPr>
            <w:r w:rsidRPr="00E8653E">
              <w:rPr>
                <w:rFonts w:eastAsia="Times New Roman"/>
                <w:b/>
                <w:bCs/>
                <w:sz w:val="18"/>
                <w:szCs w:val="18"/>
                <w:rtl/>
                <w:lang w:val="fr-FR" w:eastAsia="en-US" w:bidi="ar-EG"/>
              </w:rPr>
              <w:t>المجموع</w:t>
            </w:r>
          </w:p>
        </w:tc>
        <w:tc>
          <w:tcPr>
            <w:tcW w:w="1203" w:type="dxa"/>
            <w:tcBorders>
              <w:bottom w:val="single" w:sz="4" w:space="0" w:color="auto"/>
            </w:tcBorders>
            <w:shd w:val="clear" w:color="auto" w:fill="9CC2E5" w:themeFill="accent1" w:themeFillTint="99"/>
          </w:tcPr>
          <w:p w14:paraId="2DFB4F8D" w14:textId="45B3ACE2" w:rsidR="00107764" w:rsidRPr="00E8653E" w:rsidRDefault="00107764" w:rsidP="000A56FB">
            <w:pPr>
              <w:tabs>
                <w:tab w:val="clear" w:pos="794"/>
                <w:tab w:val="left" w:pos="1134"/>
              </w:tabs>
              <w:spacing w:before="40" w:after="40" w:line="260" w:lineRule="exact"/>
              <w:ind w:left="-57"/>
              <w:jc w:val="left"/>
              <w:rPr>
                <w:rFonts w:eastAsia="Times New Roman"/>
                <w:b/>
                <w:bCs/>
                <w:sz w:val="18"/>
                <w:szCs w:val="18"/>
                <w:lang w:val="fr-FR" w:eastAsia="en-US" w:bidi="ar-EG"/>
              </w:rPr>
            </w:pPr>
            <w:r w:rsidRPr="00E8653E">
              <w:rPr>
                <w:rFonts w:eastAsia="Times New Roman"/>
                <w:b/>
                <w:bCs/>
                <w:sz w:val="18"/>
                <w:szCs w:val="18"/>
                <w:lang w:val="fr-FR" w:eastAsia="en-US" w:bidi="ar-EG"/>
              </w:rPr>
              <w:t>4 120</w:t>
            </w:r>
          </w:p>
        </w:tc>
        <w:tc>
          <w:tcPr>
            <w:tcW w:w="1203" w:type="dxa"/>
            <w:tcBorders>
              <w:bottom w:val="single" w:sz="4" w:space="0" w:color="auto"/>
            </w:tcBorders>
            <w:shd w:val="clear" w:color="auto" w:fill="9CC2E5" w:themeFill="accent1" w:themeFillTint="99"/>
          </w:tcPr>
          <w:p w14:paraId="1D27A154" w14:textId="1BA415C8" w:rsidR="00107764" w:rsidRPr="00E8653E" w:rsidRDefault="00107764" w:rsidP="000A56FB">
            <w:pPr>
              <w:tabs>
                <w:tab w:val="clear" w:pos="794"/>
                <w:tab w:val="left" w:pos="1134"/>
              </w:tabs>
              <w:spacing w:before="40" w:after="40" w:line="260" w:lineRule="exact"/>
              <w:ind w:left="-57"/>
              <w:jc w:val="left"/>
              <w:rPr>
                <w:rFonts w:eastAsia="Times New Roman"/>
                <w:b/>
                <w:bCs/>
                <w:sz w:val="18"/>
                <w:szCs w:val="18"/>
                <w:lang w:val="fr-FR" w:eastAsia="en-US" w:bidi="ar-EG"/>
              </w:rPr>
            </w:pPr>
            <w:r w:rsidRPr="00E8653E">
              <w:rPr>
                <w:rFonts w:eastAsia="Times New Roman"/>
                <w:b/>
                <w:bCs/>
                <w:sz w:val="18"/>
                <w:szCs w:val="18"/>
                <w:lang w:val="fr-FR" w:eastAsia="en-US" w:bidi="ar-EG"/>
              </w:rPr>
              <w:t>19</w:t>
            </w:r>
          </w:p>
        </w:tc>
        <w:tc>
          <w:tcPr>
            <w:tcW w:w="1204" w:type="dxa"/>
            <w:tcBorders>
              <w:bottom w:val="single" w:sz="4" w:space="0" w:color="auto"/>
            </w:tcBorders>
            <w:shd w:val="clear" w:color="auto" w:fill="9CC2E5" w:themeFill="accent1" w:themeFillTint="99"/>
          </w:tcPr>
          <w:p w14:paraId="1464C379" w14:textId="529515D5" w:rsidR="00107764" w:rsidRPr="00E8653E" w:rsidRDefault="00107764" w:rsidP="000A56FB">
            <w:pPr>
              <w:tabs>
                <w:tab w:val="clear" w:pos="794"/>
                <w:tab w:val="left" w:pos="1134"/>
              </w:tabs>
              <w:spacing w:before="40" w:after="40" w:line="260" w:lineRule="exact"/>
              <w:ind w:left="-57"/>
              <w:jc w:val="left"/>
              <w:rPr>
                <w:rFonts w:eastAsia="Times New Roman"/>
                <w:b/>
                <w:bCs/>
                <w:sz w:val="18"/>
                <w:szCs w:val="18"/>
                <w:lang w:val="fr-FR" w:eastAsia="en-US" w:bidi="ar-EG"/>
              </w:rPr>
            </w:pPr>
            <w:r w:rsidRPr="00E8653E">
              <w:rPr>
                <w:rFonts w:eastAsia="Times New Roman"/>
                <w:b/>
                <w:bCs/>
                <w:sz w:val="18"/>
                <w:szCs w:val="18"/>
                <w:lang w:val="fr-FR" w:eastAsia="en-US" w:bidi="ar-EG"/>
              </w:rPr>
              <w:t>21</w:t>
            </w:r>
          </w:p>
        </w:tc>
        <w:tc>
          <w:tcPr>
            <w:tcW w:w="1204" w:type="dxa"/>
            <w:tcBorders>
              <w:bottom w:val="single" w:sz="4" w:space="0" w:color="auto"/>
            </w:tcBorders>
            <w:shd w:val="clear" w:color="auto" w:fill="9CC2E5" w:themeFill="accent1" w:themeFillTint="99"/>
          </w:tcPr>
          <w:p w14:paraId="78ABB605" w14:textId="32534D69" w:rsidR="00107764" w:rsidRPr="00E8653E" w:rsidRDefault="00107764" w:rsidP="000A56FB">
            <w:pPr>
              <w:tabs>
                <w:tab w:val="clear" w:pos="794"/>
                <w:tab w:val="left" w:pos="1134"/>
              </w:tabs>
              <w:spacing w:before="40" w:after="40" w:line="260" w:lineRule="exact"/>
              <w:ind w:left="-57"/>
              <w:jc w:val="left"/>
              <w:rPr>
                <w:rFonts w:eastAsia="Times New Roman"/>
                <w:b/>
                <w:bCs/>
                <w:sz w:val="18"/>
                <w:szCs w:val="18"/>
                <w:lang w:val="fr-FR" w:eastAsia="en-US" w:bidi="ar-EG"/>
              </w:rPr>
            </w:pPr>
            <w:r w:rsidRPr="00E8653E">
              <w:rPr>
                <w:rFonts w:eastAsia="Times New Roman"/>
                <w:b/>
                <w:bCs/>
                <w:sz w:val="18"/>
                <w:szCs w:val="18"/>
                <w:lang w:val="fr-FR" w:eastAsia="en-US" w:bidi="ar-EG"/>
              </w:rPr>
              <w:t>21</w:t>
            </w:r>
          </w:p>
        </w:tc>
        <w:tc>
          <w:tcPr>
            <w:tcW w:w="1204" w:type="dxa"/>
            <w:tcBorders>
              <w:bottom w:val="single" w:sz="4" w:space="0" w:color="auto"/>
            </w:tcBorders>
            <w:shd w:val="clear" w:color="auto" w:fill="9CC2E5" w:themeFill="accent1" w:themeFillTint="99"/>
          </w:tcPr>
          <w:p w14:paraId="6E72DF71" w14:textId="294C4736" w:rsidR="00107764" w:rsidRPr="00E8653E" w:rsidRDefault="00107764" w:rsidP="000A56FB">
            <w:pPr>
              <w:tabs>
                <w:tab w:val="clear" w:pos="794"/>
                <w:tab w:val="left" w:pos="1134"/>
              </w:tabs>
              <w:spacing w:before="40" w:after="40" w:line="260" w:lineRule="exact"/>
              <w:ind w:left="-57"/>
              <w:jc w:val="left"/>
              <w:rPr>
                <w:rFonts w:eastAsia="Times New Roman"/>
                <w:b/>
                <w:bCs/>
                <w:sz w:val="18"/>
                <w:szCs w:val="18"/>
                <w:lang w:val="fr-FR" w:eastAsia="en-US" w:bidi="ar-EG"/>
              </w:rPr>
            </w:pPr>
            <w:r w:rsidRPr="00E8653E">
              <w:rPr>
                <w:rFonts w:eastAsia="Times New Roman"/>
                <w:b/>
                <w:bCs/>
                <w:sz w:val="18"/>
                <w:szCs w:val="18"/>
                <w:lang w:val="fr-FR" w:eastAsia="en-US" w:bidi="ar-EG"/>
              </w:rPr>
              <w:t>18</w:t>
            </w:r>
          </w:p>
        </w:tc>
        <w:tc>
          <w:tcPr>
            <w:tcW w:w="1204" w:type="dxa"/>
            <w:tcBorders>
              <w:bottom w:val="single" w:sz="4" w:space="0" w:color="auto"/>
            </w:tcBorders>
            <w:shd w:val="clear" w:color="auto" w:fill="9CC2E5" w:themeFill="accent1" w:themeFillTint="99"/>
          </w:tcPr>
          <w:p w14:paraId="47F2D52E" w14:textId="41D79CCF" w:rsidR="00107764" w:rsidRPr="00E8653E" w:rsidRDefault="00107764" w:rsidP="000A56FB">
            <w:pPr>
              <w:tabs>
                <w:tab w:val="clear" w:pos="794"/>
                <w:tab w:val="left" w:pos="1134"/>
              </w:tabs>
              <w:spacing w:before="40" w:after="40" w:line="260" w:lineRule="exact"/>
              <w:ind w:left="-57"/>
              <w:jc w:val="left"/>
              <w:rPr>
                <w:rFonts w:eastAsia="Times New Roman"/>
                <w:b/>
                <w:bCs/>
                <w:sz w:val="18"/>
                <w:szCs w:val="18"/>
                <w:lang w:val="fr-FR" w:eastAsia="en-US" w:bidi="ar-EG"/>
              </w:rPr>
            </w:pPr>
            <w:r w:rsidRPr="00E8653E">
              <w:rPr>
                <w:rFonts w:eastAsia="Times New Roman"/>
                <w:b/>
                <w:bCs/>
                <w:sz w:val="18"/>
                <w:szCs w:val="18"/>
                <w:lang w:val="fr-FR" w:eastAsia="en-US" w:bidi="ar-EG"/>
              </w:rPr>
              <w:t>18</w:t>
            </w:r>
          </w:p>
        </w:tc>
        <w:tc>
          <w:tcPr>
            <w:tcW w:w="1204" w:type="dxa"/>
            <w:tcBorders>
              <w:bottom w:val="single" w:sz="4" w:space="0" w:color="auto"/>
            </w:tcBorders>
            <w:shd w:val="clear" w:color="auto" w:fill="9CC2E5" w:themeFill="accent1" w:themeFillTint="99"/>
          </w:tcPr>
          <w:p w14:paraId="49E92B8A" w14:textId="40575E46" w:rsidR="00107764" w:rsidRPr="00E8653E" w:rsidRDefault="00107764" w:rsidP="000A56FB">
            <w:pPr>
              <w:tabs>
                <w:tab w:val="clear" w:pos="794"/>
                <w:tab w:val="left" w:pos="1134"/>
              </w:tabs>
              <w:spacing w:before="40" w:after="40" w:line="260" w:lineRule="exact"/>
              <w:ind w:left="-57"/>
              <w:jc w:val="left"/>
              <w:rPr>
                <w:rFonts w:eastAsia="Times New Roman"/>
                <w:b/>
                <w:bCs/>
                <w:sz w:val="18"/>
                <w:szCs w:val="18"/>
                <w:lang w:val="fr-FR" w:eastAsia="en-US" w:bidi="ar-EG"/>
              </w:rPr>
            </w:pPr>
            <w:r w:rsidRPr="00E8653E">
              <w:rPr>
                <w:rFonts w:eastAsia="Times New Roman"/>
                <w:b/>
                <w:bCs/>
                <w:sz w:val="18"/>
                <w:szCs w:val="18"/>
                <w:lang w:val="fr-FR" w:eastAsia="en-US" w:bidi="ar-EG"/>
              </w:rPr>
              <w:t>13</w:t>
            </w:r>
          </w:p>
        </w:tc>
      </w:tr>
      <w:tr w:rsidR="00DC00D0" w:rsidRPr="00E8653E" w14:paraId="28722C98" w14:textId="77777777" w:rsidTr="00DC00D0">
        <w:tc>
          <w:tcPr>
            <w:tcW w:w="9629" w:type="dxa"/>
            <w:gridSpan w:val="8"/>
            <w:tcBorders>
              <w:top w:val="single" w:sz="4" w:space="0" w:color="auto"/>
              <w:left w:val="nil"/>
              <w:bottom w:val="nil"/>
              <w:right w:val="nil"/>
            </w:tcBorders>
            <w:shd w:val="clear" w:color="auto" w:fill="FFFFFF" w:themeFill="background1"/>
          </w:tcPr>
          <w:p w14:paraId="708B3B63" w14:textId="4F5C3827" w:rsidR="00DC00D0" w:rsidRPr="00D14F1A" w:rsidRDefault="00DC00D0" w:rsidP="000A56FB">
            <w:pPr>
              <w:tabs>
                <w:tab w:val="clear" w:pos="794"/>
                <w:tab w:val="left" w:pos="1134"/>
              </w:tabs>
              <w:spacing w:before="40" w:after="40" w:line="260" w:lineRule="exact"/>
              <w:ind w:left="-57"/>
              <w:jc w:val="left"/>
              <w:rPr>
                <w:rFonts w:eastAsia="Times New Roman"/>
                <w:b/>
                <w:bCs/>
                <w:sz w:val="18"/>
                <w:szCs w:val="18"/>
                <w:lang w:eastAsia="en-US" w:bidi="ar-EG"/>
              </w:rPr>
            </w:pPr>
            <w:r w:rsidRPr="00DC00D0">
              <w:rPr>
                <w:sz w:val="18"/>
                <w:szCs w:val="18"/>
                <w:rtl/>
                <w:lang w:bidi="ar-EG"/>
              </w:rPr>
              <w:t xml:space="preserve">* </w:t>
            </w:r>
            <w:r w:rsidRPr="00DC00D0">
              <w:rPr>
                <w:sz w:val="18"/>
                <w:szCs w:val="18"/>
                <w:rtl/>
              </w:rPr>
              <w:t xml:space="preserve">لا يتضمن الهدف </w:t>
            </w:r>
            <w:r w:rsidRPr="00DC00D0">
              <w:rPr>
                <w:rFonts w:hint="cs"/>
                <w:sz w:val="18"/>
                <w:szCs w:val="18"/>
                <w:rtl/>
              </w:rPr>
              <w:t xml:space="preserve">1 </w:t>
            </w:r>
            <w:r w:rsidRPr="00DC00D0">
              <w:rPr>
                <w:rFonts w:hint="cs"/>
                <w:sz w:val="18"/>
                <w:szCs w:val="18"/>
                <w:rtl/>
                <w:lang w:bidi="ar-EG"/>
              </w:rPr>
              <w:t>الفريق</w:t>
            </w:r>
            <w:r w:rsidRPr="00DC00D0">
              <w:rPr>
                <w:sz w:val="18"/>
                <w:szCs w:val="18"/>
                <w:rtl/>
                <w:lang w:bidi="ar-EG"/>
              </w:rPr>
              <w:t xml:space="preserve"> الاستشاري لتنمية الاتصالات ولجان دراسات قطاع تنمية الاتصالات</w:t>
            </w:r>
            <w:r w:rsidRPr="00DC00D0">
              <w:rPr>
                <w:rFonts w:hint="cs"/>
                <w:sz w:val="18"/>
                <w:szCs w:val="18"/>
                <w:rtl/>
                <w:lang w:bidi="ar-EG"/>
              </w:rPr>
              <w:t>.</w:t>
            </w:r>
          </w:p>
        </w:tc>
      </w:tr>
    </w:tbl>
    <w:p w14:paraId="2F1B19CC" w14:textId="6E4B0719" w:rsidR="00C45159" w:rsidRPr="00107764" w:rsidRDefault="00C45159" w:rsidP="001B1AE1">
      <w:pPr>
        <w:spacing w:after="120"/>
        <w:jc w:val="left"/>
        <w:rPr>
          <w:rtl/>
          <w:lang w:bidi="ar-EG"/>
        </w:rPr>
      </w:pPr>
    </w:p>
    <w:p w14:paraId="03D196FB" w14:textId="74DEC323" w:rsidR="001C5EE6" w:rsidRPr="00CC485D" w:rsidRDefault="001C5EE6" w:rsidP="000A56FB">
      <w:pPr>
        <w:pStyle w:val="Tabletitle"/>
        <w:spacing w:after="120"/>
        <w:rPr>
          <w:rtl/>
        </w:rPr>
      </w:pPr>
      <w:r w:rsidRPr="00CC485D">
        <w:rPr>
          <w:rFonts w:hint="cs"/>
          <w:rtl/>
        </w:rPr>
        <w:t>الجدول </w:t>
      </w:r>
      <w:r w:rsidRPr="00CC485D">
        <w:t>2</w:t>
      </w:r>
      <w:r w:rsidRPr="00CC485D">
        <w:rPr>
          <w:rFonts w:hint="cs"/>
          <w:rtl/>
        </w:rPr>
        <w:t xml:space="preserve"> </w:t>
      </w:r>
      <w:r>
        <w:rPr>
          <w:rtl/>
        </w:rPr>
        <w:t>–</w:t>
      </w:r>
      <w:r w:rsidRPr="00CC485D">
        <w:rPr>
          <w:rFonts w:hint="cs"/>
          <w:rtl/>
        </w:rPr>
        <w:t xml:space="preserve"> </w:t>
      </w:r>
      <w:r>
        <w:rPr>
          <w:rFonts w:hint="cs"/>
          <w:rtl/>
        </w:rPr>
        <w:t>المبالغ المنفقة في تنفيذ</w:t>
      </w:r>
      <w:r w:rsidRPr="00CC485D">
        <w:rPr>
          <w:rFonts w:hint="cs"/>
          <w:rtl/>
        </w:rPr>
        <w:t xml:space="preserve"> المشاريع في</w:t>
      </w:r>
      <w:r>
        <w:rPr>
          <w:rFonts w:hint="cs"/>
          <w:rtl/>
        </w:rPr>
        <w:t xml:space="preserve"> عام</w:t>
      </w:r>
      <w:r w:rsidRPr="00CC485D">
        <w:rPr>
          <w:rFonts w:hint="cs"/>
          <w:rtl/>
        </w:rPr>
        <w:t xml:space="preserve"> </w:t>
      </w:r>
      <w:r w:rsidR="00107764">
        <w:t>2021</w:t>
      </w:r>
      <w:r w:rsidRPr="00CC485D">
        <w:rPr>
          <w:rtl/>
        </w:rPr>
        <w:br/>
      </w:r>
      <w:r w:rsidRPr="002145D0">
        <w:rPr>
          <w:rFonts w:hint="cs"/>
          <w:b w:val="0"/>
          <w:bCs w:val="0"/>
          <w:i/>
          <w:iCs/>
          <w:rtl/>
        </w:rPr>
        <w:t>(</w:t>
      </w:r>
      <w:r w:rsidRPr="002145D0">
        <w:rPr>
          <w:b w:val="0"/>
          <w:bCs w:val="0"/>
          <w:i/>
          <w:iCs/>
          <w:rtl/>
        </w:rPr>
        <w:t xml:space="preserve">المبالغ بآلاف </w:t>
      </w:r>
      <w:r w:rsidRPr="002145D0">
        <w:rPr>
          <w:rFonts w:hint="cs"/>
          <w:b w:val="0"/>
          <w:bCs w:val="0"/>
          <w:i/>
          <w:iCs/>
          <w:rtl/>
        </w:rPr>
        <w:t>الدولارات الأمريكية)</w:t>
      </w:r>
    </w:p>
    <w:tbl>
      <w:tblPr>
        <w:tblStyle w:val="TableGrid1"/>
        <w:bidiVisual/>
        <w:tblW w:w="5000" w:type="pct"/>
        <w:jc w:val="center"/>
        <w:tblLook w:val="04A0" w:firstRow="1" w:lastRow="0" w:firstColumn="1" w:lastColumn="0" w:noHBand="0" w:noVBand="1"/>
      </w:tblPr>
      <w:tblGrid>
        <w:gridCol w:w="1212"/>
        <w:gridCol w:w="661"/>
        <w:gridCol w:w="1012"/>
        <w:gridCol w:w="620"/>
        <w:gridCol w:w="1030"/>
        <w:gridCol w:w="615"/>
        <w:gridCol w:w="1051"/>
        <w:gridCol w:w="618"/>
        <w:gridCol w:w="1050"/>
        <w:gridCol w:w="651"/>
        <w:gridCol w:w="1109"/>
      </w:tblGrid>
      <w:tr w:rsidR="001C5EE6" w:rsidRPr="00F80F69" w14:paraId="49B4BD2F" w14:textId="77777777" w:rsidTr="005919CC">
        <w:trPr>
          <w:jc w:val="center"/>
        </w:trPr>
        <w:tc>
          <w:tcPr>
            <w:tcW w:w="630" w:type="pct"/>
            <w:vMerge w:val="restart"/>
            <w:tcBorders>
              <w:top w:val="single" w:sz="4" w:space="0" w:color="auto"/>
              <w:left w:val="single" w:sz="4" w:space="0" w:color="auto"/>
              <w:bottom w:val="nil"/>
              <w:right w:val="single" w:sz="4" w:space="0" w:color="auto"/>
            </w:tcBorders>
            <w:shd w:val="clear" w:color="auto" w:fill="BDD7EE"/>
            <w:vAlign w:val="center"/>
          </w:tcPr>
          <w:p w14:paraId="1A99C06D" w14:textId="77777777" w:rsidR="001C5EE6" w:rsidRPr="00F80F69" w:rsidRDefault="001C5EE6" w:rsidP="000A56FB">
            <w:pPr>
              <w:tabs>
                <w:tab w:val="clear" w:pos="794"/>
              </w:tabs>
              <w:overflowPunct w:val="0"/>
              <w:autoSpaceDE w:val="0"/>
              <w:autoSpaceDN w:val="0"/>
              <w:adjustRightInd w:val="0"/>
              <w:spacing w:before="40" w:after="40" w:line="260" w:lineRule="exact"/>
              <w:jc w:val="center"/>
              <w:textAlignment w:val="baseline"/>
              <w:rPr>
                <w:rFonts w:eastAsia="Times New Roman"/>
                <w:sz w:val="18"/>
                <w:szCs w:val="18"/>
                <w:rtl/>
                <w:lang w:val="en-GB" w:eastAsia="en-US"/>
              </w:rPr>
            </w:pPr>
            <w:r w:rsidRPr="00F80F69">
              <w:rPr>
                <w:rFonts w:eastAsia="Times New Roman"/>
                <w:sz w:val="18"/>
                <w:szCs w:val="18"/>
                <w:rtl/>
                <w:lang w:val="en-GB" w:eastAsia="en-US"/>
              </w:rPr>
              <w:t>المنطقة</w:t>
            </w:r>
          </w:p>
        </w:tc>
        <w:tc>
          <w:tcPr>
            <w:tcW w:w="870" w:type="pct"/>
            <w:gridSpan w:val="2"/>
            <w:tcBorders>
              <w:top w:val="single" w:sz="4" w:space="0" w:color="auto"/>
              <w:left w:val="single" w:sz="4" w:space="0" w:color="auto"/>
              <w:bottom w:val="single" w:sz="4" w:space="0" w:color="auto"/>
              <w:right w:val="single" w:sz="4" w:space="0" w:color="auto"/>
            </w:tcBorders>
            <w:shd w:val="clear" w:color="auto" w:fill="BDD7EE"/>
            <w:vAlign w:val="center"/>
          </w:tcPr>
          <w:p w14:paraId="1777D3A4" w14:textId="77777777" w:rsidR="001C5EE6" w:rsidRPr="00DD5447" w:rsidRDefault="001C5EE6" w:rsidP="000A56FB">
            <w:pPr>
              <w:pStyle w:val="Tablehead0"/>
              <w:bidi/>
              <w:spacing w:before="40" w:after="40" w:line="260" w:lineRule="exact"/>
              <w:rPr>
                <w:sz w:val="18"/>
                <w:szCs w:val="18"/>
                <w:rtl/>
              </w:rPr>
            </w:pPr>
            <w:r w:rsidRPr="00DD5447">
              <w:rPr>
                <w:sz w:val="18"/>
                <w:szCs w:val="18"/>
                <w:rtl/>
              </w:rPr>
              <w:t>الصناديق الاستئمانية</w:t>
            </w:r>
          </w:p>
        </w:tc>
        <w:tc>
          <w:tcPr>
            <w:tcW w:w="857" w:type="pct"/>
            <w:gridSpan w:val="2"/>
            <w:tcBorders>
              <w:top w:val="single" w:sz="4" w:space="0" w:color="auto"/>
              <w:left w:val="single" w:sz="4" w:space="0" w:color="auto"/>
              <w:bottom w:val="single" w:sz="4" w:space="0" w:color="auto"/>
              <w:right w:val="single" w:sz="4" w:space="0" w:color="auto"/>
            </w:tcBorders>
            <w:shd w:val="clear" w:color="auto" w:fill="BDD7EE"/>
            <w:vAlign w:val="center"/>
          </w:tcPr>
          <w:p w14:paraId="6AFEFD56" w14:textId="77777777" w:rsidR="001C5EE6" w:rsidRPr="00DD5447" w:rsidRDefault="001C5EE6" w:rsidP="000A56FB">
            <w:pPr>
              <w:pStyle w:val="Tablehead0"/>
              <w:bidi/>
              <w:spacing w:before="40" w:after="40" w:line="260" w:lineRule="exact"/>
              <w:rPr>
                <w:sz w:val="18"/>
                <w:szCs w:val="18"/>
                <w:rtl/>
              </w:rPr>
            </w:pPr>
            <w:r w:rsidRPr="00DD5447">
              <w:rPr>
                <w:sz w:val="18"/>
                <w:szCs w:val="18"/>
                <w:rtl/>
              </w:rPr>
              <w:t>صندوق تنمية تكنولوجيا المعلومات والاتصالات</w:t>
            </w:r>
          </w:p>
        </w:tc>
        <w:tc>
          <w:tcPr>
            <w:tcW w:w="863" w:type="pct"/>
            <w:gridSpan w:val="2"/>
            <w:tcBorders>
              <w:top w:val="single" w:sz="4" w:space="0" w:color="auto"/>
              <w:left w:val="single" w:sz="4" w:space="0" w:color="auto"/>
              <w:bottom w:val="single" w:sz="4" w:space="0" w:color="auto"/>
              <w:right w:val="single" w:sz="4" w:space="0" w:color="auto"/>
            </w:tcBorders>
            <w:shd w:val="clear" w:color="auto" w:fill="BDD7EE"/>
            <w:vAlign w:val="center"/>
          </w:tcPr>
          <w:p w14:paraId="5349C660" w14:textId="1D2801D0" w:rsidR="001C5EE6" w:rsidRPr="00DD5447" w:rsidRDefault="00B609DD" w:rsidP="000A56FB">
            <w:pPr>
              <w:pStyle w:val="Tablehead0"/>
              <w:bidi/>
              <w:spacing w:before="40" w:after="40" w:line="260" w:lineRule="exact"/>
              <w:rPr>
                <w:sz w:val="18"/>
                <w:szCs w:val="18"/>
                <w:rtl/>
              </w:rPr>
            </w:pPr>
            <w:r w:rsidRPr="00DD5447">
              <w:rPr>
                <w:rFonts w:hint="cs"/>
                <w:sz w:val="18"/>
                <w:szCs w:val="18"/>
                <w:rtl/>
              </w:rPr>
              <w:t>التمويل الداخلي</w:t>
            </w:r>
          </w:p>
        </w:tc>
        <w:tc>
          <w:tcPr>
            <w:tcW w:w="866" w:type="pct"/>
            <w:gridSpan w:val="2"/>
            <w:tcBorders>
              <w:top w:val="single" w:sz="4" w:space="0" w:color="auto"/>
              <w:left w:val="single" w:sz="4" w:space="0" w:color="auto"/>
              <w:bottom w:val="single" w:sz="4" w:space="0" w:color="auto"/>
              <w:right w:val="single" w:sz="4" w:space="0" w:color="auto"/>
            </w:tcBorders>
            <w:shd w:val="clear" w:color="auto" w:fill="BDD7EE"/>
            <w:vAlign w:val="center"/>
          </w:tcPr>
          <w:p w14:paraId="504C2DB6" w14:textId="77777777" w:rsidR="001C5EE6" w:rsidRPr="00DD5447" w:rsidRDefault="001C5EE6" w:rsidP="000A56FB">
            <w:pPr>
              <w:pStyle w:val="Tablehead0"/>
              <w:bidi/>
              <w:spacing w:before="40" w:after="40" w:line="260" w:lineRule="exact"/>
              <w:rPr>
                <w:sz w:val="18"/>
                <w:szCs w:val="18"/>
                <w:rtl/>
              </w:rPr>
            </w:pPr>
            <w:r w:rsidRPr="00DD5447">
              <w:rPr>
                <w:sz w:val="18"/>
                <w:szCs w:val="18"/>
                <w:rtl/>
              </w:rPr>
              <w:t xml:space="preserve">برنامج الأمم </w:t>
            </w:r>
            <w:r w:rsidRPr="00DD5447">
              <w:rPr>
                <w:sz w:val="18"/>
                <w:szCs w:val="18"/>
                <w:rtl/>
              </w:rPr>
              <w:br/>
              <w:t>المتحدة الإنمائي</w:t>
            </w:r>
          </w:p>
        </w:tc>
        <w:tc>
          <w:tcPr>
            <w:tcW w:w="914" w:type="pct"/>
            <w:gridSpan w:val="2"/>
            <w:tcBorders>
              <w:top w:val="single" w:sz="4" w:space="0" w:color="auto"/>
              <w:left w:val="single" w:sz="4" w:space="0" w:color="auto"/>
              <w:bottom w:val="single" w:sz="4" w:space="0" w:color="auto"/>
              <w:right w:val="single" w:sz="4" w:space="0" w:color="auto"/>
            </w:tcBorders>
            <w:shd w:val="clear" w:color="auto" w:fill="BDD7EE"/>
            <w:vAlign w:val="center"/>
          </w:tcPr>
          <w:p w14:paraId="15827AFB" w14:textId="77777777" w:rsidR="001C5EE6" w:rsidRPr="00DD5447" w:rsidRDefault="001C5EE6" w:rsidP="000A56FB">
            <w:pPr>
              <w:pStyle w:val="Tablehead0"/>
              <w:bidi/>
              <w:spacing w:before="40" w:after="40" w:line="260" w:lineRule="exact"/>
              <w:rPr>
                <w:sz w:val="18"/>
                <w:szCs w:val="18"/>
                <w:rtl/>
              </w:rPr>
            </w:pPr>
            <w:r w:rsidRPr="00DD5447">
              <w:rPr>
                <w:sz w:val="18"/>
                <w:szCs w:val="18"/>
                <w:rtl/>
              </w:rPr>
              <w:t>المجموع</w:t>
            </w:r>
          </w:p>
        </w:tc>
      </w:tr>
      <w:tr w:rsidR="001C5EE6" w:rsidRPr="00F80F69" w14:paraId="20A57AC6" w14:textId="77777777" w:rsidTr="005919CC">
        <w:trPr>
          <w:jc w:val="center"/>
        </w:trPr>
        <w:tc>
          <w:tcPr>
            <w:tcW w:w="630" w:type="pct"/>
            <w:vMerge/>
            <w:tcBorders>
              <w:top w:val="nil"/>
              <w:left w:val="single" w:sz="4" w:space="0" w:color="auto"/>
              <w:bottom w:val="single" w:sz="4" w:space="0" w:color="auto"/>
              <w:right w:val="single" w:sz="4" w:space="0" w:color="auto"/>
            </w:tcBorders>
            <w:shd w:val="clear" w:color="auto" w:fill="BDD7EE"/>
          </w:tcPr>
          <w:p w14:paraId="35CA9149" w14:textId="77777777" w:rsidR="001C5EE6" w:rsidRPr="00F80F69" w:rsidRDefault="001C5EE6" w:rsidP="000A56FB">
            <w:pPr>
              <w:tabs>
                <w:tab w:val="clear" w:pos="794"/>
              </w:tabs>
              <w:overflowPunct w:val="0"/>
              <w:autoSpaceDE w:val="0"/>
              <w:autoSpaceDN w:val="0"/>
              <w:adjustRightInd w:val="0"/>
              <w:spacing w:before="40" w:after="40" w:line="260" w:lineRule="exact"/>
              <w:jc w:val="center"/>
              <w:textAlignment w:val="baseline"/>
              <w:rPr>
                <w:rFonts w:eastAsia="Times New Roman"/>
                <w:b/>
                <w:bCs/>
                <w:sz w:val="18"/>
                <w:szCs w:val="18"/>
                <w:rtl/>
                <w:lang w:val="en-GB" w:eastAsia="en-US"/>
              </w:rPr>
            </w:pPr>
          </w:p>
        </w:tc>
        <w:tc>
          <w:tcPr>
            <w:tcW w:w="344" w:type="pct"/>
            <w:tcBorders>
              <w:top w:val="single" w:sz="4" w:space="0" w:color="auto"/>
              <w:left w:val="single" w:sz="4" w:space="0" w:color="auto"/>
              <w:bottom w:val="single" w:sz="4" w:space="0" w:color="auto"/>
              <w:right w:val="single" w:sz="4" w:space="0" w:color="auto"/>
            </w:tcBorders>
            <w:shd w:val="clear" w:color="auto" w:fill="BDD7EE"/>
            <w:tcMar>
              <w:left w:w="28" w:type="dxa"/>
              <w:right w:w="28" w:type="dxa"/>
            </w:tcMar>
            <w:vAlign w:val="center"/>
          </w:tcPr>
          <w:p w14:paraId="373475DC" w14:textId="77777777" w:rsidR="001C5EE6" w:rsidRPr="00F80F69" w:rsidRDefault="001C5EE6" w:rsidP="000A56FB">
            <w:pPr>
              <w:tabs>
                <w:tab w:val="clear" w:pos="794"/>
              </w:tabs>
              <w:overflowPunct w:val="0"/>
              <w:autoSpaceDE w:val="0"/>
              <w:autoSpaceDN w:val="0"/>
              <w:adjustRightInd w:val="0"/>
              <w:spacing w:before="40" w:after="40" w:line="260" w:lineRule="exact"/>
              <w:jc w:val="center"/>
              <w:textAlignment w:val="baseline"/>
              <w:rPr>
                <w:rFonts w:eastAsia="Times New Roman"/>
                <w:spacing w:val="-4"/>
                <w:sz w:val="18"/>
                <w:szCs w:val="18"/>
                <w:rtl/>
                <w:lang w:val="en-GB" w:eastAsia="en-US"/>
              </w:rPr>
            </w:pPr>
            <w:r w:rsidRPr="00F80F69">
              <w:rPr>
                <w:rFonts w:eastAsia="Times New Roman"/>
                <w:spacing w:val="-4"/>
                <w:sz w:val="18"/>
                <w:szCs w:val="18"/>
                <w:rtl/>
                <w:lang w:val="en-GB" w:eastAsia="en-US"/>
              </w:rPr>
              <w:t>عدد</w:t>
            </w:r>
            <w:r w:rsidRPr="00F80F69">
              <w:rPr>
                <w:rFonts w:eastAsia="Times New Roman"/>
                <w:spacing w:val="-4"/>
                <w:sz w:val="18"/>
                <w:szCs w:val="18"/>
                <w:lang w:val="en-GB" w:eastAsia="en-US"/>
              </w:rPr>
              <w:br/>
            </w:r>
            <w:r w:rsidRPr="00F80F69">
              <w:rPr>
                <w:rFonts w:eastAsia="Times New Roman"/>
                <w:spacing w:val="-4"/>
                <w:sz w:val="18"/>
                <w:szCs w:val="18"/>
                <w:rtl/>
                <w:lang w:val="en-GB" w:eastAsia="en-US"/>
              </w:rPr>
              <w:t>المشاريع</w:t>
            </w:r>
          </w:p>
        </w:tc>
        <w:tc>
          <w:tcPr>
            <w:tcW w:w="526" w:type="pct"/>
            <w:tcBorders>
              <w:top w:val="single" w:sz="4" w:space="0" w:color="auto"/>
              <w:left w:val="single" w:sz="4" w:space="0" w:color="auto"/>
              <w:bottom w:val="single" w:sz="4" w:space="0" w:color="auto"/>
              <w:right w:val="single" w:sz="4" w:space="0" w:color="auto"/>
            </w:tcBorders>
            <w:shd w:val="clear" w:color="auto" w:fill="BDD7EE"/>
            <w:tcMar>
              <w:left w:w="28" w:type="dxa"/>
              <w:right w:w="28" w:type="dxa"/>
            </w:tcMar>
            <w:vAlign w:val="center"/>
          </w:tcPr>
          <w:p w14:paraId="729A58AD" w14:textId="77777777" w:rsidR="001C5EE6" w:rsidRPr="00D819A1" w:rsidRDefault="001C5EE6" w:rsidP="000A56FB">
            <w:pPr>
              <w:tabs>
                <w:tab w:val="clear" w:pos="794"/>
              </w:tabs>
              <w:overflowPunct w:val="0"/>
              <w:autoSpaceDE w:val="0"/>
              <w:autoSpaceDN w:val="0"/>
              <w:adjustRightInd w:val="0"/>
              <w:spacing w:before="40" w:after="40" w:line="260" w:lineRule="exact"/>
              <w:jc w:val="center"/>
              <w:textAlignment w:val="baseline"/>
              <w:rPr>
                <w:rFonts w:eastAsia="Times New Roman"/>
                <w:spacing w:val="-6"/>
                <w:sz w:val="18"/>
                <w:szCs w:val="18"/>
                <w:rtl/>
                <w:lang w:val="en-GB" w:eastAsia="en-US"/>
              </w:rPr>
            </w:pPr>
            <w:r w:rsidRPr="00D819A1">
              <w:rPr>
                <w:rFonts w:eastAsia="Times New Roman"/>
                <w:spacing w:val="-6"/>
                <w:sz w:val="18"/>
                <w:szCs w:val="18"/>
                <w:rtl/>
                <w:lang w:val="en-GB" w:eastAsia="en-US"/>
              </w:rPr>
              <w:t>مستوى التنفيذ</w:t>
            </w:r>
            <w:r w:rsidRPr="00D819A1">
              <w:rPr>
                <w:rFonts w:eastAsia="Times New Roman"/>
                <w:spacing w:val="-6"/>
                <w:sz w:val="18"/>
                <w:szCs w:val="18"/>
                <w:rtl/>
                <w:lang w:val="en-GB" w:eastAsia="en-US"/>
              </w:rPr>
              <w:br/>
              <w:t>(بآلاف الدولارات الأمريكية)</w:t>
            </w:r>
          </w:p>
        </w:tc>
        <w:tc>
          <w:tcPr>
            <w:tcW w:w="322" w:type="pct"/>
            <w:tcBorders>
              <w:top w:val="single" w:sz="4" w:space="0" w:color="auto"/>
              <w:left w:val="single" w:sz="4" w:space="0" w:color="auto"/>
              <w:bottom w:val="single" w:sz="4" w:space="0" w:color="auto"/>
              <w:right w:val="single" w:sz="4" w:space="0" w:color="auto"/>
            </w:tcBorders>
            <w:shd w:val="clear" w:color="auto" w:fill="BDD7EE"/>
            <w:tcMar>
              <w:left w:w="28" w:type="dxa"/>
              <w:right w:w="28" w:type="dxa"/>
            </w:tcMar>
            <w:vAlign w:val="center"/>
          </w:tcPr>
          <w:p w14:paraId="2648EA4C" w14:textId="77777777" w:rsidR="001C5EE6" w:rsidRPr="00F80F69" w:rsidRDefault="001C5EE6" w:rsidP="000A56FB">
            <w:pPr>
              <w:tabs>
                <w:tab w:val="clear" w:pos="794"/>
              </w:tabs>
              <w:overflowPunct w:val="0"/>
              <w:autoSpaceDE w:val="0"/>
              <w:autoSpaceDN w:val="0"/>
              <w:adjustRightInd w:val="0"/>
              <w:spacing w:before="40" w:after="40" w:line="260" w:lineRule="exact"/>
              <w:jc w:val="center"/>
              <w:textAlignment w:val="baseline"/>
              <w:rPr>
                <w:rFonts w:eastAsia="Times New Roman"/>
                <w:spacing w:val="-4"/>
                <w:sz w:val="18"/>
                <w:szCs w:val="18"/>
                <w:rtl/>
                <w:lang w:val="en-GB" w:eastAsia="en-US"/>
              </w:rPr>
            </w:pPr>
            <w:r w:rsidRPr="00F80F69">
              <w:rPr>
                <w:rFonts w:eastAsia="Times New Roman"/>
                <w:spacing w:val="-4"/>
                <w:sz w:val="18"/>
                <w:szCs w:val="18"/>
                <w:rtl/>
                <w:lang w:val="en-GB" w:eastAsia="en-US"/>
              </w:rPr>
              <w:t>عدد</w:t>
            </w:r>
            <w:r w:rsidRPr="00F80F69">
              <w:rPr>
                <w:rFonts w:eastAsia="Times New Roman"/>
                <w:spacing w:val="-4"/>
                <w:sz w:val="18"/>
                <w:szCs w:val="18"/>
                <w:lang w:val="en-GB" w:eastAsia="en-US"/>
              </w:rPr>
              <w:br/>
            </w:r>
            <w:r w:rsidRPr="00F80F69">
              <w:rPr>
                <w:rFonts w:eastAsia="Times New Roman"/>
                <w:spacing w:val="-4"/>
                <w:sz w:val="18"/>
                <w:szCs w:val="18"/>
                <w:rtl/>
                <w:lang w:val="en-GB" w:eastAsia="en-US"/>
              </w:rPr>
              <w:t>المشاريع</w:t>
            </w:r>
          </w:p>
        </w:tc>
        <w:tc>
          <w:tcPr>
            <w:tcW w:w="535" w:type="pct"/>
            <w:tcBorders>
              <w:top w:val="single" w:sz="4" w:space="0" w:color="auto"/>
              <w:left w:val="single" w:sz="4" w:space="0" w:color="auto"/>
              <w:bottom w:val="single" w:sz="4" w:space="0" w:color="auto"/>
              <w:right w:val="single" w:sz="4" w:space="0" w:color="auto"/>
            </w:tcBorders>
            <w:shd w:val="clear" w:color="auto" w:fill="BDD7EE"/>
            <w:tcMar>
              <w:left w:w="28" w:type="dxa"/>
              <w:right w:w="28" w:type="dxa"/>
            </w:tcMar>
            <w:vAlign w:val="center"/>
          </w:tcPr>
          <w:p w14:paraId="56512C6A" w14:textId="77777777" w:rsidR="001C5EE6" w:rsidRPr="00F80F69" w:rsidRDefault="001C5EE6" w:rsidP="000A56FB">
            <w:pPr>
              <w:tabs>
                <w:tab w:val="clear" w:pos="794"/>
              </w:tabs>
              <w:overflowPunct w:val="0"/>
              <w:autoSpaceDE w:val="0"/>
              <w:autoSpaceDN w:val="0"/>
              <w:adjustRightInd w:val="0"/>
              <w:spacing w:before="40" w:after="40" w:line="260" w:lineRule="exact"/>
              <w:jc w:val="center"/>
              <w:textAlignment w:val="baseline"/>
              <w:rPr>
                <w:rFonts w:eastAsia="Times New Roman"/>
                <w:spacing w:val="-4"/>
                <w:sz w:val="18"/>
                <w:szCs w:val="18"/>
                <w:rtl/>
                <w:lang w:val="en-GB" w:eastAsia="en-US"/>
              </w:rPr>
            </w:pPr>
            <w:r w:rsidRPr="00F80F69">
              <w:rPr>
                <w:rFonts w:eastAsia="Times New Roman"/>
                <w:spacing w:val="-4"/>
                <w:sz w:val="18"/>
                <w:szCs w:val="18"/>
                <w:rtl/>
                <w:lang w:val="en-GB" w:eastAsia="en-US"/>
              </w:rPr>
              <w:t>مستوى التنفيذ</w:t>
            </w:r>
            <w:r w:rsidRPr="00F80F69">
              <w:rPr>
                <w:rFonts w:eastAsia="Times New Roman"/>
                <w:spacing w:val="-4"/>
                <w:sz w:val="18"/>
                <w:szCs w:val="18"/>
                <w:rtl/>
                <w:lang w:val="en-GB" w:eastAsia="en-US"/>
              </w:rPr>
              <w:br/>
              <w:t>(بآلاف الدولارات الأمريكية)</w:t>
            </w:r>
          </w:p>
        </w:tc>
        <w:tc>
          <w:tcPr>
            <w:tcW w:w="317" w:type="pct"/>
            <w:tcBorders>
              <w:top w:val="single" w:sz="4" w:space="0" w:color="auto"/>
              <w:left w:val="single" w:sz="4" w:space="0" w:color="auto"/>
              <w:bottom w:val="single" w:sz="4" w:space="0" w:color="auto"/>
              <w:right w:val="single" w:sz="4" w:space="0" w:color="auto"/>
            </w:tcBorders>
            <w:shd w:val="clear" w:color="auto" w:fill="BDD7EE"/>
            <w:tcMar>
              <w:left w:w="28" w:type="dxa"/>
              <w:right w:w="28" w:type="dxa"/>
            </w:tcMar>
            <w:vAlign w:val="center"/>
          </w:tcPr>
          <w:p w14:paraId="0321D14D" w14:textId="77777777" w:rsidR="001C5EE6" w:rsidRPr="00F80F69" w:rsidRDefault="001C5EE6" w:rsidP="000A56FB">
            <w:pPr>
              <w:tabs>
                <w:tab w:val="clear" w:pos="794"/>
              </w:tabs>
              <w:overflowPunct w:val="0"/>
              <w:autoSpaceDE w:val="0"/>
              <w:autoSpaceDN w:val="0"/>
              <w:adjustRightInd w:val="0"/>
              <w:spacing w:before="40" w:after="40" w:line="260" w:lineRule="exact"/>
              <w:jc w:val="center"/>
              <w:textAlignment w:val="baseline"/>
              <w:rPr>
                <w:rFonts w:eastAsia="Times New Roman"/>
                <w:spacing w:val="-4"/>
                <w:sz w:val="18"/>
                <w:szCs w:val="18"/>
                <w:rtl/>
                <w:lang w:val="en-GB" w:eastAsia="en-US"/>
              </w:rPr>
            </w:pPr>
            <w:r w:rsidRPr="00F80F69">
              <w:rPr>
                <w:rFonts w:eastAsia="Times New Roman"/>
                <w:spacing w:val="-4"/>
                <w:sz w:val="18"/>
                <w:szCs w:val="18"/>
                <w:rtl/>
                <w:lang w:val="en-GB" w:eastAsia="en-US"/>
              </w:rPr>
              <w:t>عدد</w:t>
            </w:r>
            <w:r w:rsidRPr="00F80F69">
              <w:rPr>
                <w:rFonts w:eastAsia="Times New Roman"/>
                <w:spacing w:val="-4"/>
                <w:sz w:val="18"/>
                <w:szCs w:val="18"/>
                <w:lang w:val="en-GB" w:eastAsia="en-US"/>
              </w:rPr>
              <w:br/>
            </w:r>
            <w:r w:rsidRPr="00F80F69">
              <w:rPr>
                <w:rFonts w:eastAsia="Times New Roman"/>
                <w:spacing w:val="-4"/>
                <w:sz w:val="18"/>
                <w:szCs w:val="18"/>
                <w:rtl/>
                <w:lang w:val="en-GB" w:eastAsia="en-US"/>
              </w:rPr>
              <w:t>المشاريع</w:t>
            </w:r>
          </w:p>
        </w:tc>
        <w:tc>
          <w:tcPr>
            <w:tcW w:w="546" w:type="pct"/>
            <w:tcBorders>
              <w:top w:val="single" w:sz="4" w:space="0" w:color="auto"/>
              <w:left w:val="single" w:sz="4" w:space="0" w:color="auto"/>
              <w:bottom w:val="single" w:sz="4" w:space="0" w:color="auto"/>
              <w:right w:val="single" w:sz="4" w:space="0" w:color="auto"/>
            </w:tcBorders>
            <w:shd w:val="clear" w:color="auto" w:fill="BDD7EE"/>
            <w:tcMar>
              <w:left w:w="28" w:type="dxa"/>
              <w:right w:w="28" w:type="dxa"/>
            </w:tcMar>
            <w:vAlign w:val="center"/>
          </w:tcPr>
          <w:p w14:paraId="436734F0" w14:textId="77777777" w:rsidR="001C5EE6" w:rsidRPr="00F80F69" w:rsidRDefault="001C5EE6" w:rsidP="000A56FB">
            <w:pPr>
              <w:tabs>
                <w:tab w:val="clear" w:pos="794"/>
              </w:tabs>
              <w:overflowPunct w:val="0"/>
              <w:autoSpaceDE w:val="0"/>
              <w:autoSpaceDN w:val="0"/>
              <w:adjustRightInd w:val="0"/>
              <w:spacing w:before="40" w:after="40" w:line="260" w:lineRule="exact"/>
              <w:jc w:val="center"/>
              <w:textAlignment w:val="baseline"/>
              <w:rPr>
                <w:rFonts w:eastAsia="Times New Roman"/>
                <w:spacing w:val="-4"/>
                <w:sz w:val="18"/>
                <w:szCs w:val="18"/>
                <w:rtl/>
                <w:lang w:val="en-GB" w:eastAsia="en-US"/>
              </w:rPr>
            </w:pPr>
            <w:r w:rsidRPr="00F80F69">
              <w:rPr>
                <w:rFonts w:eastAsia="Times New Roman"/>
                <w:spacing w:val="-4"/>
                <w:sz w:val="18"/>
                <w:szCs w:val="18"/>
                <w:rtl/>
                <w:lang w:val="en-GB" w:eastAsia="en-US"/>
              </w:rPr>
              <w:t>مستوى التنفيذ</w:t>
            </w:r>
            <w:r w:rsidRPr="00F80F69">
              <w:rPr>
                <w:rFonts w:eastAsia="Times New Roman"/>
                <w:spacing w:val="-4"/>
                <w:sz w:val="18"/>
                <w:szCs w:val="18"/>
                <w:rtl/>
                <w:lang w:val="en-GB" w:eastAsia="en-US"/>
              </w:rPr>
              <w:br/>
              <w:t>(بآلاف الدولارات الأمريكية)</w:t>
            </w:r>
          </w:p>
        </w:tc>
        <w:tc>
          <w:tcPr>
            <w:tcW w:w="321" w:type="pct"/>
            <w:tcBorders>
              <w:top w:val="single" w:sz="4" w:space="0" w:color="auto"/>
              <w:left w:val="single" w:sz="4" w:space="0" w:color="auto"/>
              <w:bottom w:val="single" w:sz="4" w:space="0" w:color="auto"/>
              <w:right w:val="single" w:sz="4" w:space="0" w:color="auto"/>
            </w:tcBorders>
            <w:shd w:val="clear" w:color="auto" w:fill="BDD7EE"/>
            <w:tcMar>
              <w:left w:w="28" w:type="dxa"/>
              <w:right w:w="28" w:type="dxa"/>
            </w:tcMar>
            <w:vAlign w:val="center"/>
          </w:tcPr>
          <w:p w14:paraId="6966BD58" w14:textId="77777777" w:rsidR="001C5EE6" w:rsidRPr="00F80F69" w:rsidRDefault="001C5EE6" w:rsidP="000A56FB">
            <w:pPr>
              <w:tabs>
                <w:tab w:val="clear" w:pos="794"/>
              </w:tabs>
              <w:overflowPunct w:val="0"/>
              <w:autoSpaceDE w:val="0"/>
              <w:autoSpaceDN w:val="0"/>
              <w:adjustRightInd w:val="0"/>
              <w:spacing w:before="40" w:after="40" w:line="260" w:lineRule="exact"/>
              <w:jc w:val="center"/>
              <w:textAlignment w:val="baseline"/>
              <w:rPr>
                <w:rFonts w:eastAsia="Times New Roman"/>
                <w:spacing w:val="-4"/>
                <w:sz w:val="18"/>
                <w:szCs w:val="18"/>
                <w:rtl/>
                <w:lang w:val="en-GB" w:eastAsia="en-US"/>
              </w:rPr>
            </w:pPr>
            <w:r w:rsidRPr="00F80F69">
              <w:rPr>
                <w:rFonts w:eastAsia="Times New Roman"/>
                <w:spacing w:val="-4"/>
                <w:sz w:val="18"/>
                <w:szCs w:val="18"/>
                <w:rtl/>
                <w:lang w:val="en-GB" w:eastAsia="en-US"/>
              </w:rPr>
              <w:t>عدد</w:t>
            </w:r>
            <w:r w:rsidRPr="00F80F69">
              <w:rPr>
                <w:rFonts w:eastAsia="Times New Roman"/>
                <w:spacing w:val="-4"/>
                <w:sz w:val="18"/>
                <w:szCs w:val="18"/>
                <w:lang w:val="en-GB" w:eastAsia="en-US"/>
              </w:rPr>
              <w:br/>
            </w:r>
            <w:r w:rsidRPr="00F80F69">
              <w:rPr>
                <w:rFonts w:eastAsia="Times New Roman"/>
                <w:spacing w:val="-4"/>
                <w:sz w:val="18"/>
                <w:szCs w:val="18"/>
                <w:rtl/>
                <w:lang w:val="en-GB" w:eastAsia="en-US"/>
              </w:rPr>
              <w:t>المشاريع</w:t>
            </w:r>
          </w:p>
        </w:tc>
        <w:tc>
          <w:tcPr>
            <w:tcW w:w="545" w:type="pct"/>
            <w:tcBorders>
              <w:top w:val="single" w:sz="4" w:space="0" w:color="auto"/>
              <w:left w:val="single" w:sz="4" w:space="0" w:color="auto"/>
              <w:bottom w:val="single" w:sz="4" w:space="0" w:color="auto"/>
              <w:right w:val="single" w:sz="4" w:space="0" w:color="auto"/>
            </w:tcBorders>
            <w:shd w:val="clear" w:color="auto" w:fill="BDD7EE"/>
            <w:tcMar>
              <w:left w:w="28" w:type="dxa"/>
              <w:right w:w="28" w:type="dxa"/>
            </w:tcMar>
            <w:vAlign w:val="center"/>
          </w:tcPr>
          <w:p w14:paraId="257AC7DD" w14:textId="77777777" w:rsidR="001C5EE6" w:rsidRPr="00F80F69" w:rsidRDefault="001C5EE6" w:rsidP="000A56FB">
            <w:pPr>
              <w:tabs>
                <w:tab w:val="clear" w:pos="794"/>
              </w:tabs>
              <w:overflowPunct w:val="0"/>
              <w:autoSpaceDE w:val="0"/>
              <w:autoSpaceDN w:val="0"/>
              <w:adjustRightInd w:val="0"/>
              <w:spacing w:before="40" w:after="40" w:line="260" w:lineRule="exact"/>
              <w:jc w:val="center"/>
              <w:textAlignment w:val="baseline"/>
              <w:rPr>
                <w:rFonts w:eastAsia="Times New Roman"/>
                <w:spacing w:val="-4"/>
                <w:sz w:val="18"/>
                <w:szCs w:val="18"/>
                <w:rtl/>
                <w:lang w:val="en-GB" w:eastAsia="en-US"/>
              </w:rPr>
            </w:pPr>
            <w:r w:rsidRPr="00F80F69">
              <w:rPr>
                <w:rFonts w:eastAsia="Times New Roman"/>
                <w:spacing w:val="-4"/>
                <w:sz w:val="18"/>
                <w:szCs w:val="18"/>
                <w:rtl/>
                <w:lang w:val="en-GB" w:eastAsia="en-US"/>
              </w:rPr>
              <w:t>مستوى التنفيذ</w:t>
            </w:r>
            <w:r w:rsidRPr="00F80F69">
              <w:rPr>
                <w:rFonts w:eastAsia="Times New Roman"/>
                <w:spacing w:val="-4"/>
                <w:sz w:val="18"/>
                <w:szCs w:val="18"/>
                <w:rtl/>
                <w:lang w:val="en-GB" w:eastAsia="en-US"/>
              </w:rPr>
              <w:br/>
              <w:t>(بآلاف الدولارات الأمريكية)</w:t>
            </w:r>
          </w:p>
        </w:tc>
        <w:tc>
          <w:tcPr>
            <w:tcW w:w="338" w:type="pct"/>
            <w:tcBorders>
              <w:top w:val="single" w:sz="4" w:space="0" w:color="auto"/>
              <w:left w:val="single" w:sz="4" w:space="0" w:color="auto"/>
              <w:bottom w:val="single" w:sz="4" w:space="0" w:color="auto"/>
              <w:right w:val="single" w:sz="4" w:space="0" w:color="auto"/>
            </w:tcBorders>
            <w:shd w:val="clear" w:color="auto" w:fill="BDD7EE"/>
            <w:tcMar>
              <w:left w:w="28" w:type="dxa"/>
              <w:right w:w="28" w:type="dxa"/>
            </w:tcMar>
            <w:vAlign w:val="center"/>
          </w:tcPr>
          <w:p w14:paraId="72523C87" w14:textId="77777777" w:rsidR="001C5EE6" w:rsidRPr="00F80F69" w:rsidRDefault="001C5EE6" w:rsidP="000A56FB">
            <w:pPr>
              <w:tabs>
                <w:tab w:val="clear" w:pos="794"/>
              </w:tabs>
              <w:overflowPunct w:val="0"/>
              <w:autoSpaceDE w:val="0"/>
              <w:autoSpaceDN w:val="0"/>
              <w:adjustRightInd w:val="0"/>
              <w:spacing w:before="40" w:after="40" w:line="260" w:lineRule="exact"/>
              <w:jc w:val="center"/>
              <w:textAlignment w:val="baseline"/>
              <w:rPr>
                <w:rFonts w:eastAsia="Times New Roman"/>
                <w:spacing w:val="-4"/>
                <w:sz w:val="18"/>
                <w:szCs w:val="18"/>
                <w:rtl/>
                <w:lang w:val="en-GB" w:eastAsia="en-US"/>
              </w:rPr>
            </w:pPr>
            <w:r w:rsidRPr="00F80F69">
              <w:rPr>
                <w:rFonts w:eastAsia="Times New Roman"/>
                <w:spacing w:val="-4"/>
                <w:sz w:val="18"/>
                <w:szCs w:val="18"/>
                <w:rtl/>
                <w:lang w:val="en-GB" w:eastAsia="en-US"/>
              </w:rPr>
              <w:t>عدد</w:t>
            </w:r>
            <w:r w:rsidRPr="00F80F69">
              <w:rPr>
                <w:rFonts w:eastAsia="Times New Roman"/>
                <w:spacing w:val="-4"/>
                <w:sz w:val="18"/>
                <w:szCs w:val="18"/>
                <w:lang w:val="en-GB" w:eastAsia="en-US"/>
              </w:rPr>
              <w:br/>
            </w:r>
            <w:r w:rsidRPr="00F80F69">
              <w:rPr>
                <w:rFonts w:eastAsia="Times New Roman"/>
                <w:spacing w:val="-4"/>
                <w:sz w:val="18"/>
                <w:szCs w:val="18"/>
                <w:rtl/>
                <w:lang w:val="en-GB" w:eastAsia="en-US"/>
              </w:rPr>
              <w:t>المشاريع</w:t>
            </w:r>
          </w:p>
        </w:tc>
        <w:tc>
          <w:tcPr>
            <w:tcW w:w="576" w:type="pct"/>
            <w:tcBorders>
              <w:top w:val="single" w:sz="4" w:space="0" w:color="auto"/>
              <w:left w:val="single" w:sz="4" w:space="0" w:color="auto"/>
              <w:bottom w:val="single" w:sz="4" w:space="0" w:color="auto"/>
              <w:right w:val="single" w:sz="4" w:space="0" w:color="auto"/>
            </w:tcBorders>
            <w:shd w:val="clear" w:color="auto" w:fill="BDD7EE"/>
            <w:tcMar>
              <w:left w:w="28" w:type="dxa"/>
              <w:right w:w="28" w:type="dxa"/>
            </w:tcMar>
            <w:vAlign w:val="center"/>
          </w:tcPr>
          <w:p w14:paraId="57E8FFAD" w14:textId="77777777" w:rsidR="001C5EE6" w:rsidRPr="00F80F69" w:rsidRDefault="001C5EE6" w:rsidP="000A56FB">
            <w:pPr>
              <w:tabs>
                <w:tab w:val="clear" w:pos="794"/>
              </w:tabs>
              <w:overflowPunct w:val="0"/>
              <w:autoSpaceDE w:val="0"/>
              <w:autoSpaceDN w:val="0"/>
              <w:adjustRightInd w:val="0"/>
              <w:spacing w:before="40" w:after="40" w:line="260" w:lineRule="exact"/>
              <w:jc w:val="center"/>
              <w:textAlignment w:val="baseline"/>
              <w:rPr>
                <w:rFonts w:eastAsia="Times New Roman"/>
                <w:spacing w:val="-4"/>
                <w:sz w:val="18"/>
                <w:szCs w:val="18"/>
                <w:rtl/>
                <w:lang w:val="en-GB" w:eastAsia="en-US"/>
              </w:rPr>
            </w:pPr>
            <w:r w:rsidRPr="00F80F69">
              <w:rPr>
                <w:rFonts w:eastAsia="Times New Roman"/>
                <w:spacing w:val="-4"/>
                <w:sz w:val="18"/>
                <w:szCs w:val="18"/>
                <w:rtl/>
                <w:lang w:val="en-GB" w:eastAsia="en-US"/>
              </w:rPr>
              <w:t>مستوى التنفيذ</w:t>
            </w:r>
            <w:r w:rsidRPr="00F80F69">
              <w:rPr>
                <w:rFonts w:eastAsia="Times New Roman"/>
                <w:spacing w:val="-4"/>
                <w:sz w:val="18"/>
                <w:szCs w:val="18"/>
                <w:rtl/>
                <w:lang w:val="en-GB" w:eastAsia="en-US"/>
              </w:rPr>
              <w:br/>
              <w:t>(بآلاف الدولارات الأمريكية)</w:t>
            </w:r>
          </w:p>
        </w:tc>
      </w:tr>
      <w:tr w:rsidR="001C5EE6" w:rsidRPr="00F80F69" w14:paraId="43B26D87" w14:textId="77777777" w:rsidTr="005919CC">
        <w:trPr>
          <w:jc w:val="center"/>
        </w:trPr>
        <w:tc>
          <w:tcPr>
            <w:tcW w:w="630" w:type="pct"/>
            <w:tcBorders>
              <w:top w:val="single" w:sz="4" w:space="0" w:color="auto"/>
              <w:left w:val="single" w:sz="4" w:space="0" w:color="auto"/>
              <w:bottom w:val="nil"/>
              <w:right w:val="single" w:sz="4" w:space="0" w:color="auto"/>
            </w:tcBorders>
          </w:tcPr>
          <w:p w14:paraId="0763B920" w14:textId="77777777" w:rsidR="001C5EE6" w:rsidRPr="00F80F69" w:rsidRDefault="001C5EE6" w:rsidP="000A56FB">
            <w:pPr>
              <w:pStyle w:val="Tabletexte"/>
              <w:spacing w:before="40" w:after="40"/>
              <w:rPr>
                <w:sz w:val="18"/>
                <w:szCs w:val="18"/>
                <w:rtl/>
                <w:lang w:val="fr-FR" w:eastAsia="en-US" w:bidi="ar-EG"/>
              </w:rPr>
            </w:pPr>
            <w:r w:rsidRPr="00F80F69">
              <w:rPr>
                <w:sz w:val="18"/>
                <w:szCs w:val="18"/>
                <w:rtl/>
                <w:lang w:val="fr-FR" w:eastAsia="en-US"/>
              </w:rPr>
              <w:t>إفريقيا</w:t>
            </w:r>
          </w:p>
        </w:tc>
        <w:tc>
          <w:tcPr>
            <w:tcW w:w="344" w:type="pct"/>
            <w:tcBorders>
              <w:top w:val="single" w:sz="4" w:space="0" w:color="auto"/>
              <w:left w:val="single" w:sz="4" w:space="0" w:color="auto"/>
              <w:bottom w:val="nil"/>
              <w:right w:val="single" w:sz="4" w:space="0" w:color="auto"/>
            </w:tcBorders>
          </w:tcPr>
          <w:p w14:paraId="17C1C723" w14:textId="59D55F20" w:rsidR="001C5EE6" w:rsidRPr="00F80F69" w:rsidRDefault="00107764" w:rsidP="00015F02">
            <w:pPr>
              <w:pStyle w:val="Tabletexte"/>
              <w:spacing w:before="40" w:after="40"/>
              <w:jc w:val="center"/>
              <w:rPr>
                <w:sz w:val="18"/>
                <w:szCs w:val="18"/>
                <w:lang w:val="fr-FR" w:eastAsia="en-US"/>
              </w:rPr>
            </w:pPr>
            <w:r w:rsidRPr="00F80F69">
              <w:rPr>
                <w:sz w:val="18"/>
                <w:szCs w:val="18"/>
              </w:rPr>
              <w:t>9</w:t>
            </w:r>
          </w:p>
        </w:tc>
        <w:tc>
          <w:tcPr>
            <w:tcW w:w="526" w:type="pct"/>
            <w:tcBorders>
              <w:top w:val="single" w:sz="4" w:space="0" w:color="auto"/>
              <w:left w:val="single" w:sz="4" w:space="0" w:color="auto"/>
              <w:bottom w:val="nil"/>
              <w:right w:val="single" w:sz="4" w:space="0" w:color="auto"/>
            </w:tcBorders>
          </w:tcPr>
          <w:p w14:paraId="00013A46" w14:textId="1F19BD31" w:rsidR="001C5EE6" w:rsidRPr="00F80F69" w:rsidRDefault="00107764" w:rsidP="00015F02">
            <w:pPr>
              <w:pStyle w:val="Tabletexte"/>
              <w:spacing w:before="40" w:after="40"/>
              <w:jc w:val="center"/>
              <w:rPr>
                <w:sz w:val="18"/>
                <w:szCs w:val="18"/>
                <w:rtl/>
                <w:lang w:val="fr-FR" w:eastAsia="en-US"/>
              </w:rPr>
            </w:pPr>
            <w:r w:rsidRPr="00F80F69">
              <w:rPr>
                <w:sz w:val="18"/>
                <w:szCs w:val="18"/>
              </w:rPr>
              <w:t>363</w:t>
            </w:r>
          </w:p>
        </w:tc>
        <w:tc>
          <w:tcPr>
            <w:tcW w:w="322" w:type="pct"/>
            <w:tcBorders>
              <w:top w:val="single" w:sz="4" w:space="0" w:color="auto"/>
              <w:left w:val="single" w:sz="4" w:space="0" w:color="auto"/>
              <w:bottom w:val="nil"/>
              <w:right w:val="single" w:sz="4" w:space="0" w:color="auto"/>
            </w:tcBorders>
          </w:tcPr>
          <w:p w14:paraId="4A253784" w14:textId="5ACE0D4F" w:rsidR="001C5EE6" w:rsidRPr="00F80F69" w:rsidRDefault="00107764" w:rsidP="00015F02">
            <w:pPr>
              <w:pStyle w:val="Tabletexte"/>
              <w:spacing w:before="40" w:after="40"/>
              <w:jc w:val="center"/>
              <w:rPr>
                <w:sz w:val="18"/>
                <w:szCs w:val="18"/>
                <w:rtl/>
                <w:lang w:val="fr-FR" w:eastAsia="en-US"/>
              </w:rPr>
            </w:pPr>
            <w:r w:rsidRPr="00F80F69">
              <w:rPr>
                <w:sz w:val="18"/>
                <w:szCs w:val="18"/>
              </w:rPr>
              <w:t>3</w:t>
            </w:r>
          </w:p>
        </w:tc>
        <w:tc>
          <w:tcPr>
            <w:tcW w:w="535" w:type="pct"/>
            <w:tcBorders>
              <w:top w:val="single" w:sz="4" w:space="0" w:color="auto"/>
              <w:left w:val="single" w:sz="4" w:space="0" w:color="auto"/>
              <w:bottom w:val="nil"/>
              <w:right w:val="single" w:sz="4" w:space="0" w:color="auto"/>
            </w:tcBorders>
          </w:tcPr>
          <w:p w14:paraId="10CFA39E" w14:textId="12148FF2" w:rsidR="001C5EE6" w:rsidRPr="00F80F69" w:rsidRDefault="00107764" w:rsidP="00015F02">
            <w:pPr>
              <w:pStyle w:val="Tabletexte"/>
              <w:spacing w:before="40" w:after="40"/>
              <w:jc w:val="center"/>
              <w:rPr>
                <w:sz w:val="18"/>
                <w:szCs w:val="18"/>
                <w:rtl/>
                <w:lang w:val="fr-FR" w:eastAsia="en-US"/>
              </w:rPr>
            </w:pPr>
            <w:r w:rsidRPr="00F80F69">
              <w:rPr>
                <w:sz w:val="18"/>
                <w:szCs w:val="18"/>
              </w:rPr>
              <w:t>131</w:t>
            </w:r>
          </w:p>
        </w:tc>
        <w:tc>
          <w:tcPr>
            <w:tcW w:w="317" w:type="pct"/>
            <w:tcBorders>
              <w:top w:val="single" w:sz="4" w:space="0" w:color="auto"/>
              <w:left w:val="single" w:sz="4" w:space="0" w:color="auto"/>
              <w:bottom w:val="nil"/>
              <w:right w:val="single" w:sz="4" w:space="0" w:color="auto"/>
            </w:tcBorders>
          </w:tcPr>
          <w:p w14:paraId="08C48B84" w14:textId="4FF95F00" w:rsidR="001C5EE6" w:rsidRPr="00F80F69" w:rsidRDefault="00107764" w:rsidP="00015F02">
            <w:pPr>
              <w:pStyle w:val="Tabletexte"/>
              <w:spacing w:before="40" w:after="40"/>
              <w:jc w:val="center"/>
              <w:rPr>
                <w:sz w:val="18"/>
                <w:szCs w:val="18"/>
                <w:rtl/>
                <w:lang w:val="fr-FR" w:eastAsia="en-US"/>
              </w:rPr>
            </w:pPr>
            <w:r w:rsidRPr="00F80F69">
              <w:rPr>
                <w:sz w:val="18"/>
                <w:szCs w:val="18"/>
              </w:rPr>
              <w:t>2</w:t>
            </w:r>
          </w:p>
        </w:tc>
        <w:tc>
          <w:tcPr>
            <w:tcW w:w="546" w:type="pct"/>
            <w:tcBorders>
              <w:top w:val="single" w:sz="4" w:space="0" w:color="auto"/>
              <w:left w:val="single" w:sz="4" w:space="0" w:color="auto"/>
              <w:bottom w:val="nil"/>
              <w:right w:val="single" w:sz="4" w:space="0" w:color="auto"/>
            </w:tcBorders>
          </w:tcPr>
          <w:p w14:paraId="7728F362" w14:textId="7E32126F" w:rsidR="001C5EE6" w:rsidRPr="00F80F69" w:rsidRDefault="00107764" w:rsidP="00015F02">
            <w:pPr>
              <w:pStyle w:val="Tabletexte"/>
              <w:spacing w:before="40" w:after="40"/>
              <w:jc w:val="center"/>
              <w:rPr>
                <w:sz w:val="18"/>
                <w:szCs w:val="18"/>
                <w:rtl/>
                <w:lang w:val="fr-FR" w:eastAsia="en-US"/>
              </w:rPr>
            </w:pPr>
            <w:r w:rsidRPr="00F80F69">
              <w:rPr>
                <w:sz w:val="18"/>
                <w:szCs w:val="18"/>
              </w:rPr>
              <w:t>130</w:t>
            </w:r>
          </w:p>
        </w:tc>
        <w:tc>
          <w:tcPr>
            <w:tcW w:w="321" w:type="pct"/>
            <w:tcBorders>
              <w:top w:val="single" w:sz="4" w:space="0" w:color="auto"/>
              <w:left w:val="single" w:sz="4" w:space="0" w:color="auto"/>
              <w:bottom w:val="nil"/>
              <w:right w:val="single" w:sz="4" w:space="0" w:color="auto"/>
            </w:tcBorders>
          </w:tcPr>
          <w:p w14:paraId="790DEBC9" w14:textId="61FA1A18" w:rsidR="001C5EE6" w:rsidRPr="00F80F69" w:rsidRDefault="00107764" w:rsidP="00015F02">
            <w:pPr>
              <w:pStyle w:val="Tabletexte"/>
              <w:spacing w:before="40" w:after="40"/>
              <w:jc w:val="center"/>
              <w:rPr>
                <w:sz w:val="18"/>
                <w:szCs w:val="18"/>
                <w:rtl/>
                <w:lang w:val="fr-FR" w:eastAsia="en-US"/>
              </w:rPr>
            </w:pPr>
            <w:r w:rsidRPr="00F80F69">
              <w:rPr>
                <w:sz w:val="18"/>
                <w:szCs w:val="18"/>
                <w:lang w:val="fr-FR" w:eastAsia="en-US"/>
              </w:rPr>
              <w:t>0</w:t>
            </w:r>
          </w:p>
        </w:tc>
        <w:tc>
          <w:tcPr>
            <w:tcW w:w="545" w:type="pct"/>
            <w:tcBorders>
              <w:top w:val="single" w:sz="4" w:space="0" w:color="auto"/>
              <w:left w:val="single" w:sz="4" w:space="0" w:color="auto"/>
              <w:bottom w:val="nil"/>
              <w:right w:val="single" w:sz="4" w:space="0" w:color="auto"/>
            </w:tcBorders>
          </w:tcPr>
          <w:p w14:paraId="261B8185" w14:textId="52C7E89A" w:rsidR="001C5EE6" w:rsidRPr="00F80F69" w:rsidRDefault="00107764" w:rsidP="00015F02">
            <w:pPr>
              <w:pStyle w:val="Tabletexte"/>
              <w:spacing w:before="40" w:after="40"/>
              <w:jc w:val="center"/>
              <w:rPr>
                <w:sz w:val="18"/>
                <w:szCs w:val="18"/>
                <w:rtl/>
                <w:lang w:val="fr-FR" w:eastAsia="en-US"/>
              </w:rPr>
            </w:pPr>
            <w:r w:rsidRPr="00F80F69">
              <w:rPr>
                <w:sz w:val="18"/>
                <w:szCs w:val="18"/>
                <w:lang w:val="fr-FR" w:eastAsia="en-US"/>
              </w:rPr>
              <w:t>0</w:t>
            </w:r>
          </w:p>
        </w:tc>
        <w:tc>
          <w:tcPr>
            <w:tcW w:w="338" w:type="pct"/>
            <w:tcBorders>
              <w:top w:val="single" w:sz="4" w:space="0" w:color="auto"/>
              <w:left w:val="single" w:sz="4" w:space="0" w:color="auto"/>
              <w:bottom w:val="nil"/>
              <w:right w:val="single" w:sz="4" w:space="0" w:color="auto"/>
            </w:tcBorders>
          </w:tcPr>
          <w:p w14:paraId="08449CC4" w14:textId="669A5557" w:rsidR="001C5EE6" w:rsidRPr="00F80F69" w:rsidRDefault="00107764" w:rsidP="00015F02">
            <w:pPr>
              <w:pStyle w:val="Tabletexte"/>
              <w:spacing w:before="40" w:after="40"/>
              <w:jc w:val="center"/>
              <w:rPr>
                <w:b/>
                <w:bCs/>
                <w:sz w:val="18"/>
                <w:szCs w:val="18"/>
                <w:rtl/>
                <w:lang w:val="fr-FR" w:eastAsia="en-US"/>
              </w:rPr>
            </w:pPr>
            <w:r w:rsidRPr="00F80F69">
              <w:rPr>
                <w:b/>
                <w:bCs/>
                <w:sz w:val="18"/>
                <w:szCs w:val="18"/>
              </w:rPr>
              <w:t>14</w:t>
            </w:r>
          </w:p>
        </w:tc>
        <w:tc>
          <w:tcPr>
            <w:tcW w:w="576" w:type="pct"/>
            <w:tcBorders>
              <w:top w:val="single" w:sz="4" w:space="0" w:color="auto"/>
              <w:left w:val="single" w:sz="4" w:space="0" w:color="auto"/>
              <w:bottom w:val="nil"/>
              <w:right w:val="single" w:sz="4" w:space="0" w:color="auto"/>
            </w:tcBorders>
          </w:tcPr>
          <w:p w14:paraId="4B3ECFB0" w14:textId="5E452863" w:rsidR="001C5EE6" w:rsidRPr="00F80F69" w:rsidRDefault="00107764" w:rsidP="00015F02">
            <w:pPr>
              <w:pStyle w:val="Tabletexte"/>
              <w:spacing w:before="40" w:after="40"/>
              <w:jc w:val="center"/>
              <w:rPr>
                <w:b/>
                <w:bCs/>
                <w:sz w:val="18"/>
                <w:szCs w:val="18"/>
                <w:rtl/>
                <w:lang w:val="fr-FR" w:eastAsia="en-US"/>
              </w:rPr>
            </w:pPr>
            <w:r w:rsidRPr="00F80F69">
              <w:rPr>
                <w:sz w:val="18"/>
                <w:szCs w:val="18"/>
              </w:rPr>
              <w:t>624</w:t>
            </w:r>
          </w:p>
        </w:tc>
      </w:tr>
      <w:tr w:rsidR="001C5EE6" w:rsidRPr="00F80F69" w14:paraId="00AF5F9D" w14:textId="77777777" w:rsidTr="005919CC">
        <w:trPr>
          <w:jc w:val="center"/>
        </w:trPr>
        <w:tc>
          <w:tcPr>
            <w:tcW w:w="630" w:type="pct"/>
            <w:tcBorders>
              <w:top w:val="nil"/>
              <w:left w:val="single" w:sz="4" w:space="0" w:color="auto"/>
              <w:bottom w:val="nil"/>
              <w:right w:val="single" w:sz="4" w:space="0" w:color="auto"/>
            </w:tcBorders>
          </w:tcPr>
          <w:p w14:paraId="2F209EAC" w14:textId="77777777" w:rsidR="001C5EE6" w:rsidRPr="00F80F69" w:rsidRDefault="001C5EE6" w:rsidP="000A56FB">
            <w:pPr>
              <w:pStyle w:val="Tabletexte"/>
              <w:spacing w:before="40" w:after="40"/>
              <w:rPr>
                <w:sz w:val="18"/>
                <w:szCs w:val="18"/>
                <w:rtl/>
                <w:lang w:val="fr-FR" w:eastAsia="en-US"/>
              </w:rPr>
            </w:pPr>
            <w:proofErr w:type="spellStart"/>
            <w:r w:rsidRPr="00F80F69">
              <w:rPr>
                <w:sz w:val="18"/>
                <w:szCs w:val="18"/>
                <w:rtl/>
                <w:lang w:val="fr-FR" w:eastAsia="en-US"/>
              </w:rPr>
              <w:t>الأمريكتان</w:t>
            </w:r>
            <w:proofErr w:type="spellEnd"/>
          </w:p>
        </w:tc>
        <w:tc>
          <w:tcPr>
            <w:tcW w:w="344" w:type="pct"/>
            <w:tcBorders>
              <w:top w:val="nil"/>
              <w:left w:val="single" w:sz="4" w:space="0" w:color="auto"/>
              <w:bottom w:val="nil"/>
              <w:right w:val="single" w:sz="4" w:space="0" w:color="auto"/>
            </w:tcBorders>
          </w:tcPr>
          <w:p w14:paraId="11740308" w14:textId="7EFC7DFB" w:rsidR="001C5EE6" w:rsidRPr="00F80F69" w:rsidRDefault="00107764" w:rsidP="00015F02">
            <w:pPr>
              <w:pStyle w:val="Tabletexte"/>
              <w:spacing w:before="40" w:after="40"/>
              <w:jc w:val="center"/>
              <w:rPr>
                <w:sz w:val="18"/>
                <w:szCs w:val="18"/>
                <w:rtl/>
                <w:lang w:val="fr-FR" w:eastAsia="en-US"/>
              </w:rPr>
            </w:pPr>
            <w:r w:rsidRPr="00F80F69">
              <w:rPr>
                <w:sz w:val="18"/>
                <w:szCs w:val="18"/>
              </w:rPr>
              <w:t>9</w:t>
            </w:r>
          </w:p>
        </w:tc>
        <w:tc>
          <w:tcPr>
            <w:tcW w:w="526" w:type="pct"/>
            <w:tcBorders>
              <w:top w:val="nil"/>
              <w:left w:val="single" w:sz="4" w:space="0" w:color="auto"/>
              <w:bottom w:val="nil"/>
              <w:right w:val="single" w:sz="4" w:space="0" w:color="auto"/>
            </w:tcBorders>
          </w:tcPr>
          <w:p w14:paraId="2AA4F584" w14:textId="4AE5CF7A" w:rsidR="001C5EE6" w:rsidRPr="00F80F69" w:rsidRDefault="00107764" w:rsidP="00015F02">
            <w:pPr>
              <w:pStyle w:val="Tabletexte"/>
              <w:spacing w:before="40" w:after="40"/>
              <w:jc w:val="center"/>
              <w:rPr>
                <w:sz w:val="18"/>
                <w:szCs w:val="18"/>
                <w:rtl/>
                <w:lang w:val="fr-FR" w:eastAsia="en-US"/>
              </w:rPr>
            </w:pPr>
            <w:r w:rsidRPr="00F80F69">
              <w:rPr>
                <w:sz w:val="18"/>
                <w:szCs w:val="18"/>
              </w:rPr>
              <w:t>1 081</w:t>
            </w:r>
          </w:p>
        </w:tc>
        <w:tc>
          <w:tcPr>
            <w:tcW w:w="322" w:type="pct"/>
            <w:tcBorders>
              <w:top w:val="nil"/>
              <w:left w:val="single" w:sz="4" w:space="0" w:color="auto"/>
              <w:bottom w:val="nil"/>
              <w:right w:val="single" w:sz="4" w:space="0" w:color="auto"/>
            </w:tcBorders>
          </w:tcPr>
          <w:p w14:paraId="156B97DB" w14:textId="7D4F1BF6" w:rsidR="001C5EE6" w:rsidRPr="00F80F69" w:rsidRDefault="00107764" w:rsidP="00015F02">
            <w:pPr>
              <w:pStyle w:val="Tabletexte"/>
              <w:spacing w:before="40" w:after="40"/>
              <w:jc w:val="center"/>
              <w:rPr>
                <w:sz w:val="18"/>
                <w:szCs w:val="18"/>
                <w:rtl/>
                <w:lang w:val="fr-FR" w:eastAsia="en-US"/>
              </w:rPr>
            </w:pPr>
            <w:r w:rsidRPr="00F80F69">
              <w:rPr>
                <w:sz w:val="18"/>
                <w:szCs w:val="18"/>
              </w:rPr>
              <w:t>0</w:t>
            </w:r>
          </w:p>
        </w:tc>
        <w:tc>
          <w:tcPr>
            <w:tcW w:w="535" w:type="pct"/>
            <w:tcBorders>
              <w:top w:val="nil"/>
              <w:left w:val="single" w:sz="4" w:space="0" w:color="auto"/>
              <w:bottom w:val="nil"/>
              <w:right w:val="single" w:sz="4" w:space="0" w:color="auto"/>
            </w:tcBorders>
          </w:tcPr>
          <w:p w14:paraId="5BAD6A4C" w14:textId="50084695" w:rsidR="001C5EE6" w:rsidRPr="00F80F69" w:rsidRDefault="00107764" w:rsidP="00015F02">
            <w:pPr>
              <w:pStyle w:val="Tabletexte"/>
              <w:spacing w:before="40" w:after="40"/>
              <w:jc w:val="center"/>
              <w:rPr>
                <w:sz w:val="18"/>
                <w:szCs w:val="18"/>
                <w:rtl/>
                <w:lang w:val="fr-FR" w:eastAsia="en-US"/>
              </w:rPr>
            </w:pPr>
            <w:r w:rsidRPr="00F80F69">
              <w:rPr>
                <w:sz w:val="18"/>
                <w:szCs w:val="18"/>
              </w:rPr>
              <w:t>0</w:t>
            </w:r>
          </w:p>
        </w:tc>
        <w:tc>
          <w:tcPr>
            <w:tcW w:w="317" w:type="pct"/>
            <w:tcBorders>
              <w:top w:val="nil"/>
              <w:left w:val="single" w:sz="4" w:space="0" w:color="auto"/>
              <w:bottom w:val="nil"/>
              <w:right w:val="single" w:sz="4" w:space="0" w:color="auto"/>
            </w:tcBorders>
          </w:tcPr>
          <w:p w14:paraId="26D3D93A" w14:textId="5B756F08" w:rsidR="001C5EE6" w:rsidRPr="00F80F69" w:rsidRDefault="00107764" w:rsidP="00015F02">
            <w:pPr>
              <w:pStyle w:val="Tabletexte"/>
              <w:spacing w:before="40" w:after="40"/>
              <w:jc w:val="center"/>
              <w:rPr>
                <w:sz w:val="18"/>
                <w:szCs w:val="18"/>
                <w:rtl/>
                <w:lang w:val="fr-FR" w:eastAsia="en-US"/>
              </w:rPr>
            </w:pPr>
            <w:r w:rsidRPr="00F80F69">
              <w:rPr>
                <w:sz w:val="18"/>
                <w:szCs w:val="18"/>
              </w:rPr>
              <w:t>1</w:t>
            </w:r>
          </w:p>
        </w:tc>
        <w:tc>
          <w:tcPr>
            <w:tcW w:w="546" w:type="pct"/>
            <w:tcBorders>
              <w:top w:val="nil"/>
              <w:left w:val="single" w:sz="4" w:space="0" w:color="auto"/>
              <w:bottom w:val="nil"/>
              <w:right w:val="single" w:sz="4" w:space="0" w:color="auto"/>
            </w:tcBorders>
          </w:tcPr>
          <w:p w14:paraId="284143F6" w14:textId="4EE0A8FD" w:rsidR="001C5EE6" w:rsidRPr="00F80F69" w:rsidRDefault="00107764" w:rsidP="00015F02">
            <w:pPr>
              <w:pStyle w:val="Tabletexte"/>
              <w:spacing w:before="40" w:after="40"/>
              <w:jc w:val="center"/>
              <w:rPr>
                <w:sz w:val="18"/>
                <w:szCs w:val="18"/>
                <w:rtl/>
                <w:lang w:val="fr-FR" w:eastAsia="en-US"/>
              </w:rPr>
            </w:pPr>
            <w:r w:rsidRPr="00F80F69">
              <w:rPr>
                <w:sz w:val="18"/>
                <w:szCs w:val="18"/>
              </w:rPr>
              <w:t>19</w:t>
            </w:r>
          </w:p>
        </w:tc>
        <w:tc>
          <w:tcPr>
            <w:tcW w:w="321" w:type="pct"/>
            <w:tcBorders>
              <w:top w:val="nil"/>
              <w:left w:val="single" w:sz="4" w:space="0" w:color="auto"/>
              <w:bottom w:val="nil"/>
              <w:right w:val="single" w:sz="4" w:space="0" w:color="auto"/>
            </w:tcBorders>
          </w:tcPr>
          <w:p w14:paraId="6AD90F8D" w14:textId="1BBFD9B0" w:rsidR="001C5EE6" w:rsidRPr="00F80F69" w:rsidRDefault="00107764" w:rsidP="00015F02">
            <w:pPr>
              <w:pStyle w:val="Tabletexte"/>
              <w:spacing w:before="40" w:after="40"/>
              <w:jc w:val="center"/>
              <w:rPr>
                <w:sz w:val="18"/>
                <w:szCs w:val="18"/>
                <w:rtl/>
                <w:lang w:val="fr-FR" w:eastAsia="en-US"/>
              </w:rPr>
            </w:pPr>
            <w:r w:rsidRPr="00F80F69">
              <w:rPr>
                <w:sz w:val="18"/>
                <w:szCs w:val="18"/>
                <w:lang w:val="fr-FR" w:eastAsia="en-US"/>
              </w:rPr>
              <w:t>0</w:t>
            </w:r>
          </w:p>
        </w:tc>
        <w:tc>
          <w:tcPr>
            <w:tcW w:w="545" w:type="pct"/>
            <w:tcBorders>
              <w:top w:val="nil"/>
              <w:left w:val="single" w:sz="4" w:space="0" w:color="auto"/>
              <w:bottom w:val="nil"/>
              <w:right w:val="single" w:sz="4" w:space="0" w:color="auto"/>
            </w:tcBorders>
          </w:tcPr>
          <w:p w14:paraId="2436969A" w14:textId="2A0EFE5E" w:rsidR="001C5EE6" w:rsidRPr="00015F02" w:rsidRDefault="00107764" w:rsidP="00015F02">
            <w:pPr>
              <w:pStyle w:val="Tabletexte"/>
              <w:spacing w:before="40" w:after="40"/>
              <w:jc w:val="center"/>
              <w:rPr>
                <w:sz w:val="18"/>
                <w:szCs w:val="18"/>
                <w:rtl/>
                <w:lang w:eastAsia="en-US"/>
              </w:rPr>
            </w:pPr>
            <w:r w:rsidRPr="00F80F69">
              <w:rPr>
                <w:sz w:val="18"/>
                <w:szCs w:val="18"/>
                <w:lang w:val="fr-FR" w:eastAsia="en-US"/>
              </w:rPr>
              <w:t>0</w:t>
            </w:r>
          </w:p>
        </w:tc>
        <w:tc>
          <w:tcPr>
            <w:tcW w:w="338" w:type="pct"/>
            <w:tcBorders>
              <w:top w:val="nil"/>
              <w:left w:val="single" w:sz="4" w:space="0" w:color="auto"/>
              <w:bottom w:val="nil"/>
              <w:right w:val="single" w:sz="4" w:space="0" w:color="auto"/>
            </w:tcBorders>
          </w:tcPr>
          <w:p w14:paraId="5D3C4785" w14:textId="1BC06115" w:rsidR="001C5EE6" w:rsidRPr="00F80F69" w:rsidRDefault="00107764" w:rsidP="00015F02">
            <w:pPr>
              <w:pStyle w:val="Tabletexte"/>
              <w:spacing w:before="40" w:after="40"/>
              <w:jc w:val="center"/>
              <w:rPr>
                <w:b/>
                <w:bCs/>
                <w:sz w:val="18"/>
                <w:szCs w:val="18"/>
                <w:rtl/>
                <w:lang w:val="fr-FR" w:eastAsia="en-US"/>
              </w:rPr>
            </w:pPr>
            <w:r w:rsidRPr="00F80F69">
              <w:rPr>
                <w:b/>
                <w:bCs/>
                <w:sz w:val="18"/>
                <w:szCs w:val="18"/>
              </w:rPr>
              <w:t>10</w:t>
            </w:r>
          </w:p>
        </w:tc>
        <w:tc>
          <w:tcPr>
            <w:tcW w:w="576" w:type="pct"/>
            <w:tcBorders>
              <w:top w:val="nil"/>
              <w:left w:val="single" w:sz="4" w:space="0" w:color="auto"/>
              <w:bottom w:val="nil"/>
              <w:right w:val="single" w:sz="4" w:space="0" w:color="auto"/>
            </w:tcBorders>
          </w:tcPr>
          <w:p w14:paraId="6C908E48" w14:textId="5E937B74" w:rsidR="001C5EE6" w:rsidRPr="00F80F69" w:rsidRDefault="00107764" w:rsidP="00015F02">
            <w:pPr>
              <w:pStyle w:val="Tabletexte"/>
              <w:spacing w:before="40" w:after="40"/>
              <w:jc w:val="center"/>
              <w:rPr>
                <w:b/>
                <w:bCs/>
                <w:sz w:val="18"/>
                <w:szCs w:val="18"/>
                <w:rtl/>
                <w:lang w:val="fr-FR" w:eastAsia="en-US"/>
              </w:rPr>
            </w:pPr>
            <w:r w:rsidRPr="00F80F69">
              <w:rPr>
                <w:sz w:val="18"/>
                <w:szCs w:val="18"/>
              </w:rPr>
              <w:t>1 100</w:t>
            </w:r>
          </w:p>
        </w:tc>
      </w:tr>
      <w:tr w:rsidR="001C5EE6" w:rsidRPr="00F80F69" w14:paraId="7C8F52C8" w14:textId="77777777" w:rsidTr="005919CC">
        <w:trPr>
          <w:jc w:val="center"/>
        </w:trPr>
        <w:tc>
          <w:tcPr>
            <w:tcW w:w="630" w:type="pct"/>
            <w:tcBorders>
              <w:top w:val="nil"/>
              <w:left w:val="single" w:sz="4" w:space="0" w:color="auto"/>
              <w:bottom w:val="nil"/>
              <w:right w:val="single" w:sz="4" w:space="0" w:color="auto"/>
            </w:tcBorders>
          </w:tcPr>
          <w:p w14:paraId="62F3BC76" w14:textId="77777777" w:rsidR="001C5EE6" w:rsidRPr="00F80F69" w:rsidRDefault="001C5EE6" w:rsidP="000A56FB">
            <w:pPr>
              <w:pStyle w:val="Tabletexte"/>
              <w:spacing w:before="40" w:after="40"/>
              <w:rPr>
                <w:sz w:val="18"/>
                <w:szCs w:val="18"/>
                <w:rtl/>
                <w:lang w:val="fr-FR" w:eastAsia="en-US"/>
              </w:rPr>
            </w:pPr>
            <w:r w:rsidRPr="00F80F69">
              <w:rPr>
                <w:sz w:val="18"/>
                <w:szCs w:val="18"/>
                <w:rtl/>
                <w:lang w:val="fr-FR" w:eastAsia="en-US"/>
              </w:rPr>
              <w:t>الدول العربية</w:t>
            </w:r>
          </w:p>
        </w:tc>
        <w:tc>
          <w:tcPr>
            <w:tcW w:w="344" w:type="pct"/>
            <w:tcBorders>
              <w:top w:val="nil"/>
              <w:left w:val="single" w:sz="4" w:space="0" w:color="auto"/>
              <w:bottom w:val="nil"/>
              <w:right w:val="single" w:sz="4" w:space="0" w:color="auto"/>
            </w:tcBorders>
          </w:tcPr>
          <w:p w14:paraId="3B91DE13" w14:textId="5E7E4355" w:rsidR="001C5EE6" w:rsidRPr="00F80F69" w:rsidRDefault="00107764" w:rsidP="00015F02">
            <w:pPr>
              <w:pStyle w:val="Tabletexte"/>
              <w:spacing w:before="40" w:after="40"/>
              <w:jc w:val="center"/>
              <w:rPr>
                <w:sz w:val="18"/>
                <w:szCs w:val="18"/>
                <w:rtl/>
                <w:lang w:val="fr-FR" w:eastAsia="en-US"/>
              </w:rPr>
            </w:pPr>
            <w:r w:rsidRPr="00F80F69">
              <w:rPr>
                <w:sz w:val="18"/>
                <w:szCs w:val="18"/>
              </w:rPr>
              <w:t>7</w:t>
            </w:r>
          </w:p>
        </w:tc>
        <w:tc>
          <w:tcPr>
            <w:tcW w:w="526" w:type="pct"/>
            <w:tcBorders>
              <w:top w:val="nil"/>
              <w:left w:val="single" w:sz="4" w:space="0" w:color="auto"/>
              <w:bottom w:val="nil"/>
              <w:right w:val="single" w:sz="4" w:space="0" w:color="auto"/>
            </w:tcBorders>
          </w:tcPr>
          <w:p w14:paraId="660150B9" w14:textId="2FF2D272" w:rsidR="001C5EE6" w:rsidRPr="00F80F69" w:rsidRDefault="00107764" w:rsidP="00015F02">
            <w:pPr>
              <w:pStyle w:val="Tabletexte"/>
              <w:spacing w:before="40" w:after="40"/>
              <w:jc w:val="center"/>
              <w:rPr>
                <w:sz w:val="18"/>
                <w:szCs w:val="18"/>
                <w:rtl/>
                <w:lang w:val="fr-FR" w:eastAsia="en-US"/>
              </w:rPr>
            </w:pPr>
            <w:r w:rsidRPr="00F80F69">
              <w:rPr>
                <w:sz w:val="18"/>
                <w:szCs w:val="18"/>
              </w:rPr>
              <w:t>257</w:t>
            </w:r>
          </w:p>
        </w:tc>
        <w:tc>
          <w:tcPr>
            <w:tcW w:w="322" w:type="pct"/>
            <w:tcBorders>
              <w:top w:val="nil"/>
              <w:left w:val="single" w:sz="4" w:space="0" w:color="auto"/>
              <w:bottom w:val="nil"/>
              <w:right w:val="single" w:sz="4" w:space="0" w:color="auto"/>
            </w:tcBorders>
          </w:tcPr>
          <w:p w14:paraId="5B82B088" w14:textId="7B83ADED" w:rsidR="001C5EE6" w:rsidRPr="00F80F69" w:rsidRDefault="00107764" w:rsidP="00015F02">
            <w:pPr>
              <w:pStyle w:val="Tabletexte"/>
              <w:spacing w:before="40" w:after="40"/>
              <w:jc w:val="center"/>
              <w:rPr>
                <w:sz w:val="18"/>
                <w:szCs w:val="18"/>
                <w:rtl/>
                <w:lang w:val="fr-FR" w:eastAsia="en-US"/>
              </w:rPr>
            </w:pPr>
            <w:r w:rsidRPr="00F80F69">
              <w:rPr>
                <w:sz w:val="18"/>
                <w:szCs w:val="18"/>
              </w:rPr>
              <w:t>0</w:t>
            </w:r>
          </w:p>
        </w:tc>
        <w:tc>
          <w:tcPr>
            <w:tcW w:w="535" w:type="pct"/>
            <w:tcBorders>
              <w:top w:val="nil"/>
              <w:left w:val="single" w:sz="4" w:space="0" w:color="auto"/>
              <w:bottom w:val="nil"/>
              <w:right w:val="single" w:sz="4" w:space="0" w:color="auto"/>
            </w:tcBorders>
          </w:tcPr>
          <w:p w14:paraId="3FBB3DC1" w14:textId="70FF40A7" w:rsidR="001C5EE6" w:rsidRPr="00F80F69" w:rsidRDefault="00107764" w:rsidP="00015F02">
            <w:pPr>
              <w:pStyle w:val="Tabletexte"/>
              <w:spacing w:before="40" w:after="40"/>
              <w:jc w:val="center"/>
              <w:rPr>
                <w:sz w:val="18"/>
                <w:szCs w:val="18"/>
                <w:rtl/>
                <w:lang w:val="fr-FR" w:eastAsia="en-US"/>
              </w:rPr>
            </w:pPr>
            <w:r w:rsidRPr="00F80F69">
              <w:rPr>
                <w:sz w:val="18"/>
                <w:szCs w:val="18"/>
              </w:rPr>
              <w:t>0</w:t>
            </w:r>
          </w:p>
        </w:tc>
        <w:tc>
          <w:tcPr>
            <w:tcW w:w="317" w:type="pct"/>
            <w:tcBorders>
              <w:top w:val="nil"/>
              <w:left w:val="single" w:sz="4" w:space="0" w:color="auto"/>
              <w:bottom w:val="nil"/>
              <w:right w:val="single" w:sz="4" w:space="0" w:color="auto"/>
            </w:tcBorders>
          </w:tcPr>
          <w:p w14:paraId="0D3CE19E" w14:textId="03F0F45A" w:rsidR="001C5EE6" w:rsidRPr="00F80F69" w:rsidRDefault="00107764" w:rsidP="00015F02">
            <w:pPr>
              <w:pStyle w:val="Tabletexte"/>
              <w:spacing w:before="40" w:after="40"/>
              <w:jc w:val="center"/>
              <w:rPr>
                <w:sz w:val="18"/>
                <w:szCs w:val="18"/>
                <w:rtl/>
                <w:lang w:val="fr-FR" w:eastAsia="en-US"/>
              </w:rPr>
            </w:pPr>
            <w:r w:rsidRPr="00F80F69">
              <w:rPr>
                <w:sz w:val="18"/>
                <w:szCs w:val="18"/>
              </w:rPr>
              <w:t>0</w:t>
            </w:r>
          </w:p>
        </w:tc>
        <w:tc>
          <w:tcPr>
            <w:tcW w:w="546" w:type="pct"/>
            <w:tcBorders>
              <w:top w:val="nil"/>
              <w:left w:val="single" w:sz="4" w:space="0" w:color="auto"/>
              <w:bottom w:val="nil"/>
              <w:right w:val="single" w:sz="4" w:space="0" w:color="auto"/>
            </w:tcBorders>
          </w:tcPr>
          <w:p w14:paraId="73A82F54" w14:textId="5E1618A6" w:rsidR="001C5EE6" w:rsidRPr="00F80F69" w:rsidRDefault="00107764" w:rsidP="00015F02">
            <w:pPr>
              <w:pStyle w:val="Tabletexte"/>
              <w:spacing w:before="40" w:after="40"/>
              <w:jc w:val="center"/>
              <w:rPr>
                <w:sz w:val="18"/>
                <w:szCs w:val="18"/>
                <w:rtl/>
                <w:lang w:val="fr-FR" w:eastAsia="en-US"/>
              </w:rPr>
            </w:pPr>
            <w:r w:rsidRPr="00F80F69">
              <w:rPr>
                <w:sz w:val="18"/>
                <w:szCs w:val="18"/>
              </w:rPr>
              <w:t>0</w:t>
            </w:r>
          </w:p>
        </w:tc>
        <w:tc>
          <w:tcPr>
            <w:tcW w:w="321" w:type="pct"/>
            <w:tcBorders>
              <w:top w:val="nil"/>
              <w:left w:val="single" w:sz="4" w:space="0" w:color="auto"/>
              <w:bottom w:val="nil"/>
              <w:right w:val="single" w:sz="4" w:space="0" w:color="auto"/>
            </w:tcBorders>
          </w:tcPr>
          <w:p w14:paraId="162CADEB" w14:textId="10BC76B8" w:rsidR="001C5EE6" w:rsidRPr="00F80F69" w:rsidRDefault="00107764" w:rsidP="00015F02">
            <w:pPr>
              <w:pStyle w:val="Tabletexte"/>
              <w:spacing w:before="40" w:after="40"/>
              <w:jc w:val="center"/>
              <w:rPr>
                <w:sz w:val="18"/>
                <w:szCs w:val="18"/>
                <w:rtl/>
                <w:lang w:val="fr-FR" w:eastAsia="en-US"/>
              </w:rPr>
            </w:pPr>
            <w:r w:rsidRPr="00F80F69">
              <w:rPr>
                <w:sz w:val="18"/>
                <w:szCs w:val="18"/>
                <w:lang w:val="fr-FR" w:eastAsia="en-US"/>
              </w:rPr>
              <w:t>0</w:t>
            </w:r>
          </w:p>
        </w:tc>
        <w:tc>
          <w:tcPr>
            <w:tcW w:w="545" w:type="pct"/>
            <w:tcBorders>
              <w:top w:val="nil"/>
              <w:left w:val="single" w:sz="4" w:space="0" w:color="auto"/>
              <w:bottom w:val="nil"/>
              <w:right w:val="single" w:sz="4" w:space="0" w:color="auto"/>
            </w:tcBorders>
          </w:tcPr>
          <w:p w14:paraId="4B18C259" w14:textId="29231F3A" w:rsidR="001C5EE6" w:rsidRPr="00F80F69" w:rsidRDefault="00107764" w:rsidP="00015F02">
            <w:pPr>
              <w:pStyle w:val="Tabletexte"/>
              <w:spacing w:before="40" w:after="40"/>
              <w:jc w:val="center"/>
              <w:rPr>
                <w:sz w:val="18"/>
                <w:szCs w:val="18"/>
                <w:rtl/>
                <w:lang w:val="fr-FR" w:eastAsia="en-US"/>
              </w:rPr>
            </w:pPr>
            <w:r w:rsidRPr="00F80F69">
              <w:rPr>
                <w:sz w:val="18"/>
                <w:szCs w:val="18"/>
                <w:lang w:val="fr-FR" w:eastAsia="en-US"/>
              </w:rPr>
              <w:t>0</w:t>
            </w:r>
          </w:p>
        </w:tc>
        <w:tc>
          <w:tcPr>
            <w:tcW w:w="338" w:type="pct"/>
            <w:tcBorders>
              <w:top w:val="nil"/>
              <w:left w:val="single" w:sz="4" w:space="0" w:color="auto"/>
              <w:bottom w:val="nil"/>
              <w:right w:val="single" w:sz="4" w:space="0" w:color="auto"/>
            </w:tcBorders>
          </w:tcPr>
          <w:p w14:paraId="0FE4B018" w14:textId="7CB67AB0" w:rsidR="001C5EE6" w:rsidRPr="00F80F69" w:rsidRDefault="00107764" w:rsidP="00015F02">
            <w:pPr>
              <w:pStyle w:val="Tabletexte"/>
              <w:spacing w:before="40" w:after="40"/>
              <w:jc w:val="center"/>
              <w:rPr>
                <w:b/>
                <w:bCs/>
                <w:sz w:val="18"/>
                <w:szCs w:val="18"/>
                <w:rtl/>
                <w:lang w:val="fr-FR" w:eastAsia="en-US"/>
              </w:rPr>
            </w:pPr>
            <w:r w:rsidRPr="00F80F69">
              <w:rPr>
                <w:b/>
                <w:bCs/>
                <w:sz w:val="18"/>
                <w:szCs w:val="18"/>
              </w:rPr>
              <w:t>7</w:t>
            </w:r>
          </w:p>
        </w:tc>
        <w:tc>
          <w:tcPr>
            <w:tcW w:w="576" w:type="pct"/>
            <w:tcBorders>
              <w:top w:val="nil"/>
              <w:left w:val="single" w:sz="4" w:space="0" w:color="auto"/>
              <w:bottom w:val="nil"/>
              <w:right w:val="single" w:sz="4" w:space="0" w:color="auto"/>
            </w:tcBorders>
          </w:tcPr>
          <w:p w14:paraId="53444170" w14:textId="42DE09B2" w:rsidR="001C5EE6" w:rsidRPr="00F80F69" w:rsidRDefault="00107764" w:rsidP="00015F02">
            <w:pPr>
              <w:pStyle w:val="Tabletexte"/>
              <w:spacing w:before="40" w:after="40"/>
              <w:jc w:val="center"/>
              <w:rPr>
                <w:b/>
                <w:bCs/>
                <w:sz w:val="18"/>
                <w:szCs w:val="18"/>
                <w:rtl/>
                <w:lang w:val="fr-FR" w:eastAsia="en-US"/>
              </w:rPr>
            </w:pPr>
            <w:r w:rsidRPr="00F80F69">
              <w:rPr>
                <w:sz w:val="18"/>
                <w:szCs w:val="18"/>
              </w:rPr>
              <w:t>257</w:t>
            </w:r>
          </w:p>
        </w:tc>
      </w:tr>
      <w:tr w:rsidR="001C5EE6" w:rsidRPr="00F80F69" w14:paraId="2D3B5012" w14:textId="77777777" w:rsidTr="005919CC">
        <w:trPr>
          <w:jc w:val="center"/>
        </w:trPr>
        <w:tc>
          <w:tcPr>
            <w:tcW w:w="630" w:type="pct"/>
            <w:tcBorders>
              <w:top w:val="nil"/>
              <w:left w:val="single" w:sz="4" w:space="0" w:color="auto"/>
              <w:bottom w:val="nil"/>
              <w:right w:val="single" w:sz="4" w:space="0" w:color="auto"/>
            </w:tcBorders>
          </w:tcPr>
          <w:p w14:paraId="2167AE7B" w14:textId="77777777" w:rsidR="001C5EE6" w:rsidRPr="00637030" w:rsidRDefault="001C5EE6" w:rsidP="000A56FB">
            <w:pPr>
              <w:pStyle w:val="Tabletexte"/>
              <w:spacing w:before="40" w:after="40"/>
              <w:rPr>
                <w:sz w:val="18"/>
                <w:szCs w:val="18"/>
                <w:rtl/>
                <w:lang w:val="fr-FR" w:eastAsia="en-US"/>
              </w:rPr>
            </w:pPr>
            <w:r w:rsidRPr="00637030">
              <w:rPr>
                <w:sz w:val="18"/>
                <w:szCs w:val="18"/>
                <w:rtl/>
                <w:lang w:val="fr-FR" w:eastAsia="en-US"/>
              </w:rPr>
              <w:t>آسيا والمحيط الهادئ</w:t>
            </w:r>
          </w:p>
        </w:tc>
        <w:tc>
          <w:tcPr>
            <w:tcW w:w="344" w:type="pct"/>
            <w:tcBorders>
              <w:top w:val="nil"/>
              <w:left w:val="single" w:sz="4" w:space="0" w:color="auto"/>
              <w:bottom w:val="nil"/>
              <w:right w:val="single" w:sz="4" w:space="0" w:color="auto"/>
            </w:tcBorders>
          </w:tcPr>
          <w:p w14:paraId="219D66D9" w14:textId="346897F6" w:rsidR="001C5EE6" w:rsidRPr="00F80F69" w:rsidRDefault="00107764" w:rsidP="00015F02">
            <w:pPr>
              <w:pStyle w:val="Tabletexte"/>
              <w:spacing w:before="40" w:after="40"/>
              <w:jc w:val="center"/>
              <w:rPr>
                <w:sz w:val="18"/>
                <w:szCs w:val="18"/>
                <w:rtl/>
                <w:lang w:val="fr-FR" w:eastAsia="en-US"/>
              </w:rPr>
            </w:pPr>
            <w:r w:rsidRPr="00F80F69">
              <w:rPr>
                <w:sz w:val="18"/>
                <w:szCs w:val="18"/>
              </w:rPr>
              <w:t>12</w:t>
            </w:r>
          </w:p>
        </w:tc>
        <w:tc>
          <w:tcPr>
            <w:tcW w:w="526" w:type="pct"/>
            <w:tcBorders>
              <w:top w:val="nil"/>
              <w:left w:val="single" w:sz="4" w:space="0" w:color="auto"/>
              <w:bottom w:val="nil"/>
              <w:right w:val="single" w:sz="4" w:space="0" w:color="auto"/>
            </w:tcBorders>
          </w:tcPr>
          <w:p w14:paraId="2E7F5538" w14:textId="2D0F036E" w:rsidR="001C5EE6" w:rsidRPr="00F80F69" w:rsidRDefault="00107764" w:rsidP="00015F02">
            <w:pPr>
              <w:pStyle w:val="Tabletexte"/>
              <w:spacing w:before="40" w:after="40"/>
              <w:jc w:val="center"/>
              <w:rPr>
                <w:sz w:val="18"/>
                <w:szCs w:val="18"/>
                <w:rtl/>
                <w:lang w:val="fr-FR" w:eastAsia="en-US"/>
              </w:rPr>
            </w:pPr>
            <w:r w:rsidRPr="00F80F69">
              <w:rPr>
                <w:sz w:val="18"/>
                <w:szCs w:val="18"/>
              </w:rPr>
              <w:t>578</w:t>
            </w:r>
          </w:p>
        </w:tc>
        <w:tc>
          <w:tcPr>
            <w:tcW w:w="322" w:type="pct"/>
            <w:tcBorders>
              <w:top w:val="nil"/>
              <w:left w:val="single" w:sz="4" w:space="0" w:color="auto"/>
              <w:bottom w:val="nil"/>
              <w:right w:val="single" w:sz="4" w:space="0" w:color="auto"/>
            </w:tcBorders>
          </w:tcPr>
          <w:p w14:paraId="65F51CA2" w14:textId="7F35EB63" w:rsidR="001C5EE6" w:rsidRPr="00F80F69" w:rsidRDefault="00107764" w:rsidP="00015F02">
            <w:pPr>
              <w:pStyle w:val="Tabletexte"/>
              <w:spacing w:before="40" w:after="40"/>
              <w:jc w:val="center"/>
              <w:rPr>
                <w:sz w:val="18"/>
                <w:szCs w:val="18"/>
                <w:rtl/>
                <w:lang w:val="fr-FR" w:eastAsia="en-US"/>
              </w:rPr>
            </w:pPr>
            <w:r w:rsidRPr="00F80F69">
              <w:rPr>
                <w:sz w:val="18"/>
                <w:szCs w:val="18"/>
              </w:rPr>
              <w:t>1</w:t>
            </w:r>
          </w:p>
        </w:tc>
        <w:tc>
          <w:tcPr>
            <w:tcW w:w="535" w:type="pct"/>
            <w:tcBorders>
              <w:top w:val="nil"/>
              <w:left w:val="single" w:sz="4" w:space="0" w:color="auto"/>
              <w:bottom w:val="nil"/>
              <w:right w:val="single" w:sz="4" w:space="0" w:color="auto"/>
            </w:tcBorders>
          </w:tcPr>
          <w:p w14:paraId="07586426" w14:textId="1A5B4949" w:rsidR="001C5EE6" w:rsidRPr="00F80F69" w:rsidRDefault="00107764" w:rsidP="00015F02">
            <w:pPr>
              <w:pStyle w:val="Tabletexte"/>
              <w:spacing w:before="40" w:after="40"/>
              <w:jc w:val="center"/>
              <w:rPr>
                <w:sz w:val="18"/>
                <w:szCs w:val="18"/>
                <w:rtl/>
                <w:lang w:val="fr-FR" w:eastAsia="en-US"/>
              </w:rPr>
            </w:pPr>
            <w:r w:rsidRPr="00F80F69">
              <w:rPr>
                <w:sz w:val="18"/>
                <w:szCs w:val="18"/>
              </w:rPr>
              <w:t>0</w:t>
            </w:r>
          </w:p>
        </w:tc>
        <w:tc>
          <w:tcPr>
            <w:tcW w:w="317" w:type="pct"/>
            <w:tcBorders>
              <w:top w:val="nil"/>
              <w:left w:val="single" w:sz="4" w:space="0" w:color="auto"/>
              <w:bottom w:val="nil"/>
              <w:right w:val="single" w:sz="4" w:space="0" w:color="auto"/>
            </w:tcBorders>
          </w:tcPr>
          <w:p w14:paraId="6506AB7E" w14:textId="03FF5FA1" w:rsidR="001C5EE6" w:rsidRPr="00F80F69" w:rsidRDefault="00107764" w:rsidP="00015F02">
            <w:pPr>
              <w:pStyle w:val="Tabletexte"/>
              <w:spacing w:before="40" w:after="40"/>
              <w:jc w:val="center"/>
              <w:rPr>
                <w:sz w:val="18"/>
                <w:szCs w:val="18"/>
                <w:rtl/>
                <w:lang w:val="fr-FR" w:eastAsia="en-US"/>
              </w:rPr>
            </w:pPr>
            <w:r w:rsidRPr="00F80F69">
              <w:rPr>
                <w:sz w:val="18"/>
                <w:szCs w:val="18"/>
              </w:rPr>
              <w:t>1</w:t>
            </w:r>
          </w:p>
        </w:tc>
        <w:tc>
          <w:tcPr>
            <w:tcW w:w="546" w:type="pct"/>
            <w:tcBorders>
              <w:top w:val="nil"/>
              <w:left w:val="single" w:sz="4" w:space="0" w:color="auto"/>
              <w:bottom w:val="nil"/>
              <w:right w:val="single" w:sz="4" w:space="0" w:color="auto"/>
            </w:tcBorders>
          </w:tcPr>
          <w:p w14:paraId="4BEDE8A0" w14:textId="0E27E68F" w:rsidR="001C5EE6" w:rsidRPr="00F80F69" w:rsidRDefault="00107764" w:rsidP="00015F02">
            <w:pPr>
              <w:pStyle w:val="Tabletexte"/>
              <w:spacing w:before="40" w:after="40"/>
              <w:jc w:val="center"/>
              <w:rPr>
                <w:sz w:val="18"/>
                <w:szCs w:val="18"/>
                <w:rtl/>
                <w:lang w:val="fr-FR" w:eastAsia="en-US"/>
              </w:rPr>
            </w:pPr>
            <w:r w:rsidRPr="00F80F69">
              <w:rPr>
                <w:sz w:val="18"/>
                <w:szCs w:val="18"/>
              </w:rPr>
              <w:t>14</w:t>
            </w:r>
          </w:p>
        </w:tc>
        <w:tc>
          <w:tcPr>
            <w:tcW w:w="321" w:type="pct"/>
            <w:tcBorders>
              <w:top w:val="nil"/>
              <w:left w:val="single" w:sz="4" w:space="0" w:color="auto"/>
              <w:bottom w:val="nil"/>
              <w:right w:val="single" w:sz="4" w:space="0" w:color="auto"/>
            </w:tcBorders>
          </w:tcPr>
          <w:p w14:paraId="01021287" w14:textId="2BC4C3F5" w:rsidR="001C5EE6" w:rsidRPr="00F80F69" w:rsidRDefault="00107764" w:rsidP="00015F02">
            <w:pPr>
              <w:pStyle w:val="Tabletexte"/>
              <w:spacing w:before="40" w:after="40"/>
              <w:jc w:val="center"/>
              <w:rPr>
                <w:sz w:val="18"/>
                <w:szCs w:val="18"/>
                <w:rtl/>
                <w:lang w:val="fr-FR" w:eastAsia="en-US"/>
              </w:rPr>
            </w:pPr>
            <w:r w:rsidRPr="00F80F69">
              <w:rPr>
                <w:sz w:val="18"/>
                <w:szCs w:val="18"/>
                <w:lang w:val="fr-FR" w:eastAsia="en-US"/>
              </w:rPr>
              <w:t>0</w:t>
            </w:r>
          </w:p>
        </w:tc>
        <w:tc>
          <w:tcPr>
            <w:tcW w:w="545" w:type="pct"/>
            <w:tcBorders>
              <w:top w:val="nil"/>
              <w:left w:val="single" w:sz="4" w:space="0" w:color="auto"/>
              <w:bottom w:val="nil"/>
              <w:right w:val="single" w:sz="4" w:space="0" w:color="auto"/>
            </w:tcBorders>
          </w:tcPr>
          <w:p w14:paraId="478D74B2" w14:textId="369E56D6" w:rsidR="001C5EE6" w:rsidRPr="00F80F69" w:rsidRDefault="00107764" w:rsidP="00015F02">
            <w:pPr>
              <w:pStyle w:val="Tabletexte"/>
              <w:spacing w:before="40" w:after="40"/>
              <w:jc w:val="center"/>
              <w:rPr>
                <w:sz w:val="18"/>
                <w:szCs w:val="18"/>
                <w:rtl/>
                <w:lang w:val="fr-FR" w:eastAsia="en-US"/>
              </w:rPr>
            </w:pPr>
            <w:r w:rsidRPr="00F80F69">
              <w:rPr>
                <w:sz w:val="18"/>
                <w:szCs w:val="18"/>
                <w:lang w:val="fr-FR" w:eastAsia="en-US"/>
              </w:rPr>
              <w:t>0</w:t>
            </w:r>
          </w:p>
        </w:tc>
        <w:tc>
          <w:tcPr>
            <w:tcW w:w="338" w:type="pct"/>
            <w:tcBorders>
              <w:top w:val="nil"/>
              <w:left w:val="single" w:sz="4" w:space="0" w:color="auto"/>
              <w:bottom w:val="nil"/>
              <w:right w:val="single" w:sz="4" w:space="0" w:color="auto"/>
            </w:tcBorders>
          </w:tcPr>
          <w:p w14:paraId="18C2BE96" w14:textId="72C2E4F0" w:rsidR="001C5EE6" w:rsidRPr="00F80F69" w:rsidRDefault="00107764" w:rsidP="00015F02">
            <w:pPr>
              <w:pStyle w:val="Tabletexte"/>
              <w:spacing w:before="40" w:after="40"/>
              <w:jc w:val="center"/>
              <w:rPr>
                <w:b/>
                <w:bCs/>
                <w:sz w:val="18"/>
                <w:szCs w:val="18"/>
                <w:rtl/>
                <w:lang w:val="fr-FR" w:eastAsia="en-US"/>
              </w:rPr>
            </w:pPr>
            <w:r w:rsidRPr="00F80F69">
              <w:rPr>
                <w:b/>
                <w:bCs/>
                <w:sz w:val="18"/>
                <w:szCs w:val="18"/>
              </w:rPr>
              <w:t>14</w:t>
            </w:r>
          </w:p>
        </w:tc>
        <w:tc>
          <w:tcPr>
            <w:tcW w:w="576" w:type="pct"/>
            <w:tcBorders>
              <w:top w:val="nil"/>
              <w:left w:val="single" w:sz="4" w:space="0" w:color="auto"/>
              <w:bottom w:val="nil"/>
              <w:right w:val="single" w:sz="4" w:space="0" w:color="auto"/>
            </w:tcBorders>
          </w:tcPr>
          <w:p w14:paraId="02165158" w14:textId="15E2871A" w:rsidR="001C5EE6" w:rsidRPr="00F80F69" w:rsidRDefault="00107764" w:rsidP="00015F02">
            <w:pPr>
              <w:pStyle w:val="Tabletexte"/>
              <w:spacing w:before="40" w:after="40"/>
              <w:jc w:val="center"/>
              <w:rPr>
                <w:b/>
                <w:bCs/>
                <w:sz w:val="18"/>
                <w:szCs w:val="18"/>
                <w:rtl/>
                <w:lang w:val="fr-FR" w:eastAsia="en-US"/>
              </w:rPr>
            </w:pPr>
            <w:r w:rsidRPr="00F80F69">
              <w:rPr>
                <w:sz w:val="18"/>
                <w:szCs w:val="18"/>
              </w:rPr>
              <w:t>592</w:t>
            </w:r>
          </w:p>
        </w:tc>
      </w:tr>
      <w:tr w:rsidR="001C5EE6" w:rsidRPr="00F80F69" w14:paraId="4C9135DC" w14:textId="77777777" w:rsidTr="005919CC">
        <w:trPr>
          <w:jc w:val="center"/>
        </w:trPr>
        <w:tc>
          <w:tcPr>
            <w:tcW w:w="630" w:type="pct"/>
            <w:tcBorders>
              <w:top w:val="nil"/>
              <w:left w:val="single" w:sz="4" w:space="0" w:color="auto"/>
              <w:bottom w:val="nil"/>
              <w:right w:val="single" w:sz="4" w:space="0" w:color="auto"/>
            </w:tcBorders>
          </w:tcPr>
          <w:p w14:paraId="577B97BC" w14:textId="77777777" w:rsidR="001C5EE6" w:rsidRPr="00F80F69" w:rsidRDefault="001C5EE6" w:rsidP="000A56FB">
            <w:pPr>
              <w:pStyle w:val="Tabletexte"/>
              <w:spacing w:before="40" w:after="40"/>
              <w:rPr>
                <w:spacing w:val="-8"/>
                <w:sz w:val="18"/>
                <w:szCs w:val="18"/>
                <w:rtl/>
                <w:lang w:val="fr-FR" w:eastAsia="en-US"/>
              </w:rPr>
            </w:pPr>
            <w:r w:rsidRPr="00F80F69">
              <w:rPr>
                <w:sz w:val="18"/>
                <w:szCs w:val="18"/>
                <w:rtl/>
                <w:lang w:val="fr-FR" w:eastAsia="en-US"/>
              </w:rPr>
              <w:t>كومنولث</w:t>
            </w:r>
            <w:r w:rsidRPr="00F80F69">
              <w:rPr>
                <w:spacing w:val="-8"/>
                <w:sz w:val="18"/>
                <w:szCs w:val="18"/>
                <w:rtl/>
                <w:lang w:val="fr-FR" w:eastAsia="en-US"/>
              </w:rPr>
              <w:t xml:space="preserve"> </w:t>
            </w:r>
            <w:r w:rsidRPr="00F80F69">
              <w:rPr>
                <w:spacing w:val="-8"/>
                <w:sz w:val="18"/>
                <w:szCs w:val="18"/>
                <w:rtl/>
                <w:lang w:val="fr-FR" w:eastAsia="en-US"/>
              </w:rPr>
              <w:br/>
              <w:t>الدول المستقلة</w:t>
            </w:r>
          </w:p>
        </w:tc>
        <w:tc>
          <w:tcPr>
            <w:tcW w:w="344" w:type="pct"/>
            <w:tcBorders>
              <w:top w:val="nil"/>
              <w:left w:val="single" w:sz="4" w:space="0" w:color="auto"/>
              <w:bottom w:val="nil"/>
              <w:right w:val="single" w:sz="4" w:space="0" w:color="auto"/>
            </w:tcBorders>
          </w:tcPr>
          <w:p w14:paraId="3B78E5EF" w14:textId="0EEC2847" w:rsidR="001C5EE6" w:rsidRPr="00F80F69" w:rsidRDefault="00107764" w:rsidP="00015F02">
            <w:pPr>
              <w:pStyle w:val="Tabletexte"/>
              <w:spacing w:before="40" w:after="40"/>
              <w:jc w:val="center"/>
              <w:rPr>
                <w:sz w:val="18"/>
                <w:szCs w:val="18"/>
                <w:rtl/>
                <w:lang w:val="fr-FR" w:eastAsia="en-US"/>
              </w:rPr>
            </w:pPr>
            <w:r w:rsidRPr="00F80F69">
              <w:rPr>
                <w:sz w:val="18"/>
                <w:szCs w:val="18"/>
              </w:rPr>
              <w:t>4</w:t>
            </w:r>
          </w:p>
        </w:tc>
        <w:tc>
          <w:tcPr>
            <w:tcW w:w="526" w:type="pct"/>
            <w:tcBorders>
              <w:top w:val="nil"/>
              <w:left w:val="single" w:sz="4" w:space="0" w:color="auto"/>
              <w:bottom w:val="nil"/>
              <w:right w:val="single" w:sz="4" w:space="0" w:color="auto"/>
            </w:tcBorders>
          </w:tcPr>
          <w:p w14:paraId="2819C51D" w14:textId="3150EBB1" w:rsidR="001C5EE6" w:rsidRPr="00F80F69" w:rsidRDefault="00107764" w:rsidP="00015F02">
            <w:pPr>
              <w:pStyle w:val="Tabletexte"/>
              <w:spacing w:before="40" w:after="40"/>
              <w:jc w:val="center"/>
              <w:rPr>
                <w:sz w:val="18"/>
                <w:szCs w:val="18"/>
                <w:rtl/>
                <w:lang w:val="fr-FR" w:eastAsia="en-US"/>
              </w:rPr>
            </w:pPr>
            <w:r w:rsidRPr="00F80F69">
              <w:rPr>
                <w:sz w:val="18"/>
                <w:szCs w:val="18"/>
              </w:rPr>
              <w:t>193</w:t>
            </w:r>
          </w:p>
        </w:tc>
        <w:tc>
          <w:tcPr>
            <w:tcW w:w="322" w:type="pct"/>
            <w:tcBorders>
              <w:top w:val="nil"/>
              <w:left w:val="single" w:sz="4" w:space="0" w:color="auto"/>
              <w:bottom w:val="nil"/>
              <w:right w:val="single" w:sz="4" w:space="0" w:color="auto"/>
            </w:tcBorders>
          </w:tcPr>
          <w:p w14:paraId="7FABA15A" w14:textId="1920EDDB" w:rsidR="001C5EE6" w:rsidRPr="00F80F69" w:rsidRDefault="00107764" w:rsidP="00015F02">
            <w:pPr>
              <w:pStyle w:val="Tabletexte"/>
              <w:spacing w:before="40" w:after="40"/>
              <w:jc w:val="center"/>
              <w:rPr>
                <w:sz w:val="18"/>
                <w:szCs w:val="18"/>
                <w:rtl/>
                <w:lang w:val="fr-FR" w:eastAsia="en-US"/>
              </w:rPr>
            </w:pPr>
            <w:r w:rsidRPr="00F80F69">
              <w:rPr>
                <w:sz w:val="18"/>
                <w:szCs w:val="18"/>
              </w:rPr>
              <w:t>0</w:t>
            </w:r>
          </w:p>
        </w:tc>
        <w:tc>
          <w:tcPr>
            <w:tcW w:w="535" w:type="pct"/>
            <w:tcBorders>
              <w:top w:val="nil"/>
              <w:left w:val="single" w:sz="4" w:space="0" w:color="auto"/>
              <w:bottom w:val="nil"/>
              <w:right w:val="single" w:sz="4" w:space="0" w:color="auto"/>
            </w:tcBorders>
          </w:tcPr>
          <w:p w14:paraId="765A0642" w14:textId="18B5961E" w:rsidR="001C5EE6" w:rsidRPr="00F80F69" w:rsidRDefault="00107764" w:rsidP="00015F02">
            <w:pPr>
              <w:pStyle w:val="Tabletexte"/>
              <w:spacing w:before="40" w:after="40"/>
              <w:jc w:val="center"/>
              <w:rPr>
                <w:sz w:val="18"/>
                <w:szCs w:val="18"/>
                <w:rtl/>
                <w:lang w:val="fr-FR" w:eastAsia="en-US"/>
              </w:rPr>
            </w:pPr>
            <w:r w:rsidRPr="00F80F69">
              <w:rPr>
                <w:sz w:val="18"/>
                <w:szCs w:val="18"/>
              </w:rPr>
              <w:t>0</w:t>
            </w:r>
          </w:p>
        </w:tc>
        <w:tc>
          <w:tcPr>
            <w:tcW w:w="317" w:type="pct"/>
            <w:tcBorders>
              <w:top w:val="nil"/>
              <w:left w:val="single" w:sz="4" w:space="0" w:color="auto"/>
              <w:bottom w:val="nil"/>
              <w:right w:val="single" w:sz="4" w:space="0" w:color="auto"/>
            </w:tcBorders>
          </w:tcPr>
          <w:p w14:paraId="76AF08E2" w14:textId="5FBAD1AA" w:rsidR="001C5EE6" w:rsidRPr="00F80F69" w:rsidRDefault="00107764" w:rsidP="00015F02">
            <w:pPr>
              <w:pStyle w:val="Tabletexte"/>
              <w:spacing w:before="40" w:after="40"/>
              <w:jc w:val="center"/>
              <w:rPr>
                <w:sz w:val="18"/>
                <w:szCs w:val="18"/>
                <w:rtl/>
                <w:lang w:val="fr-FR" w:eastAsia="en-US"/>
              </w:rPr>
            </w:pPr>
            <w:r w:rsidRPr="00F80F69">
              <w:rPr>
                <w:sz w:val="18"/>
                <w:szCs w:val="18"/>
              </w:rPr>
              <w:t>4</w:t>
            </w:r>
          </w:p>
        </w:tc>
        <w:tc>
          <w:tcPr>
            <w:tcW w:w="546" w:type="pct"/>
            <w:tcBorders>
              <w:top w:val="nil"/>
              <w:left w:val="single" w:sz="4" w:space="0" w:color="auto"/>
              <w:bottom w:val="nil"/>
              <w:right w:val="single" w:sz="4" w:space="0" w:color="auto"/>
            </w:tcBorders>
          </w:tcPr>
          <w:p w14:paraId="33F4D07F" w14:textId="5673E638" w:rsidR="001C5EE6" w:rsidRPr="00F80F69" w:rsidRDefault="00107764" w:rsidP="00015F02">
            <w:pPr>
              <w:pStyle w:val="Tabletexte"/>
              <w:spacing w:before="40" w:after="40"/>
              <w:jc w:val="center"/>
              <w:rPr>
                <w:sz w:val="18"/>
                <w:szCs w:val="18"/>
                <w:rtl/>
                <w:lang w:val="fr-FR" w:eastAsia="en-US"/>
              </w:rPr>
            </w:pPr>
            <w:r w:rsidRPr="00F80F69">
              <w:rPr>
                <w:sz w:val="18"/>
                <w:szCs w:val="18"/>
              </w:rPr>
              <w:t>145</w:t>
            </w:r>
          </w:p>
        </w:tc>
        <w:tc>
          <w:tcPr>
            <w:tcW w:w="321" w:type="pct"/>
            <w:tcBorders>
              <w:top w:val="nil"/>
              <w:left w:val="single" w:sz="4" w:space="0" w:color="auto"/>
              <w:bottom w:val="nil"/>
              <w:right w:val="single" w:sz="4" w:space="0" w:color="auto"/>
            </w:tcBorders>
          </w:tcPr>
          <w:p w14:paraId="51EF5E7E" w14:textId="3753D82C" w:rsidR="001C5EE6" w:rsidRPr="00F80F69" w:rsidRDefault="00107764" w:rsidP="00015F02">
            <w:pPr>
              <w:pStyle w:val="Tabletexte"/>
              <w:spacing w:before="40" w:after="40"/>
              <w:jc w:val="center"/>
              <w:rPr>
                <w:sz w:val="18"/>
                <w:szCs w:val="18"/>
                <w:rtl/>
                <w:lang w:val="fr-FR" w:eastAsia="en-US"/>
              </w:rPr>
            </w:pPr>
            <w:r w:rsidRPr="00F80F69">
              <w:rPr>
                <w:sz w:val="18"/>
                <w:szCs w:val="18"/>
                <w:lang w:val="fr-FR" w:eastAsia="en-US"/>
              </w:rPr>
              <w:t>0</w:t>
            </w:r>
          </w:p>
        </w:tc>
        <w:tc>
          <w:tcPr>
            <w:tcW w:w="545" w:type="pct"/>
            <w:tcBorders>
              <w:top w:val="nil"/>
              <w:left w:val="single" w:sz="4" w:space="0" w:color="auto"/>
              <w:bottom w:val="nil"/>
              <w:right w:val="single" w:sz="4" w:space="0" w:color="auto"/>
            </w:tcBorders>
          </w:tcPr>
          <w:p w14:paraId="6708F71D" w14:textId="2698E40E" w:rsidR="001C5EE6" w:rsidRPr="00F80F69" w:rsidRDefault="00107764" w:rsidP="00015F02">
            <w:pPr>
              <w:pStyle w:val="Tabletexte"/>
              <w:spacing w:before="40" w:after="40"/>
              <w:jc w:val="center"/>
              <w:rPr>
                <w:sz w:val="18"/>
                <w:szCs w:val="18"/>
                <w:rtl/>
                <w:lang w:val="fr-FR" w:eastAsia="en-US"/>
              </w:rPr>
            </w:pPr>
            <w:r w:rsidRPr="00F80F69">
              <w:rPr>
                <w:sz w:val="18"/>
                <w:szCs w:val="18"/>
                <w:lang w:val="fr-FR" w:eastAsia="en-US"/>
              </w:rPr>
              <w:t>0</w:t>
            </w:r>
          </w:p>
        </w:tc>
        <w:tc>
          <w:tcPr>
            <w:tcW w:w="338" w:type="pct"/>
            <w:tcBorders>
              <w:top w:val="nil"/>
              <w:left w:val="single" w:sz="4" w:space="0" w:color="auto"/>
              <w:bottom w:val="nil"/>
              <w:right w:val="single" w:sz="4" w:space="0" w:color="auto"/>
            </w:tcBorders>
          </w:tcPr>
          <w:p w14:paraId="5DFD1097" w14:textId="70C410F5" w:rsidR="001C5EE6" w:rsidRPr="00F80F69" w:rsidRDefault="00107764" w:rsidP="00015F02">
            <w:pPr>
              <w:pStyle w:val="Tabletexte"/>
              <w:spacing w:before="40" w:after="40"/>
              <w:jc w:val="center"/>
              <w:rPr>
                <w:b/>
                <w:bCs/>
                <w:sz w:val="18"/>
                <w:szCs w:val="18"/>
                <w:rtl/>
                <w:lang w:val="fr-FR" w:eastAsia="en-US"/>
              </w:rPr>
            </w:pPr>
            <w:r w:rsidRPr="00F80F69">
              <w:rPr>
                <w:b/>
                <w:bCs/>
                <w:sz w:val="18"/>
                <w:szCs w:val="18"/>
              </w:rPr>
              <w:t>8</w:t>
            </w:r>
          </w:p>
        </w:tc>
        <w:tc>
          <w:tcPr>
            <w:tcW w:w="576" w:type="pct"/>
            <w:tcBorders>
              <w:top w:val="nil"/>
              <w:left w:val="single" w:sz="4" w:space="0" w:color="auto"/>
              <w:bottom w:val="nil"/>
              <w:right w:val="single" w:sz="4" w:space="0" w:color="auto"/>
            </w:tcBorders>
          </w:tcPr>
          <w:p w14:paraId="507250C3" w14:textId="3664EBD9" w:rsidR="001C5EE6" w:rsidRPr="00F80F69" w:rsidRDefault="00107764" w:rsidP="00015F02">
            <w:pPr>
              <w:pStyle w:val="Tabletexte"/>
              <w:spacing w:before="40" w:after="40"/>
              <w:jc w:val="center"/>
              <w:rPr>
                <w:b/>
                <w:bCs/>
                <w:sz w:val="18"/>
                <w:szCs w:val="18"/>
                <w:rtl/>
                <w:lang w:val="fr-FR" w:eastAsia="en-US"/>
              </w:rPr>
            </w:pPr>
            <w:r w:rsidRPr="00F80F69">
              <w:rPr>
                <w:sz w:val="18"/>
                <w:szCs w:val="18"/>
              </w:rPr>
              <w:t>338</w:t>
            </w:r>
          </w:p>
        </w:tc>
      </w:tr>
      <w:tr w:rsidR="001C5EE6" w:rsidRPr="00F80F69" w14:paraId="32DE10B9" w14:textId="77777777" w:rsidTr="005919CC">
        <w:trPr>
          <w:jc w:val="center"/>
        </w:trPr>
        <w:tc>
          <w:tcPr>
            <w:tcW w:w="630" w:type="pct"/>
            <w:tcBorders>
              <w:top w:val="nil"/>
              <w:left w:val="single" w:sz="4" w:space="0" w:color="auto"/>
              <w:bottom w:val="single" w:sz="4" w:space="0" w:color="auto"/>
              <w:right w:val="single" w:sz="4" w:space="0" w:color="auto"/>
            </w:tcBorders>
          </w:tcPr>
          <w:p w14:paraId="79CC1DC6" w14:textId="77777777" w:rsidR="001C5EE6" w:rsidRPr="00F80F69" w:rsidRDefault="001C5EE6" w:rsidP="000A56FB">
            <w:pPr>
              <w:pStyle w:val="Tabletexte"/>
              <w:spacing w:before="40" w:after="40"/>
              <w:rPr>
                <w:sz w:val="18"/>
                <w:szCs w:val="18"/>
                <w:rtl/>
                <w:lang w:val="fr-FR" w:eastAsia="en-US"/>
              </w:rPr>
            </w:pPr>
            <w:r w:rsidRPr="00F80F69">
              <w:rPr>
                <w:sz w:val="18"/>
                <w:szCs w:val="18"/>
                <w:rtl/>
                <w:lang w:val="fr-FR" w:eastAsia="en-US"/>
              </w:rPr>
              <w:t>أوروبا</w:t>
            </w:r>
          </w:p>
        </w:tc>
        <w:tc>
          <w:tcPr>
            <w:tcW w:w="344" w:type="pct"/>
            <w:tcBorders>
              <w:top w:val="nil"/>
              <w:left w:val="single" w:sz="4" w:space="0" w:color="auto"/>
              <w:bottom w:val="single" w:sz="4" w:space="0" w:color="auto"/>
              <w:right w:val="single" w:sz="4" w:space="0" w:color="auto"/>
            </w:tcBorders>
          </w:tcPr>
          <w:p w14:paraId="269F2181" w14:textId="438A930F" w:rsidR="001C5EE6" w:rsidRPr="00F80F69" w:rsidRDefault="00107764" w:rsidP="00015F02">
            <w:pPr>
              <w:pStyle w:val="Tabletexte"/>
              <w:spacing w:before="40" w:after="40"/>
              <w:jc w:val="center"/>
              <w:rPr>
                <w:sz w:val="18"/>
                <w:szCs w:val="18"/>
                <w:rtl/>
                <w:lang w:val="fr-FR" w:eastAsia="en-US"/>
              </w:rPr>
            </w:pPr>
            <w:r w:rsidRPr="00F80F69">
              <w:rPr>
                <w:sz w:val="18"/>
                <w:szCs w:val="18"/>
              </w:rPr>
              <w:t>0</w:t>
            </w:r>
          </w:p>
        </w:tc>
        <w:tc>
          <w:tcPr>
            <w:tcW w:w="526" w:type="pct"/>
            <w:tcBorders>
              <w:top w:val="nil"/>
              <w:left w:val="single" w:sz="4" w:space="0" w:color="auto"/>
              <w:bottom w:val="single" w:sz="4" w:space="0" w:color="auto"/>
              <w:right w:val="single" w:sz="4" w:space="0" w:color="auto"/>
            </w:tcBorders>
          </w:tcPr>
          <w:p w14:paraId="41D50CFB" w14:textId="32397610" w:rsidR="001C5EE6" w:rsidRPr="00F80F69" w:rsidRDefault="00107764" w:rsidP="00015F02">
            <w:pPr>
              <w:pStyle w:val="Tabletexte"/>
              <w:spacing w:before="40" w:after="40"/>
              <w:jc w:val="center"/>
              <w:rPr>
                <w:sz w:val="18"/>
                <w:szCs w:val="18"/>
                <w:rtl/>
                <w:lang w:val="fr-FR" w:eastAsia="en-US"/>
              </w:rPr>
            </w:pPr>
            <w:r w:rsidRPr="00F80F69">
              <w:rPr>
                <w:sz w:val="18"/>
                <w:szCs w:val="18"/>
              </w:rPr>
              <w:t>0</w:t>
            </w:r>
          </w:p>
        </w:tc>
        <w:tc>
          <w:tcPr>
            <w:tcW w:w="322" w:type="pct"/>
            <w:tcBorders>
              <w:top w:val="nil"/>
              <w:left w:val="single" w:sz="4" w:space="0" w:color="auto"/>
              <w:bottom w:val="single" w:sz="4" w:space="0" w:color="auto"/>
              <w:right w:val="single" w:sz="4" w:space="0" w:color="auto"/>
            </w:tcBorders>
          </w:tcPr>
          <w:p w14:paraId="255FDF17" w14:textId="16205A0B" w:rsidR="001C5EE6" w:rsidRPr="00F80F69" w:rsidRDefault="00107764" w:rsidP="00015F02">
            <w:pPr>
              <w:pStyle w:val="Tabletexte"/>
              <w:spacing w:before="40" w:after="40"/>
              <w:jc w:val="center"/>
              <w:rPr>
                <w:sz w:val="18"/>
                <w:szCs w:val="18"/>
                <w:rtl/>
                <w:lang w:val="fr-FR" w:eastAsia="en-US"/>
              </w:rPr>
            </w:pPr>
            <w:r w:rsidRPr="00F80F69">
              <w:rPr>
                <w:sz w:val="18"/>
                <w:szCs w:val="18"/>
              </w:rPr>
              <w:t>0</w:t>
            </w:r>
          </w:p>
        </w:tc>
        <w:tc>
          <w:tcPr>
            <w:tcW w:w="535" w:type="pct"/>
            <w:tcBorders>
              <w:top w:val="nil"/>
              <w:left w:val="single" w:sz="4" w:space="0" w:color="auto"/>
              <w:bottom w:val="single" w:sz="4" w:space="0" w:color="auto"/>
              <w:right w:val="single" w:sz="4" w:space="0" w:color="auto"/>
            </w:tcBorders>
          </w:tcPr>
          <w:p w14:paraId="69FE2A07" w14:textId="7B4C7121" w:rsidR="001C5EE6" w:rsidRPr="00F80F69" w:rsidRDefault="00107764" w:rsidP="00015F02">
            <w:pPr>
              <w:pStyle w:val="Tabletexte"/>
              <w:spacing w:before="40" w:after="40"/>
              <w:jc w:val="center"/>
              <w:rPr>
                <w:sz w:val="18"/>
                <w:szCs w:val="18"/>
                <w:rtl/>
                <w:lang w:val="fr-FR" w:eastAsia="en-US"/>
              </w:rPr>
            </w:pPr>
            <w:r w:rsidRPr="00F80F69">
              <w:rPr>
                <w:sz w:val="18"/>
                <w:szCs w:val="18"/>
              </w:rPr>
              <w:t>0</w:t>
            </w:r>
          </w:p>
        </w:tc>
        <w:tc>
          <w:tcPr>
            <w:tcW w:w="317" w:type="pct"/>
            <w:tcBorders>
              <w:top w:val="nil"/>
              <w:left w:val="single" w:sz="4" w:space="0" w:color="auto"/>
              <w:bottom w:val="single" w:sz="4" w:space="0" w:color="auto"/>
              <w:right w:val="single" w:sz="4" w:space="0" w:color="auto"/>
            </w:tcBorders>
          </w:tcPr>
          <w:p w14:paraId="569F42FB" w14:textId="28EE016D" w:rsidR="001C5EE6" w:rsidRPr="00F80F69" w:rsidRDefault="00107764" w:rsidP="00015F02">
            <w:pPr>
              <w:pStyle w:val="Tabletexte"/>
              <w:spacing w:before="40" w:after="40"/>
              <w:jc w:val="center"/>
              <w:rPr>
                <w:sz w:val="18"/>
                <w:szCs w:val="18"/>
                <w:rtl/>
                <w:lang w:val="fr-FR" w:eastAsia="en-US"/>
              </w:rPr>
            </w:pPr>
            <w:r w:rsidRPr="00F80F69">
              <w:rPr>
                <w:sz w:val="18"/>
                <w:szCs w:val="18"/>
              </w:rPr>
              <w:t>0</w:t>
            </w:r>
          </w:p>
        </w:tc>
        <w:tc>
          <w:tcPr>
            <w:tcW w:w="546" w:type="pct"/>
            <w:tcBorders>
              <w:top w:val="nil"/>
              <w:left w:val="single" w:sz="4" w:space="0" w:color="auto"/>
              <w:bottom w:val="single" w:sz="4" w:space="0" w:color="auto"/>
              <w:right w:val="single" w:sz="4" w:space="0" w:color="auto"/>
            </w:tcBorders>
          </w:tcPr>
          <w:p w14:paraId="36D97B5D" w14:textId="61E8DAE2" w:rsidR="001C5EE6" w:rsidRPr="00F80F69" w:rsidRDefault="00107764" w:rsidP="00015F02">
            <w:pPr>
              <w:pStyle w:val="Tabletexte"/>
              <w:spacing w:before="40" w:after="40"/>
              <w:jc w:val="center"/>
              <w:rPr>
                <w:sz w:val="18"/>
                <w:szCs w:val="18"/>
                <w:rtl/>
                <w:lang w:val="fr-FR" w:eastAsia="en-US"/>
              </w:rPr>
            </w:pPr>
            <w:r w:rsidRPr="00F80F69">
              <w:rPr>
                <w:sz w:val="18"/>
                <w:szCs w:val="18"/>
              </w:rPr>
              <w:t>0</w:t>
            </w:r>
          </w:p>
        </w:tc>
        <w:tc>
          <w:tcPr>
            <w:tcW w:w="321" w:type="pct"/>
            <w:tcBorders>
              <w:top w:val="nil"/>
              <w:left w:val="single" w:sz="4" w:space="0" w:color="auto"/>
              <w:bottom w:val="single" w:sz="4" w:space="0" w:color="auto"/>
              <w:right w:val="single" w:sz="4" w:space="0" w:color="auto"/>
            </w:tcBorders>
          </w:tcPr>
          <w:p w14:paraId="505E7301" w14:textId="3D2206A3" w:rsidR="001C5EE6" w:rsidRPr="00F80F69" w:rsidRDefault="00107764" w:rsidP="00015F02">
            <w:pPr>
              <w:pStyle w:val="Tabletexte"/>
              <w:spacing w:before="40" w:after="40"/>
              <w:jc w:val="center"/>
              <w:rPr>
                <w:sz w:val="18"/>
                <w:szCs w:val="18"/>
                <w:rtl/>
                <w:lang w:val="fr-FR" w:eastAsia="en-US"/>
              </w:rPr>
            </w:pPr>
            <w:r w:rsidRPr="00F80F69">
              <w:rPr>
                <w:sz w:val="18"/>
                <w:szCs w:val="18"/>
                <w:lang w:val="fr-FR" w:eastAsia="en-US"/>
              </w:rPr>
              <w:t>0</w:t>
            </w:r>
          </w:p>
        </w:tc>
        <w:tc>
          <w:tcPr>
            <w:tcW w:w="545" w:type="pct"/>
            <w:tcBorders>
              <w:top w:val="nil"/>
              <w:left w:val="single" w:sz="4" w:space="0" w:color="auto"/>
              <w:bottom w:val="single" w:sz="4" w:space="0" w:color="auto"/>
              <w:right w:val="single" w:sz="4" w:space="0" w:color="auto"/>
            </w:tcBorders>
          </w:tcPr>
          <w:p w14:paraId="526ECD7F" w14:textId="5D6582B0" w:rsidR="001C5EE6" w:rsidRPr="00F80F69" w:rsidRDefault="00107764" w:rsidP="00015F02">
            <w:pPr>
              <w:pStyle w:val="Tabletexte"/>
              <w:spacing w:before="40" w:after="40"/>
              <w:jc w:val="center"/>
              <w:rPr>
                <w:sz w:val="18"/>
                <w:szCs w:val="18"/>
                <w:rtl/>
                <w:lang w:val="fr-FR" w:eastAsia="en-US"/>
              </w:rPr>
            </w:pPr>
            <w:r w:rsidRPr="00F80F69">
              <w:rPr>
                <w:sz w:val="18"/>
                <w:szCs w:val="18"/>
                <w:lang w:val="fr-FR" w:eastAsia="en-US"/>
              </w:rPr>
              <w:t>0</w:t>
            </w:r>
          </w:p>
        </w:tc>
        <w:tc>
          <w:tcPr>
            <w:tcW w:w="338" w:type="pct"/>
            <w:tcBorders>
              <w:top w:val="nil"/>
              <w:left w:val="single" w:sz="4" w:space="0" w:color="auto"/>
              <w:bottom w:val="single" w:sz="4" w:space="0" w:color="auto"/>
              <w:right w:val="single" w:sz="4" w:space="0" w:color="auto"/>
            </w:tcBorders>
          </w:tcPr>
          <w:p w14:paraId="7FCE5CB2" w14:textId="136A12F8" w:rsidR="001C5EE6" w:rsidRPr="00F80F69" w:rsidRDefault="00107764" w:rsidP="00015F02">
            <w:pPr>
              <w:pStyle w:val="Tabletexte"/>
              <w:spacing w:before="40" w:after="40"/>
              <w:jc w:val="center"/>
              <w:rPr>
                <w:b/>
                <w:bCs/>
                <w:sz w:val="18"/>
                <w:szCs w:val="18"/>
                <w:rtl/>
                <w:lang w:val="fr-FR" w:eastAsia="en-US"/>
              </w:rPr>
            </w:pPr>
            <w:r w:rsidRPr="00F80F69">
              <w:rPr>
                <w:b/>
                <w:bCs/>
                <w:sz w:val="18"/>
                <w:szCs w:val="18"/>
              </w:rPr>
              <w:t>0</w:t>
            </w:r>
          </w:p>
        </w:tc>
        <w:tc>
          <w:tcPr>
            <w:tcW w:w="576" w:type="pct"/>
            <w:tcBorders>
              <w:top w:val="nil"/>
              <w:left w:val="single" w:sz="4" w:space="0" w:color="auto"/>
              <w:bottom w:val="single" w:sz="4" w:space="0" w:color="auto"/>
              <w:right w:val="single" w:sz="4" w:space="0" w:color="auto"/>
            </w:tcBorders>
          </w:tcPr>
          <w:p w14:paraId="2AC71785" w14:textId="615A9E48" w:rsidR="001C5EE6" w:rsidRPr="00F80F69" w:rsidRDefault="00107764" w:rsidP="00015F02">
            <w:pPr>
              <w:pStyle w:val="Tabletexte"/>
              <w:spacing w:before="40" w:after="40"/>
              <w:jc w:val="center"/>
              <w:rPr>
                <w:b/>
                <w:bCs/>
                <w:sz w:val="18"/>
                <w:szCs w:val="18"/>
                <w:rtl/>
                <w:lang w:val="fr-FR" w:eastAsia="en-US"/>
              </w:rPr>
            </w:pPr>
            <w:r w:rsidRPr="00F80F69">
              <w:rPr>
                <w:sz w:val="18"/>
                <w:szCs w:val="18"/>
              </w:rPr>
              <w:t>0</w:t>
            </w:r>
          </w:p>
        </w:tc>
      </w:tr>
      <w:tr w:rsidR="001C5EE6" w:rsidRPr="00F80F69" w14:paraId="52B3290E" w14:textId="77777777" w:rsidTr="005919CC">
        <w:trPr>
          <w:jc w:val="center"/>
        </w:trPr>
        <w:tc>
          <w:tcPr>
            <w:tcW w:w="630" w:type="pct"/>
            <w:tcBorders>
              <w:top w:val="nil"/>
              <w:left w:val="single" w:sz="4" w:space="0" w:color="auto"/>
              <w:bottom w:val="single" w:sz="4" w:space="0" w:color="auto"/>
              <w:right w:val="single" w:sz="4" w:space="0" w:color="auto"/>
            </w:tcBorders>
          </w:tcPr>
          <w:p w14:paraId="0C346705" w14:textId="77777777" w:rsidR="001C5EE6" w:rsidRPr="00F80F69" w:rsidRDefault="001C5EE6" w:rsidP="000A56FB">
            <w:pPr>
              <w:pStyle w:val="Tabletexte"/>
              <w:spacing w:before="40" w:after="40"/>
              <w:rPr>
                <w:sz w:val="18"/>
                <w:szCs w:val="18"/>
                <w:rtl/>
                <w:lang w:val="fr-FR" w:eastAsia="en-US"/>
              </w:rPr>
            </w:pPr>
            <w:r w:rsidRPr="00F80F69">
              <w:rPr>
                <w:sz w:val="18"/>
                <w:szCs w:val="18"/>
                <w:rtl/>
                <w:lang w:val="fr-FR" w:eastAsia="en-US"/>
              </w:rPr>
              <w:t>مناطق متعددة</w:t>
            </w:r>
          </w:p>
        </w:tc>
        <w:tc>
          <w:tcPr>
            <w:tcW w:w="344" w:type="pct"/>
            <w:tcBorders>
              <w:top w:val="nil"/>
              <w:left w:val="single" w:sz="4" w:space="0" w:color="auto"/>
              <w:bottom w:val="single" w:sz="4" w:space="0" w:color="auto"/>
              <w:right w:val="single" w:sz="4" w:space="0" w:color="auto"/>
            </w:tcBorders>
          </w:tcPr>
          <w:p w14:paraId="5160EE2D" w14:textId="25B4AA2C" w:rsidR="001C5EE6" w:rsidRPr="00F80F69" w:rsidRDefault="00107764" w:rsidP="00015F02">
            <w:pPr>
              <w:pStyle w:val="Tabletexte"/>
              <w:spacing w:before="40" w:after="40"/>
              <w:jc w:val="center"/>
              <w:rPr>
                <w:sz w:val="18"/>
                <w:szCs w:val="18"/>
                <w:lang w:eastAsia="en-US"/>
              </w:rPr>
            </w:pPr>
            <w:r w:rsidRPr="00F80F69">
              <w:rPr>
                <w:sz w:val="18"/>
                <w:szCs w:val="18"/>
              </w:rPr>
              <w:t>22</w:t>
            </w:r>
          </w:p>
        </w:tc>
        <w:tc>
          <w:tcPr>
            <w:tcW w:w="526" w:type="pct"/>
            <w:tcBorders>
              <w:top w:val="nil"/>
              <w:left w:val="single" w:sz="4" w:space="0" w:color="auto"/>
              <w:bottom w:val="single" w:sz="4" w:space="0" w:color="auto"/>
              <w:right w:val="single" w:sz="4" w:space="0" w:color="auto"/>
            </w:tcBorders>
          </w:tcPr>
          <w:p w14:paraId="0E9E1981" w14:textId="47ACE40B" w:rsidR="001C5EE6" w:rsidRPr="00F80F69" w:rsidRDefault="00107764" w:rsidP="00015F02">
            <w:pPr>
              <w:pStyle w:val="Tabletexte"/>
              <w:spacing w:before="40" w:after="40"/>
              <w:jc w:val="center"/>
              <w:rPr>
                <w:sz w:val="18"/>
                <w:szCs w:val="18"/>
                <w:lang w:val="fr-FR" w:eastAsia="en-US"/>
              </w:rPr>
            </w:pPr>
            <w:r w:rsidRPr="00F80F69">
              <w:rPr>
                <w:sz w:val="18"/>
                <w:szCs w:val="18"/>
              </w:rPr>
              <w:t>1 524</w:t>
            </w:r>
          </w:p>
        </w:tc>
        <w:tc>
          <w:tcPr>
            <w:tcW w:w="322" w:type="pct"/>
            <w:tcBorders>
              <w:top w:val="nil"/>
              <w:left w:val="single" w:sz="4" w:space="0" w:color="auto"/>
              <w:bottom w:val="single" w:sz="4" w:space="0" w:color="auto"/>
              <w:right w:val="single" w:sz="4" w:space="0" w:color="auto"/>
            </w:tcBorders>
          </w:tcPr>
          <w:p w14:paraId="62452594" w14:textId="1F0D3704" w:rsidR="001C5EE6" w:rsidRPr="00F80F69" w:rsidRDefault="00107764" w:rsidP="00015F02">
            <w:pPr>
              <w:pStyle w:val="Tabletexte"/>
              <w:spacing w:before="40" w:after="40"/>
              <w:jc w:val="center"/>
              <w:rPr>
                <w:sz w:val="18"/>
                <w:szCs w:val="18"/>
                <w:rtl/>
                <w:lang w:val="fr-FR" w:eastAsia="en-US"/>
              </w:rPr>
            </w:pPr>
            <w:r w:rsidRPr="00F80F69">
              <w:rPr>
                <w:sz w:val="18"/>
                <w:szCs w:val="18"/>
              </w:rPr>
              <w:t>4</w:t>
            </w:r>
          </w:p>
        </w:tc>
        <w:tc>
          <w:tcPr>
            <w:tcW w:w="535" w:type="pct"/>
            <w:tcBorders>
              <w:top w:val="nil"/>
              <w:left w:val="single" w:sz="4" w:space="0" w:color="auto"/>
              <w:bottom w:val="single" w:sz="4" w:space="0" w:color="auto"/>
              <w:right w:val="single" w:sz="4" w:space="0" w:color="auto"/>
            </w:tcBorders>
          </w:tcPr>
          <w:p w14:paraId="11BF960E" w14:textId="222AEE17" w:rsidR="001C5EE6" w:rsidRPr="00F80F69" w:rsidRDefault="00107764" w:rsidP="00015F02">
            <w:pPr>
              <w:pStyle w:val="Tabletexte"/>
              <w:spacing w:before="40" w:after="40"/>
              <w:jc w:val="center"/>
              <w:rPr>
                <w:sz w:val="18"/>
                <w:szCs w:val="18"/>
                <w:rtl/>
                <w:lang w:val="fr-FR" w:eastAsia="en-US"/>
              </w:rPr>
            </w:pPr>
            <w:r w:rsidRPr="00F80F69">
              <w:rPr>
                <w:sz w:val="18"/>
                <w:szCs w:val="18"/>
              </w:rPr>
              <w:t>200</w:t>
            </w:r>
          </w:p>
        </w:tc>
        <w:tc>
          <w:tcPr>
            <w:tcW w:w="317" w:type="pct"/>
            <w:tcBorders>
              <w:top w:val="nil"/>
              <w:left w:val="single" w:sz="4" w:space="0" w:color="auto"/>
              <w:bottom w:val="single" w:sz="4" w:space="0" w:color="auto"/>
              <w:right w:val="single" w:sz="4" w:space="0" w:color="auto"/>
            </w:tcBorders>
          </w:tcPr>
          <w:p w14:paraId="7DEC5127" w14:textId="42A5B3AF" w:rsidR="001C5EE6" w:rsidRPr="00F80F69" w:rsidRDefault="00107764" w:rsidP="00015F02">
            <w:pPr>
              <w:pStyle w:val="Tabletexte"/>
              <w:spacing w:before="40" w:after="40"/>
              <w:jc w:val="center"/>
              <w:rPr>
                <w:sz w:val="18"/>
                <w:szCs w:val="18"/>
                <w:rtl/>
                <w:lang w:val="fr-FR" w:eastAsia="en-US"/>
              </w:rPr>
            </w:pPr>
            <w:r w:rsidRPr="00F80F69">
              <w:rPr>
                <w:sz w:val="18"/>
                <w:szCs w:val="18"/>
              </w:rPr>
              <w:t>12</w:t>
            </w:r>
          </w:p>
        </w:tc>
        <w:tc>
          <w:tcPr>
            <w:tcW w:w="546" w:type="pct"/>
            <w:tcBorders>
              <w:top w:val="nil"/>
              <w:left w:val="single" w:sz="4" w:space="0" w:color="auto"/>
              <w:bottom w:val="single" w:sz="4" w:space="0" w:color="auto"/>
              <w:right w:val="single" w:sz="4" w:space="0" w:color="auto"/>
            </w:tcBorders>
          </w:tcPr>
          <w:p w14:paraId="6DF23C9A" w14:textId="6423C87B" w:rsidR="001C5EE6" w:rsidRPr="00F80F69" w:rsidRDefault="00107764" w:rsidP="00015F02">
            <w:pPr>
              <w:pStyle w:val="Tabletexte"/>
              <w:spacing w:before="40" w:after="40"/>
              <w:jc w:val="center"/>
              <w:rPr>
                <w:sz w:val="18"/>
                <w:szCs w:val="18"/>
                <w:rtl/>
                <w:lang w:val="fr-FR" w:eastAsia="en-US"/>
              </w:rPr>
            </w:pPr>
            <w:r w:rsidRPr="00F80F69">
              <w:rPr>
                <w:sz w:val="18"/>
                <w:szCs w:val="18"/>
              </w:rPr>
              <w:t>471</w:t>
            </w:r>
          </w:p>
        </w:tc>
        <w:tc>
          <w:tcPr>
            <w:tcW w:w="321" w:type="pct"/>
            <w:tcBorders>
              <w:top w:val="nil"/>
              <w:left w:val="single" w:sz="4" w:space="0" w:color="auto"/>
              <w:bottom w:val="single" w:sz="4" w:space="0" w:color="auto"/>
              <w:right w:val="single" w:sz="4" w:space="0" w:color="auto"/>
            </w:tcBorders>
          </w:tcPr>
          <w:p w14:paraId="010BCE78" w14:textId="60778D9D" w:rsidR="001C5EE6" w:rsidRPr="00F80F69" w:rsidRDefault="00107764" w:rsidP="00015F02">
            <w:pPr>
              <w:pStyle w:val="Tabletexte"/>
              <w:spacing w:before="40" w:after="40"/>
              <w:jc w:val="center"/>
              <w:rPr>
                <w:sz w:val="18"/>
                <w:szCs w:val="18"/>
                <w:rtl/>
                <w:lang w:val="fr-FR" w:eastAsia="en-US"/>
              </w:rPr>
            </w:pPr>
            <w:r w:rsidRPr="00F80F69">
              <w:rPr>
                <w:sz w:val="18"/>
                <w:szCs w:val="18"/>
                <w:lang w:val="fr-FR" w:eastAsia="en-US"/>
              </w:rPr>
              <w:t>0</w:t>
            </w:r>
          </w:p>
        </w:tc>
        <w:tc>
          <w:tcPr>
            <w:tcW w:w="545" w:type="pct"/>
            <w:tcBorders>
              <w:top w:val="nil"/>
              <w:left w:val="single" w:sz="4" w:space="0" w:color="auto"/>
              <w:bottom w:val="single" w:sz="4" w:space="0" w:color="auto"/>
              <w:right w:val="single" w:sz="4" w:space="0" w:color="auto"/>
            </w:tcBorders>
          </w:tcPr>
          <w:p w14:paraId="3CFC8213" w14:textId="12794E18" w:rsidR="001C5EE6" w:rsidRPr="00F80F69" w:rsidRDefault="00107764" w:rsidP="00015F02">
            <w:pPr>
              <w:pStyle w:val="Tabletexte"/>
              <w:spacing w:before="40" w:after="40"/>
              <w:jc w:val="center"/>
              <w:rPr>
                <w:sz w:val="18"/>
                <w:szCs w:val="18"/>
                <w:rtl/>
                <w:lang w:val="fr-FR" w:eastAsia="en-US"/>
              </w:rPr>
            </w:pPr>
            <w:r w:rsidRPr="00F80F69">
              <w:rPr>
                <w:sz w:val="18"/>
                <w:szCs w:val="18"/>
                <w:lang w:val="fr-FR" w:eastAsia="en-US"/>
              </w:rPr>
              <w:t>0</w:t>
            </w:r>
          </w:p>
        </w:tc>
        <w:tc>
          <w:tcPr>
            <w:tcW w:w="338" w:type="pct"/>
            <w:tcBorders>
              <w:top w:val="nil"/>
              <w:left w:val="single" w:sz="4" w:space="0" w:color="auto"/>
              <w:bottom w:val="single" w:sz="4" w:space="0" w:color="auto"/>
              <w:right w:val="single" w:sz="4" w:space="0" w:color="auto"/>
            </w:tcBorders>
          </w:tcPr>
          <w:p w14:paraId="3E16DA63" w14:textId="669BD5FC" w:rsidR="001C5EE6" w:rsidRPr="00F80F69" w:rsidRDefault="00107764" w:rsidP="00015F02">
            <w:pPr>
              <w:pStyle w:val="Tabletexte"/>
              <w:spacing w:before="40" w:after="40"/>
              <w:jc w:val="center"/>
              <w:rPr>
                <w:b/>
                <w:bCs/>
                <w:sz w:val="18"/>
                <w:szCs w:val="18"/>
                <w:lang w:val="fr-FR" w:eastAsia="en-US"/>
              </w:rPr>
            </w:pPr>
            <w:r w:rsidRPr="00F80F69">
              <w:rPr>
                <w:b/>
                <w:bCs/>
                <w:sz w:val="18"/>
                <w:szCs w:val="18"/>
              </w:rPr>
              <w:t>38</w:t>
            </w:r>
          </w:p>
        </w:tc>
        <w:tc>
          <w:tcPr>
            <w:tcW w:w="576" w:type="pct"/>
            <w:tcBorders>
              <w:top w:val="nil"/>
              <w:left w:val="single" w:sz="4" w:space="0" w:color="auto"/>
              <w:bottom w:val="single" w:sz="4" w:space="0" w:color="auto"/>
              <w:right w:val="single" w:sz="4" w:space="0" w:color="auto"/>
            </w:tcBorders>
          </w:tcPr>
          <w:p w14:paraId="0DC4D1D9" w14:textId="57E3CD2F" w:rsidR="001C5EE6" w:rsidRPr="00F80F69" w:rsidRDefault="00107764" w:rsidP="00015F02">
            <w:pPr>
              <w:pStyle w:val="Tabletexte"/>
              <w:spacing w:before="40" w:after="40"/>
              <w:jc w:val="center"/>
              <w:rPr>
                <w:b/>
                <w:bCs/>
                <w:sz w:val="18"/>
                <w:szCs w:val="18"/>
                <w:lang w:val="fr-FR" w:eastAsia="en-US"/>
              </w:rPr>
            </w:pPr>
            <w:r w:rsidRPr="00F80F69">
              <w:rPr>
                <w:sz w:val="18"/>
                <w:szCs w:val="18"/>
              </w:rPr>
              <w:t>2 195</w:t>
            </w:r>
          </w:p>
        </w:tc>
      </w:tr>
      <w:tr w:rsidR="001C5EE6" w:rsidRPr="00F80F69" w14:paraId="4285A2C4" w14:textId="77777777" w:rsidTr="005919CC">
        <w:trPr>
          <w:jc w:val="center"/>
        </w:trPr>
        <w:tc>
          <w:tcPr>
            <w:tcW w:w="630" w:type="pct"/>
            <w:tcBorders>
              <w:top w:val="single" w:sz="4" w:space="0" w:color="auto"/>
              <w:right w:val="single" w:sz="4" w:space="0" w:color="auto"/>
            </w:tcBorders>
            <w:shd w:val="clear" w:color="auto" w:fill="BDD7EE"/>
          </w:tcPr>
          <w:p w14:paraId="3E3AD2E8" w14:textId="77777777" w:rsidR="001C5EE6" w:rsidRPr="00F80F69" w:rsidRDefault="001C5EE6" w:rsidP="000A56FB">
            <w:pPr>
              <w:tabs>
                <w:tab w:val="clear" w:pos="794"/>
                <w:tab w:val="left" w:pos="1134"/>
              </w:tabs>
              <w:spacing w:before="40" w:after="40" w:line="260" w:lineRule="exact"/>
              <w:ind w:left="-57"/>
              <w:jc w:val="left"/>
              <w:rPr>
                <w:rFonts w:eastAsia="Times New Roman"/>
                <w:b/>
                <w:bCs/>
                <w:sz w:val="18"/>
                <w:szCs w:val="18"/>
                <w:rtl/>
                <w:lang w:val="fr-FR" w:eastAsia="en-US" w:bidi="ar-EG"/>
              </w:rPr>
            </w:pPr>
            <w:r w:rsidRPr="00F80F69">
              <w:rPr>
                <w:rFonts w:eastAsia="Times New Roman"/>
                <w:b/>
                <w:bCs/>
                <w:sz w:val="18"/>
                <w:szCs w:val="18"/>
                <w:rtl/>
                <w:lang w:val="fr-FR" w:eastAsia="en-US" w:bidi="ar-EG"/>
              </w:rPr>
              <w:t>المجموع</w:t>
            </w:r>
          </w:p>
        </w:tc>
        <w:tc>
          <w:tcPr>
            <w:tcW w:w="344" w:type="pct"/>
            <w:tcBorders>
              <w:top w:val="single" w:sz="4" w:space="0" w:color="auto"/>
              <w:left w:val="single" w:sz="4" w:space="0" w:color="auto"/>
              <w:right w:val="single" w:sz="4" w:space="0" w:color="auto"/>
            </w:tcBorders>
            <w:shd w:val="clear" w:color="auto" w:fill="BDD7EE"/>
          </w:tcPr>
          <w:p w14:paraId="71B9D96E" w14:textId="2DE68B93" w:rsidR="001C5EE6" w:rsidRPr="00F80F69" w:rsidRDefault="00107764" w:rsidP="00015F02">
            <w:pPr>
              <w:tabs>
                <w:tab w:val="clear" w:pos="794"/>
                <w:tab w:val="left" w:pos="1134"/>
              </w:tabs>
              <w:spacing w:before="40" w:after="40" w:line="260" w:lineRule="exact"/>
              <w:jc w:val="center"/>
              <w:rPr>
                <w:rFonts w:eastAsia="Times New Roman"/>
                <w:b/>
                <w:bCs/>
                <w:sz w:val="18"/>
                <w:szCs w:val="18"/>
                <w:rtl/>
                <w:lang w:val="fr-FR" w:eastAsia="en-US" w:bidi="ar-EG"/>
              </w:rPr>
            </w:pPr>
            <w:r w:rsidRPr="00F80F69">
              <w:rPr>
                <w:b/>
                <w:bCs/>
                <w:sz w:val="18"/>
                <w:szCs w:val="18"/>
              </w:rPr>
              <w:t>63</w:t>
            </w:r>
          </w:p>
        </w:tc>
        <w:tc>
          <w:tcPr>
            <w:tcW w:w="526" w:type="pct"/>
            <w:tcBorders>
              <w:top w:val="single" w:sz="4" w:space="0" w:color="auto"/>
              <w:left w:val="single" w:sz="4" w:space="0" w:color="auto"/>
              <w:right w:val="single" w:sz="4" w:space="0" w:color="auto"/>
            </w:tcBorders>
            <w:shd w:val="clear" w:color="auto" w:fill="BDD7EE"/>
          </w:tcPr>
          <w:p w14:paraId="01D75849" w14:textId="7C24F080" w:rsidR="001C5EE6" w:rsidRPr="00F80F69" w:rsidRDefault="00107764" w:rsidP="00015F02">
            <w:pPr>
              <w:tabs>
                <w:tab w:val="clear" w:pos="794"/>
                <w:tab w:val="left" w:pos="1134"/>
              </w:tabs>
              <w:spacing w:before="40" w:after="40" w:line="260" w:lineRule="exact"/>
              <w:jc w:val="center"/>
              <w:rPr>
                <w:rFonts w:eastAsia="Times New Roman"/>
                <w:b/>
                <w:bCs/>
                <w:sz w:val="18"/>
                <w:szCs w:val="18"/>
                <w:rtl/>
                <w:lang w:val="fr-FR" w:eastAsia="en-US" w:bidi="ar-EG"/>
              </w:rPr>
            </w:pPr>
            <w:r w:rsidRPr="00F80F69">
              <w:rPr>
                <w:b/>
                <w:bCs/>
                <w:sz w:val="18"/>
                <w:szCs w:val="18"/>
              </w:rPr>
              <w:t>3 996</w:t>
            </w:r>
          </w:p>
        </w:tc>
        <w:tc>
          <w:tcPr>
            <w:tcW w:w="322" w:type="pct"/>
            <w:tcBorders>
              <w:top w:val="single" w:sz="4" w:space="0" w:color="auto"/>
              <w:left w:val="single" w:sz="4" w:space="0" w:color="auto"/>
              <w:right w:val="single" w:sz="4" w:space="0" w:color="auto"/>
            </w:tcBorders>
            <w:shd w:val="clear" w:color="auto" w:fill="BDD7EE"/>
          </w:tcPr>
          <w:p w14:paraId="3D629DCB" w14:textId="078177BC" w:rsidR="001C5EE6" w:rsidRPr="00F80F69" w:rsidRDefault="00107764" w:rsidP="00015F02">
            <w:pPr>
              <w:tabs>
                <w:tab w:val="clear" w:pos="794"/>
                <w:tab w:val="left" w:pos="1134"/>
              </w:tabs>
              <w:spacing w:before="40" w:after="40" w:line="260" w:lineRule="exact"/>
              <w:jc w:val="center"/>
              <w:rPr>
                <w:rFonts w:eastAsia="Times New Roman"/>
                <w:b/>
                <w:bCs/>
                <w:sz w:val="18"/>
                <w:szCs w:val="18"/>
                <w:rtl/>
                <w:lang w:val="fr-FR" w:eastAsia="en-US" w:bidi="ar-EG"/>
              </w:rPr>
            </w:pPr>
            <w:r w:rsidRPr="00F80F69">
              <w:rPr>
                <w:b/>
                <w:bCs/>
                <w:sz w:val="18"/>
                <w:szCs w:val="18"/>
              </w:rPr>
              <w:t>8</w:t>
            </w:r>
          </w:p>
        </w:tc>
        <w:tc>
          <w:tcPr>
            <w:tcW w:w="535" w:type="pct"/>
            <w:tcBorders>
              <w:top w:val="single" w:sz="4" w:space="0" w:color="auto"/>
              <w:left w:val="single" w:sz="4" w:space="0" w:color="auto"/>
              <w:right w:val="single" w:sz="4" w:space="0" w:color="auto"/>
            </w:tcBorders>
            <w:shd w:val="clear" w:color="auto" w:fill="BDD7EE"/>
          </w:tcPr>
          <w:p w14:paraId="0B4C5436" w14:textId="51F6AC9E" w:rsidR="001C5EE6" w:rsidRPr="00F80F69" w:rsidRDefault="00107764" w:rsidP="00015F02">
            <w:pPr>
              <w:tabs>
                <w:tab w:val="clear" w:pos="794"/>
                <w:tab w:val="left" w:pos="1134"/>
              </w:tabs>
              <w:spacing w:before="40" w:after="40" w:line="260" w:lineRule="exact"/>
              <w:jc w:val="center"/>
              <w:rPr>
                <w:rFonts w:eastAsia="Times New Roman"/>
                <w:b/>
                <w:bCs/>
                <w:sz w:val="18"/>
                <w:szCs w:val="18"/>
                <w:rtl/>
                <w:lang w:val="fr-FR" w:eastAsia="en-US" w:bidi="ar-EG"/>
              </w:rPr>
            </w:pPr>
            <w:r w:rsidRPr="00F80F69">
              <w:rPr>
                <w:b/>
                <w:bCs/>
                <w:sz w:val="18"/>
                <w:szCs w:val="18"/>
              </w:rPr>
              <w:t>331</w:t>
            </w:r>
          </w:p>
        </w:tc>
        <w:tc>
          <w:tcPr>
            <w:tcW w:w="317" w:type="pct"/>
            <w:tcBorders>
              <w:top w:val="single" w:sz="4" w:space="0" w:color="auto"/>
              <w:left w:val="single" w:sz="4" w:space="0" w:color="auto"/>
              <w:right w:val="single" w:sz="4" w:space="0" w:color="auto"/>
            </w:tcBorders>
            <w:shd w:val="clear" w:color="auto" w:fill="BDD7EE"/>
          </w:tcPr>
          <w:p w14:paraId="0A474F79" w14:textId="154CCE28" w:rsidR="001C5EE6" w:rsidRPr="00F80F69" w:rsidRDefault="00107764" w:rsidP="00015F02">
            <w:pPr>
              <w:tabs>
                <w:tab w:val="clear" w:pos="794"/>
                <w:tab w:val="left" w:pos="1134"/>
              </w:tabs>
              <w:spacing w:before="40" w:after="40" w:line="260" w:lineRule="exact"/>
              <w:jc w:val="center"/>
              <w:rPr>
                <w:rFonts w:eastAsia="Times New Roman"/>
                <w:b/>
                <w:bCs/>
                <w:sz w:val="18"/>
                <w:szCs w:val="18"/>
                <w:rtl/>
                <w:lang w:val="fr-FR" w:eastAsia="en-US" w:bidi="ar-EG"/>
              </w:rPr>
            </w:pPr>
            <w:r w:rsidRPr="00F80F69">
              <w:rPr>
                <w:b/>
                <w:bCs/>
                <w:sz w:val="18"/>
                <w:szCs w:val="18"/>
              </w:rPr>
              <w:t>20</w:t>
            </w:r>
          </w:p>
        </w:tc>
        <w:tc>
          <w:tcPr>
            <w:tcW w:w="546" w:type="pct"/>
            <w:tcBorders>
              <w:top w:val="single" w:sz="4" w:space="0" w:color="auto"/>
              <w:left w:val="single" w:sz="4" w:space="0" w:color="auto"/>
              <w:right w:val="single" w:sz="4" w:space="0" w:color="auto"/>
            </w:tcBorders>
            <w:shd w:val="clear" w:color="auto" w:fill="BDD7EE"/>
          </w:tcPr>
          <w:p w14:paraId="6CC07CBE" w14:textId="7F242EC0" w:rsidR="001C5EE6" w:rsidRPr="00F80F69" w:rsidRDefault="00107764" w:rsidP="00015F02">
            <w:pPr>
              <w:tabs>
                <w:tab w:val="clear" w:pos="794"/>
                <w:tab w:val="left" w:pos="1134"/>
              </w:tabs>
              <w:spacing w:before="40" w:after="40" w:line="260" w:lineRule="exact"/>
              <w:jc w:val="center"/>
              <w:rPr>
                <w:rFonts w:eastAsia="Times New Roman"/>
                <w:b/>
                <w:bCs/>
                <w:sz w:val="18"/>
                <w:szCs w:val="18"/>
                <w:rtl/>
                <w:lang w:val="fr-FR" w:eastAsia="en-US" w:bidi="ar-EG"/>
              </w:rPr>
            </w:pPr>
            <w:r w:rsidRPr="00F80F69">
              <w:rPr>
                <w:b/>
                <w:bCs/>
                <w:sz w:val="18"/>
                <w:szCs w:val="18"/>
              </w:rPr>
              <w:t>779</w:t>
            </w:r>
          </w:p>
        </w:tc>
        <w:tc>
          <w:tcPr>
            <w:tcW w:w="321" w:type="pct"/>
            <w:tcBorders>
              <w:top w:val="single" w:sz="4" w:space="0" w:color="auto"/>
              <w:left w:val="single" w:sz="4" w:space="0" w:color="auto"/>
              <w:right w:val="single" w:sz="4" w:space="0" w:color="auto"/>
            </w:tcBorders>
            <w:shd w:val="clear" w:color="auto" w:fill="BDD7EE"/>
          </w:tcPr>
          <w:p w14:paraId="2F7E702C" w14:textId="087B6B7F" w:rsidR="001C5EE6" w:rsidRPr="00F80F69" w:rsidRDefault="00107764" w:rsidP="00015F02">
            <w:pPr>
              <w:tabs>
                <w:tab w:val="clear" w:pos="794"/>
                <w:tab w:val="left" w:pos="1134"/>
              </w:tabs>
              <w:spacing w:before="40" w:after="40" w:line="260" w:lineRule="exact"/>
              <w:jc w:val="center"/>
              <w:rPr>
                <w:rFonts w:eastAsia="Times New Roman"/>
                <w:b/>
                <w:bCs/>
                <w:sz w:val="18"/>
                <w:szCs w:val="18"/>
                <w:rtl/>
                <w:lang w:val="fr-FR" w:eastAsia="en-US" w:bidi="ar-EG"/>
              </w:rPr>
            </w:pPr>
            <w:r w:rsidRPr="00F80F69">
              <w:rPr>
                <w:b/>
                <w:bCs/>
                <w:sz w:val="18"/>
                <w:szCs w:val="18"/>
              </w:rPr>
              <w:t>0</w:t>
            </w:r>
          </w:p>
        </w:tc>
        <w:tc>
          <w:tcPr>
            <w:tcW w:w="545" w:type="pct"/>
            <w:tcBorders>
              <w:top w:val="single" w:sz="4" w:space="0" w:color="auto"/>
              <w:left w:val="single" w:sz="4" w:space="0" w:color="auto"/>
              <w:right w:val="single" w:sz="4" w:space="0" w:color="auto"/>
            </w:tcBorders>
            <w:shd w:val="clear" w:color="auto" w:fill="BDD7EE"/>
          </w:tcPr>
          <w:p w14:paraId="20A2183C" w14:textId="4836607D" w:rsidR="001C5EE6" w:rsidRPr="00F80F69" w:rsidRDefault="00107764" w:rsidP="00015F02">
            <w:pPr>
              <w:tabs>
                <w:tab w:val="clear" w:pos="794"/>
                <w:tab w:val="left" w:pos="1134"/>
              </w:tabs>
              <w:spacing w:before="40" w:after="40" w:line="260" w:lineRule="exact"/>
              <w:jc w:val="center"/>
              <w:rPr>
                <w:rFonts w:eastAsia="Times New Roman"/>
                <w:b/>
                <w:bCs/>
                <w:sz w:val="18"/>
                <w:szCs w:val="18"/>
                <w:rtl/>
                <w:lang w:val="fr-FR" w:eastAsia="en-US" w:bidi="ar-EG"/>
              </w:rPr>
            </w:pPr>
            <w:r w:rsidRPr="00F80F69">
              <w:rPr>
                <w:b/>
                <w:bCs/>
                <w:sz w:val="18"/>
                <w:szCs w:val="18"/>
              </w:rPr>
              <w:t>0</w:t>
            </w:r>
          </w:p>
        </w:tc>
        <w:tc>
          <w:tcPr>
            <w:tcW w:w="338" w:type="pct"/>
            <w:tcBorders>
              <w:top w:val="single" w:sz="4" w:space="0" w:color="auto"/>
              <w:left w:val="single" w:sz="4" w:space="0" w:color="auto"/>
              <w:right w:val="single" w:sz="4" w:space="0" w:color="auto"/>
            </w:tcBorders>
            <w:shd w:val="clear" w:color="auto" w:fill="BDD7EE"/>
          </w:tcPr>
          <w:p w14:paraId="05887DE2" w14:textId="49C3A252" w:rsidR="001C5EE6" w:rsidRPr="00F80F69" w:rsidRDefault="00107764" w:rsidP="00015F02">
            <w:pPr>
              <w:tabs>
                <w:tab w:val="clear" w:pos="794"/>
                <w:tab w:val="left" w:pos="1134"/>
              </w:tabs>
              <w:spacing w:before="40" w:after="40" w:line="260" w:lineRule="exact"/>
              <w:jc w:val="center"/>
              <w:rPr>
                <w:rFonts w:eastAsia="Times New Roman"/>
                <w:b/>
                <w:bCs/>
                <w:sz w:val="18"/>
                <w:szCs w:val="18"/>
                <w:rtl/>
                <w:lang w:val="fr-FR" w:eastAsia="en-US" w:bidi="ar-EG"/>
              </w:rPr>
            </w:pPr>
            <w:r w:rsidRPr="00F80F69">
              <w:rPr>
                <w:b/>
                <w:bCs/>
                <w:sz w:val="18"/>
                <w:szCs w:val="18"/>
              </w:rPr>
              <w:t>91</w:t>
            </w:r>
          </w:p>
        </w:tc>
        <w:tc>
          <w:tcPr>
            <w:tcW w:w="576" w:type="pct"/>
            <w:tcBorders>
              <w:top w:val="single" w:sz="4" w:space="0" w:color="auto"/>
              <w:left w:val="single" w:sz="4" w:space="0" w:color="auto"/>
            </w:tcBorders>
            <w:shd w:val="clear" w:color="auto" w:fill="BDD7EE"/>
          </w:tcPr>
          <w:p w14:paraId="6051F089" w14:textId="6DFDE34F" w:rsidR="001C5EE6" w:rsidRPr="00F80F69" w:rsidRDefault="00107764" w:rsidP="00015F02">
            <w:pPr>
              <w:tabs>
                <w:tab w:val="clear" w:pos="794"/>
                <w:tab w:val="left" w:pos="1134"/>
              </w:tabs>
              <w:spacing w:before="40" w:after="40" w:line="260" w:lineRule="exact"/>
              <w:jc w:val="center"/>
              <w:rPr>
                <w:rFonts w:eastAsia="Times New Roman"/>
                <w:b/>
                <w:bCs/>
                <w:sz w:val="18"/>
                <w:szCs w:val="18"/>
                <w:rtl/>
                <w:lang w:val="fr-FR" w:eastAsia="en-US" w:bidi="ar-EG"/>
              </w:rPr>
            </w:pPr>
            <w:r w:rsidRPr="00F80F69">
              <w:rPr>
                <w:b/>
                <w:bCs/>
                <w:sz w:val="18"/>
                <w:szCs w:val="18"/>
              </w:rPr>
              <w:t>5 105</w:t>
            </w:r>
          </w:p>
        </w:tc>
      </w:tr>
    </w:tbl>
    <w:p w14:paraId="1D186C96" w14:textId="242A01F0" w:rsidR="00107764" w:rsidRPr="0017347E" w:rsidRDefault="00107764" w:rsidP="00CD5816">
      <w:pPr>
        <w:pStyle w:val="Note"/>
        <w:rPr>
          <w:i/>
          <w:iCs/>
          <w:spacing w:val="-6"/>
          <w:sz w:val="18"/>
          <w:szCs w:val="18"/>
          <w:rtl/>
          <w:lang w:bidi="ar-EG"/>
        </w:rPr>
      </w:pPr>
      <w:r w:rsidRPr="0017347E">
        <w:rPr>
          <w:rFonts w:hint="cs"/>
          <w:i/>
          <w:iCs/>
          <w:spacing w:val="-6"/>
          <w:sz w:val="18"/>
          <w:szCs w:val="18"/>
          <w:rtl/>
          <w:lang w:bidi="ar-EG"/>
        </w:rPr>
        <w:t xml:space="preserve">ملاحظة: </w:t>
      </w:r>
      <w:r w:rsidR="006C718E" w:rsidRPr="0017347E">
        <w:rPr>
          <w:i/>
          <w:iCs/>
          <w:spacing w:val="-6"/>
          <w:sz w:val="18"/>
          <w:szCs w:val="18"/>
          <w:rtl/>
          <w:lang w:bidi="ar-EG"/>
        </w:rPr>
        <w:t>في هذا الجدول، يمثل عدد المشاريع عدد مصادر التمويل من المنح الفردية الموقعة مع شركاء المشروع أو من الأموال ال</w:t>
      </w:r>
      <w:r w:rsidR="006C718E" w:rsidRPr="0017347E">
        <w:rPr>
          <w:rFonts w:hint="cs"/>
          <w:i/>
          <w:iCs/>
          <w:spacing w:val="-6"/>
          <w:sz w:val="18"/>
          <w:szCs w:val="18"/>
          <w:rtl/>
          <w:lang w:bidi="ar-EG"/>
        </w:rPr>
        <w:t>تي يخصصها</w:t>
      </w:r>
      <w:r w:rsidR="006C718E" w:rsidRPr="0017347E">
        <w:rPr>
          <w:i/>
          <w:iCs/>
          <w:spacing w:val="-6"/>
          <w:sz w:val="18"/>
          <w:szCs w:val="18"/>
          <w:rtl/>
          <w:lang w:bidi="ar-EG"/>
        </w:rPr>
        <w:t xml:space="preserve"> الاتحاد الدولي للاتصالات</w:t>
      </w:r>
      <w:r w:rsidRPr="0017347E">
        <w:rPr>
          <w:rFonts w:hint="cs"/>
          <w:i/>
          <w:iCs/>
          <w:spacing w:val="-6"/>
          <w:sz w:val="18"/>
          <w:szCs w:val="18"/>
          <w:rtl/>
          <w:lang w:bidi="ar-EG"/>
        </w:rPr>
        <w:t xml:space="preserve">. </w:t>
      </w:r>
    </w:p>
    <w:p w14:paraId="1BC221BB" w14:textId="6AB9C12B" w:rsidR="001C5EE6" w:rsidRPr="007559A3" w:rsidRDefault="001C5EE6" w:rsidP="00CD5816">
      <w:pPr>
        <w:spacing w:before="240"/>
        <w:rPr>
          <w:rtl/>
          <w:lang w:bidi="ar-EG"/>
        </w:rPr>
      </w:pPr>
      <w:r w:rsidRPr="007559A3">
        <w:rPr>
          <w:lang w:bidi="ar-SY"/>
        </w:rPr>
        <w:lastRenderedPageBreak/>
        <w:t>3.5</w:t>
      </w:r>
      <w:r w:rsidRPr="007559A3">
        <w:rPr>
          <w:rFonts w:hint="cs"/>
          <w:rtl/>
          <w:lang w:bidi="ar-EG"/>
        </w:rPr>
        <w:tab/>
        <w:t xml:space="preserve">وجدير بالإشارة أن مجلس الاتحاد قرر في عام </w:t>
      </w:r>
      <w:r w:rsidRPr="007559A3">
        <w:rPr>
          <w:lang w:bidi="ar-EG"/>
        </w:rPr>
        <w:t>2018</w:t>
      </w:r>
      <w:r w:rsidRPr="007559A3">
        <w:rPr>
          <w:rFonts w:hint="cs"/>
          <w:rtl/>
          <w:lang w:val="fr-CH" w:bidi="ar-EG"/>
        </w:rPr>
        <w:t xml:space="preserve"> تخصيص موارد لتمويل إقامة مشاريع لتنفيذ</w:t>
      </w:r>
      <w:r w:rsidRPr="007559A3">
        <w:rPr>
          <w:rFonts w:hint="cs"/>
          <w:rtl/>
          <w:lang w:bidi="ar-EG"/>
        </w:rPr>
        <w:t xml:space="preserve"> المبادرات الإقليمية للمؤتمر العالمي لتنمية الاتصالات لعام </w:t>
      </w:r>
      <w:r w:rsidRPr="007559A3">
        <w:rPr>
          <w:lang w:bidi="ar-EG"/>
        </w:rPr>
        <w:t>2017</w:t>
      </w:r>
      <w:r w:rsidRPr="007559A3">
        <w:rPr>
          <w:rFonts w:hint="cs"/>
          <w:rtl/>
          <w:lang w:val="fr-CH" w:bidi="ar-EG"/>
        </w:rPr>
        <w:t xml:space="preserve"> </w:t>
      </w:r>
      <w:r w:rsidRPr="007559A3">
        <w:rPr>
          <w:lang w:val="es-ES" w:bidi="ar-EG"/>
        </w:rPr>
        <w:t>(WTDC-17)</w:t>
      </w:r>
      <w:r w:rsidRPr="007559A3">
        <w:rPr>
          <w:rFonts w:hint="cs"/>
          <w:rtl/>
          <w:lang w:val="fr-CH" w:bidi="ar-EG"/>
        </w:rPr>
        <w:t>. وجرت الموافقة على تخصيص مبلغ مليوني فرنك سويسري للفترة</w:t>
      </w:r>
      <w:r w:rsidRPr="007559A3">
        <w:rPr>
          <w:rFonts w:hint="eastAsia"/>
          <w:rtl/>
          <w:lang w:val="fr-CH" w:bidi="ar-EG"/>
        </w:rPr>
        <w:t> </w:t>
      </w:r>
      <w:r w:rsidRPr="007559A3">
        <w:rPr>
          <w:lang w:val="es-ES" w:bidi="ar-EG"/>
        </w:rPr>
        <w:t>2019-2018</w:t>
      </w:r>
      <w:r w:rsidRPr="007559A3">
        <w:rPr>
          <w:rFonts w:hint="cs"/>
          <w:rtl/>
          <w:lang w:bidi="ar-EG"/>
        </w:rPr>
        <w:t xml:space="preserve">، وأُدرج في الخطة المالية للفترة </w:t>
      </w:r>
      <w:r w:rsidRPr="007559A3">
        <w:rPr>
          <w:lang w:val="es-ES" w:bidi="ar-EG"/>
        </w:rPr>
        <w:t>2023-2020</w:t>
      </w:r>
      <w:r w:rsidRPr="007559A3">
        <w:rPr>
          <w:rFonts w:hint="cs"/>
          <w:rtl/>
          <w:lang w:bidi="ar-EG"/>
        </w:rPr>
        <w:t xml:space="preserve"> مبلغ آخر قدره </w:t>
      </w:r>
      <w:r w:rsidRPr="007559A3">
        <w:rPr>
          <w:lang w:val="es-ES" w:bidi="ar-EG"/>
        </w:rPr>
        <w:t>3</w:t>
      </w:r>
      <w:r w:rsidRPr="007559A3">
        <w:rPr>
          <w:rFonts w:hint="cs"/>
          <w:rtl/>
          <w:lang w:bidi="ar-EG"/>
        </w:rPr>
        <w:t xml:space="preserve"> ملايين فرنك سويسري للفترة</w:t>
      </w:r>
      <w:r w:rsidRPr="007559A3">
        <w:rPr>
          <w:rFonts w:hint="eastAsia"/>
          <w:rtl/>
          <w:lang w:bidi="ar-EG"/>
        </w:rPr>
        <w:t> </w:t>
      </w:r>
      <w:r w:rsidRPr="007559A3">
        <w:rPr>
          <w:lang w:val="es-ES" w:bidi="ar-EG"/>
        </w:rPr>
        <w:t>2021</w:t>
      </w:r>
      <w:r w:rsidRPr="007559A3">
        <w:rPr>
          <w:lang w:val="es-ES" w:bidi="ar-EG"/>
        </w:rPr>
        <w:noBreakHyphen/>
        <w:t>2020</w:t>
      </w:r>
      <w:r w:rsidRPr="007559A3">
        <w:rPr>
          <w:rFonts w:hint="cs"/>
          <w:rtl/>
          <w:lang w:val="es-ES" w:bidi="ar-EG"/>
        </w:rPr>
        <w:t xml:space="preserve">. وخُصص هذان </w:t>
      </w:r>
      <w:r w:rsidRPr="007559A3">
        <w:rPr>
          <w:rFonts w:hint="cs"/>
          <w:rtl/>
          <w:lang w:bidi="ar-EG"/>
        </w:rPr>
        <w:t xml:space="preserve">المبلغان كتمويل أولي يُستخدم لجذب التمويل من الشركاء. </w:t>
      </w:r>
      <w:r w:rsidRPr="007559A3">
        <w:rPr>
          <w:rFonts w:hint="cs"/>
          <w:rtl/>
        </w:rPr>
        <w:t>و</w:t>
      </w:r>
      <w:r w:rsidRPr="007559A3">
        <w:rPr>
          <w:rFonts w:hint="cs"/>
          <w:rtl/>
          <w:lang w:bidi="ar-EG"/>
        </w:rPr>
        <w:t xml:space="preserve">في نهاية </w:t>
      </w:r>
      <w:r w:rsidR="000352F9" w:rsidRPr="007559A3">
        <w:rPr>
          <w:rFonts w:hint="cs"/>
          <w:rtl/>
          <w:lang w:bidi="ar-EG"/>
        </w:rPr>
        <w:t xml:space="preserve">أكتوبر </w:t>
      </w:r>
      <w:r w:rsidR="000352F9" w:rsidRPr="007559A3">
        <w:rPr>
          <w:lang w:bidi="ar-EG"/>
        </w:rPr>
        <w:t>2021</w:t>
      </w:r>
      <w:r w:rsidR="000352F9" w:rsidRPr="007559A3">
        <w:rPr>
          <w:rtl/>
          <w:lang w:bidi="ar-EG"/>
        </w:rPr>
        <w:t>،</w:t>
      </w:r>
      <w:r w:rsidRPr="007559A3">
        <w:rPr>
          <w:rFonts w:hint="cs"/>
          <w:rtl/>
          <w:lang w:bidi="ar-EG"/>
        </w:rPr>
        <w:t xml:space="preserve"> </w:t>
      </w:r>
      <w:r w:rsidR="00B609DD" w:rsidRPr="007559A3">
        <w:rPr>
          <w:rFonts w:hint="cs"/>
          <w:rtl/>
          <w:lang w:bidi="ar-EG"/>
        </w:rPr>
        <w:t xml:space="preserve">كان قد </w:t>
      </w:r>
      <w:r w:rsidRPr="007559A3">
        <w:rPr>
          <w:rtl/>
        </w:rPr>
        <w:t>وُقع</w:t>
      </w:r>
      <w:r w:rsidRPr="007559A3">
        <w:rPr>
          <w:rFonts w:hint="cs"/>
          <w:rtl/>
        </w:rPr>
        <w:t xml:space="preserve"> ما مجموعه</w:t>
      </w:r>
      <w:r w:rsidRPr="007559A3">
        <w:rPr>
          <w:rFonts w:hint="cs"/>
          <w:rtl/>
          <w:lang w:bidi="ar"/>
        </w:rPr>
        <w:t xml:space="preserve"> </w:t>
      </w:r>
      <w:r w:rsidR="000352F9" w:rsidRPr="007559A3">
        <w:rPr>
          <w:lang w:bidi="ar"/>
        </w:rPr>
        <w:t>28</w:t>
      </w:r>
      <w:r w:rsidR="007559A3" w:rsidRPr="007559A3">
        <w:rPr>
          <w:rFonts w:hint="eastAsia"/>
          <w:rtl/>
          <w:lang w:bidi="ar"/>
        </w:rPr>
        <w:t> </w:t>
      </w:r>
      <w:r w:rsidRPr="007559A3">
        <w:rPr>
          <w:rFonts w:hint="cs"/>
          <w:rtl/>
          <w:lang w:bidi="ar-EG"/>
        </w:rPr>
        <w:t xml:space="preserve">مشروعاً </w:t>
      </w:r>
      <w:r w:rsidRPr="007559A3">
        <w:rPr>
          <w:rFonts w:hint="cs"/>
          <w:rtl/>
        </w:rPr>
        <w:t xml:space="preserve">للنهوض بهذه المبادرات، بلغت قيمتها الإجمالية </w:t>
      </w:r>
      <w:r w:rsidR="000352F9" w:rsidRPr="007559A3">
        <w:rPr>
          <w:lang w:bidi="ar"/>
        </w:rPr>
        <w:t>11</w:t>
      </w:r>
      <w:r w:rsidRPr="007559A3">
        <w:rPr>
          <w:lang w:bidi="ar"/>
        </w:rPr>
        <w:t>,</w:t>
      </w:r>
      <w:r w:rsidR="000352F9" w:rsidRPr="007559A3">
        <w:rPr>
          <w:lang w:bidi="ar"/>
        </w:rPr>
        <w:t>7</w:t>
      </w:r>
      <w:r w:rsidRPr="007559A3">
        <w:rPr>
          <w:rFonts w:hint="cs"/>
          <w:rtl/>
          <w:lang w:bidi="ar-EG"/>
        </w:rPr>
        <w:t xml:space="preserve"> </w:t>
      </w:r>
      <w:r w:rsidRPr="007559A3">
        <w:rPr>
          <w:rFonts w:hint="cs"/>
          <w:rtl/>
        </w:rPr>
        <w:t xml:space="preserve">مليون فرنك سويسري </w:t>
      </w:r>
      <w:r w:rsidRPr="007559A3">
        <w:rPr>
          <w:rFonts w:hint="cs"/>
          <w:rtl/>
          <w:lang w:bidi="ar"/>
        </w:rPr>
        <w:t>(</w:t>
      </w:r>
      <w:r w:rsidRPr="007559A3">
        <w:rPr>
          <w:rFonts w:hint="cs"/>
          <w:rtl/>
        </w:rPr>
        <w:t>شملت مساهمات عينية</w:t>
      </w:r>
      <w:r w:rsidRPr="007559A3">
        <w:rPr>
          <w:rFonts w:hint="cs"/>
          <w:rtl/>
          <w:lang w:bidi="ar"/>
        </w:rPr>
        <w:t xml:space="preserve">). </w:t>
      </w:r>
      <w:r w:rsidRPr="007559A3">
        <w:rPr>
          <w:rFonts w:hint="cs"/>
          <w:rtl/>
        </w:rPr>
        <w:t xml:space="preserve">وتشمل هذه المشاريع جميع مناطق الاتحاد، </w:t>
      </w:r>
      <w:r w:rsidRPr="007559A3">
        <w:rPr>
          <w:rFonts w:hint="cs"/>
          <w:rtl/>
          <w:lang w:bidi="ar-EG"/>
        </w:rPr>
        <w:t>كما تتضمّن عدداً</w:t>
      </w:r>
      <w:r w:rsidRPr="007559A3">
        <w:rPr>
          <w:rFonts w:hint="cs"/>
          <w:rtl/>
        </w:rPr>
        <w:t xml:space="preserve"> من المشاريع المنفذة في مناطق متعددة</w:t>
      </w:r>
      <w:r w:rsidRPr="007559A3">
        <w:rPr>
          <w:rFonts w:hint="cs"/>
          <w:rtl/>
          <w:lang w:bidi="ar"/>
        </w:rPr>
        <w:t xml:space="preserve">. </w:t>
      </w:r>
      <w:r w:rsidRPr="007559A3">
        <w:rPr>
          <w:rFonts w:hint="cs"/>
          <w:rtl/>
        </w:rPr>
        <w:t>وقد بلغت مساهمة الاتحاد في</w:t>
      </w:r>
      <w:r w:rsidR="007559A3">
        <w:rPr>
          <w:rFonts w:hint="eastAsia"/>
          <w:rtl/>
        </w:rPr>
        <w:t> </w:t>
      </w:r>
      <w:r w:rsidRPr="007559A3">
        <w:rPr>
          <w:rFonts w:hint="cs"/>
          <w:rtl/>
        </w:rPr>
        <w:t xml:space="preserve">هذه المشاريع من الموارد التي خصصها المجلس لهذا الغرض </w:t>
      </w:r>
      <w:r w:rsidRPr="007559A3">
        <w:rPr>
          <w:lang w:bidi="ar"/>
        </w:rPr>
        <w:t>3,</w:t>
      </w:r>
      <w:r w:rsidR="000352F9" w:rsidRPr="007559A3">
        <w:rPr>
          <w:lang w:bidi="ar"/>
        </w:rPr>
        <w:t>9</w:t>
      </w:r>
      <w:r w:rsidRPr="007559A3">
        <w:rPr>
          <w:rFonts w:hint="cs"/>
          <w:rtl/>
          <w:lang w:bidi="ar-EG"/>
        </w:rPr>
        <w:t xml:space="preserve"> ملايين فرنك سويسري</w:t>
      </w:r>
      <w:r w:rsidRPr="007559A3">
        <w:rPr>
          <w:rFonts w:hint="cs"/>
          <w:rtl/>
          <w:lang w:bidi="ar"/>
        </w:rPr>
        <w:t xml:space="preserve">. </w:t>
      </w:r>
      <w:r w:rsidRPr="007559A3">
        <w:rPr>
          <w:rFonts w:hint="cs"/>
          <w:rtl/>
        </w:rPr>
        <w:t>وفي الوقت الحاضر، تشهد المشاريع مراحل مختلفة من التنفيذ</w:t>
      </w:r>
      <w:r w:rsidRPr="007559A3">
        <w:rPr>
          <w:rFonts w:hint="cs"/>
          <w:rtl/>
          <w:lang w:bidi="ar"/>
        </w:rPr>
        <w:t xml:space="preserve">. </w:t>
      </w:r>
      <w:r w:rsidRPr="007559A3">
        <w:rPr>
          <w:rFonts w:hint="cs"/>
          <w:rtl/>
        </w:rPr>
        <w:t>وعلاوةً</w:t>
      </w:r>
      <w:r w:rsidRPr="007559A3">
        <w:rPr>
          <w:rFonts w:hint="eastAsia"/>
          <w:rtl/>
          <w:lang w:bidi="ar"/>
        </w:rPr>
        <w:t> </w:t>
      </w:r>
      <w:r w:rsidRPr="007559A3">
        <w:rPr>
          <w:rFonts w:hint="cs"/>
          <w:rtl/>
        </w:rPr>
        <w:t xml:space="preserve">على ذلك، يوشك على الانتهاء حالياً الاتفاق مع الشركاء </w:t>
      </w:r>
      <w:r w:rsidRPr="007559A3">
        <w:rPr>
          <w:rFonts w:hint="cs"/>
          <w:rtl/>
          <w:lang w:bidi="ar-EG"/>
        </w:rPr>
        <w:t xml:space="preserve">لتنفيذ تسعة مشاريع جديدة، </w:t>
      </w:r>
      <w:r w:rsidRPr="007559A3">
        <w:rPr>
          <w:rFonts w:hint="cs"/>
          <w:rtl/>
        </w:rPr>
        <w:t xml:space="preserve">ومن المتوقع </w:t>
      </w:r>
      <w:r w:rsidRPr="007559A3">
        <w:rPr>
          <w:rtl/>
        </w:rPr>
        <w:t xml:space="preserve">التوقيع </w:t>
      </w:r>
      <w:r w:rsidRPr="007559A3">
        <w:rPr>
          <w:rFonts w:hint="cs"/>
          <w:rtl/>
        </w:rPr>
        <w:t xml:space="preserve">على هذه المشاريع </w:t>
      </w:r>
      <w:r w:rsidR="00CC18AB" w:rsidRPr="007559A3">
        <w:rPr>
          <w:rFonts w:hint="cs"/>
          <w:rtl/>
        </w:rPr>
        <w:t>قبل نهاية</w:t>
      </w:r>
      <w:r w:rsidR="00CC18AB" w:rsidRPr="007559A3">
        <w:rPr>
          <w:rFonts w:hint="eastAsia"/>
          <w:rtl/>
          <w:lang w:bidi="ar"/>
        </w:rPr>
        <w:t> </w:t>
      </w:r>
      <w:r w:rsidRPr="007559A3">
        <w:rPr>
          <w:rtl/>
        </w:rPr>
        <w:t>عام</w:t>
      </w:r>
      <w:r w:rsidRPr="007559A3">
        <w:rPr>
          <w:rFonts w:hint="eastAsia"/>
          <w:rtl/>
          <w:lang w:bidi="ar"/>
        </w:rPr>
        <w:t> </w:t>
      </w:r>
      <w:r w:rsidRPr="007559A3">
        <w:rPr>
          <w:lang w:bidi="ar"/>
        </w:rPr>
        <w:t>2021</w:t>
      </w:r>
      <w:r w:rsidRPr="007559A3">
        <w:rPr>
          <w:rFonts w:hint="cs"/>
          <w:rtl/>
          <w:lang w:bidi="ar"/>
        </w:rPr>
        <w:t xml:space="preserve">. </w:t>
      </w:r>
      <w:r w:rsidRPr="007559A3">
        <w:rPr>
          <w:rFonts w:hint="cs"/>
          <w:rtl/>
          <w:lang w:bidi="ar-EG"/>
        </w:rPr>
        <w:t>وتبذل مديرة مكتب تنمية الاتصالات قصارى جهدها لضمان جودة تنسيق هذه المبادرات مع البرامج وأعمال لجان الدراسات والقطاعين الآخرين تلافياً لتجزّؤ الأعمال وتحقيقاً لأقصى ما يمكن من تأثير ونتائج.</w:t>
      </w:r>
    </w:p>
    <w:p w14:paraId="0194C553" w14:textId="77777777" w:rsidR="001C5EE6" w:rsidRPr="00CC485D" w:rsidRDefault="001C5EE6" w:rsidP="001C5EE6">
      <w:pPr>
        <w:rPr>
          <w:rtl/>
          <w:lang w:bidi="ar-EG"/>
        </w:rPr>
      </w:pPr>
      <w:r w:rsidRPr="00CC485D">
        <w:t>4.5</w:t>
      </w:r>
      <w:r w:rsidRPr="00CC485D">
        <w:rPr>
          <w:rtl/>
          <w:lang w:bidi="ar-EG"/>
        </w:rPr>
        <w:tab/>
      </w:r>
      <w:r w:rsidRPr="00CC485D">
        <w:rPr>
          <w:rFonts w:hint="cs"/>
          <w:rtl/>
          <w:lang w:bidi="ar-EG"/>
        </w:rPr>
        <w:t xml:space="preserve">وقد أسهمت المكاتب الإقليمية ومكاتب المناطق في تنفيذ خطة الاتحاد الاستراتيجية والخطط التشغيلية لقطاع تنمية الاتصالات. ويورد </w:t>
      </w:r>
      <w:r w:rsidRPr="00CC485D">
        <w:rPr>
          <w:rFonts w:hint="cs"/>
          <w:b/>
          <w:bCs/>
          <w:rtl/>
          <w:lang w:bidi="ar-EG"/>
        </w:rPr>
        <w:t xml:space="preserve">الملحق </w:t>
      </w:r>
      <w:r w:rsidRPr="00CC485D">
        <w:rPr>
          <w:b/>
          <w:bCs/>
          <w:lang w:val="es-ES" w:bidi="ar-EG"/>
        </w:rPr>
        <w:t>1</w:t>
      </w:r>
      <w:r w:rsidRPr="00CC485D">
        <w:rPr>
          <w:rFonts w:hint="cs"/>
          <w:b/>
          <w:bCs/>
          <w:rtl/>
          <w:lang w:bidi="ar-EG"/>
        </w:rPr>
        <w:t xml:space="preserve"> </w:t>
      </w:r>
      <w:r w:rsidRPr="00CC485D">
        <w:rPr>
          <w:rFonts w:hint="cs"/>
          <w:rtl/>
          <w:lang w:bidi="ar-EG"/>
        </w:rPr>
        <w:t>موجزاً للإنجازات المحقَّقة بحسب المناطق.</w:t>
      </w:r>
    </w:p>
    <w:p w14:paraId="4362B215" w14:textId="77777777" w:rsidR="001C5EE6" w:rsidRPr="002145D0" w:rsidRDefault="001C5EE6" w:rsidP="002145D0">
      <w:pPr>
        <w:pStyle w:val="Heading1"/>
      </w:pPr>
      <w:r w:rsidRPr="002145D0">
        <w:t>6</w:t>
      </w:r>
      <w:r w:rsidRPr="002145D0">
        <w:tab/>
      </w:r>
      <w:r w:rsidRPr="002145D0">
        <w:rPr>
          <w:rFonts w:hint="cs"/>
          <w:rtl/>
        </w:rPr>
        <w:t>المساهمة في أعمال القطاعين الآخرين والأمانة العامة</w:t>
      </w:r>
    </w:p>
    <w:p w14:paraId="3C569A8F" w14:textId="36B7290E" w:rsidR="001C5EE6" w:rsidRDefault="001C5EE6" w:rsidP="001C5EE6">
      <w:pPr>
        <w:rPr>
          <w:lang w:bidi="ar-EG"/>
        </w:rPr>
      </w:pPr>
      <w:r w:rsidRPr="00CC485D">
        <w:t>1.6</w:t>
      </w:r>
      <w:r w:rsidRPr="00CC485D">
        <w:tab/>
      </w:r>
      <w:r w:rsidRPr="00CC485D">
        <w:rPr>
          <w:rFonts w:hint="cs"/>
          <w:rtl/>
        </w:rPr>
        <w:t xml:space="preserve">أسهمت المكاتب الإقليمية ومكاتب المناطق في </w:t>
      </w:r>
      <w:r w:rsidRPr="00CC485D">
        <w:rPr>
          <w:rFonts w:hint="cs"/>
          <w:rtl/>
          <w:lang w:bidi="ar-EG"/>
        </w:rPr>
        <w:t xml:space="preserve">تنفيذ خطة الاتحاد الاستراتيجية </w:t>
      </w:r>
      <w:r>
        <w:rPr>
          <w:rFonts w:hint="cs"/>
          <w:rtl/>
          <w:lang w:bidi="ar-EG"/>
        </w:rPr>
        <w:t xml:space="preserve">فضلاً عن </w:t>
      </w:r>
      <w:r w:rsidRPr="00CC485D">
        <w:rPr>
          <w:rFonts w:hint="cs"/>
          <w:rtl/>
          <w:lang w:bidi="ar-EG"/>
        </w:rPr>
        <w:t xml:space="preserve">الخطط التشغيلية </w:t>
      </w:r>
      <w:r w:rsidRPr="00CC485D">
        <w:rPr>
          <w:rFonts w:hint="cs"/>
          <w:rtl/>
        </w:rPr>
        <w:t>لقطاع الاتصالات الراديوية</w:t>
      </w:r>
      <w:r w:rsidRPr="00CC485D">
        <w:rPr>
          <w:rFonts w:hint="eastAsia"/>
          <w:rtl/>
        </w:rPr>
        <w:t> </w:t>
      </w:r>
      <w:r w:rsidRPr="00CC485D">
        <w:rPr>
          <w:rFonts w:hint="cs"/>
          <w:rtl/>
        </w:rPr>
        <w:t xml:space="preserve">وقطاع تقييس الاتصالات والأمانة العامة على النحو المبين في </w:t>
      </w:r>
      <w:r w:rsidRPr="00CC485D">
        <w:rPr>
          <w:rFonts w:hint="cs"/>
          <w:b/>
          <w:bCs/>
          <w:rtl/>
        </w:rPr>
        <w:t xml:space="preserve">الملحق </w:t>
      </w:r>
      <w:r w:rsidRPr="00CC485D">
        <w:rPr>
          <w:b/>
          <w:bCs/>
          <w:lang w:val="es-ES"/>
        </w:rPr>
        <w:t>2</w:t>
      </w:r>
      <w:r w:rsidRPr="00CC485D">
        <w:rPr>
          <w:rFonts w:hint="cs"/>
          <w:rtl/>
          <w:lang w:bidi="ar-EG"/>
        </w:rPr>
        <w:t>.</w:t>
      </w:r>
    </w:p>
    <w:p w14:paraId="2BAED00F" w14:textId="2945E34F" w:rsidR="00832B54" w:rsidRDefault="00832B54" w:rsidP="00CD5816">
      <w:r>
        <w:rPr>
          <w:rFonts w:hint="cs"/>
          <w:rtl/>
        </w:rPr>
        <w:t>و</w:t>
      </w:r>
      <w:r>
        <w:rPr>
          <w:rtl/>
        </w:rPr>
        <w:t>في آسيا والمحيط الهادئ</w:t>
      </w:r>
      <w:r w:rsidRPr="00832B54">
        <w:rPr>
          <w:rtl/>
        </w:rPr>
        <w:t xml:space="preserve">، نظم المكتب الإقليمي ومكتب الاتصالات </w:t>
      </w:r>
      <w:r w:rsidRPr="00312C40">
        <w:rPr>
          <w:rtl/>
        </w:rPr>
        <w:t>الراديوية</w:t>
      </w:r>
      <w:r w:rsidR="00B609DD">
        <w:rPr>
          <w:rFonts w:hint="cs"/>
          <w:rtl/>
        </w:rPr>
        <w:t xml:space="preserve"> </w:t>
      </w:r>
      <w:r w:rsidR="00B609DD">
        <w:t>(BR)</w:t>
      </w:r>
      <w:r w:rsidRPr="00832B54">
        <w:rPr>
          <w:rtl/>
        </w:rPr>
        <w:t xml:space="preserve"> الحلقة الدراسية الإقليمية للاتصالات الراديوية في الفترة من 11 إلى 22 أكتوبر 2021 بالشراكة مع </w:t>
      </w:r>
      <w:r w:rsidR="00293B71">
        <w:rPr>
          <w:rFonts w:hint="cs"/>
          <w:rtl/>
        </w:rPr>
        <w:t>جماعة</w:t>
      </w:r>
      <w:r w:rsidRPr="00832B54">
        <w:rPr>
          <w:rtl/>
        </w:rPr>
        <w:t xml:space="preserve"> الاتصالات لآسيا والمحيط الهادئ. </w:t>
      </w:r>
      <w:r>
        <w:rPr>
          <w:rFonts w:hint="cs"/>
          <w:rtl/>
        </w:rPr>
        <w:t>و</w:t>
      </w:r>
      <w:r w:rsidRPr="00832B54">
        <w:rPr>
          <w:rtl/>
        </w:rPr>
        <w:t xml:space="preserve">تلقى الاتحاد </w:t>
      </w:r>
      <w:r>
        <w:rPr>
          <w:rFonts w:hint="cs"/>
          <w:rtl/>
        </w:rPr>
        <w:t>قرابة</w:t>
      </w:r>
      <w:r w:rsidRPr="00832B54">
        <w:rPr>
          <w:rtl/>
        </w:rPr>
        <w:t xml:space="preserve"> 400</w:t>
      </w:r>
      <w:r w:rsidR="00C802A5">
        <w:rPr>
          <w:rFonts w:hint="cs"/>
          <w:rtl/>
        </w:rPr>
        <w:t> </w:t>
      </w:r>
      <w:r w:rsidRPr="00832B54">
        <w:rPr>
          <w:rtl/>
        </w:rPr>
        <w:t xml:space="preserve">تسجيل في </w:t>
      </w:r>
      <w:r w:rsidR="00955739" w:rsidRPr="00832B54">
        <w:rPr>
          <w:rtl/>
        </w:rPr>
        <w:t xml:space="preserve">الحلقة الدراسية </w:t>
      </w:r>
      <w:r w:rsidRPr="00832B54">
        <w:rPr>
          <w:rtl/>
        </w:rPr>
        <w:t>التي غطت الاتجاهات الناشئة في إدارة الطيف والاتصالات الساتلية وتطوير البنية التحتية في</w:t>
      </w:r>
      <w:r w:rsidR="00DB4A2B">
        <w:rPr>
          <w:rFonts w:hint="cs"/>
          <w:rtl/>
        </w:rPr>
        <w:t> </w:t>
      </w:r>
      <w:r w:rsidRPr="00832B54">
        <w:rPr>
          <w:rtl/>
        </w:rPr>
        <w:t xml:space="preserve">المنطقة. وبالتعاون مع </w:t>
      </w:r>
      <w:r w:rsidR="00C74098" w:rsidRPr="00C74098">
        <w:rPr>
          <w:rtl/>
        </w:rPr>
        <w:t xml:space="preserve">مكتب تقييس الاتصالات </w:t>
      </w:r>
      <w:r w:rsidR="00C74098">
        <w:rPr>
          <w:rFonts w:hint="cs"/>
          <w:rtl/>
        </w:rPr>
        <w:t>(</w:t>
      </w:r>
      <w:r w:rsidR="00C74098" w:rsidRPr="00312C40">
        <w:t>TSB</w:t>
      </w:r>
      <w:r w:rsidR="00C74098">
        <w:rPr>
          <w:rFonts w:hint="cs"/>
          <w:rtl/>
        </w:rPr>
        <w:t>)</w:t>
      </w:r>
      <w:r w:rsidRPr="00832B54">
        <w:rPr>
          <w:rtl/>
        </w:rPr>
        <w:t xml:space="preserve">، يروج المكتب الإقليمي لمختبر </w:t>
      </w:r>
      <w:r w:rsidR="00DE552F" w:rsidRPr="00DE552F">
        <w:rPr>
          <w:rtl/>
        </w:rPr>
        <w:t>الخدمات المالية الرقمية</w:t>
      </w:r>
      <w:r w:rsidR="00DE552F">
        <w:rPr>
          <w:rFonts w:hint="cs"/>
          <w:rtl/>
        </w:rPr>
        <w:t xml:space="preserve"> (</w:t>
      </w:r>
      <w:r w:rsidR="00DE552F" w:rsidRPr="00832B54">
        <w:t>DFS</w:t>
      </w:r>
      <w:r w:rsidR="00DE552F">
        <w:rPr>
          <w:rFonts w:hint="cs"/>
          <w:rtl/>
        </w:rPr>
        <w:t>)</w:t>
      </w:r>
      <w:r w:rsidRPr="00832B54">
        <w:rPr>
          <w:rtl/>
        </w:rPr>
        <w:t xml:space="preserve"> وأهمية الأمن في </w:t>
      </w:r>
      <w:r w:rsidR="00DE552F" w:rsidRPr="00DE552F">
        <w:rPr>
          <w:rtl/>
        </w:rPr>
        <w:t>ت</w:t>
      </w:r>
      <w:r w:rsidR="00DE552F">
        <w:rPr>
          <w:rtl/>
        </w:rPr>
        <w:t>طبيقات الخدمات المالية المتنقلة</w:t>
      </w:r>
      <w:r w:rsidRPr="00832B54">
        <w:rPr>
          <w:rtl/>
        </w:rPr>
        <w:t xml:space="preserve">، </w:t>
      </w:r>
      <w:r w:rsidR="00DE552F">
        <w:rPr>
          <w:rFonts w:hint="cs"/>
          <w:rtl/>
        </w:rPr>
        <w:t>فيما</w:t>
      </w:r>
      <w:r w:rsidRPr="00832B54">
        <w:rPr>
          <w:rtl/>
        </w:rPr>
        <w:t xml:space="preserve"> ينظم </w:t>
      </w:r>
      <w:r w:rsidR="00DE552F">
        <w:rPr>
          <w:rtl/>
        </w:rPr>
        <w:t xml:space="preserve">سلسلة حلقات دراسية </w:t>
      </w:r>
      <w:r w:rsidR="00DE552F" w:rsidRPr="00DE552F">
        <w:rPr>
          <w:rtl/>
        </w:rPr>
        <w:t>إلكترونية</w:t>
      </w:r>
      <w:r w:rsidRPr="00832B54">
        <w:rPr>
          <w:rtl/>
        </w:rPr>
        <w:t xml:space="preserve"> حول الابتكار الرقمي </w:t>
      </w:r>
      <w:r w:rsidR="00DE552F">
        <w:rPr>
          <w:rtl/>
        </w:rPr>
        <w:t>مع جمعية تطوير معايير الاتصالات</w:t>
      </w:r>
      <w:r w:rsidRPr="00832B54">
        <w:rPr>
          <w:rtl/>
        </w:rPr>
        <w:t>، الهند.</w:t>
      </w:r>
    </w:p>
    <w:p w14:paraId="143B172B" w14:textId="615E227A" w:rsidR="00860308" w:rsidRDefault="00860308" w:rsidP="00CD5816">
      <w:pPr>
        <w:rPr>
          <w:lang w:bidi="ar-EG"/>
        </w:rPr>
      </w:pPr>
      <w:r>
        <w:rPr>
          <w:rFonts w:hint="cs"/>
          <w:rtl/>
        </w:rPr>
        <w:t>و</w:t>
      </w:r>
      <w:r>
        <w:rPr>
          <w:rtl/>
          <w:lang w:bidi="ar-EG"/>
        </w:rPr>
        <w:t>في المنطقة العربية</w:t>
      </w:r>
      <w:r w:rsidRPr="00860308">
        <w:rPr>
          <w:rtl/>
          <w:lang w:bidi="ar-EG"/>
        </w:rPr>
        <w:t>، يعمل المكتب الإقليمي مع مكتب تقييس الاتصالات ومكتب الاتصالات الراديوية في اجتماعات شهرية و</w:t>
      </w:r>
      <w:r>
        <w:rPr>
          <w:rFonts w:hint="cs"/>
          <w:rtl/>
        </w:rPr>
        <w:t xml:space="preserve">اجتماعات </w:t>
      </w:r>
      <w:r w:rsidR="00B609DD" w:rsidRPr="00B609DD">
        <w:rPr>
          <w:rFonts w:hint="cs"/>
          <w:rtl/>
        </w:rPr>
        <w:t>ربع</w:t>
      </w:r>
      <w:r w:rsidR="00B609DD">
        <w:rPr>
          <w:rFonts w:hint="cs"/>
          <w:rtl/>
        </w:rPr>
        <w:t xml:space="preserve"> سنوية</w:t>
      </w:r>
      <w:r w:rsidRPr="00860308">
        <w:rPr>
          <w:rtl/>
          <w:lang w:bidi="ar-EG"/>
        </w:rPr>
        <w:t xml:space="preserve">. </w:t>
      </w:r>
      <w:r>
        <w:rPr>
          <w:rFonts w:hint="cs"/>
          <w:rtl/>
          <w:lang w:bidi="ar-EG"/>
        </w:rPr>
        <w:t>و</w:t>
      </w:r>
      <w:r w:rsidRPr="00860308">
        <w:rPr>
          <w:rtl/>
          <w:lang w:bidi="ar-EG"/>
        </w:rPr>
        <w:t xml:space="preserve">يدعم المكتب الإقليمي </w:t>
      </w:r>
      <w:r>
        <w:rPr>
          <w:rFonts w:hint="cs"/>
          <w:rtl/>
          <w:lang w:bidi="ar-EG"/>
        </w:rPr>
        <w:t>للمنطقة العربية</w:t>
      </w:r>
      <w:r w:rsidRPr="00860308">
        <w:rPr>
          <w:rtl/>
          <w:lang w:bidi="ar-EG"/>
        </w:rPr>
        <w:t xml:space="preserve"> مكتب تقييس الاتصالات في الاجتماعات التحضيرية الإقليمية للجمعية العالمية لتقييس الاتصالات وفي التخطيط الإقليمي الآخر المتعلق بأنشطة </w:t>
      </w:r>
      <w:r>
        <w:rPr>
          <w:rFonts w:hint="cs"/>
          <w:rtl/>
          <w:lang w:bidi="ar-EG"/>
        </w:rPr>
        <w:t>لجنة</w:t>
      </w:r>
      <w:r w:rsidRPr="00860308">
        <w:rPr>
          <w:rtl/>
          <w:lang w:bidi="ar-EG"/>
        </w:rPr>
        <w:t xml:space="preserve"> الدراسات الإقليمية التابعة لمكتب تقييس الاتصالات.</w:t>
      </w:r>
      <w:r>
        <w:rPr>
          <w:rFonts w:hint="cs"/>
          <w:rtl/>
          <w:lang w:bidi="ar-EG"/>
        </w:rPr>
        <w:t xml:space="preserve"> وبالإضافة إلى ذلك،</w:t>
      </w:r>
      <w:r w:rsidRPr="00860308">
        <w:rPr>
          <w:rtl/>
          <w:lang w:bidi="ar-EG"/>
        </w:rPr>
        <w:t xml:space="preserve"> </w:t>
      </w:r>
      <w:r w:rsidR="00A41AE7">
        <w:rPr>
          <w:rFonts w:hint="cs"/>
          <w:rtl/>
          <w:lang w:bidi="ar-EG"/>
        </w:rPr>
        <w:t>ينسق</w:t>
      </w:r>
      <w:r w:rsidRPr="00860308">
        <w:rPr>
          <w:rtl/>
          <w:lang w:bidi="ar-EG"/>
        </w:rPr>
        <w:t xml:space="preserve"> الم</w:t>
      </w:r>
      <w:r>
        <w:rPr>
          <w:rtl/>
          <w:lang w:bidi="ar-EG"/>
        </w:rPr>
        <w:t xml:space="preserve">كتب الإقليمي </w:t>
      </w:r>
      <w:r>
        <w:rPr>
          <w:rFonts w:hint="cs"/>
          <w:rtl/>
          <w:lang w:bidi="ar-EG"/>
        </w:rPr>
        <w:t xml:space="preserve">للمنطقة العربية مع </w:t>
      </w:r>
      <w:r w:rsidRPr="00860308">
        <w:rPr>
          <w:rtl/>
          <w:lang w:bidi="ar-EG"/>
        </w:rPr>
        <w:t xml:space="preserve">مكتب الاتصالات الراديوية </w:t>
      </w:r>
      <w:r w:rsidR="00955739">
        <w:rPr>
          <w:rFonts w:hint="cs"/>
          <w:rtl/>
          <w:lang w:bidi="ar-EG"/>
        </w:rPr>
        <w:t>المسائل</w:t>
      </w:r>
      <w:r w:rsidRPr="00860308">
        <w:rPr>
          <w:rtl/>
          <w:lang w:bidi="ar-EG"/>
        </w:rPr>
        <w:t xml:space="preserve"> المتعلقة </w:t>
      </w:r>
      <w:r w:rsidR="00A41AE7">
        <w:rPr>
          <w:rFonts w:hint="cs"/>
          <w:rtl/>
          <w:lang w:bidi="ar-EG"/>
        </w:rPr>
        <w:t>ب</w:t>
      </w:r>
      <w:r w:rsidR="00A41AE7" w:rsidRPr="00A41AE7">
        <w:rPr>
          <w:rtl/>
          <w:lang w:bidi="ar-EG"/>
        </w:rPr>
        <w:t>الفريق العربي المعني بإدارة الطيف</w:t>
      </w:r>
      <w:r w:rsidRPr="00860308">
        <w:rPr>
          <w:rtl/>
          <w:lang w:bidi="ar-EG"/>
        </w:rPr>
        <w:t xml:space="preserve"> (</w:t>
      </w:r>
      <w:r w:rsidRPr="00860308">
        <w:rPr>
          <w:lang w:bidi="ar-EG"/>
        </w:rPr>
        <w:t>ASMG</w:t>
      </w:r>
      <w:r w:rsidRPr="00860308">
        <w:rPr>
          <w:rtl/>
          <w:lang w:bidi="ar-EG"/>
        </w:rPr>
        <w:t xml:space="preserve">) وكذلك </w:t>
      </w:r>
      <w:r w:rsidR="00955739">
        <w:rPr>
          <w:rFonts w:hint="cs"/>
          <w:rtl/>
          <w:lang w:bidi="ar-EG"/>
        </w:rPr>
        <w:t>المسائل</w:t>
      </w:r>
      <w:r w:rsidRPr="00860308">
        <w:rPr>
          <w:rtl/>
          <w:lang w:bidi="ar-EG"/>
        </w:rPr>
        <w:t xml:space="preserve"> ال</w:t>
      </w:r>
      <w:r w:rsidR="00955739">
        <w:rPr>
          <w:rFonts w:hint="cs"/>
          <w:rtl/>
          <w:lang w:bidi="ar-EG"/>
        </w:rPr>
        <w:t>مت</w:t>
      </w:r>
      <w:r w:rsidRPr="00860308">
        <w:rPr>
          <w:rtl/>
          <w:lang w:bidi="ar-EG"/>
        </w:rPr>
        <w:t xml:space="preserve">صلة </w:t>
      </w:r>
      <w:r w:rsidR="00955739">
        <w:rPr>
          <w:rFonts w:hint="cs"/>
          <w:rtl/>
          <w:lang w:bidi="ar-EG"/>
        </w:rPr>
        <w:t>ب</w:t>
      </w:r>
      <w:r w:rsidR="00A41AE7" w:rsidRPr="00A41AE7">
        <w:rPr>
          <w:rtl/>
          <w:lang w:bidi="ar-EG"/>
        </w:rPr>
        <w:t>المبادرة السياساتية والتنظيمية لإفريقيا الرقمية</w:t>
      </w:r>
      <w:r w:rsidR="00A473F7">
        <w:rPr>
          <w:rFonts w:hint="cs"/>
          <w:rtl/>
          <w:lang w:bidi="ar-EG"/>
        </w:rPr>
        <w:t> </w:t>
      </w:r>
      <w:r w:rsidR="00A41AE7" w:rsidRPr="00A41AE7">
        <w:rPr>
          <w:rtl/>
          <w:lang w:bidi="ar-EG"/>
        </w:rPr>
        <w:t>(</w:t>
      </w:r>
      <w:r w:rsidR="00A41AE7" w:rsidRPr="00A41AE7">
        <w:rPr>
          <w:lang w:bidi="ar-EG"/>
        </w:rPr>
        <w:t>PRIDA</w:t>
      </w:r>
      <w:r w:rsidR="00A41AE7">
        <w:rPr>
          <w:rtl/>
          <w:lang w:bidi="ar-EG"/>
        </w:rPr>
        <w:t>)</w:t>
      </w:r>
      <w:r w:rsidR="00A41AE7">
        <w:rPr>
          <w:rFonts w:hint="cs"/>
          <w:rtl/>
          <w:lang w:bidi="ar-EG"/>
        </w:rPr>
        <w:t xml:space="preserve"> </w:t>
      </w:r>
      <w:r w:rsidRPr="00860308">
        <w:rPr>
          <w:rtl/>
          <w:lang w:bidi="ar-EG"/>
        </w:rPr>
        <w:t xml:space="preserve">مع مكتب الاتصالات الراديوية </w:t>
      </w:r>
      <w:r w:rsidR="00955739" w:rsidRPr="00312C40">
        <w:rPr>
          <w:rtl/>
          <w:lang w:bidi="ar-EG"/>
        </w:rPr>
        <w:t>متى</w:t>
      </w:r>
      <w:r w:rsidR="00955739">
        <w:rPr>
          <w:rFonts w:hint="cs"/>
          <w:rtl/>
          <w:lang w:bidi="ar-EG"/>
        </w:rPr>
        <w:t xml:space="preserve"> </w:t>
      </w:r>
      <w:r w:rsidR="00B609DD">
        <w:rPr>
          <w:rFonts w:hint="cs"/>
          <w:rtl/>
          <w:lang w:bidi="ar-EG"/>
        </w:rPr>
        <w:t xml:space="preserve">وحيثما </w:t>
      </w:r>
      <w:r w:rsidR="00955739">
        <w:rPr>
          <w:rFonts w:hint="cs"/>
          <w:rtl/>
          <w:lang w:bidi="ar-EG"/>
        </w:rPr>
        <w:t>تقتضي</w:t>
      </w:r>
      <w:r w:rsidRPr="00860308">
        <w:rPr>
          <w:rtl/>
          <w:lang w:bidi="ar-EG"/>
        </w:rPr>
        <w:t xml:space="preserve"> الضرورة.</w:t>
      </w:r>
    </w:p>
    <w:p w14:paraId="61743777" w14:textId="77777777" w:rsidR="001C5EE6" w:rsidRPr="002145D0" w:rsidRDefault="001C5EE6" w:rsidP="002145D0">
      <w:pPr>
        <w:pStyle w:val="Heading1"/>
      </w:pPr>
      <w:r w:rsidRPr="002145D0">
        <w:t>7</w:t>
      </w:r>
      <w:r w:rsidRPr="002145D0">
        <w:tab/>
      </w:r>
      <w:r w:rsidRPr="002145D0">
        <w:rPr>
          <w:rFonts w:hint="cs"/>
          <w:rtl/>
        </w:rPr>
        <w:t>الهيكل ومستوى التوظيف</w:t>
      </w:r>
    </w:p>
    <w:p w14:paraId="4280B010" w14:textId="670E4728" w:rsidR="001C5EE6" w:rsidRPr="00D14F1A" w:rsidRDefault="001C5EE6" w:rsidP="00CD5816">
      <w:pPr>
        <w:keepNext/>
        <w:keepLines/>
        <w:rPr>
          <w:lang w:bidi="ar-EG"/>
        </w:rPr>
      </w:pPr>
      <w:r w:rsidRPr="00CC485D">
        <w:rPr>
          <w:lang w:bidi="ar-SY"/>
        </w:rPr>
        <w:t>1.7</w:t>
      </w:r>
      <w:r w:rsidRPr="00CC485D">
        <w:rPr>
          <w:rFonts w:hint="cs"/>
          <w:rtl/>
        </w:rPr>
        <w:tab/>
        <w:t>يورد الملحقان</w:t>
      </w:r>
      <w:r w:rsidR="009C4C00">
        <w:rPr>
          <w:rFonts w:hint="eastAsia"/>
          <w:rtl/>
        </w:rPr>
        <w:t> </w:t>
      </w:r>
      <w:r w:rsidR="00CD5816" w:rsidRPr="00CC485D">
        <w:rPr>
          <w:lang w:val="es-ES" w:bidi="ar-EG"/>
        </w:rPr>
        <w:t>8</w:t>
      </w:r>
      <w:r w:rsidR="00CD5816">
        <w:rPr>
          <w:rFonts w:hint="cs"/>
          <w:rtl/>
          <w:lang w:val="es-ES"/>
        </w:rPr>
        <w:t xml:space="preserve"> </w:t>
      </w:r>
      <w:r w:rsidR="00CD5816" w:rsidRPr="00CC485D">
        <w:rPr>
          <w:rFonts w:hint="cs"/>
          <w:rtl/>
        </w:rPr>
        <w:t>و9</w:t>
      </w:r>
      <w:r w:rsidRPr="00CC485D">
        <w:rPr>
          <w:rFonts w:hint="cs"/>
          <w:rtl/>
        </w:rPr>
        <w:t xml:space="preserve"> </w:t>
      </w:r>
      <w:hyperlink r:id="rId16" w:history="1">
        <w:r w:rsidR="00353A61">
          <w:rPr>
            <w:rFonts w:hint="cs"/>
            <w:rtl/>
          </w:rPr>
          <w:t>بالوثيقة</w:t>
        </w:r>
        <w:r w:rsidRPr="00CC485D">
          <w:rPr>
            <w:rFonts w:hint="cs"/>
            <w:rtl/>
          </w:rPr>
          <w:t xml:space="preserve"> </w:t>
        </w:r>
        <w:r w:rsidR="000352F9">
          <w:t xml:space="preserve">C21/INF/5 </w:t>
        </w:r>
      </w:hyperlink>
      <w:r w:rsidRPr="00CC485D">
        <w:rPr>
          <w:rFonts w:hint="cs"/>
          <w:rtl/>
          <w:lang w:bidi="ar-EG"/>
        </w:rPr>
        <w:t xml:space="preserve"> </w:t>
      </w:r>
      <w:r w:rsidRPr="00CC485D">
        <w:rPr>
          <w:rFonts w:hint="cs"/>
          <w:rtl/>
        </w:rPr>
        <w:t xml:space="preserve">تحليل مستوى التوظيف بنهاية عام </w:t>
      </w:r>
      <w:r w:rsidR="000352F9">
        <w:rPr>
          <w:lang w:val="es-ES"/>
        </w:rPr>
        <w:t>2021</w:t>
      </w:r>
      <w:r w:rsidRPr="00CC485D">
        <w:rPr>
          <w:rFonts w:hint="cs"/>
          <w:rtl/>
        </w:rPr>
        <w:t xml:space="preserve"> في المكاتب الإقليمية ومكاتب المناطق </w:t>
      </w:r>
      <w:r w:rsidRPr="00CC485D">
        <w:rPr>
          <w:rFonts w:hint="cs"/>
          <w:rtl/>
          <w:lang w:bidi="ar-EG"/>
        </w:rPr>
        <w:t>ب</w:t>
      </w:r>
      <w:r w:rsidRPr="00CC485D">
        <w:rPr>
          <w:rFonts w:hint="cs"/>
          <w:rtl/>
        </w:rPr>
        <w:t>حسب الدرجة والمنطقة</w:t>
      </w:r>
      <w:r w:rsidRPr="00CC485D">
        <w:rPr>
          <w:rFonts w:hint="eastAsia"/>
          <w:rtl/>
        </w:rPr>
        <w:t> </w:t>
      </w:r>
      <w:r w:rsidRPr="00CC485D">
        <w:rPr>
          <w:rFonts w:hint="cs"/>
          <w:rtl/>
        </w:rPr>
        <w:t>والمكتب. ويراعي كل من الهياكل ومستوى التوظيف في مختلف المكاتب الإقليمية ومكاتب المناطق توصيات وحدة التفتيش المشتركة التابعة للأمم المتحدة بشأن أساليب تحسين الحضور الإقليمي للاتحاد، وكذلك بشأن ضرورة تحسين الاستجابة لتوقعات</w:t>
      </w:r>
      <w:r w:rsidRPr="00CC485D">
        <w:rPr>
          <w:rFonts w:hint="eastAsia"/>
          <w:rtl/>
        </w:rPr>
        <w:t> </w:t>
      </w:r>
      <w:r w:rsidRPr="00CC485D">
        <w:rPr>
          <w:rFonts w:hint="cs"/>
          <w:rtl/>
        </w:rPr>
        <w:t>الأعضاء.</w:t>
      </w:r>
      <w:r w:rsidRPr="00CC485D">
        <w:rPr>
          <w:rFonts w:hint="cs"/>
          <w:rtl/>
          <w:lang w:bidi="ar-EG"/>
        </w:rPr>
        <w:t xml:space="preserve"> </w:t>
      </w:r>
      <w:r w:rsidR="005919CC">
        <w:rPr>
          <w:rFonts w:hint="cs"/>
          <w:rtl/>
        </w:rPr>
        <w:t>و</w:t>
      </w:r>
      <w:r w:rsidRPr="00CC485D">
        <w:rPr>
          <w:rFonts w:hint="cs"/>
          <w:rtl/>
        </w:rPr>
        <w:t>شهد منصب المدير الإقليمي لـ</w:t>
      </w:r>
      <w:r w:rsidRPr="00CC485D">
        <w:rPr>
          <w:rFonts w:hint="cs"/>
          <w:rtl/>
          <w:lang w:val="fr-FR" w:bidi="ar-EG"/>
        </w:rPr>
        <w:t xml:space="preserve">مكتب </w:t>
      </w:r>
      <w:r w:rsidR="00F9019C">
        <w:rPr>
          <w:rFonts w:hint="cs"/>
          <w:rtl/>
          <w:lang w:val="fr-FR"/>
        </w:rPr>
        <w:t>إفريقيا</w:t>
      </w:r>
      <w:r w:rsidRPr="00CC485D">
        <w:rPr>
          <w:rFonts w:hint="cs"/>
          <w:rtl/>
        </w:rPr>
        <w:t xml:space="preserve"> شغوراً في نهاية </w:t>
      </w:r>
      <w:r w:rsidR="005919CC">
        <w:rPr>
          <w:rFonts w:hint="cs"/>
          <w:rtl/>
        </w:rPr>
        <w:t>أكتوبر</w:t>
      </w:r>
      <w:r w:rsidR="005919CC" w:rsidRPr="00CC485D">
        <w:rPr>
          <w:rFonts w:hint="cs"/>
          <w:rtl/>
        </w:rPr>
        <w:t xml:space="preserve"> </w:t>
      </w:r>
      <w:r w:rsidR="005919CC">
        <w:rPr>
          <w:rFonts w:hint="cs"/>
          <w:rtl/>
          <w:lang w:bidi="ar"/>
        </w:rPr>
        <w:t>2021</w:t>
      </w:r>
      <w:r w:rsidRPr="00CC485D">
        <w:rPr>
          <w:rFonts w:hint="cs"/>
          <w:rtl/>
          <w:lang w:bidi="ar"/>
        </w:rPr>
        <w:t xml:space="preserve">. </w:t>
      </w:r>
      <w:r w:rsidRPr="00CC485D">
        <w:rPr>
          <w:rFonts w:hint="cs"/>
          <w:rtl/>
        </w:rPr>
        <w:t>وأُعلن عن الوظيفة</w:t>
      </w:r>
      <w:r w:rsidR="005919CC">
        <w:rPr>
          <w:rFonts w:hint="cs"/>
          <w:rtl/>
        </w:rPr>
        <w:t xml:space="preserve"> في مايو 2021</w:t>
      </w:r>
      <w:r w:rsidRPr="00CC485D">
        <w:rPr>
          <w:rFonts w:hint="cs"/>
          <w:rtl/>
          <w:lang w:bidi="ar"/>
        </w:rPr>
        <w:t xml:space="preserve">. </w:t>
      </w:r>
      <w:r w:rsidR="00E407D6">
        <w:rPr>
          <w:rFonts w:hint="cs"/>
          <w:rtl/>
        </w:rPr>
        <w:t xml:space="preserve">واختيرت </w:t>
      </w:r>
      <w:r w:rsidR="00E407D6" w:rsidRPr="00E407D6">
        <w:rPr>
          <w:rtl/>
        </w:rPr>
        <w:t>السيدة آن-راشيل إنيه</w:t>
      </w:r>
      <w:r w:rsidR="00E407D6" w:rsidRPr="00E407D6">
        <w:rPr>
          <w:rFonts w:hint="cs"/>
          <w:rtl/>
        </w:rPr>
        <w:t xml:space="preserve"> </w:t>
      </w:r>
      <w:r w:rsidRPr="00CC485D">
        <w:rPr>
          <w:rFonts w:hint="cs"/>
          <w:rtl/>
        </w:rPr>
        <w:t>مديرة جديدة</w:t>
      </w:r>
      <w:r w:rsidR="00E407D6">
        <w:rPr>
          <w:rFonts w:hint="cs"/>
          <w:rtl/>
        </w:rPr>
        <w:t xml:space="preserve"> </w:t>
      </w:r>
      <w:r w:rsidR="00E407D6" w:rsidRPr="00CC485D">
        <w:rPr>
          <w:rFonts w:hint="cs"/>
          <w:rtl/>
        </w:rPr>
        <w:t>وعُيّنت</w:t>
      </w:r>
      <w:r w:rsidR="00E407D6">
        <w:rPr>
          <w:rFonts w:hint="cs"/>
          <w:rtl/>
        </w:rPr>
        <w:t>.</w:t>
      </w:r>
      <w:r w:rsidRPr="00CC485D">
        <w:rPr>
          <w:rFonts w:hint="cs"/>
          <w:rtl/>
        </w:rPr>
        <w:t xml:space="preserve"> وتولت مهامها في </w:t>
      </w:r>
      <w:r w:rsidR="00E407D6">
        <w:rPr>
          <w:rFonts w:hint="cs"/>
          <w:rtl/>
        </w:rPr>
        <w:t>بداية شهر سبتمبر</w:t>
      </w:r>
      <w:r w:rsidR="00122C51">
        <w:rPr>
          <w:rFonts w:hint="eastAsia"/>
          <w:rtl/>
        </w:rPr>
        <w:t> </w:t>
      </w:r>
      <w:r w:rsidR="00E407D6">
        <w:rPr>
          <w:rFonts w:hint="cs"/>
          <w:rtl/>
        </w:rPr>
        <w:t>2021، مما أتاح فترة تسلُّم وتسليم بين المدير المنتهية ولايته والمديرة الجديدة.</w:t>
      </w:r>
    </w:p>
    <w:p w14:paraId="5DEF3BDD" w14:textId="77777777" w:rsidR="001C5EE6" w:rsidRPr="00CC485D" w:rsidRDefault="001C5EE6" w:rsidP="001C5EE6">
      <w:pPr>
        <w:rPr>
          <w:rtl/>
        </w:rPr>
      </w:pPr>
      <w:r w:rsidRPr="00D14F1A">
        <w:rPr>
          <w:lang w:bidi="ar-SY"/>
        </w:rPr>
        <w:t>2.7</w:t>
      </w:r>
      <w:r w:rsidRPr="00CC485D">
        <w:rPr>
          <w:rFonts w:hint="cs"/>
          <w:rtl/>
        </w:rPr>
        <w:tab/>
        <w:t>و</w:t>
      </w:r>
      <w:r w:rsidRPr="00CC485D">
        <w:rPr>
          <w:rtl/>
        </w:rPr>
        <w:t xml:space="preserve">يستمر العمل على تعزيز قدرات المكاتب </w:t>
      </w:r>
      <w:r w:rsidRPr="00CC485D">
        <w:rPr>
          <w:rFonts w:hint="cs"/>
          <w:rtl/>
        </w:rPr>
        <w:t xml:space="preserve">الإقليمية ومكاتب المناطق </w:t>
      </w:r>
      <w:r w:rsidRPr="00CC485D">
        <w:rPr>
          <w:rtl/>
        </w:rPr>
        <w:t xml:space="preserve">في مجالات محددة من الخبرة المتخصصة </w:t>
      </w:r>
      <w:r w:rsidRPr="00CC485D">
        <w:rPr>
          <w:rFonts w:hint="cs"/>
          <w:rtl/>
        </w:rPr>
        <w:t xml:space="preserve">عن طريق </w:t>
      </w:r>
      <w:r w:rsidRPr="00CC485D">
        <w:rPr>
          <w:rtl/>
        </w:rPr>
        <w:t>تعيين خبراء تقنيين مساعدين وموظفي دعم في إطار المبادرات الإقليمية والمشاريع، بالاعتماد على شبكات الخبراء</w:t>
      </w:r>
      <w:r w:rsidRPr="00CC485D">
        <w:rPr>
          <w:rFonts w:hint="cs"/>
          <w:rtl/>
        </w:rPr>
        <w:t xml:space="preserve"> ذوي التخصصات العالية. </w:t>
      </w:r>
      <w:r w:rsidRPr="00CC485D">
        <w:rPr>
          <w:rFonts w:hint="cs"/>
          <w:rtl/>
          <w:lang w:bidi="ar-EG"/>
        </w:rPr>
        <w:t xml:space="preserve">وتُدرس حالياً مسألة تعيين موظفين مهنيين مبتدئين </w:t>
      </w:r>
      <w:r w:rsidRPr="00CC485D">
        <w:rPr>
          <w:lang w:val="es-ES" w:bidi="ar-EG"/>
        </w:rPr>
        <w:t>(JPO)</w:t>
      </w:r>
      <w:r w:rsidRPr="00CC485D">
        <w:rPr>
          <w:rFonts w:hint="cs"/>
          <w:rtl/>
          <w:lang w:bidi="ar-EG"/>
        </w:rPr>
        <w:t>.</w:t>
      </w:r>
    </w:p>
    <w:p w14:paraId="3DD87643" w14:textId="77777777" w:rsidR="001C5EE6" w:rsidRPr="002145D0" w:rsidRDefault="001C5EE6" w:rsidP="00BB14BD">
      <w:pPr>
        <w:pStyle w:val="Heading1"/>
        <w:rPr>
          <w:rtl/>
        </w:rPr>
      </w:pPr>
      <w:r w:rsidRPr="002145D0">
        <w:lastRenderedPageBreak/>
        <w:t>8</w:t>
      </w:r>
      <w:r w:rsidRPr="002145D0">
        <w:tab/>
      </w:r>
      <w:r w:rsidRPr="002145D0">
        <w:rPr>
          <w:rFonts w:hint="cs"/>
          <w:rtl/>
        </w:rPr>
        <w:t>أنشطة الدعم الرامية إلى تمكين المكاتب الإقليمية ومكاتب المناطق</w:t>
      </w:r>
    </w:p>
    <w:p w14:paraId="713891B2" w14:textId="5C21B458" w:rsidR="00955739" w:rsidRDefault="001C5EE6" w:rsidP="00BB14BD">
      <w:pPr>
        <w:keepNext/>
        <w:keepLines/>
        <w:rPr>
          <w:rtl/>
          <w:lang w:val="es-ES" w:bidi="ar-EG"/>
        </w:rPr>
      </w:pPr>
      <w:r w:rsidRPr="00CC485D">
        <w:rPr>
          <w:lang w:bidi="ar-EG"/>
        </w:rPr>
        <w:t>1.8</w:t>
      </w:r>
      <w:r w:rsidRPr="00CC485D">
        <w:rPr>
          <w:lang w:bidi="ar-EG"/>
        </w:rPr>
        <w:tab/>
      </w:r>
      <w:r w:rsidRPr="00CC485D">
        <w:rPr>
          <w:rFonts w:hint="cs"/>
          <w:rtl/>
          <w:lang w:bidi="ar-EG"/>
        </w:rPr>
        <w:t xml:space="preserve">يبين </w:t>
      </w:r>
      <w:r w:rsidRPr="00CC485D">
        <w:rPr>
          <w:rFonts w:hint="cs"/>
          <w:b/>
          <w:bCs/>
          <w:rtl/>
          <w:lang w:bidi="ar-EG"/>
        </w:rPr>
        <w:t xml:space="preserve">الملحق </w:t>
      </w:r>
      <w:r w:rsidRPr="00CC485D">
        <w:rPr>
          <w:b/>
          <w:bCs/>
          <w:lang w:val="es-ES" w:bidi="ar-EG"/>
        </w:rPr>
        <w:t>3</w:t>
      </w:r>
      <w:r w:rsidRPr="00CC485D">
        <w:rPr>
          <w:rFonts w:hint="cs"/>
          <w:rtl/>
          <w:lang w:bidi="ar-EG"/>
        </w:rPr>
        <w:t xml:space="preserve"> أنشطة الدعم التي نُفذت في عام </w:t>
      </w:r>
      <w:r w:rsidR="000352F9">
        <w:rPr>
          <w:lang w:val="es-ES" w:bidi="ar-EG"/>
        </w:rPr>
        <w:t>2021</w:t>
      </w:r>
      <w:r w:rsidRPr="00CC485D">
        <w:rPr>
          <w:rFonts w:hint="cs"/>
          <w:rtl/>
          <w:lang w:val="es-ES" w:bidi="ar-EG"/>
        </w:rPr>
        <w:t xml:space="preserve"> لتمكين المكاتب الإقليمية ومكاتب المناطق.</w:t>
      </w:r>
    </w:p>
    <w:p w14:paraId="14C6B79E" w14:textId="09B7AD1A" w:rsidR="000352F9" w:rsidRPr="00F94CBB" w:rsidRDefault="00E241E3" w:rsidP="00CD5816">
      <w:pPr>
        <w:rPr>
          <w:spacing w:val="-2"/>
          <w:lang w:bidi="ar-EG"/>
        </w:rPr>
      </w:pPr>
      <w:r w:rsidRPr="00F94CBB">
        <w:rPr>
          <w:spacing w:val="-2"/>
          <w:rtl/>
          <w:lang w:bidi="ar-EG"/>
        </w:rPr>
        <w:t>في</w:t>
      </w:r>
      <w:r w:rsidR="00E34A92" w:rsidRPr="00F94CBB">
        <w:rPr>
          <w:rFonts w:hint="cs"/>
          <w:spacing w:val="-2"/>
          <w:rtl/>
          <w:lang w:bidi="ar-EG"/>
        </w:rPr>
        <w:t xml:space="preserve"> منطقة</w:t>
      </w:r>
      <w:r w:rsidR="00E34A92" w:rsidRPr="00F94CBB">
        <w:rPr>
          <w:spacing w:val="-2"/>
          <w:rtl/>
          <w:lang w:bidi="ar-EG"/>
        </w:rPr>
        <w:t xml:space="preserve"> آسيا والمحيط الهادئ</w:t>
      </w:r>
      <w:r w:rsidRPr="00F94CBB">
        <w:rPr>
          <w:spacing w:val="-2"/>
          <w:rtl/>
          <w:lang w:bidi="ar-EG"/>
        </w:rPr>
        <w:t>، ع</w:t>
      </w:r>
      <w:r w:rsidR="00E34A92" w:rsidRPr="00F94CBB">
        <w:rPr>
          <w:rFonts w:hint="cs"/>
          <w:spacing w:val="-2"/>
          <w:rtl/>
          <w:lang w:bidi="ar-EG"/>
        </w:rPr>
        <w:t>ُ</w:t>
      </w:r>
      <w:r w:rsidRPr="00F94CBB">
        <w:rPr>
          <w:spacing w:val="-2"/>
          <w:rtl/>
          <w:lang w:bidi="ar-EG"/>
        </w:rPr>
        <w:t>ي</w:t>
      </w:r>
      <w:r w:rsidR="00E34A92" w:rsidRPr="00F94CBB">
        <w:rPr>
          <w:rFonts w:hint="cs"/>
          <w:spacing w:val="-2"/>
          <w:rtl/>
          <w:lang w:bidi="ar-EG"/>
        </w:rPr>
        <w:t>ِّ</w:t>
      </w:r>
      <w:r w:rsidRPr="00F94CBB">
        <w:rPr>
          <w:spacing w:val="-2"/>
          <w:rtl/>
          <w:lang w:bidi="ar-EG"/>
        </w:rPr>
        <w:t xml:space="preserve">ن </w:t>
      </w:r>
      <w:r w:rsidR="00E34A92" w:rsidRPr="00F94CBB">
        <w:rPr>
          <w:rFonts w:hint="cs"/>
          <w:spacing w:val="-2"/>
          <w:rtl/>
          <w:lang w:bidi="ar-EG"/>
        </w:rPr>
        <w:t>موظف</w:t>
      </w:r>
      <w:r w:rsidR="00E34A92" w:rsidRPr="00F94CBB">
        <w:rPr>
          <w:spacing w:val="-2"/>
          <w:rtl/>
          <w:lang w:bidi="ar-EG"/>
        </w:rPr>
        <w:t xml:space="preserve"> تنسيق تابع للأمم المتحدة </w:t>
      </w:r>
      <w:r w:rsidR="00E34A92" w:rsidRPr="00F94CBB">
        <w:rPr>
          <w:rFonts w:hint="cs"/>
          <w:spacing w:val="-2"/>
          <w:rtl/>
          <w:lang w:bidi="ar-EG"/>
        </w:rPr>
        <w:t xml:space="preserve">من أجل </w:t>
      </w:r>
      <w:r w:rsidRPr="00F94CBB">
        <w:rPr>
          <w:spacing w:val="-2"/>
          <w:rtl/>
          <w:lang w:bidi="ar-EG"/>
        </w:rPr>
        <w:t>ت</w:t>
      </w:r>
      <w:r w:rsidR="00E34A92" w:rsidRPr="00F94CBB">
        <w:rPr>
          <w:rFonts w:hint="cs"/>
          <w:spacing w:val="-2"/>
          <w:rtl/>
          <w:lang w:bidi="ar-EG"/>
        </w:rPr>
        <w:t>رسيخ</w:t>
      </w:r>
      <w:r w:rsidRPr="00F94CBB">
        <w:rPr>
          <w:spacing w:val="-2"/>
          <w:rtl/>
          <w:lang w:bidi="ar-EG"/>
        </w:rPr>
        <w:t xml:space="preserve"> وتوسيع التنسيق مع </w:t>
      </w:r>
      <w:r w:rsidR="00E34A92" w:rsidRPr="00F94CBB">
        <w:rPr>
          <w:spacing w:val="-2"/>
          <w:rtl/>
          <w:lang w:bidi="ar-EG"/>
        </w:rPr>
        <w:t>مك</w:t>
      </w:r>
      <w:r w:rsidR="00E34A92" w:rsidRPr="00F94CBB">
        <w:rPr>
          <w:rFonts w:hint="cs"/>
          <w:spacing w:val="-2"/>
          <w:rtl/>
          <w:lang w:bidi="ar-EG"/>
        </w:rPr>
        <w:t>ا</w:t>
      </w:r>
      <w:r w:rsidR="00E34A92" w:rsidRPr="00F94CBB">
        <w:rPr>
          <w:spacing w:val="-2"/>
          <w:rtl/>
          <w:lang w:bidi="ar-EG"/>
        </w:rPr>
        <w:t>تب المنسق</w:t>
      </w:r>
      <w:r w:rsidR="00E34A92" w:rsidRPr="00F94CBB">
        <w:rPr>
          <w:rFonts w:hint="cs"/>
          <w:spacing w:val="-2"/>
          <w:rtl/>
          <w:lang w:bidi="ar-EG"/>
        </w:rPr>
        <w:t>ين</w:t>
      </w:r>
      <w:r w:rsidR="00E34A92" w:rsidRPr="00F94CBB">
        <w:rPr>
          <w:spacing w:val="-2"/>
          <w:rtl/>
          <w:lang w:bidi="ar-EG"/>
        </w:rPr>
        <w:t xml:space="preserve"> المقيم</w:t>
      </w:r>
      <w:r w:rsidR="00E34A92" w:rsidRPr="00F94CBB">
        <w:rPr>
          <w:rFonts w:hint="cs"/>
          <w:spacing w:val="-2"/>
          <w:rtl/>
          <w:lang w:bidi="ar-EG"/>
        </w:rPr>
        <w:t>ين</w:t>
      </w:r>
      <w:r w:rsidR="00E34A92" w:rsidRPr="00F94CBB">
        <w:rPr>
          <w:spacing w:val="-2"/>
          <w:rtl/>
          <w:lang w:bidi="ar-EG"/>
        </w:rPr>
        <w:t xml:space="preserve"> للأمم المتحدة</w:t>
      </w:r>
      <w:r w:rsidR="00E34A92" w:rsidRPr="00F94CBB">
        <w:rPr>
          <w:rFonts w:hint="cs"/>
          <w:spacing w:val="-2"/>
          <w:rtl/>
          <w:lang w:bidi="ar-EG"/>
        </w:rPr>
        <w:t xml:space="preserve"> (</w:t>
      </w:r>
      <w:r w:rsidR="00E34A92" w:rsidRPr="00F94CBB">
        <w:rPr>
          <w:spacing w:val="-2"/>
          <w:lang w:bidi="ar-EG"/>
        </w:rPr>
        <w:t>UNRCO</w:t>
      </w:r>
      <w:r w:rsidR="00E34A92" w:rsidRPr="00F94CBB">
        <w:rPr>
          <w:rFonts w:hint="cs"/>
          <w:spacing w:val="-2"/>
          <w:rtl/>
          <w:lang w:bidi="ar-EG"/>
        </w:rPr>
        <w:t>)</w:t>
      </w:r>
      <w:r w:rsidR="00E34A92" w:rsidRPr="00F94CBB">
        <w:rPr>
          <w:spacing w:val="-2"/>
          <w:rtl/>
          <w:lang w:bidi="ar-EG"/>
        </w:rPr>
        <w:t>، ومكتب الأمم المتحدة للتنسيق الإنمائي</w:t>
      </w:r>
      <w:r w:rsidRPr="00F94CBB">
        <w:rPr>
          <w:spacing w:val="-2"/>
          <w:rtl/>
          <w:lang w:bidi="ar-EG"/>
        </w:rPr>
        <w:t xml:space="preserve"> (</w:t>
      </w:r>
      <w:r w:rsidRPr="00F94CBB">
        <w:rPr>
          <w:spacing w:val="-2"/>
          <w:lang w:bidi="ar-EG"/>
        </w:rPr>
        <w:t>UNDCO</w:t>
      </w:r>
      <w:r w:rsidRPr="00F94CBB">
        <w:rPr>
          <w:spacing w:val="-2"/>
          <w:rtl/>
          <w:lang w:bidi="ar-EG"/>
        </w:rPr>
        <w:t>)</w:t>
      </w:r>
      <w:r w:rsidR="00955739" w:rsidRPr="00F94CBB">
        <w:rPr>
          <w:rFonts w:hint="cs"/>
          <w:spacing w:val="-2"/>
          <w:rtl/>
          <w:lang w:bidi="ar-EG"/>
        </w:rPr>
        <w:t>،</w:t>
      </w:r>
      <w:r w:rsidRPr="00F94CBB">
        <w:rPr>
          <w:spacing w:val="-2"/>
          <w:rtl/>
          <w:lang w:bidi="ar-EG"/>
        </w:rPr>
        <w:t xml:space="preserve"> و</w:t>
      </w:r>
      <w:r w:rsidR="00E34A92" w:rsidRPr="00F94CBB">
        <w:rPr>
          <w:rFonts w:hint="cs"/>
          <w:spacing w:val="-2"/>
          <w:rtl/>
          <w:lang w:bidi="ar-EG"/>
        </w:rPr>
        <w:t>أفرقة</w:t>
      </w:r>
      <w:r w:rsidR="00E34A92" w:rsidRPr="00F94CBB">
        <w:rPr>
          <w:spacing w:val="-2"/>
          <w:rtl/>
          <w:lang w:bidi="ar-EG"/>
        </w:rPr>
        <w:t xml:space="preserve"> الأمم المتحدة الق</w:t>
      </w:r>
      <w:r w:rsidR="00BB14BD" w:rsidRPr="00F94CBB">
        <w:rPr>
          <w:rFonts w:hint="cs"/>
          <w:spacing w:val="-2"/>
          <w:rtl/>
          <w:lang w:bidi="ar-EG"/>
        </w:rPr>
        <w:t>ُ</w:t>
      </w:r>
      <w:r w:rsidR="00E34A92" w:rsidRPr="00F94CBB">
        <w:rPr>
          <w:spacing w:val="-2"/>
          <w:rtl/>
          <w:lang w:bidi="ar-EG"/>
        </w:rPr>
        <w:t>طري</w:t>
      </w:r>
      <w:r w:rsidR="00E34A92" w:rsidRPr="00F94CBB">
        <w:rPr>
          <w:rFonts w:hint="cs"/>
          <w:spacing w:val="-2"/>
          <w:rtl/>
          <w:lang w:bidi="ar-EG"/>
        </w:rPr>
        <w:t>ة (</w:t>
      </w:r>
      <w:r w:rsidR="00E34A92" w:rsidRPr="00F94CBB">
        <w:rPr>
          <w:spacing w:val="-2"/>
          <w:lang w:bidi="ar-EG"/>
        </w:rPr>
        <w:t>UNCT</w:t>
      </w:r>
      <w:r w:rsidR="00E34A92" w:rsidRPr="00F94CBB">
        <w:rPr>
          <w:rFonts w:hint="cs"/>
          <w:spacing w:val="-2"/>
          <w:rtl/>
          <w:lang w:bidi="ar-EG"/>
        </w:rPr>
        <w:t>)</w:t>
      </w:r>
      <w:r w:rsidRPr="00F94CBB">
        <w:rPr>
          <w:spacing w:val="-2"/>
          <w:rtl/>
          <w:lang w:bidi="ar-EG"/>
        </w:rPr>
        <w:t xml:space="preserve">. </w:t>
      </w:r>
      <w:r w:rsidR="00E34A92" w:rsidRPr="00F94CBB">
        <w:rPr>
          <w:rFonts w:hint="cs"/>
          <w:spacing w:val="-2"/>
          <w:rtl/>
          <w:lang w:bidi="ar-EG"/>
        </w:rPr>
        <w:t>و</w:t>
      </w:r>
      <w:r w:rsidRPr="00F94CBB">
        <w:rPr>
          <w:spacing w:val="-2"/>
          <w:rtl/>
          <w:lang w:bidi="ar-EG"/>
        </w:rPr>
        <w:t xml:space="preserve">أدى الدعم إلى </w:t>
      </w:r>
      <w:r w:rsidR="00E34A92" w:rsidRPr="00F94CBB">
        <w:rPr>
          <w:rFonts w:hint="cs"/>
          <w:spacing w:val="-2"/>
          <w:rtl/>
          <w:lang w:bidi="ar-EG"/>
        </w:rPr>
        <w:t>إعداد</w:t>
      </w:r>
      <w:r w:rsidR="00E34A92" w:rsidRPr="00F94CBB">
        <w:rPr>
          <w:spacing w:val="-2"/>
          <w:rtl/>
          <w:lang w:bidi="ar-EG"/>
        </w:rPr>
        <w:t xml:space="preserve"> ناجح</w:t>
      </w:r>
      <w:r w:rsidRPr="00F94CBB">
        <w:rPr>
          <w:spacing w:val="-2"/>
          <w:rtl/>
          <w:lang w:bidi="ar-EG"/>
        </w:rPr>
        <w:t xml:space="preserve"> لمشاريع </w:t>
      </w:r>
      <w:r w:rsidR="00E34A92" w:rsidRPr="00F94CBB">
        <w:rPr>
          <w:spacing w:val="-2"/>
          <w:rtl/>
          <w:lang w:bidi="ar-EG"/>
        </w:rPr>
        <w:t>صندوق أهداف التنمية المستدامة للأمم المتحدة بشأن الجزر الذكية</w:t>
      </w:r>
      <w:r w:rsidRPr="00F94CBB">
        <w:rPr>
          <w:spacing w:val="-2"/>
          <w:rtl/>
          <w:lang w:bidi="ar-EG"/>
        </w:rPr>
        <w:t xml:space="preserve"> والتحول الرقمي في</w:t>
      </w:r>
      <w:r w:rsidR="00F94CBB">
        <w:rPr>
          <w:rFonts w:hint="cs"/>
          <w:spacing w:val="-2"/>
          <w:rtl/>
          <w:lang w:bidi="ar-EG"/>
        </w:rPr>
        <w:t> </w:t>
      </w:r>
      <w:r w:rsidRPr="00F94CBB">
        <w:rPr>
          <w:spacing w:val="-2"/>
          <w:rtl/>
          <w:lang w:bidi="ar-EG"/>
        </w:rPr>
        <w:t xml:space="preserve">المحيط الهادئ. </w:t>
      </w:r>
      <w:r w:rsidR="00E34A92" w:rsidRPr="00F94CBB">
        <w:rPr>
          <w:rFonts w:hint="cs"/>
          <w:spacing w:val="-2"/>
          <w:rtl/>
          <w:lang w:bidi="ar-EG"/>
        </w:rPr>
        <w:t>وهناك</w:t>
      </w:r>
      <w:r w:rsidRPr="00F94CBB">
        <w:rPr>
          <w:spacing w:val="-2"/>
          <w:rtl/>
          <w:lang w:bidi="ar-EG"/>
        </w:rPr>
        <w:t xml:space="preserve"> أمثلة على </w:t>
      </w:r>
      <w:r w:rsidR="00B609DD" w:rsidRPr="00F94CBB">
        <w:rPr>
          <w:rFonts w:hint="cs"/>
          <w:spacing w:val="-2"/>
          <w:rtl/>
          <w:lang w:bidi="ar-EG"/>
        </w:rPr>
        <w:t>التعاون الوطيد</w:t>
      </w:r>
      <w:r w:rsidR="00B609DD" w:rsidRPr="00F94CBB">
        <w:rPr>
          <w:spacing w:val="-2"/>
          <w:rtl/>
          <w:lang w:bidi="ar-EG"/>
        </w:rPr>
        <w:t xml:space="preserve"> </w:t>
      </w:r>
      <w:r w:rsidRPr="00F94CBB">
        <w:rPr>
          <w:spacing w:val="-2"/>
          <w:rtl/>
          <w:lang w:bidi="ar-EG"/>
        </w:rPr>
        <w:t>مع أفرق</w:t>
      </w:r>
      <w:r w:rsidR="00E34A92" w:rsidRPr="00F94CBB">
        <w:rPr>
          <w:spacing w:val="-2"/>
          <w:rtl/>
          <w:lang w:bidi="ar-EG"/>
        </w:rPr>
        <w:t xml:space="preserve">ة الأمم المتحدة </w:t>
      </w:r>
      <w:r w:rsidR="003021B5" w:rsidRPr="00F94CBB">
        <w:rPr>
          <w:rFonts w:hint="cs"/>
          <w:spacing w:val="-2"/>
          <w:rtl/>
          <w:lang w:bidi="ar-EG"/>
        </w:rPr>
        <w:t>القُطرية</w:t>
      </w:r>
      <w:r w:rsidR="00E34A92" w:rsidRPr="00F94CBB">
        <w:rPr>
          <w:spacing w:val="-2"/>
          <w:rtl/>
          <w:lang w:bidi="ar-EG"/>
        </w:rPr>
        <w:t xml:space="preserve"> في </w:t>
      </w:r>
      <w:r w:rsidR="00503DD2" w:rsidRPr="00F94CBB">
        <w:rPr>
          <w:rFonts w:hint="cs"/>
          <w:spacing w:val="-2"/>
          <w:rtl/>
          <w:lang w:bidi="ar-EG"/>
        </w:rPr>
        <w:t>تايلاند</w:t>
      </w:r>
      <w:r w:rsidR="0011632C" w:rsidRPr="00F94CBB">
        <w:rPr>
          <w:spacing w:val="-2"/>
          <w:rtl/>
          <w:lang w:bidi="ar-EG"/>
        </w:rPr>
        <w:t xml:space="preserve"> وإندونيسيا حيث طُلب </w:t>
      </w:r>
      <w:r w:rsidR="0011632C" w:rsidRPr="00F94CBB">
        <w:rPr>
          <w:rFonts w:hint="cs"/>
          <w:spacing w:val="-2"/>
          <w:rtl/>
          <w:lang w:bidi="ar-EG"/>
        </w:rPr>
        <w:t>إلى</w:t>
      </w:r>
      <w:r w:rsidRPr="00F94CBB">
        <w:rPr>
          <w:spacing w:val="-2"/>
          <w:rtl/>
          <w:lang w:bidi="ar-EG"/>
        </w:rPr>
        <w:t xml:space="preserve"> الاتحاد أن يشارك في قيادة </w:t>
      </w:r>
      <w:r w:rsidR="00B609DD" w:rsidRPr="00F94CBB">
        <w:rPr>
          <w:rFonts w:hint="cs"/>
          <w:spacing w:val="-2"/>
          <w:rtl/>
          <w:lang w:bidi="ar-EG"/>
        </w:rPr>
        <w:t>الأفرقة المعنية</w:t>
      </w:r>
      <w:r w:rsidR="00B609DD" w:rsidRPr="00F94CBB">
        <w:rPr>
          <w:spacing w:val="-2"/>
          <w:rtl/>
          <w:lang w:bidi="ar-EG"/>
        </w:rPr>
        <w:t xml:space="preserve"> </w:t>
      </w:r>
      <w:r w:rsidR="00B609DD" w:rsidRPr="00F94CBB">
        <w:rPr>
          <w:rFonts w:hint="cs"/>
          <w:spacing w:val="-2"/>
          <w:rtl/>
          <w:lang w:bidi="ar-EG"/>
        </w:rPr>
        <w:t>ب</w:t>
      </w:r>
      <w:r w:rsidRPr="00F94CBB">
        <w:rPr>
          <w:spacing w:val="-2"/>
          <w:rtl/>
          <w:lang w:bidi="ar-EG"/>
        </w:rPr>
        <w:t>النتائج الرقمية والابتكار</w:t>
      </w:r>
      <w:r w:rsidR="0011632C" w:rsidRPr="00F94CBB">
        <w:rPr>
          <w:rFonts w:hint="cs"/>
          <w:spacing w:val="-2"/>
          <w:rtl/>
          <w:lang w:bidi="ar-EG"/>
        </w:rPr>
        <w:t>ية</w:t>
      </w:r>
      <w:r w:rsidRPr="00F94CBB">
        <w:rPr>
          <w:spacing w:val="-2"/>
          <w:rtl/>
          <w:lang w:bidi="ar-EG"/>
        </w:rPr>
        <w:t xml:space="preserve">. </w:t>
      </w:r>
      <w:r w:rsidR="0011632C" w:rsidRPr="00F94CBB">
        <w:rPr>
          <w:rFonts w:hint="cs"/>
          <w:spacing w:val="-2"/>
          <w:rtl/>
          <w:lang w:bidi="ar-EG"/>
        </w:rPr>
        <w:t>و</w:t>
      </w:r>
      <w:r w:rsidR="0011632C" w:rsidRPr="00F94CBB">
        <w:rPr>
          <w:spacing w:val="-2"/>
          <w:rtl/>
          <w:lang w:bidi="ar-EG"/>
        </w:rPr>
        <w:t>علاوة</w:t>
      </w:r>
      <w:r w:rsidR="00D045CA" w:rsidRPr="00F94CBB">
        <w:rPr>
          <w:rFonts w:hint="cs"/>
          <w:spacing w:val="-2"/>
          <w:rtl/>
          <w:lang w:bidi="ar-EG"/>
        </w:rPr>
        <w:t>ً</w:t>
      </w:r>
      <w:r w:rsidR="0011632C" w:rsidRPr="00F94CBB">
        <w:rPr>
          <w:spacing w:val="-2"/>
          <w:rtl/>
          <w:lang w:bidi="ar-EG"/>
        </w:rPr>
        <w:t xml:space="preserve"> على ذلك</w:t>
      </w:r>
      <w:r w:rsidRPr="00F94CBB">
        <w:rPr>
          <w:spacing w:val="-2"/>
          <w:rtl/>
          <w:lang w:bidi="ar-EG"/>
        </w:rPr>
        <w:t xml:space="preserve">، </w:t>
      </w:r>
      <w:r w:rsidR="0011632C" w:rsidRPr="00F94CBB">
        <w:rPr>
          <w:rFonts w:hint="cs"/>
          <w:spacing w:val="-2"/>
          <w:rtl/>
          <w:lang w:bidi="ar-EG"/>
        </w:rPr>
        <w:t>التُمس</w:t>
      </w:r>
      <w:r w:rsidRPr="00F94CBB">
        <w:rPr>
          <w:spacing w:val="-2"/>
          <w:rtl/>
          <w:lang w:bidi="ar-EG"/>
        </w:rPr>
        <w:t xml:space="preserve"> من الاتحاد </w:t>
      </w:r>
      <w:r w:rsidR="0011632C" w:rsidRPr="00F94CBB">
        <w:rPr>
          <w:rFonts w:hint="cs"/>
          <w:spacing w:val="-2"/>
          <w:rtl/>
          <w:lang w:bidi="ar-EG"/>
        </w:rPr>
        <w:t>في</w:t>
      </w:r>
      <w:r w:rsidR="00BB14BD" w:rsidRPr="00F94CBB">
        <w:rPr>
          <w:rFonts w:hint="eastAsia"/>
          <w:spacing w:val="-2"/>
          <w:rtl/>
          <w:lang w:bidi="ar-EG"/>
        </w:rPr>
        <w:t> </w:t>
      </w:r>
      <w:r w:rsidR="0011632C" w:rsidRPr="00F94CBB">
        <w:rPr>
          <w:rFonts w:hint="cs"/>
          <w:spacing w:val="-2"/>
          <w:rtl/>
          <w:lang w:bidi="ar-EG"/>
        </w:rPr>
        <w:t xml:space="preserve">الآونة الأخيرة </w:t>
      </w:r>
      <w:r w:rsidRPr="00F94CBB">
        <w:rPr>
          <w:spacing w:val="-2"/>
          <w:rtl/>
          <w:lang w:bidi="ar-EG"/>
        </w:rPr>
        <w:t xml:space="preserve">أن يدعم </w:t>
      </w:r>
      <w:r w:rsidR="0011632C" w:rsidRPr="00F94CBB">
        <w:rPr>
          <w:spacing w:val="-2"/>
          <w:rtl/>
          <w:lang w:bidi="ar-EG"/>
        </w:rPr>
        <w:t>استحداث</w:t>
      </w:r>
      <w:r w:rsidRPr="00F94CBB">
        <w:rPr>
          <w:spacing w:val="-2"/>
          <w:rtl/>
          <w:lang w:bidi="ar-EG"/>
        </w:rPr>
        <w:t xml:space="preserve"> </w:t>
      </w:r>
      <w:r w:rsidR="0011632C" w:rsidRPr="00F94CBB">
        <w:rPr>
          <w:spacing w:val="-2"/>
          <w:rtl/>
          <w:lang w:bidi="ar-EG"/>
        </w:rPr>
        <w:t>إطار الأمم المتحدة للتعاون من أجل التنمية المستدامة</w:t>
      </w:r>
      <w:r w:rsidRPr="00F94CBB">
        <w:rPr>
          <w:spacing w:val="-2"/>
          <w:rtl/>
          <w:lang w:bidi="ar-EG"/>
        </w:rPr>
        <w:t xml:space="preserve"> في</w:t>
      </w:r>
      <w:r w:rsidR="001A0CB0" w:rsidRPr="00F94CBB">
        <w:rPr>
          <w:rFonts w:hint="cs"/>
          <w:spacing w:val="-2"/>
          <w:rtl/>
          <w:lang w:bidi="ar-EG"/>
        </w:rPr>
        <w:t xml:space="preserve"> </w:t>
      </w:r>
      <w:proofErr w:type="gramStart"/>
      <w:r w:rsidR="006B3443" w:rsidRPr="00F94CBB">
        <w:rPr>
          <w:rFonts w:hint="cs"/>
          <w:spacing w:val="-2"/>
          <w:rtl/>
          <w:lang w:bidi="ar-EG"/>
        </w:rPr>
        <w:t>بنغلاديش</w:t>
      </w:r>
      <w:proofErr w:type="gramEnd"/>
      <w:r w:rsidR="001A0CB0" w:rsidRPr="00F94CBB">
        <w:rPr>
          <w:rFonts w:hint="cs"/>
          <w:spacing w:val="-2"/>
          <w:rtl/>
          <w:lang w:bidi="ar-EG"/>
        </w:rPr>
        <w:t xml:space="preserve"> </w:t>
      </w:r>
      <w:r w:rsidR="0011632C" w:rsidRPr="00F94CBB">
        <w:rPr>
          <w:spacing w:val="-2"/>
          <w:rtl/>
          <w:lang w:bidi="ar-EG"/>
        </w:rPr>
        <w:t>وماليزيا ومنغوليا</w:t>
      </w:r>
      <w:r w:rsidR="00BB14BD" w:rsidRPr="00F94CBB">
        <w:rPr>
          <w:rFonts w:hint="cs"/>
          <w:spacing w:val="-2"/>
          <w:rtl/>
          <w:lang w:bidi="ar-EG"/>
        </w:rPr>
        <w:t> </w:t>
      </w:r>
      <w:r w:rsidR="0011632C" w:rsidRPr="00F94CBB">
        <w:rPr>
          <w:spacing w:val="-2"/>
          <w:rtl/>
          <w:lang w:bidi="ar-EG"/>
        </w:rPr>
        <w:t>وفي</w:t>
      </w:r>
      <w:r w:rsidRPr="00F94CBB">
        <w:rPr>
          <w:spacing w:val="-2"/>
          <w:rtl/>
          <w:lang w:bidi="ar-EG"/>
        </w:rPr>
        <w:t>تنام.</w:t>
      </w:r>
    </w:p>
    <w:p w14:paraId="29780A6B" w14:textId="63C5A878" w:rsidR="0057573E" w:rsidRPr="0057573E" w:rsidRDefault="0057573E" w:rsidP="00CD5816">
      <w:pPr>
        <w:rPr>
          <w:rtl/>
          <w:lang w:bidi="ar-EG"/>
        </w:rPr>
      </w:pPr>
      <w:r>
        <w:rPr>
          <w:rFonts w:hint="cs"/>
          <w:rtl/>
          <w:lang w:bidi="ar-EG"/>
        </w:rPr>
        <w:t>و</w:t>
      </w:r>
      <w:r>
        <w:rPr>
          <w:rtl/>
          <w:lang w:bidi="ar-EG"/>
        </w:rPr>
        <w:t>في المنطقة العربية</w:t>
      </w:r>
      <w:r w:rsidRPr="0057573E">
        <w:rPr>
          <w:rtl/>
          <w:lang w:bidi="ar-EG"/>
        </w:rPr>
        <w:t xml:space="preserve">، </w:t>
      </w:r>
      <w:r w:rsidRPr="00E241E3">
        <w:rPr>
          <w:rtl/>
          <w:lang w:bidi="ar-EG"/>
        </w:rPr>
        <w:t>ع</w:t>
      </w:r>
      <w:r>
        <w:rPr>
          <w:rFonts w:hint="cs"/>
          <w:rtl/>
          <w:lang w:bidi="ar-EG"/>
        </w:rPr>
        <w:t>ُ</w:t>
      </w:r>
      <w:r w:rsidRPr="00E241E3">
        <w:rPr>
          <w:rtl/>
          <w:lang w:bidi="ar-EG"/>
        </w:rPr>
        <w:t>ي</w:t>
      </w:r>
      <w:r>
        <w:rPr>
          <w:rFonts w:hint="cs"/>
          <w:rtl/>
          <w:lang w:bidi="ar-EG"/>
        </w:rPr>
        <w:t>ِّ</w:t>
      </w:r>
      <w:r w:rsidRPr="00E241E3">
        <w:rPr>
          <w:rtl/>
          <w:lang w:bidi="ar-EG"/>
        </w:rPr>
        <w:t xml:space="preserve">ن </w:t>
      </w:r>
      <w:r>
        <w:rPr>
          <w:rFonts w:hint="cs"/>
          <w:rtl/>
          <w:lang w:bidi="ar-EG"/>
        </w:rPr>
        <w:t>موظف</w:t>
      </w:r>
      <w:r>
        <w:rPr>
          <w:rtl/>
          <w:lang w:bidi="ar-EG"/>
        </w:rPr>
        <w:t xml:space="preserve"> تنسيق تابع للأمم المتحدة </w:t>
      </w:r>
      <w:r>
        <w:rPr>
          <w:rFonts w:hint="cs"/>
          <w:rtl/>
          <w:lang w:bidi="ar-EG"/>
        </w:rPr>
        <w:t>ل</w:t>
      </w:r>
      <w:r>
        <w:rPr>
          <w:rtl/>
          <w:lang w:bidi="ar-EG"/>
        </w:rPr>
        <w:t xml:space="preserve">إعداد </w:t>
      </w:r>
      <w:r>
        <w:rPr>
          <w:rFonts w:hint="cs"/>
          <w:rtl/>
          <w:lang w:bidi="ar-EG"/>
        </w:rPr>
        <w:t>ا</w:t>
      </w:r>
      <w:r w:rsidRPr="0057573E">
        <w:rPr>
          <w:rtl/>
          <w:lang w:bidi="ar-EG"/>
        </w:rPr>
        <w:t xml:space="preserve">ستراتيجية مشاركة </w:t>
      </w:r>
      <w:r>
        <w:rPr>
          <w:rFonts w:hint="cs"/>
          <w:rtl/>
          <w:lang w:bidi="ar-EG"/>
        </w:rPr>
        <w:t xml:space="preserve">من أجل </w:t>
      </w:r>
      <w:r w:rsidRPr="00E241E3">
        <w:rPr>
          <w:rtl/>
          <w:lang w:bidi="ar-EG"/>
        </w:rPr>
        <w:t>ت</w:t>
      </w:r>
      <w:r>
        <w:rPr>
          <w:rFonts w:hint="cs"/>
          <w:rtl/>
          <w:lang w:bidi="ar-EG"/>
        </w:rPr>
        <w:t>رسيخ</w:t>
      </w:r>
      <w:r w:rsidRPr="00E241E3">
        <w:rPr>
          <w:rtl/>
          <w:lang w:bidi="ar-EG"/>
        </w:rPr>
        <w:t xml:space="preserve"> وتوسيع التنسيق مع </w:t>
      </w:r>
      <w:r w:rsidRPr="00E34A92">
        <w:rPr>
          <w:rtl/>
          <w:lang w:bidi="ar-EG"/>
        </w:rPr>
        <w:t>مك</w:t>
      </w:r>
      <w:r>
        <w:rPr>
          <w:rFonts w:hint="cs"/>
          <w:rtl/>
          <w:lang w:bidi="ar-EG"/>
        </w:rPr>
        <w:t>ا</w:t>
      </w:r>
      <w:r w:rsidRPr="00E34A92">
        <w:rPr>
          <w:rtl/>
          <w:lang w:bidi="ar-EG"/>
        </w:rPr>
        <w:t>تب المنسق</w:t>
      </w:r>
      <w:r>
        <w:rPr>
          <w:rFonts w:hint="cs"/>
          <w:rtl/>
          <w:lang w:bidi="ar-EG"/>
        </w:rPr>
        <w:t>ين</w:t>
      </w:r>
      <w:r w:rsidRPr="00E34A92">
        <w:rPr>
          <w:rtl/>
          <w:lang w:bidi="ar-EG"/>
        </w:rPr>
        <w:t xml:space="preserve"> المقيم</w:t>
      </w:r>
      <w:r>
        <w:rPr>
          <w:rFonts w:hint="cs"/>
          <w:rtl/>
          <w:lang w:bidi="ar-EG"/>
        </w:rPr>
        <w:t>ين</w:t>
      </w:r>
      <w:r w:rsidRPr="00E34A92">
        <w:rPr>
          <w:rtl/>
          <w:lang w:bidi="ar-EG"/>
        </w:rPr>
        <w:t xml:space="preserve"> للأمم المتحدة</w:t>
      </w:r>
      <w:r>
        <w:rPr>
          <w:rFonts w:hint="cs"/>
          <w:rtl/>
          <w:lang w:bidi="ar-EG"/>
        </w:rPr>
        <w:t xml:space="preserve"> (</w:t>
      </w:r>
      <w:r w:rsidRPr="00E241E3">
        <w:rPr>
          <w:lang w:bidi="ar-EG"/>
        </w:rPr>
        <w:t>UNRCO</w:t>
      </w:r>
      <w:r>
        <w:rPr>
          <w:rFonts w:hint="cs"/>
          <w:rtl/>
          <w:lang w:bidi="ar-EG"/>
        </w:rPr>
        <w:t>)</w:t>
      </w:r>
      <w:r>
        <w:rPr>
          <w:rtl/>
          <w:lang w:bidi="ar-EG"/>
        </w:rPr>
        <w:t xml:space="preserve">، </w:t>
      </w:r>
      <w:r w:rsidRPr="00E34A92">
        <w:rPr>
          <w:rtl/>
          <w:lang w:bidi="ar-EG"/>
        </w:rPr>
        <w:t>ومكتب الأمم المتحدة للتنسيق الإنمائي</w:t>
      </w:r>
      <w:r w:rsidRPr="00E241E3">
        <w:rPr>
          <w:rtl/>
          <w:lang w:bidi="ar-EG"/>
        </w:rPr>
        <w:t xml:space="preserve"> (</w:t>
      </w:r>
      <w:r w:rsidRPr="00E241E3">
        <w:rPr>
          <w:lang w:bidi="ar-EG"/>
        </w:rPr>
        <w:t>UNDCO</w:t>
      </w:r>
      <w:r w:rsidRPr="00E241E3">
        <w:rPr>
          <w:rtl/>
          <w:lang w:bidi="ar-EG"/>
        </w:rPr>
        <w:t>) و</w:t>
      </w:r>
      <w:r>
        <w:rPr>
          <w:rFonts w:hint="cs"/>
          <w:rtl/>
          <w:lang w:bidi="ar-EG"/>
        </w:rPr>
        <w:t>أفرقة</w:t>
      </w:r>
      <w:r w:rsidRPr="00E34A92">
        <w:rPr>
          <w:rtl/>
          <w:lang w:bidi="ar-EG"/>
        </w:rPr>
        <w:t xml:space="preserve"> الأمم المتحدة الق</w:t>
      </w:r>
      <w:r w:rsidR="00807448">
        <w:rPr>
          <w:rFonts w:hint="cs"/>
          <w:rtl/>
          <w:lang w:bidi="ar-EG"/>
        </w:rPr>
        <w:t>ُ</w:t>
      </w:r>
      <w:r w:rsidRPr="00E34A92">
        <w:rPr>
          <w:rtl/>
          <w:lang w:bidi="ar-EG"/>
        </w:rPr>
        <w:t>طري</w:t>
      </w:r>
      <w:r>
        <w:rPr>
          <w:rFonts w:hint="cs"/>
          <w:rtl/>
          <w:lang w:bidi="ar-EG"/>
        </w:rPr>
        <w:t>ة (</w:t>
      </w:r>
      <w:r w:rsidRPr="00E241E3">
        <w:rPr>
          <w:lang w:bidi="ar-EG"/>
        </w:rPr>
        <w:t>UNCT</w:t>
      </w:r>
      <w:r>
        <w:rPr>
          <w:rFonts w:hint="cs"/>
          <w:rtl/>
          <w:lang w:bidi="ar-EG"/>
        </w:rPr>
        <w:t>)</w:t>
      </w:r>
      <w:r w:rsidRPr="0057573E">
        <w:rPr>
          <w:rtl/>
          <w:lang w:bidi="ar-EG"/>
        </w:rPr>
        <w:t>. وأدى ذلك إلى مشاركة فع</w:t>
      </w:r>
      <w:r w:rsidR="00D46517">
        <w:rPr>
          <w:rFonts w:hint="cs"/>
          <w:rtl/>
          <w:lang w:bidi="ar-EG"/>
        </w:rPr>
        <w:t>ّ</w:t>
      </w:r>
      <w:r w:rsidRPr="0057573E">
        <w:rPr>
          <w:rtl/>
          <w:lang w:bidi="ar-EG"/>
        </w:rPr>
        <w:t xml:space="preserve">الة في </w:t>
      </w:r>
      <w:r w:rsidR="00955739">
        <w:rPr>
          <w:rFonts w:hint="cs"/>
          <w:rtl/>
          <w:lang w:bidi="ar-EG"/>
        </w:rPr>
        <w:t>إطار</w:t>
      </w:r>
      <w:r w:rsidR="00955739" w:rsidRPr="00F25488">
        <w:rPr>
          <w:rtl/>
          <w:lang w:bidi="ar-EG"/>
        </w:rPr>
        <w:t xml:space="preserve"> الأمم المتحدة للتعاون من أجل التنمية المستدامة</w:t>
      </w:r>
      <w:r w:rsidR="00955739" w:rsidRPr="0057573E">
        <w:rPr>
          <w:rtl/>
          <w:lang w:bidi="ar-EG"/>
        </w:rPr>
        <w:t xml:space="preserve"> </w:t>
      </w:r>
      <w:r w:rsidRPr="0057573E">
        <w:rPr>
          <w:rtl/>
          <w:lang w:bidi="ar-EG"/>
        </w:rPr>
        <w:t>على المستوى الإقليمي و</w:t>
      </w:r>
      <w:r>
        <w:rPr>
          <w:rFonts w:hint="cs"/>
          <w:rtl/>
          <w:lang w:bidi="ar-EG"/>
        </w:rPr>
        <w:t>وضع</w:t>
      </w:r>
      <w:r w:rsidRPr="0057573E">
        <w:rPr>
          <w:rtl/>
          <w:lang w:bidi="ar-EG"/>
        </w:rPr>
        <w:t xml:space="preserve"> خطة ل</w:t>
      </w:r>
      <w:r>
        <w:rPr>
          <w:rFonts w:hint="cs"/>
          <w:rtl/>
          <w:lang w:bidi="ar-EG"/>
        </w:rPr>
        <w:t>زيادة</w:t>
      </w:r>
      <w:r w:rsidRPr="0057573E">
        <w:rPr>
          <w:rtl/>
          <w:lang w:bidi="ar-EG"/>
        </w:rPr>
        <w:t xml:space="preserve"> المشاركة في عام 2022. </w:t>
      </w:r>
      <w:r>
        <w:rPr>
          <w:rFonts w:hint="cs"/>
          <w:rtl/>
          <w:lang w:bidi="ar-EG"/>
        </w:rPr>
        <w:t>و</w:t>
      </w:r>
      <w:r w:rsidR="00F2437C">
        <w:rPr>
          <w:rtl/>
          <w:lang w:bidi="ar-EG"/>
        </w:rPr>
        <w:t>في الوقت الحالي</w:t>
      </w:r>
      <w:r w:rsidRPr="0057573E">
        <w:rPr>
          <w:rtl/>
          <w:lang w:bidi="ar-EG"/>
        </w:rPr>
        <w:t xml:space="preserve">، وقع المكتب على </w:t>
      </w:r>
      <w:r w:rsidR="00F25488" w:rsidRPr="00F25488">
        <w:rPr>
          <w:rtl/>
          <w:lang w:bidi="ar-EG"/>
        </w:rPr>
        <w:t>إطار الأمم المتحدة للتعاون من أجل التنمية المستدامة</w:t>
      </w:r>
      <w:r w:rsidR="00955739">
        <w:rPr>
          <w:rtl/>
          <w:lang w:bidi="ar-EG"/>
        </w:rPr>
        <w:t xml:space="preserve"> </w:t>
      </w:r>
      <w:r w:rsidR="005F2BEE">
        <w:rPr>
          <w:rFonts w:hint="cs"/>
          <w:rtl/>
          <w:lang w:bidi="ar-EG"/>
        </w:rPr>
        <w:t xml:space="preserve">في </w:t>
      </w:r>
      <w:r w:rsidR="00955739">
        <w:rPr>
          <w:rFonts w:hint="cs"/>
          <w:rtl/>
          <w:lang w:bidi="ar-EG"/>
        </w:rPr>
        <w:t>ا</w:t>
      </w:r>
      <w:r w:rsidRPr="0057573E">
        <w:rPr>
          <w:rtl/>
          <w:lang w:bidi="ar-EG"/>
        </w:rPr>
        <w:t>لبحرين</w:t>
      </w:r>
      <w:r w:rsidR="00F25488">
        <w:rPr>
          <w:rFonts w:hint="cs"/>
          <w:rtl/>
          <w:lang w:bidi="ar-EG"/>
        </w:rPr>
        <w:t>،</w:t>
      </w:r>
      <w:r w:rsidRPr="0057573E">
        <w:rPr>
          <w:rtl/>
          <w:lang w:bidi="ar-EG"/>
        </w:rPr>
        <w:t xml:space="preserve"> </w:t>
      </w:r>
      <w:r w:rsidR="005F2BEE">
        <w:rPr>
          <w:rFonts w:hint="cs"/>
          <w:rtl/>
          <w:lang w:bidi="ar-EG"/>
        </w:rPr>
        <w:t>ويجري</w:t>
      </w:r>
      <w:r w:rsidR="005F2BEE">
        <w:rPr>
          <w:rtl/>
          <w:lang w:bidi="ar-EG"/>
        </w:rPr>
        <w:t xml:space="preserve"> </w:t>
      </w:r>
      <w:r w:rsidR="00F25488">
        <w:rPr>
          <w:rtl/>
          <w:lang w:bidi="ar-EG"/>
        </w:rPr>
        <w:t>حالي</w:t>
      </w:r>
      <w:r w:rsidRPr="0057573E">
        <w:rPr>
          <w:rtl/>
          <w:lang w:bidi="ar-EG"/>
        </w:rPr>
        <w:t>ا</w:t>
      </w:r>
      <w:r w:rsidR="00F25488">
        <w:rPr>
          <w:rFonts w:hint="cs"/>
          <w:rtl/>
          <w:lang w:bidi="ar-EG"/>
        </w:rPr>
        <w:t>ً</w:t>
      </w:r>
      <w:r w:rsidRPr="0057573E">
        <w:rPr>
          <w:rtl/>
          <w:lang w:bidi="ar-EG"/>
        </w:rPr>
        <w:t xml:space="preserve"> مناقشات</w:t>
      </w:r>
      <w:r w:rsidR="00F25488">
        <w:rPr>
          <w:lang w:bidi="ar-EG"/>
        </w:rPr>
        <w:t xml:space="preserve"> </w:t>
      </w:r>
      <w:r w:rsidR="00F25488">
        <w:rPr>
          <w:rFonts w:hint="cs"/>
          <w:rtl/>
          <w:lang w:bidi="ar-EG"/>
        </w:rPr>
        <w:t>بشأن</w:t>
      </w:r>
      <w:r w:rsidRPr="0057573E">
        <w:rPr>
          <w:rtl/>
          <w:lang w:bidi="ar-EG"/>
        </w:rPr>
        <w:t xml:space="preserve"> </w:t>
      </w:r>
      <w:r w:rsidR="009E7935">
        <w:rPr>
          <w:rFonts w:hint="cs"/>
          <w:rtl/>
          <w:lang w:bidi="ar-EG"/>
        </w:rPr>
        <w:t>أطر</w:t>
      </w:r>
      <w:r w:rsidR="00F25488" w:rsidRPr="00F25488">
        <w:rPr>
          <w:rtl/>
          <w:lang w:bidi="ar-EG"/>
        </w:rPr>
        <w:t xml:space="preserve"> الأمم المتحدة للتعاون من أجل التنمية المستدامة</w:t>
      </w:r>
      <w:r w:rsidRPr="0057573E">
        <w:rPr>
          <w:rtl/>
          <w:lang w:bidi="ar-EG"/>
        </w:rPr>
        <w:t xml:space="preserve"> </w:t>
      </w:r>
      <w:r w:rsidR="005F2BEE">
        <w:rPr>
          <w:rFonts w:hint="cs"/>
          <w:rtl/>
          <w:lang w:bidi="ar-EG"/>
        </w:rPr>
        <w:t xml:space="preserve">في </w:t>
      </w:r>
      <w:r w:rsidR="009E7935">
        <w:rPr>
          <w:rFonts w:hint="cs"/>
          <w:rtl/>
          <w:lang w:bidi="ar-EG"/>
        </w:rPr>
        <w:t>ا</w:t>
      </w:r>
      <w:r w:rsidR="00D03C45">
        <w:rPr>
          <w:rtl/>
          <w:lang w:bidi="ar-EG"/>
        </w:rPr>
        <w:t>لإمارات العربية المتحدة وتونس</w:t>
      </w:r>
      <w:r w:rsidRPr="0057573E">
        <w:rPr>
          <w:rtl/>
          <w:lang w:bidi="ar-EG"/>
        </w:rPr>
        <w:t xml:space="preserve"> والمغرب.</w:t>
      </w:r>
    </w:p>
    <w:p w14:paraId="30411A4C" w14:textId="77777777" w:rsidR="00BB7213" w:rsidRDefault="00BB7213" w:rsidP="00BB7213">
      <w:pPr>
        <w:spacing w:before="600"/>
        <w:jc w:val="center"/>
        <w:rPr>
          <w:rtl/>
          <w:lang w:bidi="ar-EG"/>
        </w:rPr>
      </w:pPr>
      <w:bookmarkStart w:id="1" w:name="_التذييل"/>
      <w:bookmarkEnd w:id="1"/>
      <w:r w:rsidRPr="00BB7213">
        <w:rPr>
          <w:rFonts w:hint="cs"/>
          <w:rtl/>
          <w:lang w:bidi="ar-EG"/>
        </w:rPr>
        <w:t>ــــــــــــــــــــــــــــــــــــــــــــــــــــــــــــــــــــــــــــــــــــــــــــــــ</w:t>
      </w:r>
    </w:p>
    <w:sectPr w:rsidR="00BB7213" w:rsidSect="006C3242">
      <w:headerReference w:type="default" r:id="rId17"/>
      <w:footerReference w:type="default" r:id="rId18"/>
      <w:footerReference w:type="first" r:id="rId1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FDF92" w14:textId="77777777" w:rsidR="00A53175" w:rsidRDefault="00A53175" w:rsidP="006C3242">
      <w:pPr>
        <w:spacing w:before="0" w:line="240" w:lineRule="auto"/>
      </w:pPr>
      <w:r>
        <w:separator/>
      </w:r>
    </w:p>
  </w:endnote>
  <w:endnote w:type="continuationSeparator" w:id="0">
    <w:p w14:paraId="0D63E286" w14:textId="77777777" w:rsidR="00A53175" w:rsidRDefault="00A53175"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7E6C5" w14:textId="6BB68F28" w:rsidR="005919CC" w:rsidRPr="00D14F1A" w:rsidRDefault="005919CC" w:rsidP="00FE5872">
    <w:pPr>
      <w:pStyle w:val="Footer"/>
      <w:tabs>
        <w:tab w:val="clear" w:pos="4153"/>
        <w:tab w:val="clear" w:pos="8306"/>
        <w:tab w:val="center" w:pos="5103"/>
        <w:tab w:val="right" w:pos="9639"/>
      </w:tabs>
      <w:spacing w:before="120"/>
      <w:rPr>
        <w:color w:val="F2F2F2" w:themeColor="background1" w:themeShade="F2"/>
        <w:sz w:val="16"/>
        <w:szCs w:val="16"/>
        <w:lang w:val="fr-FR"/>
      </w:rPr>
    </w:pPr>
    <w:r w:rsidRPr="00D14F1A">
      <w:rPr>
        <w:color w:val="F2F2F2" w:themeColor="background1" w:themeShade="F2"/>
        <w:sz w:val="16"/>
        <w:szCs w:val="16"/>
        <w:lang w:val="fr-FR"/>
      </w:rPr>
      <w:fldChar w:fldCharType="begin"/>
    </w:r>
    <w:r w:rsidRPr="00D14F1A">
      <w:rPr>
        <w:color w:val="F2F2F2" w:themeColor="background1" w:themeShade="F2"/>
        <w:sz w:val="16"/>
        <w:szCs w:val="16"/>
        <w:lang w:val="fr-FR"/>
      </w:rPr>
      <w:instrText xml:space="preserve"> FILENAME \p \* MERGEFORMAT </w:instrText>
    </w:r>
    <w:r w:rsidRPr="00D14F1A">
      <w:rPr>
        <w:color w:val="F2F2F2" w:themeColor="background1" w:themeShade="F2"/>
        <w:sz w:val="16"/>
        <w:szCs w:val="16"/>
        <w:lang w:val="fr-FR"/>
      </w:rPr>
      <w:fldChar w:fldCharType="separate"/>
    </w:r>
    <w:r w:rsidR="00CB08E4" w:rsidRPr="00D14F1A">
      <w:rPr>
        <w:noProof/>
        <w:color w:val="F2F2F2" w:themeColor="background1" w:themeShade="F2"/>
        <w:sz w:val="16"/>
        <w:szCs w:val="16"/>
        <w:lang w:val="fr-FR"/>
      </w:rPr>
      <w:t>P:\ARA\SG\CONSEIL\C22\000\025A.docx</w:t>
    </w:r>
    <w:r w:rsidRPr="00D14F1A">
      <w:rPr>
        <w:color w:val="F2F2F2" w:themeColor="background1" w:themeShade="F2"/>
        <w:sz w:val="16"/>
        <w:szCs w:val="16"/>
      </w:rPr>
      <w:fldChar w:fldCharType="end"/>
    </w:r>
    <w:proofErr w:type="gramStart"/>
    <w:r w:rsidRPr="00D14F1A">
      <w:rPr>
        <w:color w:val="F2F2F2" w:themeColor="background1" w:themeShade="F2"/>
        <w:sz w:val="16"/>
        <w:szCs w:val="16"/>
        <w:lang w:val="fr-CH"/>
      </w:rPr>
      <w:t xml:space="preserve">  </w:t>
    </w:r>
    <w:r w:rsidRPr="00D14F1A">
      <w:rPr>
        <w:color w:val="F2F2F2" w:themeColor="background1" w:themeShade="F2"/>
        <w:sz w:val="16"/>
        <w:szCs w:val="16"/>
        <w:lang w:val="fr-FR"/>
      </w:rPr>
      <w:t xml:space="preserve"> (</w:t>
    </w:r>
    <w:proofErr w:type="gramEnd"/>
    <w:r w:rsidRPr="00D14F1A">
      <w:rPr>
        <w:color w:val="F2F2F2" w:themeColor="background1" w:themeShade="F2"/>
        <w:sz w:val="16"/>
        <w:szCs w:val="16"/>
        <w:lang w:val="fr-FR"/>
      </w:rPr>
      <w:t>498295)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F3F37" w14:textId="77777777" w:rsidR="005919CC" w:rsidRPr="005B1652" w:rsidRDefault="005919CC"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80612" w14:textId="77777777" w:rsidR="00A53175" w:rsidRDefault="00A53175" w:rsidP="006C3242">
      <w:pPr>
        <w:spacing w:before="0" w:line="240" w:lineRule="auto"/>
      </w:pPr>
      <w:r>
        <w:separator/>
      </w:r>
    </w:p>
  </w:footnote>
  <w:footnote w:type="continuationSeparator" w:id="0">
    <w:p w14:paraId="3F0744E9" w14:textId="77777777" w:rsidR="00A53175" w:rsidRDefault="00A53175" w:rsidP="006C3242">
      <w:pPr>
        <w:spacing w:before="0" w:line="240" w:lineRule="auto"/>
      </w:pPr>
      <w:r>
        <w:continuationSeparator/>
      </w:r>
    </w:p>
  </w:footnote>
  <w:footnote w:id="1">
    <w:p w14:paraId="0788922C" w14:textId="519227AE" w:rsidR="005919CC" w:rsidRPr="00C45159" w:rsidRDefault="005919CC" w:rsidP="00BB637C">
      <w:pPr>
        <w:pStyle w:val="FootnoteText"/>
      </w:pPr>
      <w:r w:rsidRPr="00C45159">
        <w:rPr>
          <w:rStyle w:val="FootnoteReference"/>
          <w:position w:val="0"/>
        </w:rPr>
        <w:footnoteRef/>
      </w:r>
      <w:r w:rsidRPr="00C45159">
        <w:rPr>
          <w:rtl/>
        </w:rPr>
        <w:t xml:space="preserve"> </w:t>
      </w:r>
      <w:r w:rsidRPr="00C45159">
        <w:rPr>
          <w:rtl/>
        </w:rPr>
        <w:tab/>
      </w:r>
      <w:r>
        <w:rPr>
          <w:rFonts w:hint="cs"/>
          <w:rtl/>
        </w:rPr>
        <w:t xml:space="preserve">مستوى </w:t>
      </w:r>
      <w:r w:rsidRPr="00BB637C">
        <w:rPr>
          <w:rtl/>
        </w:rPr>
        <w:t>تنفيذ الخطة التشغيلية</w:t>
      </w:r>
      <w:r>
        <w:rPr>
          <w:rFonts w:hint="cs"/>
          <w:rtl/>
        </w:rPr>
        <w:t>=</w:t>
      </w:r>
      <w:r w:rsidRPr="00C45159">
        <w:rPr>
          <w:rFonts w:hint="cs"/>
          <w:rtl/>
        </w:rPr>
        <w:t xml:space="preserve"> </w:t>
      </w:r>
      <w:r>
        <w:rPr>
          <w:rFonts w:hint="cs"/>
          <w:rtl/>
        </w:rPr>
        <w:t>أرقام الإنفاق الفعلي اعتباراً من 7 ديسمبر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B9EBD" w14:textId="1C7D03B1" w:rsidR="005919CC" w:rsidRPr="00447F32" w:rsidRDefault="00D14F1A"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5919CC" w:rsidRPr="00447F32">
          <w:rPr>
            <w:rFonts w:cs="Calibri"/>
            <w:sz w:val="20"/>
            <w:szCs w:val="20"/>
          </w:rPr>
          <w:fldChar w:fldCharType="begin"/>
        </w:r>
        <w:r w:rsidR="005919CC" w:rsidRPr="00447F32">
          <w:rPr>
            <w:rFonts w:cs="Calibri"/>
            <w:sz w:val="20"/>
            <w:szCs w:val="20"/>
          </w:rPr>
          <w:instrText xml:space="preserve"> PAGE   \* MERGEFORMAT </w:instrText>
        </w:r>
        <w:r w:rsidR="005919CC" w:rsidRPr="00447F32">
          <w:rPr>
            <w:rFonts w:cs="Calibri"/>
            <w:sz w:val="20"/>
            <w:szCs w:val="20"/>
          </w:rPr>
          <w:fldChar w:fldCharType="separate"/>
        </w:r>
        <w:r w:rsidR="00CD5816">
          <w:rPr>
            <w:rFonts w:cs="Calibri"/>
            <w:noProof/>
            <w:sz w:val="20"/>
            <w:szCs w:val="20"/>
          </w:rPr>
          <w:t>6</w:t>
        </w:r>
        <w:r w:rsidR="005919CC" w:rsidRPr="00447F32">
          <w:rPr>
            <w:rFonts w:cs="Calibri"/>
            <w:noProof/>
            <w:sz w:val="20"/>
            <w:szCs w:val="20"/>
          </w:rPr>
          <w:fldChar w:fldCharType="end"/>
        </w:r>
        <w:r w:rsidR="005919CC" w:rsidRPr="00447F32">
          <w:rPr>
            <w:rFonts w:cs="Calibri"/>
            <w:noProof/>
            <w:sz w:val="20"/>
            <w:szCs w:val="20"/>
          </w:rPr>
          <w:br/>
          <w:t>C</w:t>
        </w:r>
        <w:r w:rsidR="005919CC">
          <w:rPr>
            <w:rFonts w:cs="Calibri"/>
            <w:noProof/>
            <w:sz w:val="20"/>
            <w:szCs w:val="20"/>
          </w:rPr>
          <w:t>22</w:t>
        </w:r>
        <w:r w:rsidR="005919CC" w:rsidRPr="00447F32">
          <w:rPr>
            <w:rFonts w:cs="Calibri"/>
            <w:noProof/>
            <w:sz w:val="20"/>
            <w:szCs w:val="20"/>
          </w:rPr>
          <w:t>/</w:t>
        </w:r>
        <w:r w:rsidR="005919CC">
          <w:rPr>
            <w:rFonts w:cs="Calibri"/>
            <w:noProof/>
            <w:sz w:val="20"/>
            <w:szCs w:val="20"/>
          </w:rPr>
          <w:t>25</w:t>
        </w:r>
        <w:r w:rsidR="005919CC"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2CA"/>
    <w:rsid w:val="00015F02"/>
    <w:rsid w:val="000352F9"/>
    <w:rsid w:val="0006353E"/>
    <w:rsid w:val="000754A3"/>
    <w:rsid w:val="00077EA2"/>
    <w:rsid w:val="0008020D"/>
    <w:rsid w:val="00090574"/>
    <w:rsid w:val="000A11F4"/>
    <w:rsid w:val="000A56FB"/>
    <w:rsid w:val="000C1C0E"/>
    <w:rsid w:val="000C31EE"/>
    <w:rsid w:val="000C548A"/>
    <w:rsid w:val="00107764"/>
    <w:rsid w:val="00110673"/>
    <w:rsid w:val="0011632C"/>
    <w:rsid w:val="00122C51"/>
    <w:rsid w:val="00132F09"/>
    <w:rsid w:val="00150144"/>
    <w:rsid w:val="0015650C"/>
    <w:rsid w:val="0017347E"/>
    <w:rsid w:val="001A0CB0"/>
    <w:rsid w:val="001B0541"/>
    <w:rsid w:val="001B1AE1"/>
    <w:rsid w:val="001B73B2"/>
    <w:rsid w:val="001C0169"/>
    <w:rsid w:val="001C5EE6"/>
    <w:rsid w:val="001D1D50"/>
    <w:rsid w:val="001D6745"/>
    <w:rsid w:val="001E2988"/>
    <w:rsid w:val="001E446E"/>
    <w:rsid w:val="001F2EAA"/>
    <w:rsid w:val="002145D0"/>
    <w:rsid w:val="002154EE"/>
    <w:rsid w:val="002276D2"/>
    <w:rsid w:val="0023283D"/>
    <w:rsid w:val="0026373E"/>
    <w:rsid w:val="002644AA"/>
    <w:rsid w:val="00271C43"/>
    <w:rsid w:val="00290728"/>
    <w:rsid w:val="00293B71"/>
    <w:rsid w:val="002978F4"/>
    <w:rsid w:val="002B028D"/>
    <w:rsid w:val="002C6889"/>
    <w:rsid w:val="002E6541"/>
    <w:rsid w:val="002F71D8"/>
    <w:rsid w:val="003021B5"/>
    <w:rsid w:val="00312C40"/>
    <w:rsid w:val="00334924"/>
    <w:rsid w:val="00334DFF"/>
    <w:rsid w:val="003407B0"/>
    <w:rsid w:val="003409BC"/>
    <w:rsid w:val="00350A2A"/>
    <w:rsid w:val="00353A61"/>
    <w:rsid w:val="00357185"/>
    <w:rsid w:val="00383829"/>
    <w:rsid w:val="003C6B4F"/>
    <w:rsid w:val="003C72CA"/>
    <w:rsid w:val="003F4B29"/>
    <w:rsid w:val="0040512F"/>
    <w:rsid w:val="00410F5C"/>
    <w:rsid w:val="0042686F"/>
    <w:rsid w:val="004317D8"/>
    <w:rsid w:val="00434183"/>
    <w:rsid w:val="00435D10"/>
    <w:rsid w:val="00443869"/>
    <w:rsid w:val="00443BE5"/>
    <w:rsid w:val="00447F32"/>
    <w:rsid w:val="00473296"/>
    <w:rsid w:val="004A4F3D"/>
    <w:rsid w:val="004C165F"/>
    <w:rsid w:val="004C7021"/>
    <w:rsid w:val="004E11DC"/>
    <w:rsid w:val="00503DD2"/>
    <w:rsid w:val="005409AC"/>
    <w:rsid w:val="0055516A"/>
    <w:rsid w:val="005660A2"/>
    <w:rsid w:val="005754E6"/>
    <w:rsid w:val="0057573E"/>
    <w:rsid w:val="005805EA"/>
    <w:rsid w:val="0058491B"/>
    <w:rsid w:val="005919CC"/>
    <w:rsid w:val="00592EA5"/>
    <w:rsid w:val="00595BE5"/>
    <w:rsid w:val="005A3170"/>
    <w:rsid w:val="005B1652"/>
    <w:rsid w:val="005F2BEE"/>
    <w:rsid w:val="00612671"/>
    <w:rsid w:val="00614855"/>
    <w:rsid w:val="00637030"/>
    <w:rsid w:val="00643E3E"/>
    <w:rsid w:val="00677396"/>
    <w:rsid w:val="0069200F"/>
    <w:rsid w:val="006928FD"/>
    <w:rsid w:val="006A65CB"/>
    <w:rsid w:val="006A793B"/>
    <w:rsid w:val="006B3443"/>
    <w:rsid w:val="006C263C"/>
    <w:rsid w:val="006C3242"/>
    <w:rsid w:val="006C718E"/>
    <w:rsid w:val="006C7CC0"/>
    <w:rsid w:val="006E17E9"/>
    <w:rsid w:val="006F63F7"/>
    <w:rsid w:val="007025C7"/>
    <w:rsid w:val="00706D7A"/>
    <w:rsid w:val="00722F0D"/>
    <w:rsid w:val="00743D5C"/>
    <w:rsid w:val="0074420E"/>
    <w:rsid w:val="00745BC3"/>
    <w:rsid w:val="007559A3"/>
    <w:rsid w:val="007649A1"/>
    <w:rsid w:val="00783E26"/>
    <w:rsid w:val="007C3BC7"/>
    <w:rsid w:val="007C3BCD"/>
    <w:rsid w:val="007D4ACF"/>
    <w:rsid w:val="007E11E8"/>
    <w:rsid w:val="007F0787"/>
    <w:rsid w:val="007F1578"/>
    <w:rsid w:val="00807022"/>
    <w:rsid w:val="00807448"/>
    <w:rsid w:val="00810B7B"/>
    <w:rsid w:val="00820C47"/>
    <w:rsid w:val="0082358A"/>
    <w:rsid w:val="008235CD"/>
    <w:rsid w:val="008247DE"/>
    <w:rsid w:val="00832B54"/>
    <w:rsid w:val="00840B10"/>
    <w:rsid w:val="008513CB"/>
    <w:rsid w:val="008514D2"/>
    <w:rsid w:val="00860308"/>
    <w:rsid w:val="008A7F84"/>
    <w:rsid w:val="008B4B7B"/>
    <w:rsid w:val="0091702E"/>
    <w:rsid w:val="00923B0C"/>
    <w:rsid w:val="0094021C"/>
    <w:rsid w:val="00952F86"/>
    <w:rsid w:val="00955739"/>
    <w:rsid w:val="00982B28"/>
    <w:rsid w:val="00996C7B"/>
    <w:rsid w:val="009A34FC"/>
    <w:rsid w:val="009A3C82"/>
    <w:rsid w:val="009C1E8E"/>
    <w:rsid w:val="009C4C00"/>
    <w:rsid w:val="009D313F"/>
    <w:rsid w:val="009E7935"/>
    <w:rsid w:val="00A001E4"/>
    <w:rsid w:val="00A067D8"/>
    <w:rsid w:val="00A154E3"/>
    <w:rsid w:val="00A170A6"/>
    <w:rsid w:val="00A172EC"/>
    <w:rsid w:val="00A41AE7"/>
    <w:rsid w:val="00A473F7"/>
    <w:rsid w:val="00A47A5A"/>
    <w:rsid w:val="00A53175"/>
    <w:rsid w:val="00A6683B"/>
    <w:rsid w:val="00A763D7"/>
    <w:rsid w:val="00A97F94"/>
    <w:rsid w:val="00B03099"/>
    <w:rsid w:val="00B05BC8"/>
    <w:rsid w:val="00B27CE0"/>
    <w:rsid w:val="00B609DD"/>
    <w:rsid w:val="00B64B47"/>
    <w:rsid w:val="00B91399"/>
    <w:rsid w:val="00BB14BD"/>
    <w:rsid w:val="00BB637C"/>
    <w:rsid w:val="00BB7213"/>
    <w:rsid w:val="00BE587E"/>
    <w:rsid w:val="00C002DE"/>
    <w:rsid w:val="00C45159"/>
    <w:rsid w:val="00C53BF8"/>
    <w:rsid w:val="00C566BA"/>
    <w:rsid w:val="00C66157"/>
    <w:rsid w:val="00C674FE"/>
    <w:rsid w:val="00C67501"/>
    <w:rsid w:val="00C67A87"/>
    <w:rsid w:val="00C74098"/>
    <w:rsid w:val="00C75633"/>
    <w:rsid w:val="00C802A5"/>
    <w:rsid w:val="00CB08E4"/>
    <w:rsid w:val="00CC18AB"/>
    <w:rsid w:val="00CC5671"/>
    <w:rsid w:val="00CD5816"/>
    <w:rsid w:val="00CE2EE1"/>
    <w:rsid w:val="00CE3349"/>
    <w:rsid w:val="00CE36E5"/>
    <w:rsid w:val="00CF27F5"/>
    <w:rsid w:val="00CF3FFD"/>
    <w:rsid w:val="00CF67DC"/>
    <w:rsid w:val="00D02D14"/>
    <w:rsid w:val="00D03C45"/>
    <w:rsid w:val="00D045CA"/>
    <w:rsid w:val="00D10CCF"/>
    <w:rsid w:val="00D14F1A"/>
    <w:rsid w:val="00D46517"/>
    <w:rsid w:val="00D77D0F"/>
    <w:rsid w:val="00D819A1"/>
    <w:rsid w:val="00DA1CF0"/>
    <w:rsid w:val="00DB4A2B"/>
    <w:rsid w:val="00DC00D0"/>
    <w:rsid w:val="00DC1E02"/>
    <w:rsid w:val="00DC24B4"/>
    <w:rsid w:val="00DC5FB0"/>
    <w:rsid w:val="00DD5447"/>
    <w:rsid w:val="00DD6D8D"/>
    <w:rsid w:val="00DE552F"/>
    <w:rsid w:val="00DE6806"/>
    <w:rsid w:val="00DF16DC"/>
    <w:rsid w:val="00E241E3"/>
    <w:rsid w:val="00E32A07"/>
    <w:rsid w:val="00E34A92"/>
    <w:rsid w:val="00E407D6"/>
    <w:rsid w:val="00E448D9"/>
    <w:rsid w:val="00E45211"/>
    <w:rsid w:val="00E473C5"/>
    <w:rsid w:val="00E8653E"/>
    <w:rsid w:val="00E92863"/>
    <w:rsid w:val="00EB796D"/>
    <w:rsid w:val="00EE793C"/>
    <w:rsid w:val="00F058DC"/>
    <w:rsid w:val="00F2437C"/>
    <w:rsid w:val="00F24FC4"/>
    <w:rsid w:val="00F25488"/>
    <w:rsid w:val="00F2676C"/>
    <w:rsid w:val="00F464A7"/>
    <w:rsid w:val="00F56C39"/>
    <w:rsid w:val="00F7379B"/>
    <w:rsid w:val="00F80F69"/>
    <w:rsid w:val="00F84366"/>
    <w:rsid w:val="00F85089"/>
    <w:rsid w:val="00F9019C"/>
    <w:rsid w:val="00F93F97"/>
    <w:rsid w:val="00F94CBB"/>
    <w:rsid w:val="00F974C5"/>
    <w:rsid w:val="00F977AF"/>
    <w:rsid w:val="00FA6F46"/>
    <w:rsid w:val="00FE5872"/>
    <w:rsid w:val="00FE7FCA"/>
    <w:rsid w:val="00FF620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94FCE5"/>
  <w15:chartTrackingRefBased/>
  <w15:docId w15:val="{FB53FE8A-20AF-428E-A9FD-819926BF9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Style 58,超????,超?级链,超级链接,하이퍼링크2,하이퍼링크21"/>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link w:val="TableheadChar"/>
    <w:qFormat/>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character" w:customStyle="1" w:styleId="UnresolvedMention1">
    <w:name w:val="Unresolved Mention1"/>
    <w:basedOn w:val="DefaultParagraphFont"/>
    <w:uiPriority w:val="99"/>
    <w:semiHidden/>
    <w:unhideWhenUsed/>
    <w:rsid w:val="001C5EE6"/>
    <w:rPr>
      <w:color w:val="605E5C"/>
      <w:shd w:val="clear" w:color="auto" w:fill="E1DFDD"/>
    </w:rPr>
  </w:style>
  <w:style w:type="numbering" w:customStyle="1" w:styleId="NoList1">
    <w:name w:val="No List1"/>
    <w:next w:val="NoList"/>
    <w:uiPriority w:val="99"/>
    <w:semiHidden/>
    <w:unhideWhenUsed/>
    <w:rsid w:val="001C5EE6"/>
  </w:style>
  <w:style w:type="table" w:customStyle="1" w:styleId="TableGrid1">
    <w:name w:val="Table Grid1"/>
    <w:basedOn w:val="TableNormal"/>
    <w:next w:val="TableGrid"/>
    <w:rsid w:val="001C5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0"/>
    <w:rsid w:val="001C5EE6"/>
    <w:rPr>
      <w:rFonts w:ascii="Dubai" w:eastAsia="Times New Roman" w:hAnsi="Dubai" w:cs="Dubai"/>
      <w:b/>
      <w:bCs/>
      <w:lang w:val="en-GB" w:eastAsia="en-US"/>
    </w:rPr>
  </w:style>
  <w:style w:type="character" w:customStyle="1" w:styleId="NormalaftertitleChar">
    <w:name w:val="Normal after title Char"/>
    <w:basedOn w:val="DefaultParagraphFont"/>
    <w:link w:val="Normalaftertitle"/>
    <w:rsid w:val="001C5EE6"/>
    <w:rPr>
      <w:rFonts w:ascii="Dubai" w:hAnsi="Dubai" w:cs="Dubai"/>
      <w:lang w:bidi="ar-SY"/>
    </w:rPr>
  </w:style>
  <w:style w:type="paragraph" w:customStyle="1" w:styleId="Tabletext">
    <w:name w:val="Table_text"/>
    <w:basedOn w:val="Normal"/>
    <w:link w:val="TabletextChar"/>
    <w:qFormat/>
    <w:rsid w:val="001C5EE6"/>
    <w:pPr>
      <w:tabs>
        <w:tab w:val="clear" w:pos="794"/>
        <w:tab w:val="left" w:pos="1134"/>
      </w:tabs>
      <w:spacing w:before="60" w:after="60" w:line="260" w:lineRule="exact"/>
      <w:jc w:val="center"/>
    </w:pPr>
    <w:rPr>
      <w:rFonts w:ascii="Calibri" w:eastAsia="Times New Roman" w:hAnsi="Calibri" w:cs="Traditional Arabic"/>
      <w:sz w:val="20"/>
      <w:szCs w:val="26"/>
      <w:lang w:val="fr-FR" w:eastAsia="en-US" w:bidi="ar-EG"/>
    </w:rPr>
  </w:style>
  <w:style w:type="character" w:customStyle="1" w:styleId="TabletextChar">
    <w:name w:val="Table_text Char"/>
    <w:basedOn w:val="DefaultParagraphFont"/>
    <w:link w:val="Tabletext"/>
    <w:locked/>
    <w:rsid w:val="001C5EE6"/>
    <w:rPr>
      <w:rFonts w:ascii="Calibri" w:eastAsia="Times New Roman" w:hAnsi="Calibri" w:cs="Traditional Arabic"/>
      <w:sz w:val="20"/>
      <w:szCs w:val="26"/>
      <w:lang w:val="fr-FR" w:eastAsia="en-US" w:bidi="ar-EG"/>
    </w:rPr>
  </w:style>
  <w:style w:type="character" w:customStyle="1" w:styleId="CallChar">
    <w:name w:val="Call Char"/>
    <w:basedOn w:val="DefaultParagraphFont"/>
    <w:link w:val="Call"/>
    <w:locked/>
    <w:rsid w:val="001C5EE6"/>
    <w:rPr>
      <w:rFonts w:ascii="Dubai" w:hAnsi="Dubai" w:cs="Dubai"/>
      <w:i/>
      <w:iCs/>
    </w:rPr>
  </w:style>
  <w:style w:type="paragraph" w:styleId="HTMLPreformatted">
    <w:name w:val="HTML Preformatted"/>
    <w:basedOn w:val="Normal"/>
    <w:link w:val="HTMLPreformattedChar"/>
    <w:uiPriority w:val="99"/>
    <w:semiHidden/>
    <w:unhideWhenUsed/>
    <w:rsid w:val="001C5EE6"/>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C5EE6"/>
    <w:rPr>
      <w:rFonts w:ascii="Consolas" w:hAnsi="Consolas" w:cs="Dubai"/>
      <w:sz w:val="20"/>
      <w:szCs w:val="20"/>
    </w:rPr>
  </w:style>
  <w:style w:type="paragraph" w:styleId="BalloonText">
    <w:name w:val="Balloon Text"/>
    <w:basedOn w:val="Normal"/>
    <w:link w:val="BalloonTextChar"/>
    <w:uiPriority w:val="99"/>
    <w:semiHidden/>
    <w:unhideWhenUsed/>
    <w:rsid w:val="001C5EE6"/>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5EE6"/>
    <w:rPr>
      <w:rFonts w:ascii="Segoe UI" w:hAnsi="Segoe UI" w:cs="Segoe UI"/>
      <w:sz w:val="18"/>
      <w:szCs w:val="18"/>
    </w:rPr>
  </w:style>
  <w:style w:type="character" w:styleId="FollowedHyperlink">
    <w:name w:val="FollowedHyperlink"/>
    <w:basedOn w:val="DefaultParagraphFont"/>
    <w:uiPriority w:val="99"/>
    <w:semiHidden/>
    <w:unhideWhenUsed/>
    <w:rsid w:val="001C5EE6"/>
    <w:rPr>
      <w:color w:val="954F72" w:themeColor="followedHyperlink"/>
      <w:u w:val="single"/>
    </w:rPr>
  </w:style>
  <w:style w:type="character" w:styleId="CommentReference">
    <w:name w:val="annotation reference"/>
    <w:basedOn w:val="DefaultParagraphFont"/>
    <w:uiPriority w:val="99"/>
    <w:semiHidden/>
    <w:unhideWhenUsed/>
    <w:rsid w:val="001C5EE6"/>
    <w:rPr>
      <w:sz w:val="16"/>
      <w:szCs w:val="16"/>
    </w:rPr>
  </w:style>
  <w:style w:type="paragraph" w:styleId="CommentText">
    <w:name w:val="annotation text"/>
    <w:basedOn w:val="Normal"/>
    <w:link w:val="CommentTextChar"/>
    <w:uiPriority w:val="99"/>
    <w:unhideWhenUsed/>
    <w:rsid w:val="001C5EE6"/>
    <w:pPr>
      <w:spacing w:line="240" w:lineRule="auto"/>
    </w:pPr>
    <w:rPr>
      <w:sz w:val="20"/>
      <w:szCs w:val="20"/>
    </w:rPr>
  </w:style>
  <w:style w:type="character" w:customStyle="1" w:styleId="CommentTextChar">
    <w:name w:val="Comment Text Char"/>
    <w:basedOn w:val="DefaultParagraphFont"/>
    <w:link w:val="CommentText"/>
    <w:uiPriority w:val="99"/>
    <w:rsid w:val="001C5EE6"/>
    <w:rPr>
      <w:rFonts w:ascii="Dubai" w:hAnsi="Dubai" w:cs="Dubai"/>
      <w:sz w:val="20"/>
      <w:szCs w:val="20"/>
    </w:rPr>
  </w:style>
  <w:style w:type="paragraph" w:styleId="CommentSubject">
    <w:name w:val="annotation subject"/>
    <w:basedOn w:val="CommentText"/>
    <w:next w:val="CommentText"/>
    <w:link w:val="CommentSubjectChar"/>
    <w:uiPriority w:val="99"/>
    <w:semiHidden/>
    <w:unhideWhenUsed/>
    <w:rsid w:val="001C5EE6"/>
    <w:rPr>
      <w:b/>
      <w:bCs/>
    </w:rPr>
  </w:style>
  <w:style w:type="character" w:customStyle="1" w:styleId="CommentSubjectChar">
    <w:name w:val="Comment Subject Char"/>
    <w:basedOn w:val="CommentTextChar"/>
    <w:link w:val="CommentSubject"/>
    <w:uiPriority w:val="99"/>
    <w:semiHidden/>
    <w:rsid w:val="001C5EE6"/>
    <w:rPr>
      <w:rFonts w:ascii="Dubai" w:hAnsi="Dubai" w:cs="Dubai"/>
      <w:b/>
      <w:bCs/>
      <w:sz w:val="20"/>
      <w:szCs w:val="20"/>
    </w:rPr>
  </w:style>
  <w:style w:type="paragraph" w:styleId="Revision">
    <w:name w:val="Revision"/>
    <w:hidden/>
    <w:uiPriority w:val="99"/>
    <w:semiHidden/>
    <w:rsid w:val="001C5EE6"/>
    <w:pPr>
      <w:spacing w:after="0" w:line="240" w:lineRule="auto"/>
    </w:pPr>
    <w:rPr>
      <w:rFonts w:ascii="Dubai" w:hAnsi="Dubai" w:cs="Dubai"/>
    </w:rPr>
  </w:style>
  <w:style w:type="paragraph" w:styleId="NormalWeb">
    <w:name w:val="Normal (Web)"/>
    <w:basedOn w:val="Normal"/>
    <w:uiPriority w:val="99"/>
    <w:unhideWhenUsed/>
    <w:rsid w:val="007649A1"/>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jc w:val="left"/>
      <w:textAlignment w:val="baseline"/>
    </w:pPr>
    <w:rPr>
      <w:rFonts w:ascii="Times New Roman" w:eastAsia="Times New Roman" w:hAnsi="Times New Roman"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20-CL-C-0074/e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S21-CL-INF-0006/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md/S21-CL-INF-0006/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2-CL-INF-0005/en" TargetMode="External"/><Relationship Id="rId5" Type="http://schemas.openxmlformats.org/officeDocument/2006/relationships/webSettings" Target="webSettings.xml"/><Relationship Id="rId15" Type="http://schemas.openxmlformats.org/officeDocument/2006/relationships/hyperlink" Target="https://www.itu.int/en/council/ties/Pages/regional-presence-dashboard.aspx" TargetMode="External"/><Relationship Id="rId10" Type="http://schemas.openxmlformats.org/officeDocument/2006/relationships/hyperlink" Target="https://www.itu.int/en/council/Documents/basic-texts/RES-025-A.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md/S22-CL-INF-0005/en" TargetMode="External"/><Relationship Id="rId14" Type="http://schemas.openxmlformats.org/officeDocument/2006/relationships/hyperlink" Target="https://www.itu.int/md/S20-CL-C-0075/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09439-0799-4B08-9271-3835E044A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1957</Words>
  <Characters>11161</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Strengthening the Regional Presence (Res. 25)</dc:title>
  <dc:subject>Council 2022</dc:subject>
  <dc:creator>Almidani, Ahmad Alaa</dc:creator>
  <cp:keywords>C22, C2022,Council-22</cp:keywords>
  <dc:description/>
  <cp:lastModifiedBy>Xue, Kun</cp:lastModifiedBy>
  <cp:revision>2</cp:revision>
  <dcterms:created xsi:type="dcterms:W3CDTF">2022-02-03T14:20:00Z</dcterms:created>
  <dcterms:modified xsi:type="dcterms:W3CDTF">2022-02-03T14:20:00Z</dcterms:modified>
</cp:coreProperties>
</file>