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59EBFDA4"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383FD2">
              <w:rPr>
                <w:b/>
              </w:rPr>
              <w:t xml:space="preserve"> PL 2.5</w:t>
            </w:r>
          </w:p>
        </w:tc>
        <w:tc>
          <w:tcPr>
            <w:tcW w:w="3120" w:type="dxa"/>
          </w:tcPr>
          <w:p w14:paraId="66604129" w14:textId="2C580719"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383FD2">
              <w:rPr>
                <w:b/>
              </w:rPr>
              <w:t>24</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4E8EDD08" w:rsidR="002A2188" w:rsidRPr="00E85629" w:rsidRDefault="00383FD2" w:rsidP="0014634F">
            <w:pPr>
              <w:tabs>
                <w:tab w:val="left" w:pos="993"/>
              </w:tabs>
              <w:spacing w:before="0"/>
              <w:rPr>
                <w:b/>
              </w:rPr>
            </w:pPr>
            <w:r>
              <w:rPr>
                <w:b/>
              </w:rPr>
              <w:t>16</w:t>
            </w:r>
            <w:r w:rsidR="002A2188">
              <w:rPr>
                <w:b/>
              </w:rPr>
              <w:t xml:space="preserve"> </w:t>
            </w:r>
            <w:r>
              <w:rPr>
                <w:b/>
              </w:rPr>
              <w:t>March</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12F68CE6" w:rsidR="002A2188" w:rsidRPr="00813E5E" w:rsidRDefault="00375049" w:rsidP="00464B6C">
            <w:pPr>
              <w:pStyle w:val="Title1"/>
            </w:pPr>
            <w:bookmarkStart w:id="8" w:name="dtitle1" w:colFirst="0" w:colLast="0"/>
            <w:bookmarkEnd w:id="7"/>
            <w:r w:rsidRPr="00375049">
              <w:t>REPORT ON THE GLOBAL STANDARDS SYMPOSIUM (GSS-20) AND THE WORLD TELECOMMUNICATION STANDARDIZATION ASSEMBLY (WTSA-20)</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1C02676" w14:textId="77777777" w:rsidR="00375049" w:rsidRPr="00375049" w:rsidRDefault="00375049" w:rsidP="00375049">
            <w:pPr>
              <w:pStyle w:val="Headingb"/>
              <w:rPr>
                <w:szCs w:val="24"/>
              </w:rPr>
            </w:pPr>
            <w:r w:rsidRPr="00375049">
              <w:rPr>
                <w:szCs w:val="24"/>
              </w:rPr>
              <w:t>Summary</w:t>
            </w:r>
          </w:p>
          <w:p w14:paraId="63905355" w14:textId="77777777" w:rsidR="00375049" w:rsidRPr="00375049" w:rsidRDefault="00375049" w:rsidP="00375049">
            <w:pPr>
              <w:jc w:val="both"/>
              <w:rPr>
                <w:szCs w:val="24"/>
              </w:rPr>
            </w:pPr>
            <w:r w:rsidRPr="00375049">
              <w:rPr>
                <w:szCs w:val="24"/>
              </w:rPr>
              <w:t>This document provides a summary of GSS-20 and WTSA-20.</w:t>
            </w:r>
          </w:p>
          <w:p w14:paraId="32D9D53F" w14:textId="77777777" w:rsidR="00375049" w:rsidRPr="00375049" w:rsidRDefault="00375049" w:rsidP="00375049">
            <w:pPr>
              <w:pStyle w:val="Headingb"/>
              <w:rPr>
                <w:szCs w:val="24"/>
              </w:rPr>
            </w:pPr>
            <w:r w:rsidRPr="00375049">
              <w:rPr>
                <w:szCs w:val="24"/>
              </w:rPr>
              <w:t>Action required</w:t>
            </w:r>
          </w:p>
          <w:p w14:paraId="69D6A4E8" w14:textId="77777777" w:rsidR="00375049" w:rsidRPr="00375049" w:rsidRDefault="00375049" w:rsidP="00375049">
            <w:pPr>
              <w:rPr>
                <w:szCs w:val="24"/>
              </w:rPr>
            </w:pPr>
            <w:r w:rsidRPr="00375049">
              <w:rPr>
                <w:szCs w:val="24"/>
              </w:rPr>
              <w:t>The Council is requested to</w:t>
            </w:r>
            <w:r w:rsidRPr="00375049">
              <w:rPr>
                <w:b/>
                <w:bCs/>
                <w:szCs w:val="24"/>
              </w:rPr>
              <w:t xml:space="preserve"> note</w:t>
            </w:r>
            <w:r w:rsidRPr="00375049">
              <w:rPr>
                <w:szCs w:val="24"/>
              </w:rPr>
              <w:t xml:space="preserve"> the report. Section 2.2 will be discussed under the budget agenda item.</w:t>
            </w:r>
          </w:p>
          <w:p w14:paraId="6A813C02" w14:textId="77777777" w:rsidR="00375049" w:rsidRPr="00375049" w:rsidRDefault="00375049" w:rsidP="00375049">
            <w:pPr>
              <w:pStyle w:val="Table"/>
              <w:keepNext w:val="0"/>
              <w:spacing w:before="0" w:after="0"/>
              <w:rPr>
                <w:rFonts w:ascii="Calibri" w:hAnsi="Calibri"/>
                <w:caps w:val="0"/>
                <w:szCs w:val="24"/>
              </w:rPr>
            </w:pPr>
            <w:r w:rsidRPr="00375049">
              <w:rPr>
                <w:rFonts w:ascii="Calibri" w:hAnsi="Calibri"/>
                <w:caps w:val="0"/>
                <w:szCs w:val="24"/>
              </w:rPr>
              <w:t>____________</w:t>
            </w:r>
          </w:p>
          <w:p w14:paraId="7AE80FDC" w14:textId="77777777" w:rsidR="00375049" w:rsidRPr="00375049" w:rsidRDefault="00375049" w:rsidP="00375049">
            <w:pPr>
              <w:pStyle w:val="Headingb"/>
              <w:rPr>
                <w:szCs w:val="24"/>
              </w:rPr>
            </w:pPr>
            <w:r w:rsidRPr="00375049">
              <w:rPr>
                <w:szCs w:val="24"/>
              </w:rPr>
              <w:t>References</w:t>
            </w:r>
          </w:p>
          <w:p w14:paraId="33B563C8" w14:textId="77777777" w:rsidR="00375049" w:rsidRPr="00375049" w:rsidRDefault="00375049" w:rsidP="00375049">
            <w:pPr>
              <w:pStyle w:val="Index1"/>
              <w:spacing w:before="0"/>
              <w:rPr>
                <w:szCs w:val="24"/>
              </w:rPr>
            </w:pPr>
            <w:hyperlink r:id="rId9" w:history="1">
              <w:r w:rsidRPr="00375049">
                <w:rPr>
                  <w:rStyle w:val="Hyperlink"/>
                  <w:szCs w:val="24"/>
                </w:rPr>
                <w:t>https://wtsa.itu.int/</w:t>
              </w:r>
            </w:hyperlink>
          </w:p>
          <w:p w14:paraId="50C1C90C" w14:textId="77777777" w:rsidR="00375049" w:rsidRPr="00375049" w:rsidRDefault="00375049" w:rsidP="00375049">
            <w:pPr>
              <w:pStyle w:val="Index1"/>
              <w:spacing w:before="0"/>
              <w:rPr>
                <w:szCs w:val="24"/>
              </w:rPr>
            </w:pPr>
            <w:hyperlink r:id="rId10" w:history="1">
              <w:r w:rsidRPr="00375049">
                <w:rPr>
                  <w:rStyle w:val="Hyperlink"/>
                  <w:szCs w:val="24"/>
                </w:rPr>
                <w:t>https://gss.itu.int/</w:t>
              </w:r>
            </w:hyperlink>
          </w:p>
          <w:p w14:paraId="47763C34" w14:textId="4A77EC9B" w:rsidR="002A2188" w:rsidRPr="00375049" w:rsidRDefault="00375049" w:rsidP="00375049">
            <w:pPr>
              <w:spacing w:before="0" w:after="120"/>
              <w:rPr>
                <w:i/>
                <w:iCs/>
                <w:szCs w:val="24"/>
              </w:rPr>
            </w:pPr>
            <w:hyperlink r:id="rId11" w:history="1">
              <w:r w:rsidRPr="00375049">
                <w:rPr>
                  <w:rStyle w:val="Hyperlink"/>
                  <w:szCs w:val="24"/>
                  <w:lang w:val="en-US"/>
                </w:rPr>
                <w:t>Report</w:t>
              </w:r>
              <w:r w:rsidRPr="00375049">
                <w:rPr>
                  <w:rStyle w:val="Hyperlink"/>
                  <w:szCs w:val="24"/>
                </w:rPr>
                <w:t xml:space="preserve"> o</w:t>
              </w:r>
              <w:r w:rsidRPr="00375049">
                <w:rPr>
                  <w:rStyle w:val="Hyperlink"/>
                  <w:szCs w:val="24"/>
                  <w:lang w:val="en-US"/>
                </w:rPr>
                <w:t>f Committee 2 (Budget Control) to Plenary</w:t>
              </w:r>
            </w:hyperlink>
            <w:r w:rsidRPr="00375049">
              <w:rPr>
                <w:szCs w:val="24"/>
                <w:lang w:val="en-US"/>
              </w:rPr>
              <w:t xml:space="preserve"> </w:t>
            </w:r>
            <w:r>
              <w:rPr>
                <w:szCs w:val="24"/>
                <w:lang w:val="en-US"/>
              </w:rPr>
              <w:br/>
            </w:r>
            <w:hyperlink r:id="rId12" w:history="1">
              <w:r w:rsidRPr="00375049">
                <w:rPr>
                  <w:rStyle w:val="Hyperlink"/>
                  <w:szCs w:val="24"/>
                  <w:lang w:val="en-US"/>
                </w:rPr>
                <w:t>C22/INF/14</w:t>
              </w:r>
            </w:hyperlink>
          </w:p>
        </w:tc>
      </w:tr>
    </w:tbl>
    <w:p w14:paraId="6B5670BA" w14:textId="77777777" w:rsidR="00375049" w:rsidRPr="000D175D" w:rsidRDefault="00375049" w:rsidP="00375049">
      <w:pPr>
        <w:pStyle w:val="Heading1"/>
        <w:spacing w:before="720"/>
      </w:pPr>
      <w:bookmarkStart w:id="9" w:name="dstart"/>
      <w:bookmarkStart w:id="10" w:name="dbreak"/>
      <w:bookmarkEnd w:id="9"/>
      <w:bookmarkEnd w:id="10"/>
      <w:r>
        <w:t>1</w:t>
      </w:r>
      <w:r>
        <w:tab/>
      </w:r>
      <w:r w:rsidRPr="000D175D">
        <w:t>Global Standards Symposium (GSS-</w:t>
      </w:r>
      <w:r>
        <w:rPr>
          <w:bCs/>
        </w:rPr>
        <w:t>20</w:t>
      </w:r>
      <w:r w:rsidRPr="000D175D">
        <w:rPr>
          <w:bCs/>
        </w:rPr>
        <w:t>)</w:t>
      </w:r>
    </w:p>
    <w:p w14:paraId="6E2F7911"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1.1</w:t>
      </w:r>
      <w:r>
        <w:tab/>
      </w:r>
      <w:r w:rsidRPr="00111B93">
        <w:t xml:space="preserve">The </w:t>
      </w:r>
      <w:hyperlink r:id="rId13" w:history="1">
        <w:r w:rsidRPr="00024AAE">
          <w:rPr>
            <w:rStyle w:val="Hyperlink"/>
          </w:rPr>
          <w:t>fourth Global Standards Symposium (GSS-20)</w:t>
        </w:r>
      </w:hyperlink>
      <w:r w:rsidRPr="00111B93">
        <w:t xml:space="preserve"> held on 28 February 2022, in Geneva (Switzerland), brought together thought leaders in the standardization sphere to deliberate on international standards to enable digital transformation </w:t>
      </w:r>
      <w:r>
        <w:t>and</w:t>
      </w:r>
      <w:r w:rsidRPr="00111B93">
        <w:t xml:space="preserve"> achieve the Sustainable Development Goals (SDGs).</w:t>
      </w:r>
    </w:p>
    <w:p w14:paraId="2E4477CA"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1.2</w:t>
      </w:r>
      <w:r>
        <w:tab/>
      </w:r>
      <w:r w:rsidRPr="0007706D">
        <w:t xml:space="preserve">GSS-20 concluded with an </w:t>
      </w:r>
      <w:hyperlink r:id="rId14" w:history="1">
        <w:r w:rsidRPr="00541B4B">
          <w:rPr>
            <w:rStyle w:val="Hyperlink"/>
          </w:rPr>
          <w:t>outcome document</w:t>
        </w:r>
      </w:hyperlink>
      <w:r w:rsidRPr="00470D32">
        <w:t xml:space="preserve">, which was adopted by WTSA-20, and </w:t>
      </w:r>
      <w:r w:rsidRPr="0007706D">
        <w:t>which has shown how standards can change the world by harnessing emerging technologies, innovation and artificial intelligence to support industries like healthcare, financial services, road safety, and agriculture.</w:t>
      </w:r>
    </w:p>
    <w:p w14:paraId="13B4488B"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1.3</w:t>
      </w:r>
      <w:r>
        <w:tab/>
      </w:r>
      <w:r w:rsidRPr="008A5422">
        <w:t xml:space="preserve">GSS-20 laid the foundation for how stakeholders could work in collaboration to develop international standards, </w:t>
      </w:r>
      <w:proofErr w:type="gramStart"/>
      <w:r w:rsidRPr="008A5422">
        <w:t>guidelines</w:t>
      </w:r>
      <w:proofErr w:type="gramEnd"/>
      <w:r w:rsidRPr="008A5422">
        <w:t xml:space="preserve"> and frameworks for driving digital transformation for the Sustainable Development Goals (SDGs) elucidated in the 2030 Agenda for Sustainable Development, the Glasgow Climate Pact, the Paris Agreement, and the World Summit on Information Society (WSIS) Action Lines.</w:t>
      </w:r>
    </w:p>
    <w:p w14:paraId="064FACE7"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1.4</w:t>
      </w:r>
      <w:r>
        <w:tab/>
        <w:t>More than 700</w:t>
      </w:r>
      <w:r w:rsidRPr="002C07EC">
        <w:t xml:space="preserve"> participants of GSS-20 contributed to the discussions, exchanged views on what they perceived to be the key elements to be considered for these frameworks, </w:t>
      </w:r>
      <w:proofErr w:type="gramStart"/>
      <w:r w:rsidRPr="002C07EC">
        <w:t>and also</w:t>
      </w:r>
      <w:proofErr w:type="gramEnd"/>
      <w:r w:rsidRPr="002C07EC">
        <w:t xml:space="preserve"> underscored which of these elements should be assigned priority in terms of ITU’s standardization work during the next study period (2022–2024). The main discussions during this landmark event covered a diversity of topics, including smart cities and communities, digital agriculture, digital inclusion, AI for road safety, autonomous driving, financial inclusion, sustainability, accessibility, and health care, in the context of technology-centric standardization.</w:t>
      </w:r>
    </w:p>
    <w:p w14:paraId="39A8DA6F"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1.5</w:t>
      </w:r>
      <w:r>
        <w:tab/>
      </w:r>
      <w:r w:rsidRPr="00535A3C">
        <w:t>The symposium comprised seven sessions dedicated to the theme of “International Standards to enable the digital transformation and achieve the SDGs” and a U4SSC ceremony with cities</w:t>
      </w:r>
      <w:r>
        <w:t xml:space="preserve"> during which a new </w:t>
      </w:r>
      <w:hyperlink r:id="rId15" w:history="1">
        <w:r w:rsidRPr="00DB5E9B">
          <w:rPr>
            <w:rStyle w:val="Hyperlink"/>
          </w:rPr>
          <w:t>Case Study on the implementation of U4SSC KPIs in Daegu</w:t>
        </w:r>
      </w:hyperlink>
      <w:r>
        <w:t xml:space="preserve"> was launched</w:t>
      </w:r>
      <w:r w:rsidRPr="00535A3C">
        <w:t>.</w:t>
      </w:r>
    </w:p>
    <w:p w14:paraId="1DD096DD"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0"/>
        <w:contextualSpacing w:val="0"/>
        <w:jc w:val="both"/>
      </w:pPr>
      <w:r>
        <w:t>1.6</w:t>
      </w:r>
      <w:r>
        <w:tab/>
        <w:t>GSS-20 recognizing the crucial role played by standards in enhancing digital transformation and achieving the SDGs, i</w:t>
      </w:r>
      <w:r w:rsidRPr="00F14D21">
        <w:t>nvite</w:t>
      </w:r>
      <w:r>
        <w:t>d</w:t>
      </w:r>
      <w:r w:rsidRPr="00F14D21">
        <w:t xml:space="preserve"> ITU to</w:t>
      </w:r>
      <w:r>
        <w:t>:</w:t>
      </w:r>
      <w:r w:rsidRPr="00F14D21">
        <w:t xml:space="preserve"> continue to support the activities of the United for Smart Sustainable Cities (U4SSC)</w:t>
      </w:r>
      <w:r>
        <w:t xml:space="preserve"> to accelerate the digital transformation of cities; promote the activities </w:t>
      </w:r>
      <w:r w:rsidRPr="00D22714">
        <w:t>AI for Road Safety initiative, to support in particular developing countries to fully benefit from available technologies aimed at improving road safety, including support of data collection</w:t>
      </w:r>
      <w:r>
        <w:t xml:space="preserve">; </w:t>
      </w:r>
      <w:r w:rsidRPr="00433667">
        <w:t>to support the outcomes of the Financial Inclusion Global Initiative and the development of technical standards that aim to lower the cost of ICTs, enhance the resiliency of digital infrastructure, and support high levels of security for financial transactions</w:t>
      </w:r>
      <w:r>
        <w:t>; as well as</w:t>
      </w:r>
      <w:r w:rsidDel="00D566F3">
        <w:t xml:space="preserve"> </w:t>
      </w:r>
      <w:r>
        <w:t>foster collaboration among standards bodies to address the disparity between developing and developed countries in their ability to access and implement standards and frameworks to accelerate digital transformation, and participate in their development on an equal footing through instruments such as the ITU Bridging the Standardization Gap (BSG) Programme.</w:t>
      </w:r>
    </w:p>
    <w:p w14:paraId="66385B26" w14:textId="77777777" w:rsidR="00375049" w:rsidRDefault="00375049" w:rsidP="00375049">
      <w:pPr>
        <w:pStyle w:val="Heading1"/>
      </w:pPr>
      <w:r>
        <w:t>2</w:t>
      </w:r>
      <w:r>
        <w:tab/>
      </w:r>
      <w:r w:rsidRPr="006B106C">
        <w:rPr>
          <w:bCs/>
        </w:rPr>
        <w:t>WTSA-</w:t>
      </w:r>
      <w:r>
        <w:rPr>
          <w:bCs/>
        </w:rPr>
        <w:t>20</w:t>
      </w:r>
    </w:p>
    <w:p w14:paraId="1B0DA9DB" w14:textId="77777777" w:rsidR="00375049" w:rsidRPr="006B106C" w:rsidRDefault="00375049" w:rsidP="00375049">
      <w:pPr>
        <w:pStyle w:val="Heading2"/>
      </w:pPr>
      <w:r>
        <w:t>2.1</w:t>
      </w:r>
      <w:r>
        <w:tab/>
        <w:t>Overview</w:t>
      </w:r>
    </w:p>
    <w:p w14:paraId="763A035B" w14:textId="30E33092" w:rsidR="00375049" w:rsidRDefault="00375049" w:rsidP="00375049">
      <w:pPr>
        <w:pStyle w:val="ListParagraph"/>
        <w:keepNext/>
        <w:keepLines/>
        <w:tabs>
          <w:tab w:val="clear" w:pos="567"/>
          <w:tab w:val="clear" w:pos="1134"/>
          <w:tab w:val="clear" w:pos="1701"/>
          <w:tab w:val="clear" w:pos="2268"/>
          <w:tab w:val="clear" w:pos="2835"/>
          <w:tab w:val="left" w:pos="851"/>
        </w:tabs>
        <w:snapToGrid w:val="0"/>
        <w:ind w:left="-6"/>
        <w:contextualSpacing w:val="0"/>
        <w:jc w:val="both"/>
      </w:pPr>
      <w:r w:rsidRPr="00354002">
        <w:t>2</w:t>
      </w:r>
      <w:r>
        <w:t>.1</w:t>
      </w:r>
      <w:r w:rsidRPr="00354002">
        <w:t>.1</w:t>
      </w:r>
      <w:r w:rsidRPr="00354002">
        <w:tab/>
        <w:t>WTSA-20 was held from 1 to 9 March 2022 in Geneva, Switzerland.</w:t>
      </w:r>
      <w:r>
        <w:t xml:space="preserve"> WTSA-20 was held as a physical event with interactive remote participation. Decision making was by delegates physically present in Geneva.</w:t>
      </w:r>
    </w:p>
    <w:p w14:paraId="2A9FC13B" w14:textId="6C5B2614" w:rsidR="00375049" w:rsidRPr="00354002" w:rsidRDefault="00375049" w:rsidP="00375049">
      <w:pPr>
        <w:pStyle w:val="ListParagraph"/>
        <w:keepNext/>
        <w:keepLines/>
        <w:tabs>
          <w:tab w:val="clear" w:pos="567"/>
          <w:tab w:val="clear" w:pos="1134"/>
          <w:tab w:val="clear" w:pos="1701"/>
          <w:tab w:val="clear" w:pos="2268"/>
          <w:tab w:val="clear" w:pos="2835"/>
          <w:tab w:val="left" w:pos="851"/>
        </w:tabs>
        <w:snapToGrid w:val="0"/>
        <w:ind w:left="-6"/>
        <w:contextualSpacing w:val="0"/>
        <w:jc w:val="both"/>
      </w:pPr>
      <w:r w:rsidRPr="00354002">
        <w:t>2</w:t>
      </w:r>
      <w:r>
        <w:t>.1</w:t>
      </w:r>
      <w:r w:rsidRPr="00354002">
        <w:t>.2</w:t>
      </w:r>
      <w:r w:rsidRPr="00354002">
        <w:tab/>
      </w:r>
      <w:r>
        <w:t xml:space="preserve">Participation in WTSA-20 </w:t>
      </w:r>
      <w:r>
        <w:t>totalled</w:t>
      </w:r>
      <w:r>
        <w:t xml:space="preserve"> 1,281 delegates: 870 physically and 411 remotely. In total, 138 Member States attended, as well as 85 other entities. Physical participants were from </w:t>
      </w:r>
      <w:r w:rsidRPr="00A27836">
        <w:t>1</w:t>
      </w:r>
      <w:r>
        <w:t>25</w:t>
      </w:r>
      <w:r w:rsidRPr="00354002">
        <w:t xml:space="preserve"> Member States, 4</w:t>
      </w:r>
      <w:r>
        <w:t>9 Sector Members</w:t>
      </w:r>
      <w:r w:rsidRPr="00354002">
        <w:t xml:space="preserve">, </w:t>
      </w:r>
      <w:r>
        <w:t>six Academia Members, and two United Nations specialized agencies</w:t>
      </w:r>
      <w:r w:rsidRPr="00354002">
        <w:t>.</w:t>
      </w:r>
    </w:p>
    <w:p w14:paraId="4DC4C1FC" w14:textId="331D0309" w:rsidR="00375049" w:rsidRPr="00D95404" w:rsidRDefault="00375049" w:rsidP="00375049">
      <w:pPr>
        <w:pStyle w:val="ListParagraph"/>
        <w:keepNext/>
        <w:keepLines/>
        <w:tabs>
          <w:tab w:val="clear" w:pos="567"/>
          <w:tab w:val="clear" w:pos="1134"/>
          <w:tab w:val="clear" w:pos="1701"/>
          <w:tab w:val="clear" w:pos="2268"/>
          <w:tab w:val="clear" w:pos="2835"/>
          <w:tab w:val="left" w:pos="851"/>
        </w:tabs>
        <w:snapToGrid w:val="0"/>
        <w:ind w:left="-6"/>
        <w:contextualSpacing w:val="0"/>
        <w:jc w:val="both"/>
      </w:pPr>
      <w:r w:rsidRPr="00D95404">
        <w:t>2</w:t>
      </w:r>
      <w:r>
        <w:t>.1</w:t>
      </w:r>
      <w:r w:rsidRPr="00D95404">
        <w:t>.3</w:t>
      </w:r>
      <w:r w:rsidRPr="00D95404">
        <w:tab/>
      </w:r>
      <w:r w:rsidRPr="00136DD1">
        <w:t>WTSA-</w:t>
      </w:r>
      <w:r>
        <w:t>20</w:t>
      </w:r>
      <w:r w:rsidRPr="00136DD1">
        <w:t xml:space="preserve"> approved the mandates </w:t>
      </w:r>
      <w:r>
        <w:t xml:space="preserve">and Questions </w:t>
      </w:r>
      <w:r w:rsidRPr="00136DD1">
        <w:t xml:space="preserve">of </w:t>
      </w:r>
      <w:r>
        <w:t xml:space="preserve">the </w:t>
      </w:r>
      <w:r w:rsidRPr="00136DD1">
        <w:t xml:space="preserve">eleven ITU-T study groups and appointed the </w:t>
      </w:r>
      <w:r>
        <w:t>C</w:t>
      </w:r>
      <w:r w:rsidRPr="00136DD1">
        <w:t xml:space="preserve">hairmen and </w:t>
      </w:r>
      <w:r>
        <w:t>V</w:t>
      </w:r>
      <w:r w:rsidRPr="00136DD1">
        <w:t>ice-</w:t>
      </w:r>
      <w:r>
        <w:t>C</w:t>
      </w:r>
      <w:r w:rsidRPr="00136DD1">
        <w:t xml:space="preserve">hairmen of TSAG, the ITU-T study groups, and the Standardization Committee for Vocabulary. </w:t>
      </w:r>
      <w:hyperlink r:id="rId16" w:tooltip="Study group leadership appointed" w:history="1">
        <w:r>
          <w:t>Eight</w:t>
        </w:r>
        <w:r w:rsidRPr="001A4EB6">
          <w:t xml:space="preserve"> new study group </w:t>
        </w:r>
        <w:r>
          <w:t>C</w:t>
        </w:r>
        <w:r w:rsidRPr="001A4EB6">
          <w:t xml:space="preserve">hairmen and more than </w:t>
        </w:r>
        <w:r w:rsidRPr="00844674">
          <w:t>1</w:t>
        </w:r>
        <w:r w:rsidRPr="00A27836">
          <w:t>20</w:t>
        </w:r>
        <w:r w:rsidRPr="001A4EB6">
          <w:t xml:space="preserve"> </w:t>
        </w:r>
        <w:r>
          <w:t>V</w:t>
        </w:r>
        <w:r w:rsidRPr="001A4EB6">
          <w:t>ice-</w:t>
        </w:r>
        <w:r>
          <w:t>C</w:t>
        </w:r>
        <w:r w:rsidRPr="001A4EB6">
          <w:t>hair</w:t>
        </w:r>
      </w:hyperlink>
      <w:r w:rsidRPr="001A4EB6">
        <w:t xml:space="preserve">men were appointed, coming </w:t>
      </w:r>
      <w:r w:rsidRPr="006A3A95">
        <w:t xml:space="preserve">from </w:t>
      </w:r>
      <w:r w:rsidRPr="00094450">
        <w:t>3</w:t>
      </w:r>
      <w:r w:rsidRPr="00A27836">
        <w:t>7</w:t>
      </w:r>
      <w:r w:rsidRPr="006A3A95">
        <w:t xml:space="preserve"> countries </w:t>
      </w:r>
      <w:r w:rsidRPr="00860FCA">
        <w:t xml:space="preserve">including </w:t>
      </w:r>
      <w:r w:rsidRPr="00FB2400">
        <w:t>2</w:t>
      </w:r>
      <w:r w:rsidRPr="00A27836">
        <w:t>7</w:t>
      </w:r>
      <w:r w:rsidRPr="00860FCA">
        <w:t xml:space="preserve"> developing</w:t>
      </w:r>
      <w:r w:rsidRPr="00D95404">
        <w:t xml:space="preserve"> countries.</w:t>
      </w:r>
    </w:p>
    <w:p w14:paraId="1052BA50"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2.1.4</w:t>
      </w:r>
      <w:r>
        <w:tab/>
      </w:r>
      <w:r w:rsidRPr="00E30DC3">
        <w:t>WTSA-</w:t>
      </w:r>
      <w:r>
        <w:t>20</w:t>
      </w:r>
      <w:r w:rsidRPr="00E30DC3">
        <w:t xml:space="preserve"> </w:t>
      </w:r>
      <w:r>
        <w:t xml:space="preserve">revised </w:t>
      </w:r>
      <w:r w:rsidRPr="00F4430A">
        <w:t>3</w:t>
      </w:r>
      <w:r w:rsidRPr="00A27836">
        <w:t>6</w:t>
      </w:r>
      <w:r>
        <w:t xml:space="preserve"> Resolutions, </w:t>
      </w:r>
      <w:r w:rsidRPr="00E30DC3">
        <w:t xml:space="preserve">adopted </w:t>
      </w:r>
      <w:r>
        <w:t xml:space="preserve">two new Resolutions, suppressed four Resolutions, and decided to keep 10 Resolutions unchanged (in total, 20 Resolutions remain the unchanged since </w:t>
      </w:r>
      <w:proofErr w:type="spellStart"/>
      <w:r>
        <w:t>Hammamet</w:t>
      </w:r>
      <w:proofErr w:type="spellEnd"/>
      <w:r>
        <w:t xml:space="preserve"> 2016). </w:t>
      </w:r>
      <w:r w:rsidRPr="00E30DC3">
        <w:t>WTSA-</w:t>
      </w:r>
      <w:r>
        <w:t>20</w:t>
      </w:r>
      <w:r w:rsidRPr="00E30DC3">
        <w:t xml:space="preserve"> also </w:t>
      </w:r>
      <w:r>
        <w:t>revised</w:t>
      </w:r>
      <w:r w:rsidRPr="00E30DC3">
        <w:t xml:space="preserve"> </w:t>
      </w:r>
      <w:r>
        <w:t>three</w:t>
      </w:r>
      <w:r w:rsidRPr="00E30DC3">
        <w:t xml:space="preserve"> ITU-T A-Series Recommendations that guide ITU-T</w:t>
      </w:r>
      <w:r>
        <w:t>’</w:t>
      </w:r>
      <w:r w:rsidRPr="00E30DC3">
        <w:t>s work</w:t>
      </w:r>
      <w:r>
        <w:t xml:space="preserve">; three other </w:t>
      </w:r>
      <w:r w:rsidRPr="00E30DC3">
        <w:t xml:space="preserve">ITU-T A-Series Recommendations </w:t>
      </w:r>
      <w:r>
        <w:t>were left unchanged</w:t>
      </w:r>
      <w:r w:rsidRPr="00E30DC3">
        <w:t>.</w:t>
      </w:r>
      <w:r>
        <w:t xml:space="preserve"> The </w:t>
      </w:r>
      <w:r w:rsidRPr="00375049">
        <w:rPr>
          <w:spacing w:val="-2"/>
        </w:rPr>
        <w:t>Annex lists the decisions taken upon the WTSA Resolutions and ITU-T Recommendations at WTSA-20.</w:t>
      </w:r>
    </w:p>
    <w:p w14:paraId="50C259C4" w14:textId="77777777" w:rsidR="00375049" w:rsidRPr="004619A8"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rsidRPr="004619A8">
        <w:t>2</w:t>
      </w:r>
      <w:r>
        <w:t>.1</w:t>
      </w:r>
      <w:r w:rsidRPr="004619A8">
        <w:t>.5</w:t>
      </w:r>
      <w:r w:rsidRPr="004619A8">
        <w:tab/>
      </w:r>
      <w:r>
        <w:rPr>
          <w:szCs w:val="22"/>
        </w:rPr>
        <w:t xml:space="preserve">WTSA-20 instructed ITU-T Study Group 3 to consider the proposed new Question on </w:t>
      </w:r>
      <w:proofErr w:type="gramStart"/>
      <w:r w:rsidRPr="00A27836">
        <w:rPr>
          <w:i/>
          <w:szCs w:val="22"/>
        </w:rPr>
        <w:t>OTTs</w:t>
      </w:r>
      <w:r>
        <w:rPr>
          <w:szCs w:val="22"/>
        </w:rPr>
        <w:t>, and</w:t>
      </w:r>
      <w:proofErr w:type="gramEnd"/>
      <w:r>
        <w:rPr>
          <w:szCs w:val="22"/>
        </w:rPr>
        <w:t xml:space="preserve"> requested ITU-T Study Group 2 </w:t>
      </w:r>
      <w:r w:rsidRPr="00EB5099">
        <w:rPr>
          <w:bCs/>
          <w:szCs w:val="22"/>
        </w:rPr>
        <w:t>to conduct further research</w:t>
      </w:r>
      <w:r>
        <w:rPr>
          <w:bCs/>
          <w:szCs w:val="22"/>
        </w:rPr>
        <w:t xml:space="preserve"> on a </w:t>
      </w:r>
      <w:r w:rsidRPr="00EB5099">
        <w:rPr>
          <w:bCs/>
          <w:i/>
          <w:iCs/>
          <w:szCs w:val="22"/>
        </w:rPr>
        <w:t xml:space="preserve">draft Resolution on Hexadecimal </w:t>
      </w:r>
      <w:r>
        <w:rPr>
          <w:bCs/>
          <w:i/>
          <w:iCs/>
          <w:szCs w:val="22"/>
        </w:rPr>
        <w:t>n</w:t>
      </w:r>
      <w:r w:rsidRPr="00EB5099">
        <w:rPr>
          <w:bCs/>
          <w:i/>
          <w:iCs/>
          <w:szCs w:val="22"/>
        </w:rPr>
        <w:t>umbering for MSISDN and IMSI</w:t>
      </w:r>
      <w:r w:rsidRPr="00EA2FDB">
        <w:t>.</w:t>
      </w:r>
    </w:p>
    <w:p w14:paraId="4AFA91B7" w14:textId="77777777" w:rsidR="00375049" w:rsidRDefault="00375049" w:rsidP="00375049">
      <w:pPr>
        <w:tabs>
          <w:tab w:val="clear" w:pos="567"/>
          <w:tab w:val="clear" w:pos="1134"/>
          <w:tab w:val="clear" w:pos="1701"/>
          <w:tab w:val="clear" w:pos="2268"/>
          <w:tab w:val="clear" w:pos="2835"/>
          <w:tab w:val="left" w:pos="851"/>
        </w:tabs>
        <w:snapToGrid w:val="0"/>
        <w:jc w:val="both"/>
      </w:pPr>
      <w:r>
        <w:t>2.1.6</w:t>
      </w:r>
      <w:r>
        <w:tab/>
        <w:t xml:space="preserve">WTSA-20 also </w:t>
      </w:r>
      <w:r w:rsidRPr="00C345A5">
        <w:rPr>
          <w:szCs w:val="22"/>
        </w:rPr>
        <w:t xml:space="preserve">acknowledged the importance of Science Monitoring </w:t>
      </w:r>
      <w:proofErr w:type="gramStart"/>
      <w:r w:rsidRPr="00C345A5">
        <w:rPr>
          <w:szCs w:val="22"/>
        </w:rPr>
        <w:t>And</w:t>
      </w:r>
      <w:proofErr w:type="gramEnd"/>
      <w:r w:rsidRPr="00C345A5">
        <w:rPr>
          <w:szCs w:val="22"/>
        </w:rPr>
        <w:t xml:space="preserve"> Reliable Telecommunications</w:t>
      </w:r>
      <w:r w:rsidRPr="00874FD3">
        <w:rPr>
          <w:szCs w:val="22"/>
        </w:rPr>
        <w:t xml:space="preserve"> </w:t>
      </w:r>
      <w:r>
        <w:rPr>
          <w:szCs w:val="22"/>
        </w:rPr>
        <w:t>(</w:t>
      </w:r>
      <w:r w:rsidRPr="00C345A5">
        <w:rPr>
          <w:szCs w:val="22"/>
        </w:rPr>
        <w:t xml:space="preserve">SMART) </w:t>
      </w:r>
      <w:r>
        <w:rPr>
          <w:szCs w:val="22"/>
        </w:rPr>
        <w:t>c</w:t>
      </w:r>
      <w:r w:rsidRPr="00C345A5">
        <w:rPr>
          <w:szCs w:val="22"/>
        </w:rPr>
        <w:t xml:space="preserve">ables for climate change and seismic monitoring, </w:t>
      </w:r>
      <w:r>
        <w:rPr>
          <w:szCs w:val="22"/>
        </w:rPr>
        <w:t>with</w:t>
      </w:r>
      <w:r w:rsidRPr="00C345A5">
        <w:rPr>
          <w:szCs w:val="22"/>
        </w:rPr>
        <w:t xml:space="preserve"> the wide support of the Assembly for the roll-out of activities around this concept within </w:t>
      </w:r>
      <w:r>
        <w:rPr>
          <w:szCs w:val="22"/>
        </w:rPr>
        <w:t xml:space="preserve">the </w:t>
      </w:r>
      <w:r w:rsidRPr="00C345A5">
        <w:rPr>
          <w:szCs w:val="22"/>
        </w:rPr>
        <w:t>ITU-T Sector, and the need for standardization of the matter, and sought relevant ITU</w:t>
      </w:r>
      <w:r>
        <w:rPr>
          <w:szCs w:val="22"/>
        </w:rPr>
        <w:t>-T</w:t>
      </w:r>
      <w:r w:rsidRPr="00C345A5">
        <w:rPr>
          <w:szCs w:val="22"/>
        </w:rPr>
        <w:t xml:space="preserve"> study groups to study and take action, and TSAG to coordinate, as appropriate.</w:t>
      </w:r>
    </w:p>
    <w:p w14:paraId="09B4E756" w14:textId="77777777" w:rsidR="00375049" w:rsidRDefault="00375049" w:rsidP="00375049">
      <w:pPr>
        <w:tabs>
          <w:tab w:val="clear" w:pos="567"/>
          <w:tab w:val="clear" w:pos="1134"/>
          <w:tab w:val="clear" w:pos="1701"/>
          <w:tab w:val="clear" w:pos="2268"/>
          <w:tab w:val="clear" w:pos="2835"/>
          <w:tab w:val="left" w:pos="851"/>
        </w:tabs>
        <w:snapToGrid w:val="0"/>
        <w:jc w:val="both"/>
      </w:pPr>
      <w:r>
        <w:t>2.1.7</w:t>
      </w:r>
      <w:r>
        <w:tab/>
        <w:t xml:space="preserve">WTSA-20 considered the aspects of </w:t>
      </w:r>
      <w:r w:rsidRPr="00A27836">
        <w:t>“non</w:t>
      </w:r>
      <w:r>
        <w:t>-</w:t>
      </w:r>
      <w:r w:rsidRPr="00A27836">
        <w:t xml:space="preserve">radio aspects of </w:t>
      </w:r>
      <w:r>
        <w:t>o</w:t>
      </w:r>
      <w:r w:rsidRPr="00A27836">
        <w:t xml:space="preserve">pen </w:t>
      </w:r>
      <w:r>
        <w:t>n</w:t>
      </w:r>
      <w:r w:rsidRPr="00A27836">
        <w:t xml:space="preserve">etworks including standardization of open access networks” and </w:t>
      </w:r>
      <w:r>
        <w:t xml:space="preserve">invited members </w:t>
      </w:r>
      <w:r w:rsidRPr="00A27836">
        <w:t>to make proposals on the development and adoption of open networks including open access networks for IMT systems (</w:t>
      </w:r>
      <w:proofErr w:type="gramStart"/>
      <w:r w:rsidRPr="00A27836">
        <w:t>e.g.</w:t>
      </w:r>
      <w:proofErr w:type="gramEnd"/>
      <w:r w:rsidRPr="00A27836">
        <w:t xml:space="preserve"> open radio access network</w:t>
      </w:r>
      <w:r>
        <w:t>s</w:t>
      </w:r>
      <w:r w:rsidRPr="00A27836">
        <w:t>) as an important topic to WTDC with the objective of promoting the wide adoption of these new technologies and solutions globally.</w:t>
      </w:r>
    </w:p>
    <w:p w14:paraId="7C1B7726" w14:textId="77777777" w:rsidR="00375049" w:rsidRDefault="00375049" w:rsidP="00375049">
      <w:pPr>
        <w:tabs>
          <w:tab w:val="clear" w:pos="567"/>
          <w:tab w:val="clear" w:pos="1134"/>
          <w:tab w:val="clear" w:pos="1701"/>
          <w:tab w:val="clear" w:pos="2268"/>
          <w:tab w:val="clear" w:pos="2835"/>
          <w:tab w:val="left" w:pos="851"/>
        </w:tabs>
        <w:snapToGrid w:val="0"/>
        <w:jc w:val="both"/>
      </w:pPr>
      <w:r>
        <w:t>2.1.8</w:t>
      </w:r>
      <w:r>
        <w:tab/>
        <w:t xml:space="preserve">WTSA-20 invited TSAG, with the support and contributions from its members, to take necessary measures to review Resolution 11 (Rev. </w:t>
      </w:r>
      <w:proofErr w:type="spellStart"/>
      <w:r>
        <w:t>Hammamet</w:t>
      </w:r>
      <w:proofErr w:type="spellEnd"/>
      <w:r>
        <w:t>, 2016) and its implementation, and to provide a proposal for the way forward for its modification and/or any other suggestion.</w:t>
      </w:r>
    </w:p>
    <w:p w14:paraId="44B6F3C0" w14:textId="77777777" w:rsidR="00375049" w:rsidRDefault="00375049" w:rsidP="00375049">
      <w:pPr>
        <w:tabs>
          <w:tab w:val="clear" w:pos="567"/>
          <w:tab w:val="clear" w:pos="1134"/>
          <w:tab w:val="clear" w:pos="1701"/>
          <w:tab w:val="clear" w:pos="2268"/>
          <w:tab w:val="clear" w:pos="2835"/>
          <w:tab w:val="left" w:pos="851"/>
        </w:tabs>
        <w:snapToGrid w:val="0"/>
        <w:jc w:val="both"/>
      </w:pPr>
      <w:r>
        <w:t>2.1.9</w:t>
      </w:r>
      <w:r>
        <w:tab/>
        <w:t xml:space="preserve">WTSA-20 </w:t>
      </w:r>
      <w:r>
        <w:rPr>
          <w:szCs w:val="22"/>
        </w:rPr>
        <w:t xml:space="preserve">highlighted the importance of the private sector as well as industry in ITU </w:t>
      </w:r>
      <w:r w:rsidRPr="00383FD2">
        <w:rPr>
          <w:spacing w:val="4"/>
          <w:szCs w:val="22"/>
        </w:rPr>
        <w:t>activities</w:t>
      </w:r>
      <w:r w:rsidRPr="00383FD2">
        <w:rPr>
          <w:spacing w:val="4"/>
        </w:rPr>
        <w:t xml:space="preserve"> through </w:t>
      </w:r>
      <w:r w:rsidRPr="00383FD2">
        <w:rPr>
          <w:spacing w:val="4"/>
          <w:szCs w:val="22"/>
        </w:rPr>
        <w:t xml:space="preserve">activities, contributions, and engagement of industry. WTSA-20 </w:t>
      </w:r>
      <w:r w:rsidRPr="00383FD2">
        <w:rPr>
          <w:spacing w:val="4"/>
        </w:rPr>
        <w:t>invited TSAG</w:t>
      </w:r>
      <w:r>
        <w:t xml:space="preserve"> to </w:t>
      </w:r>
      <w:r w:rsidRPr="00375049">
        <w:rPr>
          <w:spacing w:val="4"/>
        </w:rPr>
        <w:t>consider the issue of industry engagement discussed at WTSA-20, including Resolution 68</w:t>
      </w:r>
      <w:r>
        <w:t xml:space="preserve"> (Rev. </w:t>
      </w:r>
      <w:proofErr w:type="spellStart"/>
      <w:r>
        <w:t>Hammamet</w:t>
      </w:r>
      <w:proofErr w:type="spellEnd"/>
      <w:r>
        <w:t>, 2016).</w:t>
      </w:r>
    </w:p>
    <w:p w14:paraId="39B1EBD6" w14:textId="77777777" w:rsidR="00375049" w:rsidRPr="00C521BF" w:rsidRDefault="00375049" w:rsidP="00375049">
      <w:pPr>
        <w:pStyle w:val="Heading2"/>
      </w:pPr>
      <w:r>
        <w:t>2.2</w:t>
      </w:r>
      <w:r>
        <w:tab/>
      </w:r>
      <w:r w:rsidRPr="00C521BF">
        <w:rPr>
          <w:bCs/>
        </w:rPr>
        <w:t>Budget impact</w:t>
      </w:r>
    </w:p>
    <w:p w14:paraId="79B13779"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6"/>
        <w:jc w:val="both"/>
      </w:pPr>
      <w:r>
        <w:t>2.2.1</w:t>
      </w:r>
      <w:r>
        <w:tab/>
      </w:r>
      <w:r w:rsidRPr="00A1354A">
        <w:t>Increased funding will be essential if ITU-T is to implement all the decisions made at WTSA.</w:t>
      </w:r>
      <w:r>
        <w:t xml:space="preserve"> WTSA Committee 2 on Budget Control estimated that the additional financial impact of WTSA-20 Resolutions not yet included in the draft ITU-T budget for 2022-2023 was a minimum of CHF 1,404 million. The main items in the report of Committee 2 are:</w:t>
      </w:r>
    </w:p>
    <w:p w14:paraId="1EAA08C8" w14:textId="77777777" w:rsidR="00375049" w:rsidRPr="006100C4"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t>2.2.2</w:t>
      </w:r>
      <w:r>
        <w:tab/>
      </w:r>
      <w:r w:rsidRPr="78DF45D6">
        <w:rPr>
          <w:rFonts w:asciiTheme="minorHAnsi" w:hAnsiTheme="minorHAnsi" w:cstheme="minorBidi"/>
        </w:rPr>
        <w:t xml:space="preserve">WTSA </w:t>
      </w:r>
      <w:r w:rsidRPr="006100C4">
        <w:rPr>
          <w:rFonts w:asciiTheme="minorHAnsi" w:hAnsiTheme="minorHAnsi" w:cstheme="minorHAnsi"/>
          <w:szCs w:val="24"/>
        </w:rPr>
        <w:t>Resolution 44: the implementation of an exemption from payment of the membership fees for a limited time up to one full study period for new Academia members from developing countries, would have a very limited impact on the revenue side of the Union.</w:t>
      </w:r>
    </w:p>
    <w:p w14:paraId="7C1FA2D1" w14:textId="1739F827" w:rsidR="00375049" w:rsidRPr="00EC28DF"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rPr>
          <w:rFonts w:asciiTheme="minorHAnsi" w:hAnsiTheme="minorHAnsi" w:cstheme="minorHAnsi"/>
          <w:szCs w:val="24"/>
        </w:rPr>
        <w:t xml:space="preserve">2.2.3 </w:t>
      </w:r>
      <w:r>
        <w:rPr>
          <w:rFonts w:asciiTheme="minorHAnsi" w:hAnsiTheme="minorHAnsi" w:cstheme="minorHAnsi"/>
          <w:szCs w:val="24"/>
        </w:rPr>
        <w:tab/>
        <w:t xml:space="preserve">WTSA </w:t>
      </w:r>
      <w:r w:rsidRPr="00EC28DF">
        <w:rPr>
          <w:rFonts w:asciiTheme="minorHAnsi" w:hAnsiTheme="minorHAnsi" w:cstheme="minorHAnsi"/>
          <w:szCs w:val="24"/>
        </w:rPr>
        <w:t xml:space="preserve">Resolution 50: the new instructs the Director of the TSB to </w:t>
      </w:r>
      <w:r w:rsidR="00383FD2" w:rsidRPr="00EC28DF">
        <w:rPr>
          <w:rFonts w:asciiTheme="minorHAnsi" w:hAnsiTheme="minorHAnsi" w:cstheme="minorHAnsi"/>
          <w:szCs w:val="24"/>
        </w:rPr>
        <w:t>disseminate</w:t>
      </w:r>
      <w:r w:rsidRPr="00EC28DF">
        <w:rPr>
          <w:rFonts w:asciiTheme="minorHAnsi" w:hAnsiTheme="minorHAnsi" w:cstheme="minorHAnsi"/>
          <w:szCs w:val="24"/>
        </w:rPr>
        <w:t xml:space="preserve"> information to all stakeholders related to Cybersecurity through the organization of training programmes, forums, workshops, seminars, etc. will have a financial impact. The cost could vary significantly depending </w:t>
      </w:r>
      <w:proofErr w:type="gramStart"/>
      <w:r w:rsidRPr="00EC28DF">
        <w:rPr>
          <w:rFonts w:asciiTheme="minorHAnsi" w:hAnsiTheme="minorHAnsi" w:cstheme="minorHAnsi"/>
          <w:szCs w:val="24"/>
        </w:rPr>
        <w:t>of</w:t>
      </w:r>
      <w:proofErr w:type="gramEnd"/>
      <w:r w:rsidRPr="00EC28DF">
        <w:rPr>
          <w:rFonts w:asciiTheme="minorHAnsi" w:hAnsiTheme="minorHAnsi" w:cstheme="minorHAnsi"/>
          <w:szCs w:val="24"/>
        </w:rPr>
        <w:t xml:space="preserve"> many factors (number of events per year, places of the events, etc.). The cost for organizing one physical event can be estimated between CHF 20k to CHF 50k.</w:t>
      </w:r>
    </w:p>
    <w:p w14:paraId="64B614AC" w14:textId="77777777" w:rsidR="00375049" w:rsidRPr="00FE18D1"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rPr>
          <w:rFonts w:asciiTheme="minorHAnsi" w:hAnsiTheme="minorHAnsi" w:cstheme="minorHAnsi"/>
          <w:szCs w:val="24"/>
        </w:rPr>
        <w:t>2.2.4</w:t>
      </w:r>
      <w:r>
        <w:rPr>
          <w:rFonts w:asciiTheme="minorHAnsi" w:hAnsiTheme="minorHAnsi" w:cstheme="minorHAnsi"/>
          <w:szCs w:val="24"/>
        </w:rPr>
        <w:tab/>
        <w:t xml:space="preserve">WTSA </w:t>
      </w:r>
      <w:r w:rsidRPr="00FE18D1">
        <w:rPr>
          <w:rFonts w:asciiTheme="minorHAnsi" w:hAnsiTheme="minorHAnsi" w:cstheme="minorHAnsi"/>
          <w:szCs w:val="24"/>
        </w:rPr>
        <w:t>Resolution 67: as per the modifications introduced under instructs the Director of the TSB more documents would be translated in all the official languages of the Union. This additional workload on translation/typing is estimated to be 1’348 pages per year, corresponding to CHF 1,404 million.</w:t>
      </w:r>
    </w:p>
    <w:p w14:paraId="3844084A" w14:textId="77777777" w:rsidR="00375049" w:rsidRPr="00EC28DF" w:rsidRDefault="00375049" w:rsidP="00375049">
      <w:pPr>
        <w:tabs>
          <w:tab w:val="clear" w:pos="567"/>
          <w:tab w:val="clear" w:pos="1134"/>
          <w:tab w:val="clear" w:pos="1701"/>
          <w:tab w:val="clear" w:pos="2268"/>
          <w:tab w:val="clear" w:pos="2835"/>
          <w:tab w:val="left" w:pos="851"/>
        </w:tabs>
        <w:jc w:val="both"/>
        <w:rPr>
          <w:rFonts w:asciiTheme="minorHAnsi" w:hAnsiTheme="minorHAnsi" w:cstheme="minorHAnsi"/>
          <w:szCs w:val="24"/>
        </w:rPr>
      </w:pPr>
      <w:r>
        <w:rPr>
          <w:rFonts w:asciiTheme="minorHAnsi" w:hAnsiTheme="minorHAnsi" w:cstheme="minorHAnsi"/>
          <w:szCs w:val="24"/>
        </w:rPr>
        <w:t>2.2.5</w:t>
      </w:r>
      <w:r>
        <w:rPr>
          <w:rFonts w:asciiTheme="minorHAnsi" w:hAnsiTheme="minorHAnsi" w:cstheme="minorHAnsi"/>
          <w:szCs w:val="24"/>
        </w:rPr>
        <w:tab/>
        <w:t xml:space="preserve">WTSA </w:t>
      </w:r>
      <w:r w:rsidRPr="00EC28DF">
        <w:rPr>
          <w:rFonts w:asciiTheme="minorHAnsi" w:hAnsiTheme="minorHAnsi" w:cstheme="minorHAnsi"/>
          <w:szCs w:val="24"/>
        </w:rPr>
        <w:t xml:space="preserve">Resolution 98: the new instructs the Director of the TSB in collaboration with the Directors of BDT and BR to support Member States especially those of developing countries in the organization of forums, </w:t>
      </w:r>
      <w:proofErr w:type="gramStart"/>
      <w:r w:rsidRPr="00EC28DF">
        <w:rPr>
          <w:rFonts w:asciiTheme="minorHAnsi" w:hAnsiTheme="minorHAnsi" w:cstheme="minorHAnsi"/>
          <w:szCs w:val="24"/>
        </w:rPr>
        <w:t>seminars</w:t>
      </w:r>
      <w:proofErr w:type="gramEnd"/>
      <w:r w:rsidRPr="00EC28DF">
        <w:rPr>
          <w:rFonts w:asciiTheme="minorHAnsi" w:hAnsiTheme="minorHAnsi" w:cstheme="minorHAnsi"/>
          <w:szCs w:val="24"/>
        </w:rPr>
        <w:t xml:space="preserve"> and workshops on IoT and SC&amp;C will have a financial impact. The cost could vary significantly depending </w:t>
      </w:r>
      <w:proofErr w:type="gramStart"/>
      <w:r w:rsidRPr="00EC28DF">
        <w:rPr>
          <w:rFonts w:asciiTheme="minorHAnsi" w:hAnsiTheme="minorHAnsi" w:cstheme="minorHAnsi"/>
          <w:szCs w:val="24"/>
        </w:rPr>
        <w:t>of</w:t>
      </w:r>
      <w:proofErr w:type="gramEnd"/>
      <w:r w:rsidRPr="00EC28DF">
        <w:rPr>
          <w:rFonts w:asciiTheme="minorHAnsi" w:hAnsiTheme="minorHAnsi" w:cstheme="minorHAnsi"/>
          <w:szCs w:val="24"/>
        </w:rPr>
        <w:t xml:space="preserve"> many factors (number of events per year, places of the events, etc.). The cost for organizing one physical event on IoT and SC&amp;C can be estimated between CHF 20k to CHF 50k.</w:t>
      </w:r>
    </w:p>
    <w:p w14:paraId="24FED7C0" w14:textId="77777777" w:rsidR="00375049" w:rsidRPr="00C521BF" w:rsidRDefault="00375049" w:rsidP="00375049">
      <w:pPr>
        <w:pStyle w:val="Heading2"/>
      </w:pPr>
      <w:r>
        <w:t>2.3</w:t>
      </w:r>
      <w:r>
        <w:tab/>
      </w:r>
      <w:r w:rsidRPr="00C521BF">
        <w:t>New WTSA-</w:t>
      </w:r>
      <w:r>
        <w:t>20</w:t>
      </w:r>
      <w:r w:rsidRPr="00C521BF">
        <w:t xml:space="preserve"> Resolutions</w:t>
      </w:r>
    </w:p>
    <w:p w14:paraId="5FA7A48F" w14:textId="77777777" w:rsidR="00375049" w:rsidRPr="002346C2"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rsidRPr="002346C2">
        <w:t>2.</w:t>
      </w:r>
      <w:r>
        <w:t>3.1</w:t>
      </w:r>
      <w:r w:rsidRPr="002346C2">
        <w:tab/>
      </w:r>
      <w:r>
        <w:t xml:space="preserve">Resolution 99, </w:t>
      </w:r>
      <w:r w:rsidRPr="002346C2">
        <w:rPr>
          <w:i/>
          <w:iCs/>
        </w:rPr>
        <w:t>Consideration of organizational reform of the ITU Telecommunication Standardization Sector study</w:t>
      </w:r>
      <w:r>
        <w:t xml:space="preserve">, requests TSAG </w:t>
      </w:r>
      <w:r w:rsidRPr="002346C2">
        <w:t>to implement the TSAG action plan for the analysis of ITU-T study group restructuring, and for TSAG</w:t>
      </w:r>
      <w:r>
        <w:t xml:space="preserve">, with the necessary assistance given by the TSB Director, </w:t>
      </w:r>
      <w:r w:rsidRPr="002346C2">
        <w:t xml:space="preserve">to prepare a proposal </w:t>
      </w:r>
      <w:r>
        <w:t xml:space="preserve">with recommendations </w:t>
      </w:r>
      <w:r w:rsidRPr="002346C2">
        <w:t xml:space="preserve">to the next Assembly </w:t>
      </w:r>
      <w:r>
        <w:t xml:space="preserve">in 2024 </w:t>
      </w:r>
      <w:r w:rsidRPr="002346C2">
        <w:t>for a possible reform of ITU-</w:t>
      </w:r>
      <w:proofErr w:type="gramStart"/>
      <w:r w:rsidRPr="002346C2">
        <w:t>T;</w:t>
      </w:r>
      <w:proofErr w:type="gramEnd"/>
    </w:p>
    <w:p w14:paraId="3D60EA8D" w14:textId="77777777" w:rsidR="00375049"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2.3.2</w:t>
      </w:r>
      <w:r>
        <w:tab/>
        <w:t xml:space="preserve">Resolution 100, </w:t>
      </w:r>
      <w:r w:rsidRPr="000B353A">
        <w:rPr>
          <w:i/>
          <w:iCs/>
        </w:rPr>
        <w:t>A common emergency number for Africa</w:t>
      </w:r>
      <w:r>
        <w:t>, instructs the TSB Director in cooperation with the BDT Director to provide technical assistance to Member States in Africa in the implementation of a common emergency number in line with Recommendation ITU-T E.161.1.</w:t>
      </w:r>
    </w:p>
    <w:p w14:paraId="4A12EC94" w14:textId="77777777" w:rsidR="00375049" w:rsidRPr="00EB56D0" w:rsidRDefault="00375049" w:rsidP="00375049">
      <w:pPr>
        <w:pStyle w:val="Heading2"/>
      </w:pPr>
      <w:r w:rsidRPr="00EB56D0">
        <w:t>2.4</w:t>
      </w:r>
      <w:r w:rsidRPr="00EB56D0">
        <w:tab/>
      </w:r>
      <w:r>
        <w:t>Proposed</w:t>
      </w:r>
      <w:r w:rsidRPr="00EB56D0">
        <w:t xml:space="preserve"> Resolution [IAP-3], </w:t>
      </w:r>
      <w:r w:rsidRPr="007C3605">
        <w:rPr>
          <w:i/>
          <w:iCs/>
        </w:rPr>
        <w:t>Use of in-person and virtual options on an equal footing in the activities of the ITU Telecommunication Standardization Sector</w:t>
      </w:r>
    </w:p>
    <w:p w14:paraId="530ABCEF" w14:textId="77777777" w:rsidR="00375049" w:rsidRDefault="00375049" w:rsidP="00375049">
      <w:pPr>
        <w:tabs>
          <w:tab w:val="center" w:pos="8222"/>
        </w:tabs>
        <w:jc w:val="both"/>
        <w:rPr>
          <w:szCs w:val="22"/>
        </w:rPr>
      </w:pPr>
      <w:r>
        <w:rPr>
          <w:szCs w:val="22"/>
        </w:rPr>
        <w:t>WTSA-20 considered (but did not adopt) a proposed</w:t>
      </w:r>
      <w:r w:rsidRPr="00227570">
        <w:rPr>
          <w:szCs w:val="22"/>
        </w:rPr>
        <w:t xml:space="preserve"> new Resolution [IAP-3], </w:t>
      </w:r>
      <w:r w:rsidRPr="001E454E">
        <w:rPr>
          <w:i/>
          <w:iCs/>
          <w:szCs w:val="22"/>
        </w:rPr>
        <w:t>Use of in-person and virtual options on an equal footing in the activities of the ITU Telecommunication Standardization Sector</w:t>
      </w:r>
      <w:r>
        <w:rPr>
          <w:szCs w:val="22"/>
        </w:rPr>
        <w:t xml:space="preserve">. The Assembly was conscious about ongoing and related work in the TSAG Ad Hoc Group on the governance and management of </w:t>
      </w:r>
      <w:proofErr w:type="spellStart"/>
      <w:r>
        <w:rPr>
          <w:szCs w:val="22"/>
        </w:rPr>
        <w:t>e-meetings</w:t>
      </w:r>
      <w:proofErr w:type="spellEnd"/>
      <w:r>
        <w:rPr>
          <w:szCs w:val="22"/>
        </w:rPr>
        <w:t xml:space="preserve"> (TSAG AHG-GME), but also about possible implications on other matters such as of financial, </w:t>
      </w:r>
      <w:proofErr w:type="gramStart"/>
      <w:r>
        <w:rPr>
          <w:szCs w:val="22"/>
        </w:rPr>
        <w:t>operational</w:t>
      </w:r>
      <w:proofErr w:type="gramEnd"/>
      <w:r>
        <w:rPr>
          <w:szCs w:val="22"/>
        </w:rPr>
        <w:t xml:space="preserve"> and legal nature pertaining in scope of Council and of the Plenipotentiary Conference with respect to the possibility of any changes to the General Rules that may be necessary as a result of this particular proposal.</w:t>
      </w:r>
    </w:p>
    <w:p w14:paraId="5DFF0E7D" w14:textId="77777777" w:rsidR="00375049" w:rsidRDefault="00375049" w:rsidP="00375049">
      <w:pPr>
        <w:tabs>
          <w:tab w:val="center" w:pos="8222"/>
        </w:tabs>
        <w:jc w:val="both"/>
        <w:rPr>
          <w:szCs w:val="22"/>
        </w:rPr>
      </w:pPr>
      <w:r>
        <w:rPr>
          <w:szCs w:val="22"/>
        </w:rPr>
        <w:t xml:space="preserve">WTSA-20 asked the Director of TSB to bring this proposal to the attention of the TSAG Ad Hoc Group on the governance and management of </w:t>
      </w:r>
      <w:proofErr w:type="spellStart"/>
      <w:r>
        <w:rPr>
          <w:szCs w:val="22"/>
        </w:rPr>
        <w:t>e-meetings</w:t>
      </w:r>
      <w:proofErr w:type="spellEnd"/>
      <w:r>
        <w:rPr>
          <w:szCs w:val="22"/>
        </w:rPr>
        <w:t>, to the Council, and to the Plenipotentiary Conference.</w:t>
      </w:r>
    </w:p>
    <w:p w14:paraId="1CDBC04E" w14:textId="77777777" w:rsidR="00375049" w:rsidRPr="00550986" w:rsidRDefault="00375049" w:rsidP="00375049">
      <w:pPr>
        <w:tabs>
          <w:tab w:val="clear" w:pos="567"/>
          <w:tab w:val="clear" w:pos="1134"/>
          <w:tab w:val="clear" w:pos="1701"/>
          <w:tab w:val="clear" w:pos="2268"/>
          <w:tab w:val="clear" w:pos="2835"/>
        </w:tabs>
        <w:snapToGrid w:val="0"/>
        <w:jc w:val="both"/>
      </w:pPr>
      <w:r>
        <w:rPr>
          <w:szCs w:val="22"/>
        </w:rPr>
        <w:t>WTSA-20 invited the Plenipotentiary Conference to consider the text of proposed</w:t>
      </w:r>
      <w:r w:rsidRPr="00227570">
        <w:rPr>
          <w:szCs w:val="22"/>
        </w:rPr>
        <w:t xml:space="preserve"> new Resolution [IAP-3]</w:t>
      </w:r>
      <w:r>
        <w:rPr>
          <w:szCs w:val="22"/>
        </w:rPr>
        <w:t xml:space="preserve"> and take any necessary actions on this matter.</w:t>
      </w:r>
    </w:p>
    <w:p w14:paraId="356D4395" w14:textId="77777777" w:rsidR="00375049" w:rsidRPr="00771BB8" w:rsidRDefault="00375049" w:rsidP="00375049">
      <w:pPr>
        <w:pStyle w:val="Heading1"/>
      </w:pPr>
      <w:r w:rsidRPr="00771BB8">
        <w:t>3.</w:t>
      </w:r>
      <w:r w:rsidRPr="00EB56D0">
        <w:tab/>
      </w:r>
      <w:r w:rsidRPr="00771BB8">
        <w:t>WISE Event</w:t>
      </w:r>
    </w:p>
    <w:p w14:paraId="3BC67D67" w14:textId="25F1B268" w:rsidR="00375049" w:rsidRPr="00550986"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3.1</w:t>
      </w:r>
      <w:r>
        <w:tab/>
      </w:r>
      <w:r w:rsidRPr="00550986">
        <w:t xml:space="preserve">The second Women in Standardization Expert Group (WISE) event was held on 8 March 2022, at the World Telecommunication Standardization Assembly (WTSA) in Geneva. </w:t>
      </w:r>
    </w:p>
    <w:p w14:paraId="48C59CD4" w14:textId="44560923" w:rsidR="00375049" w:rsidRPr="00550986"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3.2</w:t>
      </w:r>
      <w:r>
        <w:tab/>
      </w:r>
      <w:r w:rsidRPr="00550986">
        <w:t>The event consisted of a signing ceremony of an M</w:t>
      </w:r>
      <w:r>
        <w:t>o</w:t>
      </w:r>
      <w:r w:rsidRPr="00550986">
        <w:t>U between Australia and ITU, a partnership for bridging the gender digital divide as well as advancing women’s empowerment and decision making at ITU Plenipotentiary</w:t>
      </w:r>
      <w:r>
        <w:t xml:space="preserve"> Conference</w:t>
      </w:r>
      <w:r w:rsidRPr="00550986">
        <w:t xml:space="preserve">, followed by a ceremony to recognize entities who have made remarkable contribution to ITU-T standard’s work in terms of leadership, </w:t>
      </w:r>
      <w:proofErr w:type="gramStart"/>
      <w:r w:rsidRPr="00550986">
        <w:t>continuity</w:t>
      </w:r>
      <w:proofErr w:type="gramEnd"/>
      <w:r w:rsidRPr="00550986">
        <w:t xml:space="preserve"> and impact, and concluded with a panel discussion on “Why gender matters in setting standards. The discussions also tackled how frontier technologies such as AI and machine learning could be used </w:t>
      </w:r>
      <w:r>
        <w:t xml:space="preserve">to </w:t>
      </w:r>
      <w:r w:rsidRPr="00550986">
        <w:t>understand gender bias and fairness.</w:t>
      </w:r>
    </w:p>
    <w:p w14:paraId="601E44A2" w14:textId="77777777" w:rsidR="00375049" w:rsidRPr="00550986" w:rsidRDefault="00375049" w:rsidP="00375049">
      <w:pPr>
        <w:pStyle w:val="ListParagraph"/>
        <w:tabs>
          <w:tab w:val="clear" w:pos="567"/>
          <w:tab w:val="clear" w:pos="1134"/>
          <w:tab w:val="clear" w:pos="1701"/>
          <w:tab w:val="clear" w:pos="2268"/>
          <w:tab w:val="clear" w:pos="2835"/>
          <w:tab w:val="left" w:pos="851"/>
        </w:tabs>
        <w:snapToGrid w:val="0"/>
        <w:ind w:left="-6"/>
        <w:contextualSpacing w:val="0"/>
        <w:jc w:val="both"/>
      </w:pPr>
      <w:r>
        <w:t>3.3</w:t>
      </w:r>
      <w:r>
        <w:tab/>
      </w:r>
      <w:r w:rsidRPr="00550986">
        <w:t xml:space="preserve">WTSA Resolution 55: WTSA-20 also reaffirmed </w:t>
      </w:r>
      <w:r>
        <w:t>WTSA</w:t>
      </w:r>
      <w:r w:rsidRPr="00550986">
        <w:t xml:space="preserve"> Resolution 55 on promoting a gender equality in ITU Telecommunication Standardization Sector activities, committing ITU-T to continue taking actions to promote gender equality and accelerate the number of women in decision making positions in ITU-T and TSB.</w:t>
      </w:r>
    </w:p>
    <w:p w14:paraId="043BEFF8" w14:textId="77777777" w:rsidR="00375049" w:rsidRPr="00D9112D" w:rsidRDefault="00375049" w:rsidP="00375049">
      <w:pPr>
        <w:pStyle w:val="ListParagraph"/>
        <w:pageBreakBefore/>
        <w:tabs>
          <w:tab w:val="clear" w:pos="567"/>
          <w:tab w:val="clear" w:pos="1134"/>
          <w:tab w:val="clear" w:pos="1701"/>
          <w:tab w:val="clear" w:pos="2268"/>
          <w:tab w:val="clear" w:pos="2835"/>
        </w:tabs>
        <w:overflowPunct/>
        <w:autoSpaceDE/>
        <w:autoSpaceDN/>
        <w:adjustRightInd/>
        <w:spacing w:before="0"/>
        <w:ind w:left="924"/>
        <w:textAlignment w:val="auto"/>
        <w:rPr>
          <w:rFonts w:cs="Arial"/>
          <w:b/>
          <w:bCs/>
        </w:rPr>
      </w:pPr>
      <w:r w:rsidRPr="00D9112D">
        <w:rPr>
          <w:rFonts w:cs="Arial"/>
          <w:b/>
          <w:bCs/>
        </w:rPr>
        <w:t>Annex – List of WTSA Resolutions</w:t>
      </w:r>
      <w:r>
        <w:rPr>
          <w:rFonts w:cs="Arial"/>
          <w:b/>
          <w:bCs/>
        </w:rPr>
        <w:t xml:space="preserve"> &amp; Opinion and approved ITU-T Recommendations</w:t>
      </w:r>
    </w:p>
    <w:p w14:paraId="0A71ACE7" w14:textId="77777777" w:rsidR="00375049" w:rsidRPr="00D9112D" w:rsidRDefault="00375049" w:rsidP="00375049">
      <w:pPr>
        <w:pStyle w:val="ListParagraph"/>
        <w:tabs>
          <w:tab w:val="clear" w:pos="567"/>
          <w:tab w:val="clear" w:pos="1134"/>
          <w:tab w:val="clear" w:pos="1701"/>
          <w:tab w:val="clear" w:pos="2268"/>
          <w:tab w:val="clear" w:pos="2835"/>
        </w:tabs>
        <w:overflowPunct/>
        <w:autoSpaceDE/>
        <w:autoSpaceDN/>
        <w:adjustRightInd/>
        <w:spacing w:before="0"/>
        <w:ind w:left="927"/>
        <w:textAlignment w:val="auto"/>
        <w:rPr>
          <w:rFonts w:cs="Arial"/>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3"/>
        <w:gridCol w:w="1248"/>
      </w:tblGrid>
      <w:tr w:rsidR="00375049" w:rsidRPr="007B1428" w14:paraId="1B126485" w14:textId="77777777" w:rsidTr="003F1DBE">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4602C90C" w14:textId="77777777" w:rsidR="00375049" w:rsidRPr="007B1428" w:rsidRDefault="00375049" w:rsidP="003F1DBE">
            <w:pPr>
              <w:pStyle w:val="Tablehead"/>
              <w:spacing w:before="64" w:after="64"/>
              <w:rPr>
                <w:szCs w:val="22"/>
              </w:rPr>
            </w:pPr>
            <w:r w:rsidRPr="007B1428">
              <w:rPr>
                <w:szCs w:val="22"/>
              </w:rPr>
              <w:t>Resolutions</w:t>
            </w:r>
          </w:p>
        </w:tc>
        <w:tc>
          <w:tcPr>
            <w:tcW w:w="1248" w:type="dxa"/>
            <w:tcBorders>
              <w:top w:val="single" w:sz="12" w:space="0" w:color="auto"/>
              <w:right w:val="single" w:sz="12" w:space="0" w:color="auto"/>
            </w:tcBorders>
            <w:shd w:val="clear" w:color="auto" w:fill="DAEEF3" w:themeFill="accent5" w:themeFillTint="33"/>
            <w:vAlign w:val="center"/>
          </w:tcPr>
          <w:p w14:paraId="73E7B4DC" w14:textId="77777777" w:rsidR="00375049" w:rsidRPr="007B1428" w:rsidRDefault="00375049" w:rsidP="003F1DBE">
            <w:pPr>
              <w:pStyle w:val="Tablehead"/>
              <w:spacing w:before="64" w:after="64"/>
              <w:rPr>
                <w:szCs w:val="22"/>
              </w:rPr>
            </w:pPr>
            <w:r w:rsidRPr="007B1428">
              <w:rPr>
                <w:szCs w:val="22"/>
              </w:rPr>
              <w:t>Status</w:t>
            </w:r>
          </w:p>
        </w:tc>
      </w:tr>
      <w:tr w:rsidR="00375049" w:rsidRPr="007B1428" w14:paraId="038B88D4" w14:textId="77777777" w:rsidTr="003F1DBE">
        <w:trPr>
          <w:cantSplit/>
          <w:jc w:val="center"/>
        </w:trPr>
        <w:tc>
          <w:tcPr>
            <w:tcW w:w="8093" w:type="dxa"/>
            <w:tcBorders>
              <w:top w:val="single" w:sz="12" w:space="0" w:color="auto"/>
              <w:right w:val="single" w:sz="12" w:space="0" w:color="auto"/>
            </w:tcBorders>
            <w:shd w:val="clear" w:color="auto" w:fill="auto"/>
          </w:tcPr>
          <w:p w14:paraId="2BA6FAE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1, </w:t>
            </w:r>
            <w:r w:rsidRPr="007B1428">
              <w:rPr>
                <w:i/>
                <w:iCs/>
                <w:szCs w:val="22"/>
              </w:rPr>
              <w:t>Rules of procedure of the ITU Telecommunication Standardization Sector</w:t>
            </w:r>
          </w:p>
        </w:tc>
        <w:tc>
          <w:tcPr>
            <w:tcW w:w="1248" w:type="dxa"/>
            <w:tcBorders>
              <w:top w:val="single" w:sz="12" w:space="0" w:color="auto"/>
              <w:right w:val="single" w:sz="12" w:space="0" w:color="auto"/>
            </w:tcBorders>
          </w:tcPr>
          <w:p w14:paraId="3FF3B5A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39925B94" w14:textId="77777777" w:rsidTr="003F1DBE">
        <w:trPr>
          <w:cantSplit/>
          <w:jc w:val="center"/>
        </w:trPr>
        <w:tc>
          <w:tcPr>
            <w:tcW w:w="8093" w:type="dxa"/>
            <w:tcBorders>
              <w:right w:val="single" w:sz="12" w:space="0" w:color="auto"/>
            </w:tcBorders>
            <w:shd w:val="clear" w:color="auto" w:fill="auto"/>
          </w:tcPr>
          <w:p w14:paraId="1B0CEE5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 </w:t>
            </w:r>
            <w:r w:rsidRPr="007B1428">
              <w:rPr>
                <w:i/>
                <w:iCs/>
                <w:szCs w:val="22"/>
              </w:rPr>
              <w:t>ITU Telecommunication Standardization Sector study group responsibility and mandates</w:t>
            </w:r>
          </w:p>
        </w:tc>
        <w:tc>
          <w:tcPr>
            <w:tcW w:w="1248" w:type="dxa"/>
            <w:tcBorders>
              <w:right w:val="single" w:sz="12" w:space="0" w:color="auto"/>
            </w:tcBorders>
          </w:tcPr>
          <w:p w14:paraId="5A20DB8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42AEAB58" w14:textId="77777777" w:rsidTr="003F1DBE">
        <w:trPr>
          <w:cantSplit/>
          <w:jc w:val="center"/>
        </w:trPr>
        <w:tc>
          <w:tcPr>
            <w:tcW w:w="8093" w:type="dxa"/>
            <w:tcBorders>
              <w:right w:val="single" w:sz="12" w:space="0" w:color="auto"/>
            </w:tcBorders>
            <w:shd w:val="clear" w:color="auto" w:fill="auto"/>
          </w:tcPr>
          <w:p w14:paraId="3ED0039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 </w:t>
            </w:r>
            <w:r w:rsidRPr="007B1428">
              <w:rPr>
                <w:i/>
                <w:iCs/>
                <w:szCs w:val="22"/>
              </w:rPr>
              <w:t xml:space="preserve">Collaboration with the International Organization for </w:t>
            </w:r>
            <w:proofErr w:type="gramStart"/>
            <w:r w:rsidRPr="007B1428">
              <w:rPr>
                <w:i/>
                <w:iCs/>
                <w:szCs w:val="22"/>
              </w:rPr>
              <w:t>Standardization</w:t>
            </w:r>
            <w:proofErr w:type="gramEnd"/>
            <w:r w:rsidRPr="007B1428">
              <w:rPr>
                <w:i/>
                <w:iCs/>
                <w:szCs w:val="22"/>
              </w:rPr>
              <w:t xml:space="preserve"> and the International Electrotechnical Commission</w:t>
            </w:r>
          </w:p>
        </w:tc>
        <w:tc>
          <w:tcPr>
            <w:tcW w:w="1248" w:type="dxa"/>
            <w:tcBorders>
              <w:right w:val="single" w:sz="12" w:space="0" w:color="auto"/>
            </w:tcBorders>
          </w:tcPr>
          <w:p w14:paraId="4D25EAD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377E5444" w14:textId="77777777" w:rsidTr="003F1DBE">
        <w:trPr>
          <w:cantSplit/>
          <w:jc w:val="center"/>
        </w:trPr>
        <w:tc>
          <w:tcPr>
            <w:tcW w:w="8093" w:type="dxa"/>
            <w:tcBorders>
              <w:right w:val="single" w:sz="12" w:space="0" w:color="auto"/>
            </w:tcBorders>
            <w:shd w:val="clear" w:color="auto" w:fill="auto"/>
          </w:tcPr>
          <w:p w14:paraId="41F0312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11, </w:t>
            </w:r>
            <w:r w:rsidRPr="007B1428">
              <w:rPr>
                <w:i/>
                <w:szCs w:val="22"/>
              </w:rPr>
              <w:t>Collaboration with the Postal Operations Council of the Universal Postal Union in the study of services concerning both the postal and the telecommunication sectors</w:t>
            </w:r>
          </w:p>
        </w:tc>
        <w:tc>
          <w:tcPr>
            <w:tcW w:w="1248" w:type="dxa"/>
            <w:tcBorders>
              <w:right w:val="single" w:sz="12" w:space="0" w:color="auto"/>
            </w:tcBorders>
          </w:tcPr>
          <w:p w14:paraId="3699708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76B2C341" w14:textId="77777777" w:rsidTr="003F1DBE">
        <w:trPr>
          <w:cantSplit/>
          <w:jc w:val="center"/>
        </w:trPr>
        <w:tc>
          <w:tcPr>
            <w:tcW w:w="8093" w:type="dxa"/>
            <w:tcBorders>
              <w:right w:val="single" w:sz="12" w:space="0" w:color="auto"/>
            </w:tcBorders>
            <w:shd w:val="clear" w:color="auto" w:fill="auto"/>
          </w:tcPr>
          <w:p w14:paraId="0473862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18, </w:t>
            </w:r>
            <w:proofErr w:type="gramStart"/>
            <w:r w:rsidRPr="007B1428">
              <w:rPr>
                <w:i/>
                <w:szCs w:val="22"/>
              </w:rPr>
              <w:t>Principles</w:t>
            </w:r>
            <w:proofErr w:type="gramEnd"/>
            <w:r w:rsidRPr="007B1428">
              <w:rPr>
                <w:i/>
                <w:szCs w:val="22"/>
              </w:rPr>
              <w:t xml:space="preserve"> and procedures for the allocation of work to, and strengthening coordination and cooperation among, the ITU Radiocommunication, ITU Telecommunication Standardization and ITU Telecommunication Development Sectors</w:t>
            </w:r>
          </w:p>
        </w:tc>
        <w:tc>
          <w:tcPr>
            <w:tcW w:w="1248" w:type="dxa"/>
            <w:tcBorders>
              <w:right w:val="single" w:sz="12" w:space="0" w:color="auto"/>
            </w:tcBorders>
          </w:tcPr>
          <w:p w14:paraId="5EEE4AA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9C1BA2A" w14:textId="77777777" w:rsidTr="003F1DBE">
        <w:trPr>
          <w:cantSplit/>
          <w:jc w:val="center"/>
        </w:trPr>
        <w:tc>
          <w:tcPr>
            <w:tcW w:w="8093" w:type="dxa"/>
            <w:tcBorders>
              <w:right w:val="single" w:sz="12" w:space="0" w:color="auto"/>
            </w:tcBorders>
            <w:shd w:val="clear" w:color="auto" w:fill="auto"/>
          </w:tcPr>
          <w:p w14:paraId="42F9859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20, </w:t>
            </w:r>
            <w:r w:rsidRPr="007B1428">
              <w:rPr>
                <w:i/>
                <w:iCs/>
                <w:szCs w:val="22"/>
              </w:rPr>
              <w:t>Procedures for allocation and management of international telecommunication numbering, naming, addressing and identification resources</w:t>
            </w:r>
          </w:p>
        </w:tc>
        <w:tc>
          <w:tcPr>
            <w:tcW w:w="1248" w:type="dxa"/>
            <w:tcBorders>
              <w:right w:val="single" w:sz="12" w:space="0" w:color="auto"/>
            </w:tcBorders>
          </w:tcPr>
          <w:p w14:paraId="798761D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237FC6A" w14:textId="77777777" w:rsidTr="003F1DBE">
        <w:trPr>
          <w:cantSplit/>
          <w:jc w:val="center"/>
        </w:trPr>
        <w:tc>
          <w:tcPr>
            <w:tcW w:w="8093" w:type="dxa"/>
            <w:tcBorders>
              <w:right w:val="single" w:sz="12" w:space="0" w:color="auto"/>
            </w:tcBorders>
            <w:shd w:val="clear" w:color="auto" w:fill="auto"/>
          </w:tcPr>
          <w:p w14:paraId="780FD2A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22, </w:t>
            </w:r>
            <w:r w:rsidRPr="007B1428">
              <w:rPr>
                <w:i/>
                <w:iCs/>
                <w:szCs w:val="22"/>
              </w:rPr>
              <w:t>Authorization for the Telecommunication Standardization Advisory Group to act between world telecommunication standardization assemblies</w:t>
            </w:r>
          </w:p>
        </w:tc>
        <w:tc>
          <w:tcPr>
            <w:tcW w:w="1248" w:type="dxa"/>
            <w:tcBorders>
              <w:right w:val="single" w:sz="12" w:space="0" w:color="auto"/>
            </w:tcBorders>
          </w:tcPr>
          <w:p w14:paraId="1211DC2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73F5A11F" w14:textId="77777777" w:rsidTr="003F1DBE">
        <w:trPr>
          <w:cantSplit/>
          <w:jc w:val="center"/>
        </w:trPr>
        <w:tc>
          <w:tcPr>
            <w:tcW w:w="8093" w:type="dxa"/>
            <w:tcBorders>
              <w:right w:val="single" w:sz="12" w:space="0" w:color="auto"/>
            </w:tcBorders>
            <w:shd w:val="clear" w:color="auto" w:fill="auto"/>
          </w:tcPr>
          <w:p w14:paraId="48DB617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29, </w:t>
            </w:r>
            <w:r w:rsidRPr="007B1428">
              <w:rPr>
                <w:i/>
                <w:iCs/>
                <w:szCs w:val="22"/>
              </w:rPr>
              <w:t>Alternative calling procedures on international telecommunication networks</w:t>
            </w:r>
          </w:p>
        </w:tc>
        <w:tc>
          <w:tcPr>
            <w:tcW w:w="1248" w:type="dxa"/>
            <w:tcBorders>
              <w:right w:val="single" w:sz="12" w:space="0" w:color="auto"/>
            </w:tcBorders>
          </w:tcPr>
          <w:p w14:paraId="233644A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CD1B8ED" w14:textId="77777777" w:rsidTr="003F1DBE">
        <w:trPr>
          <w:cantSplit/>
          <w:jc w:val="center"/>
        </w:trPr>
        <w:tc>
          <w:tcPr>
            <w:tcW w:w="8093" w:type="dxa"/>
            <w:tcBorders>
              <w:right w:val="single" w:sz="12" w:space="0" w:color="auto"/>
            </w:tcBorders>
            <w:shd w:val="clear" w:color="auto" w:fill="auto"/>
          </w:tcPr>
          <w:p w14:paraId="3133214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31, </w:t>
            </w:r>
            <w:r w:rsidRPr="007B1428">
              <w:rPr>
                <w:i/>
                <w:iCs/>
                <w:szCs w:val="22"/>
              </w:rPr>
              <w:t>Admission of entities or organizations to participate as Associates in the work of the ITU Telecommunication Standardization Sector</w:t>
            </w:r>
          </w:p>
        </w:tc>
        <w:tc>
          <w:tcPr>
            <w:tcW w:w="1248" w:type="dxa"/>
            <w:tcBorders>
              <w:right w:val="single" w:sz="12" w:space="0" w:color="auto"/>
            </w:tcBorders>
          </w:tcPr>
          <w:p w14:paraId="1190030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B20EA0B" w14:textId="77777777" w:rsidTr="003F1DBE">
        <w:trPr>
          <w:cantSplit/>
          <w:jc w:val="center"/>
        </w:trPr>
        <w:tc>
          <w:tcPr>
            <w:tcW w:w="8093" w:type="dxa"/>
            <w:tcBorders>
              <w:right w:val="single" w:sz="12" w:space="0" w:color="auto"/>
            </w:tcBorders>
            <w:shd w:val="clear" w:color="auto" w:fill="auto"/>
          </w:tcPr>
          <w:p w14:paraId="74B0469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32, </w:t>
            </w:r>
            <w:r w:rsidRPr="007B1428">
              <w:rPr>
                <w:i/>
                <w:iCs/>
                <w:szCs w:val="22"/>
              </w:rPr>
              <w:t>Strengthening electronic working methods for the work of the ITU Telecommunication Standardization Sector</w:t>
            </w:r>
          </w:p>
        </w:tc>
        <w:tc>
          <w:tcPr>
            <w:tcW w:w="1248" w:type="dxa"/>
            <w:tcBorders>
              <w:right w:val="single" w:sz="12" w:space="0" w:color="auto"/>
            </w:tcBorders>
          </w:tcPr>
          <w:p w14:paraId="29902D2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2DE8296C" w14:textId="77777777" w:rsidTr="003F1DBE">
        <w:trPr>
          <w:cantSplit/>
          <w:jc w:val="center"/>
        </w:trPr>
        <w:tc>
          <w:tcPr>
            <w:tcW w:w="8093" w:type="dxa"/>
            <w:tcBorders>
              <w:right w:val="single" w:sz="12" w:space="0" w:color="auto"/>
            </w:tcBorders>
            <w:shd w:val="clear" w:color="auto" w:fill="auto"/>
          </w:tcPr>
          <w:p w14:paraId="58BF564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34, </w:t>
            </w:r>
            <w:r w:rsidRPr="007B1428">
              <w:rPr>
                <w:i/>
                <w:iCs/>
                <w:szCs w:val="22"/>
              </w:rPr>
              <w:t>Voluntary contributions</w:t>
            </w:r>
          </w:p>
        </w:tc>
        <w:tc>
          <w:tcPr>
            <w:tcW w:w="1248" w:type="dxa"/>
            <w:tcBorders>
              <w:right w:val="single" w:sz="12" w:space="0" w:color="auto"/>
            </w:tcBorders>
          </w:tcPr>
          <w:p w14:paraId="3F5EAB8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F5E777A" w14:textId="77777777" w:rsidTr="003F1DBE">
        <w:trPr>
          <w:cantSplit/>
          <w:jc w:val="center"/>
        </w:trPr>
        <w:tc>
          <w:tcPr>
            <w:tcW w:w="8093" w:type="dxa"/>
            <w:tcBorders>
              <w:right w:val="single" w:sz="12" w:space="0" w:color="auto"/>
            </w:tcBorders>
            <w:shd w:val="clear" w:color="auto" w:fill="auto"/>
          </w:tcPr>
          <w:p w14:paraId="3E89EEF9"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7B1428">
              <w:rPr>
                <w:sz w:val="22"/>
                <w:szCs w:val="22"/>
              </w:rPr>
              <w:t xml:space="preserve">Resolution 35, </w:t>
            </w:r>
            <w:proofErr w:type="gramStart"/>
            <w:r w:rsidRPr="007B1428">
              <w:rPr>
                <w:i/>
                <w:iCs/>
                <w:sz w:val="22"/>
                <w:szCs w:val="22"/>
              </w:rPr>
              <w:t>Appointment</w:t>
            </w:r>
            <w:proofErr w:type="gramEnd"/>
            <w:r w:rsidRPr="007B1428">
              <w:rPr>
                <w:i/>
                <w:iCs/>
                <w:sz w:val="22"/>
                <w:szCs w:val="22"/>
              </w:rPr>
              <w:t xml:space="preserve"> and maximum term of office for chairmen and vice-chairmen of study groups of the Telecommunication Standardization Sector and of the Telecommunication Standardization Advisory Group</w:t>
            </w:r>
          </w:p>
        </w:tc>
        <w:tc>
          <w:tcPr>
            <w:tcW w:w="1248" w:type="dxa"/>
            <w:tcBorders>
              <w:right w:val="single" w:sz="12" w:space="0" w:color="auto"/>
            </w:tcBorders>
          </w:tcPr>
          <w:p w14:paraId="4CA19F0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1698737A" w14:textId="77777777" w:rsidTr="003F1DBE">
        <w:trPr>
          <w:cantSplit/>
          <w:jc w:val="center"/>
        </w:trPr>
        <w:tc>
          <w:tcPr>
            <w:tcW w:w="8093" w:type="dxa"/>
            <w:tcBorders>
              <w:right w:val="single" w:sz="12" w:space="0" w:color="auto"/>
            </w:tcBorders>
            <w:shd w:val="clear" w:color="auto" w:fill="auto"/>
          </w:tcPr>
          <w:p w14:paraId="161A7C6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40, </w:t>
            </w:r>
            <w:r w:rsidRPr="007B1428">
              <w:rPr>
                <w:i/>
                <w:iCs/>
                <w:szCs w:val="22"/>
              </w:rPr>
              <w:t>Regulatory and policy aspects of the work of the ITU Telecommunication Standardization Sector</w:t>
            </w:r>
          </w:p>
        </w:tc>
        <w:tc>
          <w:tcPr>
            <w:tcW w:w="1248" w:type="dxa"/>
            <w:tcBorders>
              <w:right w:val="single" w:sz="12" w:space="0" w:color="auto"/>
            </w:tcBorders>
          </w:tcPr>
          <w:p w14:paraId="112369A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599F4BF2" w14:textId="77777777" w:rsidTr="003F1DBE">
        <w:trPr>
          <w:cantSplit/>
          <w:jc w:val="center"/>
        </w:trPr>
        <w:tc>
          <w:tcPr>
            <w:tcW w:w="8093" w:type="dxa"/>
            <w:tcBorders>
              <w:right w:val="single" w:sz="12" w:space="0" w:color="auto"/>
            </w:tcBorders>
            <w:shd w:val="clear" w:color="auto" w:fill="auto"/>
          </w:tcPr>
          <w:p w14:paraId="7192B9F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43, </w:t>
            </w:r>
            <w:r w:rsidRPr="007B1428">
              <w:rPr>
                <w:i/>
                <w:iCs/>
                <w:szCs w:val="22"/>
              </w:rPr>
              <w:t>Regional preparations for world telecommunication standardization assemblies</w:t>
            </w:r>
          </w:p>
        </w:tc>
        <w:tc>
          <w:tcPr>
            <w:tcW w:w="1248" w:type="dxa"/>
            <w:tcBorders>
              <w:right w:val="single" w:sz="12" w:space="0" w:color="auto"/>
            </w:tcBorders>
          </w:tcPr>
          <w:p w14:paraId="24F4AD0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CCD44E8" w14:textId="77777777" w:rsidTr="003F1DBE">
        <w:trPr>
          <w:cantSplit/>
          <w:jc w:val="center"/>
        </w:trPr>
        <w:tc>
          <w:tcPr>
            <w:tcW w:w="8093" w:type="dxa"/>
            <w:tcBorders>
              <w:right w:val="single" w:sz="12" w:space="0" w:color="auto"/>
            </w:tcBorders>
            <w:shd w:val="clear" w:color="auto" w:fill="auto"/>
          </w:tcPr>
          <w:p w14:paraId="4F3171A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44, </w:t>
            </w:r>
            <w:r w:rsidRPr="007B1428">
              <w:rPr>
                <w:i/>
                <w:iCs/>
                <w:szCs w:val="22"/>
              </w:rPr>
              <w:t>Bridging the standardization gap between developing and developed countries</w:t>
            </w:r>
          </w:p>
        </w:tc>
        <w:tc>
          <w:tcPr>
            <w:tcW w:w="1248" w:type="dxa"/>
            <w:tcBorders>
              <w:right w:val="single" w:sz="12" w:space="0" w:color="auto"/>
            </w:tcBorders>
          </w:tcPr>
          <w:p w14:paraId="36E225B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1CD7A93" w14:textId="77777777" w:rsidTr="003F1DBE">
        <w:trPr>
          <w:cantSplit/>
          <w:jc w:val="center"/>
        </w:trPr>
        <w:tc>
          <w:tcPr>
            <w:tcW w:w="8093" w:type="dxa"/>
            <w:tcBorders>
              <w:right w:val="single" w:sz="12" w:space="0" w:color="auto"/>
            </w:tcBorders>
            <w:shd w:val="clear" w:color="auto" w:fill="auto"/>
          </w:tcPr>
          <w:p w14:paraId="09D93BF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45, </w:t>
            </w:r>
            <w:r w:rsidRPr="007B1428">
              <w:rPr>
                <w:i/>
                <w:iCs/>
                <w:szCs w:val="22"/>
              </w:rPr>
              <w:t>Effective coordination of standardization work across study groups in the ITU Telecommunication Standardization Sector and the role of the ITU Telecommunication Standardization Advisory Group</w:t>
            </w:r>
          </w:p>
        </w:tc>
        <w:tc>
          <w:tcPr>
            <w:tcW w:w="1248" w:type="dxa"/>
            <w:tcBorders>
              <w:right w:val="single" w:sz="12" w:space="0" w:color="auto"/>
            </w:tcBorders>
          </w:tcPr>
          <w:p w14:paraId="6DDD673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7BF6CD49" w14:textId="77777777" w:rsidTr="003F1DBE">
        <w:trPr>
          <w:cantSplit/>
          <w:jc w:val="center"/>
        </w:trPr>
        <w:tc>
          <w:tcPr>
            <w:tcW w:w="8093" w:type="dxa"/>
            <w:tcBorders>
              <w:right w:val="single" w:sz="12" w:space="0" w:color="auto"/>
            </w:tcBorders>
            <w:shd w:val="clear" w:color="auto" w:fill="auto"/>
          </w:tcPr>
          <w:p w14:paraId="22E4524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47, </w:t>
            </w:r>
            <w:r w:rsidRPr="007B1428">
              <w:rPr>
                <w:i/>
                <w:iCs/>
                <w:szCs w:val="22"/>
              </w:rPr>
              <w:t>Country code top-level domain names</w:t>
            </w:r>
          </w:p>
        </w:tc>
        <w:tc>
          <w:tcPr>
            <w:tcW w:w="1248" w:type="dxa"/>
            <w:tcBorders>
              <w:right w:val="single" w:sz="12" w:space="0" w:color="auto"/>
            </w:tcBorders>
          </w:tcPr>
          <w:p w14:paraId="2C34ADA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7CAE069" w14:textId="77777777" w:rsidTr="003F1DBE">
        <w:trPr>
          <w:cantSplit/>
          <w:jc w:val="center"/>
        </w:trPr>
        <w:tc>
          <w:tcPr>
            <w:tcW w:w="8093" w:type="dxa"/>
            <w:tcBorders>
              <w:right w:val="single" w:sz="12" w:space="0" w:color="auto"/>
            </w:tcBorders>
            <w:shd w:val="clear" w:color="auto" w:fill="auto"/>
          </w:tcPr>
          <w:p w14:paraId="462E5FC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48, </w:t>
            </w:r>
            <w:r w:rsidRPr="007B1428">
              <w:rPr>
                <w:i/>
                <w:iCs/>
                <w:szCs w:val="22"/>
              </w:rPr>
              <w:t>Internationalized (multilingual) domain names</w:t>
            </w:r>
          </w:p>
        </w:tc>
        <w:tc>
          <w:tcPr>
            <w:tcW w:w="1248" w:type="dxa"/>
            <w:tcBorders>
              <w:right w:val="single" w:sz="12" w:space="0" w:color="auto"/>
            </w:tcBorders>
          </w:tcPr>
          <w:p w14:paraId="7C1C613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D637164" w14:textId="77777777" w:rsidTr="003F1DBE">
        <w:trPr>
          <w:cantSplit/>
          <w:jc w:val="center"/>
        </w:trPr>
        <w:tc>
          <w:tcPr>
            <w:tcW w:w="8093" w:type="dxa"/>
            <w:tcBorders>
              <w:right w:val="single" w:sz="12" w:space="0" w:color="auto"/>
            </w:tcBorders>
            <w:shd w:val="clear" w:color="auto" w:fill="auto"/>
          </w:tcPr>
          <w:p w14:paraId="6D0FFD2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49, </w:t>
            </w:r>
            <w:r w:rsidRPr="007B1428">
              <w:rPr>
                <w:i/>
                <w:iCs/>
                <w:szCs w:val="22"/>
              </w:rPr>
              <w:t>ENUM</w:t>
            </w:r>
          </w:p>
        </w:tc>
        <w:tc>
          <w:tcPr>
            <w:tcW w:w="1248" w:type="dxa"/>
            <w:tcBorders>
              <w:right w:val="single" w:sz="12" w:space="0" w:color="auto"/>
            </w:tcBorders>
          </w:tcPr>
          <w:p w14:paraId="197089C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80176B9" w14:textId="77777777" w:rsidTr="003F1DBE">
        <w:trPr>
          <w:cantSplit/>
          <w:jc w:val="center"/>
        </w:trPr>
        <w:tc>
          <w:tcPr>
            <w:tcW w:w="8093" w:type="dxa"/>
            <w:tcBorders>
              <w:right w:val="single" w:sz="12" w:space="0" w:color="auto"/>
            </w:tcBorders>
            <w:shd w:val="clear" w:color="auto" w:fill="auto"/>
          </w:tcPr>
          <w:p w14:paraId="3B01BCB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50, </w:t>
            </w:r>
            <w:r w:rsidRPr="007B1428">
              <w:rPr>
                <w:i/>
                <w:iCs/>
                <w:szCs w:val="22"/>
              </w:rPr>
              <w:t>Cybersecurity</w:t>
            </w:r>
          </w:p>
        </w:tc>
        <w:tc>
          <w:tcPr>
            <w:tcW w:w="1248" w:type="dxa"/>
            <w:tcBorders>
              <w:right w:val="single" w:sz="12" w:space="0" w:color="auto"/>
            </w:tcBorders>
          </w:tcPr>
          <w:p w14:paraId="4CB21CA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E3CC4D0" w14:textId="77777777" w:rsidTr="003F1DBE">
        <w:trPr>
          <w:cantSplit/>
          <w:jc w:val="center"/>
        </w:trPr>
        <w:tc>
          <w:tcPr>
            <w:tcW w:w="8093" w:type="dxa"/>
            <w:tcBorders>
              <w:right w:val="single" w:sz="12" w:space="0" w:color="auto"/>
            </w:tcBorders>
            <w:shd w:val="clear" w:color="auto" w:fill="auto"/>
          </w:tcPr>
          <w:p w14:paraId="1B348B6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52, </w:t>
            </w:r>
            <w:r w:rsidRPr="007B1428">
              <w:rPr>
                <w:i/>
                <w:iCs/>
                <w:szCs w:val="22"/>
              </w:rPr>
              <w:t>Countering and combating spam</w:t>
            </w:r>
          </w:p>
        </w:tc>
        <w:tc>
          <w:tcPr>
            <w:tcW w:w="1248" w:type="dxa"/>
            <w:tcBorders>
              <w:right w:val="single" w:sz="12" w:space="0" w:color="auto"/>
            </w:tcBorders>
          </w:tcPr>
          <w:p w14:paraId="49D57D8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7EB16C2D" w14:textId="77777777" w:rsidTr="003F1DBE">
        <w:trPr>
          <w:cantSplit/>
          <w:jc w:val="center"/>
        </w:trPr>
        <w:tc>
          <w:tcPr>
            <w:tcW w:w="8093" w:type="dxa"/>
            <w:tcBorders>
              <w:right w:val="single" w:sz="12" w:space="0" w:color="auto"/>
            </w:tcBorders>
            <w:shd w:val="clear" w:color="auto" w:fill="auto"/>
          </w:tcPr>
          <w:p w14:paraId="1C57183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54, </w:t>
            </w:r>
            <w:r w:rsidRPr="007B1428">
              <w:rPr>
                <w:i/>
                <w:iCs/>
                <w:szCs w:val="22"/>
              </w:rPr>
              <w:t>Regional groups of study groups of the ITU Telecommunication Standardization Sector</w:t>
            </w:r>
          </w:p>
        </w:tc>
        <w:tc>
          <w:tcPr>
            <w:tcW w:w="1248" w:type="dxa"/>
            <w:tcBorders>
              <w:right w:val="single" w:sz="12" w:space="0" w:color="auto"/>
            </w:tcBorders>
          </w:tcPr>
          <w:p w14:paraId="54488F6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A52D5C2" w14:textId="77777777" w:rsidTr="003F1DBE">
        <w:trPr>
          <w:cantSplit/>
          <w:jc w:val="center"/>
        </w:trPr>
        <w:tc>
          <w:tcPr>
            <w:tcW w:w="8093" w:type="dxa"/>
            <w:tcBorders>
              <w:right w:val="single" w:sz="12" w:space="0" w:color="auto"/>
            </w:tcBorders>
            <w:shd w:val="clear" w:color="auto" w:fill="auto"/>
          </w:tcPr>
          <w:p w14:paraId="779008C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55, </w:t>
            </w:r>
            <w:r w:rsidRPr="007B1428">
              <w:rPr>
                <w:i/>
                <w:iCs/>
                <w:szCs w:val="22"/>
              </w:rPr>
              <w:t>Promoting gender equality in ITU Telecommunication Standardization Sector activities</w:t>
            </w:r>
          </w:p>
        </w:tc>
        <w:tc>
          <w:tcPr>
            <w:tcW w:w="1248" w:type="dxa"/>
            <w:tcBorders>
              <w:right w:val="single" w:sz="12" w:space="0" w:color="auto"/>
            </w:tcBorders>
          </w:tcPr>
          <w:p w14:paraId="6BADEC6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695AF3B" w14:textId="77777777" w:rsidTr="003F1DBE">
        <w:trPr>
          <w:cantSplit/>
          <w:jc w:val="center"/>
        </w:trPr>
        <w:tc>
          <w:tcPr>
            <w:tcW w:w="8093" w:type="dxa"/>
            <w:tcBorders>
              <w:right w:val="single" w:sz="12" w:space="0" w:color="auto"/>
            </w:tcBorders>
            <w:shd w:val="clear" w:color="auto" w:fill="auto"/>
          </w:tcPr>
          <w:p w14:paraId="26DF18B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58, </w:t>
            </w:r>
            <w:r w:rsidRPr="007B1428">
              <w:rPr>
                <w:i/>
                <w:iCs/>
                <w:szCs w:val="22"/>
              </w:rPr>
              <w:t>Encouraging the creation of national computer incident response teams, particularly for developing countries</w:t>
            </w:r>
          </w:p>
        </w:tc>
        <w:tc>
          <w:tcPr>
            <w:tcW w:w="1248" w:type="dxa"/>
            <w:tcBorders>
              <w:right w:val="single" w:sz="12" w:space="0" w:color="auto"/>
            </w:tcBorders>
          </w:tcPr>
          <w:p w14:paraId="57C408E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C808CAB" w14:textId="77777777" w:rsidTr="003F1DBE">
        <w:trPr>
          <w:cantSplit/>
          <w:jc w:val="center"/>
        </w:trPr>
        <w:tc>
          <w:tcPr>
            <w:tcW w:w="8093" w:type="dxa"/>
            <w:tcBorders>
              <w:right w:val="single" w:sz="12" w:space="0" w:color="auto"/>
            </w:tcBorders>
            <w:shd w:val="clear" w:color="auto" w:fill="auto"/>
          </w:tcPr>
          <w:p w14:paraId="077017D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59, </w:t>
            </w:r>
            <w:r w:rsidRPr="007B1428">
              <w:rPr>
                <w:i/>
                <w:iCs/>
                <w:szCs w:val="22"/>
              </w:rPr>
              <w:t>Enhancing participation of telecommunication operators from developing countries</w:t>
            </w:r>
          </w:p>
        </w:tc>
        <w:tc>
          <w:tcPr>
            <w:tcW w:w="1248" w:type="dxa"/>
            <w:tcBorders>
              <w:right w:val="single" w:sz="12" w:space="0" w:color="auto"/>
            </w:tcBorders>
          </w:tcPr>
          <w:p w14:paraId="724F6FC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2B24762A" w14:textId="77777777" w:rsidTr="003F1DBE">
        <w:trPr>
          <w:cantSplit/>
          <w:jc w:val="center"/>
        </w:trPr>
        <w:tc>
          <w:tcPr>
            <w:tcW w:w="8093" w:type="dxa"/>
            <w:tcBorders>
              <w:right w:val="single" w:sz="12" w:space="0" w:color="auto"/>
            </w:tcBorders>
            <w:shd w:val="clear" w:color="auto" w:fill="auto"/>
          </w:tcPr>
          <w:p w14:paraId="1AA178B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60, </w:t>
            </w:r>
            <w:r w:rsidRPr="007B1428">
              <w:rPr>
                <w:i/>
                <w:iCs/>
                <w:szCs w:val="22"/>
              </w:rPr>
              <w:t>Responding to the challenges of the evolution of the identification/numbering system and its convergence with IP-based systems/networks</w:t>
            </w:r>
          </w:p>
        </w:tc>
        <w:tc>
          <w:tcPr>
            <w:tcW w:w="1248" w:type="dxa"/>
            <w:tcBorders>
              <w:right w:val="single" w:sz="12" w:space="0" w:color="auto"/>
            </w:tcBorders>
          </w:tcPr>
          <w:p w14:paraId="3FA1541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23074DB5" w14:textId="77777777" w:rsidTr="003F1DBE">
        <w:trPr>
          <w:cantSplit/>
          <w:jc w:val="center"/>
        </w:trPr>
        <w:tc>
          <w:tcPr>
            <w:tcW w:w="8093" w:type="dxa"/>
            <w:tcBorders>
              <w:right w:val="single" w:sz="12" w:space="0" w:color="auto"/>
            </w:tcBorders>
            <w:shd w:val="clear" w:color="auto" w:fill="auto"/>
          </w:tcPr>
          <w:p w14:paraId="30D5E16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61, </w:t>
            </w:r>
            <w:r w:rsidRPr="007B1428">
              <w:rPr>
                <w:i/>
                <w:iCs/>
                <w:szCs w:val="22"/>
              </w:rPr>
              <w:t>Countering and combating misappropriation and misuse of international telecommunication numbering resources</w:t>
            </w:r>
          </w:p>
        </w:tc>
        <w:tc>
          <w:tcPr>
            <w:tcW w:w="1248" w:type="dxa"/>
            <w:tcBorders>
              <w:right w:val="single" w:sz="12" w:space="0" w:color="auto"/>
            </w:tcBorders>
          </w:tcPr>
          <w:p w14:paraId="183421F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DFF9340" w14:textId="77777777" w:rsidTr="003F1DBE">
        <w:trPr>
          <w:cantSplit/>
          <w:jc w:val="center"/>
        </w:trPr>
        <w:tc>
          <w:tcPr>
            <w:tcW w:w="8093" w:type="dxa"/>
            <w:tcBorders>
              <w:right w:val="single" w:sz="12" w:space="0" w:color="auto"/>
            </w:tcBorders>
            <w:shd w:val="clear" w:color="auto" w:fill="auto"/>
          </w:tcPr>
          <w:p w14:paraId="6A3CD7D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62, </w:t>
            </w:r>
            <w:r w:rsidRPr="007B1428">
              <w:rPr>
                <w:i/>
                <w:iCs/>
                <w:szCs w:val="22"/>
              </w:rPr>
              <w:t>Dispute settlement</w:t>
            </w:r>
          </w:p>
        </w:tc>
        <w:tc>
          <w:tcPr>
            <w:tcW w:w="1248" w:type="dxa"/>
            <w:tcBorders>
              <w:right w:val="single" w:sz="12" w:space="0" w:color="auto"/>
            </w:tcBorders>
          </w:tcPr>
          <w:p w14:paraId="3B31510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7EA7BDFE" w14:textId="77777777" w:rsidTr="003F1DBE">
        <w:trPr>
          <w:cantSplit/>
          <w:jc w:val="center"/>
        </w:trPr>
        <w:tc>
          <w:tcPr>
            <w:tcW w:w="8093" w:type="dxa"/>
            <w:tcBorders>
              <w:right w:val="single" w:sz="12" w:space="0" w:color="auto"/>
            </w:tcBorders>
            <w:shd w:val="clear" w:color="auto" w:fill="auto"/>
          </w:tcPr>
          <w:p w14:paraId="00C0E02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64, </w:t>
            </w:r>
            <w:r w:rsidRPr="007B1428">
              <w:rPr>
                <w:i/>
                <w:iCs/>
                <w:szCs w:val="22"/>
              </w:rPr>
              <w:t>Internet protocol address allocation and facilitating the transition to and deployment of IPv6</w:t>
            </w:r>
          </w:p>
        </w:tc>
        <w:tc>
          <w:tcPr>
            <w:tcW w:w="1248" w:type="dxa"/>
            <w:tcBorders>
              <w:right w:val="single" w:sz="12" w:space="0" w:color="auto"/>
            </w:tcBorders>
          </w:tcPr>
          <w:p w14:paraId="02652E2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2C36D6C" w14:textId="77777777" w:rsidTr="003F1DBE">
        <w:trPr>
          <w:cantSplit/>
          <w:jc w:val="center"/>
        </w:trPr>
        <w:tc>
          <w:tcPr>
            <w:tcW w:w="8093" w:type="dxa"/>
            <w:tcBorders>
              <w:right w:val="single" w:sz="12" w:space="0" w:color="auto"/>
            </w:tcBorders>
            <w:shd w:val="clear" w:color="auto" w:fill="auto"/>
          </w:tcPr>
          <w:p w14:paraId="0430B75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65, </w:t>
            </w:r>
            <w:r w:rsidRPr="007B1428">
              <w:rPr>
                <w:i/>
                <w:iCs/>
                <w:szCs w:val="22"/>
              </w:rPr>
              <w:t>Calling party number delivery, calling line identification and origin identification information</w:t>
            </w:r>
          </w:p>
        </w:tc>
        <w:tc>
          <w:tcPr>
            <w:tcW w:w="1248" w:type="dxa"/>
            <w:tcBorders>
              <w:right w:val="single" w:sz="12" w:space="0" w:color="auto"/>
            </w:tcBorders>
          </w:tcPr>
          <w:p w14:paraId="5BF64BB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2A4F5AC" w14:textId="77777777" w:rsidTr="003F1DBE">
        <w:trPr>
          <w:cantSplit/>
          <w:jc w:val="center"/>
        </w:trPr>
        <w:tc>
          <w:tcPr>
            <w:tcW w:w="8093" w:type="dxa"/>
            <w:tcBorders>
              <w:right w:val="single" w:sz="12" w:space="0" w:color="auto"/>
            </w:tcBorders>
            <w:shd w:val="clear" w:color="auto" w:fill="auto"/>
          </w:tcPr>
          <w:p w14:paraId="6E4975B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66, </w:t>
            </w:r>
            <w:r w:rsidRPr="007B1428">
              <w:rPr>
                <w:i/>
                <w:iCs/>
                <w:szCs w:val="22"/>
              </w:rPr>
              <w:t>Technology Watch in the Telecommunication Standardization Bureau</w:t>
            </w:r>
          </w:p>
        </w:tc>
        <w:tc>
          <w:tcPr>
            <w:tcW w:w="1248" w:type="dxa"/>
            <w:tcBorders>
              <w:right w:val="single" w:sz="12" w:space="0" w:color="auto"/>
            </w:tcBorders>
          </w:tcPr>
          <w:p w14:paraId="1335D12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Suppressed</w:t>
            </w:r>
          </w:p>
        </w:tc>
      </w:tr>
      <w:tr w:rsidR="00375049" w:rsidRPr="007B1428" w14:paraId="2094DC64" w14:textId="77777777" w:rsidTr="003F1DBE">
        <w:trPr>
          <w:cantSplit/>
          <w:jc w:val="center"/>
        </w:trPr>
        <w:tc>
          <w:tcPr>
            <w:tcW w:w="8093" w:type="dxa"/>
            <w:tcBorders>
              <w:right w:val="single" w:sz="12" w:space="0" w:color="auto"/>
            </w:tcBorders>
            <w:shd w:val="clear" w:color="auto" w:fill="auto"/>
          </w:tcPr>
          <w:p w14:paraId="5D7185A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67, </w:t>
            </w:r>
            <w:r w:rsidRPr="007B1428">
              <w:rPr>
                <w:i/>
                <w:iCs/>
                <w:szCs w:val="22"/>
              </w:rPr>
              <w:t>Use in the ITU Telecommunication Standardization Sector of the languages of the Union on an equal footing, and the Standardization Committee for Vocabulary</w:t>
            </w:r>
          </w:p>
        </w:tc>
        <w:tc>
          <w:tcPr>
            <w:tcW w:w="1248" w:type="dxa"/>
            <w:tcBorders>
              <w:right w:val="single" w:sz="12" w:space="0" w:color="auto"/>
            </w:tcBorders>
          </w:tcPr>
          <w:p w14:paraId="67220E8B"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300AD25F" w14:textId="77777777" w:rsidTr="003F1DBE">
        <w:trPr>
          <w:cantSplit/>
          <w:jc w:val="center"/>
        </w:trPr>
        <w:tc>
          <w:tcPr>
            <w:tcW w:w="8093" w:type="dxa"/>
            <w:tcBorders>
              <w:right w:val="single" w:sz="12" w:space="0" w:color="auto"/>
            </w:tcBorders>
            <w:shd w:val="clear" w:color="auto" w:fill="auto"/>
          </w:tcPr>
          <w:p w14:paraId="09D79F6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68, </w:t>
            </w:r>
            <w:r w:rsidRPr="007B1428">
              <w:rPr>
                <w:i/>
                <w:iCs/>
                <w:szCs w:val="22"/>
              </w:rPr>
              <w:t>Evolving role of industry in the ITU Telecommunication Standardization Sector</w:t>
            </w:r>
          </w:p>
        </w:tc>
        <w:tc>
          <w:tcPr>
            <w:tcW w:w="1248" w:type="dxa"/>
            <w:tcBorders>
              <w:right w:val="single" w:sz="12" w:space="0" w:color="auto"/>
            </w:tcBorders>
          </w:tcPr>
          <w:p w14:paraId="300AF94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793063A" w14:textId="77777777" w:rsidTr="003F1DBE">
        <w:trPr>
          <w:cantSplit/>
          <w:jc w:val="center"/>
        </w:trPr>
        <w:tc>
          <w:tcPr>
            <w:tcW w:w="8093" w:type="dxa"/>
            <w:tcBorders>
              <w:right w:val="single" w:sz="12" w:space="0" w:color="auto"/>
            </w:tcBorders>
            <w:shd w:val="clear" w:color="auto" w:fill="auto"/>
          </w:tcPr>
          <w:p w14:paraId="2A35405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69, </w:t>
            </w:r>
            <w:r w:rsidRPr="007B1428">
              <w:rPr>
                <w:i/>
                <w:iCs/>
                <w:szCs w:val="22"/>
              </w:rPr>
              <w:t xml:space="preserve">Non-discriminatory </w:t>
            </w:r>
            <w:proofErr w:type="gramStart"/>
            <w:r w:rsidRPr="007B1428">
              <w:rPr>
                <w:i/>
                <w:iCs/>
                <w:szCs w:val="22"/>
              </w:rPr>
              <w:t>access</w:t>
            </w:r>
            <w:proofErr w:type="gramEnd"/>
            <w:r w:rsidRPr="007B1428">
              <w:rPr>
                <w:i/>
                <w:iCs/>
                <w:szCs w:val="22"/>
              </w:rPr>
              <w:t xml:space="preserve"> and use of Internet resources</w:t>
            </w:r>
          </w:p>
        </w:tc>
        <w:tc>
          <w:tcPr>
            <w:tcW w:w="1248" w:type="dxa"/>
            <w:tcBorders>
              <w:right w:val="single" w:sz="12" w:space="0" w:color="auto"/>
            </w:tcBorders>
          </w:tcPr>
          <w:p w14:paraId="57F2C597"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3822A747" w14:textId="77777777" w:rsidTr="003F1DBE">
        <w:trPr>
          <w:cantSplit/>
          <w:jc w:val="center"/>
        </w:trPr>
        <w:tc>
          <w:tcPr>
            <w:tcW w:w="8093" w:type="dxa"/>
            <w:tcBorders>
              <w:right w:val="single" w:sz="12" w:space="0" w:color="auto"/>
            </w:tcBorders>
            <w:shd w:val="clear" w:color="auto" w:fill="auto"/>
          </w:tcPr>
          <w:p w14:paraId="7E62A6C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70, </w:t>
            </w:r>
            <w:r w:rsidRPr="007B1428">
              <w:rPr>
                <w:i/>
                <w:iCs/>
                <w:szCs w:val="22"/>
              </w:rPr>
              <w:t>Telecommunication/</w:t>
            </w:r>
            <w:proofErr w:type="gramStart"/>
            <w:r w:rsidRPr="007B1428">
              <w:rPr>
                <w:i/>
                <w:iCs/>
                <w:szCs w:val="22"/>
              </w:rPr>
              <w:t>information</w:t>
            </w:r>
            <w:proofErr w:type="gramEnd"/>
            <w:r w:rsidRPr="007B1428">
              <w:rPr>
                <w:i/>
                <w:iCs/>
                <w:szCs w:val="22"/>
              </w:rPr>
              <w:t xml:space="preserve"> and communication technology accessibility for persons with disabilities and persons with specific needs</w:t>
            </w:r>
          </w:p>
        </w:tc>
        <w:tc>
          <w:tcPr>
            <w:tcW w:w="1248" w:type="dxa"/>
            <w:tcBorders>
              <w:right w:val="single" w:sz="12" w:space="0" w:color="auto"/>
            </w:tcBorders>
          </w:tcPr>
          <w:p w14:paraId="29A4F39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453F015A" w14:textId="77777777" w:rsidTr="003F1DBE">
        <w:trPr>
          <w:cantSplit/>
          <w:jc w:val="center"/>
        </w:trPr>
        <w:tc>
          <w:tcPr>
            <w:tcW w:w="8093" w:type="dxa"/>
            <w:tcBorders>
              <w:right w:val="single" w:sz="12" w:space="0" w:color="auto"/>
            </w:tcBorders>
            <w:shd w:val="clear" w:color="auto" w:fill="auto"/>
          </w:tcPr>
          <w:p w14:paraId="24780F1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72, </w:t>
            </w:r>
            <w:proofErr w:type="gramStart"/>
            <w:r w:rsidRPr="007B1428">
              <w:rPr>
                <w:i/>
                <w:iCs/>
                <w:szCs w:val="22"/>
              </w:rPr>
              <w:t>Measurement</w:t>
            </w:r>
            <w:proofErr w:type="gramEnd"/>
            <w:r w:rsidRPr="007B1428">
              <w:rPr>
                <w:i/>
                <w:iCs/>
                <w:szCs w:val="22"/>
              </w:rPr>
              <w:t xml:space="preserve"> and assessment concerns related to human exposure to electromagnetic fields</w:t>
            </w:r>
          </w:p>
        </w:tc>
        <w:tc>
          <w:tcPr>
            <w:tcW w:w="1248" w:type="dxa"/>
            <w:tcBorders>
              <w:right w:val="single" w:sz="12" w:space="0" w:color="auto"/>
            </w:tcBorders>
          </w:tcPr>
          <w:p w14:paraId="2CE76CA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2E556BE3" w14:textId="77777777" w:rsidTr="003F1DBE">
        <w:trPr>
          <w:cantSplit/>
          <w:jc w:val="center"/>
        </w:trPr>
        <w:tc>
          <w:tcPr>
            <w:tcW w:w="8093" w:type="dxa"/>
            <w:tcBorders>
              <w:right w:val="single" w:sz="12" w:space="0" w:color="auto"/>
            </w:tcBorders>
            <w:shd w:val="clear" w:color="auto" w:fill="auto"/>
          </w:tcPr>
          <w:p w14:paraId="1D23C1A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73, </w:t>
            </w:r>
            <w:r w:rsidRPr="007B1428">
              <w:rPr>
                <w:i/>
                <w:iCs/>
                <w:szCs w:val="22"/>
              </w:rPr>
              <w:t>Information and communication technologies, environment, climate change and circular economy</w:t>
            </w:r>
          </w:p>
        </w:tc>
        <w:tc>
          <w:tcPr>
            <w:tcW w:w="1248" w:type="dxa"/>
            <w:tcBorders>
              <w:right w:val="single" w:sz="12" w:space="0" w:color="auto"/>
            </w:tcBorders>
          </w:tcPr>
          <w:p w14:paraId="7FC7C82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78BF5323" w14:textId="77777777" w:rsidTr="003F1DBE">
        <w:trPr>
          <w:cantSplit/>
          <w:jc w:val="center"/>
        </w:trPr>
        <w:tc>
          <w:tcPr>
            <w:tcW w:w="8093" w:type="dxa"/>
            <w:tcBorders>
              <w:right w:val="single" w:sz="12" w:space="0" w:color="auto"/>
            </w:tcBorders>
            <w:shd w:val="clear" w:color="auto" w:fill="auto"/>
          </w:tcPr>
          <w:p w14:paraId="1E18AB7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74, </w:t>
            </w:r>
            <w:r w:rsidRPr="007B1428">
              <w:rPr>
                <w:i/>
                <w:iCs/>
                <w:szCs w:val="22"/>
              </w:rPr>
              <w:t>Enhancing participation of Sector Members from developing countries in the work of the ITU Telecommunication Standardization Sector</w:t>
            </w:r>
          </w:p>
        </w:tc>
        <w:tc>
          <w:tcPr>
            <w:tcW w:w="1248" w:type="dxa"/>
            <w:tcBorders>
              <w:right w:val="single" w:sz="12" w:space="0" w:color="auto"/>
            </w:tcBorders>
          </w:tcPr>
          <w:p w14:paraId="337709C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F400A3A" w14:textId="77777777" w:rsidTr="003F1DBE">
        <w:trPr>
          <w:cantSplit/>
          <w:jc w:val="center"/>
        </w:trPr>
        <w:tc>
          <w:tcPr>
            <w:tcW w:w="8093" w:type="dxa"/>
            <w:tcBorders>
              <w:right w:val="single" w:sz="12" w:space="0" w:color="auto"/>
            </w:tcBorders>
            <w:shd w:val="clear" w:color="auto" w:fill="auto"/>
          </w:tcPr>
          <w:p w14:paraId="5EE54DD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75, </w:t>
            </w:r>
            <w:r w:rsidRPr="007B1428">
              <w:rPr>
                <w:i/>
                <w:iCs/>
                <w:szCs w:val="22"/>
              </w:rPr>
              <w:t xml:space="preserve">The ITU Telecommunication Standardization Sector's contribution in implementing the outcomes of the World Summit on the Information Society, </w:t>
            </w:r>
            <w:proofErr w:type="gramStart"/>
            <w:r w:rsidRPr="007B1428">
              <w:rPr>
                <w:i/>
                <w:iCs/>
                <w:szCs w:val="22"/>
              </w:rPr>
              <w:t>taking into account</w:t>
            </w:r>
            <w:proofErr w:type="gramEnd"/>
            <w:r w:rsidRPr="007B1428">
              <w:rPr>
                <w:i/>
                <w:iCs/>
                <w:szCs w:val="22"/>
              </w:rPr>
              <w:t xml:space="preserve"> the 2030 Agenda for Sustainable Development</w:t>
            </w:r>
          </w:p>
        </w:tc>
        <w:tc>
          <w:tcPr>
            <w:tcW w:w="1248" w:type="dxa"/>
            <w:tcBorders>
              <w:right w:val="single" w:sz="12" w:space="0" w:color="auto"/>
            </w:tcBorders>
          </w:tcPr>
          <w:p w14:paraId="1DE903B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6455AD55" w14:textId="77777777" w:rsidTr="003F1DBE">
        <w:trPr>
          <w:cantSplit/>
          <w:jc w:val="center"/>
        </w:trPr>
        <w:tc>
          <w:tcPr>
            <w:tcW w:w="8093" w:type="dxa"/>
            <w:tcBorders>
              <w:right w:val="single" w:sz="12" w:space="0" w:color="auto"/>
            </w:tcBorders>
            <w:shd w:val="clear" w:color="auto" w:fill="auto"/>
          </w:tcPr>
          <w:p w14:paraId="26D513E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76, </w:t>
            </w:r>
            <w:r w:rsidRPr="007B1428">
              <w:rPr>
                <w:i/>
                <w:iCs/>
                <w:szCs w:val="22"/>
              </w:rPr>
              <w:t>Studies related to conformance and interoperability testing, assistance to developing countries1, and a possible future ITU Mark programme</w:t>
            </w:r>
          </w:p>
        </w:tc>
        <w:tc>
          <w:tcPr>
            <w:tcW w:w="1248" w:type="dxa"/>
            <w:tcBorders>
              <w:right w:val="single" w:sz="12" w:space="0" w:color="auto"/>
            </w:tcBorders>
          </w:tcPr>
          <w:p w14:paraId="5768A38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17A459F7" w14:textId="77777777" w:rsidTr="003F1DBE">
        <w:trPr>
          <w:cantSplit/>
          <w:jc w:val="center"/>
        </w:trPr>
        <w:tc>
          <w:tcPr>
            <w:tcW w:w="8093" w:type="dxa"/>
            <w:tcBorders>
              <w:right w:val="single" w:sz="12" w:space="0" w:color="auto"/>
            </w:tcBorders>
            <w:shd w:val="clear" w:color="auto" w:fill="auto"/>
          </w:tcPr>
          <w:p w14:paraId="45E7806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77, </w:t>
            </w:r>
            <w:r w:rsidRPr="007B1428">
              <w:rPr>
                <w:i/>
                <w:iCs/>
                <w:szCs w:val="22"/>
              </w:rPr>
              <w:t>Enhancing the standardization work in the ITU Telecommunication Standardization Sector for software-defined networking</w:t>
            </w:r>
          </w:p>
        </w:tc>
        <w:tc>
          <w:tcPr>
            <w:tcW w:w="1248" w:type="dxa"/>
            <w:tcBorders>
              <w:right w:val="single" w:sz="12" w:space="0" w:color="auto"/>
            </w:tcBorders>
          </w:tcPr>
          <w:p w14:paraId="5D36BAAD"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Unchanged</w:t>
            </w:r>
          </w:p>
        </w:tc>
      </w:tr>
      <w:tr w:rsidR="00375049" w:rsidRPr="007B1428" w14:paraId="42CDCA7C" w14:textId="77777777" w:rsidTr="003F1DBE">
        <w:trPr>
          <w:cantSplit/>
          <w:jc w:val="center"/>
        </w:trPr>
        <w:tc>
          <w:tcPr>
            <w:tcW w:w="8093" w:type="dxa"/>
            <w:tcBorders>
              <w:right w:val="single" w:sz="12" w:space="0" w:color="auto"/>
            </w:tcBorders>
            <w:shd w:val="clear" w:color="auto" w:fill="auto"/>
          </w:tcPr>
          <w:p w14:paraId="171C076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78, </w:t>
            </w:r>
            <w:r w:rsidRPr="007B1428">
              <w:rPr>
                <w:i/>
                <w:iCs/>
                <w:szCs w:val="22"/>
              </w:rPr>
              <w:t>Information and communication technology applications and standards for improved access to e-health services</w:t>
            </w:r>
          </w:p>
        </w:tc>
        <w:tc>
          <w:tcPr>
            <w:tcW w:w="1248" w:type="dxa"/>
            <w:tcBorders>
              <w:right w:val="single" w:sz="12" w:space="0" w:color="auto"/>
            </w:tcBorders>
          </w:tcPr>
          <w:p w14:paraId="2955273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02BF7423" w14:textId="77777777" w:rsidTr="003F1DBE">
        <w:trPr>
          <w:cantSplit/>
          <w:jc w:val="center"/>
        </w:trPr>
        <w:tc>
          <w:tcPr>
            <w:tcW w:w="8093" w:type="dxa"/>
            <w:tcBorders>
              <w:right w:val="single" w:sz="12" w:space="0" w:color="auto"/>
            </w:tcBorders>
            <w:shd w:val="clear" w:color="auto" w:fill="auto"/>
          </w:tcPr>
          <w:p w14:paraId="6BDDD3A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7B1428">
              <w:rPr>
                <w:szCs w:val="22"/>
              </w:rPr>
              <w:t xml:space="preserve">Resolution 79, </w:t>
            </w:r>
            <w:r w:rsidRPr="007B1428">
              <w:rPr>
                <w:i/>
                <w:iCs/>
                <w:szCs w:val="22"/>
              </w:rPr>
              <w:t>The role of telecommunications/information and communication technologies in handling and controlling e-waste from telecommunication and information technology equipment and methods of treating it</w:t>
            </w:r>
          </w:p>
        </w:tc>
        <w:tc>
          <w:tcPr>
            <w:tcW w:w="1248" w:type="dxa"/>
            <w:tcBorders>
              <w:right w:val="single" w:sz="12" w:space="0" w:color="auto"/>
            </w:tcBorders>
          </w:tcPr>
          <w:p w14:paraId="380DC15A"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367B1DE4" w14:textId="77777777" w:rsidTr="003F1DBE">
        <w:trPr>
          <w:cantSplit/>
          <w:jc w:val="center"/>
        </w:trPr>
        <w:tc>
          <w:tcPr>
            <w:tcW w:w="8093" w:type="dxa"/>
            <w:tcBorders>
              <w:right w:val="single" w:sz="12" w:space="0" w:color="auto"/>
            </w:tcBorders>
            <w:shd w:val="clear" w:color="auto" w:fill="auto"/>
          </w:tcPr>
          <w:p w14:paraId="05D71F6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80, </w:t>
            </w:r>
            <w:r w:rsidRPr="007B1428">
              <w:rPr>
                <w:i/>
                <w:iCs/>
                <w:szCs w:val="22"/>
              </w:rPr>
              <w:t>Acknowledging the active involvement of the membership in the development of ITU Telecommunication Standardization Sector deliverables</w:t>
            </w:r>
          </w:p>
        </w:tc>
        <w:tc>
          <w:tcPr>
            <w:tcW w:w="1248" w:type="dxa"/>
            <w:tcBorders>
              <w:right w:val="single" w:sz="12" w:space="0" w:color="auto"/>
            </w:tcBorders>
          </w:tcPr>
          <w:p w14:paraId="28DCB79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3B1C8342" w14:textId="77777777" w:rsidTr="003F1DBE">
        <w:trPr>
          <w:cantSplit/>
          <w:jc w:val="center"/>
        </w:trPr>
        <w:tc>
          <w:tcPr>
            <w:tcW w:w="8093" w:type="dxa"/>
            <w:tcBorders>
              <w:right w:val="single" w:sz="12" w:space="0" w:color="auto"/>
            </w:tcBorders>
            <w:shd w:val="clear" w:color="auto" w:fill="auto"/>
          </w:tcPr>
          <w:p w14:paraId="2C3697D2"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7B1428">
              <w:rPr>
                <w:szCs w:val="22"/>
              </w:rPr>
              <w:t xml:space="preserve">Resolution 83, </w:t>
            </w:r>
            <w:r w:rsidRPr="007B1428">
              <w:rPr>
                <w:i/>
                <w:iCs/>
                <w:szCs w:val="22"/>
              </w:rPr>
              <w:t>Evaluation of the implementation of resolutions of the World Telecommunication Standardization Assembly</w:t>
            </w:r>
          </w:p>
        </w:tc>
        <w:tc>
          <w:tcPr>
            <w:tcW w:w="1248" w:type="dxa"/>
            <w:tcBorders>
              <w:right w:val="single" w:sz="12" w:space="0" w:color="auto"/>
            </w:tcBorders>
          </w:tcPr>
          <w:p w14:paraId="456B294F"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69185D2" w14:textId="77777777" w:rsidTr="003F1DBE">
        <w:trPr>
          <w:cantSplit/>
          <w:jc w:val="center"/>
        </w:trPr>
        <w:tc>
          <w:tcPr>
            <w:tcW w:w="8093" w:type="dxa"/>
            <w:tcBorders>
              <w:right w:val="single" w:sz="12" w:space="0" w:color="auto"/>
            </w:tcBorders>
            <w:shd w:val="clear" w:color="auto" w:fill="auto"/>
          </w:tcPr>
          <w:p w14:paraId="4FE4405C" w14:textId="77777777" w:rsidR="00375049" w:rsidRPr="007B1428" w:rsidRDefault="00375049" w:rsidP="003F1DBE">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84, </w:t>
            </w:r>
            <w:r w:rsidRPr="007B1428">
              <w:rPr>
                <w:i/>
                <w:iCs/>
                <w:szCs w:val="22"/>
              </w:rPr>
              <w:t>Studies concerning the protection of users of telecommunication/information and communication technology services</w:t>
            </w:r>
          </w:p>
        </w:tc>
        <w:tc>
          <w:tcPr>
            <w:tcW w:w="1248" w:type="dxa"/>
            <w:tcBorders>
              <w:right w:val="single" w:sz="12" w:space="0" w:color="auto"/>
            </w:tcBorders>
          </w:tcPr>
          <w:p w14:paraId="0285EAE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lang w:val="en-US"/>
              </w:rPr>
            </w:pPr>
            <w:r w:rsidRPr="007B1428">
              <w:rPr>
                <w:szCs w:val="22"/>
              </w:rPr>
              <w:t>Revised</w:t>
            </w:r>
          </w:p>
        </w:tc>
      </w:tr>
      <w:tr w:rsidR="00375049" w:rsidRPr="007B1428" w14:paraId="077B1569" w14:textId="77777777" w:rsidTr="003F1DBE">
        <w:trPr>
          <w:cantSplit/>
          <w:jc w:val="center"/>
        </w:trPr>
        <w:tc>
          <w:tcPr>
            <w:tcW w:w="8093" w:type="dxa"/>
            <w:tcBorders>
              <w:right w:val="single" w:sz="12" w:space="0" w:color="auto"/>
            </w:tcBorders>
            <w:shd w:val="clear" w:color="auto" w:fill="auto"/>
          </w:tcPr>
          <w:p w14:paraId="77C7A454"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85, </w:t>
            </w:r>
            <w:r w:rsidRPr="007B1428">
              <w:rPr>
                <w:i/>
                <w:iCs/>
                <w:szCs w:val="22"/>
              </w:rPr>
              <w:t>Strengthening and diversifying the resources of the ITU Telecommunication Standardization Sector</w:t>
            </w:r>
          </w:p>
        </w:tc>
        <w:tc>
          <w:tcPr>
            <w:tcW w:w="1248" w:type="dxa"/>
            <w:tcBorders>
              <w:right w:val="single" w:sz="12" w:space="0" w:color="auto"/>
            </w:tcBorders>
          </w:tcPr>
          <w:p w14:paraId="40F80F98"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AFAFB8C" w14:textId="77777777" w:rsidTr="003F1DBE">
        <w:trPr>
          <w:cantSplit/>
          <w:jc w:val="center"/>
        </w:trPr>
        <w:tc>
          <w:tcPr>
            <w:tcW w:w="8093" w:type="dxa"/>
            <w:tcBorders>
              <w:right w:val="single" w:sz="12" w:space="0" w:color="auto"/>
            </w:tcBorders>
            <w:shd w:val="clear" w:color="auto" w:fill="auto"/>
          </w:tcPr>
          <w:p w14:paraId="17F112C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86, </w:t>
            </w:r>
            <w:r w:rsidRPr="007B1428">
              <w:rPr>
                <w:i/>
                <w:iCs/>
                <w:szCs w:val="22"/>
              </w:rPr>
              <w:t>Facilitating the implementation of the Smart Africa Manifesto</w:t>
            </w:r>
          </w:p>
        </w:tc>
        <w:tc>
          <w:tcPr>
            <w:tcW w:w="1248" w:type="dxa"/>
            <w:tcBorders>
              <w:right w:val="single" w:sz="12" w:space="0" w:color="auto"/>
            </w:tcBorders>
          </w:tcPr>
          <w:p w14:paraId="166AD1B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6E64B07D" w14:textId="77777777" w:rsidTr="003F1DBE">
        <w:trPr>
          <w:cantSplit/>
          <w:jc w:val="center"/>
        </w:trPr>
        <w:tc>
          <w:tcPr>
            <w:tcW w:w="8093" w:type="dxa"/>
            <w:tcBorders>
              <w:right w:val="single" w:sz="12" w:space="0" w:color="auto"/>
            </w:tcBorders>
            <w:shd w:val="clear" w:color="auto" w:fill="auto"/>
          </w:tcPr>
          <w:p w14:paraId="2990DC9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87, </w:t>
            </w:r>
            <w:r w:rsidRPr="007B1428">
              <w:rPr>
                <w:i/>
                <w:iCs/>
                <w:szCs w:val="22"/>
              </w:rPr>
              <w:t>Participation of the ITU Telecommunication Standardization Sector in the periodic review and revision of the International Telecommunication Regulations</w:t>
            </w:r>
          </w:p>
        </w:tc>
        <w:tc>
          <w:tcPr>
            <w:tcW w:w="1248" w:type="dxa"/>
            <w:tcBorders>
              <w:right w:val="single" w:sz="12" w:space="0" w:color="auto"/>
            </w:tcBorders>
          </w:tcPr>
          <w:p w14:paraId="356B3F3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2D7F284D" w14:textId="77777777" w:rsidTr="003F1DBE">
        <w:trPr>
          <w:cantSplit/>
          <w:jc w:val="center"/>
        </w:trPr>
        <w:tc>
          <w:tcPr>
            <w:tcW w:w="8093" w:type="dxa"/>
            <w:tcBorders>
              <w:right w:val="single" w:sz="12" w:space="0" w:color="auto"/>
            </w:tcBorders>
            <w:shd w:val="clear" w:color="auto" w:fill="auto"/>
          </w:tcPr>
          <w:p w14:paraId="27D39C4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rPr>
            </w:pPr>
            <w:r w:rsidRPr="007B1428">
              <w:rPr>
                <w:szCs w:val="22"/>
              </w:rPr>
              <w:t xml:space="preserve">Resolution 88, </w:t>
            </w:r>
            <w:r w:rsidRPr="007B1428">
              <w:rPr>
                <w:i/>
                <w:iCs/>
                <w:szCs w:val="22"/>
              </w:rPr>
              <w:t>International mobile roaming</w:t>
            </w:r>
          </w:p>
        </w:tc>
        <w:tc>
          <w:tcPr>
            <w:tcW w:w="1248" w:type="dxa"/>
            <w:tcBorders>
              <w:right w:val="single" w:sz="12" w:space="0" w:color="auto"/>
            </w:tcBorders>
          </w:tcPr>
          <w:p w14:paraId="7C1E325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1FFA100E" w14:textId="77777777" w:rsidTr="003F1DBE">
        <w:trPr>
          <w:cantSplit/>
          <w:jc w:val="center"/>
        </w:trPr>
        <w:tc>
          <w:tcPr>
            <w:tcW w:w="8093" w:type="dxa"/>
            <w:tcBorders>
              <w:right w:val="single" w:sz="12" w:space="0" w:color="auto"/>
            </w:tcBorders>
            <w:shd w:val="clear" w:color="auto" w:fill="auto"/>
          </w:tcPr>
          <w:p w14:paraId="0239D809"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rPr>
            </w:pPr>
            <w:r w:rsidRPr="007B1428">
              <w:rPr>
                <w:sz w:val="22"/>
                <w:szCs w:val="22"/>
              </w:rPr>
              <w:t xml:space="preserve">Resolution 89, </w:t>
            </w:r>
            <w:r w:rsidRPr="007B1428">
              <w:rPr>
                <w:i/>
                <w:iCs/>
                <w:sz w:val="22"/>
                <w:szCs w:val="22"/>
              </w:rPr>
              <w:t>Promoting the use of information and communication technologies to bridge the financial inclusion gap</w:t>
            </w:r>
          </w:p>
        </w:tc>
        <w:tc>
          <w:tcPr>
            <w:tcW w:w="1248" w:type="dxa"/>
            <w:tcBorders>
              <w:right w:val="single" w:sz="12" w:space="0" w:color="auto"/>
            </w:tcBorders>
          </w:tcPr>
          <w:p w14:paraId="00217E61"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Revised</w:t>
            </w:r>
          </w:p>
        </w:tc>
      </w:tr>
      <w:tr w:rsidR="00375049" w:rsidRPr="007B1428" w14:paraId="1A547FFB" w14:textId="77777777" w:rsidTr="003F1DBE">
        <w:trPr>
          <w:cantSplit/>
          <w:jc w:val="center"/>
        </w:trPr>
        <w:tc>
          <w:tcPr>
            <w:tcW w:w="8093" w:type="dxa"/>
            <w:tcBorders>
              <w:right w:val="single" w:sz="12" w:space="0" w:color="auto"/>
            </w:tcBorders>
            <w:shd w:val="clear" w:color="auto" w:fill="auto"/>
          </w:tcPr>
          <w:p w14:paraId="5746B821"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rPr>
            </w:pPr>
            <w:r w:rsidRPr="007B1428">
              <w:rPr>
                <w:sz w:val="22"/>
                <w:szCs w:val="22"/>
              </w:rPr>
              <w:t xml:space="preserve">Resolution 90, </w:t>
            </w:r>
            <w:r w:rsidRPr="007B1428">
              <w:rPr>
                <w:i/>
                <w:iCs/>
                <w:sz w:val="22"/>
                <w:szCs w:val="22"/>
              </w:rPr>
              <w:t>Open source in the ITU Telecommunication Standardization Sector</w:t>
            </w:r>
          </w:p>
        </w:tc>
        <w:tc>
          <w:tcPr>
            <w:tcW w:w="1248" w:type="dxa"/>
            <w:tcBorders>
              <w:right w:val="single" w:sz="12" w:space="0" w:color="auto"/>
            </w:tcBorders>
          </w:tcPr>
          <w:p w14:paraId="4F12ABC5"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7B1428">
              <w:rPr>
                <w:szCs w:val="22"/>
              </w:rPr>
              <w:t>Unchanged</w:t>
            </w:r>
          </w:p>
        </w:tc>
      </w:tr>
      <w:tr w:rsidR="00375049" w:rsidRPr="007B1428" w14:paraId="318F87E4" w14:textId="77777777" w:rsidTr="003F1DBE">
        <w:trPr>
          <w:cantSplit/>
          <w:jc w:val="center"/>
        </w:trPr>
        <w:tc>
          <w:tcPr>
            <w:tcW w:w="8093" w:type="dxa"/>
            <w:tcBorders>
              <w:right w:val="single" w:sz="12" w:space="0" w:color="auto"/>
            </w:tcBorders>
            <w:shd w:val="clear" w:color="auto" w:fill="auto"/>
          </w:tcPr>
          <w:p w14:paraId="36BE8ABD"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91, </w:t>
            </w:r>
            <w:r w:rsidRPr="007B1428">
              <w:rPr>
                <w:i/>
                <w:iCs/>
                <w:sz w:val="22"/>
                <w:szCs w:val="22"/>
              </w:rPr>
              <w:t>Enhancing access to an electronic repository of information on numbering plans published by the ITU Telecommunication Standardization Sector</w:t>
            </w:r>
          </w:p>
        </w:tc>
        <w:tc>
          <w:tcPr>
            <w:tcW w:w="1248" w:type="dxa"/>
            <w:tcBorders>
              <w:right w:val="single" w:sz="12" w:space="0" w:color="auto"/>
            </w:tcBorders>
          </w:tcPr>
          <w:p w14:paraId="46DD443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0983A3A6" w14:textId="77777777" w:rsidTr="003F1DBE">
        <w:trPr>
          <w:cantSplit/>
          <w:jc w:val="center"/>
        </w:trPr>
        <w:tc>
          <w:tcPr>
            <w:tcW w:w="8093" w:type="dxa"/>
            <w:tcBorders>
              <w:right w:val="single" w:sz="12" w:space="0" w:color="auto"/>
            </w:tcBorders>
            <w:shd w:val="clear" w:color="auto" w:fill="auto"/>
          </w:tcPr>
          <w:p w14:paraId="6A5D045A"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92, </w:t>
            </w:r>
            <w:r w:rsidRPr="007B1428">
              <w:rPr>
                <w:i/>
                <w:iCs/>
                <w:sz w:val="22"/>
                <w:szCs w:val="22"/>
              </w:rPr>
              <w:t>Enhancing the standardization activities in the ITU Telecommunication Standardization Sector related to non-radio aspects of international mobile telecommunications</w:t>
            </w:r>
          </w:p>
        </w:tc>
        <w:tc>
          <w:tcPr>
            <w:tcW w:w="1248" w:type="dxa"/>
            <w:tcBorders>
              <w:right w:val="single" w:sz="12" w:space="0" w:color="auto"/>
            </w:tcBorders>
          </w:tcPr>
          <w:p w14:paraId="0D7CD85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09ED9372" w14:textId="77777777" w:rsidTr="003F1DBE">
        <w:trPr>
          <w:cantSplit/>
          <w:jc w:val="center"/>
        </w:trPr>
        <w:tc>
          <w:tcPr>
            <w:tcW w:w="8093" w:type="dxa"/>
            <w:tcBorders>
              <w:right w:val="single" w:sz="12" w:space="0" w:color="auto"/>
            </w:tcBorders>
            <w:shd w:val="clear" w:color="auto" w:fill="auto"/>
          </w:tcPr>
          <w:p w14:paraId="1A29D353"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93, </w:t>
            </w:r>
            <w:r w:rsidRPr="007B1428">
              <w:rPr>
                <w:i/>
                <w:iCs/>
                <w:sz w:val="22"/>
                <w:szCs w:val="22"/>
              </w:rPr>
              <w:t>Interconnection of 4G, IMT-2020 networks and beyond</w:t>
            </w:r>
          </w:p>
        </w:tc>
        <w:tc>
          <w:tcPr>
            <w:tcW w:w="1248" w:type="dxa"/>
            <w:tcBorders>
              <w:right w:val="single" w:sz="12" w:space="0" w:color="auto"/>
            </w:tcBorders>
          </w:tcPr>
          <w:p w14:paraId="519CDD96"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Unchanged</w:t>
            </w:r>
          </w:p>
        </w:tc>
      </w:tr>
      <w:tr w:rsidR="00375049" w:rsidRPr="007B1428" w14:paraId="20715B93" w14:textId="77777777" w:rsidTr="003F1DBE">
        <w:trPr>
          <w:cantSplit/>
          <w:jc w:val="center"/>
        </w:trPr>
        <w:tc>
          <w:tcPr>
            <w:tcW w:w="8093" w:type="dxa"/>
            <w:tcBorders>
              <w:right w:val="single" w:sz="12" w:space="0" w:color="auto"/>
            </w:tcBorders>
            <w:shd w:val="clear" w:color="auto" w:fill="auto"/>
          </w:tcPr>
          <w:p w14:paraId="7A3E289E"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94, </w:t>
            </w:r>
            <w:r w:rsidRPr="007B1428">
              <w:rPr>
                <w:i/>
                <w:iCs/>
                <w:sz w:val="22"/>
                <w:szCs w:val="22"/>
              </w:rPr>
              <w:t>Standardization work in the ITU Telecommunication Standardization Sector for cloud-based event data technology</w:t>
            </w:r>
          </w:p>
        </w:tc>
        <w:tc>
          <w:tcPr>
            <w:tcW w:w="1248" w:type="dxa"/>
            <w:tcBorders>
              <w:right w:val="single" w:sz="12" w:space="0" w:color="auto"/>
            </w:tcBorders>
          </w:tcPr>
          <w:p w14:paraId="3DA93C0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Unchanged</w:t>
            </w:r>
          </w:p>
        </w:tc>
      </w:tr>
      <w:tr w:rsidR="00375049" w:rsidRPr="007B1428" w14:paraId="399EB15D" w14:textId="77777777" w:rsidTr="003F1DBE">
        <w:trPr>
          <w:cantSplit/>
          <w:jc w:val="center"/>
        </w:trPr>
        <w:tc>
          <w:tcPr>
            <w:tcW w:w="8093" w:type="dxa"/>
            <w:tcBorders>
              <w:right w:val="single" w:sz="12" w:space="0" w:color="auto"/>
            </w:tcBorders>
            <w:shd w:val="clear" w:color="auto" w:fill="auto"/>
          </w:tcPr>
          <w:p w14:paraId="37D2C742"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95, </w:t>
            </w:r>
            <w:r w:rsidRPr="007B1428">
              <w:rPr>
                <w:i/>
                <w:iCs/>
                <w:sz w:val="22"/>
                <w:szCs w:val="22"/>
              </w:rPr>
              <w:t>ITU Telecommunication Standardization Sector initiatives to raise awareness on best practices and policies related to service quality</w:t>
            </w:r>
          </w:p>
        </w:tc>
        <w:tc>
          <w:tcPr>
            <w:tcW w:w="1248" w:type="dxa"/>
            <w:tcBorders>
              <w:right w:val="single" w:sz="12" w:space="0" w:color="auto"/>
            </w:tcBorders>
          </w:tcPr>
          <w:p w14:paraId="2C32F2F0"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49B4F094" w14:textId="77777777" w:rsidTr="003F1DBE">
        <w:trPr>
          <w:cantSplit/>
          <w:jc w:val="center"/>
        </w:trPr>
        <w:tc>
          <w:tcPr>
            <w:tcW w:w="8093" w:type="dxa"/>
            <w:tcBorders>
              <w:right w:val="single" w:sz="12" w:space="0" w:color="auto"/>
            </w:tcBorders>
            <w:shd w:val="clear" w:color="auto" w:fill="auto"/>
          </w:tcPr>
          <w:p w14:paraId="1806FDE7"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96, </w:t>
            </w:r>
            <w:r w:rsidRPr="007B1428">
              <w:rPr>
                <w:i/>
                <w:iCs/>
                <w:sz w:val="22"/>
                <w:szCs w:val="22"/>
              </w:rPr>
              <w:t>ITU Telecommunication Standardization Sector studies for combating counterfeit telecommunication/information and communication technology devices</w:t>
            </w:r>
          </w:p>
        </w:tc>
        <w:tc>
          <w:tcPr>
            <w:tcW w:w="1248" w:type="dxa"/>
            <w:tcBorders>
              <w:right w:val="single" w:sz="12" w:space="0" w:color="auto"/>
            </w:tcBorders>
          </w:tcPr>
          <w:p w14:paraId="5F473479"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Unchanged</w:t>
            </w:r>
          </w:p>
        </w:tc>
      </w:tr>
      <w:tr w:rsidR="00375049" w:rsidRPr="007B1428" w14:paraId="7D772800" w14:textId="77777777" w:rsidTr="003F1DBE">
        <w:trPr>
          <w:cantSplit/>
          <w:jc w:val="center"/>
        </w:trPr>
        <w:tc>
          <w:tcPr>
            <w:tcW w:w="8093" w:type="dxa"/>
            <w:tcBorders>
              <w:right w:val="single" w:sz="12" w:space="0" w:color="auto"/>
            </w:tcBorders>
            <w:shd w:val="clear" w:color="auto" w:fill="auto"/>
          </w:tcPr>
          <w:p w14:paraId="3D7E49D0"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97, </w:t>
            </w:r>
            <w:r w:rsidRPr="007B1428">
              <w:rPr>
                <w:i/>
                <w:iCs/>
                <w:sz w:val="22"/>
                <w:szCs w:val="22"/>
              </w:rPr>
              <w:t>Combating mobile telecommunication device theft</w:t>
            </w:r>
          </w:p>
        </w:tc>
        <w:tc>
          <w:tcPr>
            <w:tcW w:w="1248" w:type="dxa"/>
            <w:tcBorders>
              <w:right w:val="single" w:sz="12" w:space="0" w:color="auto"/>
            </w:tcBorders>
          </w:tcPr>
          <w:p w14:paraId="30E2878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5B79A5A3" w14:textId="77777777" w:rsidTr="003F1DBE">
        <w:trPr>
          <w:cantSplit/>
          <w:jc w:val="center"/>
        </w:trPr>
        <w:tc>
          <w:tcPr>
            <w:tcW w:w="8093" w:type="dxa"/>
            <w:tcBorders>
              <w:right w:val="single" w:sz="12" w:space="0" w:color="auto"/>
            </w:tcBorders>
            <w:shd w:val="clear" w:color="auto" w:fill="auto"/>
          </w:tcPr>
          <w:p w14:paraId="5F468AE6"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98, </w:t>
            </w:r>
            <w:r w:rsidRPr="007B1428">
              <w:rPr>
                <w:i/>
                <w:iCs/>
                <w:sz w:val="22"/>
                <w:szCs w:val="22"/>
              </w:rPr>
              <w:t>Enhancing the standardization of Internet of things and smart cities and communities for global development</w:t>
            </w:r>
          </w:p>
        </w:tc>
        <w:tc>
          <w:tcPr>
            <w:tcW w:w="1248" w:type="dxa"/>
            <w:tcBorders>
              <w:right w:val="single" w:sz="12" w:space="0" w:color="auto"/>
            </w:tcBorders>
          </w:tcPr>
          <w:p w14:paraId="304B7FFC"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Revised</w:t>
            </w:r>
          </w:p>
        </w:tc>
      </w:tr>
      <w:tr w:rsidR="00375049" w:rsidRPr="007B1428" w14:paraId="5A087D25" w14:textId="77777777" w:rsidTr="003F1DBE">
        <w:trPr>
          <w:cantSplit/>
          <w:jc w:val="center"/>
        </w:trPr>
        <w:tc>
          <w:tcPr>
            <w:tcW w:w="8093" w:type="dxa"/>
            <w:tcBorders>
              <w:right w:val="single" w:sz="12" w:space="0" w:color="auto"/>
            </w:tcBorders>
            <w:shd w:val="clear" w:color="auto" w:fill="auto"/>
          </w:tcPr>
          <w:p w14:paraId="64D435CE"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99, </w:t>
            </w:r>
            <w:r w:rsidRPr="007B1428">
              <w:rPr>
                <w:i/>
                <w:iCs/>
                <w:sz w:val="22"/>
                <w:szCs w:val="22"/>
              </w:rPr>
              <w:t>Consideration of organizational reform of the ITU Telecommunication Standardization Sector study groups</w:t>
            </w:r>
          </w:p>
        </w:tc>
        <w:tc>
          <w:tcPr>
            <w:tcW w:w="1248" w:type="dxa"/>
            <w:tcBorders>
              <w:right w:val="single" w:sz="12" w:space="0" w:color="auto"/>
            </w:tcBorders>
          </w:tcPr>
          <w:p w14:paraId="3C2106A3"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New</w:t>
            </w:r>
          </w:p>
        </w:tc>
      </w:tr>
      <w:tr w:rsidR="00375049" w:rsidRPr="007B1428" w14:paraId="3A864AC6" w14:textId="77777777" w:rsidTr="003F1DBE">
        <w:trPr>
          <w:cantSplit/>
          <w:jc w:val="center"/>
        </w:trPr>
        <w:tc>
          <w:tcPr>
            <w:tcW w:w="8093" w:type="dxa"/>
            <w:tcBorders>
              <w:right w:val="single" w:sz="12" w:space="0" w:color="auto"/>
            </w:tcBorders>
            <w:shd w:val="clear" w:color="auto" w:fill="auto"/>
          </w:tcPr>
          <w:p w14:paraId="12B5DDCB"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Resolution 100, </w:t>
            </w:r>
            <w:r w:rsidRPr="007B1428">
              <w:rPr>
                <w:i/>
                <w:iCs/>
                <w:sz w:val="22"/>
                <w:szCs w:val="22"/>
              </w:rPr>
              <w:t>A common emergency number for Africa</w:t>
            </w:r>
          </w:p>
        </w:tc>
        <w:tc>
          <w:tcPr>
            <w:tcW w:w="1248" w:type="dxa"/>
            <w:tcBorders>
              <w:right w:val="single" w:sz="12" w:space="0" w:color="auto"/>
            </w:tcBorders>
          </w:tcPr>
          <w:p w14:paraId="660A770E" w14:textId="77777777" w:rsidR="00375049" w:rsidRPr="007B142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sidRPr="007B1428">
              <w:rPr>
                <w:szCs w:val="22"/>
              </w:rPr>
              <w:t>New</w:t>
            </w:r>
          </w:p>
        </w:tc>
      </w:tr>
    </w:tbl>
    <w:p w14:paraId="4CEF5CFB" w14:textId="77777777" w:rsidR="00375049" w:rsidRDefault="00375049" w:rsidP="00375049"/>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3"/>
        <w:gridCol w:w="1248"/>
      </w:tblGrid>
      <w:tr w:rsidR="00375049" w:rsidRPr="00E25CFB" w14:paraId="485E0D40" w14:textId="77777777" w:rsidTr="003F1DBE">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15CED4DD" w14:textId="77777777" w:rsidR="00375049" w:rsidRPr="00E25CFB" w:rsidRDefault="00375049" w:rsidP="003F1DBE">
            <w:pPr>
              <w:pStyle w:val="Tablehead"/>
              <w:spacing w:before="64" w:after="64"/>
            </w:pPr>
            <w:r>
              <w:t>Opinion</w:t>
            </w:r>
          </w:p>
        </w:tc>
        <w:tc>
          <w:tcPr>
            <w:tcW w:w="1248" w:type="dxa"/>
            <w:tcBorders>
              <w:top w:val="single" w:sz="12" w:space="0" w:color="auto"/>
              <w:right w:val="single" w:sz="12" w:space="0" w:color="auto"/>
            </w:tcBorders>
            <w:shd w:val="clear" w:color="auto" w:fill="DAEEF3" w:themeFill="accent5" w:themeFillTint="33"/>
            <w:vAlign w:val="center"/>
          </w:tcPr>
          <w:p w14:paraId="3AC8E74B" w14:textId="77777777" w:rsidR="00375049" w:rsidRPr="00E25CFB" w:rsidRDefault="00375049" w:rsidP="003F1DBE">
            <w:pPr>
              <w:pStyle w:val="Tablehead"/>
              <w:spacing w:before="64" w:after="64"/>
            </w:pPr>
            <w:r>
              <w:t>Status</w:t>
            </w:r>
          </w:p>
        </w:tc>
      </w:tr>
      <w:tr w:rsidR="00375049" w:rsidRPr="00D9112D" w14:paraId="5D31243E" w14:textId="77777777" w:rsidTr="003F1DBE">
        <w:trPr>
          <w:cantSplit/>
          <w:jc w:val="center"/>
        </w:trPr>
        <w:tc>
          <w:tcPr>
            <w:tcW w:w="8093" w:type="dxa"/>
            <w:tcBorders>
              <w:right w:val="single" w:sz="12" w:space="0" w:color="auto"/>
            </w:tcBorders>
            <w:shd w:val="clear" w:color="auto" w:fill="auto"/>
          </w:tcPr>
          <w:p w14:paraId="5B2F2465" w14:textId="77777777" w:rsidR="00375049" w:rsidRPr="007B1428" w:rsidRDefault="00375049" w:rsidP="003F1DBE">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7B1428">
              <w:rPr>
                <w:sz w:val="22"/>
                <w:szCs w:val="22"/>
              </w:rPr>
              <w:t xml:space="preserve">Opinion 1, </w:t>
            </w:r>
            <w:r w:rsidRPr="007B1428">
              <w:rPr>
                <w:i/>
                <w:iCs/>
                <w:sz w:val="22"/>
                <w:szCs w:val="22"/>
              </w:rPr>
              <w:t>Practical application of network externality premium</w:t>
            </w:r>
          </w:p>
        </w:tc>
        <w:tc>
          <w:tcPr>
            <w:tcW w:w="1248" w:type="dxa"/>
            <w:tcBorders>
              <w:right w:val="single" w:sz="12" w:space="0" w:color="auto"/>
            </w:tcBorders>
          </w:tcPr>
          <w:p w14:paraId="3A940FDB" w14:textId="77777777" w:rsidR="00375049"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pPr>
            <w:r>
              <w:t>Unchanged</w:t>
            </w:r>
          </w:p>
        </w:tc>
      </w:tr>
    </w:tbl>
    <w:p w14:paraId="414836A4" w14:textId="77777777" w:rsidR="00375049" w:rsidRPr="00D9112D" w:rsidRDefault="00375049" w:rsidP="00375049">
      <w:pPr>
        <w:pStyle w:val="ListParagraph"/>
        <w:tabs>
          <w:tab w:val="clear" w:pos="567"/>
          <w:tab w:val="clear" w:pos="1134"/>
          <w:tab w:val="left" w:pos="0"/>
          <w:tab w:val="left" w:pos="851"/>
        </w:tabs>
        <w:ind w:left="927"/>
        <w:rPr>
          <w:rFonts w:asciiTheme="minorHAnsi" w:hAnsiTheme="minorHAnsi"/>
          <w:sz w:val="22"/>
          <w:szCs w:val="22"/>
          <w:u w:val="single"/>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375049" w:rsidRPr="00D9112D" w14:paraId="0D6AC8C2" w14:textId="77777777" w:rsidTr="003F1DBE">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0A64FC6F" w14:textId="77777777" w:rsidR="00375049" w:rsidRPr="00D9112D" w:rsidRDefault="00375049" w:rsidP="003F1DBE">
            <w:pPr>
              <w:pStyle w:val="Tablehead"/>
              <w:spacing w:before="64" w:after="64"/>
              <w:rPr>
                <w:rFonts w:asciiTheme="minorHAnsi" w:hAnsiTheme="minorHAnsi"/>
                <w:szCs w:val="22"/>
              </w:rPr>
            </w:pPr>
            <w:r w:rsidRPr="00D9112D">
              <w:rPr>
                <w:rFonts w:asciiTheme="minorHAnsi" w:hAnsiTheme="minorHAnsi"/>
                <w:szCs w:val="22"/>
              </w:rPr>
              <w:t>ITU-T Recommendation</w:t>
            </w:r>
            <w:r>
              <w:rPr>
                <w:rFonts w:asciiTheme="minorHAnsi" w:hAnsiTheme="minorHAnsi"/>
                <w:szCs w:val="22"/>
              </w:rPr>
              <w:t>s</w:t>
            </w:r>
          </w:p>
        </w:tc>
        <w:tc>
          <w:tcPr>
            <w:tcW w:w="1276" w:type="dxa"/>
            <w:tcBorders>
              <w:top w:val="single" w:sz="12" w:space="0" w:color="auto"/>
              <w:right w:val="single" w:sz="12" w:space="0" w:color="auto"/>
            </w:tcBorders>
            <w:shd w:val="clear" w:color="auto" w:fill="DAEEF3" w:themeFill="accent5" w:themeFillTint="33"/>
            <w:vAlign w:val="center"/>
          </w:tcPr>
          <w:p w14:paraId="5F34F368" w14:textId="77777777" w:rsidR="00375049" w:rsidRPr="00D9112D" w:rsidRDefault="00375049" w:rsidP="003F1DBE">
            <w:pPr>
              <w:pStyle w:val="Tablehead"/>
              <w:spacing w:before="64" w:after="64"/>
              <w:rPr>
                <w:rFonts w:asciiTheme="minorHAnsi" w:hAnsiTheme="minorHAnsi"/>
                <w:szCs w:val="22"/>
              </w:rPr>
            </w:pPr>
            <w:r w:rsidRPr="00D9112D">
              <w:rPr>
                <w:rFonts w:asciiTheme="minorHAnsi" w:hAnsiTheme="minorHAnsi"/>
                <w:szCs w:val="22"/>
              </w:rPr>
              <w:t>Status</w:t>
            </w:r>
          </w:p>
        </w:tc>
      </w:tr>
      <w:tr w:rsidR="00375049" w:rsidRPr="00D9112D" w14:paraId="0F1FD5C7" w14:textId="77777777" w:rsidTr="003F1DBE">
        <w:trPr>
          <w:cantSplit/>
          <w:jc w:val="center"/>
        </w:trPr>
        <w:tc>
          <w:tcPr>
            <w:tcW w:w="8065" w:type="dxa"/>
            <w:tcBorders>
              <w:top w:val="single" w:sz="12" w:space="0" w:color="auto"/>
              <w:bottom w:val="single" w:sz="4" w:space="0" w:color="auto"/>
              <w:right w:val="single" w:sz="12" w:space="0" w:color="auto"/>
            </w:tcBorders>
            <w:shd w:val="clear" w:color="auto" w:fill="auto"/>
          </w:tcPr>
          <w:p w14:paraId="54A46423"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w:t>
            </w:r>
            <w:r w:rsidRPr="004E3B98">
              <w:rPr>
                <w:rFonts w:asciiTheme="minorHAnsi" w:hAnsiTheme="minorHAnsi"/>
                <w:szCs w:val="22"/>
              </w:rPr>
              <w:t>A.1</w:t>
            </w:r>
            <w:r>
              <w:rPr>
                <w:rFonts w:asciiTheme="minorHAnsi" w:hAnsiTheme="minorHAnsi"/>
                <w:szCs w:val="22"/>
              </w:rPr>
              <w:t>,</w:t>
            </w:r>
            <w:r w:rsidRPr="00D9112D">
              <w:rPr>
                <w:rFonts w:asciiTheme="minorHAnsi" w:hAnsiTheme="minorHAnsi"/>
                <w:szCs w:val="22"/>
              </w:rPr>
              <w:t xml:space="preserve"> </w:t>
            </w:r>
            <w:r w:rsidRPr="00980337">
              <w:rPr>
                <w:rFonts w:asciiTheme="minorHAnsi" w:hAnsiTheme="minorHAnsi"/>
                <w:i/>
                <w:iCs/>
                <w:szCs w:val="22"/>
              </w:rPr>
              <w:t>Working methods for study groups of the ITU Telecommunication Standardization Sector</w:t>
            </w:r>
          </w:p>
        </w:tc>
        <w:tc>
          <w:tcPr>
            <w:tcW w:w="1276" w:type="dxa"/>
            <w:tcBorders>
              <w:top w:val="single" w:sz="12" w:space="0" w:color="auto"/>
              <w:bottom w:val="single" w:sz="4" w:space="0" w:color="auto"/>
              <w:right w:val="single" w:sz="12" w:space="0" w:color="auto"/>
            </w:tcBorders>
          </w:tcPr>
          <w:p w14:paraId="41A26C41"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asciiTheme="minorHAnsi" w:hAnsiTheme="minorHAnsi"/>
                <w:szCs w:val="22"/>
              </w:rPr>
              <w:t>Unchanged</w:t>
            </w:r>
          </w:p>
        </w:tc>
      </w:tr>
      <w:tr w:rsidR="00375049" w:rsidRPr="00D9112D" w14:paraId="1DD8B327" w14:textId="77777777" w:rsidTr="003F1DBE">
        <w:trPr>
          <w:cantSplit/>
          <w:jc w:val="center"/>
        </w:trPr>
        <w:tc>
          <w:tcPr>
            <w:tcW w:w="8065" w:type="dxa"/>
            <w:tcBorders>
              <w:top w:val="single" w:sz="4" w:space="0" w:color="auto"/>
              <w:right w:val="single" w:sz="12" w:space="0" w:color="auto"/>
            </w:tcBorders>
            <w:shd w:val="clear" w:color="auto" w:fill="auto"/>
          </w:tcPr>
          <w:p w14:paraId="5358F6CD" w14:textId="77777777" w:rsidR="00375049" w:rsidRPr="004E3B98"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A.2, </w:t>
            </w:r>
            <w:r w:rsidRPr="00305D0C">
              <w:rPr>
                <w:rFonts w:asciiTheme="minorHAnsi" w:hAnsiTheme="minorHAnsi"/>
                <w:i/>
                <w:iCs/>
                <w:szCs w:val="22"/>
              </w:rPr>
              <w:t>Presentation of contributions to the ITU Telecommunication Standardization Sector</w:t>
            </w:r>
          </w:p>
        </w:tc>
        <w:tc>
          <w:tcPr>
            <w:tcW w:w="1276" w:type="dxa"/>
            <w:tcBorders>
              <w:top w:val="single" w:sz="4" w:space="0" w:color="auto"/>
              <w:right w:val="single" w:sz="12" w:space="0" w:color="auto"/>
            </w:tcBorders>
          </w:tcPr>
          <w:p w14:paraId="17010991" w14:textId="77777777" w:rsidR="00375049"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asciiTheme="minorHAnsi" w:hAnsiTheme="minorHAnsi"/>
                <w:szCs w:val="22"/>
              </w:rPr>
              <w:t>Unchanged</w:t>
            </w:r>
          </w:p>
        </w:tc>
      </w:tr>
      <w:tr w:rsidR="00375049" w:rsidRPr="00D9112D" w14:paraId="3484335D" w14:textId="77777777" w:rsidTr="003F1DBE">
        <w:trPr>
          <w:cantSplit/>
          <w:jc w:val="center"/>
        </w:trPr>
        <w:tc>
          <w:tcPr>
            <w:tcW w:w="8065" w:type="dxa"/>
            <w:tcBorders>
              <w:right w:val="single" w:sz="12" w:space="0" w:color="auto"/>
            </w:tcBorders>
            <w:shd w:val="clear" w:color="auto" w:fill="auto"/>
          </w:tcPr>
          <w:p w14:paraId="1D5DB0D8" w14:textId="77777777" w:rsidR="00375049" w:rsidRPr="00D9112D" w:rsidRDefault="00375049" w:rsidP="003F1DBE">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w:t>
            </w:r>
            <w:r>
              <w:t xml:space="preserve">A.5, </w:t>
            </w:r>
            <w:r w:rsidRPr="00980337">
              <w:rPr>
                <w:i/>
                <w:iCs/>
              </w:rPr>
              <w:t>Generic procedures for including references to documents of other organizations in ITU-T Recommendations</w:t>
            </w:r>
          </w:p>
        </w:tc>
        <w:tc>
          <w:tcPr>
            <w:tcW w:w="1276" w:type="dxa"/>
            <w:tcBorders>
              <w:right w:val="single" w:sz="12" w:space="0" w:color="auto"/>
            </w:tcBorders>
          </w:tcPr>
          <w:p w14:paraId="2E56017F"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D9112D" w:rsidDel="009D464C">
              <w:rPr>
                <w:rFonts w:asciiTheme="minorHAnsi" w:hAnsiTheme="minorHAnsi"/>
                <w:szCs w:val="22"/>
              </w:rPr>
              <w:t>Revised</w:t>
            </w:r>
          </w:p>
        </w:tc>
      </w:tr>
      <w:tr w:rsidR="00375049" w:rsidRPr="00D9112D" w14:paraId="4ECF370E" w14:textId="77777777" w:rsidTr="003F1DBE">
        <w:trPr>
          <w:cantSplit/>
          <w:jc w:val="center"/>
        </w:trPr>
        <w:tc>
          <w:tcPr>
            <w:tcW w:w="8065" w:type="dxa"/>
            <w:tcBorders>
              <w:right w:val="single" w:sz="12" w:space="0" w:color="auto"/>
            </w:tcBorders>
            <w:shd w:val="clear" w:color="auto" w:fill="auto"/>
          </w:tcPr>
          <w:p w14:paraId="4EB34289" w14:textId="77777777" w:rsidR="00375049" w:rsidRDefault="00375049" w:rsidP="003F1DBE">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pPr>
            <w:r>
              <w:rPr>
                <w:rFonts w:asciiTheme="minorHAnsi" w:hAnsiTheme="minorHAnsi"/>
                <w:szCs w:val="22"/>
              </w:rPr>
              <w:t xml:space="preserve">Recommendation </w:t>
            </w:r>
            <w:r>
              <w:t xml:space="preserve">A.7, </w:t>
            </w:r>
            <w:r w:rsidRPr="004316C4">
              <w:rPr>
                <w:i/>
                <w:iCs/>
              </w:rPr>
              <w:t>Focus groups: Establishment and working procedures</w:t>
            </w:r>
          </w:p>
        </w:tc>
        <w:tc>
          <w:tcPr>
            <w:tcW w:w="1276" w:type="dxa"/>
            <w:tcBorders>
              <w:right w:val="single" w:sz="12" w:space="0" w:color="auto"/>
            </w:tcBorders>
          </w:tcPr>
          <w:p w14:paraId="4E0C741C"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asciiTheme="minorHAnsi" w:hAnsiTheme="minorHAnsi"/>
                <w:szCs w:val="22"/>
              </w:rPr>
              <w:t>Unchanged</w:t>
            </w:r>
          </w:p>
        </w:tc>
      </w:tr>
      <w:tr w:rsidR="00375049" w:rsidRPr="00D9112D" w14:paraId="2A39F6CC" w14:textId="77777777" w:rsidTr="003F1DBE">
        <w:trPr>
          <w:cantSplit/>
          <w:jc w:val="center"/>
        </w:trPr>
        <w:tc>
          <w:tcPr>
            <w:tcW w:w="8065" w:type="dxa"/>
            <w:tcBorders>
              <w:right w:val="single" w:sz="12" w:space="0" w:color="auto"/>
            </w:tcBorders>
            <w:shd w:val="clear" w:color="auto" w:fill="auto"/>
          </w:tcPr>
          <w:p w14:paraId="7E7FE89A"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Recommendation A</w:t>
            </w:r>
            <w:r>
              <w:t xml:space="preserve">.8, </w:t>
            </w:r>
            <w:r w:rsidRPr="00980337">
              <w:rPr>
                <w:i/>
                <w:iCs/>
              </w:rPr>
              <w:t>Alternative approval process for new and revised ITU-T Recommendations</w:t>
            </w:r>
          </w:p>
        </w:tc>
        <w:tc>
          <w:tcPr>
            <w:tcW w:w="1276" w:type="dxa"/>
            <w:tcBorders>
              <w:right w:val="single" w:sz="12" w:space="0" w:color="auto"/>
            </w:tcBorders>
          </w:tcPr>
          <w:p w14:paraId="0C0B57F5"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D9112D">
              <w:rPr>
                <w:rFonts w:asciiTheme="minorHAnsi" w:hAnsiTheme="minorHAnsi"/>
                <w:szCs w:val="22"/>
              </w:rPr>
              <w:t>Revised</w:t>
            </w:r>
          </w:p>
        </w:tc>
      </w:tr>
      <w:tr w:rsidR="00375049" w:rsidRPr="00D9112D" w14:paraId="3F8B0743" w14:textId="77777777" w:rsidTr="003F1DBE">
        <w:trPr>
          <w:cantSplit/>
          <w:jc w:val="center"/>
        </w:trPr>
        <w:tc>
          <w:tcPr>
            <w:tcW w:w="8065" w:type="dxa"/>
            <w:tcBorders>
              <w:right w:val="single" w:sz="12" w:space="0" w:color="auto"/>
            </w:tcBorders>
            <w:shd w:val="clear" w:color="auto" w:fill="auto"/>
          </w:tcPr>
          <w:p w14:paraId="0CBDAAB5"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Pr>
                <w:rFonts w:asciiTheme="minorHAnsi" w:hAnsiTheme="minorHAnsi"/>
                <w:szCs w:val="22"/>
              </w:rPr>
              <w:t xml:space="preserve">Recommendation </w:t>
            </w:r>
            <w:r>
              <w:t xml:space="preserve">A.25, </w:t>
            </w:r>
            <w:r w:rsidRPr="00980337">
              <w:rPr>
                <w:i/>
                <w:iCs/>
              </w:rPr>
              <w:t>Generic procedures for incorporating text between ITU-T and other organizations</w:t>
            </w:r>
          </w:p>
        </w:tc>
        <w:tc>
          <w:tcPr>
            <w:tcW w:w="1276" w:type="dxa"/>
            <w:tcBorders>
              <w:right w:val="single" w:sz="12" w:space="0" w:color="auto"/>
            </w:tcBorders>
          </w:tcPr>
          <w:p w14:paraId="634A96E0" w14:textId="77777777" w:rsidR="00375049" w:rsidRPr="00D9112D" w:rsidRDefault="00375049" w:rsidP="003F1DBE">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D9112D">
              <w:rPr>
                <w:rFonts w:asciiTheme="minorHAnsi" w:hAnsiTheme="minorHAnsi"/>
                <w:szCs w:val="22"/>
              </w:rPr>
              <w:t>Revised</w:t>
            </w:r>
          </w:p>
        </w:tc>
      </w:tr>
    </w:tbl>
    <w:p w14:paraId="7809A502" w14:textId="6757DC1F" w:rsidR="004A1B8B" w:rsidRDefault="00375049" w:rsidP="00375049">
      <w:pPr>
        <w:tabs>
          <w:tab w:val="clear" w:pos="567"/>
          <w:tab w:val="clear" w:pos="1134"/>
          <w:tab w:val="left" w:pos="0"/>
          <w:tab w:val="left" w:pos="851"/>
        </w:tabs>
        <w:spacing w:before="840"/>
        <w:jc w:val="center"/>
        <w:rPr>
          <w:lang w:val="en-US"/>
        </w:rPr>
      </w:pPr>
      <w:r>
        <w:rPr>
          <w:u w:val="single"/>
        </w:rPr>
        <w:t>_______________</w:t>
      </w:r>
    </w:p>
    <w:sectPr w:rsidR="004A1B8B"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15CEF68C" w:rsidR="00CB18FF" w:rsidRPr="00383FD2" w:rsidRDefault="00383FD2">
    <w:pPr>
      <w:pStyle w:val="Footer"/>
      <w:rPr>
        <w:color w:val="D9D9D9" w:themeColor="background1" w:themeShade="D9"/>
      </w:rPr>
    </w:pPr>
    <w:r w:rsidRPr="00383FD2">
      <w:rPr>
        <w:color w:val="D9D9D9" w:themeColor="background1" w:themeShade="D9"/>
      </w:rPr>
      <w:fldChar w:fldCharType="begin"/>
    </w:r>
    <w:r w:rsidRPr="00383FD2">
      <w:rPr>
        <w:color w:val="D9D9D9" w:themeColor="background1" w:themeShade="D9"/>
      </w:rPr>
      <w:instrText xml:space="preserve"> FILENAME \p  \* MERGEFORMAT </w:instrText>
    </w:r>
    <w:r w:rsidRPr="00383FD2">
      <w:rPr>
        <w:color w:val="D9D9D9" w:themeColor="background1" w:themeShade="D9"/>
      </w:rPr>
      <w:fldChar w:fldCharType="separate"/>
    </w:r>
    <w:r w:rsidR="0014634F" w:rsidRPr="00383FD2">
      <w:rPr>
        <w:color w:val="D9D9D9" w:themeColor="background1" w:themeShade="D9"/>
      </w:rPr>
      <w:t>Document1</w:t>
    </w:r>
    <w:r w:rsidRPr="00383FD2">
      <w:rPr>
        <w:color w:val="D9D9D9" w:themeColor="background1" w:themeShade="D9"/>
      </w:rPr>
      <w:fldChar w:fldCharType="end"/>
    </w:r>
    <w:r w:rsidR="00CB18FF" w:rsidRPr="00383FD2">
      <w:rPr>
        <w:color w:val="D9D9D9" w:themeColor="background1" w:themeShade="D9"/>
      </w:rPr>
      <w:tab/>
    </w:r>
    <w:r w:rsidR="00864AFF" w:rsidRPr="00383FD2">
      <w:rPr>
        <w:color w:val="D9D9D9" w:themeColor="background1" w:themeShade="D9"/>
      </w:rPr>
      <w:fldChar w:fldCharType="begin"/>
    </w:r>
    <w:r w:rsidR="00CB18FF" w:rsidRPr="00383FD2">
      <w:rPr>
        <w:color w:val="D9D9D9" w:themeColor="background1" w:themeShade="D9"/>
      </w:rPr>
      <w:instrText xml:space="preserve"> SAVEDATE \@ DD.MM.YY </w:instrText>
    </w:r>
    <w:r w:rsidR="00864AFF" w:rsidRPr="00383FD2">
      <w:rPr>
        <w:color w:val="D9D9D9" w:themeColor="background1" w:themeShade="D9"/>
      </w:rPr>
      <w:fldChar w:fldCharType="separate"/>
    </w:r>
    <w:r w:rsidR="00375049" w:rsidRPr="00383FD2">
      <w:rPr>
        <w:color w:val="D9D9D9" w:themeColor="background1" w:themeShade="D9"/>
      </w:rPr>
      <w:t>26.01.22</w:t>
    </w:r>
    <w:r w:rsidR="00864AFF" w:rsidRPr="00383FD2">
      <w:rPr>
        <w:color w:val="D9D9D9" w:themeColor="background1" w:themeShade="D9"/>
      </w:rPr>
      <w:fldChar w:fldCharType="end"/>
    </w:r>
    <w:r w:rsidR="00CB18FF" w:rsidRPr="00383FD2">
      <w:rPr>
        <w:color w:val="D9D9D9" w:themeColor="background1" w:themeShade="D9"/>
      </w:rPr>
      <w:tab/>
    </w:r>
    <w:r w:rsidR="00864AFF" w:rsidRPr="00383FD2">
      <w:rPr>
        <w:color w:val="D9D9D9" w:themeColor="background1" w:themeShade="D9"/>
      </w:rPr>
      <w:fldChar w:fldCharType="begin"/>
    </w:r>
    <w:r w:rsidR="00CB18FF" w:rsidRPr="00383FD2">
      <w:rPr>
        <w:color w:val="D9D9D9" w:themeColor="background1" w:themeShade="D9"/>
      </w:rPr>
      <w:instrText xml:space="preserve"> PRINTDATE \@ DD.MM.YY </w:instrText>
    </w:r>
    <w:r w:rsidR="00864AFF" w:rsidRPr="00383FD2">
      <w:rPr>
        <w:color w:val="D9D9D9" w:themeColor="background1" w:themeShade="D9"/>
      </w:rPr>
      <w:fldChar w:fldCharType="separate"/>
    </w:r>
    <w:r w:rsidR="0014634F" w:rsidRPr="00383FD2">
      <w:rPr>
        <w:color w:val="D9D9D9" w:themeColor="background1" w:themeShade="D9"/>
      </w:rPr>
      <w:t>18.07.00</w:t>
    </w:r>
    <w:r w:rsidR="00864AFF" w:rsidRPr="00383FD2">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5E3687D2"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383FD2">
      <w:rPr>
        <w:bCs/>
      </w:rPr>
      <w:t>24</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0223"/>
    <w:rsid w:val="00322D0D"/>
    <w:rsid w:val="00375049"/>
    <w:rsid w:val="00383FD2"/>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B384B"/>
    <w:rsid w:val="00E10E80"/>
    <w:rsid w:val="00E124F0"/>
    <w:rsid w:val="00E3513C"/>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uiPriority w:val="99"/>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375049"/>
    <w:rPr>
      <w:color w:val="605E5C"/>
      <w:shd w:val="clear" w:color="auto" w:fill="E1DFDD"/>
    </w:rPr>
  </w:style>
  <w:style w:type="paragraph" w:styleId="ListParagraph">
    <w:name w:val="List Paragraph"/>
    <w:basedOn w:val="Normal"/>
    <w:link w:val="ListParagraphChar"/>
    <w:uiPriority w:val="34"/>
    <w:qFormat/>
    <w:rsid w:val="00375049"/>
    <w:pPr>
      <w:ind w:left="720"/>
      <w:contextualSpacing/>
    </w:pPr>
  </w:style>
  <w:style w:type="character" w:customStyle="1" w:styleId="ListParagraphChar">
    <w:name w:val="List Paragraph Char"/>
    <w:link w:val="ListParagraph"/>
    <w:uiPriority w:val="34"/>
    <w:qFormat/>
    <w:rsid w:val="0037504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ss.itu.int/wp-content/uploads/2022/02/2022-02-28-GSS-20-Conclusions-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2-CL-INF-001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tsa12.wordpress.com/2012/11/29/study-group-leadership-appoin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WTSA.20-C-0055/en" TargetMode="External"/><Relationship Id="rId5" Type="http://schemas.openxmlformats.org/officeDocument/2006/relationships/webSettings" Target="webSettings.xml"/><Relationship Id="rId15" Type="http://schemas.openxmlformats.org/officeDocument/2006/relationships/hyperlink" Target="https://u4ssc.itu.int/case-studies/" TargetMode="External"/><Relationship Id="rId10" Type="http://schemas.openxmlformats.org/officeDocument/2006/relationships/hyperlink" Target="https://gs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tsa.itu.int/" TargetMode="External"/><Relationship Id="rId14" Type="http://schemas.openxmlformats.org/officeDocument/2006/relationships/hyperlink" Target="https://www.itu.int/md/T17-WTSA.20-C-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18019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20745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2022</dc:title>
  <dc:subject>Council 2022</dc:subject>
  <dc:creator>Brouard, Ricarda</dc:creator>
  <cp:keywords>C2022, C22, Council-22</cp:keywords>
  <dc:description/>
  <cp:lastModifiedBy>Brouard, Ricarda</cp:lastModifiedBy>
  <cp:revision>2</cp:revision>
  <cp:lastPrinted>2000-07-18T13:30:00Z</cp:lastPrinted>
  <dcterms:created xsi:type="dcterms:W3CDTF">2022-03-16T19:31:00Z</dcterms:created>
  <dcterms:modified xsi:type="dcterms:W3CDTF">2022-03-16T19:31:00Z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