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E73A1" w:rsidRPr="00FA6B94" w14:paraId="7D071FD1" w14:textId="77777777">
        <w:trPr>
          <w:cantSplit/>
        </w:trPr>
        <w:tc>
          <w:tcPr>
            <w:tcW w:w="6911" w:type="dxa"/>
          </w:tcPr>
          <w:p w14:paraId="12D5F7A1" w14:textId="23FAFBB3" w:rsidR="005E73A1" w:rsidRPr="00FA6B94" w:rsidRDefault="005E73A1" w:rsidP="005E73A1">
            <w:pPr>
              <w:tabs>
                <w:tab w:val="clear" w:pos="1588"/>
                <w:tab w:val="clear" w:pos="1985"/>
                <w:tab w:val="left" w:pos="4545"/>
              </w:tabs>
              <w:spacing w:before="360" w:after="48"/>
              <w:rPr>
                <w:position w:val="6"/>
                <w:szCs w:val="22"/>
              </w:rPr>
            </w:pPr>
            <w:r w:rsidRPr="00FA6B94">
              <w:rPr>
                <w:b/>
                <w:smallCaps/>
                <w:sz w:val="28"/>
                <w:szCs w:val="28"/>
              </w:rPr>
              <w:t>СОВЕТ 202</w:t>
            </w:r>
            <w:r w:rsidR="00C15247" w:rsidRPr="00FA6B94">
              <w:rPr>
                <w:b/>
                <w:smallCaps/>
                <w:sz w:val="28"/>
                <w:szCs w:val="28"/>
              </w:rPr>
              <w:t>2</w:t>
            </w:r>
            <w:r w:rsidRPr="00FA6B94">
              <w:rPr>
                <w:b/>
                <w:smallCaps/>
                <w:sz w:val="24"/>
                <w:szCs w:val="24"/>
              </w:rPr>
              <w:br/>
            </w:r>
            <w:r w:rsidR="00C15247" w:rsidRPr="00FA6B94">
              <w:rPr>
                <w:b/>
                <w:bCs/>
                <w:sz w:val="24"/>
                <w:szCs w:val="24"/>
              </w:rPr>
              <w:t>Заключительное собрание, Бухарест, 24 сентября 2022</w:t>
            </w:r>
            <w:r w:rsidRPr="00FA6B94">
              <w:rPr>
                <w:b/>
                <w:bCs/>
                <w:sz w:val="24"/>
                <w:szCs w:val="22"/>
              </w:rPr>
              <w:t xml:space="preserve"> года</w:t>
            </w:r>
          </w:p>
        </w:tc>
        <w:tc>
          <w:tcPr>
            <w:tcW w:w="3120" w:type="dxa"/>
          </w:tcPr>
          <w:p w14:paraId="3589A837" w14:textId="6F7A5A6A" w:rsidR="005E73A1" w:rsidRPr="00FA6B94" w:rsidRDefault="005E73A1" w:rsidP="005E73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FA6B94">
              <w:rPr>
                <w:noProof/>
              </w:rPr>
              <w:drawing>
                <wp:inline distT="0" distB="0" distL="0" distR="0" wp14:anchorId="43EB77CA" wp14:editId="3B5F4DC9">
                  <wp:extent cx="681990" cy="719455"/>
                  <wp:effectExtent l="0" t="0" r="3810" b="444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A6B94" w14:paraId="6A48AA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5C8CF7" w14:textId="77777777" w:rsidR="00BC7BC0" w:rsidRPr="00FA6B9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9892E9" w14:textId="77777777" w:rsidR="00BC7BC0" w:rsidRPr="00FA6B94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017AC0" w:rsidRPr="00FA6B94" w14:paraId="6634131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BE1CB4" w14:textId="77777777" w:rsidR="00017AC0" w:rsidRPr="00FA6B94" w:rsidRDefault="00017A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5FFB2E" w14:textId="77777777" w:rsidR="00017AC0" w:rsidRPr="00FA6B94" w:rsidRDefault="00017A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FA6B94" w14:paraId="7138315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A2428E8" w14:textId="72EA151B" w:rsidR="00BC7BC0" w:rsidRPr="00FA6B94" w:rsidRDefault="00017AC0" w:rsidP="00D05C16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FA6B94">
              <w:rPr>
                <w:rFonts w:asciiTheme="minorHAnsi" w:hAnsiTheme="minorHAnsi" w:cstheme="minorHAnsi"/>
                <w:b/>
                <w:szCs w:val="22"/>
              </w:rPr>
              <w:t xml:space="preserve">Пункт повестки дня: </w:t>
            </w:r>
            <w:r w:rsidR="009B0C78" w:rsidRPr="00FA6B94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3120" w:type="dxa"/>
          </w:tcPr>
          <w:p w14:paraId="08424405" w14:textId="0B08E514" w:rsidR="00BC7BC0" w:rsidRPr="00FA6B94" w:rsidRDefault="00C840B1" w:rsidP="00D05C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FA6B94">
              <w:rPr>
                <w:b/>
                <w:bCs/>
                <w:szCs w:val="22"/>
              </w:rPr>
              <w:t xml:space="preserve">Дополнительный документ 1 </w:t>
            </w:r>
            <w:r w:rsidRPr="00FA6B94">
              <w:rPr>
                <w:b/>
                <w:bCs/>
                <w:szCs w:val="22"/>
              </w:rPr>
              <w:br/>
              <w:t xml:space="preserve">к </w:t>
            </w:r>
            <w:r w:rsidR="00BC7BC0" w:rsidRPr="00FA6B94">
              <w:rPr>
                <w:b/>
                <w:bCs/>
                <w:szCs w:val="22"/>
              </w:rPr>
              <w:t>Документ</w:t>
            </w:r>
            <w:r w:rsidRPr="00FA6B94">
              <w:rPr>
                <w:b/>
                <w:bCs/>
                <w:szCs w:val="22"/>
              </w:rPr>
              <w:t>у</w:t>
            </w:r>
            <w:r w:rsidR="00BC7BC0" w:rsidRPr="00FA6B94">
              <w:rPr>
                <w:b/>
                <w:bCs/>
                <w:szCs w:val="22"/>
              </w:rPr>
              <w:t xml:space="preserve"> C</w:t>
            </w:r>
            <w:r w:rsidR="00836F49" w:rsidRPr="00FA6B94">
              <w:rPr>
                <w:b/>
                <w:bCs/>
                <w:szCs w:val="22"/>
              </w:rPr>
              <w:t>2</w:t>
            </w:r>
            <w:r w:rsidRPr="00FA6B94">
              <w:rPr>
                <w:b/>
                <w:bCs/>
                <w:szCs w:val="22"/>
              </w:rPr>
              <w:t>2</w:t>
            </w:r>
            <w:r w:rsidR="00BC7BC0" w:rsidRPr="00FA6B94">
              <w:rPr>
                <w:b/>
                <w:bCs/>
                <w:szCs w:val="22"/>
              </w:rPr>
              <w:t>/</w:t>
            </w:r>
            <w:r w:rsidR="00836F49" w:rsidRPr="00FA6B94">
              <w:rPr>
                <w:b/>
                <w:bCs/>
                <w:szCs w:val="22"/>
              </w:rPr>
              <w:t>22</w:t>
            </w:r>
            <w:r w:rsidR="00BC7BC0" w:rsidRPr="00FA6B94">
              <w:rPr>
                <w:b/>
                <w:bCs/>
                <w:szCs w:val="22"/>
              </w:rPr>
              <w:t>-R</w:t>
            </w:r>
          </w:p>
        </w:tc>
      </w:tr>
      <w:tr w:rsidR="00BC7BC0" w:rsidRPr="00FA6B94" w14:paraId="0BBB933D" w14:textId="77777777">
        <w:trPr>
          <w:cantSplit/>
          <w:trHeight w:val="23"/>
        </w:trPr>
        <w:tc>
          <w:tcPr>
            <w:tcW w:w="6911" w:type="dxa"/>
            <w:vMerge/>
          </w:tcPr>
          <w:p w14:paraId="13C96897" w14:textId="77777777" w:rsidR="00BC7BC0" w:rsidRPr="00FA6B9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30BE331C" w14:textId="3B0AD9D4" w:rsidR="00BC7BC0" w:rsidRPr="00FA6B94" w:rsidRDefault="009B0C78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A6B94">
              <w:rPr>
                <w:b/>
                <w:bCs/>
              </w:rPr>
              <w:t>14</w:t>
            </w:r>
            <w:r w:rsidR="00C840B1" w:rsidRPr="00FA6B94">
              <w:rPr>
                <w:b/>
                <w:bCs/>
              </w:rPr>
              <w:t xml:space="preserve"> сентября 2022 </w:t>
            </w:r>
            <w:r w:rsidR="008222E3" w:rsidRPr="00FA6B94">
              <w:rPr>
                <w:b/>
                <w:bCs/>
              </w:rPr>
              <w:t>года</w:t>
            </w:r>
          </w:p>
        </w:tc>
      </w:tr>
      <w:tr w:rsidR="00BC7BC0" w:rsidRPr="00FA6B94" w14:paraId="750F6344" w14:textId="77777777">
        <w:trPr>
          <w:cantSplit/>
          <w:trHeight w:val="23"/>
        </w:trPr>
        <w:tc>
          <w:tcPr>
            <w:tcW w:w="6911" w:type="dxa"/>
            <w:vMerge/>
          </w:tcPr>
          <w:p w14:paraId="360C4B60" w14:textId="77777777" w:rsidR="00BC7BC0" w:rsidRPr="00FA6B9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10B46EE8" w14:textId="77777777" w:rsidR="00BC7BC0" w:rsidRPr="00FA6B94" w:rsidRDefault="008222E3" w:rsidP="00A322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A6B94">
              <w:rPr>
                <w:b/>
                <w:bCs/>
              </w:rPr>
              <w:t xml:space="preserve">Оригинал: </w:t>
            </w:r>
            <w:r w:rsidR="00A322AD" w:rsidRPr="00FA6B94">
              <w:rPr>
                <w:b/>
                <w:bCs/>
              </w:rPr>
              <w:t>английский</w:t>
            </w:r>
          </w:p>
        </w:tc>
      </w:tr>
      <w:tr w:rsidR="00BC7BC0" w:rsidRPr="00FA6B94" w14:paraId="02360BA8" w14:textId="77777777">
        <w:trPr>
          <w:cantSplit/>
        </w:trPr>
        <w:tc>
          <w:tcPr>
            <w:tcW w:w="10031" w:type="dxa"/>
            <w:gridSpan w:val="2"/>
          </w:tcPr>
          <w:p w14:paraId="6A600F40" w14:textId="77777777" w:rsidR="00BC7BC0" w:rsidRPr="00FA6B94" w:rsidRDefault="00077520" w:rsidP="00BA5489">
            <w:pPr>
              <w:pStyle w:val="Source"/>
            </w:pPr>
            <w:bookmarkStart w:id="1" w:name="dtitle2" w:colFirst="0" w:colLast="0"/>
            <w:r w:rsidRPr="00FA6B94">
              <w:t>Отчет</w:t>
            </w:r>
            <w:r w:rsidR="008222E3" w:rsidRPr="00FA6B94">
              <w:t xml:space="preserve"> Генерального секретаря</w:t>
            </w:r>
          </w:p>
        </w:tc>
      </w:tr>
      <w:tr w:rsidR="00BC7BC0" w:rsidRPr="00FA6B94" w14:paraId="6CED0434" w14:textId="77777777">
        <w:trPr>
          <w:cantSplit/>
        </w:trPr>
        <w:tc>
          <w:tcPr>
            <w:tcW w:w="10031" w:type="dxa"/>
            <w:gridSpan w:val="2"/>
          </w:tcPr>
          <w:p w14:paraId="6E69D3BE" w14:textId="2C35C101" w:rsidR="00BC7BC0" w:rsidRPr="00FA6B94" w:rsidRDefault="00781E1E" w:rsidP="003C6CA3">
            <w:pPr>
              <w:pStyle w:val="Title1"/>
            </w:pPr>
            <w:bookmarkStart w:id="2" w:name="dtitle3" w:colFirst="0" w:colLast="0"/>
            <w:bookmarkEnd w:id="1"/>
            <w:r w:rsidRPr="00FA6B94">
              <w:t xml:space="preserve">дополнительный документ 1 </w:t>
            </w:r>
            <w:r w:rsidRPr="00FA6B94">
              <w:br/>
              <w:t>к одиннадцатому</w:t>
            </w:r>
            <w:r w:rsidR="008036FD" w:rsidRPr="00FA6B94">
              <w:t xml:space="preserve"> ЕЖЕГОДН</w:t>
            </w:r>
            <w:r w:rsidRPr="00FA6B94">
              <w:t>ому</w:t>
            </w:r>
            <w:r w:rsidR="008036FD" w:rsidRPr="00FA6B94">
              <w:t xml:space="preserve"> </w:t>
            </w:r>
            <w:r w:rsidR="003C6CA3" w:rsidRPr="00FA6B94">
              <w:t>ОТЧЕТ</w:t>
            </w:r>
            <w:r w:rsidRPr="00FA6B94">
              <w:t>у</w:t>
            </w:r>
            <w:r w:rsidR="003C6CA3" w:rsidRPr="00FA6B94">
              <w:t xml:space="preserve"> </w:t>
            </w:r>
            <w:r w:rsidR="00306A72" w:rsidRPr="00FA6B94">
              <w:br/>
            </w:r>
            <w:r w:rsidR="003C6CA3" w:rsidRPr="00FA6B94">
              <w:t>НЕЗАВИСИМОГО КОНСУЛЬТАТИВНОГО КОМИТЕТА ПО УПРАВЛЕНИЮ (IMAC)</w:t>
            </w:r>
          </w:p>
        </w:tc>
      </w:tr>
      <w:tr w:rsidR="00B85B77" w:rsidRPr="00FA6B94" w14:paraId="02A771AE" w14:textId="77777777">
        <w:trPr>
          <w:cantSplit/>
        </w:trPr>
        <w:tc>
          <w:tcPr>
            <w:tcW w:w="10031" w:type="dxa"/>
            <w:gridSpan w:val="2"/>
          </w:tcPr>
          <w:p w14:paraId="5BC72A1D" w14:textId="6FC23DF6" w:rsidR="00B85B77" w:rsidRPr="00FA6B94" w:rsidRDefault="00781E1E" w:rsidP="00B85B77">
            <w:pPr>
              <w:pStyle w:val="Title2"/>
              <w:rPr>
                <w:b/>
                <w:bCs/>
              </w:rPr>
            </w:pPr>
            <w:r w:rsidRPr="00FA6B94">
              <w:rPr>
                <w:b/>
                <w:bCs/>
              </w:rPr>
              <w:t xml:space="preserve">ежегодный отчет </w:t>
            </w:r>
            <w:r w:rsidR="00017AC0" w:rsidRPr="00FA6B94">
              <w:rPr>
                <w:b/>
                <w:bCs/>
              </w:rPr>
              <w:t>З</w:t>
            </w:r>
            <w:r w:rsidRPr="00FA6B94">
              <w:rPr>
                <w:b/>
                <w:bCs/>
              </w:rPr>
              <w:t>а 2021–2022 годы</w:t>
            </w:r>
          </w:p>
        </w:tc>
      </w:tr>
    </w:tbl>
    <w:p w14:paraId="6CC0DD33" w14:textId="41297F31" w:rsidR="00971428" w:rsidRPr="00FA6B94" w:rsidRDefault="003C6CA3" w:rsidP="005936EA">
      <w:pPr>
        <w:pStyle w:val="Normalaftertitle"/>
      </w:pPr>
      <w:bookmarkStart w:id="3" w:name="lt_pId014"/>
      <w:bookmarkEnd w:id="2"/>
      <w:r w:rsidRPr="00FA6B94">
        <w:t xml:space="preserve">Имею честь направить Государствам – Членам Совета отчет </w:t>
      </w:r>
      <w:r w:rsidR="000F5715" w:rsidRPr="00FA6B94">
        <w:t>п</w:t>
      </w:r>
      <w:r w:rsidRPr="00FA6B94">
        <w:t>редседателя Независимого консультативного комитета по управлению (IMAC).</w:t>
      </w:r>
    </w:p>
    <w:p w14:paraId="3DF2E830" w14:textId="77777777" w:rsidR="008222E3" w:rsidRPr="00FA6B94" w:rsidRDefault="005936EA" w:rsidP="005936E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FA6B94">
        <w:tab/>
      </w:r>
      <w:proofErr w:type="spellStart"/>
      <w:r w:rsidR="008222E3" w:rsidRPr="00FA6B94">
        <w:t>Хоулинь</w:t>
      </w:r>
      <w:proofErr w:type="spellEnd"/>
      <w:r w:rsidR="008222E3" w:rsidRPr="00FA6B94">
        <w:t xml:space="preserve"> ЧЖАО</w:t>
      </w:r>
      <w:bookmarkEnd w:id="3"/>
      <w:r w:rsidR="008222E3" w:rsidRPr="00FA6B94">
        <w:br/>
      </w:r>
      <w:r w:rsidRPr="00FA6B94">
        <w:tab/>
      </w:r>
      <w:r w:rsidR="008222E3" w:rsidRPr="00FA6B94">
        <w:t>Генеральный секретарь</w:t>
      </w:r>
    </w:p>
    <w:p w14:paraId="2AC2512E" w14:textId="77777777" w:rsidR="008222E3" w:rsidRPr="00FA6B94" w:rsidRDefault="008222E3" w:rsidP="000127C1">
      <w:r w:rsidRPr="00FA6B94">
        <w:br w:type="page"/>
      </w:r>
    </w:p>
    <w:p w14:paraId="7BB12015" w14:textId="55644FDD" w:rsidR="00077520" w:rsidRPr="00FA6B94" w:rsidRDefault="00077520" w:rsidP="00ED4B6F">
      <w:pPr>
        <w:pStyle w:val="Normalaftertitle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22D4" w:rsidRPr="00FA6B94" w14:paraId="5F99C817" w14:textId="77777777" w:rsidTr="00ED41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8C5AE" w14:textId="77777777" w:rsidR="00D222D4" w:rsidRPr="00FA6B94" w:rsidRDefault="00D222D4" w:rsidP="00ED4103">
            <w:pPr>
              <w:pStyle w:val="Headingb"/>
            </w:pPr>
            <w:r w:rsidRPr="00FA6B94">
              <w:t>Резюме</w:t>
            </w:r>
          </w:p>
          <w:p w14:paraId="18348E63" w14:textId="0DAB5B4C" w:rsidR="00D222D4" w:rsidRPr="00FA6B94" w:rsidRDefault="00470798" w:rsidP="004C5AE0">
            <w:r w:rsidRPr="00FA6B94">
              <w:t>В настоящем</w:t>
            </w:r>
            <w:r w:rsidR="00E453AD" w:rsidRPr="00FA6B94">
              <w:t xml:space="preserve"> дополнительном документе к одиннадцатому</w:t>
            </w:r>
            <w:r w:rsidRPr="00FA6B94">
              <w:t xml:space="preserve"> отчет</w:t>
            </w:r>
            <w:r w:rsidR="00E453AD" w:rsidRPr="00FA6B94">
              <w:t>у</w:t>
            </w:r>
            <w:r w:rsidRPr="00FA6B94">
              <w:t xml:space="preserve"> Независимого консультативного комитета по управлению (IMAC) Совету МСЭ содерж</w:t>
            </w:r>
            <w:r w:rsidR="00E453AD" w:rsidRPr="00FA6B94">
              <w:t>и</w:t>
            </w:r>
            <w:r w:rsidRPr="00FA6B94">
              <w:t>тся</w:t>
            </w:r>
            <w:r w:rsidR="00DE6008" w:rsidRPr="00FA6B94">
              <w:t xml:space="preserve"> </w:t>
            </w:r>
            <w:r w:rsidR="00E453AD" w:rsidRPr="00FA6B94">
              <w:t>подробный ежегодный отчет</w:t>
            </w:r>
            <w:r w:rsidRPr="00FA6B94">
              <w:t xml:space="preserve"> IMAC </w:t>
            </w:r>
            <w:r w:rsidR="00DB06C1" w:rsidRPr="00FA6B94">
              <w:t>о деятельности за 2021–2022 годы для представления на заключительном собрании сессии Совета 2022 года перед Полномочной конференцией</w:t>
            </w:r>
            <w:r w:rsidR="00D222D4" w:rsidRPr="00FA6B94">
              <w:t>.</w:t>
            </w:r>
          </w:p>
          <w:p w14:paraId="445601F7" w14:textId="11EF2306" w:rsidR="002B4B9E" w:rsidRPr="00FA6B94" w:rsidRDefault="00BB34D5" w:rsidP="004C5AE0">
            <w:r w:rsidRPr="00FA6B94">
              <w:t xml:space="preserve">В отчете также содержатся мнения IMAC </w:t>
            </w:r>
            <w:r w:rsidR="008F0529" w:rsidRPr="00FA6B94">
              <w:t xml:space="preserve">по </w:t>
            </w:r>
            <w:r w:rsidR="008F0529" w:rsidRPr="00FA6B94">
              <w:rPr>
                <w:color w:val="000000"/>
              </w:rPr>
              <w:t xml:space="preserve">отчету Внешнего аудитора по финансовой отчетности МСЭ за </w:t>
            </w:r>
            <w:r w:rsidR="002B4B9E" w:rsidRPr="00FA6B94">
              <w:t>202</w:t>
            </w:r>
            <w:r w:rsidRPr="00FA6B94">
              <w:t>1</w:t>
            </w:r>
            <w:r w:rsidR="002B4B9E" w:rsidRPr="00FA6B94">
              <w:t xml:space="preserve"> </w:t>
            </w:r>
            <w:r w:rsidR="00F47360" w:rsidRPr="00FA6B94">
              <w:t>год</w:t>
            </w:r>
            <w:r w:rsidR="002B4B9E" w:rsidRPr="00FA6B94">
              <w:t>.</w:t>
            </w:r>
          </w:p>
          <w:p w14:paraId="0FFDC8C9" w14:textId="77777777" w:rsidR="00D222D4" w:rsidRPr="00FA6B94" w:rsidRDefault="00D222D4" w:rsidP="00ED4103">
            <w:pPr>
              <w:pStyle w:val="Headingb"/>
            </w:pPr>
            <w:r w:rsidRPr="00FA6B94">
              <w:t>Необходимые действия</w:t>
            </w:r>
          </w:p>
          <w:p w14:paraId="160C9266" w14:textId="3F1CF76C" w:rsidR="00D222D4" w:rsidRPr="00FA6B94" w:rsidRDefault="00470798" w:rsidP="00CD5E77">
            <w:r w:rsidRPr="00FA6B94">
              <w:t xml:space="preserve">Совету предлагается </w:t>
            </w:r>
            <w:r w:rsidRPr="00FA6B94">
              <w:rPr>
                <w:b/>
                <w:bCs/>
              </w:rPr>
              <w:t>утвердить</w:t>
            </w:r>
            <w:r w:rsidRPr="00FA6B94">
              <w:t xml:space="preserve"> отчет IMAC и содержащиеся в нем рекомендации для принятия мер секретариатом</w:t>
            </w:r>
            <w:r w:rsidR="00D222D4" w:rsidRPr="00FA6B94">
              <w:t>.</w:t>
            </w:r>
          </w:p>
          <w:p w14:paraId="7B59228D" w14:textId="77777777" w:rsidR="00D222D4" w:rsidRPr="00FA6B94" w:rsidRDefault="00D222D4" w:rsidP="00ED4103">
            <w:pPr>
              <w:jc w:val="center"/>
            </w:pPr>
            <w:r w:rsidRPr="00FA6B94">
              <w:t>____________</w:t>
            </w:r>
          </w:p>
          <w:p w14:paraId="258F70B6" w14:textId="77777777" w:rsidR="00D222D4" w:rsidRPr="00FA6B94" w:rsidRDefault="00D222D4" w:rsidP="00ED4103">
            <w:pPr>
              <w:pStyle w:val="Headingb"/>
            </w:pPr>
            <w:r w:rsidRPr="00FA6B94">
              <w:t>Справочные материалы</w:t>
            </w:r>
          </w:p>
          <w:p w14:paraId="0AE3C8C4" w14:textId="53EDEB4D" w:rsidR="00A27823" w:rsidRPr="00FA6B94" w:rsidRDefault="00ED5449" w:rsidP="006C165E">
            <w:pPr>
              <w:spacing w:after="120"/>
              <w:rPr>
                <w:i/>
                <w:iCs/>
              </w:rPr>
            </w:pPr>
            <w:hyperlink r:id="rId9" w:history="1">
              <w:r w:rsidR="006C165E" w:rsidRPr="00FA6B94">
                <w:rPr>
                  <w:rStyle w:val="Hyperlink1"/>
                  <w:lang w:val="ru-RU"/>
                </w:rPr>
                <w:t>Резолюция 162</w:t>
              </w:r>
            </w:hyperlink>
            <w:r w:rsidR="006C165E" w:rsidRPr="00FA6B94">
              <w:rPr>
                <w:i/>
                <w:iCs/>
              </w:rPr>
              <w:t xml:space="preserve"> </w:t>
            </w:r>
            <w:r w:rsidR="006C165E" w:rsidRPr="00FA6B94">
              <w:t>(Пересм. Пусан, 2014 г.),</w:t>
            </w:r>
            <w:r w:rsidR="006C165E" w:rsidRPr="00FA6B94">
              <w:rPr>
                <w:i/>
                <w:iCs/>
              </w:rPr>
              <w:t xml:space="preserve"> </w:t>
            </w:r>
            <w:hyperlink r:id="rId10" w:history="1">
              <w:r w:rsidR="006C165E" w:rsidRPr="00FA6B94">
                <w:rPr>
                  <w:rStyle w:val="Hyperlink1"/>
                  <w:lang w:val="ru-RU"/>
                </w:rPr>
                <w:t>Решение 615</w:t>
              </w:r>
            </w:hyperlink>
            <w:r w:rsidR="006C165E" w:rsidRPr="00FA6B94">
              <w:t xml:space="preserve"> Совета</w:t>
            </w:r>
            <w:r w:rsidR="006C165E" w:rsidRPr="00FA6B94">
              <w:rPr>
                <w:i/>
                <w:iCs/>
              </w:rPr>
              <w:br/>
            </w:r>
            <w:r w:rsidR="006C165E" w:rsidRPr="00FA6B94">
              <w:t>Ежегодные отчеты IMAC:</w:t>
            </w:r>
            <w:r w:rsidR="006C165E" w:rsidRPr="00FA6B94">
              <w:rPr>
                <w:i/>
                <w:iCs/>
              </w:rPr>
              <w:br/>
            </w:r>
            <w:hyperlink r:id="rId11" w:history="1">
              <w:r w:rsidR="00D222D4" w:rsidRPr="00FA6B94">
                <w:rPr>
                  <w:rStyle w:val="Hyperlink"/>
                  <w:i/>
                  <w:iCs/>
                </w:rPr>
                <w:t>C12/44</w:t>
              </w:r>
            </w:hyperlink>
            <w:r w:rsidR="00D222D4" w:rsidRPr="00FA6B94">
              <w:rPr>
                <w:i/>
                <w:iCs/>
              </w:rPr>
              <w:t xml:space="preserve"> </w:t>
            </w:r>
            <w:r w:rsidR="00D222D4" w:rsidRPr="00FA6B94">
              <w:t>(перв</w:t>
            </w:r>
            <w:r w:rsidR="005927D0" w:rsidRPr="00FA6B94">
              <w:t>ый ежегодный отчет IMAC Совету);</w:t>
            </w:r>
            <w:r w:rsidR="005927D0" w:rsidRPr="00FA6B94">
              <w:rPr>
                <w:i/>
                <w:iCs/>
              </w:rPr>
              <w:br/>
            </w:r>
            <w:hyperlink r:id="rId12" w:history="1">
              <w:r w:rsidR="00D222D4" w:rsidRPr="00FA6B94">
                <w:rPr>
                  <w:rStyle w:val="Hyperlink"/>
                  <w:i/>
                  <w:iCs/>
                </w:rPr>
                <w:t>C13/65 + Corr.1</w:t>
              </w:r>
            </w:hyperlink>
            <w:r w:rsidR="00D222D4" w:rsidRPr="00FA6B94">
              <w:rPr>
                <w:i/>
                <w:iCs/>
              </w:rPr>
              <w:t xml:space="preserve"> </w:t>
            </w:r>
            <w:r w:rsidR="00D222D4" w:rsidRPr="00FA6B94">
              <w:t>(второй ежегодный отчет IMAC Совету)</w:t>
            </w:r>
            <w:r w:rsidR="005927D0" w:rsidRPr="00FA6B94">
              <w:t>;</w:t>
            </w:r>
            <w:r w:rsidR="005927D0" w:rsidRPr="00FA6B94">
              <w:rPr>
                <w:i/>
                <w:iCs/>
              </w:rPr>
              <w:br/>
            </w:r>
            <w:hyperlink r:id="rId13" w:history="1">
              <w:r w:rsidR="00D222D4" w:rsidRPr="00FA6B94">
                <w:rPr>
                  <w:rStyle w:val="Hyperlink"/>
                  <w:i/>
                  <w:iCs/>
                </w:rPr>
                <w:t>C14/22 + Add.1</w:t>
              </w:r>
            </w:hyperlink>
            <w:r w:rsidR="00D222D4" w:rsidRPr="00FA6B94">
              <w:rPr>
                <w:i/>
                <w:iCs/>
              </w:rPr>
              <w:t xml:space="preserve"> </w:t>
            </w:r>
            <w:r w:rsidR="00D222D4" w:rsidRPr="00FA6B94">
              <w:t>(третий ежегодный отчет IMAC Совету)</w:t>
            </w:r>
            <w:r w:rsidR="005927D0" w:rsidRPr="00FA6B94">
              <w:t>;</w:t>
            </w:r>
            <w:r w:rsidR="005927D0" w:rsidRPr="00FA6B94">
              <w:rPr>
                <w:i/>
                <w:iCs/>
              </w:rPr>
              <w:br/>
            </w:r>
            <w:hyperlink r:id="rId14" w:history="1">
              <w:r w:rsidR="00D222D4" w:rsidRPr="00FA6B94">
                <w:rPr>
                  <w:rStyle w:val="Hyperlink"/>
                  <w:i/>
                  <w:iCs/>
                </w:rPr>
                <w:t>C15/22 + Add.1−2</w:t>
              </w:r>
            </w:hyperlink>
            <w:r w:rsidR="00D222D4" w:rsidRPr="00FA6B94">
              <w:rPr>
                <w:i/>
                <w:iCs/>
              </w:rPr>
              <w:t xml:space="preserve"> </w:t>
            </w:r>
            <w:r w:rsidR="00D222D4" w:rsidRPr="00FA6B94">
              <w:t>(четвертый ежегодный отчет IMAC Совету)</w:t>
            </w:r>
            <w:r w:rsidR="005927D0" w:rsidRPr="00FA6B94">
              <w:t>;</w:t>
            </w:r>
            <w:r w:rsidR="005927D0" w:rsidRPr="00FA6B94">
              <w:rPr>
                <w:i/>
                <w:iCs/>
              </w:rPr>
              <w:br/>
            </w:r>
            <w:hyperlink r:id="rId15" w:history="1">
              <w:r w:rsidR="00D222D4" w:rsidRPr="00FA6B94">
                <w:rPr>
                  <w:rStyle w:val="Hyperlink"/>
                  <w:i/>
                  <w:iCs/>
                </w:rPr>
                <w:t>C16/22 + Add.1</w:t>
              </w:r>
            </w:hyperlink>
            <w:r w:rsidR="00D222D4" w:rsidRPr="00FA6B94">
              <w:rPr>
                <w:i/>
                <w:iCs/>
              </w:rPr>
              <w:t xml:space="preserve"> </w:t>
            </w:r>
            <w:r w:rsidR="00D222D4" w:rsidRPr="00FA6B94">
              <w:t>(пятый ежегодный отчет IMAC Совету)</w:t>
            </w:r>
            <w:r w:rsidR="005927D0" w:rsidRPr="00FA6B94">
              <w:t>;</w:t>
            </w:r>
            <w:r w:rsidR="005927D0" w:rsidRPr="00FA6B94">
              <w:rPr>
                <w:i/>
                <w:iCs/>
              </w:rPr>
              <w:br/>
            </w:r>
            <w:hyperlink r:id="rId16" w:history="1">
              <w:r w:rsidR="005927D0" w:rsidRPr="00FA6B9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C17/22</w:t>
              </w:r>
            </w:hyperlink>
            <w:r w:rsidR="005927D0" w:rsidRPr="00FA6B94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</w:rPr>
              <w:t xml:space="preserve"> </w:t>
            </w:r>
            <w:r w:rsidR="005927D0" w:rsidRPr="00FA6B94">
              <w:t>(шестой ежегодный отчет IMAC Совету)</w:t>
            </w:r>
            <w:r w:rsidR="004D631B" w:rsidRPr="00FA6B94">
              <w:t>;</w:t>
            </w:r>
            <w:r w:rsidR="00141998" w:rsidRPr="00FA6B94">
              <w:rPr>
                <w:i/>
                <w:iCs/>
              </w:rPr>
              <w:br/>
            </w:r>
            <w:hyperlink r:id="rId17" w:history="1">
              <w:r w:rsidR="00141998" w:rsidRPr="00FA6B94">
                <w:rPr>
                  <w:rStyle w:val="Hyperlink1"/>
                  <w:lang w:val="ru-RU"/>
                </w:rPr>
                <w:t>C18/22 + Add.1</w:t>
              </w:r>
            </w:hyperlink>
            <w:r w:rsidR="00141998" w:rsidRPr="00FA6B94">
              <w:rPr>
                <w:i/>
                <w:iCs/>
              </w:rPr>
              <w:t xml:space="preserve"> </w:t>
            </w:r>
            <w:r w:rsidR="00141998" w:rsidRPr="00FA6B94">
              <w:t>(седьмой ежегодный отчет IMAC Совету)</w:t>
            </w:r>
            <w:r w:rsidR="004D631B" w:rsidRPr="00FA6B94">
              <w:t>;</w:t>
            </w:r>
            <w:r w:rsidR="006C165E" w:rsidRPr="00FA6B94">
              <w:rPr>
                <w:i/>
                <w:iCs/>
              </w:rPr>
              <w:br/>
            </w:r>
            <w:hyperlink r:id="rId18" w:history="1">
              <w:r w:rsidR="006C165E" w:rsidRPr="00FA6B94">
                <w:rPr>
                  <w:rStyle w:val="Hyperlink1"/>
                  <w:lang w:val="ru-RU"/>
                </w:rPr>
                <w:t>C19/22</w:t>
              </w:r>
            </w:hyperlink>
            <w:r w:rsidR="006C165E" w:rsidRPr="00FA6B94">
              <w:rPr>
                <w:i/>
                <w:iCs/>
              </w:rPr>
              <w:t xml:space="preserve"> </w:t>
            </w:r>
            <w:r w:rsidR="006C165E" w:rsidRPr="00FA6B94">
              <w:t>(</w:t>
            </w:r>
            <w:bookmarkStart w:id="4" w:name="_Hlk72239785"/>
            <w:r w:rsidR="006C165E" w:rsidRPr="00FA6B94">
              <w:t>восьмой ежегодный отчет IMAC Совету</w:t>
            </w:r>
            <w:bookmarkEnd w:id="4"/>
            <w:r w:rsidR="006C165E" w:rsidRPr="00FA6B94">
              <w:t>)</w:t>
            </w:r>
            <w:r w:rsidR="00A27823" w:rsidRPr="00FA6B94">
              <w:rPr>
                <w:i/>
                <w:iCs/>
              </w:rPr>
              <w:br/>
            </w:r>
            <w:hyperlink r:id="rId19" w:history="1">
              <w:r w:rsidR="00A27823" w:rsidRPr="00FA6B94">
                <w:rPr>
                  <w:rStyle w:val="Hyperlink1"/>
                  <w:lang w:val="ru-RU"/>
                </w:rPr>
                <w:t>C20/22</w:t>
              </w:r>
            </w:hyperlink>
            <w:r w:rsidR="00A27823" w:rsidRPr="00FA6B94">
              <w:rPr>
                <w:i/>
                <w:iCs/>
              </w:rPr>
              <w:t xml:space="preserve"> </w:t>
            </w:r>
            <w:r w:rsidR="00A27823" w:rsidRPr="00FA6B94">
              <w:t>(девятый ежегодный отчет IMAC Совету)</w:t>
            </w:r>
            <w:r w:rsidR="00BB34D5" w:rsidRPr="00FA6B94">
              <w:rPr>
                <w:i/>
                <w:iCs/>
              </w:rPr>
              <w:br/>
            </w:r>
            <w:hyperlink r:id="rId20" w:history="1">
              <w:r w:rsidR="00BB34D5" w:rsidRPr="00FA6B94">
                <w:rPr>
                  <w:rStyle w:val="Hyperlink1"/>
                  <w:lang w:val="ru-RU"/>
                </w:rPr>
                <w:t>C21/22</w:t>
              </w:r>
            </w:hyperlink>
            <w:r w:rsidR="00BB34D5" w:rsidRPr="00FA6B94">
              <w:rPr>
                <w:rStyle w:val="Ohne"/>
                <w:rFonts w:eastAsia="Calibri"/>
              </w:rPr>
              <w:t xml:space="preserve"> (</w:t>
            </w:r>
            <w:r w:rsidR="00F9355A" w:rsidRPr="00FA6B94">
              <w:t>десятый ежегодный отчет IMAC Совету</w:t>
            </w:r>
            <w:r w:rsidR="00BB34D5" w:rsidRPr="00FA6B94">
              <w:rPr>
                <w:rStyle w:val="Ohne"/>
                <w:rFonts w:eastAsia="Calibri"/>
              </w:rPr>
              <w:t>)</w:t>
            </w:r>
            <w:r w:rsidR="00BB34D5" w:rsidRPr="00FA6B94">
              <w:rPr>
                <w:rStyle w:val="Ohne"/>
                <w:rFonts w:eastAsia="Calibri"/>
              </w:rPr>
              <w:br/>
            </w:r>
            <w:hyperlink r:id="rId21" w:history="1">
              <w:r w:rsidR="00BB34D5" w:rsidRPr="00FA6B94">
                <w:rPr>
                  <w:rStyle w:val="Hyperlink1"/>
                  <w:lang w:val="ru-RU"/>
                </w:rPr>
                <w:t>C22/22</w:t>
              </w:r>
            </w:hyperlink>
            <w:r w:rsidR="00BB34D5" w:rsidRPr="00FA6B94">
              <w:rPr>
                <w:rStyle w:val="Ohne"/>
                <w:rFonts w:eastAsia="Calibri"/>
              </w:rPr>
              <w:t xml:space="preserve"> (</w:t>
            </w:r>
            <w:r w:rsidR="00F9355A" w:rsidRPr="00FA6B94">
              <w:t>одиннадцатый ежегодный отчет IMAC Совету</w:t>
            </w:r>
            <w:r w:rsidR="00BB34D5" w:rsidRPr="00FA6B94">
              <w:rPr>
                <w:rStyle w:val="Ohne"/>
                <w:rFonts w:eastAsia="Calibri"/>
              </w:rPr>
              <w:t>)</w:t>
            </w:r>
          </w:p>
        </w:tc>
      </w:tr>
    </w:tbl>
    <w:p w14:paraId="062DF24A" w14:textId="060FDDE1" w:rsidR="00BA43EE" w:rsidRPr="00FA6B94" w:rsidRDefault="00F7347B" w:rsidP="00ED4B6F">
      <w:pPr>
        <w:pStyle w:val="Heading1"/>
      </w:pPr>
      <w:r w:rsidRPr="00FA6B94">
        <w:t>1</w:t>
      </w:r>
      <w:r w:rsidR="00BA43EE" w:rsidRPr="00FA6B94">
        <w:tab/>
      </w:r>
      <w:r w:rsidRPr="00FA6B94">
        <w:t>Д</w:t>
      </w:r>
      <w:r w:rsidR="003273C3" w:rsidRPr="00FA6B94">
        <w:t>еятельность</w:t>
      </w:r>
      <w:r w:rsidR="00BA43EE" w:rsidRPr="00FA6B94">
        <w:t xml:space="preserve"> IMAC</w:t>
      </w:r>
      <w:r w:rsidRPr="00FA6B94">
        <w:t xml:space="preserve"> в 2021–2022 годах и членский состав Комитета</w:t>
      </w:r>
    </w:p>
    <w:p w14:paraId="3C2217B8" w14:textId="1A760631" w:rsidR="00A27823" w:rsidRPr="00FA6B94" w:rsidRDefault="00F7347B" w:rsidP="00ED4B6F">
      <w:r w:rsidRPr="00FA6B94">
        <w:t>1.1</w:t>
      </w:r>
      <w:r w:rsidR="00A27823" w:rsidRPr="00FA6B94">
        <w:tab/>
      </w:r>
      <w:r w:rsidR="00C9565C" w:rsidRPr="00FA6B94">
        <w:t>Основное внимание в о</w:t>
      </w:r>
      <w:r w:rsidR="009541AB" w:rsidRPr="00FA6B94">
        <w:t>тчет</w:t>
      </w:r>
      <w:r w:rsidR="00C9565C" w:rsidRPr="00FA6B94">
        <w:t>е</w:t>
      </w:r>
      <w:r w:rsidR="009541AB" w:rsidRPr="00FA6B94">
        <w:t xml:space="preserve"> </w:t>
      </w:r>
      <w:r w:rsidR="00A27823" w:rsidRPr="00FA6B94">
        <w:t xml:space="preserve">IMAC </w:t>
      </w:r>
      <w:r w:rsidR="00C9565C" w:rsidRPr="00FA6B94">
        <w:t>сессии Совета в марте 2022 года уделялось представлению мнений Комитета по отчету Внешнего аудитора по финансовой отчетности за 2020 год</w:t>
      </w:r>
      <w:r w:rsidR="00DB4C3D" w:rsidRPr="00FA6B94">
        <w:t xml:space="preserve"> и предложений</w:t>
      </w:r>
      <w:r w:rsidR="00C9565C" w:rsidRPr="00FA6B94">
        <w:t xml:space="preserve"> </w:t>
      </w:r>
      <w:r w:rsidR="00DB4C3D" w:rsidRPr="00FA6B94">
        <w:t>IMAC по пересмотру его круга ведения, для рассмотрения Государствами</w:t>
      </w:r>
      <w:r w:rsidR="000F212A" w:rsidRPr="00FA6B94">
        <w:noBreakHyphen/>
      </w:r>
      <w:r w:rsidR="00DB4C3D" w:rsidRPr="00FA6B94">
        <w:t>Членами</w:t>
      </w:r>
      <w:r w:rsidR="00A27823" w:rsidRPr="00FA6B94">
        <w:t>.</w:t>
      </w:r>
    </w:p>
    <w:p w14:paraId="469B510F" w14:textId="4A586EDF" w:rsidR="008A345F" w:rsidRPr="00FA6B94" w:rsidRDefault="008A345F" w:rsidP="00ED4B6F">
      <w:r w:rsidRPr="00FA6B94">
        <w:t>1.</w:t>
      </w:r>
      <w:r w:rsidR="00BA43EE" w:rsidRPr="00FA6B94">
        <w:t>2</w:t>
      </w:r>
      <w:r w:rsidR="00BA43EE" w:rsidRPr="00FA6B94">
        <w:tab/>
      </w:r>
      <w:r w:rsidRPr="00FA6B94">
        <w:t xml:space="preserve">В настоящем дополнительном документе </w:t>
      </w:r>
      <w:r w:rsidR="00017AC0" w:rsidRPr="00FA6B94">
        <w:t xml:space="preserve">к одиннадцатому отчету </w:t>
      </w:r>
      <w:r w:rsidRPr="00FA6B94">
        <w:t>содержится подробный ежегодный отчет IMAC о деятельности за 2021–2022 годы для представления на заключительном собрании сессии Совета 2022 года перед Полномочной конференцией.</w:t>
      </w:r>
    </w:p>
    <w:p w14:paraId="1545F335" w14:textId="165C908B" w:rsidR="00291CD8" w:rsidRPr="00FA6B94" w:rsidRDefault="00291CD8" w:rsidP="00ED4B6F">
      <w:r w:rsidRPr="00FA6B94">
        <w:t>1.3</w:t>
      </w:r>
      <w:r w:rsidRPr="00FA6B94">
        <w:tab/>
        <w:t>В настоящее время членский состав IMAC следующий:</w:t>
      </w:r>
    </w:p>
    <w:p w14:paraId="4F7F6DBA" w14:textId="219FAD7A" w:rsidR="00291CD8" w:rsidRPr="00FA6B94" w:rsidRDefault="00291CD8" w:rsidP="00ED4B6F">
      <w:pPr>
        <w:pStyle w:val="enumlev1"/>
      </w:pPr>
      <w:r w:rsidRPr="00FA6B94">
        <w:t>−</w:t>
      </w:r>
      <w:r w:rsidRPr="00FA6B94">
        <w:tab/>
        <w:t xml:space="preserve">г-н </w:t>
      </w:r>
      <w:proofErr w:type="spellStart"/>
      <w:r w:rsidRPr="00FA6B94">
        <w:t>Камлеш</w:t>
      </w:r>
      <w:proofErr w:type="spellEnd"/>
      <w:r w:rsidRPr="00FA6B94">
        <w:t xml:space="preserve"> </w:t>
      </w:r>
      <w:proofErr w:type="spellStart"/>
      <w:r w:rsidRPr="00FA6B94">
        <w:t>Викамсей</w:t>
      </w:r>
      <w:proofErr w:type="spellEnd"/>
      <w:r w:rsidRPr="00FA6B94">
        <w:t xml:space="preserve"> (председатель);</w:t>
      </w:r>
    </w:p>
    <w:p w14:paraId="05CEF6D1" w14:textId="6E8BF4B7" w:rsidR="00291CD8" w:rsidRPr="00FA6B94" w:rsidRDefault="00291CD8" w:rsidP="00ED4B6F">
      <w:pPr>
        <w:pStyle w:val="enumlev1"/>
      </w:pPr>
      <w:r w:rsidRPr="00FA6B94">
        <w:t>–</w:t>
      </w:r>
      <w:r w:rsidRPr="00FA6B94">
        <w:tab/>
        <w:t xml:space="preserve">г-н Оноре </w:t>
      </w:r>
      <w:proofErr w:type="spellStart"/>
      <w:r w:rsidRPr="00FA6B94">
        <w:t>Ндоко</w:t>
      </w:r>
      <w:proofErr w:type="spellEnd"/>
      <w:r w:rsidRPr="00FA6B94">
        <w:t xml:space="preserve"> (заместитель председателя);</w:t>
      </w:r>
    </w:p>
    <w:p w14:paraId="66A16357" w14:textId="77777777" w:rsidR="00291CD8" w:rsidRPr="00FA6B94" w:rsidRDefault="00291CD8" w:rsidP="00ED4B6F">
      <w:pPr>
        <w:pStyle w:val="enumlev1"/>
      </w:pPr>
      <w:r w:rsidRPr="00FA6B94">
        <w:t>−</w:t>
      </w:r>
      <w:r w:rsidRPr="00FA6B94">
        <w:tab/>
        <w:t>г-жа Сара Хаммер;</w:t>
      </w:r>
    </w:p>
    <w:p w14:paraId="586CFA96" w14:textId="77777777" w:rsidR="00291CD8" w:rsidRPr="00FA6B94" w:rsidRDefault="00291CD8" w:rsidP="00ED4B6F">
      <w:pPr>
        <w:pStyle w:val="enumlev1"/>
      </w:pPr>
      <w:r w:rsidRPr="00FA6B94">
        <w:t>−</w:t>
      </w:r>
      <w:r w:rsidRPr="00FA6B94">
        <w:tab/>
        <w:t>г-н Александр Нарукавников;</w:t>
      </w:r>
    </w:p>
    <w:p w14:paraId="67D6419A" w14:textId="77777777" w:rsidR="00291CD8" w:rsidRPr="00FA6B94" w:rsidRDefault="00291CD8" w:rsidP="00ED4B6F">
      <w:pPr>
        <w:pStyle w:val="enumlev1"/>
      </w:pPr>
      <w:r w:rsidRPr="00FA6B94">
        <w:t>−</w:t>
      </w:r>
      <w:r w:rsidRPr="00FA6B94">
        <w:tab/>
        <w:t>г-н Хенрик Шнайдер.</w:t>
      </w:r>
    </w:p>
    <w:p w14:paraId="7821DAD1" w14:textId="3CA29583" w:rsidR="00291CD8" w:rsidRPr="00FA6B94" w:rsidRDefault="007D0183" w:rsidP="00ED4B6F">
      <w:r w:rsidRPr="00FA6B94">
        <w:lastRenderedPageBreak/>
        <w:t>1.4</w:t>
      </w:r>
      <w:r w:rsidRPr="00FA6B94">
        <w:tab/>
        <w:t xml:space="preserve">На своем последнем собрании в июле 2022 года </w:t>
      </w:r>
      <w:r w:rsidR="00F54D87" w:rsidRPr="00FA6B94">
        <w:t>Комитет избрал г</w:t>
      </w:r>
      <w:r w:rsidR="00F54D87" w:rsidRPr="00FA6B94">
        <w:noBreakHyphen/>
        <w:t xml:space="preserve">на </w:t>
      </w:r>
      <w:proofErr w:type="spellStart"/>
      <w:r w:rsidR="00335E96" w:rsidRPr="00FA6B94">
        <w:t>Камлеша</w:t>
      </w:r>
      <w:proofErr w:type="spellEnd"/>
      <w:r w:rsidR="00335E96" w:rsidRPr="00FA6B94">
        <w:t xml:space="preserve"> </w:t>
      </w:r>
      <w:proofErr w:type="spellStart"/>
      <w:r w:rsidR="00335E96" w:rsidRPr="00FA6B94">
        <w:t>Викамсея</w:t>
      </w:r>
      <w:proofErr w:type="spellEnd"/>
      <w:r w:rsidR="00335E96" w:rsidRPr="00FA6B94">
        <w:t xml:space="preserve"> председателем IMAC</w:t>
      </w:r>
      <w:r w:rsidR="00C839F4" w:rsidRPr="00FA6B94">
        <w:t xml:space="preserve"> еще на один срок и решил назначить заместителя председателя, который должен быть избран членами Комитета на двухгодичный срок</w:t>
      </w:r>
      <w:r w:rsidR="0062473A" w:rsidRPr="00FA6B94">
        <w:t>, с тем чтобы после этого</w:t>
      </w:r>
      <w:r w:rsidR="00C839F4" w:rsidRPr="00FA6B94">
        <w:t xml:space="preserve"> исполн</w:t>
      </w:r>
      <w:r w:rsidR="0062473A" w:rsidRPr="00FA6B94">
        <w:t>ять</w:t>
      </w:r>
      <w:r w:rsidR="00C839F4" w:rsidRPr="00FA6B94">
        <w:t xml:space="preserve"> обязанност</w:t>
      </w:r>
      <w:r w:rsidR="0062473A" w:rsidRPr="00FA6B94">
        <w:t>и</w:t>
      </w:r>
      <w:r w:rsidR="00C839F4" w:rsidRPr="00FA6B94">
        <w:t xml:space="preserve"> председателя</w:t>
      </w:r>
      <w:r w:rsidR="0062473A" w:rsidRPr="00FA6B94">
        <w:t>. Комитет решил назначить г</w:t>
      </w:r>
      <w:r w:rsidR="0062473A" w:rsidRPr="00FA6B94">
        <w:noBreakHyphen/>
        <w:t xml:space="preserve">на Оноре </w:t>
      </w:r>
      <w:proofErr w:type="spellStart"/>
      <w:r w:rsidR="0062473A" w:rsidRPr="00FA6B94">
        <w:t>Ндоко</w:t>
      </w:r>
      <w:proofErr w:type="spellEnd"/>
      <w:r w:rsidR="0062473A" w:rsidRPr="00FA6B94">
        <w:t xml:space="preserve"> на пост заместителя председателя IMAC.</w:t>
      </w:r>
    </w:p>
    <w:p w14:paraId="444EA7D1" w14:textId="4138B721" w:rsidR="0062473A" w:rsidRPr="00FA6B94" w:rsidRDefault="0062473A" w:rsidP="00ED4B6F">
      <w:r w:rsidRPr="00FA6B94">
        <w:t>1.5</w:t>
      </w:r>
      <w:r w:rsidRPr="00FA6B94">
        <w:tab/>
        <w:t xml:space="preserve">После виртуальных консультаций </w:t>
      </w:r>
      <w:r w:rsidR="00FD2AC1" w:rsidRPr="00FA6B94">
        <w:t>Советников в мае 2021 года IMAC провел свои очередные собрания 4–6 октября 2021 года и 14–16 февраля 2022 года</w:t>
      </w:r>
      <w:r w:rsidR="00F52D52" w:rsidRPr="00FA6B94">
        <w:t xml:space="preserve"> в виртуальном формате и 11–13 июля 2022</w:t>
      </w:r>
      <w:r w:rsidR="009A3F50" w:rsidRPr="00FA6B94">
        <w:t> </w:t>
      </w:r>
      <w:r w:rsidR="00F52D52" w:rsidRPr="00FA6B94">
        <w:t xml:space="preserve">в очном формате с возможностью </w:t>
      </w:r>
      <w:r w:rsidR="00A43FF8" w:rsidRPr="00FA6B94">
        <w:t xml:space="preserve">дистанционного участия. Дополнительное </w:t>
      </w:r>
      <w:r w:rsidR="00B4359D" w:rsidRPr="00FA6B94">
        <w:t xml:space="preserve">официальное </w:t>
      </w:r>
      <w:r w:rsidR="00A43FF8" w:rsidRPr="00FA6B94">
        <w:t xml:space="preserve">виртуальное собрание прошло </w:t>
      </w:r>
      <w:r w:rsidR="009B0C78" w:rsidRPr="00FA6B94">
        <w:t xml:space="preserve">14 сентября 2022 года </w:t>
      </w:r>
      <w:r w:rsidR="00C12762" w:rsidRPr="00FA6B94">
        <w:t>для рассмотрения отчета Внешнего аудитора по финансовой отчетности за 2021 год.</w:t>
      </w:r>
    </w:p>
    <w:p w14:paraId="37CE3643" w14:textId="08F2D15D" w:rsidR="00C12762" w:rsidRPr="00FA6B94" w:rsidRDefault="00C201B7" w:rsidP="00ED4B6F">
      <w:r w:rsidRPr="00FA6B94">
        <w:t>1.6</w:t>
      </w:r>
      <w:r w:rsidRPr="00FA6B94">
        <w:tab/>
        <w:t xml:space="preserve">Ввиду ограниченного времени проведения виртуальных собраний </w:t>
      </w:r>
      <w:r w:rsidR="00FF7BFD" w:rsidRPr="00FA6B94">
        <w:t>IMAC и необходимост</w:t>
      </w:r>
      <w:r w:rsidR="009A3F50" w:rsidRPr="00FA6B94">
        <w:t>и</w:t>
      </w:r>
      <w:r w:rsidR="00FF7BFD" w:rsidRPr="00FA6B94">
        <w:t xml:space="preserve"> принятия последующих мер по конкретным вопросам сферы ответственности IMAC члены Комитета провели несколько дополнительных собраний в период 2021</w:t>
      </w:r>
      <w:r w:rsidR="000F212A" w:rsidRPr="00FA6B94">
        <w:t>–</w:t>
      </w:r>
      <w:r w:rsidR="00FF7BFD" w:rsidRPr="00FA6B94">
        <w:t>2022 годов. Назначенный член Комитета г</w:t>
      </w:r>
      <w:r w:rsidR="00FF7BFD" w:rsidRPr="00FA6B94">
        <w:noBreakHyphen/>
        <w:t xml:space="preserve">н Хенрик Шнайдер приехал в Женеву в октябре 2021 года и встретился в руководством МСЭ и Внешними </w:t>
      </w:r>
      <w:r w:rsidR="00D82879" w:rsidRPr="00FA6B94">
        <w:t>аудиторами</w:t>
      </w:r>
      <w:r w:rsidR="00FF7BFD" w:rsidRPr="00FA6B94">
        <w:t>, чтобы обсудить ход работы на</w:t>
      </w:r>
      <w:r w:rsidR="009A3F50" w:rsidRPr="00FA6B94">
        <w:t>д</w:t>
      </w:r>
      <w:r w:rsidR="00FF7BFD" w:rsidRPr="00FA6B94">
        <w:t xml:space="preserve"> отчетом Внешнего аудитора</w:t>
      </w:r>
      <w:r w:rsidR="00D82879" w:rsidRPr="00FA6B94">
        <w:t xml:space="preserve">; председатель IMAC </w:t>
      </w:r>
      <w:r w:rsidR="00723C71" w:rsidRPr="00FA6B94">
        <w:t>провел несколько собраний с руководством МСЭ, Внешними аудиторами (</w:t>
      </w:r>
      <w:proofErr w:type="spellStart"/>
      <w:r w:rsidR="00723C71" w:rsidRPr="00FA6B94">
        <w:t>Corte</w:t>
      </w:r>
      <w:proofErr w:type="spellEnd"/>
      <w:r w:rsidR="00FA6B94">
        <w:t> </w:t>
      </w:r>
      <w:proofErr w:type="spellStart"/>
      <w:r w:rsidR="00723C71" w:rsidRPr="00FA6B94">
        <w:t>dei</w:t>
      </w:r>
      <w:proofErr w:type="spellEnd"/>
      <w:r w:rsidR="00723C71" w:rsidRPr="00FA6B94">
        <w:t xml:space="preserve"> </w:t>
      </w:r>
      <w:proofErr w:type="spellStart"/>
      <w:r w:rsidR="00723C71" w:rsidRPr="00FA6B94">
        <w:t>Conti</w:t>
      </w:r>
      <w:proofErr w:type="spellEnd"/>
      <w:r w:rsidR="00723C71" w:rsidRPr="00FA6B94">
        <w:t>) и вновь назначенными аудиторами</w:t>
      </w:r>
      <w:r w:rsidR="00FA11DC" w:rsidRPr="00FA6B94">
        <w:t xml:space="preserve"> из Национального ревизионного управления Соединенного Королевства в марте 2022 года; в июне 2022 года </w:t>
      </w:r>
      <w:r w:rsidR="003F538C" w:rsidRPr="00FA6B94">
        <w:t>также прошли виртуальные брифинги.</w:t>
      </w:r>
    </w:p>
    <w:p w14:paraId="018E7AEC" w14:textId="33519D32" w:rsidR="00BA43EE" w:rsidRPr="00FA6B94" w:rsidRDefault="003F538C" w:rsidP="00ED4B6F">
      <w:r w:rsidRPr="00FA6B94">
        <w:t>1.7</w:t>
      </w:r>
      <w:r w:rsidRPr="00FA6B94">
        <w:tab/>
      </w:r>
      <w:r w:rsidR="00BA43EE" w:rsidRPr="00FA6B94">
        <w:t xml:space="preserve">Со времени представления своего последнего </w:t>
      </w:r>
      <w:r w:rsidR="009A3F50" w:rsidRPr="00FA6B94">
        <w:t xml:space="preserve">ежегодного </w:t>
      </w:r>
      <w:r w:rsidR="00BA43EE" w:rsidRPr="00FA6B94">
        <w:t xml:space="preserve">отчета </w:t>
      </w:r>
      <w:r w:rsidRPr="00FA6B94">
        <w:t xml:space="preserve">о деятельности Совету в 2021 году </w:t>
      </w:r>
      <w:r w:rsidR="00A27823" w:rsidRPr="00FA6B94">
        <w:t>Комитет</w:t>
      </w:r>
      <w:r w:rsidR="00BA43EE" w:rsidRPr="00FA6B94">
        <w:t xml:space="preserve"> работал во всех сферах своей ответственности, </w:t>
      </w:r>
      <w:r w:rsidRPr="00FA6B94">
        <w:t>уделяя основное внимание</w:t>
      </w:r>
      <w:r w:rsidR="00BA43EE" w:rsidRPr="00FA6B94">
        <w:t xml:space="preserve"> внутренн</w:t>
      </w:r>
      <w:r w:rsidRPr="00FA6B94">
        <w:t>ему</w:t>
      </w:r>
      <w:r w:rsidR="00BA43EE" w:rsidRPr="00FA6B94">
        <w:t xml:space="preserve"> аудит</w:t>
      </w:r>
      <w:r w:rsidRPr="00FA6B94">
        <w:t>у</w:t>
      </w:r>
      <w:r w:rsidR="00BA43EE" w:rsidRPr="00FA6B94">
        <w:t>, управлени</w:t>
      </w:r>
      <w:r w:rsidRPr="00FA6B94">
        <w:t>ю</w:t>
      </w:r>
      <w:r w:rsidR="00BA43EE" w:rsidRPr="00FA6B94">
        <w:t xml:space="preserve"> рисками, внутренн</w:t>
      </w:r>
      <w:r w:rsidRPr="00FA6B94">
        <w:t>ему</w:t>
      </w:r>
      <w:r w:rsidR="00BA43EE" w:rsidRPr="00FA6B94">
        <w:t xml:space="preserve"> контрол</w:t>
      </w:r>
      <w:r w:rsidRPr="00FA6B94">
        <w:t>ю</w:t>
      </w:r>
      <w:r w:rsidR="00BA43EE" w:rsidRPr="00FA6B94">
        <w:t>, оценк</w:t>
      </w:r>
      <w:r w:rsidRPr="00FA6B94">
        <w:t>е</w:t>
      </w:r>
      <w:r w:rsidR="00BA43EE" w:rsidRPr="00FA6B94">
        <w:t>, этик</w:t>
      </w:r>
      <w:r w:rsidRPr="00FA6B94">
        <w:t>е</w:t>
      </w:r>
      <w:r w:rsidR="00BA43EE" w:rsidRPr="00FA6B94">
        <w:t>, финансовой отчетности и финансовы</w:t>
      </w:r>
      <w:r w:rsidR="009A3F50" w:rsidRPr="00FA6B94">
        <w:t>м</w:t>
      </w:r>
      <w:r w:rsidR="00BA43EE" w:rsidRPr="00FA6B94">
        <w:t xml:space="preserve"> отчет</w:t>
      </w:r>
      <w:r w:rsidR="009A3F50" w:rsidRPr="00FA6B94">
        <w:t>ам</w:t>
      </w:r>
      <w:r w:rsidR="00BA43EE" w:rsidRPr="00FA6B94">
        <w:t>, а также внешн</w:t>
      </w:r>
      <w:r w:rsidR="007768B5" w:rsidRPr="00FA6B94">
        <w:t>ему</w:t>
      </w:r>
      <w:r w:rsidR="00BA43EE" w:rsidRPr="00FA6B94">
        <w:t xml:space="preserve"> аудит</w:t>
      </w:r>
      <w:r w:rsidR="007768B5" w:rsidRPr="00FA6B94">
        <w:t>у</w:t>
      </w:r>
      <w:r w:rsidR="00BA43EE" w:rsidRPr="00FA6B94">
        <w:t>.</w:t>
      </w:r>
    </w:p>
    <w:p w14:paraId="7D640918" w14:textId="57D4DFED" w:rsidR="00BA43EE" w:rsidRPr="00FA6B94" w:rsidRDefault="007768B5" w:rsidP="00BA43EE">
      <w:r w:rsidRPr="00FA6B94">
        <w:t>1.8</w:t>
      </w:r>
      <w:r w:rsidR="00CB21CC" w:rsidRPr="00FA6B94">
        <w:tab/>
        <w:t xml:space="preserve">Все отчеты о собраниях Комитета и его ежегодные отчеты, а также другие ключевые документы доступны Членам МСЭ в разделе IMAC </w:t>
      </w:r>
      <w:hyperlink r:id="rId22" w:history="1">
        <w:r w:rsidR="008A167C" w:rsidRPr="00FA6B94">
          <w:rPr>
            <w:rStyle w:val="Hyperlink"/>
          </w:rPr>
          <w:t>общедоступного сайта МСЭ</w:t>
        </w:r>
      </w:hyperlink>
      <w:r w:rsidR="00764F14" w:rsidRPr="00FA6B94">
        <w:t xml:space="preserve">, </w:t>
      </w:r>
      <w:r w:rsidR="00CB21CC" w:rsidRPr="00FA6B94">
        <w:t>на</w:t>
      </w:r>
      <w:r w:rsidR="00764F14" w:rsidRPr="00FA6B94">
        <w:t xml:space="preserve"> который можно также перейти с</w:t>
      </w:r>
      <w:r w:rsidR="00CB21CC" w:rsidRPr="00FA6B94">
        <w:t xml:space="preserve"> веб-страниц</w:t>
      </w:r>
      <w:r w:rsidR="00764F14" w:rsidRPr="00FA6B94">
        <w:t>ы</w:t>
      </w:r>
      <w:r w:rsidR="00CB21CC" w:rsidRPr="00FA6B94">
        <w:t xml:space="preserve"> Совета МСЭ</w:t>
      </w:r>
      <w:r w:rsidR="00BA43EE" w:rsidRPr="00FA6B94">
        <w:t>.</w:t>
      </w:r>
    </w:p>
    <w:p w14:paraId="559F6E45" w14:textId="0C2219B9" w:rsidR="00345097" w:rsidRPr="00FA6B94" w:rsidRDefault="007768B5" w:rsidP="00ED4B6F">
      <w:r w:rsidRPr="00FA6B94">
        <w:t>1.9</w:t>
      </w:r>
      <w:r w:rsidR="00A27823" w:rsidRPr="00FA6B94">
        <w:tab/>
      </w:r>
      <w:r w:rsidR="006409AC" w:rsidRPr="00FA6B94">
        <w:t xml:space="preserve">Члены </w:t>
      </w:r>
      <w:r w:rsidR="00345097" w:rsidRPr="00FA6B94">
        <w:t xml:space="preserve">IMAC </w:t>
      </w:r>
      <w:r w:rsidR="006409AC" w:rsidRPr="00FA6B94">
        <w:t>в целом одобрили уровень взаимодействия руководства МСЭ с IMAC</w:t>
      </w:r>
      <w:r w:rsidR="00961CB0" w:rsidRPr="00FA6B94">
        <w:t xml:space="preserve"> в рамках плодотворного</w:t>
      </w:r>
      <w:r w:rsidR="00764F14" w:rsidRPr="00FA6B94">
        <w:t xml:space="preserve"> процесса</w:t>
      </w:r>
      <w:r w:rsidR="0096371F" w:rsidRPr="00FA6B94">
        <w:t>;</w:t>
      </w:r>
      <w:r w:rsidR="00345097" w:rsidRPr="00FA6B94">
        <w:t xml:space="preserve"> </w:t>
      </w:r>
      <w:r w:rsidR="006409AC" w:rsidRPr="00FA6B94">
        <w:t xml:space="preserve">готовность и </w:t>
      </w:r>
      <w:r w:rsidR="007D2F8F" w:rsidRPr="00FA6B94">
        <w:t xml:space="preserve">способность </w:t>
      </w:r>
      <w:r w:rsidR="006409AC" w:rsidRPr="00FA6B94">
        <w:t xml:space="preserve">руководства </w:t>
      </w:r>
      <w:r w:rsidR="007D2F8F" w:rsidRPr="00FA6B94">
        <w:t>реагирова</w:t>
      </w:r>
      <w:r w:rsidR="0096371F" w:rsidRPr="00FA6B94">
        <w:t>ть</w:t>
      </w:r>
      <w:r w:rsidR="007D2F8F" w:rsidRPr="00FA6B94">
        <w:t xml:space="preserve"> </w:t>
      </w:r>
      <w:r w:rsidR="006409AC" w:rsidRPr="00FA6B94">
        <w:t>на вопросы,</w:t>
      </w:r>
      <w:r w:rsidR="0096371F" w:rsidRPr="00FA6B94">
        <w:t xml:space="preserve"> поставленные IMAC, </w:t>
      </w:r>
      <w:r w:rsidR="006409AC" w:rsidRPr="00FA6B94">
        <w:t xml:space="preserve">а также инициативность </w:t>
      </w:r>
      <w:r w:rsidR="0096371F" w:rsidRPr="00FA6B94">
        <w:t xml:space="preserve">при </w:t>
      </w:r>
      <w:r w:rsidR="006409AC" w:rsidRPr="00FA6B94">
        <w:t xml:space="preserve">обращении к IMAC </w:t>
      </w:r>
      <w:r w:rsidR="0096371F" w:rsidRPr="00FA6B94">
        <w:t>за</w:t>
      </w:r>
      <w:r w:rsidR="006409AC" w:rsidRPr="00FA6B94">
        <w:t xml:space="preserve"> консультаци</w:t>
      </w:r>
      <w:r w:rsidR="0096371F" w:rsidRPr="00FA6B94">
        <w:t>ями</w:t>
      </w:r>
      <w:r w:rsidR="006409AC" w:rsidRPr="00FA6B94">
        <w:t xml:space="preserve"> по вопросам, относящимся к </w:t>
      </w:r>
      <w:r w:rsidR="007D2F8F" w:rsidRPr="00FA6B94">
        <w:t xml:space="preserve">сфере </w:t>
      </w:r>
      <w:r w:rsidR="00EF3C91" w:rsidRPr="00FA6B94">
        <w:t xml:space="preserve">его </w:t>
      </w:r>
      <w:r w:rsidR="007D2F8F" w:rsidRPr="00FA6B94">
        <w:t xml:space="preserve">деятельности и </w:t>
      </w:r>
      <w:r w:rsidR="006409AC" w:rsidRPr="00FA6B94">
        <w:t>компетенции</w:t>
      </w:r>
      <w:r w:rsidR="00345097" w:rsidRPr="00FA6B94">
        <w:t xml:space="preserve">. </w:t>
      </w:r>
      <w:r w:rsidR="006409AC" w:rsidRPr="00FA6B94">
        <w:t xml:space="preserve">Конкретные </w:t>
      </w:r>
      <w:r w:rsidR="007D2F8F" w:rsidRPr="00FA6B94">
        <w:t xml:space="preserve">замечания и </w:t>
      </w:r>
      <w:r w:rsidR="006409AC" w:rsidRPr="00FA6B94">
        <w:t>рекомендации</w:t>
      </w:r>
      <w:r w:rsidR="00764F14" w:rsidRPr="00FA6B94">
        <w:t xml:space="preserve"> в рамках</w:t>
      </w:r>
      <w:r w:rsidR="006409AC" w:rsidRPr="00FA6B94">
        <w:t xml:space="preserve"> сфер ответственности</w:t>
      </w:r>
      <w:r w:rsidR="00345097" w:rsidRPr="00FA6B94">
        <w:t xml:space="preserve"> IMAC</w:t>
      </w:r>
      <w:r w:rsidR="006409AC" w:rsidRPr="00FA6B94">
        <w:t xml:space="preserve"> включены в соответствующие разделы настоящего отчета</w:t>
      </w:r>
      <w:r w:rsidR="00345097" w:rsidRPr="00FA6B94">
        <w:t>.</w:t>
      </w:r>
    </w:p>
    <w:p w14:paraId="56F77F7B" w14:textId="5124BEBF" w:rsidR="004710F9" w:rsidRPr="00FA6B94" w:rsidRDefault="007768B5" w:rsidP="00ED4B6F">
      <w:pPr>
        <w:pStyle w:val="Heading1"/>
      </w:pPr>
      <w:r w:rsidRPr="00FA6B94">
        <w:t>2</w:t>
      </w:r>
      <w:r w:rsidRPr="00FA6B94">
        <w:tab/>
      </w:r>
      <w:r w:rsidR="00062206" w:rsidRPr="00FA6B94">
        <w:t>Ход выполнения рекомендаций</w:t>
      </w:r>
      <w:r w:rsidR="004710F9" w:rsidRPr="00FA6B94">
        <w:t xml:space="preserve"> IMAC</w:t>
      </w:r>
    </w:p>
    <w:p w14:paraId="4B25727D" w14:textId="41B40EEF" w:rsidR="001F50B9" w:rsidRPr="00FA6B94" w:rsidRDefault="001F50B9" w:rsidP="00ED4B6F">
      <w:r w:rsidRPr="00FA6B94">
        <w:t>2.1</w:t>
      </w:r>
      <w:r w:rsidRPr="00FA6B94">
        <w:tab/>
        <w:t>Следуя своей обычной практике и стремясь оказать помощь Совету в реализации мер, прин</w:t>
      </w:r>
      <w:r w:rsidR="00FB4070" w:rsidRPr="00FA6B94">
        <w:t>ят</w:t>
      </w:r>
      <w:r w:rsidRPr="00FA6B94">
        <w:t xml:space="preserve">ых в связи с рекомендациями IMAC, Комитет проанализировал </w:t>
      </w:r>
      <w:r w:rsidR="00755274" w:rsidRPr="00FA6B94">
        <w:t>хо</w:t>
      </w:r>
      <w:r w:rsidR="00FB4070" w:rsidRPr="00FA6B94">
        <w:t>д</w:t>
      </w:r>
      <w:r w:rsidRPr="00FA6B94">
        <w:t xml:space="preserve"> выполнения своих предыдущих рекомендаций. </w:t>
      </w:r>
      <w:r w:rsidR="007768B5" w:rsidRPr="00FA6B94">
        <w:t>Обновленные сведения</w:t>
      </w:r>
      <w:r w:rsidRPr="00FA6B94">
        <w:t xml:space="preserve"> представлен</w:t>
      </w:r>
      <w:r w:rsidR="007768B5" w:rsidRPr="00FA6B94">
        <w:t>ы</w:t>
      </w:r>
      <w:r w:rsidRPr="00FA6B94">
        <w:t xml:space="preserve"> в Приложении 1.</w:t>
      </w:r>
    </w:p>
    <w:p w14:paraId="76A607DD" w14:textId="139DE2D0" w:rsidR="001F50B9" w:rsidRPr="00FA6B94" w:rsidRDefault="001F50B9" w:rsidP="00ED4B6F">
      <w:r w:rsidRPr="00FA6B94">
        <w:t>2.</w:t>
      </w:r>
      <w:r w:rsidR="009B0C78" w:rsidRPr="00FA6B94">
        <w:t>2</w:t>
      </w:r>
      <w:r w:rsidRPr="00FA6B94">
        <w:tab/>
      </w:r>
      <w:r w:rsidR="00FB4070" w:rsidRPr="00FA6B94">
        <w:t>На данный момент</w:t>
      </w:r>
      <w:r w:rsidRPr="00FA6B94">
        <w:t xml:space="preserve"> </w:t>
      </w:r>
      <w:r w:rsidR="00F961E3" w:rsidRPr="00FA6B94">
        <w:t>более 90</w:t>
      </w:r>
      <w:r w:rsidRPr="00FA6B94">
        <w:t>% рекомендаций IMAC выполнены</w:t>
      </w:r>
      <w:r w:rsidR="00F961E3" w:rsidRPr="00FA6B94">
        <w:t xml:space="preserve"> (56 из 62 рекомендаций), а шесть рекомендаций (менее 10%)</w:t>
      </w:r>
      <w:r w:rsidRPr="00FA6B94">
        <w:t xml:space="preserve"> находятся в процессе выполнения секретариатом.</w:t>
      </w:r>
    </w:p>
    <w:p w14:paraId="79617835" w14:textId="3ED2B117" w:rsidR="00CE2A10" w:rsidRPr="00FA6B94" w:rsidRDefault="00CE2A10" w:rsidP="00ED4B6F">
      <w:pPr>
        <w:pStyle w:val="Heading1"/>
      </w:pPr>
      <w:r w:rsidRPr="00FA6B94">
        <w:t>3</w:t>
      </w:r>
      <w:r w:rsidRPr="00FA6B94">
        <w:tab/>
      </w:r>
      <w:r w:rsidR="00F961E3" w:rsidRPr="00FA6B94">
        <w:t>Разработка Стратегического плана МСЭ</w:t>
      </w:r>
    </w:p>
    <w:p w14:paraId="384FD4B0" w14:textId="56704829" w:rsidR="00CE2A10" w:rsidRPr="00FA6B94" w:rsidRDefault="00CE2A10" w:rsidP="00ED4B6F">
      <w:r w:rsidRPr="00FA6B94">
        <w:t>3.1</w:t>
      </w:r>
      <w:r w:rsidRPr="00FA6B94">
        <w:tab/>
      </w:r>
      <w:r w:rsidR="00E65779" w:rsidRPr="00FA6B94">
        <w:t xml:space="preserve">IMAC </w:t>
      </w:r>
      <w:r w:rsidR="0087033C" w:rsidRPr="00FA6B94">
        <w:t>получал сведения от Отдела стратегии и планирования о процессе разработки Стратегического плана МСЭ на период</w:t>
      </w:r>
      <w:r w:rsidR="00E65779" w:rsidRPr="00FA6B94">
        <w:t xml:space="preserve"> 2024</w:t>
      </w:r>
      <w:r w:rsidR="0087033C" w:rsidRPr="00FA6B94">
        <w:t>–</w:t>
      </w:r>
      <w:r w:rsidR="00E65779" w:rsidRPr="00FA6B94">
        <w:t>2027</w:t>
      </w:r>
      <w:r w:rsidR="0087033C" w:rsidRPr="00FA6B94">
        <w:t> годов</w:t>
      </w:r>
      <w:r w:rsidRPr="00FA6B94">
        <w:t>.</w:t>
      </w:r>
    </w:p>
    <w:p w14:paraId="699F3695" w14:textId="543CC6A8" w:rsidR="00CE2A10" w:rsidRPr="00FA6B94" w:rsidRDefault="00CE2A10" w:rsidP="00ED4B6F">
      <w:r w:rsidRPr="00FA6B94">
        <w:t>3.2</w:t>
      </w:r>
      <w:r w:rsidRPr="00FA6B94">
        <w:tab/>
      </w:r>
      <w:r w:rsidR="0087033C" w:rsidRPr="00FA6B94">
        <w:t>После сессии Совета 2022 года в марте Комитет также получил возможность рассмотреть проект Стратегического плана для предоставления замечаний по предложению Совета</w:t>
      </w:r>
      <w:r w:rsidRPr="00FA6B94">
        <w:t>.</w:t>
      </w:r>
    </w:p>
    <w:p w14:paraId="3A9E074E" w14:textId="6112EF00" w:rsidR="0087033C" w:rsidRPr="00FA6B94" w:rsidRDefault="0087033C" w:rsidP="00ED4B6F">
      <w:r w:rsidRPr="00FA6B94">
        <w:t>3.3</w:t>
      </w:r>
      <w:r w:rsidRPr="00FA6B94">
        <w:tab/>
      </w:r>
      <w:r w:rsidR="00072A15" w:rsidRPr="00FA6B94">
        <w:t xml:space="preserve">В целом Комитет счел </w:t>
      </w:r>
      <w:r w:rsidR="00D349E8" w:rsidRPr="00FA6B94">
        <w:t xml:space="preserve">проект </w:t>
      </w:r>
      <w:r w:rsidR="00072A15" w:rsidRPr="00FA6B94">
        <w:t>Стратегическ</w:t>
      </w:r>
      <w:r w:rsidR="00D349E8" w:rsidRPr="00FA6B94">
        <w:t>ого</w:t>
      </w:r>
      <w:r w:rsidR="00072A15" w:rsidRPr="00FA6B94">
        <w:t xml:space="preserve"> план</w:t>
      </w:r>
      <w:r w:rsidR="00D349E8" w:rsidRPr="00FA6B94">
        <w:t xml:space="preserve">а должным образом разработанным и положительно отозвался о </w:t>
      </w:r>
      <w:proofErr w:type="spellStart"/>
      <w:r w:rsidR="00D349E8" w:rsidRPr="00FA6B94">
        <w:t>межсекторальном</w:t>
      </w:r>
      <w:proofErr w:type="spellEnd"/>
      <w:r w:rsidR="00D349E8" w:rsidRPr="00FA6B94">
        <w:t xml:space="preserve"> </w:t>
      </w:r>
      <w:r w:rsidR="004D058A" w:rsidRPr="00FA6B94">
        <w:t>характере</w:t>
      </w:r>
      <w:r w:rsidR="00D349E8" w:rsidRPr="00FA6B94">
        <w:t xml:space="preserve"> стратегической </w:t>
      </w:r>
      <w:r w:rsidR="00EB19EB" w:rsidRPr="00FA6B94">
        <w:t xml:space="preserve">основы, а также ее </w:t>
      </w:r>
      <w:r w:rsidR="00EB19EB" w:rsidRPr="00FA6B94">
        <w:lastRenderedPageBreak/>
        <w:t>предполагаемом оперативном отслеживании</w:t>
      </w:r>
      <w:r w:rsidRPr="00FA6B94">
        <w:t xml:space="preserve"> </w:t>
      </w:r>
      <w:r w:rsidR="00EB19EB" w:rsidRPr="00FA6B94">
        <w:t>с помощью ключевых показателей деятельности, что соответствует предыдущим рекомендациям</w:t>
      </w:r>
      <w:r w:rsidRPr="00FA6B94">
        <w:t xml:space="preserve"> IMAC</w:t>
      </w:r>
      <w:r w:rsidR="00A66058" w:rsidRPr="00FA6B94">
        <w:t>.</w:t>
      </w:r>
    </w:p>
    <w:p w14:paraId="30ECF9D5" w14:textId="7A621322" w:rsidR="00A66058" w:rsidRPr="00FA6B94" w:rsidRDefault="00A66058" w:rsidP="00ED4B6F">
      <w:r w:rsidRPr="00FA6B94">
        <w:t>3.4</w:t>
      </w:r>
      <w:r w:rsidRPr="00FA6B94">
        <w:tab/>
      </w:r>
      <w:r w:rsidR="00B36586" w:rsidRPr="00FA6B94">
        <w:t xml:space="preserve">Комитет рассмотрел содержание проекта Стратегического плана и предлагаемые компоненты стратегической основы. Учитывая стремительное и динамичное развитие ИКТ, </w:t>
      </w:r>
      <w:r w:rsidRPr="00FA6B94">
        <w:t>IMAC</w:t>
      </w:r>
      <w:r w:rsidR="00B36586" w:rsidRPr="00FA6B94">
        <w:t xml:space="preserve"> считает, что МСЭ следует считать кибербезопасность чрезвычайно важным вопросом и элементом работы организации.</w:t>
      </w:r>
    </w:p>
    <w:p w14:paraId="60C26B28" w14:textId="6674CFD3" w:rsidR="00A66058" w:rsidRPr="00FA6B94" w:rsidRDefault="00A66058" w:rsidP="00ED4B6F">
      <w:r w:rsidRPr="00FA6B94">
        <w:t>3.5</w:t>
      </w:r>
      <w:r w:rsidRPr="00FA6B94">
        <w:tab/>
      </w:r>
      <w:r w:rsidR="00B36586" w:rsidRPr="00FA6B94">
        <w:t>Комитет также отметил использование термина "экономический рост" в проекте Стратегического плана и предложил Союзу вместо него использовать термин "процветание"</w:t>
      </w:r>
      <w:r w:rsidR="00533D31" w:rsidRPr="00FA6B94">
        <w:t>, который учитывает не только экономический рост, отражаемый в статистических данных, но и целостный подход, охватывающий экономическое благосостояние и устойчивую окружающую среду.</w:t>
      </w:r>
    </w:p>
    <w:p w14:paraId="191D8FB5" w14:textId="3AF245B0" w:rsidR="00A66058" w:rsidRPr="00FA6B94" w:rsidRDefault="00A66058" w:rsidP="00ED4B6F">
      <w:r w:rsidRPr="00FA6B94">
        <w:t>3.6</w:t>
      </w:r>
      <w:r w:rsidRPr="00FA6B94">
        <w:tab/>
      </w:r>
      <w:r w:rsidR="00533D31" w:rsidRPr="00FA6B94">
        <w:t xml:space="preserve">В заключение </w:t>
      </w:r>
      <w:r w:rsidRPr="00FA6B94">
        <w:t>IMAC</w:t>
      </w:r>
      <w:r w:rsidR="00533D31" w:rsidRPr="00FA6B94">
        <w:t xml:space="preserve"> отметил</w:t>
      </w:r>
      <w:r w:rsidR="00E64537" w:rsidRPr="00FA6B94">
        <w:t>, насколько важно, чтобы</w:t>
      </w:r>
      <w:r w:rsidR="00533D31" w:rsidRPr="00FA6B94">
        <w:t xml:space="preserve"> руководство МСЭ уже приступило к рассмотрению </w:t>
      </w:r>
      <w:r w:rsidR="004D058A" w:rsidRPr="00FA6B94">
        <w:t>вопр</w:t>
      </w:r>
      <w:r w:rsidR="00F26E9F" w:rsidRPr="00FA6B94">
        <w:t>ос</w:t>
      </w:r>
      <w:r w:rsidR="00723545" w:rsidRPr="00FA6B94">
        <w:t xml:space="preserve">а об организации выполнения </w:t>
      </w:r>
      <w:r w:rsidR="00F26E9F" w:rsidRPr="00FA6B94">
        <w:t>нового Стратегического плана.</w:t>
      </w:r>
    </w:p>
    <w:p w14:paraId="4A57376C" w14:textId="6573BD79" w:rsidR="00345097" w:rsidRPr="00FA6B94" w:rsidRDefault="00864685" w:rsidP="00ED4B6F">
      <w:pPr>
        <w:pStyle w:val="Heading1"/>
      </w:pPr>
      <w:r w:rsidRPr="00FA6B94">
        <w:t>4</w:t>
      </w:r>
      <w:r w:rsidR="00345097" w:rsidRPr="00FA6B94">
        <w:tab/>
      </w:r>
      <w:r w:rsidR="005C7C6C" w:rsidRPr="00FA6B94">
        <w:t>Управление финансами</w:t>
      </w:r>
    </w:p>
    <w:p w14:paraId="0EF611F0" w14:textId="57FB4CEB" w:rsidR="00345097" w:rsidRPr="00FA6B94" w:rsidRDefault="00864685" w:rsidP="00ED4B6F">
      <w:r w:rsidRPr="00FA6B94">
        <w:t>4</w:t>
      </w:r>
      <w:r w:rsidR="00345097" w:rsidRPr="00FA6B94">
        <w:t>.1</w:t>
      </w:r>
      <w:r w:rsidR="00345097" w:rsidRPr="00FA6B94">
        <w:tab/>
        <w:t xml:space="preserve">IMAC </w:t>
      </w:r>
      <w:r w:rsidR="00B57C7D" w:rsidRPr="00FA6B94">
        <w:t xml:space="preserve">продолжал отслеживать </w:t>
      </w:r>
      <w:r w:rsidR="00FB0CF0" w:rsidRPr="00FA6B94">
        <w:t xml:space="preserve">основные вопросы управления </w:t>
      </w:r>
      <w:r w:rsidR="00B57C7D" w:rsidRPr="00FA6B94">
        <w:t>финанс</w:t>
      </w:r>
      <w:r w:rsidR="00FB0CF0" w:rsidRPr="00FA6B94">
        <w:t>ами</w:t>
      </w:r>
      <w:r w:rsidR="00E60D60" w:rsidRPr="00FA6B94">
        <w:t xml:space="preserve"> и обсуждать изменения в этой области с Департаментом управления финансовыми ресурсами</w:t>
      </w:r>
      <w:r w:rsidR="00345097" w:rsidRPr="00FA6B94">
        <w:t>.</w:t>
      </w:r>
    </w:p>
    <w:p w14:paraId="60B49052" w14:textId="378081AB" w:rsidR="00864685" w:rsidRPr="00FA6B94" w:rsidRDefault="00864685" w:rsidP="00ED4B6F">
      <w:r w:rsidRPr="00FA6B94">
        <w:t>4</w:t>
      </w:r>
      <w:r w:rsidR="00345097" w:rsidRPr="00FA6B94">
        <w:t>.</w:t>
      </w:r>
      <w:r w:rsidRPr="00FA6B94">
        <w:t>2</w:t>
      </w:r>
      <w:r w:rsidR="00345097" w:rsidRPr="00FA6B94">
        <w:tab/>
      </w:r>
      <w:r w:rsidR="00D95B02" w:rsidRPr="00FA6B94">
        <w:t>В частности, Комитет получал сведения о ходе разработки проекта Финансового план</w:t>
      </w:r>
      <w:r w:rsidR="00B5044F" w:rsidRPr="00FA6B94">
        <w:t>а</w:t>
      </w:r>
      <w:r w:rsidR="00D95B02" w:rsidRPr="00FA6B94">
        <w:t xml:space="preserve"> на </w:t>
      </w:r>
      <w:r w:rsidR="0079516B" w:rsidRPr="00FA6B94">
        <w:t>2024</w:t>
      </w:r>
      <w:r w:rsidR="00B5044F" w:rsidRPr="00FA6B94">
        <w:t>–</w:t>
      </w:r>
      <w:r w:rsidR="0079516B" w:rsidRPr="00FA6B94">
        <w:t>2027</w:t>
      </w:r>
      <w:r w:rsidR="00B5044F" w:rsidRPr="00FA6B94">
        <w:t> годы, а также о ходе выполнения бюджета</w:t>
      </w:r>
      <w:r w:rsidR="00345097" w:rsidRPr="00FA6B94">
        <w:t>.</w:t>
      </w:r>
    </w:p>
    <w:p w14:paraId="5E988A9A" w14:textId="7ADBAF08" w:rsidR="00864685" w:rsidRPr="00FA6B94" w:rsidRDefault="00864685" w:rsidP="00ED4B6F">
      <w:r w:rsidRPr="00FA6B94">
        <w:t>4.3</w:t>
      </w:r>
      <w:r w:rsidRPr="00FA6B94">
        <w:tab/>
      </w:r>
      <w:r w:rsidR="0079516B" w:rsidRPr="00FA6B94">
        <w:t xml:space="preserve">IMAC </w:t>
      </w:r>
      <w:r w:rsidR="009F7B5A" w:rsidRPr="00FA6B94">
        <w:t xml:space="preserve">обсудил с руководством МСЭ проблемы, связанные с разработкой финансового плана, в отношении видов деятельности и запросов </w:t>
      </w:r>
      <w:r w:rsidR="0039299E" w:rsidRPr="00FA6B94">
        <w:t xml:space="preserve">ресурсов, по которым финансирование еще не было определено, а также сокращения доходов за </w:t>
      </w:r>
      <w:r w:rsidR="0079516B" w:rsidRPr="00FA6B94">
        <w:t>2021</w:t>
      </w:r>
      <w:r w:rsidR="0039299E" w:rsidRPr="00FA6B94">
        <w:t>–</w:t>
      </w:r>
      <w:r w:rsidR="0079516B" w:rsidRPr="00FA6B94">
        <w:t>2022</w:t>
      </w:r>
      <w:r w:rsidR="0039299E" w:rsidRPr="00FA6B94">
        <w:t xml:space="preserve"> годы, в результате чего </w:t>
      </w:r>
      <w:r w:rsidR="00D44385" w:rsidRPr="00FA6B94">
        <w:t>при выполнении предыдущего бюджета не было достигнуто какой-либо экономии</w:t>
      </w:r>
      <w:r w:rsidRPr="00FA6B94">
        <w:t>.</w:t>
      </w:r>
    </w:p>
    <w:p w14:paraId="75F91D7B" w14:textId="0DF50FF7" w:rsidR="00345097" w:rsidRPr="00FA6B94" w:rsidRDefault="00864685" w:rsidP="00ED4B6F">
      <w:r w:rsidRPr="00FA6B94">
        <w:t>4.4</w:t>
      </w:r>
      <w:r w:rsidRPr="00FA6B94">
        <w:tab/>
      </w:r>
      <w:r w:rsidR="006944CF" w:rsidRPr="00FA6B94">
        <w:t xml:space="preserve">Комитет будет пристально следить </w:t>
      </w:r>
      <w:r w:rsidR="00E81EA9" w:rsidRPr="00FA6B94">
        <w:t>за состоянием организации в отношении наличия финансовых ресурсов</w:t>
      </w:r>
      <w:r w:rsidR="002338EA" w:rsidRPr="00FA6B94">
        <w:t>, а также прогнозов и распределения ресурсов в рамках последующего бюджета</w:t>
      </w:r>
      <w:r w:rsidR="00345097" w:rsidRPr="00FA6B94">
        <w:t>.</w:t>
      </w:r>
    </w:p>
    <w:p w14:paraId="3744AEF0" w14:textId="35371A1A" w:rsidR="0079516B" w:rsidRPr="00FA6B94" w:rsidRDefault="0079516B" w:rsidP="00ED4B6F">
      <w:r w:rsidRPr="00FA6B94">
        <w:t>4.5</w:t>
      </w:r>
      <w:r w:rsidRPr="00FA6B94">
        <w:tab/>
      </w:r>
      <w:r w:rsidR="002338EA" w:rsidRPr="00FA6B94">
        <w:t>Комитет также обсудил разницу</w:t>
      </w:r>
      <w:r w:rsidR="00C72683" w:rsidRPr="00FA6B94">
        <w:t xml:space="preserve"> между ставками дисконтирования и процентными ставками в финансов</w:t>
      </w:r>
      <w:r w:rsidR="00E64537" w:rsidRPr="00FA6B94">
        <w:t>ой отчетности</w:t>
      </w:r>
      <w:r w:rsidR="00C72683" w:rsidRPr="00FA6B94">
        <w:t xml:space="preserve">, отметив последствия этого </w:t>
      </w:r>
      <w:r w:rsidR="003905FB" w:rsidRPr="00FA6B94">
        <w:t>для финансового состояния организации и необходимость обеспечения большего разнообразия</w:t>
      </w:r>
      <w:r w:rsidRPr="00FA6B94">
        <w:t>.</w:t>
      </w:r>
    </w:p>
    <w:p w14:paraId="27BC7E83" w14:textId="2FCEAE54" w:rsidR="0079516B" w:rsidRPr="00FA6B94" w:rsidRDefault="0079516B" w:rsidP="00ED4B6F">
      <w:r w:rsidRPr="00FA6B94">
        <w:t>4.6</w:t>
      </w:r>
      <w:r w:rsidRPr="00FA6B94">
        <w:tab/>
      </w:r>
      <w:r w:rsidR="00A03380" w:rsidRPr="00FA6B94">
        <w:t>Комитет обсудил выводы специального присвоения, порученного Генеральным секретарем для обеспечения дальнейших аналитических последующих мер в связи со случаем мошенничества в Бангкоке</w:t>
      </w:r>
      <w:r w:rsidR="006768A9" w:rsidRPr="00FA6B94">
        <w:t>, который был раскрыт в 2018 году</w:t>
      </w:r>
      <w:r w:rsidRPr="00FA6B94">
        <w:t xml:space="preserve">. </w:t>
      </w:r>
      <w:r w:rsidR="00E91704" w:rsidRPr="00FA6B94">
        <w:t>Комитет оценил тот факт, что была произведена оценка и количественный анализ полного объема мошенничества и извлечены уроки на будущее</w:t>
      </w:r>
      <w:r w:rsidRPr="00FA6B94">
        <w:t xml:space="preserve">. </w:t>
      </w:r>
      <w:r w:rsidR="0043234C" w:rsidRPr="00FA6B94">
        <w:t>Комитет отметил, что рассматривается средство преодоления выявленных в ходе предыдущих судебно-бухгалтерских действий недостатков</w:t>
      </w:r>
      <w:r w:rsidRPr="00FA6B94">
        <w:t>.</w:t>
      </w:r>
    </w:p>
    <w:p w14:paraId="7AC2FADE" w14:textId="75E2A455" w:rsidR="00EB6C45" w:rsidRPr="00FA6B94" w:rsidRDefault="00EB6C45" w:rsidP="00EB6C45">
      <w:pPr>
        <w:pStyle w:val="Heading1"/>
      </w:pPr>
      <w:r w:rsidRPr="00FA6B94">
        <w:t>5</w:t>
      </w:r>
      <w:r w:rsidRPr="00FA6B94">
        <w:tab/>
      </w:r>
      <w:r w:rsidR="0043234C" w:rsidRPr="00FA6B94">
        <w:t>Проект строительства здания штаб-квартиры МСЭ</w:t>
      </w:r>
    </w:p>
    <w:p w14:paraId="32694352" w14:textId="76D95436" w:rsidR="00EB6C45" w:rsidRPr="00FA6B94" w:rsidRDefault="00EB6C45" w:rsidP="00ED4B6F">
      <w:r w:rsidRPr="00FA6B94">
        <w:t>5.1</w:t>
      </w:r>
      <w:r w:rsidRPr="00FA6B94">
        <w:tab/>
      </w:r>
      <w:r w:rsidR="0043234C" w:rsidRPr="00FA6B94">
        <w:t>IMAC продолжал получать на регулярной основе информацию от руководителя Отдела административно-хозяйственного управления и проекта строительства о ходе выполнения и развитии проекта строительства помещений штаб-квартиры МСЭ</w:t>
      </w:r>
      <w:r w:rsidRPr="00FA6B94">
        <w:t>.</w:t>
      </w:r>
      <w:r w:rsidR="003A3658" w:rsidRPr="00FA6B94">
        <w:t xml:space="preserve"> IMAC с удовлетворением отмечает, что реализация проекта на данный момент находится под контролем.</w:t>
      </w:r>
    </w:p>
    <w:p w14:paraId="0B4861C1" w14:textId="6470AC2D" w:rsidR="00EB6C45" w:rsidRPr="00FA6B94" w:rsidRDefault="00EB6C45" w:rsidP="00ED4B6F">
      <w:r w:rsidRPr="00FA6B94">
        <w:t>5.2</w:t>
      </w:r>
      <w:r w:rsidRPr="00FA6B94">
        <w:tab/>
      </w:r>
      <w:r w:rsidR="003A3658" w:rsidRPr="00FA6B94">
        <w:t>Учитывая масштабы проекта, а также риски, связанные с выполнением проекта</w:t>
      </w:r>
      <w:r w:rsidR="00E64537" w:rsidRPr="00FA6B94">
        <w:t>,</w:t>
      </w:r>
      <w:r w:rsidR="003A3658" w:rsidRPr="00FA6B94">
        <w:t xml:space="preserve"> и технические проблемы, которые могут быть созданы таким проектом, IMAC </w:t>
      </w:r>
      <w:r w:rsidR="00797237" w:rsidRPr="00FA6B94">
        <w:t>еще раз отметил необходимость укрепления технического потенциала в управлении проектом и надзорными структурами</w:t>
      </w:r>
      <w:r w:rsidR="003A3658" w:rsidRPr="00FA6B94">
        <w:t xml:space="preserve">. </w:t>
      </w:r>
      <w:r w:rsidR="009F79D9" w:rsidRPr="00FA6B94">
        <w:t xml:space="preserve">Это будет достигнуто путем </w:t>
      </w:r>
      <w:r w:rsidR="002004B2" w:rsidRPr="00FA6B94">
        <w:t>привлечения</w:t>
      </w:r>
      <w:r w:rsidR="009F79D9" w:rsidRPr="00FA6B94">
        <w:t xml:space="preserve"> </w:t>
      </w:r>
      <w:r w:rsidR="00F26B09" w:rsidRPr="00FA6B94">
        <w:t>опытн</w:t>
      </w:r>
      <w:r w:rsidR="00E56EE2" w:rsidRPr="00FA6B94">
        <w:t>ых</w:t>
      </w:r>
      <w:r w:rsidR="00723545" w:rsidRPr="00FA6B94">
        <w:t xml:space="preserve"> </w:t>
      </w:r>
      <w:r w:rsidR="00F26B09" w:rsidRPr="00FA6B94">
        <w:t>техническ</w:t>
      </w:r>
      <w:r w:rsidR="00E56EE2" w:rsidRPr="00FA6B94">
        <w:t>их</w:t>
      </w:r>
      <w:r w:rsidR="00F26B09" w:rsidRPr="00FA6B94">
        <w:t xml:space="preserve"> </w:t>
      </w:r>
      <w:r w:rsidR="00723545" w:rsidRPr="00FA6B94">
        <w:t>специалист</w:t>
      </w:r>
      <w:r w:rsidR="00E56EE2" w:rsidRPr="00FA6B94">
        <w:t>ов</w:t>
      </w:r>
      <w:r w:rsidR="00723545" w:rsidRPr="00FA6B94">
        <w:t xml:space="preserve"> </w:t>
      </w:r>
      <w:r w:rsidR="00F26B09" w:rsidRPr="00FA6B94">
        <w:t xml:space="preserve">для обеспечения эффективного надзора над проектом и </w:t>
      </w:r>
      <w:r w:rsidR="002004B2" w:rsidRPr="00FA6B94">
        <w:t xml:space="preserve">оценки </w:t>
      </w:r>
      <w:r w:rsidR="00FC6F2B" w:rsidRPr="00FA6B94">
        <w:t xml:space="preserve">ресурсов, используемых </w:t>
      </w:r>
      <w:r w:rsidR="002004B2" w:rsidRPr="00FA6B94">
        <w:t>при</w:t>
      </w:r>
      <w:r w:rsidR="00FC6F2B" w:rsidRPr="00FA6B94">
        <w:t xml:space="preserve"> осуществлении проекта</w:t>
      </w:r>
      <w:r w:rsidR="003A3658" w:rsidRPr="00FA6B94">
        <w:t>.</w:t>
      </w:r>
    </w:p>
    <w:p w14:paraId="72DAEF18" w14:textId="5A37697B" w:rsidR="00EB6C45" w:rsidRPr="00FA6B94" w:rsidRDefault="00EB6C45" w:rsidP="00ED4B6F">
      <w:r w:rsidRPr="00FA6B94">
        <w:lastRenderedPageBreak/>
        <w:t>5.3</w:t>
      </w:r>
      <w:r w:rsidRPr="00FA6B94">
        <w:tab/>
      </w:r>
      <w:r w:rsidR="008E0CE1" w:rsidRPr="00FA6B94">
        <w:t xml:space="preserve">В отношении потенциала аудиторской проверки Комитет отметил </w:t>
      </w:r>
      <w:r w:rsidR="004A3A4C" w:rsidRPr="00FA6B94">
        <w:t>отчет об аудиторской проверке проекта строительства нового здания штаб-квартиры МСЭ, составленный Подразделением внутреннего аудита</w:t>
      </w:r>
      <w:r w:rsidR="00032912" w:rsidRPr="00FA6B94">
        <w:t>, и рекомендовал продолжить проведение регулярных аудиторских проверок, должным образом увеличивая необходимый технический потенциал, требующийся для таких аудиторских проверок, когда начнется осуществление проекта</w:t>
      </w:r>
      <w:r w:rsidR="00107EF7" w:rsidRPr="00FA6B94">
        <w:t>.</w:t>
      </w:r>
    </w:p>
    <w:p w14:paraId="54135E95" w14:textId="7169204B" w:rsidR="00EB6C45" w:rsidRPr="00FA6B94" w:rsidRDefault="00EB6C45" w:rsidP="00ED4B6F">
      <w:r w:rsidRPr="00FA6B94">
        <w:t>5.4</w:t>
      </w:r>
      <w:r w:rsidRPr="00FA6B94">
        <w:tab/>
      </w:r>
      <w:r w:rsidR="003A3658" w:rsidRPr="00FA6B94">
        <w:t xml:space="preserve">IMAC </w:t>
      </w:r>
      <w:r w:rsidR="0048283D" w:rsidRPr="00FA6B94">
        <w:t xml:space="preserve">обратил внимание на возможную динамику расценок и графика в связи с глобальной инфляцией и проблемами в цепочке поставок, которые создают риск превышения затрат и </w:t>
      </w:r>
      <w:r w:rsidR="00814B4E" w:rsidRPr="00FA6B94">
        <w:t>задержек в осуществлении. Руководство должно учитывать эти возникающие риски и планировать смягчение их последствий.</w:t>
      </w:r>
    </w:p>
    <w:p w14:paraId="24AE5895" w14:textId="31EF4A1F" w:rsidR="006768A9" w:rsidRPr="00FA6B94" w:rsidRDefault="003A3658" w:rsidP="00ED4B6F">
      <w:r w:rsidRPr="00FA6B94">
        <w:t>5.5</w:t>
      </w:r>
      <w:r w:rsidRPr="00FA6B94">
        <w:tab/>
      </w:r>
      <w:r w:rsidR="006768A9" w:rsidRPr="00FA6B94">
        <w:t>IMAC также обращает внимание руководства МСЭ и Совета на проблемы, поднятые в отчете Внешнего аудитора за 2021 год относительно возможных рисков, связанны</w:t>
      </w:r>
      <w:r w:rsidR="00B4359D" w:rsidRPr="00FA6B94">
        <w:t>х</w:t>
      </w:r>
      <w:r w:rsidR="006768A9" w:rsidRPr="00FA6B94">
        <w:t xml:space="preserve"> с проектом строительства нового здания штаб-квартиры МСЭ</w:t>
      </w:r>
      <w:r w:rsidR="00EF10FB" w:rsidRPr="00FA6B94">
        <w:t>.</w:t>
      </w:r>
    </w:p>
    <w:p w14:paraId="7404A684" w14:textId="0E5213AE" w:rsidR="003A3658" w:rsidRPr="00FA6B94" w:rsidRDefault="00EF10FB" w:rsidP="00ED4B6F">
      <w:r w:rsidRPr="00FA6B94">
        <w:t>5.6</w:t>
      </w:r>
      <w:r w:rsidRPr="00FA6B94">
        <w:tab/>
      </w:r>
      <w:r w:rsidR="003A3658" w:rsidRPr="00FA6B94">
        <w:t xml:space="preserve">IMAC </w:t>
      </w:r>
      <w:r w:rsidR="00814B4E" w:rsidRPr="00FA6B94">
        <w:t>продолжит отслеживать ход работ, учитывая значени</w:t>
      </w:r>
      <w:r w:rsidR="00E64537" w:rsidRPr="00FA6B94">
        <w:t>е</w:t>
      </w:r>
      <w:r w:rsidR="00814B4E" w:rsidRPr="00FA6B94">
        <w:t xml:space="preserve"> проекта и связанные с ним риски</w:t>
      </w:r>
      <w:r w:rsidR="003A3658" w:rsidRPr="00FA6B94">
        <w:t>.</w:t>
      </w:r>
    </w:p>
    <w:p w14:paraId="62E65408" w14:textId="35A42B0A" w:rsidR="00AC1D1A" w:rsidRPr="00FA6B94" w:rsidRDefault="00AC1D1A" w:rsidP="00BA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6B94">
        <w:rPr>
          <w:b/>
          <w:bCs/>
        </w:rPr>
        <w:t>Рекомендация 2</w:t>
      </w:r>
      <w:r w:rsidR="00ED4B6F" w:rsidRPr="00FA6B94">
        <w:rPr>
          <w:rStyle w:val="FootnoteReference"/>
        </w:rPr>
        <w:footnoteReference w:customMarkFollows="1" w:id="1"/>
        <w:t>1</w:t>
      </w:r>
      <w:r w:rsidRPr="00FA6B94">
        <w:t xml:space="preserve"> </w:t>
      </w:r>
      <w:r w:rsidRPr="00FA6B94">
        <w:rPr>
          <w:b/>
          <w:bCs/>
        </w:rPr>
        <w:t>(2022</w:t>
      </w:r>
      <w:r w:rsidR="00BA5489" w:rsidRPr="00FA6B94">
        <w:rPr>
          <w:b/>
          <w:bCs/>
        </w:rPr>
        <w:t xml:space="preserve"> г.</w:t>
      </w:r>
      <w:r w:rsidRPr="00FA6B94">
        <w:rPr>
          <w:b/>
          <w:bCs/>
        </w:rPr>
        <w:t>)</w:t>
      </w:r>
      <w:r w:rsidRPr="00FA6B94">
        <w:t>: IMAC рекомендует укреплять технический потенциал</w:t>
      </w:r>
      <w:r w:rsidR="009D7440" w:rsidRPr="00FA6B94">
        <w:t xml:space="preserve"> структур управления и надзора в проекте строительства здания штаб-квартиры МСЭ</w:t>
      </w:r>
      <w:r w:rsidRPr="00FA6B94">
        <w:t xml:space="preserve"> </w:t>
      </w:r>
      <w:r w:rsidR="009D7440" w:rsidRPr="00FA6B94">
        <w:t xml:space="preserve">путем </w:t>
      </w:r>
      <w:r w:rsidR="002004B2" w:rsidRPr="00FA6B94">
        <w:t>привлечения</w:t>
      </w:r>
      <w:r w:rsidR="009D7440" w:rsidRPr="00FA6B94">
        <w:t xml:space="preserve"> </w:t>
      </w:r>
      <w:r w:rsidR="00723545" w:rsidRPr="00FA6B94">
        <w:t>опытн</w:t>
      </w:r>
      <w:r w:rsidR="00E56EE2" w:rsidRPr="00FA6B94">
        <w:t>ых</w:t>
      </w:r>
      <w:r w:rsidR="00723545" w:rsidRPr="00FA6B94">
        <w:t xml:space="preserve"> техническ</w:t>
      </w:r>
      <w:r w:rsidR="00E56EE2" w:rsidRPr="00FA6B94">
        <w:t>их</w:t>
      </w:r>
      <w:r w:rsidR="00723545" w:rsidRPr="00FA6B94">
        <w:t xml:space="preserve"> специалист</w:t>
      </w:r>
      <w:r w:rsidR="00E56EE2" w:rsidRPr="00FA6B94">
        <w:t>ов</w:t>
      </w:r>
      <w:r w:rsidR="009D7440" w:rsidRPr="00FA6B94">
        <w:t xml:space="preserve"> для обеспечения эффективного надзора над проектом и </w:t>
      </w:r>
      <w:r w:rsidR="002004B2" w:rsidRPr="00FA6B94">
        <w:t>оценки</w:t>
      </w:r>
      <w:r w:rsidR="009D7440" w:rsidRPr="00FA6B94">
        <w:t xml:space="preserve"> ресурсов, используемых </w:t>
      </w:r>
      <w:r w:rsidR="002004B2" w:rsidRPr="00FA6B94">
        <w:t xml:space="preserve">при </w:t>
      </w:r>
      <w:r w:rsidR="009D7440" w:rsidRPr="00FA6B94">
        <w:t>осуществлении проекта</w:t>
      </w:r>
      <w:r w:rsidRPr="00FA6B94">
        <w:t>.</w:t>
      </w:r>
    </w:p>
    <w:p w14:paraId="06E6CD29" w14:textId="76796529" w:rsidR="00E12E53" w:rsidRPr="00FA6B94" w:rsidRDefault="00E12E53" w:rsidP="00ED4B6F">
      <w:pPr>
        <w:pStyle w:val="Heading1"/>
      </w:pPr>
      <w:r w:rsidRPr="00FA6B94">
        <w:t>6</w:t>
      </w:r>
      <w:r w:rsidRPr="00FA6B94">
        <w:tab/>
      </w:r>
      <w:r w:rsidR="00ED4B6F" w:rsidRPr="00FA6B94">
        <w:t>Закупки</w:t>
      </w:r>
    </w:p>
    <w:p w14:paraId="207BCEDC" w14:textId="0B717483" w:rsidR="00497FB5" w:rsidRPr="00FA6B94" w:rsidRDefault="00EB6C45" w:rsidP="00EB6C45">
      <w:pPr>
        <w:rPr>
          <w:szCs w:val="22"/>
        </w:rPr>
      </w:pPr>
      <w:r w:rsidRPr="00FA6B94">
        <w:t>6.1</w:t>
      </w:r>
      <w:r w:rsidRPr="00FA6B94">
        <w:tab/>
      </w:r>
      <w:r w:rsidR="00497FB5" w:rsidRPr="00FA6B94">
        <w:rPr>
          <w:szCs w:val="22"/>
        </w:rPr>
        <w:t xml:space="preserve">IMAC </w:t>
      </w:r>
      <w:r w:rsidR="00896F77" w:rsidRPr="00FA6B94">
        <w:rPr>
          <w:szCs w:val="22"/>
        </w:rPr>
        <w:t xml:space="preserve">контактировал с новым руководителем Отдела закупок и получал сведения об общем состоянии </w:t>
      </w:r>
      <w:r w:rsidR="0049773C" w:rsidRPr="00FA6B94">
        <w:rPr>
          <w:szCs w:val="22"/>
        </w:rPr>
        <w:t>функции закупок в МСЭ, рабочих проблемах, ходе пересмотра Руководства по закупкам и процесса совершенствования профессиональной подготовки персонала в региональных отделениях.</w:t>
      </w:r>
    </w:p>
    <w:p w14:paraId="1A8F8369" w14:textId="25FEEA5E" w:rsidR="0082388F" w:rsidRPr="00FA6B94" w:rsidRDefault="0082388F" w:rsidP="00ED4B6F">
      <w:pPr>
        <w:pStyle w:val="Heading1"/>
      </w:pPr>
      <w:r w:rsidRPr="00FA6B94">
        <w:t>7</w:t>
      </w:r>
      <w:r w:rsidRPr="00FA6B94">
        <w:tab/>
      </w:r>
      <w:r w:rsidR="003D1E1B" w:rsidRPr="00FA6B94">
        <w:t>Внутренний аудит</w:t>
      </w:r>
    </w:p>
    <w:p w14:paraId="3C94132B" w14:textId="06F401E2" w:rsidR="00EB6C45" w:rsidRPr="00FA6B94" w:rsidRDefault="0082388F" w:rsidP="00ED4B6F">
      <w:r w:rsidRPr="00FA6B94">
        <w:t>7.1</w:t>
      </w:r>
      <w:r w:rsidRPr="00FA6B94">
        <w:tab/>
      </w:r>
      <w:r w:rsidR="00EB6C45" w:rsidRPr="00FA6B94">
        <w:t xml:space="preserve">IMAC </w:t>
      </w:r>
      <w:r w:rsidR="00D16F3F" w:rsidRPr="00FA6B94">
        <w:t>продолжил предоставлять рекомендации и взаимодействовать с функцией внутреннего аудита</w:t>
      </w:r>
      <w:r w:rsidR="00EB6C45" w:rsidRPr="00FA6B94">
        <w:t>.</w:t>
      </w:r>
      <w:r w:rsidRPr="00FA6B94">
        <w:t xml:space="preserve"> </w:t>
      </w:r>
      <w:r w:rsidR="00D16F3F" w:rsidRPr="00FA6B94">
        <w:t>Комитет регулярно получал информацию от руководителя</w:t>
      </w:r>
      <w:r w:rsidR="00EB6C45" w:rsidRPr="00FA6B94">
        <w:t xml:space="preserve"> </w:t>
      </w:r>
      <w:r w:rsidR="00D16F3F" w:rsidRPr="00FA6B94">
        <w:t>подразделения внутреннего аудита о</w:t>
      </w:r>
      <w:r w:rsidR="00645711" w:rsidRPr="00FA6B94">
        <w:t xml:space="preserve"> </w:t>
      </w:r>
      <w:r w:rsidRPr="00FA6B94">
        <w:t>планировании и</w:t>
      </w:r>
      <w:r w:rsidR="00645711" w:rsidRPr="00FA6B94">
        <w:t xml:space="preserve"> состоянии работы по внутреннему аудиту</w:t>
      </w:r>
      <w:r w:rsidR="00EB6C45" w:rsidRPr="00FA6B94">
        <w:t>.</w:t>
      </w:r>
    </w:p>
    <w:p w14:paraId="17B01FE1" w14:textId="5ACD9684" w:rsidR="00EB6C45" w:rsidRPr="00FA6B94" w:rsidRDefault="0082388F" w:rsidP="00ED4B6F">
      <w:r w:rsidRPr="00FA6B94">
        <w:t>7.2</w:t>
      </w:r>
      <w:r w:rsidR="00EB6C45" w:rsidRPr="00FA6B94">
        <w:tab/>
      </w:r>
      <w:r w:rsidR="009F4EB5" w:rsidRPr="00FA6B94">
        <w:t xml:space="preserve">Ранее в своем ежегодном отчете Совету </w:t>
      </w:r>
      <w:r w:rsidR="006B7F62" w:rsidRPr="00FA6B94">
        <w:t xml:space="preserve">в 2020 году </w:t>
      </w:r>
      <w:r w:rsidR="00EB6C45" w:rsidRPr="00FA6B94">
        <w:t xml:space="preserve">IMAC </w:t>
      </w:r>
      <w:r w:rsidR="009F4EB5" w:rsidRPr="00FA6B94">
        <w:t>рекомендовал</w:t>
      </w:r>
      <w:r w:rsidR="00EB6C45" w:rsidRPr="00FA6B94">
        <w:t xml:space="preserve"> существенным образом укрепить </w:t>
      </w:r>
      <w:r w:rsidR="009F4EB5" w:rsidRPr="00FA6B94">
        <w:t>п</w:t>
      </w:r>
      <w:r w:rsidR="00EB6C45" w:rsidRPr="00FA6B94">
        <w:t xml:space="preserve">одразделение внутреннего аудита в </w:t>
      </w:r>
      <w:r w:rsidR="000620F9" w:rsidRPr="00FA6B94">
        <w:t>плане</w:t>
      </w:r>
      <w:r w:rsidR="00EB6C45" w:rsidRPr="00FA6B94">
        <w:t xml:space="preserve"> ресурсов, охвата и адекватности процессов.</w:t>
      </w:r>
    </w:p>
    <w:p w14:paraId="393CFDCF" w14:textId="2115C3A1" w:rsidR="001E5A07" w:rsidRPr="00FA6B94" w:rsidRDefault="0082388F" w:rsidP="00ED4B6F">
      <w:r w:rsidRPr="00FA6B94">
        <w:t>7.3</w:t>
      </w:r>
      <w:r w:rsidR="00EB6C45" w:rsidRPr="00FA6B94">
        <w:tab/>
      </w:r>
      <w:r w:rsidR="00652B88" w:rsidRPr="00FA6B94">
        <w:t>Поэтому Комитет положительно оцени</w:t>
      </w:r>
      <w:r w:rsidRPr="00FA6B94">
        <w:t xml:space="preserve">л прогресс, достигнутый в этой области, </w:t>
      </w:r>
      <w:r w:rsidR="001E5A07" w:rsidRPr="00FA6B94">
        <w:t xml:space="preserve">путем </w:t>
      </w:r>
      <w:r w:rsidR="00652B88" w:rsidRPr="00FA6B94">
        <w:t>укреплени</w:t>
      </w:r>
      <w:r w:rsidR="001E5A07" w:rsidRPr="00FA6B94">
        <w:t>я</w:t>
      </w:r>
      <w:r w:rsidR="00652B88" w:rsidRPr="00FA6B94">
        <w:t xml:space="preserve"> </w:t>
      </w:r>
      <w:r w:rsidRPr="00FA6B94">
        <w:t xml:space="preserve">соответствующими </w:t>
      </w:r>
      <w:r w:rsidR="00652B88" w:rsidRPr="00FA6B94">
        <w:t>ресурс</w:t>
      </w:r>
      <w:r w:rsidRPr="00FA6B94">
        <w:t>ами</w:t>
      </w:r>
      <w:r w:rsidR="00652B88" w:rsidRPr="00FA6B94">
        <w:t xml:space="preserve"> подразделения внутреннего аудита</w:t>
      </w:r>
      <w:r w:rsidR="00EB6C45" w:rsidRPr="00FA6B94">
        <w:t xml:space="preserve">. IMAC </w:t>
      </w:r>
      <w:r w:rsidR="0076416A" w:rsidRPr="00FA6B94">
        <w:t xml:space="preserve">надеется, что </w:t>
      </w:r>
      <w:r w:rsidRPr="00FA6B94">
        <w:t xml:space="preserve">все </w:t>
      </w:r>
      <w:r w:rsidR="0076416A" w:rsidRPr="00FA6B94">
        <w:t>должност</w:t>
      </w:r>
      <w:r w:rsidRPr="00FA6B94">
        <w:t>и</w:t>
      </w:r>
      <w:r w:rsidR="0076416A" w:rsidRPr="00FA6B94">
        <w:t xml:space="preserve"> буд</w:t>
      </w:r>
      <w:r w:rsidRPr="00FA6B94">
        <w:t>у</w:t>
      </w:r>
      <w:r w:rsidR="0076416A" w:rsidRPr="00FA6B94">
        <w:t xml:space="preserve">т </w:t>
      </w:r>
      <w:r w:rsidR="00B81446" w:rsidRPr="00FA6B94">
        <w:t>вскоре</w:t>
      </w:r>
      <w:r w:rsidR="00FF4571" w:rsidRPr="00FA6B94">
        <w:t xml:space="preserve"> заполнен</w:t>
      </w:r>
      <w:r w:rsidR="006B7F62" w:rsidRPr="00FA6B94">
        <w:t>ы</w:t>
      </w:r>
      <w:r w:rsidR="00B81446" w:rsidRPr="00FA6B94">
        <w:t xml:space="preserve"> и тем самым больше внимани</w:t>
      </w:r>
      <w:r w:rsidR="001E5A07" w:rsidRPr="00FA6B94">
        <w:t>я</w:t>
      </w:r>
      <w:r w:rsidR="00B81446" w:rsidRPr="00FA6B94">
        <w:t xml:space="preserve"> будет уделяться непосредственно работе по аудиту</w:t>
      </w:r>
      <w:r w:rsidR="00EB6C45" w:rsidRPr="00FA6B94">
        <w:t>.</w:t>
      </w:r>
    </w:p>
    <w:p w14:paraId="51334777" w14:textId="791D15B1" w:rsidR="001E5A07" w:rsidRPr="00FA6B94" w:rsidRDefault="001E5A07" w:rsidP="00ED4B6F">
      <w:pPr>
        <w:keepNext/>
        <w:keepLines/>
      </w:pPr>
      <w:r w:rsidRPr="00FA6B94">
        <w:t>7.4</w:t>
      </w:r>
      <w:r w:rsidRPr="00FA6B94">
        <w:tab/>
        <w:t>IMAC имел возможность анализировать</w:t>
      </w:r>
      <w:r w:rsidR="00285035" w:rsidRPr="00FA6B94">
        <w:t xml:space="preserve"> следующие отчеты об аудиторских проверках со времени своего последнего отчета Совету</w:t>
      </w:r>
      <w:r w:rsidRPr="00FA6B94">
        <w:t xml:space="preserve"> 2021</w:t>
      </w:r>
      <w:r w:rsidR="00285035" w:rsidRPr="00FA6B94">
        <w:t> года</w:t>
      </w:r>
      <w:r w:rsidRPr="00FA6B94">
        <w:t>:</w:t>
      </w:r>
    </w:p>
    <w:p w14:paraId="3749787F" w14:textId="50BD187F" w:rsidR="001E5A07" w:rsidRPr="00FA6B94" w:rsidRDefault="00E85CBD" w:rsidP="00ED4B6F">
      <w:pPr>
        <w:pStyle w:val="enumlev1"/>
      </w:pPr>
      <w:r w:rsidRPr="00FA6B94">
        <w:t>–</w:t>
      </w:r>
      <w:r w:rsidRPr="00FA6B94">
        <w:tab/>
      </w:r>
      <w:r w:rsidR="00EA4D3C" w:rsidRPr="00FA6B94">
        <w:t>проверку льгот сотрудников</w:t>
      </w:r>
      <w:r w:rsidR="00ED4B6F" w:rsidRPr="00FA6B94">
        <w:t>;</w:t>
      </w:r>
    </w:p>
    <w:p w14:paraId="18A078EE" w14:textId="0161B09C" w:rsidR="001E5A07" w:rsidRPr="00FA6B94" w:rsidRDefault="00E85CBD" w:rsidP="00ED4B6F">
      <w:pPr>
        <w:pStyle w:val="enumlev1"/>
      </w:pPr>
      <w:r w:rsidRPr="00FA6B94">
        <w:lastRenderedPageBreak/>
        <w:t>–</w:t>
      </w:r>
      <w:r w:rsidRPr="00FA6B94">
        <w:tab/>
      </w:r>
      <w:r w:rsidR="00EA4D3C" w:rsidRPr="00FA6B94">
        <w:t xml:space="preserve">аудиторскую проверку программ, проектов и дополнительной деятельности </w:t>
      </w:r>
      <w:r w:rsidR="001E5A07" w:rsidRPr="00FA6B94">
        <w:t>(PPSA)</w:t>
      </w:r>
      <w:r w:rsidR="00ED4B6F" w:rsidRPr="00FA6B94">
        <w:t>;</w:t>
      </w:r>
      <w:r w:rsidR="00EA4D3C" w:rsidRPr="00FA6B94">
        <w:t xml:space="preserve"> финансируемых добровольными взносами и фондами</w:t>
      </w:r>
      <w:r w:rsidR="00ED4B6F" w:rsidRPr="00FA6B94">
        <w:t>;</w:t>
      </w:r>
    </w:p>
    <w:p w14:paraId="5F4BFF4D" w14:textId="6FEF46DA" w:rsidR="001E5A07" w:rsidRPr="00FA6B94" w:rsidRDefault="00E85CBD" w:rsidP="00ED4B6F">
      <w:pPr>
        <w:pStyle w:val="enumlev1"/>
      </w:pPr>
      <w:r w:rsidRPr="00FA6B94">
        <w:t>–</w:t>
      </w:r>
      <w:r w:rsidRPr="00FA6B94">
        <w:tab/>
      </w:r>
      <w:r w:rsidR="00A86984" w:rsidRPr="00FA6B94">
        <w:t>аудиторскую проверку проекта строительства нового здания штаб-квартиры МСЭ</w:t>
      </w:r>
      <w:r w:rsidR="00ED4B6F" w:rsidRPr="00FA6B94">
        <w:t>;</w:t>
      </w:r>
      <w:r w:rsidR="001E5A07" w:rsidRPr="00FA6B94">
        <w:t xml:space="preserve"> </w:t>
      </w:r>
      <w:r w:rsidR="00A86984" w:rsidRPr="00FA6B94">
        <w:t>и</w:t>
      </w:r>
    </w:p>
    <w:p w14:paraId="3898AFBC" w14:textId="727A716E" w:rsidR="001E5A07" w:rsidRPr="00FA6B94" w:rsidRDefault="00E85CBD" w:rsidP="00ED4B6F">
      <w:pPr>
        <w:pStyle w:val="enumlev1"/>
      </w:pPr>
      <w:r w:rsidRPr="00FA6B94">
        <w:t>–</w:t>
      </w:r>
      <w:r w:rsidRPr="00FA6B94">
        <w:tab/>
        <w:t>отчет о внутренней аудиторской проверке системы экологического менеджмента</w:t>
      </w:r>
      <w:r w:rsidR="001E5A07" w:rsidRPr="00FA6B94">
        <w:t>.</w:t>
      </w:r>
    </w:p>
    <w:p w14:paraId="5AC3CA9C" w14:textId="522E9FD9" w:rsidR="00EB6C45" w:rsidRPr="00FA6B94" w:rsidRDefault="009E2053" w:rsidP="00ED4B6F">
      <w:r w:rsidRPr="00FA6B94">
        <w:t>7.5</w:t>
      </w:r>
      <w:r w:rsidRPr="00FA6B94">
        <w:tab/>
        <w:t xml:space="preserve">IMAC </w:t>
      </w:r>
      <w:r w:rsidR="003D1E1B" w:rsidRPr="00FA6B94">
        <w:t>отметил значение основных выводов отчетов и подчеркнул необходимость рассмотрения рекомендаций с руководством МСЭ, как и рассмотрения последующих действий по их осуществлению</w:t>
      </w:r>
      <w:r w:rsidR="00EB6C45" w:rsidRPr="00FA6B94">
        <w:t>.</w:t>
      </w:r>
    </w:p>
    <w:p w14:paraId="2440B4A4" w14:textId="12097038" w:rsidR="00EB6C45" w:rsidRPr="00FA6B94" w:rsidRDefault="009E2053" w:rsidP="00ED4B6F">
      <w:r w:rsidRPr="00FA6B94">
        <w:t>7.6</w:t>
      </w:r>
      <w:r w:rsidR="00EB6C45" w:rsidRPr="00FA6B94">
        <w:tab/>
      </w:r>
      <w:r w:rsidRPr="00FA6B94">
        <w:t xml:space="preserve">IMAC </w:t>
      </w:r>
      <w:r w:rsidR="003F5E73" w:rsidRPr="00FA6B94">
        <w:t xml:space="preserve">настоятельно рекомендует руководству МСЭ </w:t>
      </w:r>
      <w:r w:rsidR="00BE72A6" w:rsidRPr="00FA6B94">
        <w:t xml:space="preserve">продолжить работу в должном направлении, укрепляя подразделение внутреннего аудита </w:t>
      </w:r>
      <w:r w:rsidR="007E20FA" w:rsidRPr="00FA6B94">
        <w:t>в отношении ресурсов, охвата и адекватности процессов</w:t>
      </w:r>
      <w:r w:rsidR="00EB6C45" w:rsidRPr="00FA6B94">
        <w:t>.</w:t>
      </w:r>
    </w:p>
    <w:p w14:paraId="615EB59E" w14:textId="595C3ACD" w:rsidR="00EB6C45" w:rsidRPr="00FA6B94" w:rsidRDefault="009E2053" w:rsidP="00ED4B6F">
      <w:r w:rsidRPr="00FA6B94">
        <w:t>7.7</w:t>
      </w:r>
      <w:r w:rsidR="00EB6C45" w:rsidRPr="00FA6B94">
        <w:tab/>
      </w:r>
      <w:r w:rsidRPr="00FA6B94">
        <w:t xml:space="preserve">IMAC </w:t>
      </w:r>
      <w:r w:rsidR="00923FC1" w:rsidRPr="00FA6B94">
        <w:t>поддерживает продолжающиеся усилия по обновлению устава внутреннего аудита</w:t>
      </w:r>
      <w:r w:rsidRPr="00FA6B94">
        <w:t xml:space="preserve">. </w:t>
      </w:r>
      <w:r w:rsidR="00923FC1" w:rsidRPr="00FA6B94">
        <w:t>Это должно дать возможность лучше определить цель внутреннего аудита, полномочия, ответственность, независимость и положение в МСЭ</w:t>
      </w:r>
      <w:r w:rsidR="00EB6C45" w:rsidRPr="00FA6B94">
        <w:t>.</w:t>
      </w:r>
    </w:p>
    <w:p w14:paraId="4224912C" w14:textId="77777777" w:rsidR="00F80273" w:rsidRPr="00FA6B94" w:rsidRDefault="00DF370F" w:rsidP="00DF370F">
      <w:pPr>
        <w:pStyle w:val="Heading1"/>
      </w:pPr>
      <w:r w:rsidRPr="00FA6B94">
        <w:t>8</w:t>
      </w:r>
      <w:r w:rsidRPr="00FA6B94">
        <w:tab/>
      </w:r>
      <w:r w:rsidR="00F80273" w:rsidRPr="00FA6B94">
        <w:t>Вопросы этики</w:t>
      </w:r>
    </w:p>
    <w:p w14:paraId="568B1F75" w14:textId="4631C06D" w:rsidR="00F80273" w:rsidRPr="00FA6B94" w:rsidRDefault="00DF370F" w:rsidP="00ED4B6F">
      <w:r w:rsidRPr="00FA6B94">
        <w:t>8.1</w:t>
      </w:r>
      <w:r w:rsidRPr="00FA6B94">
        <w:tab/>
      </w:r>
      <w:r w:rsidR="00F80273" w:rsidRPr="00FA6B94">
        <w:t>IMAC продолжал взаимодействовать с сотрудником по вопросам этики и регулярно получать от него информацию, обсуждая с ним последние события и ход работы, в частности</w:t>
      </w:r>
      <w:r w:rsidR="005E068D" w:rsidRPr="00FA6B94">
        <w:t xml:space="preserve"> обработку заявлений о раскрытии финансовой информации от всех сотрудников, </w:t>
      </w:r>
      <w:r w:rsidR="00F80273" w:rsidRPr="00FA6B94">
        <w:t>цель укрепления базы этических стандартов и осуществление постоянного повышения квалификации</w:t>
      </w:r>
      <w:r w:rsidR="005E068D" w:rsidRPr="00FA6B94">
        <w:t xml:space="preserve">, а также </w:t>
      </w:r>
      <w:r w:rsidR="00E056CA" w:rsidRPr="00FA6B94">
        <w:t>роль Управления по вопросам этики в приеме и проведении предварительного рассмотрения заявлений, касающихся неправомерного поведения</w:t>
      </w:r>
      <w:r w:rsidR="00F80273" w:rsidRPr="00FA6B94">
        <w:t>.</w:t>
      </w:r>
    </w:p>
    <w:p w14:paraId="3242B3BB" w14:textId="7E2E0CAC" w:rsidR="00F80273" w:rsidRPr="00FA6B94" w:rsidRDefault="00E056CA" w:rsidP="00ED4B6F">
      <w:r w:rsidRPr="00FA6B94">
        <w:t>8</w:t>
      </w:r>
      <w:r w:rsidR="00F80273" w:rsidRPr="00FA6B94">
        <w:t>.2</w:t>
      </w:r>
      <w:r w:rsidR="00F80273" w:rsidRPr="00FA6B94">
        <w:tab/>
        <w:t xml:space="preserve">Комитет высоко оценил работу </w:t>
      </w:r>
      <w:r w:rsidRPr="00FA6B94">
        <w:t>У</w:t>
      </w:r>
      <w:r w:rsidR="00F80273" w:rsidRPr="00FA6B94">
        <w:t xml:space="preserve">правления и </w:t>
      </w:r>
      <w:r w:rsidRPr="00FA6B94">
        <w:t xml:space="preserve">отметил значение обязательного ежегодного курса подготовки </w:t>
      </w:r>
      <w:r w:rsidR="00EB762B" w:rsidRPr="00FA6B94">
        <w:t>для всех сотрудников</w:t>
      </w:r>
      <w:r w:rsidR="00F80273" w:rsidRPr="00FA6B94">
        <w:t>.</w:t>
      </w:r>
    </w:p>
    <w:p w14:paraId="43F5D9CF" w14:textId="75632AA1" w:rsidR="00F80273" w:rsidRPr="00FA6B94" w:rsidRDefault="00FA27DB" w:rsidP="00ED4B6F">
      <w:r w:rsidRPr="00FA6B94">
        <w:t>8</w:t>
      </w:r>
      <w:r w:rsidR="00F80273" w:rsidRPr="00FA6B94">
        <w:t>.3</w:t>
      </w:r>
      <w:r w:rsidR="00F80273" w:rsidRPr="00FA6B94">
        <w:tab/>
        <w:t xml:space="preserve">IMAC </w:t>
      </w:r>
      <w:r w:rsidRPr="00FA6B94">
        <w:t>также обсудил</w:t>
      </w:r>
      <w:r w:rsidR="00F80273" w:rsidRPr="00FA6B94">
        <w:t xml:space="preserve"> рол</w:t>
      </w:r>
      <w:r w:rsidRPr="00FA6B94">
        <w:t>ь</w:t>
      </w:r>
      <w:r w:rsidR="00F80273" w:rsidRPr="00FA6B94">
        <w:t xml:space="preserve"> </w:t>
      </w:r>
      <w:r w:rsidRPr="00FA6B94">
        <w:t>У</w:t>
      </w:r>
      <w:r w:rsidR="00F80273" w:rsidRPr="00FA6B94">
        <w:t>правления по вопросам этики в проведении предварительного рассмотрения поступивших заявлений</w:t>
      </w:r>
      <w:r w:rsidRPr="00FA6B94">
        <w:t xml:space="preserve">, рекомендуя рассматривать подход </w:t>
      </w:r>
      <w:r w:rsidR="00C906C1" w:rsidRPr="00FA6B94">
        <w:t xml:space="preserve">к этому вопросу в коллективном порядке при разработке </w:t>
      </w:r>
      <w:r w:rsidR="00BF0EB9" w:rsidRPr="00FA6B94">
        <w:t>общей системы надзора в МСЭ</w:t>
      </w:r>
      <w:r w:rsidR="00F80273" w:rsidRPr="00FA6B94">
        <w:t>.</w:t>
      </w:r>
    </w:p>
    <w:p w14:paraId="5B674F27" w14:textId="210692A7" w:rsidR="00E04A56" w:rsidRPr="00FA6B94" w:rsidRDefault="00E04A56" w:rsidP="00BA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6B94">
        <w:rPr>
          <w:b/>
          <w:bCs/>
        </w:rPr>
        <w:t>Рекомендация 3 (2022</w:t>
      </w:r>
      <w:r w:rsidR="00BA5489" w:rsidRPr="00FA6B94">
        <w:rPr>
          <w:b/>
          <w:bCs/>
        </w:rPr>
        <w:t xml:space="preserve"> г.</w:t>
      </w:r>
      <w:r w:rsidRPr="00FA6B94">
        <w:rPr>
          <w:b/>
          <w:bCs/>
        </w:rPr>
        <w:t>)</w:t>
      </w:r>
      <w:r w:rsidRPr="00FA6B94">
        <w:t xml:space="preserve">: IMAC рекомендует проводить обязательный курс подготовки по вопросам этики на ежегодной основе, чтобы обеспечивать постоянную осведомленность и </w:t>
      </w:r>
      <w:r w:rsidR="00CC03B3" w:rsidRPr="00FA6B94">
        <w:t xml:space="preserve">формирование </w:t>
      </w:r>
      <w:r w:rsidR="005863EC" w:rsidRPr="00FA6B94">
        <w:t xml:space="preserve">этической </w:t>
      </w:r>
      <w:r w:rsidRPr="00FA6B94">
        <w:t>культуры, превращая это в ежегодный курс обучения для всех</w:t>
      </w:r>
      <w:r w:rsidR="00DA3214" w:rsidRPr="00FA6B94">
        <w:t xml:space="preserve"> сотрудников</w:t>
      </w:r>
      <w:r w:rsidRPr="00FA6B94">
        <w:t>.</w:t>
      </w:r>
    </w:p>
    <w:p w14:paraId="730DEEED" w14:textId="675627DA" w:rsidR="00BF1ABE" w:rsidRPr="00FA6B94" w:rsidRDefault="00BF1ABE" w:rsidP="00ED4B6F">
      <w:pPr>
        <w:pStyle w:val="Heading1"/>
      </w:pPr>
      <w:r w:rsidRPr="00FA6B94">
        <w:t>9</w:t>
      </w:r>
      <w:r w:rsidRPr="00FA6B94">
        <w:tab/>
      </w:r>
      <w:r w:rsidR="00ED4B6F" w:rsidRPr="00FA6B94">
        <w:t>Функция расследования</w:t>
      </w:r>
    </w:p>
    <w:p w14:paraId="7893E7B7" w14:textId="0FCD3AEA" w:rsidR="00BF1ABE" w:rsidRPr="00FA6B94" w:rsidRDefault="00832C35" w:rsidP="00ED4B6F">
      <w:r w:rsidRPr="00FA6B94">
        <w:t>9.1</w:t>
      </w:r>
      <w:r w:rsidRPr="00FA6B94">
        <w:tab/>
      </w:r>
      <w:r w:rsidR="00BF1ABE" w:rsidRPr="00FA6B94">
        <w:t xml:space="preserve">IMAC </w:t>
      </w:r>
      <w:r w:rsidRPr="00FA6B94">
        <w:t>принял последующие меры по созданию функции расследования, отметив необходимость наличия выделенн</w:t>
      </w:r>
      <w:r w:rsidR="00594CD2" w:rsidRPr="00FA6B94">
        <w:t>ого</w:t>
      </w:r>
      <w:r w:rsidRPr="00FA6B94">
        <w:t xml:space="preserve"> ресурс</w:t>
      </w:r>
      <w:r w:rsidR="00594CD2" w:rsidRPr="00FA6B94">
        <w:t>а</w:t>
      </w:r>
      <w:r w:rsidRPr="00FA6B94">
        <w:t xml:space="preserve"> </w:t>
      </w:r>
      <w:r w:rsidR="00782698" w:rsidRPr="00FA6B94">
        <w:t>для расследований в своем девятом ежегодном отчете Совету</w:t>
      </w:r>
      <w:r w:rsidR="00BF1ABE" w:rsidRPr="00FA6B94">
        <w:t xml:space="preserve"> 2020</w:t>
      </w:r>
      <w:r w:rsidR="00782698" w:rsidRPr="00FA6B94">
        <w:t> года</w:t>
      </w:r>
      <w:r w:rsidR="00BF1ABE" w:rsidRPr="00FA6B94">
        <w:t>.</w:t>
      </w:r>
    </w:p>
    <w:p w14:paraId="5D2D4DCA" w14:textId="7A5B7016" w:rsidR="00BF1ABE" w:rsidRPr="00FA6B94" w:rsidRDefault="00782698" w:rsidP="00ED4B6F">
      <w:r w:rsidRPr="00FA6B94">
        <w:t>9.2</w:t>
      </w:r>
      <w:r w:rsidRPr="00FA6B94">
        <w:tab/>
        <w:t xml:space="preserve">Комитет контактировал с руководителем подразделения расследований </w:t>
      </w:r>
      <w:r w:rsidR="00816637" w:rsidRPr="00FA6B94">
        <w:t xml:space="preserve">и получал от него информацию по ряду расследуемых дел, а также по новой </w:t>
      </w:r>
      <w:r w:rsidR="00070BD9" w:rsidRPr="00FA6B94">
        <w:t>системе управления оперативными делами, любезно предоставленной ВОИС</w:t>
      </w:r>
      <w:r w:rsidR="00BF1ABE" w:rsidRPr="00FA6B94">
        <w:t xml:space="preserve">, </w:t>
      </w:r>
      <w:r w:rsidR="00070BD9" w:rsidRPr="00FA6B94">
        <w:t>которая была адаптирована и согласована с требованиями</w:t>
      </w:r>
      <w:r w:rsidR="003D73EF" w:rsidRPr="00FA6B94">
        <w:t> </w:t>
      </w:r>
      <w:r w:rsidR="00070BD9" w:rsidRPr="00FA6B94">
        <w:t>МСЭ</w:t>
      </w:r>
      <w:r w:rsidR="00BF1ABE" w:rsidRPr="00FA6B94">
        <w:t>.</w:t>
      </w:r>
    </w:p>
    <w:p w14:paraId="2E0E3765" w14:textId="2459A84B" w:rsidR="00BF1ABE" w:rsidRPr="00FA6B94" w:rsidRDefault="00070BD9" w:rsidP="00ED4B6F">
      <w:r w:rsidRPr="00FA6B94">
        <w:t>9.3</w:t>
      </w:r>
      <w:r w:rsidRPr="00FA6B94">
        <w:tab/>
      </w:r>
      <w:r w:rsidR="00BF1ABE" w:rsidRPr="00FA6B94">
        <w:t xml:space="preserve">IMAC </w:t>
      </w:r>
      <w:r w:rsidR="00B814A2" w:rsidRPr="00FA6B94">
        <w:t>был уведомлен, что также был составлен ус</w:t>
      </w:r>
      <w:r w:rsidR="00237525" w:rsidRPr="00FA6B94">
        <w:t>т</w:t>
      </w:r>
      <w:r w:rsidR="00B814A2" w:rsidRPr="00FA6B94">
        <w:t xml:space="preserve">ав расследований, были подняты подразделением расследований </w:t>
      </w:r>
      <w:r w:rsidR="00237525" w:rsidRPr="00FA6B94">
        <w:t>ожидающие решения вопросы по следующим темам</w:t>
      </w:r>
      <w:r w:rsidR="00BF1ABE" w:rsidRPr="00FA6B94">
        <w:t xml:space="preserve">: </w:t>
      </w:r>
      <w:r w:rsidR="00BF1ABE" w:rsidRPr="00FA6B94">
        <w:rPr>
          <w:i/>
          <w:iCs/>
        </w:rPr>
        <w:t>a)</w:t>
      </w:r>
      <w:r w:rsidR="00237525" w:rsidRPr="00FA6B94">
        <w:t> роль Надзорного комитета по отношению к подразделению расследований</w:t>
      </w:r>
      <w:r w:rsidR="00BF1ABE" w:rsidRPr="00FA6B94">
        <w:t xml:space="preserve">; </w:t>
      </w:r>
      <w:r w:rsidR="00BF1ABE" w:rsidRPr="00FA6B94">
        <w:rPr>
          <w:i/>
          <w:iCs/>
        </w:rPr>
        <w:t>b)</w:t>
      </w:r>
      <w:r w:rsidR="006E7CB8" w:rsidRPr="00FA6B94">
        <w:t> независимость функции расследования при принятии решения о начале расследования</w:t>
      </w:r>
      <w:r w:rsidR="00BF1ABE" w:rsidRPr="00FA6B94">
        <w:t xml:space="preserve">; </w:t>
      </w:r>
      <w:r w:rsidR="00BF1ABE" w:rsidRPr="00FA6B94">
        <w:rPr>
          <w:i/>
          <w:iCs/>
        </w:rPr>
        <w:t>c)</w:t>
      </w:r>
      <w:r w:rsidR="006E7CB8" w:rsidRPr="00FA6B94">
        <w:t> контроль над функцией расследования на протяжении всего процесса, включая начало расследования</w:t>
      </w:r>
      <w:r w:rsidR="00BF1ABE" w:rsidRPr="00FA6B94">
        <w:t>.</w:t>
      </w:r>
    </w:p>
    <w:p w14:paraId="49B1C1FA" w14:textId="50A7494E" w:rsidR="00F80273" w:rsidRPr="00FA6B94" w:rsidRDefault="00AC1C78" w:rsidP="00ED4B6F">
      <w:r w:rsidRPr="00FA6B94">
        <w:lastRenderedPageBreak/>
        <w:t>9.4</w:t>
      </w:r>
      <w:r w:rsidRPr="00FA6B94">
        <w:tab/>
        <w:t xml:space="preserve">IMAC </w:t>
      </w:r>
      <w:r w:rsidR="00DD4E65" w:rsidRPr="00FA6B94">
        <w:t>отметил значение создания надлежащей системы управления для этой функции, которую следует определить как устав расследований, в приоритетном порядке, и согласования с требующимися обновлениями уставов других соответствующих внутренних функций</w:t>
      </w:r>
      <w:r w:rsidRPr="00FA6B94">
        <w:t>.</w:t>
      </w:r>
    </w:p>
    <w:p w14:paraId="462D4AC1" w14:textId="72FF7053" w:rsidR="003A6D16" w:rsidRPr="00FA6B94" w:rsidRDefault="003A6D16" w:rsidP="00ED4B6F">
      <w:pPr>
        <w:pStyle w:val="Heading1"/>
      </w:pPr>
      <w:r w:rsidRPr="00FA6B94">
        <w:t>10</w:t>
      </w:r>
      <w:r w:rsidRPr="00FA6B94">
        <w:tab/>
      </w:r>
      <w:r w:rsidR="00ED4B6F" w:rsidRPr="00FA6B94">
        <w:t>Согласование и координация функций внутреннего надзора</w:t>
      </w:r>
    </w:p>
    <w:p w14:paraId="5299B60A" w14:textId="5F05F3F6" w:rsidR="003A6D16" w:rsidRPr="00FA6B94" w:rsidRDefault="003A6D16" w:rsidP="00ED4B6F">
      <w:r w:rsidRPr="00FA6B94">
        <w:t>10.1</w:t>
      </w:r>
      <w:r w:rsidRPr="00FA6B94">
        <w:tab/>
        <w:t xml:space="preserve">IMAC </w:t>
      </w:r>
      <w:r w:rsidR="00366140" w:rsidRPr="00FA6B94">
        <w:t>регулярно контактировал со всеми внутренними функциями и подразделениями, связанными с надзором (по вопросам внутреннего аудита, этики и расследований), и получал от них информацию</w:t>
      </w:r>
      <w:r w:rsidRPr="00FA6B94">
        <w:t xml:space="preserve">. </w:t>
      </w:r>
      <w:r w:rsidR="00366140" w:rsidRPr="00FA6B94">
        <w:t xml:space="preserve">Комитет высказал мнение, </w:t>
      </w:r>
      <w:r w:rsidR="00C7534A" w:rsidRPr="00FA6B94">
        <w:t>согласно которому создание согласованных уставов позволить подразделениям выполнять свои функции и координировать свою деятельность, а также определит границы их соответствующих действий</w:t>
      </w:r>
      <w:r w:rsidRPr="00FA6B94">
        <w:t>.</w:t>
      </w:r>
    </w:p>
    <w:p w14:paraId="6DE974FF" w14:textId="195C8CE8" w:rsidR="003A6D16" w:rsidRPr="00FA6B94" w:rsidRDefault="003A6D16" w:rsidP="00ED4B6F">
      <w:r w:rsidRPr="00FA6B94">
        <w:t>10.2</w:t>
      </w:r>
      <w:r w:rsidRPr="00FA6B94">
        <w:tab/>
      </w:r>
      <w:r w:rsidR="00C7534A" w:rsidRPr="00FA6B94">
        <w:t xml:space="preserve">Ввиду этого Комитет определил необходимость разработать и согласовать уставы всех соответствующих функций </w:t>
      </w:r>
      <w:r w:rsidRPr="00FA6B94">
        <w:t>(</w:t>
      </w:r>
      <w:r w:rsidR="00C7534A" w:rsidRPr="00FA6B94">
        <w:t>т. е. внутреннего аудита, этики и расследований</w:t>
      </w:r>
      <w:r w:rsidRPr="00FA6B94">
        <w:t>).</w:t>
      </w:r>
    </w:p>
    <w:p w14:paraId="303A52E6" w14:textId="0547E38F" w:rsidR="003A6D16" w:rsidRPr="00FA6B94" w:rsidRDefault="00EA1467" w:rsidP="00BA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6B94">
        <w:rPr>
          <w:b/>
          <w:bCs/>
        </w:rPr>
        <w:t>Рекомендация</w:t>
      </w:r>
      <w:r w:rsidR="003A6D16" w:rsidRPr="00FA6B94">
        <w:rPr>
          <w:b/>
          <w:bCs/>
        </w:rPr>
        <w:t xml:space="preserve"> 4 (2022</w:t>
      </w:r>
      <w:r w:rsidR="00BA5489" w:rsidRPr="00FA6B94">
        <w:rPr>
          <w:b/>
          <w:bCs/>
        </w:rPr>
        <w:t xml:space="preserve"> г.</w:t>
      </w:r>
      <w:r w:rsidR="003A6D16" w:rsidRPr="00FA6B94">
        <w:rPr>
          <w:b/>
          <w:bCs/>
        </w:rPr>
        <w:t>)</w:t>
      </w:r>
      <w:r w:rsidR="003A6D16" w:rsidRPr="00FA6B94">
        <w:t xml:space="preserve">: IMAC </w:t>
      </w:r>
      <w:r w:rsidRPr="00FA6B94">
        <w:t>рекомендует МСЭ обеспечить согласование и доработку уставов</w:t>
      </w:r>
      <w:r w:rsidR="00F7689A" w:rsidRPr="00FA6B94">
        <w:t xml:space="preserve"> внутренних функций внутреннего аудита, расследований и этики</w:t>
      </w:r>
      <w:r w:rsidR="003A6D16" w:rsidRPr="00FA6B94">
        <w:t>.</w:t>
      </w:r>
    </w:p>
    <w:p w14:paraId="488B0990" w14:textId="77777777" w:rsidR="003A6D16" w:rsidRPr="00FA6B94" w:rsidRDefault="003A6D16" w:rsidP="00BA5489">
      <w:pPr>
        <w:spacing w:before="0"/>
      </w:pPr>
    </w:p>
    <w:p w14:paraId="18FAA225" w14:textId="71F1E587" w:rsidR="003A6D16" w:rsidRPr="00FA6B94" w:rsidRDefault="00594CD2" w:rsidP="00BA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 w:rsidRPr="00FA6B94">
        <w:rPr>
          <w:b/>
          <w:bCs/>
        </w:rPr>
        <w:t>Рекомендация</w:t>
      </w:r>
      <w:r w:rsidR="003A6D16" w:rsidRPr="00FA6B94">
        <w:rPr>
          <w:b/>
          <w:bCs/>
        </w:rPr>
        <w:t xml:space="preserve"> 5 (2022</w:t>
      </w:r>
      <w:r w:rsidR="00BA5489" w:rsidRPr="00FA6B94">
        <w:rPr>
          <w:b/>
          <w:bCs/>
        </w:rPr>
        <w:t xml:space="preserve"> г.</w:t>
      </w:r>
      <w:r w:rsidR="003A6D16" w:rsidRPr="00FA6B94">
        <w:rPr>
          <w:b/>
          <w:bCs/>
        </w:rPr>
        <w:t>)</w:t>
      </w:r>
      <w:r w:rsidR="003A6D16" w:rsidRPr="00FA6B94">
        <w:t xml:space="preserve">: IMAC </w:t>
      </w:r>
      <w:r w:rsidR="00F7689A" w:rsidRPr="00FA6B94">
        <w:t>рекомендует МСЭ обеспечить координацию действий подразделений внутреннего аудита, расследований и этики</w:t>
      </w:r>
      <w:r w:rsidR="003A6D16" w:rsidRPr="00FA6B94">
        <w:t>.</w:t>
      </w:r>
    </w:p>
    <w:p w14:paraId="0C8565A6" w14:textId="7F854E14" w:rsidR="00F80273" w:rsidRPr="00FA6B94" w:rsidRDefault="00631CC1" w:rsidP="00ED4B6F">
      <w:pPr>
        <w:pStyle w:val="Heading1"/>
      </w:pPr>
      <w:r w:rsidRPr="00FA6B94">
        <w:t>11</w:t>
      </w:r>
      <w:r w:rsidRPr="00FA6B94">
        <w:tab/>
        <w:t>Рабочая группа по внутреннему контролю</w:t>
      </w:r>
    </w:p>
    <w:p w14:paraId="2F6E48BB" w14:textId="60CD1A8D" w:rsidR="00631CC1" w:rsidRPr="00FA6B94" w:rsidRDefault="004906C6" w:rsidP="00ED4B6F">
      <w:r w:rsidRPr="00FA6B94">
        <w:t>11.1</w:t>
      </w:r>
      <w:r w:rsidRPr="00FA6B94">
        <w:tab/>
        <w:t xml:space="preserve">Комитет продолжал получать информацию </w:t>
      </w:r>
      <w:r w:rsidR="00313781" w:rsidRPr="00FA6B94">
        <w:t>о всех</w:t>
      </w:r>
      <w:r w:rsidRPr="00FA6B94">
        <w:t xml:space="preserve"> последующих мерах, принятых в связи со случаем мошенничества в одном из региональных отделений, от председателя рабочей группы по внутреннему контролю (WGIC), Директора Бюро развития электросвязи (БРЭ) и членов высшего руководства, входящих в эту группу</w:t>
      </w:r>
      <w:r w:rsidR="00AA04E7">
        <w:t>.</w:t>
      </w:r>
    </w:p>
    <w:p w14:paraId="201244A5" w14:textId="6662C0B6" w:rsidR="00E752B4" w:rsidRPr="00FA6B94" w:rsidRDefault="00E752B4" w:rsidP="00ED4B6F">
      <w:r w:rsidRPr="00FA6B94">
        <w:t>11.2</w:t>
      </w:r>
      <w:r w:rsidRPr="00FA6B94">
        <w:tab/>
        <w:t>Ранее IMAC высоко оценил план, предложенный группой, а также широкую мобилизацию ресурсов среди различных подразделений секретариата для выполнения значительного объема работ, при этом вся деятельность ведется в правильном направлении.</w:t>
      </w:r>
    </w:p>
    <w:p w14:paraId="7587FB74" w14:textId="1F94F4B4" w:rsidR="00E752B4" w:rsidRPr="00FA6B94" w:rsidRDefault="00E752B4" w:rsidP="00ED4B6F">
      <w:r w:rsidRPr="00FA6B94">
        <w:t>11.3</w:t>
      </w:r>
      <w:r w:rsidRPr="00FA6B94">
        <w:tab/>
      </w:r>
      <w:r w:rsidR="00D13944" w:rsidRPr="00FA6B94">
        <w:t>Комитет с удовлетворением отметил значительный прогресс в совершенствовании внутреннего контроля в БРЭ и еще раз заявил о необходимости применения всех мер контроля в масштабах всей организации.</w:t>
      </w:r>
    </w:p>
    <w:p w14:paraId="307C566A" w14:textId="1D8E71D9" w:rsidR="00D13944" w:rsidRPr="00FA6B94" w:rsidRDefault="00D13944" w:rsidP="00ED4B6F">
      <w:r w:rsidRPr="00FA6B94">
        <w:t>11.4</w:t>
      </w:r>
      <w:r w:rsidRPr="00FA6B94">
        <w:tab/>
        <w:t xml:space="preserve">IMAC отметил, что </w:t>
      </w:r>
      <w:r w:rsidR="00EF10FB" w:rsidRPr="00FA6B94">
        <w:t>была проведена</w:t>
      </w:r>
      <w:r w:rsidRPr="00FA6B94">
        <w:t xml:space="preserve"> доработка оценки </w:t>
      </w:r>
      <w:r w:rsidR="00EF10FB" w:rsidRPr="00FA6B94">
        <w:t>подразделением</w:t>
      </w:r>
      <w:r w:rsidRPr="00FA6B94">
        <w:t xml:space="preserve"> внутренн</w:t>
      </w:r>
      <w:r w:rsidR="00EF10FB" w:rsidRPr="00FA6B94">
        <w:t>его</w:t>
      </w:r>
      <w:r w:rsidRPr="00FA6B94">
        <w:t xml:space="preserve"> аудит</w:t>
      </w:r>
      <w:r w:rsidR="00EF10FB" w:rsidRPr="00FA6B94">
        <w:t>а</w:t>
      </w:r>
      <w:r w:rsidRPr="00FA6B94">
        <w:t xml:space="preserve"> </w:t>
      </w:r>
      <w:r w:rsidR="008A6001" w:rsidRPr="00FA6B94">
        <w:t xml:space="preserve">эффективности мер, принимаемых группой, и </w:t>
      </w:r>
      <w:r w:rsidR="00EF10FB" w:rsidRPr="00FA6B94">
        <w:t>эта оценка была</w:t>
      </w:r>
      <w:r w:rsidR="008A6001" w:rsidRPr="00FA6B94">
        <w:t xml:space="preserve"> включен</w:t>
      </w:r>
      <w:r w:rsidR="00EF10FB" w:rsidRPr="00FA6B94">
        <w:t>а</w:t>
      </w:r>
      <w:r w:rsidR="008A6001" w:rsidRPr="00FA6B94">
        <w:t xml:space="preserve"> в заключительные выводы Внешних аудиторов</w:t>
      </w:r>
      <w:r w:rsidRPr="00FA6B94">
        <w:t>.</w:t>
      </w:r>
    </w:p>
    <w:p w14:paraId="33386335" w14:textId="010498CE" w:rsidR="00D13944" w:rsidRPr="00FA6B94" w:rsidRDefault="00D13944" w:rsidP="00ED4B6F">
      <w:r w:rsidRPr="00FA6B94">
        <w:t>11.5</w:t>
      </w:r>
      <w:r w:rsidRPr="00FA6B94">
        <w:tab/>
        <w:t xml:space="preserve">IMAC </w:t>
      </w:r>
      <w:r w:rsidR="002A69D3" w:rsidRPr="00FA6B94">
        <w:t xml:space="preserve">с удовлетворением </w:t>
      </w:r>
      <w:r w:rsidR="00B41CF0" w:rsidRPr="00FA6B94">
        <w:t>отметил результаты оценки и эффективное выполнение группой своей деятельности, которая представляет собой важный шаг к закрытию дела о мошенничестве и ранее выявленных недостатков.</w:t>
      </w:r>
    </w:p>
    <w:p w14:paraId="1A4BD29A" w14:textId="5B426DBA" w:rsidR="009C3BA2" w:rsidRPr="00FA6B94" w:rsidRDefault="009C3BA2" w:rsidP="00ED4B6F">
      <w:r w:rsidRPr="00FA6B94">
        <w:t>11.6</w:t>
      </w:r>
      <w:r w:rsidRPr="00FA6B94">
        <w:tab/>
      </w:r>
      <w:r w:rsidR="00DE276D" w:rsidRPr="00FA6B94">
        <w:t>Комитет отметил необходимость прогресса в реализации системы подотчетности МСЭ, при обеспечении наличия плана реализации, в котором основное внимание уделялось бы укреплению культуры подотчетности в рамках всей орга</w:t>
      </w:r>
      <w:r w:rsidR="00451178" w:rsidRPr="00FA6B94">
        <w:t>низации</w:t>
      </w:r>
      <w:r w:rsidRPr="00FA6B94">
        <w:t>. IMAC</w:t>
      </w:r>
      <w:r w:rsidR="00451178" w:rsidRPr="00FA6B94">
        <w:t xml:space="preserve"> подчеркнул необходимость обеспечения </w:t>
      </w:r>
      <w:r w:rsidR="001529F4" w:rsidRPr="00FA6B94">
        <w:t>вовлеченности</w:t>
      </w:r>
      <w:r w:rsidR="00927F98" w:rsidRPr="00FA6B94">
        <w:t xml:space="preserve"> вследствие </w:t>
      </w:r>
      <w:r w:rsidR="00451178" w:rsidRPr="00FA6B94">
        <w:t xml:space="preserve">распространения культуры подотчетности путем профессиональной подготовки и интеграции во вспомогательные системы, включая отражение в </w:t>
      </w:r>
      <w:r w:rsidR="003000B4" w:rsidRPr="00FA6B94">
        <w:t>Интегрированной системе планирования ресурсов предприятия и управления ресурсами</w:t>
      </w:r>
      <w:r w:rsidR="00451178" w:rsidRPr="00FA6B94">
        <w:t xml:space="preserve"> </w:t>
      </w:r>
      <w:r w:rsidR="003000B4" w:rsidRPr="00FA6B94">
        <w:t>(</w:t>
      </w:r>
      <w:r w:rsidRPr="00FA6B94">
        <w:t>ERP</w:t>
      </w:r>
      <w:r w:rsidR="003000B4" w:rsidRPr="00FA6B94">
        <w:t>)</w:t>
      </w:r>
      <w:r w:rsidRPr="00FA6B94">
        <w:t xml:space="preserve">. </w:t>
      </w:r>
      <w:r w:rsidR="00E320AD" w:rsidRPr="00FA6B94">
        <w:t>Должным образом интегрированная система подотчетности способств</w:t>
      </w:r>
      <w:r w:rsidR="00581D35" w:rsidRPr="00FA6B94">
        <w:t>овала бы</w:t>
      </w:r>
      <w:r w:rsidR="00E320AD" w:rsidRPr="00FA6B94">
        <w:t xml:space="preserve"> снижению рисков, повышая осведомленность и ясность</w:t>
      </w:r>
      <w:r w:rsidRPr="00FA6B94">
        <w:t xml:space="preserve">. IMAC </w:t>
      </w:r>
      <w:r w:rsidR="00E320AD" w:rsidRPr="00FA6B94">
        <w:t>рекомендует разработ</w:t>
      </w:r>
      <w:r w:rsidR="000339A7" w:rsidRPr="00FA6B94">
        <w:t xml:space="preserve">ать </w:t>
      </w:r>
      <w:r w:rsidR="002E0E08" w:rsidRPr="00FA6B94">
        <w:t xml:space="preserve">план реализации, выполнение которого можно контролировать, </w:t>
      </w:r>
      <w:r w:rsidR="001529F4" w:rsidRPr="00FA6B94">
        <w:t xml:space="preserve">при </w:t>
      </w:r>
      <w:r w:rsidR="000339A7" w:rsidRPr="00FA6B94">
        <w:t>удел</w:t>
      </w:r>
      <w:r w:rsidR="001529F4" w:rsidRPr="00FA6B94">
        <w:t xml:space="preserve">ении </w:t>
      </w:r>
      <w:r w:rsidR="002E0E08" w:rsidRPr="00FA6B94">
        <w:t>особо</w:t>
      </w:r>
      <w:r w:rsidR="001529F4" w:rsidRPr="00FA6B94">
        <w:t>го</w:t>
      </w:r>
      <w:r w:rsidR="002E0E08" w:rsidRPr="00FA6B94">
        <w:t xml:space="preserve"> внимани</w:t>
      </w:r>
      <w:r w:rsidR="001529F4" w:rsidRPr="00FA6B94">
        <w:t>я</w:t>
      </w:r>
      <w:r w:rsidR="002E0E08" w:rsidRPr="00FA6B94">
        <w:t xml:space="preserve"> региональным отделениям, что должно быть включено в процесс</w:t>
      </w:r>
      <w:r w:rsidRPr="00FA6B94">
        <w:t>.</w:t>
      </w:r>
    </w:p>
    <w:p w14:paraId="177408AA" w14:textId="54BF9236" w:rsidR="009C3BA2" w:rsidRPr="00FA6B94" w:rsidRDefault="009C3BA2" w:rsidP="00ED4B6F">
      <w:r w:rsidRPr="00FA6B94">
        <w:lastRenderedPageBreak/>
        <w:t>11.</w:t>
      </w:r>
      <w:r w:rsidR="003000B4" w:rsidRPr="00FA6B94">
        <w:t>7</w:t>
      </w:r>
      <w:r w:rsidRPr="00FA6B94">
        <w:tab/>
        <w:t xml:space="preserve">IMAC </w:t>
      </w:r>
      <w:r w:rsidR="003000B4" w:rsidRPr="00FA6B94">
        <w:t>предложил</w:t>
      </w:r>
      <w:r w:rsidR="00F93C44" w:rsidRPr="00FA6B94">
        <w:t xml:space="preserve"> представить на своем следующем собрании </w:t>
      </w:r>
      <w:r w:rsidR="00D64ACE" w:rsidRPr="00FA6B94">
        <w:t>конкретн</w:t>
      </w:r>
      <w:r w:rsidR="00F93C44" w:rsidRPr="00FA6B94">
        <w:t xml:space="preserve">ую обновленную информацию относительно </w:t>
      </w:r>
      <w:r w:rsidR="00D64ACE" w:rsidRPr="00FA6B94">
        <w:t>будуще</w:t>
      </w:r>
      <w:r w:rsidR="00F93C44" w:rsidRPr="00FA6B94">
        <w:t>го</w:t>
      </w:r>
      <w:r w:rsidR="00D64ACE" w:rsidRPr="00FA6B94">
        <w:t xml:space="preserve"> этой рабочей группы</w:t>
      </w:r>
      <w:r w:rsidR="00F93C44" w:rsidRPr="00FA6B94">
        <w:t xml:space="preserve"> и </w:t>
      </w:r>
      <w:r w:rsidR="00D64ACE" w:rsidRPr="00FA6B94">
        <w:t xml:space="preserve">того, </w:t>
      </w:r>
      <w:r w:rsidR="00E1238C" w:rsidRPr="00FA6B94">
        <w:t>как можно вести работу группы для обеспечения постоянного совершенствования внутреннего контроля и процесса управления рисками</w:t>
      </w:r>
      <w:r w:rsidRPr="00FA6B94">
        <w:t>.</w:t>
      </w:r>
    </w:p>
    <w:p w14:paraId="597D172E" w14:textId="3802A9FB" w:rsidR="009C3BA2" w:rsidRPr="00FA6B94" w:rsidRDefault="002C70C3" w:rsidP="00BA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6B94">
        <w:rPr>
          <w:b/>
          <w:bCs/>
        </w:rPr>
        <w:t>Рекомендация</w:t>
      </w:r>
      <w:r w:rsidR="009C3BA2" w:rsidRPr="00FA6B94">
        <w:rPr>
          <w:b/>
          <w:bCs/>
        </w:rPr>
        <w:t xml:space="preserve"> 6 (2022</w:t>
      </w:r>
      <w:r w:rsidR="00BA5489" w:rsidRPr="00FA6B94">
        <w:rPr>
          <w:b/>
          <w:bCs/>
        </w:rPr>
        <w:t xml:space="preserve"> г.</w:t>
      </w:r>
      <w:r w:rsidR="009C3BA2" w:rsidRPr="00FA6B94">
        <w:rPr>
          <w:b/>
          <w:bCs/>
        </w:rPr>
        <w:t>)</w:t>
      </w:r>
      <w:r w:rsidR="009C3BA2" w:rsidRPr="00FA6B94">
        <w:t>: IMAC</w:t>
      </w:r>
      <w:r w:rsidR="00C4153E" w:rsidRPr="00FA6B94">
        <w:t xml:space="preserve"> рекомендует при реализации системы подотчетности </w:t>
      </w:r>
      <w:r w:rsidR="00E92087" w:rsidRPr="00FA6B94">
        <w:t xml:space="preserve">уделять основное внимание распространению культуры подотчетности, обеспечивая </w:t>
      </w:r>
      <w:r w:rsidR="00927F98" w:rsidRPr="00FA6B94">
        <w:t>вовлеченность</w:t>
      </w:r>
      <w:r w:rsidR="00E92087" w:rsidRPr="00FA6B94">
        <w:t xml:space="preserve"> благодаря</w:t>
      </w:r>
      <w:r w:rsidR="009C3BA2" w:rsidRPr="00FA6B94">
        <w:t xml:space="preserve"> </w:t>
      </w:r>
      <w:r w:rsidR="007318FF" w:rsidRPr="00FA6B94">
        <w:t>профессиональной подготовке и интеграции во вспомогательные системы</w:t>
      </w:r>
      <w:r w:rsidR="00B67AF8" w:rsidRPr="00FA6B94">
        <w:t xml:space="preserve"> при одновременном </w:t>
      </w:r>
      <w:r w:rsidR="007318FF" w:rsidRPr="00FA6B94">
        <w:t>отражени</w:t>
      </w:r>
      <w:r w:rsidR="00B67AF8" w:rsidRPr="00FA6B94">
        <w:t>и</w:t>
      </w:r>
      <w:r w:rsidR="007318FF" w:rsidRPr="00FA6B94">
        <w:t xml:space="preserve"> в системе ERP</w:t>
      </w:r>
      <w:r w:rsidR="00B67AF8" w:rsidRPr="00FA6B94">
        <w:t xml:space="preserve">, обеспечивая результативность </w:t>
      </w:r>
      <w:r w:rsidR="007318FF" w:rsidRPr="00FA6B94">
        <w:t>и должн</w:t>
      </w:r>
      <w:r w:rsidR="007A500D" w:rsidRPr="00FA6B94">
        <w:t>ым</w:t>
      </w:r>
      <w:r w:rsidR="007318FF" w:rsidRPr="00FA6B94">
        <w:t xml:space="preserve"> </w:t>
      </w:r>
      <w:r w:rsidR="007A500D" w:rsidRPr="00FA6B94">
        <w:t xml:space="preserve">образом </w:t>
      </w:r>
      <w:r w:rsidR="007318FF" w:rsidRPr="00FA6B94">
        <w:t>интегрированн</w:t>
      </w:r>
      <w:r w:rsidR="007A500D" w:rsidRPr="00FA6B94">
        <w:t>ую</w:t>
      </w:r>
      <w:r w:rsidR="007318FF" w:rsidRPr="00FA6B94">
        <w:t xml:space="preserve"> систем</w:t>
      </w:r>
      <w:r w:rsidR="007A500D" w:rsidRPr="00FA6B94">
        <w:t>у</w:t>
      </w:r>
      <w:r w:rsidR="007033C5" w:rsidRPr="00FA6B94">
        <w:t>, в</w:t>
      </w:r>
      <w:r w:rsidR="00B67AF8" w:rsidRPr="00FA6B94">
        <w:t xml:space="preserve">ключая </w:t>
      </w:r>
      <w:r w:rsidR="007033C5" w:rsidRPr="00FA6B94">
        <w:t>региональны</w:t>
      </w:r>
      <w:r w:rsidR="00B67AF8" w:rsidRPr="00FA6B94">
        <w:t>е</w:t>
      </w:r>
      <w:r w:rsidR="007033C5" w:rsidRPr="00FA6B94">
        <w:t xml:space="preserve"> отделения, для </w:t>
      </w:r>
      <w:r w:rsidR="00B67AF8" w:rsidRPr="00FA6B94">
        <w:t>гарантированного</w:t>
      </w:r>
      <w:r w:rsidR="007033C5" w:rsidRPr="00FA6B94">
        <w:t xml:space="preserve"> снижения рисков</w:t>
      </w:r>
      <w:r w:rsidR="009C3BA2" w:rsidRPr="00FA6B94">
        <w:t>.</w:t>
      </w:r>
    </w:p>
    <w:p w14:paraId="02380353" w14:textId="21C2E6E8" w:rsidR="00004072" w:rsidRPr="00FA6B94" w:rsidRDefault="00004072" w:rsidP="00BA5489">
      <w:pPr>
        <w:pStyle w:val="Heading1"/>
      </w:pPr>
      <w:r w:rsidRPr="00FA6B94">
        <w:t>12</w:t>
      </w:r>
      <w:r w:rsidRPr="00FA6B94">
        <w:tab/>
      </w:r>
      <w:r w:rsidR="00BA5489" w:rsidRPr="00FA6B94">
        <w:t>Представление новых Внешних аудиторов: национальное ревизионное управление Соединенного Королевства</w:t>
      </w:r>
    </w:p>
    <w:p w14:paraId="39E4493D" w14:textId="47BABF37" w:rsidR="00004072" w:rsidRPr="00FA6B94" w:rsidRDefault="00747672" w:rsidP="00BA5489">
      <w:r w:rsidRPr="00FA6B94">
        <w:t>12.1</w:t>
      </w:r>
      <w:r w:rsidRPr="00FA6B94">
        <w:tab/>
      </w:r>
      <w:r w:rsidR="00004072" w:rsidRPr="00FA6B94">
        <w:t xml:space="preserve">IMAC </w:t>
      </w:r>
      <w:r w:rsidRPr="00FA6B94">
        <w:t>контактировал с новыми Внешними аудиторами и получал информацию от Национального ревизионного управления Соединенного Королевства</w:t>
      </w:r>
      <w:r w:rsidR="00004072" w:rsidRPr="00FA6B94">
        <w:t xml:space="preserve">. </w:t>
      </w:r>
      <w:r w:rsidR="00A015E0" w:rsidRPr="00FA6B94">
        <w:t>Аудиторы представили сведения о своем опыт</w:t>
      </w:r>
      <w:r w:rsidR="00581D35" w:rsidRPr="00FA6B94">
        <w:t>е</w:t>
      </w:r>
      <w:r w:rsidR="00A015E0" w:rsidRPr="00FA6B94">
        <w:t xml:space="preserve"> и подходе к работе по аудиту и подробно объяснили методику аудита МСЭ</w:t>
      </w:r>
      <w:r w:rsidR="00004072" w:rsidRPr="00FA6B94">
        <w:t xml:space="preserve">. IMAC </w:t>
      </w:r>
      <w:r w:rsidR="00A015E0" w:rsidRPr="00FA6B94">
        <w:t>высказал собственные ожидания в отношении сроков представления отчетов</w:t>
      </w:r>
      <w:r w:rsidR="00004072" w:rsidRPr="00FA6B94">
        <w:t>.</w:t>
      </w:r>
    </w:p>
    <w:p w14:paraId="05DA8AF3" w14:textId="28062A0A" w:rsidR="00004072" w:rsidRPr="00FA6B94" w:rsidRDefault="00747672" w:rsidP="00BA5489">
      <w:r w:rsidRPr="00FA6B94">
        <w:t>12.2</w:t>
      </w:r>
      <w:r w:rsidRPr="00FA6B94">
        <w:tab/>
      </w:r>
      <w:r w:rsidR="00004072" w:rsidRPr="00FA6B94">
        <w:t xml:space="preserve">IMAC </w:t>
      </w:r>
      <w:r w:rsidR="00A015E0" w:rsidRPr="00FA6B94">
        <w:t>с удовлетворением отметил способ представления аудиторами их плана, в час</w:t>
      </w:r>
      <w:r w:rsidR="000C63C4" w:rsidRPr="00FA6B94">
        <w:t>т</w:t>
      </w:r>
      <w:r w:rsidR="00A015E0" w:rsidRPr="00FA6B94">
        <w:t>ности</w:t>
      </w:r>
      <w:r w:rsidR="000C63C4" w:rsidRPr="00FA6B94">
        <w:t xml:space="preserve"> то, что основное внимание они уделяют эффективности и результативности работы МСЭ</w:t>
      </w:r>
      <w:r w:rsidR="00004072" w:rsidRPr="00FA6B94">
        <w:t xml:space="preserve">. </w:t>
      </w:r>
      <w:r w:rsidR="007A500D" w:rsidRPr="00FA6B94">
        <w:t xml:space="preserve">Кроме того, комитет </w:t>
      </w:r>
      <w:r w:rsidR="000C63C4" w:rsidRPr="00FA6B94">
        <w:t>с удовлетворением отметил надлежащее использование данных и аналитических материалов и рекомендовал МСЭ</w:t>
      </w:r>
      <w:r w:rsidR="004F6F6F" w:rsidRPr="00FA6B94">
        <w:t xml:space="preserve"> также использовать такие инструменты, в частности для лучшего понимания финансовых аспектов, укрепляя свою вторую линию обороны</w:t>
      </w:r>
      <w:r w:rsidR="00004072" w:rsidRPr="00FA6B94">
        <w:t>.</w:t>
      </w:r>
    </w:p>
    <w:p w14:paraId="2C1131F8" w14:textId="0F649184" w:rsidR="00004072" w:rsidRPr="00FA6B94" w:rsidRDefault="00747672" w:rsidP="00BA5489">
      <w:r w:rsidRPr="00FA6B94">
        <w:t>12.3</w:t>
      </w:r>
      <w:r w:rsidRPr="00FA6B94">
        <w:tab/>
      </w:r>
      <w:r w:rsidR="00C161F0" w:rsidRPr="00FA6B94">
        <w:t xml:space="preserve">В отношении покидающих свой пост Внешних аудиторов </w:t>
      </w:r>
      <w:r w:rsidR="00004072" w:rsidRPr="00FA6B94">
        <w:t>(</w:t>
      </w:r>
      <w:proofErr w:type="spellStart"/>
      <w:r w:rsidR="00004072" w:rsidRPr="00FA6B94">
        <w:t>Corte</w:t>
      </w:r>
      <w:proofErr w:type="spellEnd"/>
      <w:r w:rsidR="00004072" w:rsidRPr="00FA6B94">
        <w:t xml:space="preserve"> </w:t>
      </w:r>
      <w:proofErr w:type="spellStart"/>
      <w:r w:rsidR="00004072" w:rsidRPr="00FA6B94">
        <w:t>dei</w:t>
      </w:r>
      <w:proofErr w:type="spellEnd"/>
      <w:r w:rsidR="00004072" w:rsidRPr="00FA6B94">
        <w:t xml:space="preserve"> </w:t>
      </w:r>
      <w:proofErr w:type="spellStart"/>
      <w:r w:rsidR="00004072" w:rsidRPr="00FA6B94">
        <w:t>Conti</w:t>
      </w:r>
      <w:proofErr w:type="spellEnd"/>
      <w:r w:rsidR="00004072" w:rsidRPr="00FA6B94">
        <w:t>)</w:t>
      </w:r>
      <w:r w:rsidR="00C161F0" w:rsidRPr="00FA6B94">
        <w:t xml:space="preserve"> Комитет отметил чрезвычайную важность своевременного предоставления всей необходимой документации новым Внешним аудиторам и призвал их рассмотреть свои открытые рекомендации</w:t>
      </w:r>
      <w:r w:rsidR="00004072" w:rsidRPr="00FA6B94">
        <w:t xml:space="preserve">, </w:t>
      </w:r>
      <w:r w:rsidR="00C161F0" w:rsidRPr="00FA6B94">
        <w:t>чтобы закрыть уже выполненные</w:t>
      </w:r>
      <w:bookmarkStart w:id="5" w:name="_Hlk109891000"/>
      <w:r w:rsidR="00004072" w:rsidRPr="00FA6B94">
        <w:t>.</w:t>
      </w:r>
      <w:bookmarkEnd w:id="5"/>
    </w:p>
    <w:p w14:paraId="2AB6B895" w14:textId="211171C9" w:rsidR="00004072" w:rsidRPr="00FA6B94" w:rsidRDefault="00747672" w:rsidP="00BA5489">
      <w:r w:rsidRPr="00FA6B94">
        <w:t>12.4</w:t>
      </w:r>
      <w:r w:rsidRPr="00FA6B94">
        <w:tab/>
      </w:r>
      <w:r w:rsidR="00004072" w:rsidRPr="00FA6B94">
        <w:t xml:space="preserve">IMAC </w:t>
      </w:r>
      <w:r w:rsidR="00C161F0" w:rsidRPr="00FA6B94">
        <w:t xml:space="preserve">также провел продуктивное трехстороннее собрание с подразделением внутреннего аудита и </w:t>
      </w:r>
      <w:r w:rsidR="00873159" w:rsidRPr="00FA6B94">
        <w:t>новыми Внешними аудиторами, обсудив необходимость прочного сотрудничества между ними и такие вопросы, как соответствующие роли в отношении потенциала аудита проекта строительства здания штаб-квартиры МСЭ, уточнив роль Внешнего аудитора</w:t>
      </w:r>
      <w:r w:rsidR="00004072" w:rsidRPr="00FA6B94">
        <w:t>.</w:t>
      </w:r>
    </w:p>
    <w:p w14:paraId="3ED3FC87" w14:textId="2ACCD2CB" w:rsidR="00004072" w:rsidRPr="00FA6B94" w:rsidRDefault="00747672" w:rsidP="00BA5489">
      <w:r w:rsidRPr="00FA6B94">
        <w:t>12.5</w:t>
      </w:r>
      <w:r w:rsidRPr="00FA6B94">
        <w:tab/>
      </w:r>
      <w:r w:rsidR="00004072" w:rsidRPr="00FA6B94">
        <w:t xml:space="preserve">IMAC </w:t>
      </w:r>
      <w:r w:rsidR="00873159" w:rsidRPr="00FA6B94">
        <w:t>также с удовлетворением отметив готовность новых Внешних аудиторов рассмотреть региональное присутствие МСЭ в первоочере</w:t>
      </w:r>
      <w:r w:rsidR="0085256B" w:rsidRPr="00FA6B94">
        <w:t>дном порядке для понимания сути деятельности и проведения оценки рисков</w:t>
      </w:r>
      <w:r w:rsidR="00004072" w:rsidRPr="00FA6B94">
        <w:t>.</w:t>
      </w:r>
    </w:p>
    <w:p w14:paraId="658B9D0F" w14:textId="23B2734D" w:rsidR="00004072" w:rsidRPr="00FA6B94" w:rsidRDefault="00747672" w:rsidP="00BA5489">
      <w:pPr>
        <w:pStyle w:val="Heading1"/>
      </w:pPr>
      <w:r w:rsidRPr="00FA6B94">
        <w:t>13</w:t>
      </w:r>
      <w:r w:rsidRPr="00FA6B94">
        <w:tab/>
      </w:r>
      <w:r w:rsidR="00BA5489" w:rsidRPr="00FA6B94">
        <w:t xml:space="preserve">Внешние аудиторы </w:t>
      </w:r>
      <w:r w:rsidR="00004072" w:rsidRPr="00FA6B94">
        <w:t>(</w:t>
      </w:r>
      <w:proofErr w:type="spellStart"/>
      <w:r w:rsidR="00004072" w:rsidRPr="00FA6B94">
        <w:t>Corte</w:t>
      </w:r>
      <w:proofErr w:type="spellEnd"/>
      <w:r w:rsidR="00004072" w:rsidRPr="00FA6B94">
        <w:t xml:space="preserve"> </w:t>
      </w:r>
      <w:proofErr w:type="spellStart"/>
      <w:r w:rsidR="00004072" w:rsidRPr="00FA6B94">
        <w:t>dei</w:t>
      </w:r>
      <w:proofErr w:type="spellEnd"/>
      <w:r w:rsidR="00004072" w:rsidRPr="00FA6B94">
        <w:t xml:space="preserve"> </w:t>
      </w:r>
      <w:proofErr w:type="spellStart"/>
      <w:r w:rsidR="00004072" w:rsidRPr="00FA6B94">
        <w:t>Conti</w:t>
      </w:r>
      <w:proofErr w:type="spellEnd"/>
      <w:r w:rsidR="00004072" w:rsidRPr="00FA6B94">
        <w:t>)</w:t>
      </w:r>
    </w:p>
    <w:p w14:paraId="3815365F" w14:textId="4C3DCC21" w:rsidR="00004072" w:rsidRPr="00FA6B94" w:rsidRDefault="00747672" w:rsidP="00BA5489">
      <w:r w:rsidRPr="00FA6B94">
        <w:t>13.1</w:t>
      </w:r>
      <w:r w:rsidRPr="00FA6B94">
        <w:tab/>
      </w:r>
      <w:r w:rsidR="00004072" w:rsidRPr="00FA6B94">
        <w:t xml:space="preserve">IMAC </w:t>
      </w:r>
      <w:r w:rsidR="00EF2027" w:rsidRPr="00FA6B94">
        <w:t>провел несколько официальных и неофициальных встреч с Внешними аудиторами, обсуждая ход составления отчетов Внешнего аудитора и их основные выводы</w:t>
      </w:r>
      <w:r w:rsidR="003000B4" w:rsidRPr="00FA6B94">
        <w:t>, включая собрание после завершения работы над их последним отчетом перед заключительным собранием Совета на ПК</w:t>
      </w:r>
      <w:r w:rsidR="003000B4" w:rsidRPr="00FA6B94">
        <w:noBreakHyphen/>
        <w:t xml:space="preserve">22. </w:t>
      </w:r>
      <w:r w:rsidR="001B1F4B" w:rsidRPr="00FA6B94">
        <w:t xml:space="preserve">Отчет Внешнего аудитора по финансовой отчетности за </w:t>
      </w:r>
      <w:r w:rsidR="00004072" w:rsidRPr="00FA6B94">
        <w:t>2021</w:t>
      </w:r>
      <w:r w:rsidR="001B1F4B" w:rsidRPr="00FA6B94">
        <w:t xml:space="preserve"> год </w:t>
      </w:r>
      <w:r w:rsidR="003000B4" w:rsidRPr="00FA6B94">
        <w:t>является</w:t>
      </w:r>
      <w:r w:rsidR="001B1F4B" w:rsidRPr="00FA6B94">
        <w:t xml:space="preserve"> последним отчетом, подготовленным</w:t>
      </w:r>
      <w:r w:rsidR="00004072" w:rsidRPr="00FA6B94">
        <w:t xml:space="preserve"> </w:t>
      </w:r>
      <w:proofErr w:type="spellStart"/>
      <w:r w:rsidR="00004072" w:rsidRPr="00FA6B94">
        <w:t>Corte</w:t>
      </w:r>
      <w:proofErr w:type="spellEnd"/>
      <w:r w:rsidR="00004072" w:rsidRPr="00FA6B94">
        <w:t xml:space="preserve"> </w:t>
      </w:r>
      <w:proofErr w:type="spellStart"/>
      <w:r w:rsidR="00004072" w:rsidRPr="00FA6B94">
        <w:t>dei</w:t>
      </w:r>
      <w:proofErr w:type="spellEnd"/>
      <w:r w:rsidR="00004072" w:rsidRPr="00FA6B94">
        <w:t xml:space="preserve"> </w:t>
      </w:r>
      <w:proofErr w:type="spellStart"/>
      <w:r w:rsidR="00004072" w:rsidRPr="00FA6B94">
        <w:t>Conti</w:t>
      </w:r>
      <w:proofErr w:type="spellEnd"/>
      <w:r w:rsidR="001B1F4B" w:rsidRPr="00FA6B94">
        <w:t xml:space="preserve"> за время исполнения их обязанностей в МСЭ</w:t>
      </w:r>
      <w:r w:rsidR="00004072" w:rsidRPr="00FA6B94">
        <w:t>.</w:t>
      </w:r>
    </w:p>
    <w:p w14:paraId="20D39FE6" w14:textId="6C60B855" w:rsidR="00004072" w:rsidRPr="00FA6B94" w:rsidRDefault="00747672" w:rsidP="00BA5489">
      <w:r w:rsidRPr="00FA6B94">
        <w:t>13.2</w:t>
      </w:r>
      <w:r w:rsidRPr="00FA6B94">
        <w:tab/>
      </w:r>
      <w:r w:rsidR="008147E8" w:rsidRPr="00FA6B94">
        <w:t xml:space="preserve">IMAC дал высокую оценку отчету по финансовой отчетности за 2021 год и с удовлетворением отметил, что </w:t>
      </w:r>
      <w:r w:rsidR="00CD145B" w:rsidRPr="00FA6B94">
        <w:t>Внешние аудиторы дали аудиторское заключение без оговорок.</w:t>
      </w:r>
    </w:p>
    <w:p w14:paraId="5ADC3539" w14:textId="1BCD0A08" w:rsidR="00EA751C" w:rsidRPr="00FA6B94" w:rsidRDefault="00747672" w:rsidP="00BA5489">
      <w:r w:rsidRPr="00FA6B94">
        <w:t>13.3</w:t>
      </w:r>
      <w:r w:rsidRPr="00FA6B94">
        <w:tab/>
      </w:r>
      <w:r w:rsidR="00EA751C" w:rsidRPr="00FA6B94">
        <w:t>В отчете Внешнего аудитора за 2021 год вновь подчеркивается воздействи</w:t>
      </w:r>
      <w:r w:rsidR="00B4359D" w:rsidRPr="00FA6B94">
        <w:t>е</w:t>
      </w:r>
      <w:r w:rsidR="00EA751C" w:rsidRPr="00FA6B94">
        <w:t xml:space="preserve"> актуарных обязательств, которые связаны с вознаграждением сотрудников, работающих на основе долгосрочных контрактов, учтенных в отчете о финансовом положении, в частности </w:t>
      </w:r>
      <w:r w:rsidR="00274DB2" w:rsidRPr="00FA6B94">
        <w:t>в плане медицинского страхования после прекращения службы (АСХИ)</w:t>
      </w:r>
      <w:r w:rsidR="00EA751C" w:rsidRPr="00FA6B94">
        <w:t>.</w:t>
      </w:r>
    </w:p>
    <w:p w14:paraId="4CF2B787" w14:textId="6FA395F4" w:rsidR="00EA751C" w:rsidRPr="00FA6B94" w:rsidRDefault="00EA751C" w:rsidP="00BA5489">
      <w:r w:rsidRPr="00FA6B94">
        <w:lastRenderedPageBreak/>
        <w:t>13.4</w:t>
      </w:r>
      <w:r w:rsidRPr="00FA6B94">
        <w:tab/>
        <w:t xml:space="preserve">IMAC </w:t>
      </w:r>
      <w:r w:rsidR="00274DB2" w:rsidRPr="00FA6B94">
        <w:t>рекомендует Совету уделить первостепенное внимание отчету Внешнего аудитора и рекомендациям по итогам аудиторской проверки</w:t>
      </w:r>
      <w:r w:rsidRPr="00FA6B94">
        <w:t>.</w:t>
      </w:r>
    </w:p>
    <w:p w14:paraId="16779E7F" w14:textId="51FDEB42" w:rsidR="00EA751C" w:rsidRPr="00FA6B94" w:rsidRDefault="00EA751C" w:rsidP="00BA5489">
      <w:r w:rsidRPr="00FA6B94">
        <w:t>13.5</w:t>
      </w:r>
      <w:r w:rsidRPr="00FA6B94">
        <w:tab/>
        <w:t xml:space="preserve">IMAC </w:t>
      </w:r>
      <w:r w:rsidR="00274DB2" w:rsidRPr="00FA6B94">
        <w:t>также отмечает специальный отчет по аудиторской проверке Регионального отделения для Северной и Южной Америки, для проведения которого</w:t>
      </w:r>
      <w:r w:rsidRPr="00FA6B94">
        <w:t xml:space="preserve"> </w:t>
      </w:r>
      <w:proofErr w:type="spellStart"/>
      <w:r w:rsidRPr="00FA6B94">
        <w:t>Corte</w:t>
      </w:r>
      <w:proofErr w:type="spellEnd"/>
      <w:r w:rsidRPr="00FA6B94">
        <w:t xml:space="preserve"> </w:t>
      </w:r>
      <w:proofErr w:type="spellStart"/>
      <w:r w:rsidRPr="00FA6B94">
        <w:t>dei</w:t>
      </w:r>
      <w:proofErr w:type="spellEnd"/>
      <w:r w:rsidRPr="00FA6B94">
        <w:t xml:space="preserve"> </w:t>
      </w:r>
      <w:proofErr w:type="spellStart"/>
      <w:r w:rsidRPr="00FA6B94">
        <w:t>Conti</w:t>
      </w:r>
      <w:proofErr w:type="spellEnd"/>
      <w:r w:rsidRPr="00FA6B94">
        <w:t xml:space="preserve"> </w:t>
      </w:r>
      <w:r w:rsidR="00274DB2" w:rsidRPr="00FA6B94">
        <w:t>посетили Бразилиа и выпустили серию из двадцати трех (23) рекомендаций</w:t>
      </w:r>
      <w:r w:rsidR="00785718" w:rsidRPr="00FA6B94">
        <w:t>, направленных на укрепление внутреннего контроля</w:t>
      </w:r>
      <w:r w:rsidRPr="00FA6B94">
        <w:t>.</w:t>
      </w:r>
    </w:p>
    <w:p w14:paraId="71A9F5AC" w14:textId="79C911C4" w:rsidR="00004072" w:rsidRPr="00FA6B94" w:rsidRDefault="00785718" w:rsidP="00BA5489">
      <w:r w:rsidRPr="00FA6B94">
        <w:t>13.6</w:t>
      </w:r>
      <w:r w:rsidRPr="00FA6B94">
        <w:tab/>
      </w:r>
      <w:r w:rsidR="001B1F4B" w:rsidRPr="00FA6B94">
        <w:t>В отношении периода перехода к новой команде Внешних аудиторов (Национального ревизионного управления Соединенного Королевства)</w:t>
      </w:r>
      <w:r w:rsidR="00004072" w:rsidRPr="00FA6B94">
        <w:t xml:space="preserve"> IMAC </w:t>
      </w:r>
      <w:r w:rsidR="00763760" w:rsidRPr="00FA6B94">
        <w:t xml:space="preserve">обратил внимание на жесткие временные рамки и рекомендовал составить четкий план перехода/передачи, в отношении совместно используемых документов и последующим мерам по </w:t>
      </w:r>
      <w:r w:rsidR="009B3054" w:rsidRPr="00FA6B94">
        <w:t xml:space="preserve">предыдущим </w:t>
      </w:r>
      <w:r w:rsidR="00763760" w:rsidRPr="00FA6B94">
        <w:t>рекомендациям Внешнего аудитора</w:t>
      </w:r>
      <w:r w:rsidR="00004072" w:rsidRPr="00FA6B94">
        <w:t>.</w:t>
      </w:r>
    </w:p>
    <w:p w14:paraId="2042AD64" w14:textId="08E52EEF" w:rsidR="00004072" w:rsidRPr="00FA6B94" w:rsidRDefault="00747672" w:rsidP="00BA5489">
      <w:r w:rsidRPr="00FA6B94">
        <w:t>13.</w:t>
      </w:r>
      <w:r w:rsidR="00785718" w:rsidRPr="00FA6B94">
        <w:t>7</w:t>
      </w:r>
      <w:r w:rsidRPr="00FA6B94">
        <w:tab/>
      </w:r>
      <w:r w:rsidR="00232485" w:rsidRPr="00FA6B94">
        <w:t>Как упоминалось в пункте</w:t>
      </w:r>
      <w:r w:rsidR="00004072" w:rsidRPr="00FA6B94">
        <w:t xml:space="preserve"> 12.3, </w:t>
      </w:r>
      <w:r w:rsidR="00232485" w:rsidRPr="00FA6B94">
        <w:t>Комитет отметил чрезвычайную важность своевременного предоставления всей необходимой документации новым Внешним аудиторам и призвал их рассмотреть свои открытые рекомендации, чтобы закрыть уже выполненные</w:t>
      </w:r>
      <w:r w:rsidR="00004072" w:rsidRPr="00FA6B94">
        <w:t>.</w:t>
      </w:r>
    </w:p>
    <w:p w14:paraId="5B4633B5" w14:textId="2D9E7F55" w:rsidR="00785718" w:rsidRPr="00FA6B94" w:rsidRDefault="00785718" w:rsidP="00BA5489">
      <w:r w:rsidRPr="00FA6B94">
        <w:t>13.8</w:t>
      </w:r>
      <w:r w:rsidRPr="00FA6B94">
        <w:tab/>
        <w:t>Учитывая, что 2021</w:t>
      </w:r>
      <w:r w:rsidR="00313781" w:rsidRPr="00FA6B94">
        <w:t> год</w:t>
      </w:r>
      <w:r w:rsidRPr="00FA6B94">
        <w:t xml:space="preserve"> – последний год аудиторских проверок для </w:t>
      </w:r>
      <w:proofErr w:type="spellStart"/>
      <w:r w:rsidRPr="00FA6B94">
        <w:t>Corte</w:t>
      </w:r>
      <w:proofErr w:type="spellEnd"/>
      <w:r w:rsidRPr="00FA6B94">
        <w:t xml:space="preserve"> </w:t>
      </w:r>
      <w:proofErr w:type="spellStart"/>
      <w:r w:rsidRPr="00FA6B94">
        <w:t>dei</w:t>
      </w:r>
      <w:proofErr w:type="spellEnd"/>
      <w:r w:rsidRPr="00FA6B94">
        <w:t xml:space="preserve"> </w:t>
      </w:r>
      <w:proofErr w:type="spellStart"/>
      <w:r w:rsidRPr="00FA6B94">
        <w:t>Conti</w:t>
      </w:r>
      <w:proofErr w:type="spellEnd"/>
      <w:r w:rsidRPr="00FA6B94">
        <w:t xml:space="preserve">, Италия, IMAC хотел бы отметить все усилия завершающих свой срок работы Внешних аудиторов и дать высокую оценку их работе и высококачественному взаимодействию с IMAC, отмечая при этом внимание и вовлеченность Генерального секретаря при </w:t>
      </w:r>
      <w:r w:rsidR="00EA6660" w:rsidRPr="00FA6B94">
        <w:t>его готовности уделять время и ресурсы этому процессу, а также команды руководства МСЭ за их сотрудничество и усилия</w:t>
      </w:r>
      <w:r w:rsidRPr="00FA6B94">
        <w:t>.</w:t>
      </w:r>
    </w:p>
    <w:p w14:paraId="5A8E9359" w14:textId="5F51EE9D" w:rsidR="007A0D35" w:rsidRPr="00FA6B94" w:rsidRDefault="007A0D35" w:rsidP="007A0D35">
      <w:pPr>
        <w:pStyle w:val="Heading1"/>
      </w:pPr>
      <w:r w:rsidRPr="00FA6B94">
        <w:t>14</w:t>
      </w:r>
      <w:r w:rsidRPr="00FA6B94">
        <w:tab/>
        <w:t>Функция оценки</w:t>
      </w:r>
    </w:p>
    <w:p w14:paraId="452D6FD9" w14:textId="5F182CF1" w:rsidR="007A0D35" w:rsidRPr="00FA6B94" w:rsidRDefault="007A0D35" w:rsidP="007A0D35">
      <w:r w:rsidRPr="00FA6B94">
        <w:t>14.1</w:t>
      </w:r>
      <w:r w:rsidRPr="00FA6B94">
        <w:tab/>
        <w:t>IMAC ранее отмечал значение функции оценки и необходимость ее продолжения более целенаправленным образом, у</w:t>
      </w:r>
      <w:r w:rsidRPr="00FA6B94">
        <w:rPr>
          <w:color w:val="000000"/>
        </w:rPr>
        <w:t>крепляя культуру</w:t>
      </w:r>
      <w:r w:rsidRPr="00FA6B94">
        <w:t xml:space="preserve"> оценки в рамках организации, постепенно интегрируя оценку в каждую крупную инициативу и каждый крупный проект.</w:t>
      </w:r>
    </w:p>
    <w:p w14:paraId="5ACBE149" w14:textId="48EBDCEC" w:rsidR="007A0D35" w:rsidRPr="00FA6B94" w:rsidRDefault="007A0D35" w:rsidP="00DF370F">
      <w:r w:rsidRPr="00FA6B94">
        <w:t>14.2</w:t>
      </w:r>
      <w:r w:rsidRPr="00FA6B94">
        <w:tab/>
        <w:t>В будущем Комитет продолжит контактировать с руководством МСЭ по динамике в этой области.</w:t>
      </w:r>
    </w:p>
    <w:p w14:paraId="6EB5392A" w14:textId="0013CE93" w:rsidR="00876CC4" w:rsidRPr="00FA6B94" w:rsidRDefault="00876CC4" w:rsidP="00876CC4">
      <w:pPr>
        <w:pStyle w:val="Heading1"/>
      </w:pPr>
      <w:r w:rsidRPr="00FA6B94">
        <w:t>15</w:t>
      </w:r>
      <w:r w:rsidRPr="00FA6B94">
        <w:tab/>
        <w:t>Контакты с руководством МСЭ/прочие вопросы</w:t>
      </w:r>
    </w:p>
    <w:p w14:paraId="506A4670" w14:textId="43D7EAE2" w:rsidR="00FF6536" w:rsidRPr="00FA6B94" w:rsidRDefault="00FF6536" w:rsidP="00FF6536">
      <w:r w:rsidRPr="00FA6B94">
        <w:t>15.1</w:t>
      </w:r>
      <w:r w:rsidRPr="00FA6B94">
        <w:tab/>
        <w:t>В</w:t>
      </w:r>
      <w:r w:rsidRPr="00FA6B94">
        <w:rPr>
          <w:color w:val="000000"/>
        </w:rPr>
        <w:t xml:space="preserve"> соответствии со своей обычной практикой</w:t>
      </w:r>
      <w:r w:rsidRPr="00FA6B94">
        <w:t xml:space="preserve"> IMAC продолжал обмениваться с Генеральным секретарем МСЭ мнениями по поводу обсуждений и замечаний на собрании Комитета. IMAC отметил открытые и плодотворные дискуссии с Генеральным секретарем и высоко ценит его участие, заинтересованность и реакцию на вопросы, поднятые Комитетом.</w:t>
      </w:r>
    </w:p>
    <w:p w14:paraId="181D0F2E" w14:textId="3487BD77" w:rsidR="00FF6536" w:rsidRPr="00FA6B94" w:rsidRDefault="00FF6536" w:rsidP="00FF6536">
      <w:pPr>
        <w:rPr>
          <w:color w:val="000000"/>
        </w:rPr>
      </w:pPr>
      <w:r w:rsidRPr="00FA6B94">
        <w:t>15.2</w:t>
      </w:r>
      <w:r w:rsidRPr="00FA6B94">
        <w:tab/>
        <w:t xml:space="preserve">Члены IMAC хотели бы также выразить свою неизменную признательность заместителю Генерального секретаря, Директорам Бюро, в частности Директору Бюро развития электросвязи, за руководство усилиями </w:t>
      </w:r>
      <w:r w:rsidR="0044127D" w:rsidRPr="00FA6B94">
        <w:t>по исправлению ранее имевшихся слабых мест в системе внутреннего контроля</w:t>
      </w:r>
      <w:r w:rsidRPr="00FA6B94">
        <w:t>.</w:t>
      </w:r>
    </w:p>
    <w:p w14:paraId="2DDC1F0B" w14:textId="620DCC35" w:rsidR="00FF6536" w:rsidRPr="00FA6B94" w:rsidRDefault="00FF6536" w:rsidP="00FF6536">
      <w:r w:rsidRPr="00FA6B94">
        <w:t>1</w:t>
      </w:r>
      <w:r w:rsidR="0044127D" w:rsidRPr="00FA6B94">
        <w:t>5</w:t>
      </w:r>
      <w:r w:rsidRPr="00FA6B94">
        <w:t>.3</w:t>
      </w:r>
      <w:r w:rsidRPr="00FA6B94">
        <w:tab/>
      </w:r>
      <w:r w:rsidR="0044127D" w:rsidRPr="00FA6B94">
        <w:t xml:space="preserve">Члены </w:t>
      </w:r>
      <w:r w:rsidRPr="00FA6B94">
        <w:t>Комитет</w:t>
      </w:r>
      <w:r w:rsidR="0044127D" w:rsidRPr="00FA6B94">
        <w:t>а</w:t>
      </w:r>
      <w:r w:rsidRPr="00FA6B94">
        <w:t xml:space="preserve"> хотел</w:t>
      </w:r>
      <w:r w:rsidR="0044127D" w:rsidRPr="00FA6B94">
        <w:t>и</w:t>
      </w:r>
      <w:r w:rsidRPr="00FA6B94">
        <w:t xml:space="preserve"> бы выразить признательность </w:t>
      </w:r>
      <w:r w:rsidR="0044127D" w:rsidRPr="00FA6B94">
        <w:t>должностным лицам МСЭ за поддержку, сотрудничество и позитивное отношение при поддержке эффективного функционирования Комитета, в частности за заслуживающую высокой оценки поддержку секретариата</w:t>
      </w:r>
      <w:r w:rsidRPr="00FA6B94">
        <w:t>.</w:t>
      </w:r>
    </w:p>
    <w:p w14:paraId="694DE896" w14:textId="37CD4546" w:rsidR="0044127D" w:rsidRPr="00FA6B94" w:rsidRDefault="0044127D" w:rsidP="00FF6536">
      <w:r w:rsidRPr="00FA6B94">
        <w:t>15.4</w:t>
      </w:r>
      <w:r w:rsidRPr="00FA6B94">
        <w:tab/>
        <w:t>Комитет также хотел бы выразить признательность Государствам-Членам и Совету за оказанное членам IMAC доверие</w:t>
      </w:r>
      <w:r w:rsidR="00A62AC7" w:rsidRPr="00FA6B94">
        <w:t>, выразившееся в поручении им этих важных обязанностей.</w:t>
      </w:r>
    </w:p>
    <w:p w14:paraId="709FBFD6" w14:textId="41565AB4" w:rsidR="00FF6536" w:rsidRPr="00FA6B94" w:rsidRDefault="00FF6536" w:rsidP="00FF6536">
      <w:r w:rsidRPr="00FA6B94">
        <w:t>1</w:t>
      </w:r>
      <w:r w:rsidR="00A62AC7" w:rsidRPr="00FA6B94">
        <w:t>5</w:t>
      </w:r>
      <w:r w:rsidRPr="00FA6B94">
        <w:t>.</w:t>
      </w:r>
      <w:r w:rsidR="00A62AC7" w:rsidRPr="00FA6B94">
        <w:t>5</w:t>
      </w:r>
      <w:r w:rsidRPr="00FA6B94">
        <w:tab/>
        <w:t xml:space="preserve">Список членского состава IMAC, обязанности, круг ведения и отчеты Комитета размещены в разделе IMAC общедоступного сайта МСЭ по адресу: </w:t>
      </w:r>
      <w:hyperlink r:id="rId23" w:history="1">
        <w:r w:rsidRPr="00FA6B94">
          <w:rPr>
            <w:rStyle w:val="Hyperlink"/>
          </w:rPr>
          <w:t>http://www.itu.int/imac</w:t>
        </w:r>
      </w:hyperlink>
      <w:r w:rsidRPr="00FA6B94">
        <w:t>.</w:t>
      </w:r>
    </w:p>
    <w:p w14:paraId="5A8CEFDB" w14:textId="1CE6BBD3" w:rsidR="00A62AC7" w:rsidRPr="00FA6B94" w:rsidRDefault="00A62AC7" w:rsidP="00BA5489">
      <w:pPr>
        <w:pStyle w:val="Heading1"/>
      </w:pPr>
      <w:r w:rsidRPr="00FA6B94">
        <w:lastRenderedPageBreak/>
        <w:t>16</w:t>
      </w:r>
      <w:r w:rsidRPr="00FA6B94">
        <w:tab/>
      </w:r>
      <w:r w:rsidR="00BA5489" w:rsidRPr="00FA6B94">
        <w:t>Планируемые собрания IMAC в 2022–2023 годах</w:t>
      </w:r>
    </w:p>
    <w:p w14:paraId="6BDA9300" w14:textId="0F0A9810" w:rsidR="00A62AC7" w:rsidRPr="00FA6B94" w:rsidRDefault="00313781" w:rsidP="00BA5489">
      <w:r w:rsidRPr="00FA6B94">
        <w:t>16.1</w:t>
      </w:r>
      <w:r w:rsidRPr="00FA6B94">
        <w:tab/>
      </w:r>
      <w:r w:rsidR="00A62AC7" w:rsidRPr="00FA6B94">
        <w:t>IMAC предварительно планирует провести следующие очередные собрания в 2022</w:t>
      </w:r>
      <w:r w:rsidRPr="00FA6B94">
        <w:t>−</w:t>
      </w:r>
      <w:r w:rsidR="00A62AC7" w:rsidRPr="00FA6B94">
        <w:t>2023 годах</w:t>
      </w:r>
      <w:r w:rsidR="00745F12" w:rsidRPr="00FA6B94">
        <w:t xml:space="preserve"> в указанные ниже даты</w:t>
      </w:r>
      <w:r w:rsidR="00A62AC7" w:rsidRPr="00FA6B94">
        <w:t>: 2</w:t>
      </w:r>
      <w:r w:rsidR="00745F12" w:rsidRPr="00FA6B94">
        <w:t>–</w:t>
      </w:r>
      <w:r w:rsidR="00A62AC7" w:rsidRPr="00FA6B94">
        <w:t xml:space="preserve">4 </w:t>
      </w:r>
      <w:r w:rsidR="00745F12" w:rsidRPr="00FA6B94">
        <w:t>ноября</w:t>
      </w:r>
      <w:r w:rsidR="00A62AC7" w:rsidRPr="00FA6B94">
        <w:t xml:space="preserve"> 2022</w:t>
      </w:r>
      <w:r w:rsidR="00745F12" w:rsidRPr="00FA6B94">
        <w:t> года</w:t>
      </w:r>
      <w:r w:rsidR="00A62AC7" w:rsidRPr="00FA6B94">
        <w:t xml:space="preserve">, </w:t>
      </w:r>
      <w:r w:rsidR="00745F12" w:rsidRPr="00FA6B94">
        <w:t>в течение трех дней недели, начинающейся</w:t>
      </w:r>
      <w:r w:rsidR="00A62AC7" w:rsidRPr="00FA6B94">
        <w:t xml:space="preserve"> 13</w:t>
      </w:r>
      <w:r w:rsidR="00745F12" w:rsidRPr="00FA6B94">
        <w:t> февраля</w:t>
      </w:r>
      <w:r w:rsidR="00A62AC7" w:rsidRPr="00FA6B94">
        <w:t xml:space="preserve"> 2023</w:t>
      </w:r>
      <w:r w:rsidR="00745F12" w:rsidRPr="00FA6B94">
        <w:t> года</w:t>
      </w:r>
      <w:r w:rsidR="00A62AC7" w:rsidRPr="00FA6B94">
        <w:t>, 5</w:t>
      </w:r>
      <w:r w:rsidR="00745F12" w:rsidRPr="00FA6B94">
        <w:t>–</w:t>
      </w:r>
      <w:r w:rsidR="00A62AC7" w:rsidRPr="00FA6B94">
        <w:t>7</w:t>
      </w:r>
      <w:r w:rsidR="00745F12" w:rsidRPr="00FA6B94">
        <w:t> июня</w:t>
      </w:r>
      <w:r w:rsidR="00A62AC7" w:rsidRPr="00FA6B94">
        <w:t xml:space="preserve"> 2023</w:t>
      </w:r>
      <w:r w:rsidR="00745F12" w:rsidRPr="00FA6B94">
        <w:t> года и</w:t>
      </w:r>
      <w:r w:rsidR="00A62AC7" w:rsidRPr="00FA6B94">
        <w:t xml:space="preserve"> </w:t>
      </w:r>
      <w:r w:rsidR="00745F12" w:rsidRPr="00FA6B94">
        <w:t xml:space="preserve">с </w:t>
      </w:r>
      <w:r w:rsidR="00A62AC7" w:rsidRPr="00FA6B94">
        <w:t>30</w:t>
      </w:r>
      <w:r w:rsidR="00745F12" w:rsidRPr="00FA6B94">
        <w:t> октября по</w:t>
      </w:r>
      <w:r w:rsidR="00A62AC7" w:rsidRPr="00FA6B94">
        <w:t xml:space="preserve"> 1</w:t>
      </w:r>
      <w:r w:rsidR="00745F12" w:rsidRPr="00FA6B94">
        <w:t> ноября</w:t>
      </w:r>
      <w:r w:rsidR="00A62AC7" w:rsidRPr="00FA6B94">
        <w:t xml:space="preserve"> 2023</w:t>
      </w:r>
      <w:r w:rsidR="00745F12" w:rsidRPr="00FA6B94">
        <w:t> года</w:t>
      </w:r>
      <w:r w:rsidR="00A62AC7" w:rsidRPr="00FA6B94">
        <w:t>.</w:t>
      </w:r>
    </w:p>
    <w:p w14:paraId="51AD98EF" w14:textId="77777777" w:rsidR="00A03ECC" w:rsidRPr="00FA6B94" w:rsidRDefault="00A03ECC" w:rsidP="00BA5489"/>
    <w:p w14:paraId="4E092CD1" w14:textId="6BB31EB3" w:rsidR="00A03ECC" w:rsidRPr="00FA6B94" w:rsidRDefault="00A03ECC" w:rsidP="00BA5489">
      <w:pPr>
        <w:sectPr w:rsidR="00A03ECC" w:rsidRPr="00FA6B94" w:rsidSect="004650FA">
          <w:headerReference w:type="default" r:id="rId24"/>
          <w:footerReference w:type="default" r:id="rId25"/>
          <w:footerReference w:type="first" r:id="rId26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  <w:docGrid w:linePitch="299"/>
        </w:sectPr>
      </w:pPr>
    </w:p>
    <w:p w14:paraId="3A2F7C17" w14:textId="33E5C9B3" w:rsidR="00DC5F7A" w:rsidRPr="00FA6B94" w:rsidRDefault="00355951" w:rsidP="00375AB6">
      <w:pPr>
        <w:pStyle w:val="AnnexNo"/>
        <w:spacing w:before="0"/>
      </w:pPr>
      <w:r w:rsidRPr="00FA6B94">
        <w:lastRenderedPageBreak/>
        <w:t>ПРИЛОЖЕНИЕ</w:t>
      </w:r>
      <w:r w:rsidR="00ED4844" w:rsidRPr="00FA6B94">
        <w:t xml:space="preserve"> 1</w:t>
      </w:r>
    </w:p>
    <w:p w14:paraId="128648F5" w14:textId="00CE7B9C" w:rsidR="00236471" w:rsidRPr="00FA6B94" w:rsidRDefault="0088477D" w:rsidP="007D32B5">
      <w:pPr>
        <w:pStyle w:val="Annextitle"/>
        <w:spacing w:before="120" w:after="240"/>
      </w:pPr>
      <w:r w:rsidRPr="00FA6B94">
        <w:t xml:space="preserve">Выполнение </w:t>
      </w:r>
      <w:r w:rsidR="00355951" w:rsidRPr="00FA6B94">
        <w:t>рекомендаций IMAC</w:t>
      </w:r>
    </w:p>
    <w:p w14:paraId="2C1DF2EA" w14:textId="18B4D3B0" w:rsidR="00ED4844" w:rsidRPr="00FA6B94" w:rsidRDefault="00660621" w:rsidP="00236471">
      <w:pPr>
        <w:jc w:val="center"/>
      </w:pPr>
      <w:r>
        <w:rPr>
          <w:noProof/>
        </w:rPr>
        <w:drawing>
          <wp:inline distT="0" distB="0" distL="0" distR="0" wp14:anchorId="6A2EA999" wp14:editId="50C10A4C">
            <wp:extent cx="9248140" cy="523684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523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C1FBF" w14:textId="77777777" w:rsidR="00BA5489" w:rsidRPr="00FA6B94" w:rsidRDefault="00BA5489">
      <w:pPr>
        <w:jc w:val="center"/>
      </w:pPr>
      <w:r w:rsidRPr="00FA6B94">
        <w:t>______________</w:t>
      </w:r>
    </w:p>
    <w:sectPr w:rsidR="00BA5489" w:rsidRPr="00FA6B94" w:rsidSect="00BA5489">
      <w:headerReference w:type="first" r:id="rId28"/>
      <w:footerReference w:type="first" r:id="rId29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43A1" w14:textId="77777777" w:rsidR="0013112D" w:rsidRDefault="0013112D">
      <w:r>
        <w:separator/>
      </w:r>
    </w:p>
  </w:endnote>
  <w:endnote w:type="continuationSeparator" w:id="0">
    <w:p w14:paraId="79D3C6E3" w14:textId="77777777" w:rsidR="0013112D" w:rsidRDefault="001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23A" w14:textId="6A6BFFE1" w:rsidR="0013112D" w:rsidRPr="00ED4B6F" w:rsidRDefault="0013112D" w:rsidP="0040454A">
    <w:pPr>
      <w:pStyle w:val="Footer"/>
      <w:tabs>
        <w:tab w:val="clear" w:pos="9639"/>
        <w:tab w:val="right" w:pos="9498"/>
      </w:tabs>
      <w:rPr>
        <w:lang w:val="fr-CH"/>
      </w:rPr>
    </w:pPr>
    <w:r w:rsidRPr="00ED4B6F">
      <w:fldChar w:fldCharType="begin"/>
    </w:r>
    <w:r w:rsidRPr="00ED4B6F">
      <w:rPr>
        <w:lang w:val="fr-CH"/>
      </w:rPr>
      <w:instrText xml:space="preserve"> FILENAME \p \* MERGEFORMAT </w:instrText>
    </w:r>
    <w:r w:rsidRPr="00ED4B6F">
      <w:fldChar w:fldCharType="separate"/>
    </w:r>
    <w:r w:rsidR="00ED4B6F">
      <w:rPr>
        <w:lang w:val="fr-CH"/>
      </w:rPr>
      <w:t>P:\RUS\SG\CONSEIL\C22\000\022ADD01R.docx</w:t>
    </w:r>
    <w:r w:rsidRPr="00ED4B6F">
      <w:fldChar w:fldCharType="end"/>
    </w:r>
    <w:r w:rsidRPr="00ED4B6F">
      <w:rPr>
        <w:lang w:val="fr-CH"/>
      </w:rPr>
      <w:t xml:space="preserve"> </w:t>
    </w:r>
    <w:r w:rsidRPr="00ED4B6F">
      <w:t>(</w:t>
    </w:r>
    <w:r w:rsidR="00ED4B6F" w:rsidRPr="00ED4B6F">
      <w:t>502835</w:t>
    </w:r>
    <w:r w:rsidRPr="00ED4B6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6028" w14:textId="77777777" w:rsidR="0013112D" w:rsidRPr="0002288E" w:rsidRDefault="0013112D" w:rsidP="004D631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863C" w14:textId="77777777" w:rsidR="00BA5489" w:rsidRPr="00ED4B6F" w:rsidRDefault="00BA5489" w:rsidP="00BA5489">
    <w:pPr>
      <w:pStyle w:val="Footer"/>
      <w:tabs>
        <w:tab w:val="clear" w:pos="9639"/>
        <w:tab w:val="right" w:pos="9498"/>
      </w:tabs>
      <w:rPr>
        <w:lang w:val="fr-CH"/>
      </w:rPr>
    </w:pPr>
    <w:r w:rsidRPr="00ED4B6F">
      <w:fldChar w:fldCharType="begin"/>
    </w:r>
    <w:r w:rsidRPr="00ED4B6F">
      <w:rPr>
        <w:lang w:val="fr-CH"/>
      </w:rPr>
      <w:instrText xml:space="preserve"> FILENAME \p \* MERGEFORMAT </w:instrText>
    </w:r>
    <w:r w:rsidRPr="00ED4B6F">
      <w:fldChar w:fldCharType="separate"/>
    </w:r>
    <w:r>
      <w:rPr>
        <w:lang w:val="fr-CH"/>
      </w:rPr>
      <w:t>P:\RUS\SG\CONSEIL\C22\000\022ADD01R.docx</w:t>
    </w:r>
    <w:r w:rsidRPr="00ED4B6F">
      <w:fldChar w:fldCharType="end"/>
    </w:r>
    <w:r w:rsidRPr="00ED4B6F">
      <w:rPr>
        <w:lang w:val="fr-CH"/>
      </w:rPr>
      <w:t xml:space="preserve"> </w:t>
    </w:r>
    <w:r w:rsidRPr="00ED4B6F">
      <w:t>(502835)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2CF2" w14:textId="77777777" w:rsidR="0013112D" w:rsidRDefault="0013112D">
      <w:r>
        <w:t>____________________</w:t>
      </w:r>
    </w:p>
  </w:footnote>
  <w:footnote w:type="continuationSeparator" w:id="0">
    <w:p w14:paraId="6DF5534D" w14:textId="77777777" w:rsidR="0013112D" w:rsidRDefault="0013112D">
      <w:r>
        <w:continuationSeparator/>
      </w:r>
    </w:p>
  </w:footnote>
  <w:footnote w:id="1">
    <w:p w14:paraId="37EE90EB" w14:textId="271F4546" w:rsidR="00ED4B6F" w:rsidRPr="00ED4B6F" w:rsidRDefault="00ED4B6F" w:rsidP="00ED4B6F">
      <w:pPr>
        <w:pStyle w:val="FootnoteText"/>
      </w:pPr>
      <w:r>
        <w:rPr>
          <w:rStyle w:val="FootnoteReference"/>
        </w:rPr>
        <w:t>1</w:t>
      </w:r>
      <w:r w:rsidRPr="00ED4B6F">
        <w:t xml:space="preserve"> </w:t>
      </w:r>
      <w:r>
        <w:tab/>
      </w:r>
      <w:r w:rsidRPr="00ED4B6F">
        <w:t>Рекомендация 1 IMAC (2022 г.) включена в Документ C22/22, и в ней рекомендуется, чтобы "высокопоставленные руководители взаимодействовали с аудиторами, чтобы убедить их в том, что установленные процедуры контроля являются надлежащими и что они позволяют аудиторам исполнять аудиторские процедуры на удовлетворительном уровне и делать заключение, что в финансовой отчетности нет существенных ошибок или искажений".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2A21" w14:textId="142F2BC9" w:rsidR="0013112D" w:rsidRDefault="0013112D" w:rsidP="004650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90DFF">
      <w:rPr>
        <w:noProof/>
      </w:rPr>
      <w:t>5</w:t>
    </w:r>
    <w:r>
      <w:fldChar w:fldCharType="end"/>
    </w:r>
  </w:p>
  <w:p w14:paraId="45A22CD9" w14:textId="064E0A92" w:rsidR="0013112D" w:rsidRPr="004650FA" w:rsidRDefault="0013112D" w:rsidP="004650FA">
    <w:pPr>
      <w:pStyle w:val="Header"/>
      <w:rPr>
        <w:lang w:val="ru-RU"/>
      </w:rPr>
    </w:pPr>
    <w:r>
      <w:t>C2</w:t>
    </w:r>
    <w:r w:rsidR="00781E1E">
      <w:rPr>
        <w:lang w:val="ru-RU"/>
      </w:rPr>
      <w:t>2</w:t>
    </w:r>
    <w:r>
      <w:t>/22</w:t>
    </w:r>
    <w:r w:rsidR="00017AC0">
      <w:rPr>
        <w:lang w:val="ru-RU"/>
      </w:rPr>
      <w:t>(</w:t>
    </w:r>
    <w:r w:rsidR="00781E1E">
      <w:rPr>
        <w:lang w:val="en-US"/>
      </w:rPr>
      <w:t>A</w:t>
    </w:r>
    <w:r w:rsidR="00BE0AA0">
      <w:rPr>
        <w:lang w:val="en-US"/>
      </w:rPr>
      <w:t>dd</w:t>
    </w:r>
    <w:r w:rsidR="00ED4B6F">
      <w:rPr>
        <w:lang w:val="ru-RU"/>
      </w:rPr>
      <w:t>.</w:t>
    </w:r>
    <w:r w:rsidR="00781E1E">
      <w:rPr>
        <w:lang w:val="en-US"/>
      </w:rPr>
      <w:t>1</w:t>
    </w:r>
    <w:r w:rsidR="00017AC0">
      <w:rPr>
        <w:lang w:val="ru-RU"/>
      </w:rPr>
      <w:t>)</w:t>
    </w:r>
    <w:r>
      <w:t>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8A65" w14:textId="4D50A1A3" w:rsidR="00BA5489" w:rsidRDefault="00BA5489" w:rsidP="00BA548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90DFF">
      <w:rPr>
        <w:noProof/>
      </w:rPr>
      <w:t>11</w:t>
    </w:r>
    <w:r>
      <w:fldChar w:fldCharType="end"/>
    </w:r>
  </w:p>
  <w:p w14:paraId="38670DF9" w14:textId="023431F3" w:rsidR="00BA5489" w:rsidRPr="004650FA" w:rsidRDefault="00BA5489" w:rsidP="00BA5489">
    <w:pPr>
      <w:pStyle w:val="Header"/>
      <w:rPr>
        <w:lang w:val="ru-RU"/>
      </w:rPr>
    </w:pPr>
    <w:r>
      <w:t>C2</w:t>
    </w:r>
    <w:r>
      <w:rPr>
        <w:lang w:val="ru-RU"/>
      </w:rPr>
      <w:t>2</w:t>
    </w:r>
    <w:r>
      <w:t>/22</w:t>
    </w:r>
    <w:r>
      <w:rPr>
        <w:lang w:val="ru-RU"/>
      </w:rPr>
      <w:t>(</w:t>
    </w:r>
    <w:r>
      <w:rPr>
        <w:lang w:val="en-US"/>
      </w:rPr>
      <w:t>A</w:t>
    </w:r>
    <w:r w:rsidR="00BE0AA0">
      <w:rPr>
        <w:lang w:val="en-US"/>
      </w:rPr>
      <w:t>dd</w:t>
    </w:r>
    <w:r>
      <w:rPr>
        <w:lang w:val="ru-RU"/>
      </w:rPr>
      <w:t>.</w:t>
    </w:r>
    <w:r>
      <w:rPr>
        <w:lang w:val="en-US"/>
      </w:rPr>
      <w:t>1</w:t>
    </w:r>
    <w:r>
      <w:rPr>
        <w:lang w:val="ru-RU"/>
      </w:rPr>
      <w:t>)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88"/>
    <w:multiLevelType w:val="hybridMultilevel"/>
    <w:tmpl w:val="F12E02FE"/>
    <w:styleLink w:val="Punkte"/>
    <w:lvl w:ilvl="0" w:tplc="3C5ABC00">
      <w:start w:val="1"/>
      <w:numFmt w:val="bullet"/>
      <w:lvlText w:val="•"/>
      <w:lvlJc w:val="left"/>
      <w:pPr>
        <w:tabs>
          <w:tab w:val="num" w:pos="841"/>
        </w:tabs>
        <w:ind w:left="189" w:firstLine="4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61988">
      <w:start w:val="1"/>
      <w:numFmt w:val="bullet"/>
      <w:lvlText w:val="•"/>
      <w:lvlJc w:val="left"/>
      <w:pPr>
        <w:tabs>
          <w:tab w:val="num" w:pos="1440"/>
        </w:tabs>
        <w:ind w:left="7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CAB0">
      <w:start w:val="1"/>
      <w:numFmt w:val="bullet"/>
      <w:lvlText w:val="•"/>
      <w:lvlJc w:val="left"/>
      <w:pPr>
        <w:tabs>
          <w:tab w:val="num" w:pos="2040"/>
        </w:tabs>
        <w:ind w:left="13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042A2">
      <w:start w:val="1"/>
      <w:numFmt w:val="bullet"/>
      <w:lvlText w:val="•"/>
      <w:lvlJc w:val="left"/>
      <w:pPr>
        <w:ind w:left="1988" w:hanging="17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686B8">
      <w:start w:val="1"/>
      <w:numFmt w:val="bullet"/>
      <w:lvlText w:val="•"/>
      <w:lvlJc w:val="left"/>
      <w:pPr>
        <w:tabs>
          <w:tab w:val="num" w:pos="3240"/>
        </w:tabs>
        <w:ind w:left="2588" w:firstLine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8A0BE">
      <w:start w:val="1"/>
      <w:numFmt w:val="bullet"/>
      <w:lvlText w:val="•"/>
      <w:lvlJc w:val="left"/>
      <w:pPr>
        <w:tabs>
          <w:tab w:val="num" w:pos="3840"/>
        </w:tabs>
        <w:ind w:left="3188" w:firstLine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8CE58">
      <w:start w:val="1"/>
      <w:numFmt w:val="bullet"/>
      <w:lvlText w:val="•"/>
      <w:lvlJc w:val="left"/>
      <w:pPr>
        <w:tabs>
          <w:tab w:val="num" w:pos="4440"/>
        </w:tabs>
        <w:ind w:left="3788" w:firstLine="1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A0316">
      <w:start w:val="1"/>
      <w:numFmt w:val="bullet"/>
      <w:lvlText w:val="•"/>
      <w:lvlJc w:val="left"/>
      <w:pPr>
        <w:tabs>
          <w:tab w:val="num" w:pos="5040"/>
        </w:tabs>
        <w:ind w:left="43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0B8E2">
      <w:start w:val="1"/>
      <w:numFmt w:val="bullet"/>
      <w:lvlText w:val="•"/>
      <w:lvlJc w:val="left"/>
      <w:pPr>
        <w:tabs>
          <w:tab w:val="num" w:pos="5640"/>
        </w:tabs>
        <w:ind w:left="49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1F49AD"/>
    <w:multiLevelType w:val="multilevel"/>
    <w:tmpl w:val="E3B8961A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554A72"/>
    <w:multiLevelType w:val="hybridMultilevel"/>
    <w:tmpl w:val="6F9C170E"/>
    <w:numStyleLink w:val="ImportierterStil2"/>
  </w:abstractNum>
  <w:abstractNum w:abstractNumId="3" w15:restartNumberingAfterBreak="0">
    <w:nsid w:val="44510AD5"/>
    <w:multiLevelType w:val="hybridMultilevel"/>
    <w:tmpl w:val="6F9C170E"/>
    <w:styleLink w:val="ImportierterStil2"/>
    <w:lvl w:ilvl="0" w:tplc="F3300310">
      <w:start w:val="1"/>
      <w:numFmt w:val="bullet"/>
      <w:lvlText w:val="-"/>
      <w:lvlJc w:val="left"/>
      <w:pPr>
        <w:tabs>
          <w:tab w:val="num" w:pos="1440"/>
        </w:tabs>
        <w:ind w:left="7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67752">
      <w:start w:val="1"/>
      <w:numFmt w:val="bullet"/>
      <w:lvlText w:val="o"/>
      <w:lvlJc w:val="left"/>
      <w:pPr>
        <w:tabs>
          <w:tab w:val="num" w:pos="2160"/>
        </w:tabs>
        <w:ind w:left="14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ED5FC">
      <w:start w:val="1"/>
      <w:numFmt w:val="bullet"/>
      <w:lvlText w:val="▪"/>
      <w:lvlJc w:val="left"/>
      <w:pPr>
        <w:tabs>
          <w:tab w:val="num" w:pos="2880"/>
        </w:tabs>
        <w:ind w:left="21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8F7A">
      <w:start w:val="1"/>
      <w:numFmt w:val="bullet"/>
      <w:lvlText w:val="•"/>
      <w:lvlJc w:val="left"/>
      <w:pPr>
        <w:tabs>
          <w:tab w:val="num" w:pos="3600"/>
        </w:tabs>
        <w:ind w:left="28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6CDF8">
      <w:start w:val="1"/>
      <w:numFmt w:val="bullet"/>
      <w:lvlText w:val="o"/>
      <w:lvlJc w:val="left"/>
      <w:pPr>
        <w:tabs>
          <w:tab w:val="num" w:pos="4320"/>
        </w:tabs>
        <w:ind w:left="360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F1DA">
      <w:start w:val="1"/>
      <w:numFmt w:val="bullet"/>
      <w:lvlText w:val="▪"/>
      <w:lvlJc w:val="left"/>
      <w:pPr>
        <w:tabs>
          <w:tab w:val="num" w:pos="5040"/>
        </w:tabs>
        <w:ind w:left="43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AABBC">
      <w:start w:val="1"/>
      <w:numFmt w:val="bullet"/>
      <w:lvlText w:val="•"/>
      <w:lvlJc w:val="left"/>
      <w:pPr>
        <w:tabs>
          <w:tab w:val="num" w:pos="5760"/>
        </w:tabs>
        <w:ind w:left="50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823E">
      <w:start w:val="1"/>
      <w:numFmt w:val="bullet"/>
      <w:lvlText w:val="o"/>
      <w:lvlJc w:val="left"/>
      <w:pPr>
        <w:tabs>
          <w:tab w:val="num" w:pos="6480"/>
        </w:tabs>
        <w:ind w:left="57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0DBAA">
      <w:start w:val="1"/>
      <w:numFmt w:val="bullet"/>
      <w:lvlText w:val="▪"/>
      <w:lvlJc w:val="left"/>
      <w:pPr>
        <w:tabs>
          <w:tab w:val="num" w:pos="7200"/>
        </w:tabs>
        <w:ind w:left="64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030924"/>
    <w:multiLevelType w:val="multilevel"/>
    <w:tmpl w:val="E3B8961A"/>
    <w:numStyleLink w:val="ImportierterStil1"/>
  </w:abstractNum>
  <w:num w:numId="1" w16cid:durableId="1322654385">
    <w:abstractNumId w:val="1"/>
  </w:num>
  <w:num w:numId="2" w16cid:durableId="721177707">
    <w:abstractNumId w:val="0"/>
  </w:num>
  <w:num w:numId="3" w16cid:durableId="302737539">
    <w:abstractNumId w:val="3"/>
  </w:num>
  <w:num w:numId="4" w16cid:durableId="910969379">
    <w:abstractNumId w:val="4"/>
  </w:num>
  <w:num w:numId="5" w16cid:durableId="18983244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3"/>
    <w:rsid w:val="00003849"/>
    <w:rsid w:val="00004072"/>
    <w:rsid w:val="00006958"/>
    <w:rsid w:val="00007801"/>
    <w:rsid w:val="00007810"/>
    <w:rsid w:val="00007BD8"/>
    <w:rsid w:val="000127C1"/>
    <w:rsid w:val="00012D4B"/>
    <w:rsid w:val="00017507"/>
    <w:rsid w:val="00017AC0"/>
    <w:rsid w:val="0002183E"/>
    <w:rsid w:val="00022519"/>
    <w:rsid w:val="00025ADD"/>
    <w:rsid w:val="00026C2D"/>
    <w:rsid w:val="00032912"/>
    <w:rsid w:val="000339A7"/>
    <w:rsid w:val="000342EC"/>
    <w:rsid w:val="00036091"/>
    <w:rsid w:val="00047BFF"/>
    <w:rsid w:val="00052330"/>
    <w:rsid w:val="00052506"/>
    <w:rsid w:val="000561F2"/>
    <w:rsid w:val="000569B4"/>
    <w:rsid w:val="000620F9"/>
    <w:rsid w:val="00062206"/>
    <w:rsid w:val="00063D14"/>
    <w:rsid w:val="00065DE7"/>
    <w:rsid w:val="00065F04"/>
    <w:rsid w:val="00070BD9"/>
    <w:rsid w:val="00072A15"/>
    <w:rsid w:val="000741A0"/>
    <w:rsid w:val="00077425"/>
    <w:rsid w:val="00077520"/>
    <w:rsid w:val="00080B54"/>
    <w:rsid w:val="00080E82"/>
    <w:rsid w:val="00084A24"/>
    <w:rsid w:val="00087675"/>
    <w:rsid w:val="00087980"/>
    <w:rsid w:val="00090737"/>
    <w:rsid w:val="00091AC1"/>
    <w:rsid w:val="00092844"/>
    <w:rsid w:val="00092C53"/>
    <w:rsid w:val="000944B5"/>
    <w:rsid w:val="00096698"/>
    <w:rsid w:val="000A574C"/>
    <w:rsid w:val="000A5F34"/>
    <w:rsid w:val="000A7613"/>
    <w:rsid w:val="000A794E"/>
    <w:rsid w:val="000B2CC9"/>
    <w:rsid w:val="000B334E"/>
    <w:rsid w:val="000B6183"/>
    <w:rsid w:val="000C047A"/>
    <w:rsid w:val="000C4265"/>
    <w:rsid w:val="000C5128"/>
    <w:rsid w:val="000C63C4"/>
    <w:rsid w:val="000D3A7F"/>
    <w:rsid w:val="000D3E13"/>
    <w:rsid w:val="000E069C"/>
    <w:rsid w:val="000E147B"/>
    <w:rsid w:val="000E17CD"/>
    <w:rsid w:val="000E2DBA"/>
    <w:rsid w:val="000E3C21"/>
    <w:rsid w:val="000E44E7"/>
    <w:rsid w:val="000E568E"/>
    <w:rsid w:val="000F1EDA"/>
    <w:rsid w:val="000F212A"/>
    <w:rsid w:val="000F5525"/>
    <w:rsid w:val="000F5715"/>
    <w:rsid w:val="000F6154"/>
    <w:rsid w:val="001006D7"/>
    <w:rsid w:val="001018CD"/>
    <w:rsid w:val="00107EF7"/>
    <w:rsid w:val="001117F1"/>
    <w:rsid w:val="00111F8B"/>
    <w:rsid w:val="00116D46"/>
    <w:rsid w:val="00123AAE"/>
    <w:rsid w:val="00125FC9"/>
    <w:rsid w:val="00126462"/>
    <w:rsid w:val="00126F03"/>
    <w:rsid w:val="00127CC0"/>
    <w:rsid w:val="00130CE4"/>
    <w:rsid w:val="0013112D"/>
    <w:rsid w:val="0013486D"/>
    <w:rsid w:val="00136B62"/>
    <w:rsid w:val="00140DBA"/>
    <w:rsid w:val="00141998"/>
    <w:rsid w:val="00141BAC"/>
    <w:rsid w:val="001425B0"/>
    <w:rsid w:val="00144ABF"/>
    <w:rsid w:val="0014734F"/>
    <w:rsid w:val="0015228E"/>
    <w:rsid w:val="001529F4"/>
    <w:rsid w:val="0015331C"/>
    <w:rsid w:val="0015425A"/>
    <w:rsid w:val="0015710D"/>
    <w:rsid w:val="001576C5"/>
    <w:rsid w:val="00160C39"/>
    <w:rsid w:val="00161447"/>
    <w:rsid w:val="001628EE"/>
    <w:rsid w:val="00163A32"/>
    <w:rsid w:val="001665BF"/>
    <w:rsid w:val="00170E89"/>
    <w:rsid w:val="00172701"/>
    <w:rsid w:val="0017470F"/>
    <w:rsid w:val="00176C33"/>
    <w:rsid w:val="00177141"/>
    <w:rsid w:val="00184FFB"/>
    <w:rsid w:val="0019247B"/>
    <w:rsid w:val="00192B41"/>
    <w:rsid w:val="00192B98"/>
    <w:rsid w:val="00192DB8"/>
    <w:rsid w:val="00196F3C"/>
    <w:rsid w:val="001975E0"/>
    <w:rsid w:val="001B0330"/>
    <w:rsid w:val="001B0503"/>
    <w:rsid w:val="001B143E"/>
    <w:rsid w:val="001B1F4B"/>
    <w:rsid w:val="001B4524"/>
    <w:rsid w:val="001B7B09"/>
    <w:rsid w:val="001C0094"/>
    <w:rsid w:val="001C1DAA"/>
    <w:rsid w:val="001C67E9"/>
    <w:rsid w:val="001C69C6"/>
    <w:rsid w:val="001D117B"/>
    <w:rsid w:val="001D2816"/>
    <w:rsid w:val="001D483B"/>
    <w:rsid w:val="001D676E"/>
    <w:rsid w:val="001D7AFA"/>
    <w:rsid w:val="001E1517"/>
    <w:rsid w:val="001E5A07"/>
    <w:rsid w:val="001E6719"/>
    <w:rsid w:val="001F0BB0"/>
    <w:rsid w:val="001F18B0"/>
    <w:rsid w:val="001F3AA3"/>
    <w:rsid w:val="001F50B9"/>
    <w:rsid w:val="001F6143"/>
    <w:rsid w:val="002004B2"/>
    <w:rsid w:val="0020669E"/>
    <w:rsid w:val="00216F64"/>
    <w:rsid w:val="00223DCF"/>
    <w:rsid w:val="0022450F"/>
    <w:rsid w:val="00225368"/>
    <w:rsid w:val="00225C01"/>
    <w:rsid w:val="002268C0"/>
    <w:rsid w:val="00227FF0"/>
    <w:rsid w:val="002309BB"/>
    <w:rsid w:val="00232485"/>
    <w:rsid w:val="002338EA"/>
    <w:rsid w:val="00234805"/>
    <w:rsid w:val="00235D88"/>
    <w:rsid w:val="00236471"/>
    <w:rsid w:val="00237525"/>
    <w:rsid w:val="002438AA"/>
    <w:rsid w:val="00244ED5"/>
    <w:rsid w:val="00244F15"/>
    <w:rsid w:val="00250998"/>
    <w:rsid w:val="002525D4"/>
    <w:rsid w:val="00264811"/>
    <w:rsid w:val="002654AE"/>
    <w:rsid w:val="0027051B"/>
    <w:rsid w:val="0027319A"/>
    <w:rsid w:val="00274DB2"/>
    <w:rsid w:val="00281B1E"/>
    <w:rsid w:val="00281BA7"/>
    <w:rsid w:val="0028431F"/>
    <w:rsid w:val="00285035"/>
    <w:rsid w:val="002850D7"/>
    <w:rsid w:val="00285753"/>
    <w:rsid w:val="00291B10"/>
    <w:rsid w:val="00291CD8"/>
    <w:rsid w:val="00291EB6"/>
    <w:rsid w:val="00292352"/>
    <w:rsid w:val="00295E27"/>
    <w:rsid w:val="00296414"/>
    <w:rsid w:val="002A034E"/>
    <w:rsid w:val="002A3A3E"/>
    <w:rsid w:val="002A574A"/>
    <w:rsid w:val="002A5E10"/>
    <w:rsid w:val="002A69D3"/>
    <w:rsid w:val="002A7798"/>
    <w:rsid w:val="002B4613"/>
    <w:rsid w:val="002B4B9E"/>
    <w:rsid w:val="002B7031"/>
    <w:rsid w:val="002B75BC"/>
    <w:rsid w:val="002C2654"/>
    <w:rsid w:val="002C40ED"/>
    <w:rsid w:val="002C70C3"/>
    <w:rsid w:val="002D01B7"/>
    <w:rsid w:val="002D0346"/>
    <w:rsid w:val="002D1F7B"/>
    <w:rsid w:val="002D2F57"/>
    <w:rsid w:val="002D48C5"/>
    <w:rsid w:val="002D642B"/>
    <w:rsid w:val="002E0E08"/>
    <w:rsid w:val="002E15CA"/>
    <w:rsid w:val="002E5B80"/>
    <w:rsid w:val="002F50E7"/>
    <w:rsid w:val="002F72C0"/>
    <w:rsid w:val="003000B4"/>
    <w:rsid w:val="0030064B"/>
    <w:rsid w:val="003019ED"/>
    <w:rsid w:val="00306A72"/>
    <w:rsid w:val="003076ED"/>
    <w:rsid w:val="00310DA4"/>
    <w:rsid w:val="00310FD1"/>
    <w:rsid w:val="00313781"/>
    <w:rsid w:val="00321934"/>
    <w:rsid w:val="003237BD"/>
    <w:rsid w:val="0032454E"/>
    <w:rsid w:val="003273C3"/>
    <w:rsid w:val="0033522B"/>
    <w:rsid w:val="00335E96"/>
    <w:rsid w:val="00344294"/>
    <w:rsid w:val="00344337"/>
    <w:rsid w:val="00344654"/>
    <w:rsid w:val="00345097"/>
    <w:rsid w:val="00355951"/>
    <w:rsid w:val="00355DB7"/>
    <w:rsid w:val="0036137C"/>
    <w:rsid w:val="00364B00"/>
    <w:rsid w:val="00365CAA"/>
    <w:rsid w:val="00366140"/>
    <w:rsid w:val="00375AB6"/>
    <w:rsid w:val="00376475"/>
    <w:rsid w:val="003765E4"/>
    <w:rsid w:val="00380066"/>
    <w:rsid w:val="00384A2C"/>
    <w:rsid w:val="00386029"/>
    <w:rsid w:val="003905FB"/>
    <w:rsid w:val="0039299E"/>
    <w:rsid w:val="003956D3"/>
    <w:rsid w:val="00397ECE"/>
    <w:rsid w:val="003A11B5"/>
    <w:rsid w:val="003A3658"/>
    <w:rsid w:val="003A619A"/>
    <w:rsid w:val="003A6D16"/>
    <w:rsid w:val="003C1E54"/>
    <w:rsid w:val="003C2535"/>
    <w:rsid w:val="003C5C22"/>
    <w:rsid w:val="003C6CA3"/>
    <w:rsid w:val="003D1E1B"/>
    <w:rsid w:val="003D578F"/>
    <w:rsid w:val="003D73EF"/>
    <w:rsid w:val="003F099E"/>
    <w:rsid w:val="003F235E"/>
    <w:rsid w:val="003F2CD5"/>
    <w:rsid w:val="003F44FA"/>
    <w:rsid w:val="003F4DC8"/>
    <w:rsid w:val="003F507C"/>
    <w:rsid w:val="003F538C"/>
    <w:rsid w:val="003F5E73"/>
    <w:rsid w:val="004023E0"/>
    <w:rsid w:val="00403DD8"/>
    <w:rsid w:val="0040454A"/>
    <w:rsid w:val="00405BB0"/>
    <w:rsid w:val="00405C5A"/>
    <w:rsid w:val="00406040"/>
    <w:rsid w:val="004079B1"/>
    <w:rsid w:val="004131B2"/>
    <w:rsid w:val="00416664"/>
    <w:rsid w:val="004200DE"/>
    <w:rsid w:val="00423789"/>
    <w:rsid w:val="0042616E"/>
    <w:rsid w:val="00430DFB"/>
    <w:rsid w:val="0043234C"/>
    <w:rsid w:val="00434F21"/>
    <w:rsid w:val="00435744"/>
    <w:rsid w:val="00440D67"/>
    <w:rsid w:val="0044127D"/>
    <w:rsid w:val="00445945"/>
    <w:rsid w:val="0044708B"/>
    <w:rsid w:val="00451178"/>
    <w:rsid w:val="0045686C"/>
    <w:rsid w:val="00457308"/>
    <w:rsid w:val="0046050F"/>
    <w:rsid w:val="004650FA"/>
    <w:rsid w:val="00465DD8"/>
    <w:rsid w:val="00470798"/>
    <w:rsid w:val="004710F9"/>
    <w:rsid w:val="00472471"/>
    <w:rsid w:val="00472D3A"/>
    <w:rsid w:val="004769FD"/>
    <w:rsid w:val="00476B39"/>
    <w:rsid w:val="0047705D"/>
    <w:rsid w:val="0048283D"/>
    <w:rsid w:val="0048441F"/>
    <w:rsid w:val="00486654"/>
    <w:rsid w:val="004906C6"/>
    <w:rsid w:val="00490DFF"/>
    <w:rsid w:val="004918C4"/>
    <w:rsid w:val="004959DD"/>
    <w:rsid w:val="0049773C"/>
    <w:rsid w:val="00497FB5"/>
    <w:rsid w:val="004A0374"/>
    <w:rsid w:val="004A1709"/>
    <w:rsid w:val="004A3A4C"/>
    <w:rsid w:val="004A45B5"/>
    <w:rsid w:val="004B231D"/>
    <w:rsid w:val="004B5107"/>
    <w:rsid w:val="004C2519"/>
    <w:rsid w:val="004C3A62"/>
    <w:rsid w:val="004C5AE0"/>
    <w:rsid w:val="004C61BC"/>
    <w:rsid w:val="004C6FD9"/>
    <w:rsid w:val="004D0129"/>
    <w:rsid w:val="004D058A"/>
    <w:rsid w:val="004D47D6"/>
    <w:rsid w:val="004D631B"/>
    <w:rsid w:val="004E2FF4"/>
    <w:rsid w:val="004F035C"/>
    <w:rsid w:val="004F6F6F"/>
    <w:rsid w:val="00501F27"/>
    <w:rsid w:val="00502165"/>
    <w:rsid w:val="00505600"/>
    <w:rsid w:val="00506414"/>
    <w:rsid w:val="005072AF"/>
    <w:rsid w:val="00507F2D"/>
    <w:rsid w:val="00512E99"/>
    <w:rsid w:val="00514A5A"/>
    <w:rsid w:val="00520809"/>
    <w:rsid w:val="0052695D"/>
    <w:rsid w:val="00527B1C"/>
    <w:rsid w:val="00532461"/>
    <w:rsid w:val="0053296B"/>
    <w:rsid w:val="00533D31"/>
    <w:rsid w:val="0053582B"/>
    <w:rsid w:val="0053652D"/>
    <w:rsid w:val="00537407"/>
    <w:rsid w:val="00543DC4"/>
    <w:rsid w:val="005469FC"/>
    <w:rsid w:val="005720E5"/>
    <w:rsid w:val="00580DB3"/>
    <w:rsid w:val="00581D35"/>
    <w:rsid w:val="00585A42"/>
    <w:rsid w:val="005863EC"/>
    <w:rsid w:val="005927D0"/>
    <w:rsid w:val="005936EA"/>
    <w:rsid w:val="00593B68"/>
    <w:rsid w:val="00594CD2"/>
    <w:rsid w:val="005A64D5"/>
    <w:rsid w:val="005B23BA"/>
    <w:rsid w:val="005C12BC"/>
    <w:rsid w:val="005C3CB7"/>
    <w:rsid w:val="005C40E6"/>
    <w:rsid w:val="005C7C6C"/>
    <w:rsid w:val="005D0E14"/>
    <w:rsid w:val="005D119F"/>
    <w:rsid w:val="005D30C4"/>
    <w:rsid w:val="005E068D"/>
    <w:rsid w:val="005E2AF6"/>
    <w:rsid w:val="005E4B97"/>
    <w:rsid w:val="005E510F"/>
    <w:rsid w:val="005E55C1"/>
    <w:rsid w:val="005E73A1"/>
    <w:rsid w:val="005F0A78"/>
    <w:rsid w:val="005F48E7"/>
    <w:rsid w:val="00601994"/>
    <w:rsid w:val="00602A58"/>
    <w:rsid w:val="00603A2A"/>
    <w:rsid w:val="00604906"/>
    <w:rsid w:val="00607B0D"/>
    <w:rsid w:val="00613892"/>
    <w:rsid w:val="006146BE"/>
    <w:rsid w:val="0062224A"/>
    <w:rsid w:val="0062473A"/>
    <w:rsid w:val="00626C02"/>
    <w:rsid w:val="00631CC1"/>
    <w:rsid w:val="006409AC"/>
    <w:rsid w:val="00641CB8"/>
    <w:rsid w:val="00642E93"/>
    <w:rsid w:val="00645711"/>
    <w:rsid w:val="0064728A"/>
    <w:rsid w:val="00647BE2"/>
    <w:rsid w:val="006515A2"/>
    <w:rsid w:val="006519CA"/>
    <w:rsid w:val="00652176"/>
    <w:rsid w:val="00652B88"/>
    <w:rsid w:val="00660621"/>
    <w:rsid w:val="00661440"/>
    <w:rsid w:val="00663535"/>
    <w:rsid w:val="00664B94"/>
    <w:rsid w:val="00671B17"/>
    <w:rsid w:val="00672067"/>
    <w:rsid w:val="006721BF"/>
    <w:rsid w:val="006768A9"/>
    <w:rsid w:val="00683BF3"/>
    <w:rsid w:val="0068547B"/>
    <w:rsid w:val="00685865"/>
    <w:rsid w:val="006873B9"/>
    <w:rsid w:val="006944CF"/>
    <w:rsid w:val="0069751E"/>
    <w:rsid w:val="006A0B54"/>
    <w:rsid w:val="006A336C"/>
    <w:rsid w:val="006B7F62"/>
    <w:rsid w:val="006C0ABE"/>
    <w:rsid w:val="006C165E"/>
    <w:rsid w:val="006C282E"/>
    <w:rsid w:val="006C49F3"/>
    <w:rsid w:val="006C4ABA"/>
    <w:rsid w:val="006C6B43"/>
    <w:rsid w:val="006C74C9"/>
    <w:rsid w:val="006D0D67"/>
    <w:rsid w:val="006D2246"/>
    <w:rsid w:val="006D5710"/>
    <w:rsid w:val="006D7BC4"/>
    <w:rsid w:val="006E2D42"/>
    <w:rsid w:val="006E7CB8"/>
    <w:rsid w:val="006F378A"/>
    <w:rsid w:val="006F48A2"/>
    <w:rsid w:val="006F52A5"/>
    <w:rsid w:val="006F6038"/>
    <w:rsid w:val="006F6E7B"/>
    <w:rsid w:val="007000F8"/>
    <w:rsid w:val="007019A2"/>
    <w:rsid w:val="00702A0B"/>
    <w:rsid w:val="007033C5"/>
    <w:rsid w:val="00703676"/>
    <w:rsid w:val="00707304"/>
    <w:rsid w:val="00707D16"/>
    <w:rsid w:val="00711051"/>
    <w:rsid w:val="00711684"/>
    <w:rsid w:val="007146F2"/>
    <w:rsid w:val="00723545"/>
    <w:rsid w:val="00723C71"/>
    <w:rsid w:val="007250D1"/>
    <w:rsid w:val="00727F1A"/>
    <w:rsid w:val="00731676"/>
    <w:rsid w:val="007318FF"/>
    <w:rsid w:val="00732269"/>
    <w:rsid w:val="00733B53"/>
    <w:rsid w:val="0073572E"/>
    <w:rsid w:val="007459BC"/>
    <w:rsid w:val="00745F12"/>
    <w:rsid w:val="00747672"/>
    <w:rsid w:val="00747C70"/>
    <w:rsid w:val="00751640"/>
    <w:rsid w:val="00755274"/>
    <w:rsid w:val="007575CA"/>
    <w:rsid w:val="00760B1E"/>
    <w:rsid w:val="00760CC1"/>
    <w:rsid w:val="00763760"/>
    <w:rsid w:val="0076416A"/>
    <w:rsid w:val="00764F14"/>
    <w:rsid w:val="00774305"/>
    <w:rsid w:val="00775972"/>
    <w:rsid w:val="007768B5"/>
    <w:rsid w:val="007768EC"/>
    <w:rsid w:val="007818FD"/>
    <w:rsid w:val="00781E1E"/>
    <w:rsid w:val="00782698"/>
    <w:rsid w:val="00785718"/>
    <w:rsid w:val="0078588B"/>
    <w:rsid w:val="00785ABD"/>
    <w:rsid w:val="007862C8"/>
    <w:rsid w:val="00791EFC"/>
    <w:rsid w:val="00794CAE"/>
    <w:rsid w:val="00794DBD"/>
    <w:rsid w:val="0079516B"/>
    <w:rsid w:val="00797237"/>
    <w:rsid w:val="00797FCA"/>
    <w:rsid w:val="007A0933"/>
    <w:rsid w:val="007A0D35"/>
    <w:rsid w:val="007A1EFB"/>
    <w:rsid w:val="007A2DD4"/>
    <w:rsid w:val="007A500D"/>
    <w:rsid w:val="007A69F3"/>
    <w:rsid w:val="007B019A"/>
    <w:rsid w:val="007C2E19"/>
    <w:rsid w:val="007C726C"/>
    <w:rsid w:val="007D0183"/>
    <w:rsid w:val="007D0557"/>
    <w:rsid w:val="007D2F8F"/>
    <w:rsid w:val="007D32B5"/>
    <w:rsid w:val="007D38B5"/>
    <w:rsid w:val="007D6573"/>
    <w:rsid w:val="007D68A2"/>
    <w:rsid w:val="007E20FA"/>
    <w:rsid w:val="007E6D92"/>
    <w:rsid w:val="007E7EA0"/>
    <w:rsid w:val="007F4337"/>
    <w:rsid w:val="007F5C54"/>
    <w:rsid w:val="007F74B4"/>
    <w:rsid w:val="007F75DA"/>
    <w:rsid w:val="007F76AE"/>
    <w:rsid w:val="007F7D5C"/>
    <w:rsid w:val="008019D1"/>
    <w:rsid w:val="00801EF3"/>
    <w:rsid w:val="00803448"/>
    <w:rsid w:val="008036FD"/>
    <w:rsid w:val="00806F8E"/>
    <w:rsid w:val="00807255"/>
    <w:rsid w:val="00807903"/>
    <w:rsid w:val="0081023E"/>
    <w:rsid w:val="00810774"/>
    <w:rsid w:val="00813E0A"/>
    <w:rsid w:val="008147E8"/>
    <w:rsid w:val="00814A34"/>
    <w:rsid w:val="00814B4E"/>
    <w:rsid w:val="00815DF1"/>
    <w:rsid w:val="00816637"/>
    <w:rsid w:val="00816A42"/>
    <w:rsid w:val="008173AA"/>
    <w:rsid w:val="008222E3"/>
    <w:rsid w:val="008223C8"/>
    <w:rsid w:val="0082388F"/>
    <w:rsid w:val="00827FFA"/>
    <w:rsid w:val="00832C35"/>
    <w:rsid w:val="00836F49"/>
    <w:rsid w:val="00837173"/>
    <w:rsid w:val="00840A14"/>
    <w:rsid w:val="00844301"/>
    <w:rsid w:val="00845BBD"/>
    <w:rsid w:val="00845D78"/>
    <w:rsid w:val="008471CF"/>
    <w:rsid w:val="0085256B"/>
    <w:rsid w:val="00854238"/>
    <w:rsid w:val="008615B2"/>
    <w:rsid w:val="00864685"/>
    <w:rsid w:val="00864DBD"/>
    <w:rsid w:val="00867B58"/>
    <w:rsid w:val="0087033C"/>
    <w:rsid w:val="00873159"/>
    <w:rsid w:val="008734CD"/>
    <w:rsid w:val="00876CC4"/>
    <w:rsid w:val="00877969"/>
    <w:rsid w:val="00881896"/>
    <w:rsid w:val="00884635"/>
    <w:rsid w:val="0088477D"/>
    <w:rsid w:val="008949BA"/>
    <w:rsid w:val="008955E5"/>
    <w:rsid w:val="00896240"/>
    <w:rsid w:val="00896F77"/>
    <w:rsid w:val="00897A95"/>
    <w:rsid w:val="008A0CF2"/>
    <w:rsid w:val="008A167C"/>
    <w:rsid w:val="008A345F"/>
    <w:rsid w:val="008A429D"/>
    <w:rsid w:val="008A43EC"/>
    <w:rsid w:val="008A4BF2"/>
    <w:rsid w:val="008A6001"/>
    <w:rsid w:val="008A755F"/>
    <w:rsid w:val="008B2CA3"/>
    <w:rsid w:val="008B62B4"/>
    <w:rsid w:val="008C2207"/>
    <w:rsid w:val="008C5671"/>
    <w:rsid w:val="008C6BFD"/>
    <w:rsid w:val="008D2535"/>
    <w:rsid w:val="008D2D7B"/>
    <w:rsid w:val="008D3735"/>
    <w:rsid w:val="008D4C67"/>
    <w:rsid w:val="008D57A0"/>
    <w:rsid w:val="008E0737"/>
    <w:rsid w:val="008E0CE1"/>
    <w:rsid w:val="008E0D91"/>
    <w:rsid w:val="008E501A"/>
    <w:rsid w:val="008F0529"/>
    <w:rsid w:val="008F132E"/>
    <w:rsid w:val="008F7C2C"/>
    <w:rsid w:val="00900712"/>
    <w:rsid w:val="00900E8D"/>
    <w:rsid w:val="00900F70"/>
    <w:rsid w:val="00914ADA"/>
    <w:rsid w:val="00921340"/>
    <w:rsid w:val="00922DFC"/>
    <w:rsid w:val="00923084"/>
    <w:rsid w:val="00923FC1"/>
    <w:rsid w:val="00926B9A"/>
    <w:rsid w:val="00927F98"/>
    <w:rsid w:val="00932787"/>
    <w:rsid w:val="00932C2E"/>
    <w:rsid w:val="0093497F"/>
    <w:rsid w:val="0093742D"/>
    <w:rsid w:val="00940E96"/>
    <w:rsid w:val="009500A4"/>
    <w:rsid w:val="0095194A"/>
    <w:rsid w:val="009541AB"/>
    <w:rsid w:val="00961CB0"/>
    <w:rsid w:val="00963213"/>
    <w:rsid w:val="0096371F"/>
    <w:rsid w:val="00966D63"/>
    <w:rsid w:val="00971428"/>
    <w:rsid w:val="00972F69"/>
    <w:rsid w:val="00973BF2"/>
    <w:rsid w:val="00975F68"/>
    <w:rsid w:val="00982753"/>
    <w:rsid w:val="00984883"/>
    <w:rsid w:val="00986193"/>
    <w:rsid w:val="009868BC"/>
    <w:rsid w:val="00986B36"/>
    <w:rsid w:val="00997146"/>
    <w:rsid w:val="009977B5"/>
    <w:rsid w:val="00997DB7"/>
    <w:rsid w:val="009A188D"/>
    <w:rsid w:val="009A2D5F"/>
    <w:rsid w:val="009A3F50"/>
    <w:rsid w:val="009A40EB"/>
    <w:rsid w:val="009A79B8"/>
    <w:rsid w:val="009B0BAE"/>
    <w:rsid w:val="009B0C78"/>
    <w:rsid w:val="009B3054"/>
    <w:rsid w:val="009B4752"/>
    <w:rsid w:val="009C1C89"/>
    <w:rsid w:val="009C3BA2"/>
    <w:rsid w:val="009C6A7E"/>
    <w:rsid w:val="009C73D3"/>
    <w:rsid w:val="009C7AEB"/>
    <w:rsid w:val="009D05C0"/>
    <w:rsid w:val="009D1C26"/>
    <w:rsid w:val="009D2828"/>
    <w:rsid w:val="009D4656"/>
    <w:rsid w:val="009D4D5F"/>
    <w:rsid w:val="009D58EF"/>
    <w:rsid w:val="009D5985"/>
    <w:rsid w:val="009D7440"/>
    <w:rsid w:val="009D7E8D"/>
    <w:rsid w:val="009D7EC7"/>
    <w:rsid w:val="009E2053"/>
    <w:rsid w:val="009E4177"/>
    <w:rsid w:val="009F3448"/>
    <w:rsid w:val="009F4EB5"/>
    <w:rsid w:val="009F5A54"/>
    <w:rsid w:val="009F79D9"/>
    <w:rsid w:val="009F7B5A"/>
    <w:rsid w:val="00A01591"/>
    <w:rsid w:val="00A015E0"/>
    <w:rsid w:val="00A03380"/>
    <w:rsid w:val="00A03ECC"/>
    <w:rsid w:val="00A11498"/>
    <w:rsid w:val="00A1175B"/>
    <w:rsid w:val="00A11CC0"/>
    <w:rsid w:val="00A121F3"/>
    <w:rsid w:val="00A15317"/>
    <w:rsid w:val="00A24446"/>
    <w:rsid w:val="00A27823"/>
    <w:rsid w:val="00A322AD"/>
    <w:rsid w:val="00A36869"/>
    <w:rsid w:val="00A41899"/>
    <w:rsid w:val="00A43167"/>
    <w:rsid w:val="00A43FF8"/>
    <w:rsid w:val="00A454BC"/>
    <w:rsid w:val="00A55411"/>
    <w:rsid w:val="00A5736C"/>
    <w:rsid w:val="00A62171"/>
    <w:rsid w:val="00A62AC7"/>
    <w:rsid w:val="00A63A51"/>
    <w:rsid w:val="00A66058"/>
    <w:rsid w:val="00A70A45"/>
    <w:rsid w:val="00A71773"/>
    <w:rsid w:val="00A74B01"/>
    <w:rsid w:val="00A8140C"/>
    <w:rsid w:val="00A85079"/>
    <w:rsid w:val="00A85F84"/>
    <w:rsid w:val="00A86702"/>
    <w:rsid w:val="00A86984"/>
    <w:rsid w:val="00A90C26"/>
    <w:rsid w:val="00A90D52"/>
    <w:rsid w:val="00A94565"/>
    <w:rsid w:val="00A955B9"/>
    <w:rsid w:val="00AA04E7"/>
    <w:rsid w:val="00AA28A2"/>
    <w:rsid w:val="00AA56F0"/>
    <w:rsid w:val="00AB025C"/>
    <w:rsid w:val="00AB03B2"/>
    <w:rsid w:val="00AB6607"/>
    <w:rsid w:val="00AB7820"/>
    <w:rsid w:val="00AC1C78"/>
    <w:rsid w:val="00AC1D1A"/>
    <w:rsid w:val="00AC3412"/>
    <w:rsid w:val="00AC5300"/>
    <w:rsid w:val="00AC7A50"/>
    <w:rsid w:val="00AE0205"/>
    <w:rsid w:val="00AE1539"/>
    <w:rsid w:val="00AE2C85"/>
    <w:rsid w:val="00AE4008"/>
    <w:rsid w:val="00AF2C1C"/>
    <w:rsid w:val="00AF5AEC"/>
    <w:rsid w:val="00B074A8"/>
    <w:rsid w:val="00B12A37"/>
    <w:rsid w:val="00B1592C"/>
    <w:rsid w:val="00B15EB8"/>
    <w:rsid w:val="00B17784"/>
    <w:rsid w:val="00B232F0"/>
    <w:rsid w:val="00B233DA"/>
    <w:rsid w:val="00B27F4A"/>
    <w:rsid w:val="00B31937"/>
    <w:rsid w:val="00B32EF2"/>
    <w:rsid w:val="00B33586"/>
    <w:rsid w:val="00B33732"/>
    <w:rsid w:val="00B337A0"/>
    <w:rsid w:val="00B35524"/>
    <w:rsid w:val="00B36586"/>
    <w:rsid w:val="00B41CF0"/>
    <w:rsid w:val="00B4359D"/>
    <w:rsid w:val="00B43E33"/>
    <w:rsid w:val="00B5044F"/>
    <w:rsid w:val="00B51887"/>
    <w:rsid w:val="00B57C7D"/>
    <w:rsid w:val="00B61966"/>
    <w:rsid w:val="00B636C6"/>
    <w:rsid w:val="00B63EF2"/>
    <w:rsid w:val="00B65629"/>
    <w:rsid w:val="00B67AF8"/>
    <w:rsid w:val="00B70094"/>
    <w:rsid w:val="00B7782B"/>
    <w:rsid w:val="00B81446"/>
    <w:rsid w:val="00B814A2"/>
    <w:rsid w:val="00B851F2"/>
    <w:rsid w:val="00B85B77"/>
    <w:rsid w:val="00B85E0F"/>
    <w:rsid w:val="00B91CBC"/>
    <w:rsid w:val="00B927F3"/>
    <w:rsid w:val="00B9600D"/>
    <w:rsid w:val="00B96E17"/>
    <w:rsid w:val="00B974A5"/>
    <w:rsid w:val="00BA3238"/>
    <w:rsid w:val="00BA43EE"/>
    <w:rsid w:val="00BA5489"/>
    <w:rsid w:val="00BB2A66"/>
    <w:rsid w:val="00BB2FB1"/>
    <w:rsid w:val="00BB34D5"/>
    <w:rsid w:val="00BB3975"/>
    <w:rsid w:val="00BC0D39"/>
    <w:rsid w:val="00BC1588"/>
    <w:rsid w:val="00BC34E5"/>
    <w:rsid w:val="00BC4173"/>
    <w:rsid w:val="00BC7BC0"/>
    <w:rsid w:val="00BD0675"/>
    <w:rsid w:val="00BD2949"/>
    <w:rsid w:val="00BD57B7"/>
    <w:rsid w:val="00BE0AA0"/>
    <w:rsid w:val="00BE2024"/>
    <w:rsid w:val="00BE5C51"/>
    <w:rsid w:val="00BE63E2"/>
    <w:rsid w:val="00BE72A6"/>
    <w:rsid w:val="00BE74BF"/>
    <w:rsid w:val="00BF022C"/>
    <w:rsid w:val="00BF0568"/>
    <w:rsid w:val="00BF0EB9"/>
    <w:rsid w:val="00BF1ABE"/>
    <w:rsid w:val="00C02CE3"/>
    <w:rsid w:val="00C03E44"/>
    <w:rsid w:val="00C0429B"/>
    <w:rsid w:val="00C05CE0"/>
    <w:rsid w:val="00C06639"/>
    <w:rsid w:val="00C12762"/>
    <w:rsid w:val="00C13C32"/>
    <w:rsid w:val="00C15247"/>
    <w:rsid w:val="00C161F0"/>
    <w:rsid w:val="00C201B7"/>
    <w:rsid w:val="00C22A4B"/>
    <w:rsid w:val="00C22D4A"/>
    <w:rsid w:val="00C27CF1"/>
    <w:rsid w:val="00C362D3"/>
    <w:rsid w:val="00C4153E"/>
    <w:rsid w:val="00C50A7F"/>
    <w:rsid w:val="00C55587"/>
    <w:rsid w:val="00C6084D"/>
    <w:rsid w:val="00C61957"/>
    <w:rsid w:val="00C62EF1"/>
    <w:rsid w:val="00C64A0D"/>
    <w:rsid w:val="00C64E05"/>
    <w:rsid w:val="00C679B5"/>
    <w:rsid w:val="00C714C3"/>
    <w:rsid w:val="00C72683"/>
    <w:rsid w:val="00C7534A"/>
    <w:rsid w:val="00C803E4"/>
    <w:rsid w:val="00C80865"/>
    <w:rsid w:val="00C824F5"/>
    <w:rsid w:val="00C839F4"/>
    <w:rsid w:val="00C840B1"/>
    <w:rsid w:val="00C85ED6"/>
    <w:rsid w:val="00C906C1"/>
    <w:rsid w:val="00C9081B"/>
    <w:rsid w:val="00C911D2"/>
    <w:rsid w:val="00C920F8"/>
    <w:rsid w:val="00C9565C"/>
    <w:rsid w:val="00C973D7"/>
    <w:rsid w:val="00C97C88"/>
    <w:rsid w:val="00CA4CB4"/>
    <w:rsid w:val="00CB21CC"/>
    <w:rsid w:val="00CB46D4"/>
    <w:rsid w:val="00CB4A08"/>
    <w:rsid w:val="00CC03B3"/>
    <w:rsid w:val="00CC1C01"/>
    <w:rsid w:val="00CC5408"/>
    <w:rsid w:val="00CC5CF1"/>
    <w:rsid w:val="00CC697F"/>
    <w:rsid w:val="00CD145B"/>
    <w:rsid w:val="00CD2009"/>
    <w:rsid w:val="00CD5CD6"/>
    <w:rsid w:val="00CD5E77"/>
    <w:rsid w:val="00CD7653"/>
    <w:rsid w:val="00CE2A10"/>
    <w:rsid w:val="00CE6CA2"/>
    <w:rsid w:val="00CF629C"/>
    <w:rsid w:val="00CF7387"/>
    <w:rsid w:val="00D02968"/>
    <w:rsid w:val="00D03B21"/>
    <w:rsid w:val="00D05C16"/>
    <w:rsid w:val="00D06CE1"/>
    <w:rsid w:val="00D07269"/>
    <w:rsid w:val="00D1004B"/>
    <w:rsid w:val="00D11DDE"/>
    <w:rsid w:val="00D123FA"/>
    <w:rsid w:val="00D129A3"/>
    <w:rsid w:val="00D13944"/>
    <w:rsid w:val="00D16F3F"/>
    <w:rsid w:val="00D222D4"/>
    <w:rsid w:val="00D224F1"/>
    <w:rsid w:val="00D23D07"/>
    <w:rsid w:val="00D279DD"/>
    <w:rsid w:val="00D349E8"/>
    <w:rsid w:val="00D36ADD"/>
    <w:rsid w:val="00D37E4C"/>
    <w:rsid w:val="00D42A4A"/>
    <w:rsid w:val="00D44333"/>
    <w:rsid w:val="00D44385"/>
    <w:rsid w:val="00D469A1"/>
    <w:rsid w:val="00D561FF"/>
    <w:rsid w:val="00D569F4"/>
    <w:rsid w:val="00D57A23"/>
    <w:rsid w:val="00D60C97"/>
    <w:rsid w:val="00D615F5"/>
    <w:rsid w:val="00D617D8"/>
    <w:rsid w:val="00D64ACE"/>
    <w:rsid w:val="00D70B3B"/>
    <w:rsid w:val="00D75475"/>
    <w:rsid w:val="00D77399"/>
    <w:rsid w:val="00D77EBA"/>
    <w:rsid w:val="00D82879"/>
    <w:rsid w:val="00D831F9"/>
    <w:rsid w:val="00D8394D"/>
    <w:rsid w:val="00D92EEA"/>
    <w:rsid w:val="00D94570"/>
    <w:rsid w:val="00D95B02"/>
    <w:rsid w:val="00DA3214"/>
    <w:rsid w:val="00DA506F"/>
    <w:rsid w:val="00DA5D4E"/>
    <w:rsid w:val="00DB06C1"/>
    <w:rsid w:val="00DB19D3"/>
    <w:rsid w:val="00DB4C3D"/>
    <w:rsid w:val="00DB5C71"/>
    <w:rsid w:val="00DC2486"/>
    <w:rsid w:val="00DC53A0"/>
    <w:rsid w:val="00DC5F7A"/>
    <w:rsid w:val="00DD258C"/>
    <w:rsid w:val="00DD2F66"/>
    <w:rsid w:val="00DD3B4D"/>
    <w:rsid w:val="00DD4E65"/>
    <w:rsid w:val="00DD756D"/>
    <w:rsid w:val="00DE276D"/>
    <w:rsid w:val="00DE2B96"/>
    <w:rsid w:val="00DE6008"/>
    <w:rsid w:val="00DE785B"/>
    <w:rsid w:val="00DF0AF7"/>
    <w:rsid w:val="00DF370F"/>
    <w:rsid w:val="00DF3EF1"/>
    <w:rsid w:val="00E039D4"/>
    <w:rsid w:val="00E03C58"/>
    <w:rsid w:val="00E04A56"/>
    <w:rsid w:val="00E056CA"/>
    <w:rsid w:val="00E0746E"/>
    <w:rsid w:val="00E119BB"/>
    <w:rsid w:val="00E1238C"/>
    <w:rsid w:val="00E12E53"/>
    <w:rsid w:val="00E12EE1"/>
    <w:rsid w:val="00E1597C"/>
    <w:rsid w:val="00E176BA"/>
    <w:rsid w:val="00E202AE"/>
    <w:rsid w:val="00E26C91"/>
    <w:rsid w:val="00E301AB"/>
    <w:rsid w:val="00E30AA6"/>
    <w:rsid w:val="00E320AD"/>
    <w:rsid w:val="00E35ED0"/>
    <w:rsid w:val="00E41011"/>
    <w:rsid w:val="00E41E1A"/>
    <w:rsid w:val="00E423EC"/>
    <w:rsid w:val="00E44D03"/>
    <w:rsid w:val="00E453AD"/>
    <w:rsid w:val="00E52DDC"/>
    <w:rsid w:val="00E55121"/>
    <w:rsid w:val="00E56941"/>
    <w:rsid w:val="00E56EE2"/>
    <w:rsid w:val="00E60D60"/>
    <w:rsid w:val="00E60E00"/>
    <w:rsid w:val="00E61C8D"/>
    <w:rsid w:val="00E61E24"/>
    <w:rsid w:val="00E64537"/>
    <w:rsid w:val="00E65779"/>
    <w:rsid w:val="00E70B85"/>
    <w:rsid w:val="00E713E9"/>
    <w:rsid w:val="00E73B68"/>
    <w:rsid w:val="00E74E83"/>
    <w:rsid w:val="00E752B4"/>
    <w:rsid w:val="00E80E29"/>
    <w:rsid w:val="00E81513"/>
    <w:rsid w:val="00E81EA9"/>
    <w:rsid w:val="00E82203"/>
    <w:rsid w:val="00E831EC"/>
    <w:rsid w:val="00E841A8"/>
    <w:rsid w:val="00E85CBD"/>
    <w:rsid w:val="00E85E52"/>
    <w:rsid w:val="00E875F2"/>
    <w:rsid w:val="00E91704"/>
    <w:rsid w:val="00E91C2A"/>
    <w:rsid w:val="00E92087"/>
    <w:rsid w:val="00E9633B"/>
    <w:rsid w:val="00EA1467"/>
    <w:rsid w:val="00EA1C12"/>
    <w:rsid w:val="00EA34CE"/>
    <w:rsid w:val="00EA4D3C"/>
    <w:rsid w:val="00EA5C62"/>
    <w:rsid w:val="00EA6660"/>
    <w:rsid w:val="00EA66B3"/>
    <w:rsid w:val="00EA751C"/>
    <w:rsid w:val="00EB0F06"/>
    <w:rsid w:val="00EB19EB"/>
    <w:rsid w:val="00EB2730"/>
    <w:rsid w:val="00EB4733"/>
    <w:rsid w:val="00EB4FCB"/>
    <w:rsid w:val="00EB6289"/>
    <w:rsid w:val="00EB6C45"/>
    <w:rsid w:val="00EB762B"/>
    <w:rsid w:val="00EC0D28"/>
    <w:rsid w:val="00EC26C4"/>
    <w:rsid w:val="00EC3203"/>
    <w:rsid w:val="00EC36D8"/>
    <w:rsid w:val="00EC5D1B"/>
    <w:rsid w:val="00EC6BC5"/>
    <w:rsid w:val="00ED1FD8"/>
    <w:rsid w:val="00ED4103"/>
    <w:rsid w:val="00ED4844"/>
    <w:rsid w:val="00ED4B6F"/>
    <w:rsid w:val="00ED5449"/>
    <w:rsid w:val="00EF10FB"/>
    <w:rsid w:val="00EF2027"/>
    <w:rsid w:val="00EF3C91"/>
    <w:rsid w:val="00F014AA"/>
    <w:rsid w:val="00F05830"/>
    <w:rsid w:val="00F06101"/>
    <w:rsid w:val="00F114F9"/>
    <w:rsid w:val="00F13437"/>
    <w:rsid w:val="00F152A6"/>
    <w:rsid w:val="00F15B7B"/>
    <w:rsid w:val="00F16859"/>
    <w:rsid w:val="00F17002"/>
    <w:rsid w:val="00F223F6"/>
    <w:rsid w:val="00F26B09"/>
    <w:rsid w:val="00F26B23"/>
    <w:rsid w:val="00F26E9F"/>
    <w:rsid w:val="00F30758"/>
    <w:rsid w:val="00F320DC"/>
    <w:rsid w:val="00F33134"/>
    <w:rsid w:val="00F33E18"/>
    <w:rsid w:val="00F34A14"/>
    <w:rsid w:val="00F35898"/>
    <w:rsid w:val="00F43B11"/>
    <w:rsid w:val="00F45E8F"/>
    <w:rsid w:val="00F46FF2"/>
    <w:rsid w:val="00F47360"/>
    <w:rsid w:val="00F5225B"/>
    <w:rsid w:val="00F52D52"/>
    <w:rsid w:val="00F53CFE"/>
    <w:rsid w:val="00F543AF"/>
    <w:rsid w:val="00F54D87"/>
    <w:rsid w:val="00F56CFA"/>
    <w:rsid w:val="00F605BC"/>
    <w:rsid w:val="00F6353A"/>
    <w:rsid w:val="00F6487D"/>
    <w:rsid w:val="00F703CC"/>
    <w:rsid w:val="00F70D1D"/>
    <w:rsid w:val="00F7347B"/>
    <w:rsid w:val="00F762E4"/>
    <w:rsid w:val="00F7689A"/>
    <w:rsid w:val="00F80273"/>
    <w:rsid w:val="00F83F2B"/>
    <w:rsid w:val="00F90211"/>
    <w:rsid w:val="00F90C3E"/>
    <w:rsid w:val="00F9355A"/>
    <w:rsid w:val="00F93C44"/>
    <w:rsid w:val="00F961E3"/>
    <w:rsid w:val="00F97822"/>
    <w:rsid w:val="00FA11DC"/>
    <w:rsid w:val="00FA27DB"/>
    <w:rsid w:val="00FA2ABF"/>
    <w:rsid w:val="00FA3D3B"/>
    <w:rsid w:val="00FA6B94"/>
    <w:rsid w:val="00FB0CF0"/>
    <w:rsid w:val="00FB3B43"/>
    <w:rsid w:val="00FB4070"/>
    <w:rsid w:val="00FC00F2"/>
    <w:rsid w:val="00FC6F2B"/>
    <w:rsid w:val="00FD00D1"/>
    <w:rsid w:val="00FD02CD"/>
    <w:rsid w:val="00FD2AC1"/>
    <w:rsid w:val="00FE2410"/>
    <w:rsid w:val="00FE5701"/>
    <w:rsid w:val="00FE7B4F"/>
    <w:rsid w:val="00FF14F4"/>
    <w:rsid w:val="00FF44A2"/>
    <w:rsid w:val="00FF4571"/>
    <w:rsid w:val="00FF6536"/>
    <w:rsid w:val="00FF6FC9"/>
    <w:rsid w:val="00FF747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8F3B868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2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4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7142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428"/>
    <w:rPr>
      <w:rFonts w:ascii="Calibri" w:hAnsi="Calibri"/>
      <w:b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5331C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23C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1428"/>
    <w:rPr>
      <w:rFonts w:ascii="Calibri" w:hAnsi="Calibri"/>
      <w:lang w:val="en-GB" w:eastAsia="en-US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71428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Normalnumbered">
    <w:name w:val="Normal (numbered)"/>
    <w:basedOn w:val="ListParagraph"/>
    <w:link w:val="NormalnumberedChar"/>
    <w:qFormat/>
    <w:rsid w:val="00F703CC"/>
    <w:p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/>
      <w:contextualSpacing w:val="0"/>
      <w:jc w:val="both"/>
    </w:pPr>
    <w:rPr>
      <w:rFonts w:asciiTheme="minorHAnsi" w:hAnsiTheme="minorHAns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03CC"/>
    <w:pPr>
      <w:ind w:left="720"/>
      <w:contextualSpacing/>
    </w:pPr>
  </w:style>
  <w:style w:type="character" w:customStyle="1" w:styleId="NormalnumberedChar">
    <w:name w:val="Normal (numbered) Char"/>
    <w:basedOn w:val="DefaultParagraphFont"/>
    <w:link w:val="Normalnumbered"/>
    <w:rsid w:val="00F703CC"/>
    <w:rPr>
      <w:rFonts w:asciiTheme="minorHAnsi" w:hAnsiTheme="minorHAnsi"/>
      <w:sz w:val="24"/>
      <w:szCs w:val="24"/>
      <w:lang w:val="en-GB" w:eastAsia="en-US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714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character" w:customStyle="1" w:styleId="AnnexNoChar">
    <w:name w:val="Annex_No Char"/>
    <w:basedOn w:val="DefaultParagraphFont"/>
    <w:link w:val="AnnexNo"/>
    <w:rsid w:val="00971428"/>
    <w:rPr>
      <w:rFonts w:ascii="Calibri" w:hAnsi="Calibri"/>
      <w:caps/>
      <w:sz w:val="26"/>
      <w:lang w:val="en-GB" w:eastAsia="en-US"/>
    </w:r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Headingi">
    <w:name w:val="Heading_i"/>
    <w:basedOn w:val="Heading3"/>
    <w:next w:val="Normal"/>
    <w:rsid w:val="0097142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8"/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2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28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14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2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9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97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71428"/>
    <w:rPr>
      <w:rFonts w:ascii="Calibri" w:hAnsi="Calibri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Char1">
    <w:name w:val="Body Tex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ind w:left="397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IndentChar1">
    <w:name w:val="Body Text Inden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</w:pPr>
    <w:rPr>
      <w:rFonts w:asciiTheme="minorHAnsi" w:hAnsiTheme="minorHAnsi"/>
      <w:b/>
      <w:bCs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971428"/>
    <w:rPr>
      <w:rFonts w:asciiTheme="minorHAnsi" w:hAnsiTheme="minorHAnsi"/>
      <w:b/>
      <w:bCs/>
      <w:kern w:val="28"/>
      <w:sz w:val="52"/>
      <w:szCs w:val="52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971428"/>
    <w:rPr>
      <w:rFonts w:asciiTheme="minorHAnsi" w:hAnsiTheme="minorHAnsi"/>
      <w:b/>
      <w:bCs/>
      <w:color w:val="008080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bCs/>
      <w:color w:val="008080"/>
      <w:szCs w:val="24"/>
      <w:lang w:eastAsia="en-GB"/>
    </w:rPr>
  </w:style>
  <w:style w:type="character" w:customStyle="1" w:styleId="SignatureChar1">
    <w:name w:val="Signature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1428"/>
    <w:rPr>
      <w:rFonts w:ascii="Arial" w:hAnsi="Arial" w:cs="Arial"/>
      <w:b/>
      <w:bCs/>
      <w:lang w:val="en-GB" w:eastAsia="en-GB"/>
    </w:rPr>
  </w:style>
  <w:style w:type="paragraph" w:styleId="BodyText2">
    <w:name w:val="Body Text 2"/>
    <w:basedOn w:val="Normal"/>
    <w:link w:val="BodyText2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bCs/>
      <w:sz w:val="20"/>
      <w:lang w:eastAsia="en-GB"/>
    </w:rPr>
  </w:style>
  <w:style w:type="character" w:customStyle="1" w:styleId="BodyText2Char1">
    <w:name w:val="Body Text 2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Cs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971428"/>
    <w:rPr>
      <w:rFonts w:asciiTheme="minorHAnsi" w:hAnsiTheme="minorHAnsi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076ED"/>
    <w:rPr>
      <w:rFonts w:ascii="Calibri" w:hAnsi="Calibr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3076ED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4844"/>
    <w:rPr>
      <w:rFonts w:ascii="Calibri" w:hAnsi="Calibri"/>
      <w:b/>
      <w:sz w:val="26"/>
      <w:lang w:val="ru-RU" w:eastAsia="en-US"/>
    </w:rPr>
  </w:style>
  <w:style w:type="paragraph" w:customStyle="1" w:styleId="TextA">
    <w:name w:val="Text A"/>
    <w:rsid w:val="00B974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E831EC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character" w:customStyle="1" w:styleId="Hyperlink0">
    <w:name w:val="Hyperlink.0"/>
    <w:basedOn w:val="DefaultParagraphFont"/>
    <w:rsid w:val="00E831EC"/>
    <w:rPr>
      <w:color w:val="0000FF"/>
      <w:u w:val="single" w:color="0000FF"/>
    </w:rPr>
  </w:style>
  <w:style w:type="paragraph" w:customStyle="1" w:styleId="NumberedHeading">
    <w:name w:val="Numbered Heading"/>
    <w:link w:val="NumberedHeadingChar"/>
    <w:qFormat/>
    <w:rsid w:val="001F0BB0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1F0BB0"/>
    <w:pPr>
      <w:numPr>
        <w:numId w:val="1"/>
      </w:numPr>
    </w:pPr>
  </w:style>
  <w:style w:type="numbering" w:customStyle="1" w:styleId="Punkte">
    <w:name w:val="Punkte"/>
    <w:rsid w:val="001F0BB0"/>
    <w:pPr>
      <w:numPr>
        <w:numId w:val="2"/>
      </w:numPr>
    </w:pPr>
  </w:style>
  <w:style w:type="numbering" w:customStyle="1" w:styleId="ImportierterStil2">
    <w:name w:val="Importierter Stil: 2"/>
    <w:rsid w:val="005936EA"/>
    <w:pPr>
      <w:numPr>
        <w:numId w:val="3"/>
      </w:numPr>
    </w:pPr>
  </w:style>
  <w:style w:type="character" w:customStyle="1" w:styleId="NumberedHeadingChar">
    <w:name w:val="Numbered Heading Char"/>
    <w:basedOn w:val="NormalnumberedChar"/>
    <w:link w:val="NumberedHeading"/>
    <w:rsid w:val="005936EA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414"/>
    <w:rPr>
      <w:color w:val="605E5C"/>
      <w:shd w:val="clear" w:color="auto" w:fill="E1DFDD"/>
    </w:rPr>
  </w:style>
  <w:style w:type="paragraph" w:customStyle="1" w:styleId="Default">
    <w:name w:val="Default"/>
    <w:rsid w:val="00CE2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6607"/>
    <w:rPr>
      <w:color w:val="605E5C"/>
      <w:shd w:val="clear" w:color="auto" w:fill="E1DFDD"/>
    </w:rPr>
  </w:style>
  <w:style w:type="character" w:customStyle="1" w:styleId="Ohne">
    <w:name w:val="Ohne"/>
    <w:rsid w:val="00BB34D5"/>
  </w:style>
  <w:style w:type="character" w:customStyle="1" w:styleId="Sectiontitle0">
    <w:name w:val="Section title"/>
    <w:basedOn w:val="Ohne"/>
    <w:rsid w:val="00497FB5"/>
    <w:rPr>
      <w:b/>
      <w:bCs/>
      <w:caps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4-CL-C-0022/en" TargetMode="External"/><Relationship Id="rId18" Type="http://schemas.openxmlformats.org/officeDocument/2006/relationships/hyperlink" Target="https://www.itu.int/md/S19-CL-C-0022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22-CL-C-002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yperlink" Target="https://www.itu.int/md/S18-CL-C-002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22/en" TargetMode="External"/><Relationship Id="rId20" Type="http://schemas.openxmlformats.org/officeDocument/2006/relationships/hyperlink" Target="https://www.itu.int/md/S21-CL-C-0022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22/fr" TargetMode="External"/><Relationship Id="rId23" Type="http://schemas.openxmlformats.org/officeDocument/2006/relationships/hyperlink" Target="http://www.itu.int/imac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md/S19-CL-C-0132/en" TargetMode="External"/><Relationship Id="rId19" Type="http://schemas.openxmlformats.org/officeDocument/2006/relationships/hyperlink" Target="https://www.itu.int/md/S20-CL-C-0022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R.pdf" TargetMode="External"/><Relationship Id="rId14" Type="http://schemas.openxmlformats.org/officeDocument/2006/relationships/hyperlink" Target="http://www.itu.int/md/S15-CL-C-0022/en" TargetMode="External"/><Relationship Id="rId22" Type="http://schemas.openxmlformats.org/officeDocument/2006/relationships/hyperlink" Target="https://www.itu.int/en/council/Pages/imac.aspx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2123-E3DC-4F13-B94E-DB4BBEA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11</Pages>
  <Words>3133</Words>
  <Characters>22303</Characters>
  <Application>Microsoft Office Word</Application>
  <DocSecurity>4</DocSecurity>
  <Lines>185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Tenth annual report of the Independent Management Advisory Committee (IMAC)</vt:lpstr>
      <vt:lpstr>НАЗВАНИЕ</vt:lpstr>
    </vt:vector>
  </TitlesOfParts>
  <Manager>General Secretariat - Pool</Manager>
  <Company>International Telecommunication Union (ITU)</Company>
  <LinksUpToDate>false</LinksUpToDate>
  <CharactersWithSpaces>25386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Tenth annual report of the Independent Management Advisory Committee (IMAC)</dc:title>
  <dc:subject>Council 2021, Virtual consultation of councillors</dc:subject>
  <dc:creator>Fedosova, Elena</dc:creator>
  <cp:keywords>C2021, C21, VCC, C21-VCC-1</cp:keywords>
  <dc:description/>
  <cp:lastModifiedBy>Svechnikov, Andrey</cp:lastModifiedBy>
  <cp:revision>2</cp:revision>
  <cp:lastPrinted>2018-04-19T21:08:00Z</cp:lastPrinted>
  <dcterms:created xsi:type="dcterms:W3CDTF">2022-09-23T15:51:00Z</dcterms:created>
  <dcterms:modified xsi:type="dcterms:W3CDTF">2022-09-23T15:51:00Z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