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1EA844C" w:rsidR="002A2188" w:rsidRPr="0019332A" w:rsidRDefault="002A2188" w:rsidP="00B84B9D">
            <w:pPr>
              <w:spacing w:before="360" w:after="48" w:line="240" w:lineRule="atLeast"/>
              <w:rPr>
                <w:b/>
                <w:bCs/>
                <w:position w:val="6"/>
                <w:sz w:val="26"/>
                <w:szCs w:val="26"/>
                <w:highlight w:val="yellow"/>
                <w:lang w:val="en-US"/>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9332A" w:rsidRPr="00A4087A">
              <w:rPr>
                <w:b/>
                <w:bCs/>
                <w:position w:val="6"/>
                <w:sz w:val="26"/>
                <w:szCs w:val="26"/>
                <w:lang w:val="en-US"/>
              </w:rPr>
              <w:t>Final Session, Bucharest</w:t>
            </w:r>
            <w:r w:rsidR="0014634F" w:rsidRPr="00A4087A">
              <w:rPr>
                <w:b/>
                <w:bCs/>
                <w:position w:val="6"/>
                <w:sz w:val="26"/>
                <w:szCs w:val="26"/>
                <w:lang w:val="en-US"/>
              </w:rPr>
              <w:t xml:space="preserve">, </w:t>
            </w:r>
            <w:r w:rsidR="0019332A" w:rsidRPr="00A4087A">
              <w:rPr>
                <w:b/>
                <w:bCs/>
                <w:position w:val="6"/>
                <w:sz w:val="26"/>
                <w:szCs w:val="26"/>
                <w:lang w:val="en-US"/>
              </w:rPr>
              <w:t>24 September</w:t>
            </w:r>
            <w:r w:rsidR="0014634F" w:rsidRPr="00A4087A">
              <w:rPr>
                <w:b/>
                <w:bCs/>
                <w:position w:val="6"/>
                <w:sz w:val="26"/>
                <w:szCs w:val="26"/>
                <w:lang w:val="en-US"/>
              </w:rPr>
              <w:t xml:space="preserve">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E872BF" w14:paraId="15B0AE9E" w14:textId="77777777" w:rsidTr="00464B6C">
        <w:trPr>
          <w:cantSplit/>
          <w:trHeight w:val="23"/>
        </w:trPr>
        <w:tc>
          <w:tcPr>
            <w:tcW w:w="6911" w:type="dxa"/>
            <w:vMerge w:val="restart"/>
          </w:tcPr>
          <w:p w14:paraId="6F107B8A" w14:textId="3A6866D2"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662EE2">
              <w:rPr>
                <w:b/>
              </w:rPr>
              <w:t xml:space="preserve"> </w:t>
            </w:r>
            <w:r w:rsidR="006460C7">
              <w:rPr>
                <w:b/>
              </w:rPr>
              <w:t>6</w:t>
            </w:r>
          </w:p>
        </w:tc>
        <w:tc>
          <w:tcPr>
            <w:tcW w:w="3120" w:type="dxa"/>
          </w:tcPr>
          <w:p w14:paraId="66604129" w14:textId="6606C8BF" w:rsidR="002A2188" w:rsidRPr="00E872BF" w:rsidRDefault="00E872BF" w:rsidP="0014634F">
            <w:pPr>
              <w:tabs>
                <w:tab w:val="left" w:pos="851"/>
              </w:tabs>
              <w:spacing w:before="0" w:line="240" w:lineRule="atLeast"/>
              <w:rPr>
                <w:b/>
              </w:rPr>
            </w:pPr>
            <w:r w:rsidRPr="00E872BF">
              <w:rPr>
                <w:b/>
              </w:rPr>
              <w:t>Addendum 1 to</w:t>
            </w:r>
            <w:r w:rsidRPr="00E872BF">
              <w:rPr>
                <w:b/>
              </w:rPr>
              <w:br/>
            </w:r>
            <w:r w:rsidR="002A2188" w:rsidRPr="00E872BF">
              <w:rPr>
                <w:b/>
              </w:rPr>
              <w:t>Document C</w:t>
            </w:r>
            <w:r w:rsidR="004A1B8B" w:rsidRPr="00E872BF">
              <w:rPr>
                <w:b/>
              </w:rPr>
              <w:t>2</w:t>
            </w:r>
            <w:r w:rsidR="0014634F" w:rsidRPr="00E872BF">
              <w:rPr>
                <w:b/>
              </w:rPr>
              <w:t>2</w:t>
            </w:r>
            <w:r w:rsidR="002A2188" w:rsidRPr="00E872BF">
              <w:rPr>
                <w:b/>
              </w:rPr>
              <w:t>/</w:t>
            </w:r>
            <w:r w:rsidR="0098420B" w:rsidRPr="00E872BF">
              <w:rPr>
                <w:b/>
              </w:rPr>
              <w:t>22</w:t>
            </w:r>
            <w:r w:rsidR="002A2188" w:rsidRPr="00E872BF">
              <w:rPr>
                <w:b/>
              </w:rPr>
              <w:t>-E</w:t>
            </w:r>
          </w:p>
        </w:tc>
      </w:tr>
      <w:tr w:rsidR="002A2188" w:rsidRPr="00813E5E" w14:paraId="275E195F" w14:textId="77777777" w:rsidTr="00464B6C">
        <w:trPr>
          <w:cantSplit/>
          <w:trHeight w:val="23"/>
        </w:trPr>
        <w:tc>
          <w:tcPr>
            <w:tcW w:w="6911" w:type="dxa"/>
            <w:vMerge/>
          </w:tcPr>
          <w:p w14:paraId="3627AC61" w14:textId="77777777" w:rsidR="002A2188" w:rsidRPr="00E872BF"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3E947420" w:rsidR="002A2188" w:rsidRPr="008B1950" w:rsidRDefault="006460C7" w:rsidP="0014634F">
            <w:pPr>
              <w:tabs>
                <w:tab w:val="left" w:pos="993"/>
              </w:tabs>
              <w:spacing w:before="0"/>
              <w:rPr>
                <w:b/>
              </w:rPr>
            </w:pPr>
            <w:r>
              <w:rPr>
                <w:b/>
              </w:rPr>
              <w:t>14 September</w:t>
            </w:r>
            <w:r w:rsidR="002A2188" w:rsidRPr="008B1950">
              <w:rPr>
                <w:b/>
              </w:rPr>
              <w:t xml:space="preserve"> 20</w:t>
            </w:r>
            <w:r w:rsidR="004A1B8B" w:rsidRPr="008B1950">
              <w:rPr>
                <w:b/>
              </w:rPr>
              <w:t>2</w:t>
            </w:r>
            <w:r w:rsidR="00662EE2" w:rsidRPr="008B1950">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8B1950" w:rsidRDefault="002A2188" w:rsidP="0014634F">
            <w:pPr>
              <w:tabs>
                <w:tab w:val="left" w:pos="993"/>
              </w:tabs>
              <w:spacing w:before="0"/>
              <w:rPr>
                <w:b/>
              </w:rPr>
            </w:pPr>
            <w:r w:rsidRPr="008B1950">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1427D651" w14:textId="37FCEA0E" w:rsidR="002A2188" w:rsidRDefault="00133555" w:rsidP="00464B6C">
            <w:pPr>
              <w:pStyle w:val="Title1"/>
            </w:pPr>
            <w:bookmarkStart w:id="8" w:name="dtitle1" w:colFirst="0" w:colLast="0"/>
            <w:bookmarkEnd w:id="7"/>
            <w:r w:rsidRPr="008C238E">
              <w:t>Addendum</w:t>
            </w:r>
            <w:r w:rsidR="00C81189" w:rsidRPr="008C238E">
              <w:t xml:space="preserve"> 1</w:t>
            </w:r>
            <w:r>
              <w:t xml:space="preserve"> to the </w:t>
            </w:r>
            <w:r w:rsidR="00717F68" w:rsidRPr="00464682">
              <w:t>Eleventh Report of the</w:t>
            </w:r>
            <w:r w:rsidR="009976ED">
              <w:br/>
              <w:t>Independent Management Advisory Committee (IMAC)</w:t>
            </w:r>
          </w:p>
          <w:p w14:paraId="3689B12B" w14:textId="7C0071F2" w:rsidR="00133555" w:rsidRPr="002C73C8" w:rsidRDefault="00FA0A43" w:rsidP="00133555">
            <w:pPr>
              <w:pStyle w:val="Title2"/>
              <w:rPr>
                <w:b/>
                <w:bCs/>
              </w:rPr>
            </w:pPr>
            <w:r w:rsidRPr="002C73C8">
              <w:rPr>
                <w:b/>
                <w:bCs/>
              </w:rPr>
              <w:t>Annual</w:t>
            </w:r>
            <w:r w:rsidR="00133555" w:rsidRPr="002C73C8">
              <w:rPr>
                <w:b/>
                <w:bCs/>
              </w:rPr>
              <w:t xml:space="preserve"> report for 2021</w:t>
            </w:r>
            <w:r w:rsidR="0019332A" w:rsidRPr="002C73C8">
              <w:rPr>
                <w:b/>
                <w:bCs/>
              </w:rPr>
              <w:t>-2022</w:t>
            </w:r>
          </w:p>
        </w:tc>
      </w:tr>
      <w:bookmarkEnd w:id="8"/>
    </w:tbl>
    <w:p w14:paraId="554B4CB6" w14:textId="23F777C9" w:rsidR="002A2188" w:rsidRDefault="002A2188" w:rsidP="002A2188"/>
    <w:p w14:paraId="67BB0D91" w14:textId="0E0472AF" w:rsidR="004822B8" w:rsidRDefault="004822B8" w:rsidP="002A2188"/>
    <w:p w14:paraId="5BB0527A" w14:textId="039B74BF" w:rsidR="004822B8" w:rsidRDefault="004822B8" w:rsidP="002A2188">
      <w:r w:rsidRPr="004822B8">
        <w:t>I have the honour to transmit to the Member States of the Council a report from the Chairperson of the Independent Management Advisory Committee (IMAC).</w:t>
      </w:r>
    </w:p>
    <w:p w14:paraId="707943BF" w14:textId="36B37167" w:rsidR="004822B8" w:rsidRDefault="004822B8" w:rsidP="002A2188"/>
    <w:p w14:paraId="1D124972" w14:textId="77777777" w:rsidR="005F7307" w:rsidRDefault="005F7307" w:rsidP="002A2188"/>
    <w:p w14:paraId="16DE98EF" w14:textId="6483A06B" w:rsidR="004822B8" w:rsidRDefault="005F7307" w:rsidP="002A2188">
      <w:r>
        <w:tab/>
      </w:r>
      <w:r>
        <w:tab/>
      </w:r>
      <w:r>
        <w:tab/>
      </w:r>
      <w:r>
        <w:tab/>
      </w:r>
      <w:r>
        <w:tab/>
      </w:r>
      <w:r>
        <w:tab/>
      </w:r>
      <w:r>
        <w:tab/>
      </w:r>
      <w:r>
        <w:tab/>
      </w:r>
      <w:r>
        <w:tab/>
      </w:r>
      <w:r>
        <w:tab/>
      </w:r>
      <w:r>
        <w:tab/>
      </w:r>
      <w:r>
        <w:tab/>
        <w:t>Houlin ZHAO</w:t>
      </w:r>
    </w:p>
    <w:p w14:paraId="4B820B2B" w14:textId="453B971B" w:rsidR="004822B8" w:rsidRDefault="005F7307" w:rsidP="002A2188">
      <w:r>
        <w:tab/>
      </w:r>
      <w:r>
        <w:tab/>
      </w:r>
      <w:r>
        <w:tab/>
      </w:r>
      <w:r>
        <w:tab/>
      </w:r>
      <w:r>
        <w:tab/>
      </w:r>
      <w:r>
        <w:tab/>
      </w:r>
      <w:r>
        <w:tab/>
      </w:r>
      <w:r>
        <w:tab/>
      </w:r>
      <w:r>
        <w:tab/>
      </w:r>
      <w:r>
        <w:tab/>
      </w:r>
      <w:r>
        <w:tab/>
        <w:t xml:space="preserve">        Secretary-General</w:t>
      </w:r>
    </w:p>
    <w:p w14:paraId="4E6B2350" w14:textId="77777777" w:rsidR="004822B8" w:rsidRPr="00813E5E" w:rsidRDefault="004822B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464B6C">
            <w:pPr>
              <w:pStyle w:val="Headingb"/>
            </w:pPr>
            <w:r w:rsidRPr="00813E5E">
              <w:lastRenderedPageBreak/>
              <w:t>Summary</w:t>
            </w:r>
          </w:p>
          <w:p w14:paraId="68161F93" w14:textId="77777777" w:rsidR="00A250A1" w:rsidRDefault="00344B16" w:rsidP="00344B16">
            <w:bookmarkStart w:id="9" w:name="_Hlk109320107"/>
            <w:r>
              <w:t>Th</w:t>
            </w:r>
            <w:r w:rsidR="009D36D8">
              <w:t xml:space="preserve">is Addendum to the </w:t>
            </w:r>
            <w:r w:rsidR="00766394" w:rsidRPr="00202924">
              <w:t>eleventh</w:t>
            </w:r>
            <w:r w:rsidRPr="00202924">
              <w:t xml:space="preserve"> report of the</w:t>
            </w:r>
            <w:r>
              <w:t xml:space="preserve"> Independent Management Advisory Committee (IMAC) to the ITU Council contains</w:t>
            </w:r>
            <w:r w:rsidR="009D36D8">
              <w:t xml:space="preserve"> t</w:t>
            </w:r>
            <w:r w:rsidR="00A65E23">
              <w:t>he</w:t>
            </w:r>
            <w:r w:rsidR="000801B0">
              <w:t xml:space="preserve"> detailed</w:t>
            </w:r>
            <w:r w:rsidR="00A65E23">
              <w:t xml:space="preserve"> IMAC Annual Report for the 2021</w:t>
            </w:r>
            <w:r w:rsidR="009D36D8">
              <w:t>-2022</w:t>
            </w:r>
            <w:r w:rsidR="00A65E23">
              <w:t xml:space="preserve"> </w:t>
            </w:r>
            <w:r w:rsidR="0030378E">
              <w:t xml:space="preserve">activities </w:t>
            </w:r>
            <w:r w:rsidR="009D36D8">
              <w:t xml:space="preserve">to </w:t>
            </w:r>
            <w:r w:rsidR="0030378E">
              <w:t xml:space="preserve">be </w:t>
            </w:r>
            <w:r w:rsidR="0041655A">
              <w:t>presented</w:t>
            </w:r>
            <w:r w:rsidR="0030378E">
              <w:t xml:space="preserve"> </w:t>
            </w:r>
            <w:r w:rsidR="0041655A">
              <w:t xml:space="preserve">at </w:t>
            </w:r>
            <w:r w:rsidR="0030378E">
              <w:t xml:space="preserve">the </w:t>
            </w:r>
            <w:r w:rsidR="00A95618">
              <w:t xml:space="preserve">final meeting </w:t>
            </w:r>
            <w:r w:rsidR="0030378E">
              <w:t xml:space="preserve">of the </w:t>
            </w:r>
            <w:r w:rsidR="00A95618">
              <w:t xml:space="preserve">2022 Session of </w:t>
            </w:r>
            <w:r w:rsidR="0030378E">
              <w:t>Council before the Plenipotentiary Conference</w:t>
            </w:r>
            <w:r w:rsidR="00A250A1">
              <w:t>.</w:t>
            </w:r>
          </w:p>
          <w:bookmarkEnd w:id="9"/>
          <w:p w14:paraId="0740E909" w14:textId="5821CE4C" w:rsidR="00A65E23" w:rsidRDefault="00AF1E21" w:rsidP="00344B16">
            <w:r w:rsidRPr="008C238E">
              <w:t xml:space="preserve">The report also contains IMAC’s views on </w:t>
            </w:r>
            <w:r w:rsidR="00A250A1" w:rsidRPr="008C238E">
              <w:t xml:space="preserve">the </w:t>
            </w:r>
            <w:r w:rsidR="00E31B21" w:rsidRPr="008C238E">
              <w:t>External Auditor’s Report on the 2021 Financial Statements</w:t>
            </w:r>
            <w:r w:rsidR="00E31B21" w:rsidRPr="006A0C0B">
              <w:t>.</w:t>
            </w:r>
          </w:p>
          <w:p w14:paraId="17A30379" w14:textId="77777777" w:rsidR="002A2188" w:rsidRPr="00813E5E" w:rsidRDefault="002A2188" w:rsidP="00E31B21">
            <w:pPr>
              <w:pStyle w:val="Headingb"/>
              <w:ind w:left="0" w:firstLine="0"/>
            </w:pPr>
            <w:r w:rsidRPr="00813E5E">
              <w:t>Action required</w:t>
            </w:r>
          </w:p>
          <w:p w14:paraId="63C8FCD7" w14:textId="6B2CFB1A" w:rsidR="002A2188" w:rsidRDefault="00CA116A" w:rsidP="00464B6C">
            <w:r w:rsidRPr="00CA116A">
              <w:t xml:space="preserve">The Council is invited to </w:t>
            </w:r>
            <w:r w:rsidRPr="00CA116A">
              <w:rPr>
                <w:b/>
                <w:bCs/>
              </w:rPr>
              <w:t>approve</w:t>
            </w:r>
            <w:r w:rsidRPr="00CA116A">
              <w:t xml:space="preserve"> the IMAC report and its recommendation</w:t>
            </w:r>
            <w:r w:rsidR="003D4DD0">
              <w:t>s</w:t>
            </w:r>
            <w:r w:rsidRPr="00CA116A">
              <w:t xml:space="preserve"> for action by the secretariat</w:t>
            </w:r>
            <w:r w:rsidR="00565252">
              <w:t>.</w:t>
            </w:r>
          </w:p>
          <w:p w14:paraId="312A6CFF" w14:textId="77777777" w:rsidR="00E0794A" w:rsidRPr="00813E5E" w:rsidRDefault="00E0794A" w:rsidP="00464B6C"/>
          <w:p w14:paraId="3098B3AD"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464B6C">
            <w:pPr>
              <w:pStyle w:val="Headingb"/>
            </w:pPr>
            <w:r w:rsidRPr="00813E5E">
              <w:t>References</w:t>
            </w:r>
          </w:p>
          <w:p w14:paraId="47763C34" w14:textId="7287007E" w:rsidR="00064B6F" w:rsidRPr="00D15A94" w:rsidRDefault="004F2CD6" w:rsidP="00464B6C">
            <w:pPr>
              <w:rPr>
                <w:rFonts w:eastAsia="Calibri"/>
              </w:rPr>
            </w:pPr>
            <w:hyperlink r:id="rId12" w:history="1">
              <w:r w:rsidR="007E5A75">
                <w:rPr>
                  <w:rStyle w:val="Hyperlink1"/>
                </w:rPr>
                <w:t>Resolution 162</w:t>
              </w:r>
            </w:hyperlink>
            <w:r w:rsidR="007E5A75">
              <w:rPr>
                <w:rStyle w:val="Ohne"/>
                <w:rFonts w:eastAsia="Calibri"/>
              </w:rPr>
              <w:t xml:space="preserve"> (Rev. Busan, 2014); Council </w:t>
            </w:r>
            <w:hyperlink r:id="rId13" w:history="1">
              <w:r w:rsidR="007E5A75">
                <w:rPr>
                  <w:rStyle w:val="Hyperlink1"/>
                </w:rPr>
                <w:t>Decision 615</w:t>
              </w:r>
            </w:hyperlink>
            <w:r w:rsidR="007E5A75">
              <w:rPr>
                <w:rStyle w:val="Ohne"/>
                <w:rFonts w:eastAsia="Calibri"/>
              </w:rPr>
              <w:t>;</w:t>
            </w:r>
            <w:r w:rsidR="007E5A75">
              <w:rPr>
                <w:rStyle w:val="Ohne"/>
                <w:rFonts w:eastAsia="Calibri"/>
              </w:rPr>
              <w:br/>
              <w:t>IMAC Annual Reports:</w:t>
            </w:r>
            <w:r w:rsidR="007E5A75">
              <w:rPr>
                <w:rStyle w:val="Ohne"/>
                <w:rFonts w:eastAsia="Calibri"/>
              </w:rPr>
              <w:br/>
            </w:r>
            <w:hyperlink r:id="rId14" w:history="1">
              <w:r w:rsidR="007E5A75">
                <w:rPr>
                  <w:rStyle w:val="Hyperlink1"/>
                </w:rPr>
                <w:t>C12/44</w:t>
              </w:r>
            </w:hyperlink>
            <w:r w:rsidR="007E5A75">
              <w:rPr>
                <w:rStyle w:val="Ohne"/>
                <w:rFonts w:eastAsia="Calibri"/>
              </w:rPr>
              <w:t xml:space="preserve"> (First annual report of IMAC to the Council);</w:t>
            </w:r>
            <w:r w:rsidR="007E5A75">
              <w:rPr>
                <w:rStyle w:val="Ohne"/>
                <w:rFonts w:eastAsia="Calibri"/>
              </w:rPr>
              <w:br/>
            </w:r>
            <w:hyperlink r:id="rId15" w:history="1">
              <w:r w:rsidR="007E5A75">
                <w:rPr>
                  <w:rStyle w:val="Hyperlink1"/>
                </w:rPr>
                <w:t>C13/65 + Corr. 1</w:t>
              </w:r>
            </w:hyperlink>
            <w:r w:rsidR="007E5A75">
              <w:rPr>
                <w:rStyle w:val="Ohne"/>
                <w:rFonts w:eastAsia="Calibri"/>
              </w:rPr>
              <w:t xml:space="preserve"> (Second annual report of IMAC to the Council);</w:t>
            </w:r>
            <w:r w:rsidR="007E5A75">
              <w:rPr>
                <w:rStyle w:val="Ohne"/>
                <w:rFonts w:eastAsia="Calibri"/>
              </w:rPr>
              <w:br/>
            </w:r>
            <w:hyperlink r:id="rId16" w:history="1">
              <w:r w:rsidR="007E5A75">
                <w:rPr>
                  <w:rStyle w:val="Hyperlink1"/>
                </w:rPr>
                <w:t>C14/22 + Add.1</w:t>
              </w:r>
            </w:hyperlink>
            <w:r w:rsidR="007E5A75">
              <w:rPr>
                <w:rStyle w:val="Ohne"/>
                <w:rFonts w:eastAsia="Calibri"/>
              </w:rPr>
              <w:t xml:space="preserve"> (Third annual report of IMAC to the Council);</w:t>
            </w:r>
            <w:r w:rsidR="007E5A75">
              <w:rPr>
                <w:rStyle w:val="Ohne"/>
                <w:rFonts w:eastAsia="Calibri"/>
              </w:rPr>
              <w:br/>
            </w:r>
            <w:hyperlink r:id="rId17" w:history="1">
              <w:r w:rsidR="007E5A75">
                <w:rPr>
                  <w:rStyle w:val="Hyperlink1"/>
                </w:rPr>
                <w:t>C15/22 + Add.1-2</w:t>
              </w:r>
            </w:hyperlink>
            <w:r w:rsidR="007E5A75">
              <w:rPr>
                <w:rStyle w:val="Ohne"/>
                <w:rFonts w:eastAsia="Calibri"/>
              </w:rPr>
              <w:t xml:space="preserve"> (Fourth annual report of IMAC to the Council);</w:t>
            </w:r>
            <w:r w:rsidR="007E5A75">
              <w:rPr>
                <w:rStyle w:val="Ohne"/>
                <w:rFonts w:eastAsia="Calibri"/>
              </w:rPr>
              <w:br/>
            </w:r>
            <w:hyperlink r:id="rId18" w:history="1">
              <w:r w:rsidR="007E5A75">
                <w:rPr>
                  <w:rStyle w:val="Hyperlink1"/>
                </w:rPr>
                <w:t>C16/22 + Add.1</w:t>
              </w:r>
            </w:hyperlink>
            <w:r w:rsidR="007E5A75">
              <w:rPr>
                <w:rStyle w:val="Ohne"/>
                <w:rFonts w:eastAsia="Calibri"/>
              </w:rPr>
              <w:t xml:space="preserve"> (Fifth annual report of IMAC to the Council);</w:t>
            </w:r>
            <w:r w:rsidR="007E5A75">
              <w:rPr>
                <w:rStyle w:val="Ohne"/>
                <w:rFonts w:eastAsia="Calibri"/>
              </w:rPr>
              <w:br/>
            </w:r>
            <w:hyperlink r:id="rId19" w:history="1">
              <w:r w:rsidR="007E5A75">
                <w:rPr>
                  <w:rStyle w:val="Hyperlink1"/>
                </w:rPr>
                <w:t>C17/22</w:t>
              </w:r>
            </w:hyperlink>
            <w:r w:rsidR="007E5A75">
              <w:rPr>
                <w:rStyle w:val="Ohne"/>
                <w:rFonts w:eastAsia="Calibri"/>
              </w:rPr>
              <w:t xml:space="preserve"> (Sixth annual report of IMAC to the Council);</w:t>
            </w:r>
            <w:r w:rsidR="007E5A75">
              <w:rPr>
                <w:rStyle w:val="Ohne"/>
                <w:rFonts w:eastAsia="Calibri"/>
              </w:rPr>
              <w:br/>
            </w:r>
            <w:hyperlink r:id="rId20" w:history="1">
              <w:r w:rsidR="007E5A75">
                <w:rPr>
                  <w:rStyle w:val="Hyperlink1"/>
                </w:rPr>
                <w:t>C18/22 + Add.1</w:t>
              </w:r>
            </w:hyperlink>
            <w:r w:rsidR="007E5A75">
              <w:rPr>
                <w:rStyle w:val="Ohne"/>
                <w:rFonts w:eastAsia="Calibri"/>
              </w:rPr>
              <w:t xml:space="preserve"> (Seventh annual report of IMAC to the Council)</w:t>
            </w:r>
            <w:r w:rsidR="007E5A75">
              <w:rPr>
                <w:rStyle w:val="Ohne"/>
                <w:rFonts w:eastAsia="Calibri"/>
              </w:rPr>
              <w:br/>
            </w:r>
            <w:hyperlink r:id="rId21" w:history="1">
              <w:r w:rsidR="007E5A75">
                <w:rPr>
                  <w:rStyle w:val="Hyperlink1"/>
                </w:rPr>
                <w:t>C19/22</w:t>
              </w:r>
            </w:hyperlink>
            <w:r w:rsidR="007E5A75">
              <w:rPr>
                <w:rStyle w:val="Ohne"/>
                <w:rFonts w:eastAsia="Calibri"/>
              </w:rPr>
              <w:t xml:space="preserve"> (Eighth annual report of IMAC to the Council)</w:t>
            </w:r>
            <w:r w:rsidR="00D15A94">
              <w:rPr>
                <w:rStyle w:val="Ohne"/>
                <w:rFonts w:eastAsia="Calibri"/>
              </w:rPr>
              <w:br/>
            </w:r>
            <w:hyperlink r:id="rId22" w:history="1">
              <w:r w:rsidR="00D15A94">
                <w:rPr>
                  <w:rStyle w:val="Hyperlink1"/>
                </w:rPr>
                <w:t>C20/22</w:t>
              </w:r>
            </w:hyperlink>
            <w:r w:rsidR="00D15A94">
              <w:rPr>
                <w:rStyle w:val="Ohne"/>
                <w:rFonts w:eastAsia="Calibri"/>
              </w:rPr>
              <w:t xml:space="preserve"> (Ninth annual report of IMAC to the Council)</w:t>
            </w:r>
            <w:r w:rsidR="00B9561C">
              <w:rPr>
                <w:rStyle w:val="Ohne"/>
                <w:rFonts w:eastAsia="Calibri"/>
              </w:rPr>
              <w:br/>
            </w:r>
            <w:hyperlink r:id="rId23" w:history="1">
              <w:r w:rsidR="00B9561C">
                <w:rPr>
                  <w:rStyle w:val="Hyperlink1"/>
                </w:rPr>
                <w:t>C21/22</w:t>
              </w:r>
            </w:hyperlink>
            <w:r w:rsidR="00B9561C">
              <w:rPr>
                <w:rStyle w:val="Ohne"/>
                <w:rFonts w:eastAsia="Calibri"/>
              </w:rPr>
              <w:t xml:space="preserve"> (Tenth annual report of IMAC to the Council)</w:t>
            </w:r>
            <w:r w:rsidR="00064B6F">
              <w:rPr>
                <w:rStyle w:val="Ohne"/>
                <w:rFonts w:eastAsia="Calibri"/>
              </w:rPr>
              <w:br/>
            </w:r>
            <w:hyperlink r:id="rId24" w:history="1">
              <w:r w:rsidR="00064B6F">
                <w:rPr>
                  <w:rStyle w:val="Hyperlink1"/>
                </w:rPr>
                <w:t>C22/22</w:t>
              </w:r>
            </w:hyperlink>
            <w:r w:rsidR="00064B6F">
              <w:rPr>
                <w:rStyle w:val="Ohne"/>
                <w:rFonts w:eastAsia="Calibri"/>
              </w:rPr>
              <w:t xml:space="preserve"> (Eleventh report of IMAC to the Council)</w:t>
            </w:r>
          </w:p>
        </w:tc>
      </w:tr>
    </w:tbl>
    <w:p w14:paraId="14CC24D5" w14:textId="62244533" w:rsidR="006B6361" w:rsidRPr="00A201AB" w:rsidRDefault="006B6361" w:rsidP="001A46E6">
      <w:pPr>
        <w:pStyle w:val="NumberedHeading"/>
        <w:numPr>
          <w:ilvl w:val="0"/>
          <w:numId w:val="3"/>
        </w:numPr>
        <w:spacing w:before="360"/>
        <w:rPr>
          <w:rStyle w:val="Sectiontitle0"/>
          <w:b/>
          <w:bCs/>
        </w:rPr>
      </w:pPr>
      <w:bookmarkStart w:id="10" w:name="dstart"/>
      <w:bookmarkStart w:id="11" w:name="dbreak"/>
      <w:bookmarkEnd w:id="10"/>
      <w:bookmarkEnd w:id="11"/>
      <w:r w:rsidRPr="00A201AB">
        <w:rPr>
          <w:rStyle w:val="Sectiontitle0"/>
          <w:b/>
          <w:bCs/>
        </w:rPr>
        <w:t>activities of imac</w:t>
      </w:r>
      <w:r w:rsidR="00616ECF" w:rsidRPr="00A201AB">
        <w:rPr>
          <w:rStyle w:val="Sectiontitle0"/>
          <w:b/>
          <w:bCs/>
        </w:rPr>
        <w:t xml:space="preserve"> for 2021-2022</w:t>
      </w:r>
      <w:r w:rsidR="0024741D" w:rsidRPr="00A201AB">
        <w:rPr>
          <w:rStyle w:val="Sectiontitle0"/>
          <w:b/>
          <w:bCs/>
        </w:rPr>
        <w:t xml:space="preserve"> and Membership of the COmmittee</w:t>
      </w:r>
    </w:p>
    <w:p w14:paraId="15854701" w14:textId="3D2B895A" w:rsidR="0024741D" w:rsidRDefault="0024741D" w:rsidP="0024741D">
      <w:pPr>
        <w:pStyle w:val="Normalnumbered"/>
        <w:numPr>
          <w:ilvl w:val="1"/>
          <w:numId w:val="3"/>
        </w:numPr>
        <w:ind w:left="0" w:firstLine="0"/>
      </w:pPr>
      <w:r w:rsidRPr="00616ECF">
        <w:t xml:space="preserve">IMAC’s report to the March session of Council 2022 was focused </w:t>
      </w:r>
      <w:r w:rsidR="00C26649">
        <w:t>on</w:t>
      </w:r>
      <w:r w:rsidRPr="00616ECF">
        <w:t xml:space="preserve"> providing the Committee’s views on the External Auditor’s Report on the 2020 Financial Statements</w:t>
      </w:r>
      <w:r w:rsidR="00C26649">
        <w:t xml:space="preserve"> and IMAC’s proposals on the revisions to its Terms of Reference, for Member States consideration</w:t>
      </w:r>
      <w:r w:rsidRPr="00616ECF">
        <w:t>.</w:t>
      </w:r>
    </w:p>
    <w:p w14:paraId="3501BFBD" w14:textId="4A411517" w:rsidR="0024741D" w:rsidRPr="00616ECF" w:rsidRDefault="0024741D" w:rsidP="0024741D">
      <w:pPr>
        <w:pStyle w:val="Normalnumbered"/>
        <w:numPr>
          <w:ilvl w:val="1"/>
          <w:numId w:val="3"/>
        </w:numPr>
        <w:ind w:left="0" w:firstLine="0"/>
      </w:pPr>
      <w:r w:rsidRPr="00BF4090">
        <w:t>This Addendum to the eleventh report contains the detailed IMAC Annual Report for the 2021-2022 activities to be presented at the final meeting of the 2022 Session of Council before the Plenipotentiary Conference.</w:t>
      </w:r>
    </w:p>
    <w:p w14:paraId="76ADB3FA" w14:textId="615B826B" w:rsidR="006B6361" w:rsidRPr="00616ECF" w:rsidRDefault="006B6361" w:rsidP="006B6361">
      <w:pPr>
        <w:pStyle w:val="Normalnumbered"/>
        <w:numPr>
          <w:ilvl w:val="1"/>
          <w:numId w:val="3"/>
        </w:numPr>
        <w:ind w:left="0" w:firstLine="0"/>
      </w:pPr>
      <w:r w:rsidRPr="00616ECF">
        <w:t xml:space="preserve">The current composition of IMAC </w:t>
      </w:r>
      <w:r w:rsidR="00C70AB1">
        <w:t xml:space="preserve">membership is as follows: </w:t>
      </w:r>
    </w:p>
    <w:p w14:paraId="00DE6B4B" w14:textId="77777777" w:rsidR="006B6361" w:rsidRPr="00616ECF" w:rsidRDefault="006B6361" w:rsidP="00206BAB">
      <w:pPr>
        <w:pStyle w:val="Normalnumbered"/>
        <w:numPr>
          <w:ilvl w:val="0"/>
          <w:numId w:val="5"/>
        </w:numPr>
        <w:spacing w:before="60"/>
        <w:ind w:firstLine="272"/>
        <w:contextualSpacing/>
      </w:pPr>
      <w:r w:rsidRPr="00616ECF">
        <w:t>Mr. Kamlesh Vikamsey (Chair)</w:t>
      </w:r>
    </w:p>
    <w:p w14:paraId="025831B2" w14:textId="6237B498" w:rsidR="006240E2" w:rsidRPr="00616ECF" w:rsidRDefault="006240E2" w:rsidP="00206BAB">
      <w:pPr>
        <w:pStyle w:val="Normalnumbered"/>
        <w:numPr>
          <w:ilvl w:val="0"/>
          <w:numId w:val="5"/>
        </w:numPr>
        <w:spacing w:before="60"/>
        <w:ind w:firstLine="272"/>
        <w:contextualSpacing/>
      </w:pPr>
      <w:r w:rsidRPr="00616ECF">
        <w:t>Mr. Honore Ndoko (Vice-Chair)</w:t>
      </w:r>
    </w:p>
    <w:p w14:paraId="6FC6DE41" w14:textId="59D2AD88" w:rsidR="006B6361" w:rsidRPr="00616ECF" w:rsidRDefault="006B6361" w:rsidP="00206BAB">
      <w:pPr>
        <w:pStyle w:val="Normalnumbered"/>
        <w:numPr>
          <w:ilvl w:val="0"/>
          <w:numId w:val="5"/>
        </w:numPr>
        <w:spacing w:before="60"/>
        <w:ind w:firstLine="272"/>
        <w:contextualSpacing/>
      </w:pPr>
      <w:r w:rsidRPr="00616ECF">
        <w:t>Ms. Sarah Hammer</w:t>
      </w:r>
    </w:p>
    <w:p w14:paraId="3B4964CB" w14:textId="77777777" w:rsidR="006B6361" w:rsidRPr="00616ECF" w:rsidRDefault="006B6361" w:rsidP="00206BAB">
      <w:pPr>
        <w:pStyle w:val="Normalnumbered"/>
        <w:numPr>
          <w:ilvl w:val="0"/>
          <w:numId w:val="5"/>
        </w:numPr>
        <w:spacing w:before="60"/>
        <w:ind w:firstLine="272"/>
        <w:contextualSpacing/>
      </w:pPr>
      <w:r w:rsidRPr="00616ECF">
        <w:t>Mr. Alexander Narukavnikov</w:t>
      </w:r>
    </w:p>
    <w:p w14:paraId="3A6245A2" w14:textId="77777777" w:rsidR="006B6361" w:rsidRPr="00616ECF" w:rsidRDefault="006B6361" w:rsidP="00654A43">
      <w:pPr>
        <w:pStyle w:val="Normalnumbered"/>
        <w:numPr>
          <w:ilvl w:val="0"/>
          <w:numId w:val="5"/>
        </w:numPr>
        <w:shd w:val="clear" w:color="auto" w:fill="FFFFFF" w:themeFill="background1"/>
        <w:spacing w:before="60"/>
        <w:ind w:firstLine="272"/>
      </w:pPr>
      <w:r w:rsidRPr="00616ECF">
        <w:t>Mr. Henrique Schneider</w:t>
      </w:r>
    </w:p>
    <w:p w14:paraId="2BFD5CFC" w14:textId="52164980" w:rsidR="003F6EDB" w:rsidRPr="00206BAB" w:rsidRDefault="003F6EDB" w:rsidP="003F6EDB">
      <w:pPr>
        <w:pStyle w:val="Normalnumbered"/>
        <w:numPr>
          <w:ilvl w:val="1"/>
          <w:numId w:val="3"/>
        </w:numPr>
        <w:ind w:left="0" w:firstLine="0"/>
        <w:rPr>
          <w:rStyle w:val="Ohne"/>
        </w:rPr>
      </w:pPr>
      <w:r>
        <w:rPr>
          <w:rStyle w:val="Ohne"/>
        </w:rPr>
        <w:lastRenderedPageBreak/>
        <w:t xml:space="preserve">At its last meeting in July 2022, the Committee </w:t>
      </w:r>
      <w:r w:rsidR="00107C48">
        <w:rPr>
          <w:rStyle w:val="Ohne"/>
        </w:rPr>
        <w:t>selected</w:t>
      </w:r>
      <w:r>
        <w:rPr>
          <w:rStyle w:val="Ohne"/>
        </w:rPr>
        <w:t xml:space="preserve"> Mr. Kamlesh Vikamsey as Chair of IMAC for another term and decided to appoint a Vice-Chair to be selected by the Committee members </w:t>
      </w:r>
      <w:r w:rsidR="007604EE">
        <w:rPr>
          <w:rStyle w:val="Ohne"/>
        </w:rPr>
        <w:t>for</w:t>
      </w:r>
      <w:r>
        <w:rPr>
          <w:rStyle w:val="Ohne"/>
        </w:rPr>
        <w:t xml:space="preserve"> a 2-year term, with the </w:t>
      </w:r>
      <w:r w:rsidR="005D37F6">
        <w:rPr>
          <w:rStyle w:val="Ohne"/>
        </w:rPr>
        <w:t xml:space="preserve">intention </w:t>
      </w:r>
      <w:r w:rsidR="007604EE">
        <w:rPr>
          <w:rStyle w:val="Ohne"/>
        </w:rPr>
        <w:t>that the Vice-Chair takes over as Chair</w:t>
      </w:r>
      <w:r>
        <w:rPr>
          <w:rStyle w:val="Ohne"/>
        </w:rPr>
        <w:t>. The Committee decided to appoint Mr. Honore Ndoko as Vice-Chair of IMAC.</w:t>
      </w:r>
    </w:p>
    <w:p w14:paraId="2B5C3DC9" w14:textId="291A5E95" w:rsidR="00C4438D" w:rsidRPr="00C4438D" w:rsidRDefault="009F5F16" w:rsidP="00654A43">
      <w:pPr>
        <w:pStyle w:val="Normalnumbered"/>
        <w:numPr>
          <w:ilvl w:val="1"/>
          <w:numId w:val="3"/>
        </w:numPr>
        <w:shd w:val="clear" w:color="auto" w:fill="FFFFFF" w:themeFill="background1"/>
        <w:ind w:left="0" w:firstLine="0"/>
        <w:rPr>
          <w:highlight w:val="yellow"/>
        </w:rPr>
      </w:pPr>
      <w:r w:rsidRPr="00654A43">
        <w:t>Since the</w:t>
      </w:r>
      <w:r w:rsidR="0041708F" w:rsidRPr="00654A43">
        <w:t xml:space="preserve"> </w:t>
      </w:r>
      <w:r w:rsidR="006B6361" w:rsidRPr="00654A43">
        <w:t xml:space="preserve">Virtual consultation of </w:t>
      </w:r>
      <w:r w:rsidR="00292E88" w:rsidRPr="00654A43">
        <w:t>councilors</w:t>
      </w:r>
      <w:r w:rsidR="007B577D" w:rsidRPr="00654A43">
        <w:t xml:space="preserve"> in May 2021, </w:t>
      </w:r>
      <w:r w:rsidRPr="00654A43">
        <w:t xml:space="preserve">IMAC </w:t>
      </w:r>
      <w:r w:rsidR="00EB23A1">
        <w:t xml:space="preserve">held its regular meetings </w:t>
      </w:r>
      <w:r w:rsidRPr="00654A43">
        <w:t xml:space="preserve">virtually </w:t>
      </w:r>
      <w:r w:rsidR="007B577D" w:rsidRPr="00654A43">
        <w:t xml:space="preserve">on 4-6 October </w:t>
      </w:r>
      <w:r w:rsidR="00C4130C" w:rsidRPr="00654A43">
        <w:t>2021</w:t>
      </w:r>
      <w:r w:rsidR="00EB23A1">
        <w:t xml:space="preserve"> and</w:t>
      </w:r>
      <w:r w:rsidR="00B05ECC" w:rsidRPr="00654A43">
        <w:t xml:space="preserve"> on </w:t>
      </w:r>
      <w:r w:rsidR="00C4130C" w:rsidRPr="00654A43">
        <w:t>14-16 February 2022</w:t>
      </w:r>
      <w:r w:rsidR="00EB23A1">
        <w:t>,</w:t>
      </w:r>
      <w:r w:rsidR="00B05ECC" w:rsidRPr="00654A43">
        <w:t xml:space="preserve"> and physically on </w:t>
      </w:r>
      <w:r w:rsidR="00654A43" w:rsidRPr="00654A43">
        <w:t>11-13 July 2022</w:t>
      </w:r>
      <w:r w:rsidR="00EF098C">
        <w:t>, with</w:t>
      </w:r>
      <w:r w:rsidR="00C70AB1">
        <w:t xml:space="preserve"> arrangements </w:t>
      </w:r>
      <w:r w:rsidR="00EF098C">
        <w:t>for remote participation</w:t>
      </w:r>
      <w:r w:rsidR="006B6361" w:rsidRPr="00654A43">
        <w:t>.</w:t>
      </w:r>
      <w:r w:rsidR="00F1410D">
        <w:t xml:space="preserve"> </w:t>
      </w:r>
      <w:r w:rsidR="0048199C">
        <w:t xml:space="preserve">An additional </w:t>
      </w:r>
      <w:r w:rsidR="00E760D4">
        <w:t xml:space="preserve">formal </w:t>
      </w:r>
      <w:r w:rsidR="00F1410D">
        <w:t xml:space="preserve">virtual meeting took place on </w:t>
      </w:r>
      <w:r w:rsidR="006866DD">
        <w:t>14</w:t>
      </w:r>
      <w:r w:rsidR="00251480">
        <w:t> </w:t>
      </w:r>
      <w:r w:rsidR="006866DD">
        <w:t>September</w:t>
      </w:r>
      <w:r w:rsidR="00251480">
        <w:t> </w:t>
      </w:r>
      <w:r w:rsidR="006866DD">
        <w:t>2022</w:t>
      </w:r>
      <w:r w:rsidR="0048199C">
        <w:t xml:space="preserve">, to review </w:t>
      </w:r>
      <w:r w:rsidR="009F2E41">
        <w:t>the External Auditor’s report on the 2021 Financial Statements.</w:t>
      </w:r>
    </w:p>
    <w:p w14:paraId="00BB38E1" w14:textId="2C641032" w:rsidR="00A30D1E" w:rsidRPr="002E725A" w:rsidRDefault="00F22028" w:rsidP="00D10F6C">
      <w:pPr>
        <w:pStyle w:val="Normalnumbered"/>
        <w:numPr>
          <w:ilvl w:val="1"/>
          <w:numId w:val="3"/>
        </w:numPr>
        <w:shd w:val="clear" w:color="auto" w:fill="FFFFFF" w:themeFill="background1"/>
        <w:ind w:left="0" w:firstLine="0"/>
      </w:pPr>
      <w:r w:rsidRPr="002E725A">
        <w:t xml:space="preserve">Due to the compressed </w:t>
      </w:r>
      <w:r w:rsidR="004B57B5" w:rsidRPr="002E725A">
        <w:t>timing of the</w:t>
      </w:r>
      <w:r w:rsidRPr="002E725A">
        <w:t xml:space="preserve"> </w:t>
      </w:r>
      <w:r w:rsidR="00C4438D" w:rsidRPr="002E725A">
        <w:t>IMAC virtual meetings</w:t>
      </w:r>
      <w:r w:rsidR="00020BBB" w:rsidRPr="002E725A">
        <w:t xml:space="preserve"> and the </w:t>
      </w:r>
      <w:r w:rsidR="00D10F6C" w:rsidRPr="002E725A">
        <w:t xml:space="preserve">need to follow-up on </w:t>
      </w:r>
      <w:r w:rsidR="001B6870">
        <w:t xml:space="preserve">specific </w:t>
      </w:r>
      <w:r w:rsidR="00D10F6C" w:rsidRPr="002E725A">
        <w:t>issues</w:t>
      </w:r>
      <w:r w:rsidR="001B6870">
        <w:t xml:space="preserve"> in IMAC’s responsibility</w:t>
      </w:r>
      <w:r w:rsidR="004B57B5" w:rsidRPr="002E725A">
        <w:t xml:space="preserve">, </w:t>
      </w:r>
      <w:r w:rsidR="00DE56FC" w:rsidRPr="002E725A">
        <w:t xml:space="preserve">the </w:t>
      </w:r>
      <w:r w:rsidR="00020BBB" w:rsidRPr="002E725A">
        <w:t>Committee</w:t>
      </w:r>
      <w:r w:rsidR="001B6870">
        <w:t xml:space="preserve">’s </w:t>
      </w:r>
      <w:r w:rsidR="00DE56FC" w:rsidRPr="002E725A">
        <w:t xml:space="preserve">members </w:t>
      </w:r>
      <w:r w:rsidR="00D10F6C" w:rsidRPr="002E725A">
        <w:t xml:space="preserve">held several additional meetings in the 2021/2022 period. </w:t>
      </w:r>
      <w:r w:rsidR="00896D12" w:rsidRPr="002E725A">
        <w:t xml:space="preserve">A </w:t>
      </w:r>
      <w:r w:rsidR="00C4130C" w:rsidRPr="002E725A">
        <w:t>designated member of the Committee</w:t>
      </w:r>
      <w:r w:rsidR="00DE662A">
        <w:t>,</w:t>
      </w:r>
      <w:r w:rsidR="00C4130C" w:rsidRPr="002E725A">
        <w:t xml:space="preserve"> </w:t>
      </w:r>
      <w:r w:rsidR="00C70AB1">
        <w:t>Mr.</w:t>
      </w:r>
      <w:r w:rsidR="00DE662A">
        <w:t xml:space="preserve"> Henrique</w:t>
      </w:r>
      <w:r w:rsidR="00C70AB1">
        <w:t xml:space="preserve"> Schneider </w:t>
      </w:r>
      <w:r w:rsidR="00CD507F" w:rsidRPr="002E725A">
        <w:t xml:space="preserve">had </w:t>
      </w:r>
      <w:r w:rsidR="00896D12" w:rsidRPr="002E725A">
        <w:t xml:space="preserve">traveled to Geneva in </w:t>
      </w:r>
      <w:r w:rsidR="0046717E" w:rsidRPr="002E725A">
        <w:t>October 2021</w:t>
      </w:r>
      <w:r w:rsidR="005253E3" w:rsidRPr="002E725A">
        <w:t xml:space="preserve"> </w:t>
      </w:r>
      <w:r w:rsidR="00896D12" w:rsidRPr="002E725A">
        <w:t xml:space="preserve">and </w:t>
      </w:r>
      <w:r w:rsidR="00ED609B" w:rsidRPr="002E725A">
        <w:t xml:space="preserve">met </w:t>
      </w:r>
      <w:r w:rsidR="005253E3" w:rsidRPr="002E725A">
        <w:t xml:space="preserve">with ITU management </w:t>
      </w:r>
      <w:r w:rsidR="009B0091" w:rsidRPr="002E725A">
        <w:t xml:space="preserve">and the External Auditors </w:t>
      </w:r>
      <w:r w:rsidR="00ED609B" w:rsidRPr="002E725A">
        <w:t xml:space="preserve">to discuss </w:t>
      </w:r>
      <w:r w:rsidR="009B0091" w:rsidRPr="002E725A">
        <w:t>the progress of th</w:t>
      </w:r>
      <w:r w:rsidR="001E2DCD" w:rsidRPr="002E725A">
        <w:t>e External Auditor’s 2020 Report</w:t>
      </w:r>
      <w:r w:rsidR="005521D9" w:rsidRPr="002E725A">
        <w:t>;</w:t>
      </w:r>
      <w:r w:rsidR="008E77C5" w:rsidRPr="002E725A">
        <w:t xml:space="preserve"> the Chair of IMAC held several meetings with ITU management, the External Auditors</w:t>
      </w:r>
      <w:r w:rsidR="005521D9" w:rsidRPr="002E725A">
        <w:t xml:space="preserve"> (Corte dei Conti)</w:t>
      </w:r>
      <w:r w:rsidR="008E77C5" w:rsidRPr="002E725A">
        <w:t xml:space="preserve"> and the new appointed Auditors from the UK National Audit Office during his presence in Geneva for the 2022 session of Council in March 2022</w:t>
      </w:r>
      <w:r w:rsidR="005521D9" w:rsidRPr="002E725A">
        <w:t xml:space="preserve">; </w:t>
      </w:r>
      <w:r w:rsidR="008943C3">
        <w:t xml:space="preserve">and </w:t>
      </w:r>
      <w:r w:rsidR="002E725A" w:rsidRPr="002E725A">
        <w:t>virtual briefings also took place in June 2022.</w:t>
      </w:r>
    </w:p>
    <w:p w14:paraId="5B1B1259" w14:textId="0DF06A5A" w:rsidR="006B6361" w:rsidRDefault="00A52AA7" w:rsidP="006B6361">
      <w:pPr>
        <w:pStyle w:val="Normalnumbered"/>
        <w:numPr>
          <w:ilvl w:val="1"/>
          <w:numId w:val="3"/>
        </w:numPr>
        <w:ind w:left="0" w:firstLine="0"/>
        <w:rPr>
          <w:rStyle w:val="Ohne"/>
        </w:rPr>
      </w:pPr>
      <w:r>
        <w:rPr>
          <w:rStyle w:val="Ohne"/>
        </w:rPr>
        <w:t>S</w:t>
      </w:r>
      <w:r w:rsidR="00206BAB" w:rsidRPr="00206BAB">
        <w:rPr>
          <w:rStyle w:val="Ohne"/>
        </w:rPr>
        <w:t xml:space="preserve">ince its </w:t>
      </w:r>
      <w:r w:rsidR="006B6361" w:rsidRPr="00206BAB">
        <w:rPr>
          <w:rStyle w:val="Ohne"/>
        </w:rPr>
        <w:t xml:space="preserve">last annual </w:t>
      </w:r>
      <w:r w:rsidR="004B57B5" w:rsidRPr="00206BAB">
        <w:rPr>
          <w:rStyle w:val="Ohne"/>
        </w:rPr>
        <w:t xml:space="preserve">activity </w:t>
      </w:r>
      <w:r w:rsidR="006B6361" w:rsidRPr="00206BAB">
        <w:rPr>
          <w:rStyle w:val="Ohne"/>
        </w:rPr>
        <w:t xml:space="preserve">report </w:t>
      </w:r>
      <w:r w:rsidR="004B57B5" w:rsidRPr="00206BAB">
        <w:rPr>
          <w:rStyle w:val="Ohne"/>
        </w:rPr>
        <w:t xml:space="preserve">to </w:t>
      </w:r>
      <w:r w:rsidR="00AC6F40">
        <w:rPr>
          <w:rStyle w:val="Ohne"/>
        </w:rPr>
        <w:t xml:space="preserve">the </w:t>
      </w:r>
      <w:r w:rsidR="004B57B5" w:rsidRPr="00206BAB">
        <w:rPr>
          <w:rStyle w:val="Ohne"/>
        </w:rPr>
        <w:t xml:space="preserve">Council </w:t>
      </w:r>
      <w:r w:rsidR="003E2E4F">
        <w:rPr>
          <w:rStyle w:val="Ohne"/>
        </w:rPr>
        <w:t xml:space="preserve">in </w:t>
      </w:r>
      <w:r w:rsidR="004B57B5" w:rsidRPr="00206BAB">
        <w:rPr>
          <w:rStyle w:val="Ohne"/>
        </w:rPr>
        <w:t>2021</w:t>
      </w:r>
      <w:r>
        <w:rPr>
          <w:rStyle w:val="Ohne"/>
        </w:rPr>
        <w:t xml:space="preserve">, the Committee </w:t>
      </w:r>
      <w:r w:rsidR="00206BAB" w:rsidRPr="00206BAB">
        <w:rPr>
          <w:rStyle w:val="Ohne"/>
        </w:rPr>
        <w:t>has</w:t>
      </w:r>
      <w:r w:rsidR="004B57B5" w:rsidRPr="00206BAB">
        <w:rPr>
          <w:rStyle w:val="Ohne"/>
        </w:rPr>
        <w:t xml:space="preserve"> </w:t>
      </w:r>
      <w:r w:rsidR="006B6361" w:rsidRPr="00206BAB">
        <w:rPr>
          <w:rStyle w:val="Ohne"/>
        </w:rPr>
        <w:t xml:space="preserve">engaged with all areas of its responsibilities, </w:t>
      </w:r>
      <w:r w:rsidR="005D37F6">
        <w:rPr>
          <w:rStyle w:val="Ohne"/>
        </w:rPr>
        <w:t>with a special focus on</w:t>
      </w:r>
      <w:r w:rsidR="005D37F6" w:rsidRPr="00206BAB">
        <w:rPr>
          <w:rStyle w:val="Ohne"/>
        </w:rPr>
        <w:t xml:space="preserve"> </w:t>
      </w:r>
      <w:r w:rsidR="006B6361" w:rsidRPr="00206BAB">
        <w:rPr>
          <w:rStyle w:val="Ohne"/>
        </w:rPr>
        <w:t>internal audit; risk management; internal control; evaluation; ethics; the financial statements and financial reporting; and external audit.</w:t>
      </w:r>
    </w:p>
    <w:p w14:paraId="7999206D" w14:textId="0BF9F6F8" w:rsidR="001217EF" w:rsidRPr="002E725A" w:rsidRDefault="006B6361" w:rsidP="001217EF">
      <w:pPr>
        <w:pStyle w:val="Normalnumbered"/>
        <w:numPr>
          <w:ilvl w:val="1"/>
          <w:numId w:val="3"/>
        </w:numPr>
        <w:ind w:left="0" w:firstLine="0"/>
      </w:pPr>
      <w:r w:rsidRPr="00206BAB">
        <w:t xml:space="preserve">All reports of the Committee’s meetings and its annual reports, as well as other key documents, are available to the ITU membership on </w:t>
      </w:r>
      <w:hyperlink r:id="rId25" w:history="1">
        <w:r w:rsidRPr="00206BAB">
          <w:t>IMAC’s area</w:t>
        </w:r>
      </w:hyperlink>
      <w:r w:rsidRPr="00206BAB">
        <w:t xml:space="preserve"> of the </w:t>
      </w:r>
      <w:hyperlink r:id="rId26" w:history="1">
        <w:r w:rsidRPr="00206BAB">
          <w:rPr>
            <w:rStyle w:val="Hyperlink"/>
          </w:rPr>
          <w:t>ITU public website</w:t>
        </w:r>
      </w:hyperlink>
      <w:r w:rsidRPr="00206BAB">
        <w:t xml:space="preserve">, accessible also via the </w:t>
      </w:r>
      <w:hyperlink r:id="rId27" w:history="1">
        <w:r w:rsidRPr="00206BAB">
          <w:t>ITU Council</w:t>
        </w:r>
      </w:hyperlink>
      <w:r w:rsidRPr="00206BAB">
        <w:t xml:space="preserve"> web page.</w:t>
      </w:r>
    </w:p>
    <w:p w14:paraId="0A399466" w14:textId="5B2CAE20" w:rsidR="006B6361" w:rsidRDefault="006B6361" w:rsidP="006B6361">
      <w:pPr>
        <w:pStyle w:val="Normalnumbered"/>
        <w:numPr>
          <w:ilvl w:val="1"/>
          <w:numId w:val="3"/>
        </w:numPr>
        <w:ind w:left="0" w:firstLine="0"/>
      </w:pPr>
      <w:r w:rsidRPr="0023685D">
        <w:t xml:space="preserve">IMAC members commend overall ITU management’s engagement with IMAC in a fruitful process; the readiness and responsiveness of management to address IMAC’s questions, as well as the proactiveness in seeking IMAC’s advice in several topics of IMAC’s scope and expertise. Specific observations and recommendations on the areas of IMAC’s responsibility are included </w:t>
      </w:r>
      <w:r w:rsidR="003E2E4F">
        <w:t>in</w:t>
      </w:r>
      <w:r w:rsidRPr="0023685D">
        <w:t xml:space="preserve"> the relevant sections of this report.</w:t>
      </w:r>
    </w:p>
    <w:p w14:paraId="6DF49AA8" w14:textId="5262C500" w:rsidR="00955456" w:rsidRPr="00A201AB" w:rsidRDefault="00955456" w:rsidP="001A46E6">
      <w:pPr>
        <w:pStyle w:val="NumberedHeading"/>
        <w:numPr>
          <w:ilvl w:val="0"/>
          <w:numId w:val="3"/>
        </w:numPr>
        <w:spacing w:before="360"/>
        <w:rPr>
          <w:rStyle w:val="Sectiontitle0"/>
          <w:b/>
          <w:bCs/>
        </w:rPr>
      </w:pPr>
      <w:r w:rsidRPr="00A201AB">
        <w:rPr>
          <w:rStyle w:val="Sectiontitle0"/>
          <w:b/>
          <w:bCs/>
        </w:rPr>
        <w:t>Status of IMAC Recommendations</w:t>
      </w:r>
    </w:p>
    <w:p w14:paraId="559B9FE9" w14:textId="73709752" w:rsidR="00E0236B" w:rsidRDefault="00E0236B" w:rsidP="00092F83">
      <w:pPr>
        <w:pStyle w:val="Normalnumbered"/>
        <w:numPr>
          <w:ilvl w:val="1"/>
          <w:numId w:val="3"/>
        </w:numPr>
        <w:ind w:left="0" w:firstLine="0"/>
      </w:pPr>
      <w:r>
        <w:t>In keeping with its standard practice, and to assist the Council on the follow-up of action</w:t>
      </w:r>
      <w:r w:rsidR="003E2E4F">
        <w:t xml:space="preserve">s </w:t>
      </w:r>
      <w:r>
        <w:t>taken in response to IMAC’s recommendations, IMAC reviewed the implementation status of its</w:t>
      </w:r>
      <w:r w:rsidR="00092F83">
        <w:t xml:space="preserve"> </w:t>
      </w:r>
      <w:r>
        <w:t xml:space="preserve">previous recommendations. </w:t>
      </w:r>
      <w:r w:rsidR="003E2E4F">
        <w:t xml:space="preserve">An update </w:t>
      </w:r>
      <w:r>
        <w:t>is presented at Annex 1.</w:t>
      </w:r>
    </w:p>
    <w:p w14:paraId="22D8C75D" w14:textId="315AA30B" w:rsidR="00E0236B" w:rsidRPr="0023685D" w:rsidRDefault="00E0236B" w:rsidP="00E0236B">
      <w:pPr>
        <w:pStyle w:val="Normalnumbered"/>
        <w:numPr>
          <w:ilvl w:val="1"/>
          <w:numId w:val="3"/>
        </w:numPr>
        <w:ind w:left="0" w:firstLine="0"/>
      </w:pPr>
      <w:r w:rsidRPr="00DC72A3">
        <w:t>Up to now,</w:t>
      </w:r>
      <w:r w:rsidR="00A159BA" w:rsidRPr="00DC72A3">
        <w:t xml:space="preserve"> more than</w:t>
      </w:r>
      <w:r w:rsidRPr="00DC72A3">
        <w:t xml:space="preserve"> </w:t>
      </w:r>
      <w:r w:rsidR="00A159BA" w:rsidRPr="00251480">
        <w:t>90</w:t>
      </w:r>
      <w:r w:rsidRPr="00251480">
        <w:t>%</w:t>
      </w:r>
      <w:r w:rsidRPr="00DC72A3">
        <w:t xml:space="preserve"> of the IMAC recommendations have been implemented</w:t>
      </w:r>
      <w:r w:rsidR="00A159BA" w:rsidRPr="00DC72A3">
        <w:t xml:space="preserve"> (</w:t>
      </w:r>
      <w:r w:rsidR="001B11F1" w:rsidRPr="00251480">
        <w:t>56</w:t>
      </w:r>
      <w:r w:rsidR="00501D42" w:rsidRPr="00251480">
        <w:t xml:space="preserve"> out of </w:t>
      </w:r>
      <w:r w:rsidR="001B11F1" w:rsidRPr="00251480">
        <w:t>62 recommendations</w:t>
      </w:r>
      <w:r w:rsidR="00A159BA" w:rsidRPr="00DC72A3">
        <w:t>)</w:t>
      </w:r>
      <w:r w:rsidRPr="00DC72A3">
        <w:t xml:space="preserve">, while </w:t>
      </w:r>
      <w:r w:rsidR="001B11F1" w:rsidRPr="00251480">
        <w:t>6</w:t>
      </w:r>
      <w:r w:rsidR="00092F83" w:rsidRPr="00251480">
        <w:t xml:space="preserve"> </w:t>
      </w:r>
      <w:r w:rsidRPr="00251480">
        <w:t>recommendations (</w:t>
      </w:r>
      <w:r w:rsidR="001B11F1" w:rsidRPr="00251480">
        <w:t>less than 10</w:t>
      </w:r>
      <w:r w:rsidRPr="00251480">
        <w:t>%)</w:t>
      </w:r>
      <w:r w:rsidRPr="00DC72A3">
        <w:t xml:space="preserve"> remain in progress with the </w:t>
      </w:r>
      <w:r w:rsidR="003E2E4F" w:rsidRPr="00DC72A3">
        <w:t>S</w:t>
      </w:r>
      <w:r w:rsidRPr="00DC72A3">
        <w:t>ecretariat</w:t>
      </w:r>
      <w:r>
        <w:t>.</w:t>
      </w:r>
    </w:p>
    <w:p w14:paraId="60383271" w14:textId="3B5CBCDC" w:rsidR="00B6312C" w:rsidRPr="001A46E6" w:rsidRDefault="007F3C9E" w:rsidP="001A46E6">
      <w:pPr>
        <w:pStyle w:val="NumberedHeading"/>
        <w:numPr>
          <w:ilvl w:val="0"/>
          <w:numId w:val="3"/>
        </w:numPr>
        <w:spacing w:before="360"/>
        <w:rPr>
          <w:rStyle w:val="Sectiontitle0"/>
          <w:b/>
          <w:bCs/>
        </w:rPr>
      </w:pPr>
      <w:r w:rsidRPr="001A46E6">
        <w:rPr>
          <w:rStyle w:val="Sectiontitle0"/>
          <w:b/>
          <w:bCs/>
        </w:rPr>
        <w:t xml:space="preserve">Development of the ITU </w:t>
      </w:r>
      <w:r w:rsidR="0098482C" w:rsidRPr="001A46E6">
        <w:rPr>
          <w:rStyle w:val="Sectiontitle0"/>
          <w:b/>
          <w:bCs/>
        </w:rPr>
        <w:t>Strategic Plan</w:t>
      </w:r>
    </w:p>
    <w:p w14:paraId="0A2641FF" w14:textId="77777777" w:rsidR="00826802" w:rsidRDefault="00D12971" w:rsidP="00E23DDB">
      <w:pPr>
        <w:pStyle w:val="Normalnumbered"/>
        <w:numPr>
          <w:ilvl w:val="1"/>
          <w:numId w:val="3"/>
        </w:numPr>
        <w:ind w:left="0" w:firstLine="0"/>
      </w:pPr>
      <w:r>
        <w:t xml:space="preserve">IMAC received briefings </w:t>
      </w:r>
      <w:r w:rsidR="007E4320">
        <w:t xml:space="preserve">from the Strategy and Planning Division </w:t>
      </w:r>
      <w:r>
        <w:t xml:space="preserve">on the process of the elaboration of the ITU Strategic Plan </w:t>
      </w:r>
      <w:r w:rsidR="00A9508D">
        <w:t>for the period 2024-2027.</w:t>
      </w:r>
    </w:p>
    <w:p w14:paraId="030041E2" w14:textId="120A5540" w:rsidR="00E23DDB" w:rsidRDefault="00A9508D" w:rsidP="00E23DDB">
      <w:pPr>
        <w:pStyle w:val="Normalnumbered"/>
        <w:numPr>
          <w:ilvl w:val="1"/>
          <w:numId w:val="3"/>
        </w:numPr>
        <w:ind w:left="0" w:firstLine="0"/>
      </w:pPr>
      <w:r>
        <w:t xml:space="preserve">Following the </w:t>
      </w:r>
      <w:r w:rsidR="00F90EBF">
        <w:t>2022 Session of Council in March</w:t>
      </w:r>
      <w:r w:rsidR="009943D6">
        <w:t>, the Committee</w:t>
      </w:r>
      <w:r w:rsidR="00826802">
        <w:t xml:space="preserve"> also</w:t>
      </w:r>
      <w:r w:rsidR="009943D6">
        <w:t xml:space="preserve"> had the opportunity to review the Draft Strategic Plan </w:t>
      </w:r>
      <w:r w:rsidR="00826802">
        <w:t xml:space="preserve">to </w:t>
      </w:r>
      <w:r w:rsidR="004904A5">
        <w:t>provide comments</w:t>
      </w:r>
      <w:r w:rsidR="00B4407D">
        <w:t xml:space="preserve">, </w:t>
      </w:r>
      <w:r w:rsidR="004904A5">
        <w:t>as per Council’s invit</w:t>
      </w:r>
      <w:r w:rsidR="00C55725">
        <w:t>ation</w:t>
      </w:r>
      <w:r w:rsidR="004904A5">
        <w:t>.</w:t>
      </w:r>
    </w:p>
    <w:p w14:paraId="033BFD97" w14:textId="738911EE" w:rsidR="004904A5" w:rsidRDefault="00036CF4" w:rsidP="00E23DDB">
      <w:pPr>
        <w:pStyle w:val="Normalnumbered"/>
        <w:numPr>
          <w:ilvl w:val="1"/>
          <w:numId w:val="3"/>
        </w:numPr>
        <w:ind w:left="0" w:firstLine="0"/>
      </w:pPr>
      <w:r>
        <w:lastRenderedPageBreak/>
        <w:t xml:space="preserve">Overall, the Committee found the draft Strategic Plan to be well </w:t>
      </w:r>
      <w:r w:rsidR="00522D34">
        <w:t>developed and</w:t>
      </w:r>
      <w:r w:rsidR="00F11EC3">
        <w:t xml:space="preserve"> commended positively the cross-sectoral approach of the </w:t>
      </w:r>
      <w:r w:rsidR="0001227E">
        <w:t xml:space="preserve">strategic </w:t>
      </w:r>
      <w:r w:rsidR="00F11EC3">
        <w:t>framework</w:t>
      </w:r>
      <w:r w:rsidR="005D37F6">
        <w:t xml:space="preserve"> as well as its intended operational tracking with key performance indicators</w:t>
      </w:r>
      <w:r w:rsidR="00F11EC3">
        <w:t>, which is in line with previous advice</w:t>
      </w:r>
      <w:r w:rsidR="00D62BDD">
        <w:t xml:space="preserve"> from IMAC</w:t>
      </w:r>
      <w:r w:rsidR="00F11EC3">
        <w:t>.</w:t>
      </w:r>
    </w:p>
    <w:p w14:paraId="6EB55615" w14:textId="468F1914" w:rsidR="00E23DDB" w:rsidRDefault="00D62BDD" w:rsidP="00BF32A8">
      <w:pPr>
        <w:pStyle w:val="Normalnumbered"/>
        <w:numPr>
          <w:ilvl w:val="1"/>
          <w:numId w:val="6"/>
        </w:numPr>
        <w:ind w:left="0" w:firstLine="0"/>
      </w:pPr>
      <w:r>
        <w:t xml:space="preserve">The Committee </w:t>
      </w:r>
      <w:r w:rsidR="008172C9">
        <w:t>reviewed the content of the draft Strategic Plan</w:t>
      </w:r>
      <w:r w:rsidR="00176023">
        <w:t xml:space="preserve"> and the</w:t>
      </w:r>
      <w:r w:rsidR="00DC3EFA">
        <w:t xml:space="preserve"> proposed</w:t>
      </w:r>
      <w:r w:rsidR="00176023">
        <w:t xml:space="preserve"> </w:t>
      </w:r>
      <w:r w:rsidR="001A2DA7">
        <w:t xml:space="preserve">components of the strategic framework. </w:t>
      </w:r>
      <w:r w:rsidR="0059020A">
        <w:t>Considering</w:t>
      </w:r>
      <w:r w:rsidR="00A14010">
        <w:t xml:space="preserve"> the </w:t>
      </w:r>
      <w:r w:rsidR="003A7ECC">
        <w:t xml:space="preserve">rapid and </w:t>
      </w:r>
      <w:r w:rsidR="00A14010">
        <w:t>dynamic development of the ICTs,</w:t>
      </w:r>
      <w:r w:rsidR="008172C9">
        <w:t xml:space="preserve"> </w:t>
      </w:r>
      <w:r w:rsidR="00045DB8">
        <w:t xml:space="preserve">it is </w:t>
      </w:r>
      <w:r w:rsidR="008172C9">
        <w:t>IMAC</w:t>
      </w:r>
      <w:r w:rsidR="00045DB8">
        <w:t xml:space="preserve">’s view that ITU should consider </w:t>
      </w:r>
      <w:r w:rsidR="00095756">
        <w:t>cyber-security as a very important issue and element of the organization’s work.</w:t>
      </w:r>
    </w:p>
    <w:p w14:paraId="33B102FB" w14:textId="4CC222B8" w:rsidR="009508B9" w:rsidRDefault="0059729D" w:rsidP="00BF32A8">
      <w:pPr>
        <w:pStyle w:val="Normalnumbered"/>
        <w:numPr>
          <w:ilvl w:val="1"/>
          <w:numId w:val="6"/>
        </w:numPr>
        <w:ind w:left="0" w:firstLine="0"/>
      </w:pPr>
      <w:r>
        <w:t xml:space="preserve">The Committee also </w:t>
      </w:r>
      <w:r w:rsidR="004511BA">
        <w:t>noted the use of the term ‘</w:t>
      </w:r>
      <w:r w:rsidR="005D37F6">
        <w:t xml:space="preserve">economic </w:t>
      </w:r>
      <w:r w:rsidR="004511BA">
        <w:t xml:space="preserve">growth’ in the draft Strategic Plan, suggesting that the Union should aim for </w:t>
      </w:r>
      <w:r w:rsidR="009347A0">
        <w:t>‘</w:t>
      </w:r>
      <w:r w:rsidR="004511BA">
        <w:t>prosperity</w:t>
      </w:r>
      <w:r w:rsidR="009347A0">
        <w:t>’ instead</w:t>
      </w:r>
      <w:r w:rsidR="004511BA">
        <w:t xml:space="preserve">, </w:t>
      </w:r>
      <w:r w:rsidR="009347A0">
        <w:t xml:space="preserve">which considers </w:t>
      </w:r>
      <w:r w:rsidR="004511BA">
        <w:t xml:space="preserve">not </w:t>
      </w:r>
      <w:r w:rsidR="009347A0">
        <w:t xml:space="preserve">only </w:t>
      </w:r>
      <w:r w:rsidR="00971DDF">
        <w:t>economic growth</w:t>
      </w:r>
      <w:r w:rsidR="009347A0">
        <w:t xml:space="preserve"> as</w:t>
      </w:r>
      <w:r w:rsidR="00971DDF">
        <w:t xml:space="preserve"> reflected </w:t>
      </w:r>
      <w:r w:rsidR="009347A0">
        <w:t xml:space="preserve">by </w:t>
      </w:r>
      <w:r w:rsidR="00971DDF">
        <w:t>statistic</w:t>
      </w:r>
      <w:r w:rsidR="003236D8">
        <w:t>al data</w:t>
      </w:r>
      <w:r w:rsidR="009347A0">
        <w:t xml:space="preserve">, but </w:t>
      </w:r>
      <w:r w:rsidR="005D70C6">
        <w:t xml:space="preserve">also a </w:t>
      </w:r>
      <w:r w:rsidR="00812AB6">
        <w:t>holistic</w:t>
      </w:r>
      <w:r w:rsidR="005D70C6">
        <w:t xml:space="preserve"> approach </w:t>
      </w:r>
      <w:r w:rsidR="008430E4">
        <w:t xml:space="preserve">that encompasses </w:t>
      </w:r>
      <w:r w:rsidR="00812AB6">
        <w:t>economic well-being</w:t>
      </w:r>
      <w:r w:rsidR="00F9526D">
        <w:t xml:space="preserve"> and a sustainable </w:t>
      </w:r>
      <w:r w:rsidR="00D1319A">
        <w:t>environment</w:t>
      </w:r>
      <w:r w:rsidR="005D37F6">
        <w:t>.</w:t>
      </w:r>
    </w:p>
    <w:p w14:paraId="2A6ECE46" w14:textId="5FD3238D" w:rsidR="008172C9" w:rsidRDefault="00C96B40" w:rsidP="00BF32A8">
      <w:pPr>
        <w:pStyle w:val="Normalnumbered"/>
        <w:numPr>
          <w:ilvl w:val="1"/>
          <w:numId w:val="6"/>
        </w:numPr>
        <w:ind w:left="0" w:firstLine="0"/>
      </w:pPr>
      <w:r>
        <w:t>I</w:t>
      </w:r>
      <w:r w:rsidR="00384753">
        <w:t xml:space="preserve">MAC </w:t>
      </w:r>
      <w:r w:rsidR="009508B9">
        <w:t xml:space="preserve">finally </w:t>
      </w:r>
      <w:r w:rsidR="00384753">
        <w:t xml:space="preserve">emphasized </w:t>
      </w:r>
      <w:r w:rsidR="00663D83">
        <w:t xml:space="preserve">the </w:t>
      </w:r>
      <w:r w:rsidR="00522D34">
        <w:t xml:space="preserve">importance for ITU management to </w:t>
      </w:r>
      <w:r w:rsidR="009508B9">
        <w:t xml:space="preserve">already start </w:t>
      </w:r>
      <w:r w:rsidR="00522D34">
        <w:t>consider</w:t>
      </w:r>
      <w:r w:rsidR="009508B9">
        <w:t>ing</w:t>
      </w:r>
      <w:r w:rsidR="00522D34">
        <w:t xml:space="preserve"> the managerial implementation of the new Strategic Plan</w:t>
      </w:r>
      <w:r w:rsidR="009508B9">
        <w:t>.</w:t>
      </w:r>
    </w:p>
    <w:p w14:paraId="63E2BC60" w14:textId="432C5448" w:rsidR="00CD4B9E" w:rsidRPr="00AA24E9" w:rsidRDefault="00CD4B9E" w:rsidP="001A46E6">
      <w:pPr>
        <w:pStyle w:val="NumberedHeading"/>
        <w:numPr>
          <w:ilvl w:val="0"/>
          <w:numId w:val="6"/>
        </w:numPr>
        <w:spacing w:before="360"/>
        <w:rPr>
          <w:rStyle w:val="Sectiontitle0"/>
          <w:b/>
          <w:bCs/>
        </w:rPr>
      </w:pPr>
      <w:r w:rsidRPr="00AA24E9">
        <w:rPr>
          <w:rStyle w:val="Sectiontitle0"/>
          <w:b/>
          <w:bCs/>
        </w:rPr>
        <w:t>Financial Management</w:t>
      </w:r>
    </w:p>
    <w:p w14:paraId="79BC0C76" w14:textId="733A5A31" w:rsidR="00CD4686" w:rsidRDefault="00CD4686" w:rsidP="00CD4686">
      <w:pPr>
        <w:pStyle w:val="Normalnumbered"/>
        <w:numPr>
          <w:ilvl w:val="1"/>
          <w:numId w:val="6"/>
        </w:numPr>
        <w:ind w:left="0" w:firstLine="0"/>
      </w:pPr>
      <w:r>
        <w:t xml:space="preserve">IMAC continued to monitor </w:t>
      </w:r>
      <w:r w:rsidR="001803D7">
        <w:t xml:space="preserve">key </w:t>
      </w:r>
      <w:r>
        <w:t xml:space="preserve">financial </w:t>
      </w:r>
      <w:r w:rsidR="001803D7">
        <w:t xml:space="preserve">management </w:t>
      </w:r>
      <w:r>
        <w:t>issues and discuss developments with the Financial Resources Management Department.</w:t>
      </w:r>
    </w:p>
    <w:p w14:paraId="20A30CED" w14:textId="2B3102B7" w:rsidR="00AC522A" w:rsidRDefault="004E2DC2" w:rsidP="00CD4686">
      <w:pPr>
        <w:pStyle w:val="Normalnumbered"/>
        <w:numPr>
          <w:ilvl w:val="1"/>
          <w:numId w:val="6"/>
        </w:numPr>
        <w:ind w:left="0" w:firstLine="0"/>
      </w:pPr>
      <w:r>
        <w:t>In particular, t</w:t>
      </w:r>
      <w:r w:rsidR="00AC522A">
        <w:t xml:space="preserve">he Committee received briefings on the process of the elaboration of the </w:t>
      </w:r>
      <w:r w:rsidR="00D00BE9">
        <w:t>draft Financial Plan for 2024-2027 as well as the developments on the budget implementation.</w:t>
      </w:r>
    </w:p>
    <w:p w14:paraId="6E9B887F" w14:textId="14934F54" w:rsidR="009E5B72" w:rsidRDefault="00B168B6" w:rsidP="00FD4C6A">
      <w:pPr>
        <w:pStyle w:val="Normalnumbered"/>
        <w:numPr>
          <w:ilvl w:val="1"/>
          <w:numId w:val="6"/>
        </w:numPr>
        <w:ind w:left="0" w:firstLine="0"/>
      </w:pPr>
      <w:r>
        <w:t xml:space="preserve">IMAC </w:t>
      </w:r>
      <w:r w:rsidR="00297597">
        <w:t>discussed with ITU management</w:t>
      </w:r>
      <w:r>
        <w:t xml:space="preserve"> the </w:t>
      </w:r>
      <w:r w:rsidR="009B3591">
        <w:t>challenge</w:t>
      </w:r>
      <w:r w:rsidR="00D65A62">
        <w:t>s in the development of the financial plan</w:t>
      </w:r>
      <w:r w:rsidR="009B3591">
        <w:t xml:space="preserve"> </w:t>
      </w:r>
      <w:r w:rsidR="002F7EA5">
        <w:t>regarding</w:t>
      </w:r>
      <w:r w:rsidR="009B3591">
        <w:t xml:space="preserve"> the </w:t>
      </w:r>
      <w:r w:rsidR="000074F9">
        <w:t>activities and requests for resources</w:t>
      </w:r>
      <w:r w:rsidR="00297597">
        <w:t xml:space="preserve"> for which funding has not yet been identified, </w:t>
      </w:r>
      <w:r w:rsidR="00990FF8">
        <w:t>as well as the decrease on the revenue side for 2021-2022</w:t>
      </w:r>
      <w:r w:rsidR="004E5A79">
        <w:t xml:space="preserve"> </w:t>
      </w:r>
      <w:r w:rsidR="009E5B72">
        <w:t xml:space="preserve">which </w:t>
      </w:r>
      <w:r w:rsidR="004E5A79">
        <w:t>result</w:t>
      </w:r>
      <w:r w:rsidR="009E5B72">
        <w:t>ed</w:t>
      </w:r>
      <w:r w:rsidR="004E5A79">
        <w:t xml:space="preserve"> in no savings </w:t>
      </w:r>
      <w:r w:rsidR="00CF0067">
        <w:t xml:space="preserve">during </w:t>
      </w:r>
      <w:r w:rsidR="004E5A79">
        <w:t>the previous budget implementation.</w:t>
      </w:r>
    </w:p>
    <w:p w14:paraId="0737CABE" w14:textId="267423FE" w:rsidR="00B168B6" w:rsidRDefault="004E5A79" w:rsidP="00FD4C6A">
      <w:pPr>
        <w:pStyle w:val="Normalnumbered"/>
        <w:numPr>
          <w:ilvl w:val="1"/>
          <w:numId w:val="6"/>
        </w:numPr>
        <w:ind w:left="0" w:firstLine="0"/>
      </w:pPr>
      <w:r>
        <w:t xml:space="preserve">The Committee </w:t>
      </w:r>
      <w:r w:rsidR="00AB0D3C">
        <w:t>will be closely monitoring the situation of the organization in terms of the availability of financial resources</w:t>
      </w:r>
      <w:r w:rsidR="009C5DC9">
        <w:t>, as well as the</w:t>
      </w:r>
      <w:r w:rsidR="0037203C">
        <w:t xml:space="preserve"> projections and allocation of resources within the</w:t>
      </w:r>
      <w:r w:rsidR="009C5DC9">
        <w:t xml:space="preserve"> </w:t>
      </w:r>
      <w:r w:rsidR="00CF0067">
        <w:t xml:space="preserve">subsequent </w:t>
      </w:r>
      <w:r w:rsidR="009C5DC9">
        <w:t>budget framework.</w:t>
      </w:r>
    </w:p>
    <w:p w14:paraId="67DE6A2F" w14:textId="0C854193" w:rsidR="0077260E" w:rsidRDefault="00A96410" w:rsidP="00FD4C6A">
      <w:pPr>
        <w:pStyle w:val="Normalnumbered"/>
        <w:numPr>
          <w:ilvl w:val="1"/>
          <w:numId w:val="6"/>
        </w:numPr>
        <w:ind w:left="0" w:firstLine="0"/>
      </w:pPr>
      <w:r>
        <w:t xml:space="preserve">The Committee </w:t>
      </w:r>
      <w:r w:rsidR="009C5DC9">
        <w:t xml:space="preserve">also </w:t>
      </w:r>
      <w:r>
        <w:t xml:space="preserve">discussed </w:t>
      </w:r>
      <w:r w:rsidR="0077260E">
        <w:t xml:space="preserve">the </w:t>
      </w:r>
      <w:r>
        <w:t>difference</w:t>
      </w:r>
      <w:r w:rsidR="00C13B5C">
        <w:t xml:space="preserve"> on the </w:t>
      </w:r>
      <w:r w:rsidR="0048114E">
        <w:t>discount/</w:t>
      </w:r>
      <w:r w:rsidR="00F96EF2">
        <w:t>interest rate</w:t>
      </w:r>
      <w:r w:rsidR="00CF0067">
        <w:t>s</w:t>
      </w:r>
      <w:r w:rsidR="0048114E">
        <w:t xml:space="preserve"> in the financial statements</w:t>
      </w:r>
      <w:r>
        <w:t xml:space="preserve">, </w:t>
      </w:r>
      <w:r w:rsidR="0048114E">
        <w:t xml:space="preserve">noting </w:t>
      </w:r>
      <w:r>
        <w:t>the consequences</w:t>
      </w:r>
      <w:r w:rsidR="004D2D27">
        <w:t xml:space="preserve"> this has in the financial situation of the organization, </w:t>
      </w:r>
      <w:r w:rsidR="00A123BC">
        <w:t>and the need to manage further versatility.</w:t>
      </w:r>
    </w:p>
    <w:p w14:paraId="6F314CC9" w14:textId="5FBBD292" w:rsidR="00E67ABE" w:rsidRDefault="00E67ABE" w:rsidP="00DC3727">
      <w:pPr>
        <w:pStyle w:val="Normalnumbered"/>
        <w:numPr>
          <w:ilvl w:val="1"/>
          <w:numId w:val="6"/>
        </w:numPr>
        <w:ind w:left="0" w:firstLine="0"/>
      </w:pPr>
      <w:r>
        <w:t>The Committee discussed the conclusions of the Special Assignment commissioned by the Secretary</w:t>
      </w:r>
      <w:r w:rsidR="0017145D">
        <w:t>-</w:t>
      </w:r>
      <w:r>
        <w:t>General to provide further analytical follow up to the Bangkok Fraud Case</w:t>
      </w:r>
      <w:r w:rsidR="008C6054">
        <w:t xml:space="preserve"> which </w:t>
      </w:r>
      <w:r w:rsidR="00F776E0">
        <w:t>was uncovered in 2018</w:t>
      </w:r>
      <w:r>
        <w:t>. The Committee appreciated that that the full perimeter of the fraud scope was identified and quantified with further lessons learned. The Committee noted that remedy is being considered to address the disclosed shortcomings of previous forensic efforts.</w:t>
      </w:r>
    </w:p>
    <w:p w14:paraId="4527F280" w14:textId="3C69BD08" w:rsidR="006C1A49" w:rsidRPr="00A201AB" w:rsidRDefault="006C1A49" w:rsidP="001A46E6">
      <w:pPr>
        <w:pStyle w:val="NumberedHeading"/>
        <w:numPr>
          <w:ilvl w:val="0"/>
          <w:numId w:val="6"/>
        </w:numPr>
        <w:spacing w:before="360"/>
        <w:rPr>
          <w:rStyle w:val="Sectiontitle0"/>
          <w:b/>
          <w:bCs/>
        </w:rPr>
      </w:pPr>
      <w:r w:rsidRPr="00A201AB">
        <w:rPr>
          <w:rStyle w:val="Sectiontitle0"/>
          <w:b/>
          <w:bCs/>
        </w:rPr>
        <w:t>ITU HQ Building Project</w:t>
      </w:r>
    </w:p>
    <w:p w14:paraId="13010E89" w14:textId="3ACDBBC8" w:rsidR="00D60CD9" w:rsidRDefault="00C70BF1" w:rsidP="00791FF8">
      <w:pPr>
        <w:pStyle w:val="Normalnumbered"/>
        <w:numPr>
          <w:ilvl w:val="1"/>
          <w:numId w:val="6"/>
        </w:numPr>
        <w:ind w:left="0" w:firstLine="0"/>
      </w:pPr>
      <w:r>
        <w:t>IMAC continued to receive</w:t>
      </w:r>
      <w:r w:rsidR="00F516A6">
        <w:t xml:space="preserve"> regular</w:t>
      </w:r>
      <w:r>
        <w:t xml:space="preserve"> briefings on the progress </w:t>
      </w:r>
      <w:r w:rsidR="00D70949">
        <w:t xml:space="preserve">and developments </w:t>
      </w:r>
      <w:r>
        <w:t>of the ITU Headquarters building project</w:t>
      </w:r>
      <w:r w:rsidR="00C71F8C">
        <w:t xml:space="preserve"> </w:t>
      </w:r>
      <w:r w:rsidR="00D70949">
        <w:t xml:space="preserve">from </w:t>
      </w:r>
      <w:r w:rsidR="00C71F8C">
        <w:t xml:space="preserve">the Head of the Facilities Management and </w:t>
      </w:r>
      <w:r w:rsidR="00DF7D78">
        <w:t xml:space="preserve">Building Project </w:t>
      </w:r>
      <w:r w:rsidR="00F94E5D">
        <w:t>Division.</w:t>
      </w:r>
      <w:r w:rsidR="00BE7E65">
        <w:t xml:space="preserve"> IMAC is pleased to note that the project implementation so far has been under control.</w:t>
      </w:r>
    </w:p>
    <w:p w14:paraId="3498788E" w14:textId="0B438B59" w:rsidR="00D15530" w:rsidRDefault="00350553" w:rsidP="00F516A6">
      <w:pPr>
        <w:pStyle w:val="Normalnumbered"/>
        <w:numPr>
          <w:ilvl w:val="1"/>
          <w:numId w:val="6"/>
        </w:numPr>
        <w:ind w:left="0" w:firstLine="0"/>
      </w:pPr>
      <w:r>
        <w:lastRenderedPageBreak/>
        <w:t xml:space="preserve">Given the magnitude of the project and the </w:t>
      </w:r>
      <w:r w:rsidR="001408EC">
        <w:t xml:space="preserve">risks involved in implementation of the project and the </w:t>
      </w:r>
      <w:r>
        <w:t>technical</w:t>
      </w:r>
      <w:r w:rsidR="007B766E">
        <w:t xml:space="preserve"> challenges </w:t>
      </w:r>
      <w:r w:rsidR="00681489">
        <w:t xml:space="preserve">such a project </w:t>
      </w:r>
      <w:r w:rsidR="006F26B2">
        <w:t>will pose</w:t>
      </w:r>
      <w:r w:rsidR="00681489">
        <w:t xml:space="preserve">, IMAC </w:t>
      </w:r>
      <w:r w:rsidR="00707DE6">
        <w:t>reiterated</w:t>
      </w:r>
      <w:r w:rsidR="00681489">
        <w:t xml:space="preserve"> the need to </w:t>
      </w:r>
      <w:r w:rsidR="009860E4">
        <w:t>strengthen</w:t>
      </w:r>
      <w:r w:rsidR="00681489">
        <w:t xml:space="preserve"> </w:t>
      </w:r>
      <w:r w:rsidR="00B82409">
        <w:t xml:space="preserve">technical </w:t>
      </w:r>
      <w:r w:rsidR="00681489">
        <w:t xml:space="preserve">capacity in the project </w:t>
      </w:r>
      <w:r w:rsidR="009860E4">
        <w:t xml:space="preserve">governance </w:t>
      </w:r>
      <w:r w:rsidR="00280B7B">
        <w:t>and</w:t>
      </w:r>
      <w:r w:rsidR="009860E4">
        <w:t xml:space="preserve"> </w:t>
      </w:r>
      <w:r w:rsidR="00681489">
        <w:t>oversight structure</w:t>
      </w:r>
      <w:r w:rsidR="001408EC">
        <w:t>s</w:t>
      </w:r>
      <w:r w:rsidR="00126C57">
        <w:t>.</w:t>
      </w:r>
      <w:r w:rsidR="00681489">
        <w:t xml:space="preserve"> </w:t>
      </w:r>
      <w:r w:rsidR="00126C57">
        <w:t xml:space="preserve">This would be achieved </w:t>
      </w:r>
      <w:r w:rsidR="008661DF">
        <w:t xml:space="preserve">by </w:t>
      </w:r>
      <w:r w:rsidR="00681489">
        <w:t>includ</w:t>
      </w:r>
      <w:r w:rsidR="008661DF">
        <w:t>ing</w:t>
      </w:r>
      <w:r w:rsidR="00681489">
        <w:t xml:space="preserve"> an experienced technical </w:t>
      </w:r>
      <w:r w:rsidR="00E72DBD">
        <w:t>resource</w:t>
      </w:r>
      <w:r w:rsidR="008661DF">
        <w:t xml:space="preserve"> to </w:t>
      </w:r>
      <w:r w:rsidR="001408EC">
        <w:t xml:space="preserve">provide effective oversight of the project </w:t>
      </w:r>
      <w:r w:rsidR="005E2FCB">
        <w:t>and</w:t>
      </w:r>
      <w:r w:rsidR="001408EC">
        <w:t xml:space="preserve"> </w:t>
      </w:r>
      <w:r w:rsidR="000A2539">
        <w:t>‘</w:t>
      </w:r>
      <w:r w:rsidR="00963C66">
        <w:t>challenge</w:t>
      </w:r>
      <w:r w:rsidR="000A2539">
        <w:t>’</w:t>
      </w:r>
      <w:r w:rsidR="00963C66">
        <w:t xml:space="preserve"> the</w:t>
      </w:r>
      <w:r w:rsidR="001408EC">
        <w:t xml:space="preserve"> resources involved in the</w:t>
      </w:r>
      <w:r w:rsidR="00963C66">
        <w:t xml:space="preserve"> implementation</w:t>
      </w:r>
      <w:r w:rsidR="001408EC">
        <w:t xml:space="preserve"> of the project</w:t>
      </w:r>
      <w:r w:rsidR="00FA07F6">
        <w:t>.</w:t>
      </w:r>
    </w:p>
    <w:p w14:paraId="5C39702A" w14:textId="7F5D9A8A" w:rsidR="009A1657" w:rsidRDefault="00790D93" w:rsidP="009A1657">
      <w:pPr>
        <w:pStyle w:val="Normalnumbered"/>
        <w:numPr>
          <w:ilvl w:val="1"/>
          <w:numId w:val="6"/>
        </w:numPr>
        <w:ind w:left="0" w:firstLine="0"/>
      </w:pPr>
      <w:r>
        <w:t>In terms of audit capacity, t</w:t>
      </w:r>
      <w:r w:rsidR="00D15530">
        <w:t xml:space="preserve">he Committee </w:t>
      </w:r>
      <w:r>
        <w:t xml:space="preserve">acknowledged the </w:t>
      </w:r>
      <w:r w:rsidR="00AC2070">
        <w:t xml:space="preserve">audit report </w:t>
      </w:r>
      <w:r w:rsidR="00A025EB">
        <w:t xml:space="preserve">of the ITU new Headquarters Project conducted by </w:t>
      </w:r>
      <w:r w:rsidR="00AC2070">
        <w:t xml:space="preserve">the </w:t>
      </w:r>
      <w:r>
        <w:t>Internal Audit</w:t>
      </w:r>
      <w:r w:rsidR="00A025EB">
        <w:t xml:space="preserve"> </w:t>
      </w:r>
      <w:r w:rsidR="009B0A41">
        <w:t>Unit and</w:t>
      </w:r>
      <w:r w:rsidR="008D5BC9">
        <w:t xml:space="preserve"> continued to advise </w:t>
      </w:r>
      <w:r w:rsidR="007A0A51">
        <w:t xml:space="preserve">for </w:t>
      </w:r>
      <w:r w:rsidR="008D5BC9">
        <w:t>regular audits</w:t>
      </w:r>
      <w:r w:rsidR="00E75692">
        <w:t xml:space="preserve"> by suitably</w:t>
      </w:r>
      <w:r w:rsidR="008D5BC9">
        <w:t xml:space="preserve"> </w:t>
      </w:r>
      <w:r w:rsidR="00C05FA5">
        <w:t>enhanc</w:t>
      </w:r>
      <w:r w:rsidR="00E75692">
        <w:t>ing</w:t>
      </w:r>
      <w:r w:rsidR="00C05FA5">
        <w:t xml:space="preserve"> </w:t>
      </w:r>
      <w:r w:rsidR="008D5BC9">
        <w:t>the necessary technical capa</w:t>
      </w:r>
      <w:r w:rsidR="007A0A51">
        <w:t>city</w:t>
      </w:r>
      <w:r w:rsidR="00E75692">
        <w:t xml:space="preserve"> required for such Audits when the project implementation starts.</w:t>
      </w:r>
    </w:p>
    <w:p w14:paraId="59E26DED" w14:textId="233621C3" w:rsidR="00626F1B" w:rsidRPr="00BE0223" w:rsidRDefault="009A1657" w:rsidP="00626F1B">
      <w:pPr>
        <w:pStyle w:val="Normalnumbered"/>
        <w:numPr>
          <w:ilvl w:val="1"/>
          <w:numId w:val="6"/>
        </w:numPr>
        <w:ind w:left="0" w:firstLine="0"/>
      </w:pPr>
      <w:r>
        <w:t xml:space="preserve">IMAC </w:t>
      </w:r>
      <w:r>
        <w:rPr>
          <w:lang w:val="en-GB"/>
        </w:rPr>
        <w:t>r</w:t>
      </w:r>
      <w:r w:rsidR="00D15530" w:rsidRPr="009A1657">
        <w:rPr>
          <w:lang w:val="en-GB"/>
        </w:rPr>
        <w:t>aise</w:t>
      </w:r>
      <w:r>
        <w:rPr>
          <w:lang w:val="en-GB"/>
        </w:rPr>
        <w:t>d</w:t>
      </w:r>
      <w:r w:rsidR="00D15530" w:rsidRPr="009A1657">
        <w:rPr>
          <w:lang w:val="en-GB"/>
        </w:rPr>
        <w:t xml:space="preserve"> a flag </w:t>
      </w:r>
      <w:r w:rsidR="00F55DA1">
        <w:rPr>
          <w:lang w:val="en-GB"/>
        </w:rPr>
        <w:t xml:space="preserve">on </w:t>
      </w:r>
      <w:r w:rsidR="00D15530" w:rsidRPr="009A1657">
        <w:rPr>
          <w:lang w:val="en-GB"/>
        </w:rPr>
        <w:t xml:space="preserve">possible developments </w:t>
      </w:r>
      <w:r w:rsidR="00DD4D38">
        <w:rPr>
          <w:lang w:val="en-GB"/>
        </w:rPr>
        <w:t>in</w:t>
      </w:r>
      <w:r w:rsidR="00D15530" w:rsidRPr="009A1657">
        <w:rPr>
          <w:lang w:val="en-GB"/>
        </w:rPr>
        <w:t xml:space="preserve"> prices and schedule</w:t>
      </w:r>
      <w:r w:rsidR="00C25BEA">
        <w:rPr>
          <w:lang w:val="en-GB"/>
        </w:rPr>
        <w:t>,</w:t>
      </w:r>
      <w:r w:rsidR="00D15530" w:rsidRPr="009A1657">
        <w:rPr>
          <w:lang w:val="en-GB"/>
        </w:rPr>
        <w:t xml:space="preserve"> due to</w:t>
      </w:r>
      <w:r w:rsidR="000E3CB7">
        <w:rPr>
          <w:lang w:val="en-GB"/>
        </w:rPr>
        <w:t xml:space="preserve"> global</w:t>
      </w:r>
      <w:r w:rsidR="00D15530" w:rsidRPr="009A1657">
        <w:rPr>
          <w:lang w:val="en-GB"/>
        </w:rPr>
        <w:t xml:space="preserve"> </w:t>
      </w:r>
      <w:r w:rsidR="006A2240" w:rsidRPr="009A1657">
        <w:rPr>
          <w:lang w:val="en-GB"/>
        </w:rPr>
        <w:t>inflation</w:t>
      </w:r>
      <w:r w:rsidR="00D15530" w:rsidRPr="009A1657">
        <w:rPr>
          <w:lang w:val="en-GB"/>
        </w:rPr>
        <w:t xml:space="preserve"> and supply chain challenges</w:t>
      </w:r>
      <w:r w:rsidR="00626F1B">
        <w:rPr>
          <w:lang w:val="en-GB"/>
        </w:rPr>
        <w:t xml:space="preserve">, which pose a </w:t>
      </w:r>
      <w:r w:rsidR="00D15530" w:rsidRPr="009A1657">
        <w:rPr>
          <w:lang w:val="en-GB"/>
        </w:rPr>
        <w:t>risk of cost overruns</w:t>
      </w:r>
      <w:r w:rsidR="000E3CB7">
        <w:rPr>
          <w:lang w:val="en-GB"/>
        </w:rPr>
        <w:t xml:space="preserve"> and </w:t>
      </w:r>
      <w:r w:rsidR="000E3CB7" w:rsidRPr="009A1657">
        <w:rPr>
          <w:lang w:val="en-GB"/>
        </w:rPr>
        <w:t xml:space="preserve">delays </w:t>
      </w:r>
      <w:r w:rsidR="000E3CB7">
        <w:rPr>
          <w:lang w:val="en-GB"/>
        </w:rPr>
        <w:t>in the implementation</w:t>
      </w:r>
      <w:r w:rsidR="00626F1B">
        <w:rPr>
          <w:lang w:val="en-GB"/>
        </w:rPr>
        <w:t>.</w:t>
      </w:r>
      <w:r w:rsidR="000E3CB7">
        <w:rPr>
          <w:lang w:val="en-GB"/>
        </w:rPr>
        <w:t xml:space="preserve"> The management must factor these emerging risks and plan for mitigation of such risks.</w:t>
      </w:r>
    </w:p>
    <w:p w14:paraId="6EB9F9B9" w14:textId="2CFE87D5" w:rsidR="00BE0223" w:rsidRDefault="00BE0223" w:rsidP="00626F1B">
      <w:pPr>
        <w:pStyle w:val="Normalnumbered"/>
        <w:numPr>
          <w:ilvl w:val="1"/>
          <w:numId w:val="6"/>
        </w:numPr>
        <w:ind w:left="0" w:firstLine="0"/>
      </w:pPr>
      <w:r>
        <w:rPr>
          <w:lang w:val="en-GB"/>
        </w:rPr>
        <w:t>IMAC also dr</w:t>
      </w:r>
      <w:r w:rsidR="001D3339">
        <w:rPr>
          <w:lang w:val="en-GB"/>
        </w:rPr>
        <w:t xml:space="preserve">aws the attention of ITU management and Council to </w:t>
      </w:r>
      <w:r w:rsidRPr="00BE0223">
        <w:rPr>
          <w:lang w:val="en-GB"/>
        </w:rPr>
        <w:t xml:space="preserve">the concerns raised in the </w:t>
      </w:r>
      <w:r w:rsidR="001D3339">
        <w:rPr>
          <w:lang w:val="en-GB"/>
        </w:rPr>
        <w:t xml:space="preserve">2021 </w:t>
      </w:r>
      <w:r w:rsidR="00D24E52">
        <w:rPr>
          <w:lang w:val="en-GB"/>
        </w:rPr>
        <w:t xml:space="preserve">External Audit </w:t>
      </w:r>
      <w:r w:rsidRPr="00BE0223">
        <w:rPr>
          <w:lang w:val="en-GB"/>
        </w:rPr>
        <w:t xml:space="preserve">report </w:t>
      </w:r>
      <w:r w:rsidR="00D24E52">
        <w:rPr>
          <w:lang w:val="en-GB"/>
        </w:rPr>
        <w:t xml:space="preserve">regarding </w:t>
      </w:r>
      <w:r w:rsidRPr="00BE0223">
        <w:rPr>
          <w:lang w:val="en-GB"/>
        </w:rPr>
        <w:t xml:space="preserve">possible risks related to the </w:t>
      </w:r>
      <w:r w:rsidR="005B1674">
        <w:rPr>
          <w:lang w:val="en-GB"/>
        </w:rPr>
        <w:t>n</w:t>
      </w:r>
      <w:r w:rsidRPr="00BE0223">
        <w:rPr>
          <w:lang w:val="en-GB"/>
        </w:rPr>
        <w:t xml:space="preserve">ew </w:t>
      </w:r>
      <w:r w:rsidR="005B1674">
        <w:rPr>
          <w:lang w:val="en-GB"/>
        </w:rPr>
        <w:t xml:space="preserve">ITU HQ </w:t>
      </w:r>
      <w:r w:rsidRPr="00BE0223">
        <w:rPr>
          <w:lang w:val="en-GB"/>
        </w:rPr>
        <w:t>project.</w:t>
      </w:r>
    </w:p>
    <w:p w14:paraId="5CDE97D4" w14:textId="3634AAD0" w:rsidR="00371058" w:rsidRDefault="00F516A6" w:rsidP="00371058">
      <w:pPr>
        <w:pStyle w:val="Normalnumbered"/>
        <w:numPr>
          <w:ilvl w:val="1"/>
          <w:numId w:val="6"/>
        </w:numPr>
        <w:ind w:left="0" w:firstLine="0"/>
      </w:pPr>
      <w:r>
        <w:t>IMAC will continue to monitor progress, given the importance of the project and the risks</w:t>
      </w:r>
      <w:r w:rsidR="00D15530">
        <w:t xml:space="preserve"> </w:t>
      </w:r>
      <w:r>
        <w:t>involved.</w:t>
      </w:r>
    </w:p>
    <w:p w14:paraId="5DEF262D" w14:textId="7B9EFA32" w:rsidR="00852567" w:rsidRPr="008F7C12" w:rsidRDefault="00852567" w:rsidP="00852567">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jc w:val="both"/>
      </w:pPr>
      <w:r w:rsidRPr="002F5871">
        <w:rPr>
          <w:rStyle w:val="Ohne"/>
          <w:b/>
          <w:bCs/>
        </w:rPr>
        <w:t xml:space="preserve">Recommendation </w:t>
      </w:r>
      <w:r w:rsidR="00907350">
        <w:rPr>
          <w:rStyle w:val="Ohne"/>
          <w:b/>
          <w:bCs/>
        </w:rPr>
        <w:t>2</w:t>
      </w:r>
      <w:r>
        <w:rPr>
          <w:rStyle w:val="FootnoteReference"/>
          <w:b/>
          <w:bCs/>
        </w:rPr>
        <w:footnoteReference w:id="2"/>
      </w:r>
      <w:r w:rsidRPr="002F5871">
        <w:rPr>
          <w:rStyle w:val="Ohne"/>
          <w:b/>
          <w:bCs/>
        </w:rPr>
        <w:t xml:space="preserve"> (202</w:t>
      </w:r>
      <w:r>
        <w:rPr>
          <w:rStyle w:val="Ohne"/>
          <w:b/>
          <w:bCs/>
        </w:rPr>
        <w:t>2</w:t>
      </w:r>
      <w:r w:rsidRPr="002F5871">
        <w:rPr>
          <w:rStyle w:val="Ohne"/>
          <w:b/>
          <w:bCs/>
        </w:rPr>
        <w:t>)</w:t>
      </w:r>
      <w:r w:rsidRPr="002F5871">
        <w:t>:</w:t>
      </w:r>
      <w:r>
        <w:t xml:space="preserve"> </w:t>
      </w:r>
      <w:r w:rsidR="00A51F00">
        <w:t xml:space="preserve">IMAC </w:t>
      </w:r>
      <w:r w:rsidR="00AB4D3F">
        <w:t xml:space="preserve">recommends </w:t>
      </w:r>
      <w:r w:rsidR="007C3517">
        <w:t>strengthening</w:t>
      </w:r>
      <w:r w:rsidR="00604908">
        <w:t xml:space="preserve"> </w:t>
      </w:r>
      <w:r w:rsidR="002A7D07">
        <w:t>technical capacity in the</w:t>
      </w:r>
      <w:r w:rsidR="005B1682">
        <w:t xml:space="preserve"> governance and oversight structures</w:t>
      </w:r>
      <w:r w:rsidR="00A72A98">
        <w:t xml:space="preserve"> of the</w:t>
      </w:r>
      <w:r w:rsidR="002A7D07">
        <w:t xml:space="preserve"> ITU HQ building project</w:t>
      </w:r>
      <w:r w:rsidR="00C87722">
        <w:t xml:space="preserve">, by including an experienced technical resource to </w:t>
      </w:r>
      <w:r w:rsidR="005B1682">
        <w:t>provide effective oversight of the project and challenge the resources involved in the implementation of the project</w:t>
      </w:r>
      <w:r w:rsidRPr="002F5871">
        <w:t>.</w:t>
      </w:r>
    </w:p>
    <w:p w14:paraId="7293B77B" w14:textId="2C4FA995" w:rsidR="007C0716" w:rsidRPr="00A201AB" w:rsidRDefault="007C0716" w:rsidP="001A46E6">
      <w:pPr>
        <w:pStyle w:val="NumberedHeading"/>
        <w:numPr>
          <w:ilvl w:val="0"/>
          <w:numId w:val="6"/>
        </w:numPr>
        <w:spacing w:before="360"/>
        <w:rPr>
          <w:rStyle w:val="Sectiontitle0"/>
          <w:b/>
          <w:bCs/>
        </w:rPr>
      </w:pPr>
      <w:r w:rsidRPr="00A201AB">
        <w:rPr>
          <w:rStyle w:val="Sectiontitle0"/>
          <w:b/>
          <w:bCs/>
        </w:rPr>
        <w:t>Procurement</w:t>
      </w:r>
    </w:p>
    <w:p w14:paraId="386DAD06" w14:textId="2EDD2B6C" w:rsidR="007C0716" w:rsidRDefault="007C0716" w:rsidP="007C0716">
      <w:pPr>
        <w:pStyle w:val="Normalnumbered"/>
        <w:numPr>
          <w:ilvl w:val="1"/>
          <w:numId w:val="6"/>
        </w:numPr>
        <w:ind w:left="0" w:firstLine="0"/>
      </w:pPr>
      <w:r>
        <w:t xml:space="preserve">IMAC engaged with the new Head of the Procurement </w:t>
      </w:r>
      <w:r w:rsidR="00BF6CBB">
        <w:t>Division and</w:t>
      </w:r>
      <w:r>
        <w:t xml:space="preserve"> received a briefing </w:t>
      </w:r>
      <w:r w:rsidR="001E0BDA">
        <w:t>on</w:t>
      </w:r>
      <w:r w:rsidR="00CB32C9">
        <w:t xml:space="preserve"> </w:t>
      </w:r>
      <w:r w:rsidR="00462602">
        <w:t xml:space="preserve">the </w:t>
      </w:r>
      <w:r w:rsidR="00CB32C9">
        <w:t>overall status of the procurement function in the ITU,</w:t>
      </w:r>
      <w:r w:rsidR="001E0BDA">
        <w:t xml:space="preserve"> the operational challenges, </w:t>
      </w:r>
      <w:r w:rsidR="00CB32C9">
        <w:t xml:space="preserve">the progress on </w:t>
      </w:r>
      <w:r w:rsidR="001E0BDA">
        <w:t>the revision of the procurement manual</w:t>
      </w:r>
      <w:r w:rsidR="00D66053">
        <w:t xml:space="preserve"> and the process to strengthen the training of the </w:t>
      </w:r>
      <w:r w:rsidR="000D4974">
        <w:t xml:space="preserve">staff in the </w:t>
      </w:r>
      <w:r w:rsidR="00D66053">
        <w:t>regional offices.</w:t>
      </w:r>
    </w:p>
    <w:p w14:paraId="7D03695F" w14:textId="77777777" w:rsidR="00275F7D" w:rsidRPr="00A201AB" w:rsidRDefault="00275F7D" w:rsidP="001A46E6">
      <w:pPr>
        <w:pStyle w:val="NumberedHeading"/>
        <w:numPr>
          <w:ilvl w:val="0"/>
          <w:numId w:val="6"/>
        </w:numPr>
        <w:spacing w:before="360"/>
        <w:rPr>
          <w:rStyle w:val="Sectiontitle0"/>
          <w:b/>
          <w:bCs/>
        </w:rPr>
      </w:pPr>
      <w:r w:rsidRPr="00A201AB">
        <w:rPr>
          <w:rStyle w:val="Sectiontitle0"/>
          <w:b/>
          <w:bCs/>
        </w:rPr>
        <w:t>INternal Audit</w:t>
      </w:r>
    </w:p>
    <w:p w14:paraId="1CDA0713" w14:textId="77777777" w:rsidR="000D757C" w:rsidRDefault="00BE39A6" w:rsidP="00BE39A6">
      <w:pPr>
        <w:pStyle w:val="Normalnumbered"/>
        <w:numPr>
          <w:ilvl w:val="1"/>
          <w:numId w:val="6"/>
        </w:numPr>
        <w:ind w:left="0" w:firstLine="0"/>
      </w:pPr>
      <w:r>
        <w:t>IMAC continued to advise on and engage with the internal audit function.</w:t>
      </w:r>
      <w:r w:rsidR="00A757A0">
        <w:t xml:space="preserve"> </w:t>
      </w:r>
      <w:r>
        <w:t>The Committee received regular briefings from the Head of the Internal Audit Unit, on the</w:t>
      </w:r>
      <w:r w:rsidR="00A35690">
        <w:t xml:space="preserve"> planning and the</w:t>
      </w:r>
      <w:r w:rsidR="00A757A0">
        <w:t xml:space="preserve"> </w:t>
      </w:r>
      <w:r>
        <w:t>status of work of Internal Audit</w:t>
      </w:r>
      <w:r w:rsidR="00A35690">
        <w:t>.</w:t>
      </w:r>
    </w:p>
    <w:p w14:paraId="06287EC2" w14:textId="77777777" w:rsidR="000D757C" w:rsidRDefault="00BE39A6" w:rsidP="00BE39A6">
      <w:pPr>
        <w:pStyle w:val="Normalnumbered"/>
        <w:numPr>
          <w:ilvl w:val="1"/>
          <w:numId w:val="6"/>
        </w:numPr>
        <w:ind w:left="0" w:firstLine="0"/>
      </w:pPr>
      <w:r>
        <w:t>IMAC had previously recommended in its 2020 Annual Report to Council, that the Internal</w:t>
      </w:r>
      <w:r w:rsidR="000D757C">
        <w:t xml:space="preserve"> </w:t>
      </w:r>
      <w:r>
        <w:t>Audit Unit needs to be considerably strengthened from a resource point of view, coverage, and</w:t>
      </w:r>
      <w:r w:rsidR="000D757C">
        <w:t xml:space="preserve"> </w:t>
      </w:r>
      <w:r>
        <w:t>adequacy of processes.</w:t>
      </w:r>
    </w:p>
    <w:p w14:paraId="62F4E912" w14:textId="5DDFC455" w:rsidR="00E90EBC" w:rsidRDefault="00BE39A6" w:rsidP="00BE39A6">
      <w:pPr>
        <w:pStyle w:val="Normalnumbered"/>
        <w:numPr>
          <w:ilvl w:val="1"/>
          <w:numId w:val="6"/>
        </w:numPr>
        <w:ind w:left="0" w:firstLine="0"/>
      </w:pPr>
      <w:r>
        <w:lastRenderedPageBreak/>
        <w:t>The Committee therefore appreciate</w:t>
      </w:r>
      <w:r w:rsidR="00404151">
        <w:t>d</w:t>
      </w:r>
      <w:r>
        <w:t xml:space="preserve"> the </w:t>
      </w:r>
      <w:r w:rsidR="00453B8A">
        <w:t>progress</w:t>
      </w:r>
      <w:r w:rsidR="00703F90">
        <w:t xml:space="preserve"> observed in this area, by </w:t>
      </w:r>
      <w:r>
        <w:t xml:space="preserve">strengthening </w:t>
      </w:r>
      <w:r w:rsidR="00D25ADD">
        <w:t>with appropriate</w:t>
      </w:r>
      <w:r>
        <w:t xml:space="preserve"> resources the Internal</w:t>
      </w:r>
      <w:r w:rsidR="000D757C">
        <w:t xml:space="preserve"> </w:t>
      </w:r>
      <w:r>
        <w:t>Audit Unit</w:t>
      </w:r>
      <w:r w:rsidR="00BE5708">
        <w:t>.</w:t>
      </w:r>
      <w:r w:rsidR="00E90EBC">
        <w:t xml:space="preserve"> </w:t>
      </w:r>
      <w:r>
        <w:t xml:space="preserve">IMAC is looking forward to the prompt fulfilment of </w:t>
      </w:r>
      <w:r w:rsidR="00E90EBC">
        <w:t xml:space="preserve">all </w:t>
      </w:r>
      <w:r>
        <w:t>the post</w:t>
      </w:r>
      <w:r w:rsidR="00E90EBC">
        <w:t>s</w:t>
      </w:r>
      <w:r>
        <w:t xml:space="preserve">, so that </w:t>
      </w:r>
      <w:r w:rsidR="00404151">
        <w:t>all</w:t>
      </w:r>
      <w:r>
        <w:t xml:space="preserve"> focus</w:t>
      </w:r>
      <w:r w:rsidR="00E90EBC">
        <w:t xml:space="preserve"> </w:t>
      </w:r>
      <w:r>
        <w:t>is given to direct audit work.</w:t>
      </w:r>
    </w:p>
    <w:p w14:paraId="2B81F425" w14:textId="77777777" w:rsidR="00B26587" w:rsidRDefault="00453B8A" w:rsidP="00B26587">
      <w:pPr>
        <w:pStyle w:val="Normalnumbered"/>
        <w:numPr>
          <w:ilvl w:val="1"/>
          <w:numId w:val="6"/>
        </w:numPr>
        <w:ind w:left="0" w:firstLine="0"/>
      </w:pPr>
      <w:r>
        <w:t>IMAC</w:t>
      </w:r>
      <w:r w:rsidR="00F21427">
        <w:t xml:space="preserve"> had the opportunity to</w:t>
      </w:r>
      <w:r w:rsidR="0078080A">
        <w:t xml:space="preserve"> </w:t>
      </w:r>
      <w:r>
        <w:t xml:space="preserve">review the </w:t>
      </w:r>
      <w:r w:rsidR="00BF3731">
        <w:t xml:space="preserve">following </w:t>
      </w:r>
      <w:r>
        <w:t>audit reports</w:t>
      </w:r>
      <w:r w:rsidR="00BF3731">
        <w:t xml:space="preserve"> since </w:t>
      </w:r>
      <w:r w:rsidR="006646BB">
        <w:t>its last annual report to Council 2021</w:t>
      </w:r>
      <w:r w:rsidR="004A43DA">
        <w:t>:</w:t>
      </w:r>
    </w:p>
    <w:p w14:paraId="1F139EC4" w14:textId="1447FA05" w:rsidR="00596E53" w:rsidRDefault="00B26587" w:rsidP="000D0C6A">
      <w:pPr>
        <w:pStyle w:val="Normalnumbered"/>
        <w:numPr>
          <w:ilvl w:val="0"/>
          <w:numId w:val="5"/>
        </w:numPr>
        <w:tabs>
          <w:tab w:val="clear" w:pos="1440"/>
          <w:tab w:val="num" w:pos="1134"/>
        </w:tabs>
        <w:ind w:left="567" w:firstLine="142"/>
      </w:pPr>
      <w:r>
        <w:t>t</w:t>
      </w:r>
      <w:r w:rsidRPr="00B26587">
        <w:t>he Inspection of Employees Entitlements</w:t>
      </w:r>
      <w:r w:rsidR="00596E53">
        <w:t>,</w:t>
      </w:r>
    </w:p>
    <w:p w14:paraId="0389C6C7" w14:textId="6EFFCEFB" w:rsidR="00596E53" w:rsidRDefault="00596E53" w:rsidP="000D0C6A">
      <w:pPr>
        <w:pStyle w:val="Normalnumbered"/>
        <w:numPr>
          <w:ilvl w:val="0"/>
          <w:numId w:val="5"/>
        </w:numPr>
        <w:tabs>
          <w:tab w:val="clear" w:pos="1440"/>
          <w:tab w:val="num" w:pos="1134"/>
        </w:tabs>
        <w:ind w:left="1134" w:hanging="425"/>
      </w:pPr>
      <w:r>
        <w:t xml:space="preserve">the </w:t>
      </w:r>
      <w:r w:rsidR="00B26587" w:rsidRPr="00B26587">
        <w:t>Audit of Programmes, Projects, and Supplementary Activities (PPSA) funded by Voluntary Contributions and Funds</w:t>
      </w:r>
      <w:r>
        <w:t>,</w:t>
      </w:r>
    </w:p>
    <w:p w14:paraId="3EFF9B91" w14:textId="1309D5D1" w:rsidR="00596E53" w:rsidRDefault="00A75CE2" w:rsidP="000D0C6A">
      <w:pPr>
        <w:pStyle w:val="Normalnumbered"/>
        <w:numPr>
          <w:ilvl w:val="0"/>
          <w:numId w:val="5"/>
        </w:numPr>
        <w:tabs>
          <w:tab w:val="clear" w:pos="1440"/>
          <w:tab w:val="num" w:pos="1134"/>
        </w:tabs>
        <w:ind w:left="567" w:firstLine="142"/>
      </w:pPr>
      <w:r>
        <w:t>the Audit of the ITU new Headquarters Project</w:t>
      </w:r>
      <w:r w:rsidR="00596E53">
        <w:t>, and</w:t>
      </w:r>
    </w:p>
    <w:p w14:paraId="2952A88C" w14:textId="6102AEFA" w:rsidR="00453B8A" w:rsidRDefault="00A75CE2" w:rsidP="000D0C6A">
      <w:pPr>
        <w:pStyle w:val="Normalnumbered"/>
        <w:numPr>
          <w:ilvl w:val="0"/>
          <w:numId w:val="5"/>
        </w:numPr>
        <w:tabs>
          <w:tab w:val="clear" w:pos="1440"/>
          <w:tab w:val="num" w:pos="1134"/>
        </w:tabs>
        <w:ind w:left="567" w:firstLine="142"/>
      </w:pPr>
      <w:r>
        <w:t>the Internal Audit Report on Environmental Management System</w:t>
      </w:r>
      <w:r w:rsidR="0078080A">
        <w:t>.</w:t>
      </w:r>
    </w:p>
    <w:p w14:paraId="1F14C707" w14:textId="5B366F93" w:rsidR="00AD2BB4" w:rsidRDefault="00AD2BB4" w:rsidP="00F367C0">
      <w:pPr>
        <w:pStyle w:val="Normalnumbered"/>
        <w:numPr>
          <w:ilvl w:val="1"/>
          <w:numId w:val="6"/>
        </w:numPr>
        <w:ind w:left="0" w:firstLine="0"/>
      </w:pPr>
      <w:r w:rsidRPr="00AD2BB4">
        <w:t>IMAC highlighted the importance of the key findings of the reports and emphasized the necessity to take up the Recommendations with ITU management a</w:t>
      </w:r>
      <w:r w:rsidR="00BF6CBB">
        <w:t>s well as</w:t>
      </w:r>
      <w:r w:rsidRPr="00AD2BB4">
        <w:t xml:space="preserve"> look at the follow-up actions for their implementation.</w:t>
      </w:r>
    </w:p>
    <w:p w14:paraId="4F36AB68" w14:textId="526342DA" w:rsidR="00596C72" w:rsidRDefault="00E409B2" w:rsidP="00F367C0">
      <w:pPr>
        <w:pStyle w:val="Normalnumbered"/>
        <w:numPr>
          <w:ilvl w:val="1"/>
          <w:numId w:val="6"/>
        </w:numPr>
        <w:ind w:left="0" w:firstLine="0"/>
      </w:pPr>
      <w:r>
        <w:t xml:space="preserve">IMAC encourages </w:t>
      </w:r>
      <w:r w:rsidR="0078080A">
        <w:t xml:space="preserve">ITU management </w:t>
      </w:r>
      <w:r>
        <w:t xml:space="preserve">to continue working on the right direction in strengthening </w:t>
      </w:r>
      <w:r w:rsidR="00474925">
        <w:t xml:space="preserve">the Internal Audit Unit from </w:t>
      </w:r>
      <w:r w:rsidR="00474925" w:rsidRPr="00474925">
        <w:t xml:space="preserve">a resource point of view, </w:t>
      </w:r>
      <w:r w:rsidR="00BF6CBB">
        <w:t xml:space="preserve">its </w:t>
      </w:r>
      <w:r w:rsidR="00BF6CBB" w:rsidRPr="00474925">
        <w:t>coverage,</w:t>
      </w:r>
      <w:r w:rsidR="00474925" w:rsidRPr="00474925">
        <w:t xml:space="preserve"> and </w:t>
      </w:r>
      <w:r w:rsidR="00BF6CBB">
        <w:t xml:space="preserve">the </w:t>
      </w:r>
      <w:r w:rsidR="00474925" w:rsidRPr="00474925">
        <w:t>adequacy of</w:t>
      </w:r>
      <w:r w:rsidR="00BF6CBB">
        <w:t xml:space="preserve"> its</w:t>
      </w:r>
      <w:r w:rsidR="00474925" w:rsidRPr="00474925">
        <w:t xml:space="preserve"> processes.</w:t>
      </w:r>
    </w:p>
    <w:p w14:paraId="774DB597" w14:textId="6D28C859" w:rsidR="00876293" w:rsidRDefault="00876293" w:rsidP="00F367C0">
      <w:pPr>
        <w:pStyle w:val="Normalnumbered"/>
        <w:numPr>
          <w:ilvl w:val="1"/>
          <w:numId w:val="6"/>
        </w:numPr>
        <w:ind w:left="0" w:firstLine="0"/>
      </w:pPr>
      <w:r>
        <w:t xml:space="preserve">IMAC supports ongoing efforts to update the internal audit charter. This should offer an opportunity to better define internal audit purpose, authority, responsibility, </w:t>
      </w:r>
      <w:proofErr w:type="gramStart"/>
      <w:r>
        <w:t>independence</w:t>
      </w:r>
      <w:proofErr w:type="gramEnd"/>
      <w:r>
        <w:t xml:space="preserve"> and position within ITU.</w:t>
      </w:r>
    </w:p>
    <w:p w14:paraId="162DA782" w14:textId="77777777" w:rsidR="00596C72" w:rsidRPr="0003627B" w:rsidRDefault="00596C72" w:rsidP="001A46E6">
      <w:pPr>
        <w:pStyle w:val="NumberedHeading"/>
        <w:numPr>
          <w:ilvl w:val="0"/>
          <w:numId w:val="6"/>
        </w:numPr>
        <w:spacing w:before="360"/>
        <w:rPr>
          <w:rStyle w:val="Sectiontitle0"/>
          <w:b/>
          <w:bCs/>
        </w:rPr>
      </w:pPr>
      <w:r w:rsidRPr="0003627B">
        <w:rPr>
          <w:rStyle w:val="Sectiontitle0"/>
          <w:b/>
          <w:bCs/>
        </w:rPr>
        <w:t>Ethics</w:t>
      </w:r>
    </w:p>
    <w:p w14:paraId="4D7BA8C6" w14:textId="58CD2D55" w:rsidR="008343DF" w:rsidRDefault="008343DF" w:rsidP="008343DF">
      <w:pPr>
        <w:pStyle w:val="Normalnumbered"/>
        <w:numPr>
          <w:ilvl w:val="1"/>
          <w:numId w:val="6"/>
        </w:numPr>
        <w:ind w:left="0" w:firstLine="0"/>
      </w:pPr>
      <w:r>
        <w:t>IMAC continued engaging with the Ethics Officer and receiving regular briefings, discussing the developments and progress of work</w:t>
      </w:r>
      <w:r w:rsidR="000863E0">
        <w:t>, in particular</w:t>
      </w:r>
      <w:r w:rsidR="00916A3C">
        <w:t xml:space="preserve"> th</w:t>
      </w:r>
      <w:r w:rsidR="00454818">
        <w:t xml:space="preserve">e </w:t>
      </w:r>
      <w:r w:rsidR="00916A3C" w:rsidRPr="00916A3C">
        <w:t>handling of the financial disclosure statements from all staff</w:t>
      </w:r>
      <w:r w:rsidR="00F12ED8">
        <w:t xml:space="preserve">, </w:t>
      </w:r>
      <w:r w:rsidR="00456013">
        <w:t xml:space="preserve">the focus to strengthen the frameworks </w:t>
      </w:r>
      <w:r w:rsidR="00360897">
        <w:t xml:space="preserve">and the ongoing training </w:t>
      </w:r>
      <w:r w:rsidR="009B0D2B">
        <w:t>efforts</w:t>
      </w:r>
      <w:r w:rsidR="00016A4C">
        <w:t>, as well as</w:t>
      </w:r>
      <w:r w:rsidR="000863E0">
        <w:t xml:space="preserve"> the role of Ethics Office in </w:t>
      </w:r>
      <w:r w:rsidR="00C548CF">
        <w:t>the inta</w:t>
      </w:r>
      <w:r w:rsidR="00E779CD">
        <w:t xml:space="preserve">ke and </w:t>
      </w:r>
      <w:r w:rsidR="006870F1">
        <w:t xml:space="preserve">handling </w:t>
      </w:r>
      <w:r w:rsidR="007E03B1">
        <w:t xml:space="preserve">of </w:t>
      </w:r>
      <w:r w:rsidR="006870F1">
        <w:t>preliminary reviews of allegations concerning misconduct</w:t>
      </w:r>
      <w:r w:rsidR="00016A4C">
        <w:t>.</w:t>
      </w:r>
    </w:p>
    <w:p w14:paraId="23575AC9" w14:textId="184B0777" w:rsidR="00016A4C" w:rsidRDefault="00016A4C" w:rsidP="008343DF">
      <w:pPr>
        <w:pStyle w:val="Normalnumbered"/>
        <w:numPr>
          <w:ilvl w:val="1"/>
          <w:numId w:val="6"/>
        </w:numPr>
        <w:ind w:left="0" w:firstLine="0"/>
      </w:pPr>
      <w:r>
        <w:t>The Committee</w:t>
      </w:r>
      <w:r w:rsidR="00C806EF">
        <w:t xml:space="preserve"> appreciated the work of the Office and</w:t>
      </w:r>
      <w:r>
        <w:t xml:space="preserve"> has highlighted the importance of </w:t>
      </w:r>
      <w:r w:rsidR="007E03B1">
        <w:t xml:space="preserve">mandatory annual </w:t>
      </w:r>
      <w:r>
        <w:t xml:space="preserve">trainings </w:t>
      </w:r>
      <w:r w:rsidR="007E03B1">
        <w:t xml:space="preserve">for </w:t>
      </w:r>
      <w:r w:rsidR="009627C5">
        <w:t>all staff</w:t>
      </w:r>
      <w:r w:rsidR="007E03B1">
        <w:t>.</w:t>
      </w:r>
    </w:p>
    <w:p w14:paraId="2E763B33" w14:textId="42650ADC" w:rsidR="00596C72" w:rsidRDefault="005D602D" w:rsidP="004E49C7">
      <w:pPr>
        <w:pStyle w:val="Normalnumbered"/>
        <w:numPr>
          <w:ilvl w:val="1"/>
          <w:numId w:val="6"/>
        </w:numPr>
        <w:ind w:left="0" w:firstLine="0"/>
      </w:pPr>
      <w:r>
        <w:t xml:space="preserve">IMAC also discussed the role of </w:t>
      </w:r>
      <w:r w:rsidR="008343DF">
        <w:t>the Ethics Office in conducting</w:t>
      </w:r>
      <w:r w:rsidR="008D628A">
        <w:t xml:space="preserve"> </w:t>
      </w:r>
      <w:r w:rsidR="008343DF">
        <w:t xml:space="preserve">preliminary reviews of reported allegations, </w:t>
      </w:r>
      <w:r w:rsidR="009F01B8">
        <w:t>advising</w:t>
      </w:r>
      <w:r w:rsidR="008D628A">
        <w:t xml:space="preserve"> that th</w:t>
      </w:r>
      <w:r w:rsidR="003364EB">
        <w:t>e approach to th</w:t>
      </w:r>
      <w:r w:rsidR="008D628A">
        <w:t xml:space="preserve">is </w:t>
      </w:r>
      <w:r w:rsidR="00870A7B">
        <w:t xml:space="preserve">issue </w:t>
      </w:r>
      <w:r w:rsidR="009F01B8">
        <w:t xml:space="preserve">be considered </w:t>
      </w:r>
      <w:r w:rsidR="003364EB">
        <w:t xml:space="preserve">collectively </w:t>
      </w:r>
      <w:r w:rsidR="00870A7B">
        <w:t>when designing the overall ITU oversight framework.</w:t>
      </w:r>
    </w:p>
    <w:p w14:paraId="08C9EFEB" w14:textId="1100F985" w:rsidR="00596C72" w:rsidRPr="008F7C12" w:rsidRDefault="00596C72" w:rsidP="00596C72">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jc w:val="both"/>
      </w:pPr>
      <w:r w:rsidRPr="002F5871">
        <w:rPr>
          <w:rStyle w:val="Ohne"/>
          <w:b/>
          <w:bCs/>
        </w:rPr>
        <w:t xml:space="preserve">Recommendation </w:t>
      </w:r>
      <w:r w:rsidR="00852567">
        <w:rPr>
          <w:rStyle w:val="Ohne"/>
          <w:b/>
          <w:bCs/>
        </w:rPr>
        <w:t>3</w:t>
      </w:r>
      <w:r w:rsidR="00852567" w:rsidRPr="002F5871">
        <w:rPr>
          <w:rStyle w:val="Ohne"/>
          <w:b/>
          <w:bCs/>
        </w:rPr>
        <w:t xml:space="preserve"> </w:t>
      </w:r>
      <w:r w:rsidRPr="002F5871">
        <w:rPr>
          <w:rStyle w:val="Ohne"/>
          <w:b/>
          <w:bCs/>
        </w:rPr>
        <w:t>(202</w:t>
      </w:r>
      <w:r>
        <w:rPr>
          <w:rStyle w:val="Ohne"/>
          <w:b/>
          <w:bCs/>
        </w:rPr>
        <w:t>2</w:t>
      </w:r>
      <w:r w:rsidRPr="002F5871">
        <w:rPr>
          <w:rStyle w:val="Ohne"/>
          <w:b/>
          <w:bCs/>
        </w:rPr>
        <w:t>)</w:t>
      </w:r>
      <w:r w:rsidRPr="002F5871">
        <w:t xml:space="preserve">: </w:t>
      </w:r>
      <w:r w:rsidR="00243006">
        <w:t>IMAC r</w:t>
      </w:r>
      <w:r w:rsidRPr="00F902A2">
        <w:t xml:space="preserve">ecommends </w:t>
      </w:r>
      <w:r w:rsidR="00243006">
        <w:t xml:space="preserve">that </w:t>
      </w:r>
      <w:r w:rsidR="00BF6CBB">
        <w:t>mandatory</w:t>
      </w:r>
      <w:r w:rsidR="007E03B1">
        <w:t xml:space="preserve"> </w:t>
      </w:r>
      <w:r w:rsidR="00243006">
        <w:t xml:space="preserve">ethics-related </w:t>
      </w:r>
      <w:r w:rsidRPr="00F902A2">
        <w:t xml:space="preserve">trainings </w:t>
      </w:r>
      <w:r w:rsidR="00243006">
        <w:t xml:space="preserve">be conducted </w:t>
      </w:r>
      <w:r w:rsidRPr="00F902A2">
        <w:t>on an annual basis</w:t>
      </w:r>
      <w:r w:rsidR="00243006">
        <w:t xml:space="preserve">, </w:t>
      </w:r>
      <w:proofErr w:type="gramStart"/>
      <w:r w:rsidR="00243006">
        <w:t>in order to</w:t>
      </w:r>
      <w:proofErr w:type="gramEnd"/>
      <w:r w:rsidR="00243006">
        <w:t xml:space="preserve"> </w:t>
      </w:r>
      <w:r w:rsidR="004E49C7">
        <w:t xml:space="preserve">ensure </w:t>
      </w:r>
      <w:r w:rsidRPr="00F902A2">
        <w:t xml:space="preserve">constant awareness and </w:t>
      </w:r>
      <w:r w:rsidR="004E49C7">
        <w:t xml:space="preserve">building of </w:t>
      </w:r>
      <w:r w:rsidR="003E7D12">
        <w:t>an</w:t>
      </w:r>
      <w:r w:rsidR="004E49C7">
        <w:t xml:space="preserve"> ethics </w:t>
      </w:r>
      <w:r w:rsidRPr="00F902A2">
        <w:t>culture</w:t>
      </w:r>
      <w:r w:rsidR="004E49C7">
        <w:t xml:space="preserve">, making this a </w:t>
      </w:r>
      <w:r w:rsidRPr="00F902A2">
        <w:t>yearly learning for all staff</w:t>
      </w:r>
      <w:r w:rsidRPr="002F5871">
        <w:t>.</w:t>
      </w:r>
    </w:p>
    <w:p w14:paraId="6EABF0AC" w14:textId="50A9AE91" w:rsidR="005959E3" w:rsidRPr="006D43D0" w:rsidRDefault="005959E3" w:rsidP="001A46E6">
      <w:pPr>
        <w:pStyle w:val="NumberedHeading"/>
        <w:numPr>
          <w:ilvl w:val="0"/>
          <w:numId w:val="6"/>
        </w:numPr>
        <w:spacing w:before="360"/>
        <w:rPr>
          <w:rStyle w:val="Sectiontitle0"/>
          <w:b/>
          <w:bCs/>
        </w:rPr>
      </w:pPr>
      <w:r w:rsidRPr="006D43D0">
        <w:rPr>
          <w:rStyle w:val="Sectiontitle0"/>
          <w:b/>
          <w:bCs/>
        </w:rPr>
        <w:t>INvestigation Function</w:t>
      </w:r>
    </w:p>
    <w:p w14:paraId="553CE467" w14:textId="1AC010CE" w:rsidR="005959E3" w:rsidRDefault="003B6032" w:rsidP="005959E3">
      <w:pPr>
        <w:pStyle w:val="Normalnumbered"/>
        <w:numPr>
          <w:ilvl w:val="1"/>
          <w:numId w:val="6"/>
        </w:numPr>
        <w:ind w:left="0" w:firstLine="0"/>
      </w:pPr>
      <w:r>
        <w:t xml:space="preserve">IMAC </w:t>
      </w:r>
      <w:r w:rsidR="003C71EC">
        <w:t xml:space="preserve">has followed up </w:t>
      </w:r>
      <w:r w:rsidR="00FD6A8A">
        <w:t xml:space="preserve">on </w:t>
      </w:r>
      <w:r w:rsidR="003C71EC">
        <w:t xml:space="preserve">the establishment of the investigation function </w:t>
      </w:r>
      <w:r w:rsidR="00FD6A8A">
        <w:t>-having pointed out the need to have a dedicated resource o</w:t>
      </w:r>
      <w:r w:rsidR="00B45887">
        <w:t>n</w:t>
      </w:r>
      <w:r w:rsidR="00FD6A8A">
        <w:t xml:space="preserve"> investigation at its 9</w:t>
      </w:r>
      <w:r w:rsidR="00FD6A8A" w:rsidRPr="00FD6A8A">
        <w:rPr>
          <w:vertAlign w:val="superscript"/>
        </w:rPr>
        <w:t>th</w:t>
      </w:r>
      <w:r w:rsidR="00FD6A8A">
        <w:t xml:space="preserve"> Annual Report to Council 2020.</w:t>
      </w:r>
    </w:p>
    <w:p w14:paraId="55517185" w14:textId="7EB9A184" w:rsidR="00B45887" w:rsidRDefault="00B45887" w:rsidP="005959E3">
      <w:pPr>
        <w:pStyle w:val="Normalnumbered"/>
        <w:numPr>
          <w:ilvl w:val="1"/>
          <w:numId w:val="6"/>
        </w:numPr>
        <w:ind w:left="0" w:firstLine="0"/>
      </w:pPr>
      <w:r>
        <w:lastRenderedPageBreak/>
        <w:t>The Committee</w:t>
      </w:r>
      <w:r w:rsidR="006F109C">
        <w:t xml:space="preserve"> engaged with and</w:t>
      </w:r>
      <w:r>
        <w:t xml:space="preserve"> received a briefing from the Head of the Investigation Unit, </w:t>
      </w:r>
      <w:r w:rsidR="00B67D70">
        <w:t xml:space="preserve">on the number of investigation </w:t>
      </w:r>
      <w:r w:rsidR="00F36351">
        <w:t>cases</w:t>
      </w:r>
      <w:r w:rsidR="002A5CFF">
        <w:t xml:space="preserve">, as well as the </w:t>
      </w:r>
      <w:r w:rsidR="00705938">
        <w:t xml:space="preserve">newly </w:t>
      </w:r>
      <w:r w:rsidR="002A5CFF">
        <w:t>operati</w:t>
      </w:r>
      <w:r w:rsidR="00705938">
        <w:t>onal</w:t>
      </w:r>
      <w:r w:rsidR="002A5CFF">
        <w:t xml:space="preserve"> case management system, a courtesy of WIPO, </w:t>
      </w:r>
      <w:r w:rsidR="00705938">
        <w:t>which has been adapted and tailored to the ITU requirements.</w:t>
      </w:r>
    </w:p>
    <w:p w14:paraId="21AE2FF6" w14:textId="1FEC7C8A" w:rsidR="00E00D8E" w:rsidRDefault="0063540E" w:rsidP="005959E3">
      <w:pPr>
        <w:pStyle w:val="Normalnumbered"/>
        <w:numPr>
          <w:ilvl w:val="1"/>
          <w:numId w:val="6"/>
        </w:numPr>
        <w:ind w:left="0" w:firstLine="0"/>
      </w:pPr>
      <w:r>
        <w:t xml:space="preserve">IMAC was informed that </w:t>
      </w:r>
      <w:r w:rsidR="00171B51">
        <w:t>an</w:t>
      </w:r>
      <w:r w:rsidR="009E7762">
        <w:t xml:space="preserve"> investigation </w:t>
      </w:r>
      <w:r w:rsidR="00171B51">
        <w:t xml:space="preserve">charter has also been drafted, </w:t>
      </w:r>
      <w:r w:rsidR="005D0116">
        <w:t xml:space="preserve">and </w:t>
      </w:r>
      <w:r w:rsidR="00BB060D">
        <w:t>the</w:t>
      </w:r>
      <w:r w:rsidR="005D0116">
        <w:t xml:space="preserve"> </w:t>
      </w:r>
      <w:r w:rsidR="00C97F11">
        <w:t>pending issues</w:t>
      </w:r>
      <w:r w:rsidR="005D0116">
        <w:t xml:space="preserve"> were raised by the investigation unit</w:t>
      </w:r>
      <w:r w:rsidR="00C97F11">
        <w:t xml:space="preserve"> on the </w:t>
      </w:r>
      <w:r w:rsidR="004E71E7">
        <w:t xml:space="preserve">following topics: </w:t>
      </w:r>
      <w:r w:rsidR="00440EF5" w:rsidRPr="005F5323">
        <w:rPr>
          <w:i/>
          <w:iCs/>
        </w:rPr>
        <w:t>a)</w:t>
      </w:r>
      <w:r w:rsidR="00440EF5">
        <w:t xml:space="preserve"> the role of the O</w:t>
      </w:r>
      <w:r w:rsidR="004E71E7">
        <w:t xml:space="preserve">versight </w:t>
      </w:r>
      <w:r w:rsidR="00440EF5">
        <w:t>C</w:t>
      </w:r>
      <w:r w:rsidR="004E71E7">
        <w:t xml:space="preserve">ommittee </w:t>
      </w:r>
      <w:r w:rsidR="00440EF5">
        <w:t xml:space="preserve">vis-à-vis the investigation unit; </w:t>
      </w:r>
      <w:r w:rsidR="00440EF5" w:rsidRPr="005F5323">
        <w:rPr>
          <w:i/>
          <w:iCs/>
        </w:rPr>
        <w:t xml:space="preserve">b) </w:t>
      </w:r>
      <w:r w:rsidR="00FA302E">
        <w:t xml:space="preserve">the independence of the investigation function when it comes to the decision to open an investigation; and </w:t>
      </w:r>
      <w:r w:rsidR="00FA302E" w:rsidRPr="005F5323">
        <w:rPr>
          <w:i/>
          <w:iCs/>
        </w:rPr>
        <w:t>c)</w:t>
      </w:r>
      <w:r w:rsidR="00FA302E">
        <w:t xml:space="preserve"> </w:t>
      </w:r>
      <w:r w:rsidR="00D20A10">
        <w:t xml:space="preserve">the control of the investigation function over the entire </w:t>
      </w:r>
      <w:r w:rsidR="00EA3387">
        <w:t>process, including the intake of the investigations.</w:t>
      </w:r>
    </w:p>
    <w:p w14:paraId="1CFA48AA" w14:textId="031AF36D" w:rsidR="00071D44" w:rsidRPr="00152127" w:rsidRDefault="00B429DD" w:rsidP="00DC204F">
      <w:pPr>
        <w:pStyle w:val="Normalnumbered"/>
        <w:numPr>
          <w:ilvl w:val="1"/>
          <w:numId w:val="6"/>
        </w:numPr>
        <w:ind w:left="0" w:firstLine="0"/>
      </w:pPr>
      <w:r>
        <w:t>IMAC highlighted the importance of</w:t>
      </w:r>
      <w:r w:rsidR="00FF68C1">
        <w:t xml:space="preserve"> </w:t>
      </w:r>
      <w:r w:rsidR="0017107A">
        <w:t>setting up a proper governance framework for the function</w:t>
      </w:r>
      <w:r w:rsidR="009F2240">
        <w:t xml:space="preserve">, </w:t>
      </w:r>
      <w:r w:rsidR="00F20435">
        <w:t xml:space="preserve">to be </w:t>
      </w:r>
      <w:r w:rsidR="00071D44">
        <w:t xml:space="preserve">defined in an </w:t>
      </w:r>
      <w:r w:rsidR="0017145D">
        <w:t>I</w:t>
      </w:r>
      <w:r w:rsidR="00071D44">
        <w:t xml:space="preserve">nvestigation </w:t>
      </w:r>
      <w:r w:rsidR="0060732D">
        <w:t>C</w:t>
      </w:r>
      <w:r w:rsidR="00071D44">
        <w:t>harter</w:t>
      </w:r>
      <w:r w:rsidR="00F20435">
        <w:t>, as a matter of priority</w:t>
      </w:r>
      <w:r w:rsidR="00681096">
        <w:t xml:space="preserve">, and in alignment with the </w:t>
      </w:r>
      <w:r w:rsidR="00EC031A">
        <w:t>required updates of the Charters of the other related internal functions.</w:t>
      </w:r>
    </w:p>
    <w:p w14:paraId="530ABBA5" w14:textId="2A688920" w:rsidR="00071D44" w:rsidRPr="0060732D" w:rsidRDefault="00603ECA" w:rsidP="001A46E6">
      <w:pPr>
        <w:pStyle w:val="NumberedHeading"/>
        <w:numPr>
          <w:ilvl w:val="0"/>
          <w:numId w:val="6"/>
        </w:numPr>
        <w:spacing w:before="360"/>
        <w:rPr>
          <w:rStyle w:val="Sectiontitle0"/>
          <w:b/>
          <w:bCs/>
        </w:rPr>
      </w:pPr>
      <w:r w:rsidRPr="0060732D">
        <w:rPr>
          <w:rStyle w:val="Sectiontitle0"/>
          <w:b/>
          <w:bCs/>
        </w:rPr>
        <w:t xml:space="preserve">Alignment and Coordination of INternal </w:t>
      </w:r>
      <w:r w:rsidR="00D63423" w:rsidRPr="0060732D">
        <w:rPr>
          <w:rStyle w:val="Sectiontitle0"/>
          <w:b/>
          <w:bCs/>
        </w:rPr>
        <w:t xml:space="preserve">Oversight </w:t>
      </w:r>
      <w:r w:rsidRPr="0060732D">
        <w:rPr>
          <w:rStyle w:val="Sectiontitle0"/>
          <w:b/>
          <w:bCs/>
        </w:rPr>
        <w:t>Functions</w:t>
      </w:r>
    </w:p>
    <w:p w14:paraId="2EA39567" w14:textId="32A44A31" w:rsidR="00071D44" w:rsidRDefault="004707E5" w:rsidP="00071D44">
      <w:pPr>
        <w:pStyle w:val="Normalnumbered"/>
        <w:numPr>
          <w:ilvl w:val="1"/>
          <w:numId w:val="6"/>
        </w:numPr>
        <w:ind w:left="0" w:firstLine="0"/>
      </w:pPr>
      <w:r>
        <w:t>IMAC has</w:t>
      </w:r>
      <w:r w:rsidR="00193235">
        <w:t xml:space="preserve"> </w:t>
      </w:r>
      <w:r w:rsidR="00276E65">
        <w:t xml:space="preserve">been regularly </w:t>
      </w:r>
      <w:r w:rsidR="00193235">
        <w:t>engag</w:t>
      </w:r>
      <w:r w:rsidR="00276E65">
        <w:t>ing</w:t>
      </w:r>
      <w:r w:rsidR="00193235">
        <w:t xml:space="preserve"> and </w:t>
      </w:r>
      <w:r w:rsidR="000B3F0D">
        <w:t>receiv</w:t>
      </w:r>
      <w:r w:rsidR="00276E65">
        <w:t>ing</w:t>
      </w:r>
      <w:r w:rsidR="000B3F0D">
        <w:t xml:space="preserve"> briefings from all the internal functions </w:t>
      </w:r>
      <w:r w:rsidR="005A2268">
        <w:t xml:space="preserve">and units </w:t>
      </w:r>
      <w:r w:rsidR="000B3F0D">
        <w:t>related to oversight</w:t>
      </w:r>
      <w:r w:rsidR="00487D5E">
        <w:t xml:space="preserve"> (internal audit, </w:t>
      </w:r>
      <w:r w:rsidR="00C35E87">
        <w:t>ethics</w:t>
      </w:r>
      <w:r w:rsidR="00CA4DD4">
        <w:t>,</w:t>
      </w:r>
      <w:r w:rsidR="00C35E87">
        <w:t xml:space="preserve"> and investigations</w:t>
      </w:r>
      <w:r w:rsidR="00487D5E">
        <w:t>)</w:t>
      </w:r>
      <w:r w:rsidR="00133C72">
        <w:t>.</w:t>
      </w:r>
      <w:r w:rsidR="000B3F0D">
        <w:t xml:space="preserve"> </w:t>
      </w:r>
      <w:r w:rsidR="00133C72">
        <w:t>T</w:t>
      </w:r>
      <w:r w:rsidR="00855D43">
        <w:t xml:space="preserve">he Committee </w:t>
      </w:r>
      <w:r w:rsidR="00064FF4">
        <w:t xml:space="preserve">expressed the view that </w:t>
      </w:r>
      <w:r w:rsidR="00524DFF">
        <w:t xml:space="preserve">the establishment of aligned Charters will enable the units to perform their functions </w:t>
      </w:r>
      <w:r w:rsidR="00DF14E3">
        <w:t xml:space="preserve">and coordinate their activities and will define the boundaries of their respective </w:t>
      </w:r>
      <w:r w:rsidR="00EF3DB1">
        <w:t>actions</w:t>
      </w:r>
      <w:r w:rsidR="00DF14E3">
        <w:t>.</w:t>
      </w:r>
    </w:p>
    <w:p w14:paraId="085A3906" w14:textId="52CA30DD" w:rsidR="00DC204F" w:rsidRPr="00325940" w:rsidRDefault="00325940" w:rsidP="00DC204F">
      <w:pPr>
        <w:pStyle w:val="Normalnumbered"/>
        <w:numPr>
          <w:ilvl w:val="1"/>
          <w:numId w:val="6"/>
        </w:numPr>
        <w:ind w:left="0" w:firstLine="0"/>
      </w:pPr>
      <w:r>
        <w:t xml:space="preserve">The Committee has therefore identified the need to develop and align the Charters of all </w:t>
      </w:r>
      <w:r w:rsidR="006E4FE7">
        <w:t xml:space="preserve">the related </w:t>
      </w:r>
      <w:r>
        <w:t>functions (i.e.</w:t>
      </w:r>
      <w:r w:rsidR="00CA4DD4">
        <w:t>,</w:t>
      </w:r>
      <w:r>
        <w:t xml:space="preserve"> Internal Audit, Ethics</w:t>
      </w:r>
      <w:r w:rsidR="00CA4DD4">
        <w:t>,</w:t>
      </w:r>
      <w:r>
        <w:t xml:space="preserve"> and Investigation).</w:t>
      </w:r>
    </w:p>
    <w:p w14:paraId="683E73DF" w14:textId="32D77DF8" w:rsidR="00E658C0" w:rsidRPr="008F7C12" w:rsidRDefault="00E658C0" w:rsidP="00E658C0">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jc w:val="both"/>
      </w:pPr>
      <w:r w:rsidRPr="002F5871">
        <w:rPr>
          <w:rStyle w:val="Ohne"/>
          <w:b/>
          <w:bCs/>
        </w:rPr>
        <w:t xml:space="preserve">Recommendation </w:t>
      </w:r>
      <w:r w:rsidR="00852567">
        <w:rPr>
          <w:rStyle w:val="Ohne"/>
          <w:b/>
          <w:bCs/>
        </w:rPr>
        <w:t>4</w:t>
      </w:r>
      <w:r w:rsidR="00852567" w:rsidRPr="002F5871">
        <w:rPr>
          <w:rStyle w:val="Ohne"/>
          <w:b/>
          <w:bCs/>
        </w:rPr>
        <w:t xml:space="preserve"> </w:t>
      </w:r>
      <w:r w:rsidRPr="002F5871">
        <w:rPr>
          <w:rStyle w:val="Ohne"/>
          <w:b/>
          <w:bCs/>
        </w:rPr>
        <w:t>(202</w:t>
      </w:r>
      <w:r>
        <w:rPr>
          <w:rStyle w:val="Ohne"/>
          <w:b/>
          <w:bCs/>
        </w:rPr>
        <w:t>2</w:t>
      </w:r>
      <w:r w:rsidRPr="002F5871">
        <w:rPr>
          <w:rStyle w:val="Ohne"/>
          <w:b/>
          <w:bCs/>
        </w:rPr>
        <w:t>)</w:t>
      </w:r>
      <w:r w:rsidRPr="002F5871">
        <w:t xml:space="preserve">: IMAC recommends </w:t>
      </w:r>
      <w:r w:rsidR="00B607D6">
        <w:t xml:space="preserve">that </w:t>
      </w:r>
      <w:r w:rsidRPr="002F5871">
        <w:t>th</w:t>
      </w:r>
      <w:r w:rsidR="00325940">
        <w:t>e</w:t>
      </w:r>
      <w:r w:rsidR="008A3D7B">
        <w:t xml:space="preserve"> ITU ensure the</w:t>
      </w:r>
      <w:r w:rsidR="00325940">
        <w:t xml:space="preserve"> a</w:t>
      </w:r>
      <w:r w:rsidR="00325940" w:rsidRPr="00325940">
        <w:t>lignment and completion of the Charters</w:t>
      </w:r>
      <w:r w:rsidR="00325940">
        <w:t xml:space="preserve"> of the internal </w:t>
      </w:r>
      <w:r w:rsidR="00635CBE">
        <w:t>functions</w:t>
      </w:r>
      <w:r w:rsidR="00FE373B">
        <w:t xml:space="preserve"> of</w:t>
      </w:r>
      <w:r w:rsidR="00635CBE">
        <w:t xml:space="preserve"> internal audit, </w:t>
      </w:r>
      <w:r w:rsidR="006E4FE7">
        <w:t>investigation,</w:t>
      </w:r>
      <w:r w:rsidR="00635CBE">
        <w:t xml:space="preserve"> and ethics.</w:t>
      </w:r>
    </w:p>
    <w:p w14:paraId="594A25BE" w14:textId="5ADDFD43" w:rsidR="00E658C0" w:rsidRPr="00275F7D" w:rsidRDefault="00E658C0" w:rsidP="00E658C0">
      <w:pPr>
        <w:rPr>
          <w:sz w:val="2"/>
          <w:szCs w:val="2"/>
          <w:lang w:val="en-US"/>
        </w:rPr>
      </w:pPr>
    </w:p>
    <w:p w14:paraId="2FFBE2C7" w14:textId="2C95D207" w:rsidR="00E658C0" w:rsidRPr="008F7C12" w:rsidRDefault="00E658C0" w:rsidP="00E658C0">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jc w:val="both"/>
      </w:pPr>
      <w:r w:rsidRPr="002F5871">
        <w:rPr>
          <w:rStyle w:val="Ohne"/>
          <w:b/>
          <w:bCs/>
        </w:rPr>
        <w:t xml:space="preserve">Recommendation </w:t>
      </w:r>
      <w:r w:rsidR="00852567">
        <w:rPr>
          <w:rStyle w:val="Ohne"/>
          <w:b/>
          <w:bCs/>
        </w:rPr>
        <w:t>5</w:t>
      </w:r>
      <w:r w:rsidR="00852567" w:rsidRPr="002F5871">
        <w:rPr>
          <w:rStyle w:val="Ohne"/>
          <w:b/>
          <w:bCs/>
        </w:rPr>
        <w:t xml:space="preserve"> </w:t>
      </w:r>
      <w:r w:rsidRPr="002F5871">
        <w:rPr>
          <w:rStyle w:val="Ohne"/>
          <w:b/>
          <w:bCs/>
        </w:rPr>
        <w:t>(202</w:t>
      </w:r>
      <w:r>
        <w:rPr>
          <w:rStyle w:val="Ohne"/>
          <w:b/>
          <w:bCs/>
        </w:rPr>
        <w:t>2</w:t>
      </w:r>
      <w:r w:rsidRPr="002F5871">
        <w:rPr>
          <w:rStyle w:val="Ohne"/>
          <w:b/>
          <w:bCs/>
        </w:rPr>
        <w:t>)</w:t>
      </w:r>
      <w:r w:rsidRPr="002F5871">
        <w:t xml:space="preserve">: IMAC recommends that </w:t>
      </w:r>
      <w:r w:rsidR="005E4ECB">
        <w:t xml:space="preserve">the ITU </w:t>
      </w:r>
      <w:r w:rsidR="0049530F">
        <w:t>ensure the coordination of the</w:t>
      </w:r>
      <w:r w:rsidR="008B59A8">
        <w:t xml:space="preserve"> activities of the </w:t>
      </w:r>
      <w:r w:rsidR="0049530F">
        <w:t xml:space="preserve">units </w:t>
      </w:r>
      <w:r w:rsidR="008B59A8">
        <w:t xml:space="preserve">of internal audit, </w:t>
      </w:r>
      <w:r w:rsidR="006E4FE7">
        <w:t>investigation,</w:t>
      </w:r>
      <w:r w:rsidR="008B59A8">
        <w:t xml:space="preserve"> and ethics.</w:t>
      </w:r>
    </w:p>
    <w:p w14:paraId="258665CE" w14:textId="65F32CF6" w:rsidR="00AC280E" w:rsidRPr="00A201AB" w:rsidRDefault="00AC280E" w:rsidP="001A46E6">
      <w:pPr>
        <w:pStyle w:val="NumberedHeading"/>
        <w:numPr>
          <w:ilvl w:val="0"/>
          <w:numId w:val="6"/>
        </w:numPr>
        <w:spacing w:before="360"/>
        <w:rPr>
          <w:rStyle w:val="Sectiontitle0"/>
          <w:b/>
          <w:bCs/>
        </w:rPr>
      </w:pPr>
      <w:r w:rsidRPr="00A201AB">
        <w:rPr>
          <w:rStyle w:val="Sectiontitle0"/>
          <w:b/>
          <w:bCs/>
        </w:rPr>
        <w:t xml:space="preserve">Working Group </w:t>
      </w:r>
      <w:r w:rsidR="0017145D">
        <w:rPr>
          <w:rStyle w:val="Sectiontitle0"/>
          <w:b/>
          <w:bCs/>
        </w:rPr>
        <w:t>on</w:t>
      </w:r>
      <w:r w:rsidRPr="00A201AB">
        <w:rPr>
          <w:rStyle w:val="Sectiontitle0"/>
          <w:b/>
          <w:bCs/>
        </w:rPr>
        <w:t xml:space="preserve"> INternal COntrol</w:t>
      </w:r>
      <w:r w:rsidR="0017145D">
        <w:rPr>
          <w:rStyle w:val="Sectiontitle0"/>
          <w:b/>
          <w:bCs/>
        </w:rPr>
        <w:t>s</w:t>
      </w:r>
    </w:p>
    <w:p w14:paraId="6D28A120" w14:textId="0AA7120A" w:rsidR="00B6006E" w:rsidRDefault="00B6006E" w:rsidP="009B17DA">
      <w:pPr>
        <w:pStyle w:val="Normalnumbered"/>
        <w:numPr>
          <w:ilvl w:val="1"/>
          <w:numId w:val="6"/>
        </w:numPr>
        <w:ind w:left="0" w:firstLine="0"/>
      </w:pPr>
      <w:r>
        <w:t xml:space="preserve">The Committee continued to receive briefings on all the follow-up actions </w:t>
      </w:r>
      <w:r w:rsidR="00981F47">
        <w:t>resulted from</w:t>
      </w:r>
      <w:r>
        <w:t xml:space="preserve"> the fraud case in a regional office, from the Chair of the Working Group on Internal Controls</w:t>
      </w:r>
      <w:r w:rsidR="00E52F7C">
        <w:t xml:space="preserve"> (WGIC)</w:t>
      </w:r>
      <w:r w:rsidR="00D40AC9">
        <w:t xml:space="preserve"> -the </w:t>
      </w:r>
      <w:r>
        <w:t>Director of the</w:t>
      </w:r>
      <w:r w:rsidR="00D40AC9">
        <w:t xml:space="preserve"> Telecommunication Development Bureau (</w:t>
      </w:r>
      <w:r>
        <w:t>BDT</w:t>
      </w:r>
      <w:r w:rsidR="00D40AC9">
        <w:t>)</w:t>
      </w:r>
      <w:r w:rsidR="004A052D">
        <w:t>,</w:t>
      </w:r>
      <w:r>
        <w:t xml:space="preserve"> and the senior management team comprising the group.</w:t>
      </w:r>
    </w:p>
    <w:p w14:paraId="077329CE" w14:textId="77777777" w:rsidR="00511B78" w:rsidRDefault="00B6006E" w:rsidP="00511B78">
      <w:pPr>
        <w:pStyle w:val="Normalnumbered"/>
        <w:numPr>
          <w:ilvl w:val="1"/>
          <w:numId w:val="6"/>
        </w:numPr>
        <w:ind w:left="0" w:firstLine="0"/>
      </w:pPr>
      <w:r>
        <w:t xml:space="preserve">IMAC </w:t>
      </w:r>
      <w:r w:rsidR="001B00F7">
        <w:t xml:space="preserve">has previously </w:t>
      </w:r>
      <w:r>
        <w:t>appreciated the plan put forward by the group, and the significant mobilization of</w:t>
      </w:r>
      <w:r w:rsidR="00862133">
        <w:t xml:space="preserve"> </w:t>
      </w:r>
      <w:r>
        <w:t>resources across various entities of the secretariat, supporting a considerable amount of work, with</w:t>
      </w:r>
      <w:r w:rsidR="00862133">
        <w:t xml:space="preserve"> </w:t>
      </w:r>
      <w:r>
        <w:t>all the actions moving in the right direction.</w:t>
      </w:r>
    </w:p>
    <w:p w14:paraId="6B118640" w14:textId="5DC0D209" w:rsidR="00B6006E" w:rsidRDefault="00B6006E" w:rsidP="008A5A1D">
      <w:pPr>
        <w:pStyle w:val="Normalnumbered"/>
        <w:numPr>
          <w:ilvl w:val="1"/>
          <w:numId w:val="6"/>
        </w:numPr>
        <w:ind w:left="0" w:firstLine="0"/>
      </w:pPr>
      <w:r>
        <w:t xml:space="preserve">The Committee was pleased to see </w:t>
      </w:r>
      <w:r w:rsidR="00511B78">
        <w:t>substantial</w:t>
      </w:r>
      <w:r>
        <w:t xml:space="preserve"> progress in improving internal controls, established at the </w:t>
      </w:r>
      <w:r w:rsidR="00A25B87">
        <w:t>BDT</w:t>
      </w:r>
      <w:r>
        <w:t>, and</w:t>
      </w:r>
      <w:r w:rsidR="008965BA">
        <w:t xml:space="preserve"> reiterated the need for all these controls to</w:t>
      </w:r>
      <w:r>
        <w:t xml:space="preserve"> be applied </w:t>
      </w:r>
      <w:r w:rsidR="00CA4DD4">
        <w:t xml:space="preserve">on an </w:t>
      </w:r>
      <w:r>
        <w:t>organization</w:t>
      </w:r>
      <w:r w:rsidR="00794ADF">
        <w:t>-</w:t>
      </w:r>
      <w:r>
        <w:t>wide</w:t>
      </w:r>
      <w:r w:rsidR="00CA4DD4">
        <w:t xml:space="preserve"> scale</w:t>
      </w:r>
      <w:r>
        <w:t>.</w:t>
      </w:r>
    </w:p>
    <w:p w14:paraId="5D4B7BD2" w14:textId="00334606" w:rsidR="003A0958" w:rsidRDefault="008E1C44" w:rsidP="008A5A1D">
      <w:pPr>
        <w:pStyle w:val="Normalnumbered"/>
        <w:numPr>
          <w:ilvl w:val="1"/>
          <w:numId w:val="6"/>
        </w:numPr>
        <w:ind w:left="0" w:firstLine="0"/>
      </w:pPr>
      <w:r w:rsidRPr="00251480">
        <w:t xml:space="preserve">IMAC noted </w:t>
      </w:r>
      <w:r w:rsidR="00943B7F" w:rsidRPr="00251480">
        <w:t xml:space="preserve">that </w:t>
      </w:r>
      <w:r w:rsidRPr="00251480">
        <w:t xml:space="preserve">the Internal Audit assessment of the </w:t>
      </w:r>
      <w:r w:rsidR="00A40F99" w:rsidRPr="00251480">
        <w:t>effectiveness of the actions implemented by the group</w:t>
      </w:r>
      <w:r w:rsidR="00943B7F" w:rsidRPr="00251480">
        <w:t xml:space="preserve"> </w:t>
      </w:r>
      <w:r w:rsidR="00A1766C" w:rsidRPr="00251480">
        <w:t xml:space="preserve">was </w:t>
      </w:r>
      <w:proofErr w:type="gramStart"/>
      <w:r w:rsidR="00A1766C" w:rsidRPr="00251480">
        <w:t>finalized</w:t>
      </w:r>
      <w:r w:rsidR="00A40F99" w:rsidRPr="00251480">
        <w:t xml:space="preserve">, </w:t>
      </w:r>
      <w:r w:rsidR="00E4725B" w:rsidRPr="00251480">
        <w:t>and</w:t>
      </w:r>
      <w:proofErr w:type="gramEnd"/>
      <w:r w:rsidR="00E4725B" w:rsidRPr="00251480">
        <w:t xml:space="preserve"> fed</w:t>
      </w:r>
      <w:r w:rsidR="00A1766C" w:rsidRPr="00251480">
        <w:t xml:space="preserve"> into the final conclusions of the External Auditors.</w:t>
      </w:r>
    </w:p>
    <w:p w14:paraId="1E40E39C" w14:textId="3AD878EA" w:rsidR="00AB0301" w:rsidRDefault="00AB0301" w:rsidP="008A5A1D">
      <w:pPr>
        <w:pStyle w:val="Normalnumbered"/>
        <w:numPr>
          <w:ilvl w:val="1"/>
          <w:numId w:val="6"/>
        </w:numPr>
        <w:ind w:left="0" w:firstLine="0"/>
      </w:pPr>
      <w:r w:rsidRPr="00251480">
        <w:lastRenderedPageBreak/>
        <w:t xml:space="preserve">IMAC </w:t>
      </w:r>
      <w:r w:rsidR="00D95814" w:rsidRPr="00251480">
        <w:t xml:space="preserve">was pleased to see </w:t>
      </w:r>
      <w:r w:rsidRPr="00251480">
        <w:t xml:space="preserve">the results of </w:t>
      </w:r>
      <w:r w:rsidR="00D95814" w:rsidRPr="00251480">
        <w:t xml:space="preserve">the assessment </w:t>
      </w:r>
      <w:r w:rsidRPr="00251480">
        <w:t>and the effective implementation of the activities of the group, represent</w:t>
      </w:r>
      <w:r w:rsidR="00373F58" w:rsidRPr="00251480">
        <w:t>ing</w:t>
      </w:r>
      <w:r w:rsidRPr="00251480">
        <w:t xml:space="preserve"> a major step towards the closure of </w:t>
      </w:r>
      <w:r w:rsidR="00373F58" w:rsidRPr="00251480">
        <w:t xml:space="preserve">the fraud </w:t>
      </w:r>
      <w:r w:rsidRPr="00251480">
        <w:t>case and the deficiencies previously identified</w:t>
      </w:r>
      <w:r>
        <w:t>.</w:t>
      </w:r>
    </w:p>
    <w:p w14:paraId="32D62607" w14:textId="285E6C39" w:rsidR="00FF6F1A" w:rsidRDefault="00C03A7C" w:rsidP="00A1766C">
      <w:pPr>
        <w:pStyle w:val="Normalnumbered"/>
        <w:numPr>
          <w:ilvl w:val="1"/>
          <w:numId w:val="6"/>
        </w:numPr>
        <w:ind w:left="0" w:firstLine="0"/>
      </w:pPr>
      <w:r>
        <w:t xml:space="preserve">The Committee </w:t>
      </w:r>
      <w:r w:rsidR="00B55A71">
        <w:t xml:space="preserve">highlighted the need to see traction in the implementation of the ITU accountability framework, ensuring </w:t>
      </w:r>
      <w:r w:rsidR="00B37927">
        <w:t xml:space="preserve">that </w:t>
      </w:r>
      <w:r w:rsidR="00845CF1">
        <w:t>the</w:t>
      </w:r>
      <w:r w:rsidR="002F1EDD">
        <w:t>re is an</w:t>
      </w:r>
      <w:r w:rsidR="00B37927">
        <w:t xml:space="preserve"> implementation plan </w:t>
      </w:r>
      <w:r w:rsidR="00845CF1">
        <w:t>focus</w:t>
      </w:r>
      <w:r w:rsidR="002F1EDD">
        <w:t>ing on</w:t>
      </w:r>
      <w:r w:rsidR="00845CF1">
        <w:t xml:space="preserve"> </w:t>
      </w:r>
      <w:r w:rsidR="00B37927">
        <w:t>reinforc</w:t>
      </w:r>
      <w:r w:rsidR="002F1EDD">
        <w:t>ing</w:t>
      </w:r>
      <w:r w:rsidR="00B37927">
        <w:t xml:space="preserve"> the culture of accountability</w:t>
      </w:r>
      <w:r w:rsidR="00693379">
        <w:t xml:space="preserve"> throughout the organization</w:t>
      </w:r>
      <w:r w:rsidR="00C04EB1">
        <w:t>.</w:t>
      </w:r>
      <w:r w:rsidR="00695382">
        <w:t xml:space="preserve"> IMAC highlighted the need to ensure buy-in </w:t>
      </w:r>
      <w:r w:rsidR="002B7030">
        <w:t xml:space="preserve">which will result </w:t>
      </w:r>
      <w:r w:rsidR="00695382">
        <w:t xml:space="preserve">from </w:t>
      </w:r>
      <w:r w:rsidR="002B7030">
        <w:t xml:space="preserve">the </w:t>
      </w:r>
      <w:r w:rsidR="00695382">
        <w:t xml:space="preserve">dissemination of the culture of accountability, through training and integration into </w:t>
      </w:r>
      <w:r w:rsidR="0098631A">
        <w:t xml:space="preserve">the supporting systems, including reflection in the </w:t>
      </w:r>
      <w:r w:rsidR="009C6F1F">
        <w:t>Enterprise</w:t>
      </w:r>
      <w:r w:rsidR="00981DBC">
        <w:t xml:space="preserve"> Resource Planning and Management Integrated System (</w:t>
      </w:r>
      <w:r w:rsidR="0098631A">
        <w:t>ERP</w:t>
      </w:r>
      <w:r w:rsidR="00981DBC">
        <w:t>)</w:t>
      </w:r>
      <w:r w:rsidR="0098631A">
        <w:t xml:space="preserve">. A well-integrated accountability framework would </w:t>
      </w:r>
      <w:r w:rsidR="00D32D57">
        <w:t xml:space="preserve">contribute </w:t>
      </w:r>
      <w:r w:rsidR="001A0E0B">
        <w:t>to</w:t>
      </w:r>
      <w:r w:rsidR="00D32D57">
        <w:t xml:space="preserve"> the reduction of </w:t>
      </w:r>
      <w:r w:rsidR="0098631A">
        <w:t>risks</w:t>
      </w:r>
      <w:r w:rsidR="00BC1FA8">
        <w:t>, by enhancing awareness and clarity</w:t>
      </w:r>
      <w:r w:rsidR="00BE44E9">
        <w:t>.</w:t>
      </w:r>
      <w:r w:rsidR="00DB4FEE">
        <w:t xml:space="preserve"> </w:t>
      </w:r>
      <w:r w:rsidR="00582ADC">
        <w:t>IMAC recommends the development of a</w:t>
      </w:r>
      <w:r w:rsidR="00DB4FEE">
        <w:t>n implementation plan that could be monitored</w:t>
      </w:r>
      <w:r w:rsidR="00582ADC">
        <w:t>,</w:t>
      </w:r>
      <w:r w:rsidR="00DB4FEE">
        <w:t xml:space="preserve"> with special attention to be provided to the regional offices</w:t>
      </w:r>
      <w:r w:rsidR="00823048">
        <w:t>, which should be incorporated in the process.</w:t>
      </w:r>
    </w:p>
    <w:p w14:paraId="34194957" w14:textId="50972710" w:rsidR="00F24AAF" w:rsidRPr="00A1766C" w:rsidRDefault="00A1766C" w:rsidP="00F24AAF">
      <w:pPr>
        <w:pStyle w:val="Normalnumbered"/>
        <w:numPr>
          <w:ilvl w:val="1"/>
          <w:numId w:val="6"/>
        </w:numPr>
        <w:ind w:left="0" w:firstLine="0"/>
      </w:pPr>
      <w:r w:rsidRPr="00A1766C">
        <w:t>IMAC requested a specific update on the future of th</w:t>
      </w:r>
      <w:r>
        <w:t>is</w:t>
      </w:r>
      <w:r w:rsidRPr="00A1766C">
        <w:t xml:space="preserve"> working group at the next </w:t>
      </w:r>
      <w:r w:rsidR="00D01308">
        <w:t>IMAC meeting, on how th</w:t>
      </w:r>
      <w:r w:rsidR="009B17C8">
        <w:t xml:space="preserve">e work of the group will be </w:t>
      </w:r>
      <w:r w:rsidR="00F858D5">
        <w:t>brought forward to ensure continuous improvement</w:t>
      </w:r>
      <w:r w:rsidR="00E46C37">
        <w:t xml:space="preserve">s of internal controls and the </w:t>
      </w:r>
      <w:r w:rsidRPr="00A1766C">
        <w:t>risk management</w:t>
      </w:r>
      <w:r w:rsidR="00E46C37">
        <w:t xml:space="preserve"> process.</w:t>
      </w:r>
    </w:p>
    <w:p w14:paraId="3B84F3EE" w14:textId="4B5BDAA9" w:rsidR="00AC280E" w:rsidRPr="008F7C12" w:rsidRDefault="00AC280E" w:rsidP="00AC280E">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jc w:val="both"/>
      </w:pPr>
      <w:r w:rsidRPr="002F5871">
        <w:rPr>
          <w:rStyle w:val="Ohne"/>
          <w:b/>
          <w:bCs/>
        </w:rPr>
        <w:t xml:space="preserve">Recommendation </w:t>
      </w:r>
      <w:r w:rsidR="00852567">
        <w:rPr>
          <w:rStyle w:val="Ohne"/>
          <w:b/>
          <w:bCs/>
        </w:rPr>
        <w:t xml:space="preserve">6 </w:t>
      </w:r>
      <w:r w:rsidRPr="002F5871">
        <w:rPr>
          <w:rStyle w:val="Ohne"/>
          <w:b/>
          <w:bCs/>
        </w:rPr>
        <w:t>(202</w:t>
      </w:r>
      <w:r>
        <w:rPr>
          <w:rStyle w:val="Ohne"/>
          <w:b/>
          <w:bCs/>
        </w:rPr>
        <w:t>2</w:t>
      </w:r>
      <w:r w:rsidRPr="002F5871">
        <w:rPr>
          <w:rStyle w:val="Ohne"/>
          <w:b/>
          <w:bCs/>
        </w:rPr>
        <w:t>)</w:t>
      </w:r>
      <w:r w:rsidRPr="002F5871">
        <w:t xml:space="preserve">: IMAC recommends that </w:t>
      </w:r>
      <w:r w:rsidR="00360A13">
        <w:t xml:space="preserve">the implementation of the accountability framework </w:t>
      </w:r>
      <w:r w:rsidR="00180D73">
        <w:t>be</w:t>
      </w:r>
      <w:r w:rsidR="00360A13">
        <w:t xml:space="preserve"> focus</w:t>
      </w:r>
      <w:r w:rsidR="00180D73">
        <w:t>ed</w:t>
      </w:r>
      <w:r w:rsidR="00360A13">
        <w:t xml:space="preserve"> on the dissemination </w:t>
      </w:r>
      <w:r w:rsidR="003F659D">
        <w:t>of the culture of accountability</w:t>
      </w:r>
      <w:r w:rsidR="00743BB0">
        <w:t xml:space="preserve">, ensuring buy-in </w:t>
      </w:r>
      <w:r w:rsidR="006904F2">
        <w:t xml:space="preserve">through appropriate trainings and integration into the support systems, </w:t>
      </w:r>
      <w:r w:rsidR="008C2BF2">
        <w:t xml:space="preserve">while being reflected in the ERP system, ensuring </w:t>
      </w:r>
      <w:r w:rsidR="00256D70">
        <w:t xml:space="preserve">efficiency and a </w:t>
      </w:r>
      <w:r w:rsidR="00CA4DD4">
        <w:t>well-integrated</w:t>
      </w:r>
      <w:r w:rsidR="00256D70">
        <w:t xml:space="preserve"> framework</w:t>
      </w:r>
      <w:r w:rsidR="00D81C72">
        <w:t>, including the regional office</w:t>
      </w:r>
      <w:r w:rsidR="00775349">
        <w:t>s</w:t>
      </w:r>
      <w:r w:rsidR="00D81C72">
        <w:t>,</w:t>
      </w:r>
      <w:r w:rsidR="00256D70">
        <w:t xml:space="preserve"> to </w:t>
      </w:r>
      <w:r w:rsidR="00775349">
        <w:t xml:space="preserve">ensure </w:t>
      </w:r>
      <w:r w:rsidR="00256D70">
        <w:t>reduc</w:t>
      </w:r>
      <w:r w:rsidR="00775349">
        <w:t xml:space="preserve">tion of </w:t>
      </w:r>
      <w:r w:rsidR="00256D70">
        <w:t>risks</w:t>
      </w:r>
      <w:r w:rsidRPr="002F5871">
        <w:t>.</w:t>
      </w:r>
    </w:p>
    <w:p w14:paraId="3192FDAC" w14:textId="77777777" w:rsidR="00E950CF" w:rsidRPr="00A201AB" w:rsidRDefault="00E950CF" w:rsidP="001A46E6">
      <w:pPr>
        <w:pStyle w:val="NumberedHeading"/>
        <w:numPr>
          <w:ilvl w:val="0"/>
          <w:numId w:val="6"/>
        </w:numPr>
        <w:spacing w:before="360"/>
        <w:rPr>
          <w:rStyle w:val="Sectiontitle0"/>
          <w:b/>
          <w:bCs/>
        </w:rPr>
      </w:pPr>
      <w:r w:rsidRPr="00A201AB">
        <w:rPr>
          <w:rStyle w:val="Sectiontitle0"/>
          <w:b/>
          <w:bCs/>
        </w:rPr>
        <w:t>Introduction with the new External Auditors: UK National Audit Office</w:t>
      </w:r>
    </w:p>
    <w:p w14:paraId="6F1A8F3D" w14:textId="3808E61A" w:rsidR="00E950CF" w:rsidRDefault="008C5BA3" w:rsidP="002019B4">
      <w:pPr>
        <w:pStyle w:val="Normalnumbered"/>
        <w:numPr>
          <w:ilvl w:val="1"/>
          <w:numId w:val="6"/>
        </w:numPr>
        <w:ind w:left="0" w:firstLine="0"/>
      </w:pPr>
      <w:r>
        <w:t>IMAC engaged with the new External Auditors, receiving a briefing</w:t>
      </w:r>
      <w:r w:rsidR="00F702AB">
        <w:t xml:space="preserve"> </w:t>
      </w:r>
      <w:r>
        <w:t>from the UK National Audit Office</w:t>
      </w:r>
      <w:r w:rsidR="002019B4">
        <w:t xml:space="preserve">. The Auditors </w:t>
      </w:r>
      <w:r w:rsidR="005E3CF2">
        <w:t xml:space="preserve">presented their experience and </w:t>
      </w:r>
      <w:r w:rsidR="00B949D8">
        <w:t xml:space="preserve">approach to the audit work and </w:t>
      </w:r>
      <w:r w:rsidR="002019B4">
        <w:t>e</w:t>
      </w:r>
      <w:r w:rsidR="00E950CF">
        <w:t xml:space="preserve">xplained </w:t>
      </w:r>
      <w:r w:rsidR="00DC2DFF">
        <w:t xml:space="preserve">in depth </w:t>
      </w:r>
      <w:r w:rsidR="00E950CF">
        <w:t xml:space="preserve">the methodology </w:t>
      </w:r>
      <w:r w:rsidR="002019B4">
        <w:t xml:space="preserve">for the </w:t>
      </w:r>
      <w:r w:rsidR="00E950CF">
        <w:t>audit</w:t>
      </w:r>
      <w:r w:rsidR="004D129C">
        <w:t xml:space="preserve"> of the ITU</w:t>
      </w:r>
      <w:r w:rsidR="00B949D8">
        <w:t xml:space="preserve">. </w:t>
      </w:r>
      <w:r w:rsidR="00E950CF">
        <w:t xml:space="preserve">IMAC </w:t>
      </w:r>
      <w:r w:rsidR="002019B4">
        <w:t xml:space="preserve">expressed its </w:t>
      </w:r>
      <w:r w:rsidR="00E950CF">
        <w:t xml:space="preserve">own expectations in terms of timeline </w:t>
      </w:r>
      <w:r w:rsidR="005B790F">
        <w:t>for the reports.</w:t>
      </w:r>
    </w:p>
    <w:p w14:paraId="43331775" w14:textId="5C44B776" w:rsidR="00970F76" w:rsidRDefault="005B790F" w:rsidP="00E950CF">
      <w:pPr>
        <w:pStyle w:val="Normalnumbered"/>
        <w:numPr>
          <w:ilvl w:val="1"/>
          <w:numId w:val="6"/>
        </w:numPr>
        <w:ind w:left="0" w:firstLine="0"/>
      </w:pPr>
      <w:r>
        <w:t>IMAC was pleased to see how the auditors</w:t>
      </w:r>
      <w:r w:rsidR="006D1A43">
        <w:t xml:space="preserve"> </w:t>
      </w:r>
      <w:r w:rsidR="00253CB7">
        <w:t>presented their plan</w:t>
      </w:r>
      <w:r w:rsidR="006D1A43">
        <w:t>,</w:t>
      </w:r>
      <w:r>
        <w:t xml:space="preserve"> </w:t>
      </w:r>
      <w:r w:rsidR="006D1A43">
        <w:t xml:space="preserve">and in particular their </w:t>
      </w:r>
      <w:r w:rsidR="00432FA9">
        <w:t>focus</w:t>
      </w:r>
      <w:r>
        <w:t xml:space="preserve"> to evaluate the e</w:t>
      </w:r>
      <w:r w:rsidR="00E950CF">
        <w:t>ffectiveness and efficiency</w:t>
      </w:r>
      <w:r>
        <w:t xml:space="preserve"> of the ITU </w:t>
      </w:r>
      <w:r w:rsidR="00F84846">
        <w:t>work</w:t>
      </w:r>
      <w:r w:rsidR="00432FA9">
        <w:t xml:space="preserve">. The Committee also </w:t>
      </w:r>
      <w:r w:rsidR="00237720">
        <w:t xml:space="preserve">noted with satisfaction the </w:t>
      </w:r>
      <w:r w:rsidR="00935AA2">
        <w:t xml:space="preserve">appropriate </w:t>
      </w:r>
      <w:r w:rsidR="00237720">
        <w:t>use of data and analytics</w:t>
      </w:r>
      <w:r w:rsidR="004E5E1D">
        <w:t xml:space="preserve"> and</w:t>
      </w:r>
      <w:r w:rsidR="00640E64">
        <w:t xml:space="preserve"> encourag</w:t>
      </w:r>
      <w:r w:rsidR="004E5E1D">
        <w:t>ed</w:t>
      </w:r>
      <w:r w:rsidR="00E8194E">
        <w:t xml:space="preserve"> also</w:t>
      </w:r>
      <w:r w:rsidR="00640E64">
        <w:t xml:space="preserve"> the ITU to leverage such tools to </w:t>
      </w:r>
      <w:r w:rsidR="00B86B95">
        <w:t xml:space="preserve">have better insights, </w:t>
      </w:r>
      <w:proofErr w:type="gramStart"/>
      <w:r w:rsidR="00B86B95">
        <w:t>in particular on</w:t>
      </w:r>
      <w:proofErr w:type="gramEnd"/>
      <w:r w:rsidR="00B86B95">
        <w:t xml:space="preserve"> financial </w:t>
      </w:r>
      <w:r w:rsidR="00472247">
        <w:t xml:space="preserve">aspects, strengthening </w:t>
      </w:r>
      <w:r w:rsidR="004E5E1D">
        <w:t xml:space="preserve">its </w:t>
      </w:r>
      <w:r w:rsidR="00472247">
        <w:t xml:space="preserve">second line of </w:t>
      </w:r>
      <w:r w:rsidR="0098624C">
        <w:t>defense</w:t>
      </w:r>
      <w:r w:rsidR="00472247">
        <w:t>.</w:t>
      </w:r>
    </w:p>
    <w:p w14:paraId="54F3621C" w14:textId="4DC0E38C" w:rsidR="00E950CF" w:rsidRDefault="00CA4DD4" w:rsidP="00503917">
      <w:pPr>
        <w:pStyle w:val="Normalnumbered"/>
        <w:numPr>
          <w:ilvl w:val="1"/>
          <w:numId w:val="6"/>
        </w:numPr>
        <w:ind w:left="0" w:firstLine="0"/>
      </w:pPr>
      <w:r>
        <w:t>Regarding the</w:t>
      </w:r>
      <w:r w:rsidR="00E950CF">
        <w:t xml:space="preserve"> outgoing </w:t>
      </w:r>
      <w:r w:rsidR="00A34DEB">
        <w:t xml:space="preserve">External </w:t>
      </w:r>
      <w:r w:rsidR="00E950CF">
        <w:t>Auditors</w:t>
      </w:r>
      <w:r w:rsidR="00A34DEB">
        <w:t xml:space="preserve"> (Corte dei Conti)</w:t>
      </w:r>
      <w:r>
        <w:t xml:space="preserve">, the </w:t>
      </w:r>
      <w:bookmarkStart w:id="12" w:name="_Hlk109891000"/>
      <w:r>
        <w:t xml:space="preserve">Committee noted the </w:t>
      </w:r>
      <w:bookmarkStart w:id="13" w:name="_Hlk112851089"/>
      <w:r>
        <w:t>extreme importance</w:t>
      </w:r>
      <w:r w:rsidR="00E950CF">
        <w:t xml:space="preserve"> </w:t>
      </w:r>
      <w:r>
        <w:t>of</w:t>
      </w:r>
      <w:r w:rsidR="00E950CF">
        <w:t xml:space="preserve"> </w:t>
      </w:r>
      <w:r w:rsidR="00A34DEB">
        <w:t xml:space="preserve">timely </w:t>
      </w:r>
      <w:r w:rsidR="00E950CF">
        <w:t>provid</w:t>
      </w:r>
      <w:r>
        <w:t>ing</w:t>
      </w:r>
      <w:r w:rsidR="00E950CF">
        <w:t xml:space="preserve"> all necessary documentation to the new External Auditors</w:t>
      </w:r>
      <w:r w:rsidR="00503917">
        <w:t xml:space="preserve">, and </w:t>
      </w:r>
      <w:r>
        <w:t xml:space="preserve">encouraged </w:t>
      </w:r>
      <w:r w:rsidR="00AB00BD">
        <w:t>them</w:t>
      </w:r>
      <w:r>
        <w:t xml:space="preserve"> to review</w:t>
      </w:r>
      <w:r w:rsidR="00E950CF">
        <w:t xml:space="preserve"> their </w:t>
      </w:r>
      <w:r w:rsidR="004E5E1D">
        <w:t xml:space="preserve">open </w:t>
      </w:r>
      <w:r w:rsidR="00E950CF">
        <w:t>recommendations</w:t>
      </w:r>
      <w:r w:rsidR="00503917">
        <w:t xml:space="preserve">, </w:t>
      </w:r>
      <w:proofErr w:type="gramStart"/>
      <w:r w:rsidR="00503917">
        <w:t>in order for</w:t>
      </w:r>
      <w:proofErr w:type="gramEnd"/>
      <w:r w:rsidR="00503917">
        <w:t xml:space="preserve"> </w:t>
      </w:r>
      <w:r w:rsidR="00E950CF">
        <w:t xml:space="preserve">those implemented </w:t>
      </w:r>
      <w:r w:rsidR="00162E2A">
        <w:t>to</w:t>
      </w:r>
      <w:r w:rsidR="00E950CF">
        <w:t xml:space="preserve"> be suitable closed</w:t>
      </w:r>
      <w:bookmarkEnd w:id="13"/>
      <w:r w:rsidR="00503917">
        <w:t>.</w:t>
      </w:r>
      <w:bookmarkEnd w:id="12"/>
    </w:p>
    <w:p w14:paraId="361E5BCB" w14:textId="4B899490" w:rsidR="00162E2A" w:rsidRDefault="000742D3" w:rsidP="00503917">
      <w:pPr>
        <w:pStyle w:val="Normalnumbered"/>
        <w:numPr>
          <w:ilvl w:val="1"/>
          <w:numId w:val="6"/>
        </w:numPr>
        <w:ind w:left="0" w:firstLine="0"/>
      </w:pPr>
      <w:r>
        <w:t xml:space="preserve">IMAC also </w:t>
      </w:r>
      <w:r w:rsidR="00940FCF">
        <w:t xml:space="preserve">had a productive </w:t>
      </w:r>
      <w:r>
        <w:t xml:space="preserve">tripartite meeting with the Internal Audit and the new External Auditors, </w:t>
      </w:r>
      <w:r w:rsidR="00940FCF">
        <w:t xml:space="preserve">discussing the </w:t>
      </w:r>
      <w:r w:rsidR="002E50B9">
        <w:t xml:space="preserve">need for a good collaboration between the two, and addressing issues such as the respective roles in terms of </w:t>
      </w:r>
      <w:r w:rsidR="00B60CA6">
        <w:t xml:space="preserve">auditing capacity for the HQ building construction project, </w:t>
      </w:r>
      <w:r w:rsidR="009C0145">
        <w:t>clarify</w:t>
      </w:r>
      <w:r w:rsidR="008035BE">
        <w:t>ing</w:t>
      </w:r>
      <w:r w:rsidR="009C0145">
        <w:t xml:space="preserve"> the role of the External Auditor.</w:t>
      </w:r>
    </w:p>
    <w:p w14:paraId="0E3AAE20" w14:textId="3529459F" w:rsidR="00E950CF" w:rsidRDefault="009C0145" w:rsidP="00E950CF">
      <w:pPr>
        <w:pStyle w:val="Normalnumbered"/>
        <w:numPr>
          <w:ilvl w:val="1"/>
          <w:numId w:val="6"/>
        </w:numPr>
        <w:ind w:left="0" w:firstLine="0"/>
      </w:pPr>
      <w:r>
        <w:t>IMAC was also pleased to note the c</w:t>
      </w:r>
      <w:r w:rsidR="00E950CF">
        <w:t xml:space="preserve">ommitment </w:t>
      </w:r>
      <w:r>
        <w:t xml:space="preserve">from the new External Auditors </w:t>
      </w:r>
      <w:r w:rsidR="00E950CF">
        <w:t xml:space="preserve">to </w:t>
      </w:r>
      <w:proofErr w:type="gramStart"/>
      <w:r w:rsidR="00E950CF">
        <w:t xml:space="preserve">look </w:t>
      </w:r>
      <w:r w:rsidR="00851790">
        <w:t>into</w:t>
      </w:r>
      <w:proofErr w:type="gramEnd"/>
      <w:r w:rsidR="00851790">
        <w:t xml:space="preserve"> </w:t>
      </w:r>
      <w:r w:rsidR="001E4EA7">
        <w:t xml:space="preserve">the </w:t>
      </w:r>
      <w:r w:rsidR="00851790">
        <w:t xml:space="preserve">ITU’s regional presence </w:t>
      </w:r>
      <w:r w:rsidR="00E950CF">
        <w:t xml:space="preserve">sooner </w:t>
      </w:r>
      <w:r w:rsidR="00276E31">
        <w:t xml:space="preserve">rather </w:t>
      </w:r>
      <w:r w:rsidR="00E950CF">
        <w:t>than later</w:t>
      </w:r>
      <w:r w:rsidR="00276E31">
        <w:t xml:space="preserve">, </w:t>
      </w:r>
      <w:r w:rsidR="00E950CF">
        <w:t>in terms of</w:t>
      </w:r>
      <w:r w:rsidR="00096B20">
        <w:t xml:space="preserve"> understanding the business </w:t>
      </w:r>
      <w:r w:rsidR="00B6354B">
        <w:t>and conducting a</w:t>
      </w:r>
      <w:r w:rsidR="00E950CF">
        <w:t xml:space="preserve"> risk assessment</w:t>
      </w:r>
      <w:r w:rsidR="002F6B03">
        <w:t>.</w:t>
      </w:r>
    </w:p>
    <w:p w14:paraId="7C36B3AC" w14:textId="0E8F0439" w:rsidR="00E950CF" w:rsidRPr="00E872BF" w:rsidRDefault="00E950CF" w:rsidP="001A46E6">
      <w:pPr>
        <w:pStyle w:val="NumberedHeading"/>
        <w:numPr>
          <w:ilvl w:val="0"/>
          <w:numId w:val="6"/>
        </w:numPr>
        <w:spacing w:before="360"/>
        <w:rPr>
          <w:rStyle w:val="Sectiontitle0"/>
          <w:b/>
          <w:bCs/>
          <w:lang w:val="fr-FR"/>
        </w:rPr>
      </w:pPr>
      <w:r w:rsidRPr="00E872BF">
        <w:rPr>
          <w:rStyle w:val="Sectiontitle0"/>
          <w:b/>
          <w:bCs/>
          <w:lang w:val="fr-FR"/>
        </w:rPr>
        <w:lastRenderedPageBreak/>
        <w:t>External Auditors</w:t>
      </w:r>
      <w:r w:rsidR="00FC2E65" w:rsidRPr="00E872BF">
        <w:rPr>
          <w:rStyle w:val="Sectiontitle0"/>
          <w:b/>
          <w:bCs/>
          <w:lang w:val="fr-FR"/>
        </w:rPr>
        <w:t xml:space="preserve"> (Corte dei Conti)</w:t>
      </w:r>
    </w:p>
    <w:p w14:paraId="0E229271" w14:textId="77112D17" w:rsidR="002F6B03" w:rsidRDefault="002F6B03" w:rsidP="00E950CF">
      <w:pPr>
        <w:pStyle w:val="Normalnumbered"/>
        <w:numPr>
          <w:ilvl w:val="1"/>
          <w:numId w:val="6"/>
        </w:numPr>
        <w:ind w:left="0" w:firstLine="0"/>
      </w:pPr>
      <w:r>
        <w:t xml:space="preserve">IMAC has conducted several formal and informal exchanges with the External Auditors, </w:t>
      </w:r>
      <w:r w:rsidR="004737B2">
        <w:t xml:space="preserve">discussing the progress of the External Auditor’s reports </w:t>
      </w:r>
      <w:r w:rsidR="00500308">
        <w:t>and their main findings</w:t>
      </w:r>
      <w:r w:rsidR="003B180B">
        <w:t>, including a meeting after the completion of the</w:t>
      </w:r>
      <w:r w:rsidR="007F5DB6">
        <w:t>ir latest report before the final session of Council at PP-22</w:t>
      </w:r>
      <w:r w:rsidR="00500308">
        <w:t>.</w:t>
      </w:r>
      <w:r w:rsidR="00132712">
        <w:t xml:space="preserve"> The External Auditor’s report for the 2021 Financial Statements </w:t>
      </w:r>
      <w:r w:rsidR="007F5DB6">
        <w:t>is</w:t>
      </w:r>
      <w:r w:rsidR="00132712">
        <w:t xml:space="preserve"> the last report to be produced by Corte dei Conti</w:t>
      </w:r>
      <w:r w:rsidR="007E4EAF">
        <w:t xml:space="preserve"> for their term in the ITU</w:t>
      </w:r>
      <w:r w:rsidR="00132712">
        <w:t>.</w:t>
      </w:r>
    </w:p>
    <w:p w14:paraId="436CAB02" w14:textId="7762310E" w:rsidR="00500308" w:rsidRDefault="00736EE3" w:rsidP="00E950CF">
      <w:pPr>
        <w:pStyle w:val="Normalnumbered"/>
        <w:numPr>
          <w:ilvl w:val="1"/>
          <w:numId w:val="6"/>
        </w:numPr>
        <w:ind w:left="0" w:firstLine="0"/>
      </w:pPr>
      <w:r w:rsidRPr="009C6F1F">
        <w:t xml:space="preserve">IMAC </w:t>
      </w:r>
      <w:r w:rsidR="00EF2021" w:rsidRPr="009C6F1F">
        <w:t>appreciated the outcome</w:t>
      </w:r>
      <w:r w:rsidR="00F369B6">
        <w:t xml:space="preserve"> of the report</w:t>
      </w:r>
      <w:r w:rsidR="00613080">
        <w:t xml:space="preserve"> on the 2021 Financial Statements</w:t>
      </w:r>
      <w:r w:rsidR="00F369B6">
        <w:t xml:space="preserve"> and was pleased to </w:t>
      </w:r>
      <w:r w:rsidR="00594BE6">
        <w:t>note</w:t>
      </w:r>
      <w:r w:rsidR="00F369B6">
        <w:t xml:space="preserve"> that </w:t>
      </w:r>
      <w:r w:rsidR="00892A0A">
        <w:t>a</w:t>
      </w:r>
      <w:r w:rsidR="00D033D2">
        <w:t>n</w:t>
      </w:r>
      <w:r w:rsidR="00F369B6">
        <w:t xml:space="preserve"> </w:t>
      </w:r>
      <w:r w:rsidR="001A7085">
        <w:t>unqualified audit opinion</w:t>
      </w:r>
      <w:r w:rsidR="00BB711E">
        <w:t xml:space="preserve"> was concluded by the External Auditors</w:t>
      </w:r>
      <w:r w:rsidR="00F66FE1">
        <w:t>.</w:t>
      </w:r>
    </w:p>
    <w:p w14:paraId="77C8F2C4" w14:textId="56065362" w:rsidR="00F66FE1" w:rsidRDefault="004E7566" w:rsidP="00E950CF">
      <w:pPr>
        <w:pStyle w:val="Normalnumbered"/>
        <w:numPr>
          <w:ilvl w:val="1"/>
          <w:numId w:val="6"/>
        </w:numPr>
        <w:ind w:left="0" w:firstLine="0"/>
      </w:pPr>
      <w:r w:rsidRPr="004E7566">
        <w:t>The External Auditor’s Report for 202</w:t>
      </w:r>
      <w:r w:rsidR="00EA6DC5">
        <w:t>1</w:t>
      </w:r>
      <w:r w:rsidRPr="004E7566">
        <w:t xml:space="preserve"> has again included an emphasis of matter on the impact of actuarial liabilities relating to long-term employee benefits recorded in the financial position, </w:t>
      </w:r>
      <w:proofErr w:type="gramStart"/>
      <w:r w:rsidRPr="004E7566">
        <w:t>in particular the</w:t>
      </w:r>
      <w:proofErr w:type="gramEnd"/>
      <w:r w:rsidRPr="004E7566">
        <w:t xml:space="preserve"> After Service Health Insurance plan (ASHI)</w:t>
      </w:r>
      <w:r w:rsidR="004B0995">
        <w:t>.</w:t>
      </w:r>
    </w:p>
    <w:p w14:paraId="4BB9C63F" w14:textId="5DDC8E01" w:rsidR="004B0995" w:rsidRDefault="004B0995" w:rsidP="00E950CF">
      <w:pPr>
        <w:pStyle w:val="Normalnumbered"/>
        <w:numPr>
          <w:ilvl w:val="1"/>
          <w:numId w:val="6"/>
        </w:numPr>
        <w:ind w:left="0" w:firstLine="0"/>
      </w:pPr>
      <w:r>
        <w:t xml:space="preserve">IMAC </w:t>
      </w:r>
      <w:r w:rsidR="00EC125B" w:rsidRPr="00EC125B">
        <w:t>commends the External Auditor’s Report and audit recommendations to the Council’s priority attention</w:t>
      </w:r>
      <w:r w:rsidR="00EC125B">
        <w:t>.</w:t>
      </w:r>
    </w:p>
    <w:p w14:paraId="7140A1E3" w14:textId="25A90DCF" w:rsidR="00D033D2" w:rsidRDefault="0037469F" w:rsidP="00E950CF">
      <w:pPr>
        <w:pStyle w:val="Normalnumbered"/>
        <w:numPr>
          <w:ilvl w:val="1"/>
          <w:numId w:val="6"/>
        </w:numPr>
        <w:ind w:left="0" w:firstLine="0"/>
      </w:pPr>
      <w:r>
        <w:t>IMAC also note</w:t>
      </w:r>
      <w:r w:rsidR="006D398E">
        <w:t>d</w:t>
      </w:r>
      <w:r>
        <w:t xml:space="preserve"> the special report on the Audit of the Regional Office for the Americas, </w:t>
      </w:r>
      <w:r w:rsidR="00632D4C">
        <w:t xml:space="preserve">where Corte dei Conti visited Brasilia </w:t>
      </w:r>
      <w:r w:rsidR="002B458C">
        <w:t xml:space="preserve">and issued a series of </w:t>
      </w:r>
      <w:r w:rsidR="00E262C5">
        <w:t xml:space="preserve">twenty-three (23) </w:t>
      </w:r>
      <w:r w:rsidR="002B458C">
        <w:t xml:space="preserve">recommendations </w:t>
      </w:r>
      <w:r w:rsidR="00170959">
        <w:t>aimed at enhancing internal controls</w:t>
      </w:r>
      <w:r w:rsidR="006D398E">
        <w:t>.</w:t>
      </w:r>
    </w:p>
    <w:p w14:paraId="7BD444E4" w14:textId="793DD916" w:rsidR="00191C4B" w:rsidRDefault="00500308" w:rsidP="007475DA">
      <w:pPr>
        <w:pStyle w:val="Normalnumbered"/>
        <w:numPr>
          <w:ilvl w:val="1"/>
          <w:numId w:val="6"/>
        </w:numPr>
        <w:ind w:left="0" w:firstLine="0"/>
      </w:pPr>
      <w:r>
        <w:t xml:space="preserve">In terms of the transition </w:t>
      </w:r>
      <w:r w:rsidR="007475DA">
        <w:t xml:space="preserve">phase </w:t>
      </w:r>
      <w:r>
        <w:t xml:space="preserve">to the new team of External Auditors (the UK National Audit Office), </w:t>
      </w:r>
      <w:r w:rsidR="006C7D73">
        <w:t xml:space="preserve">IMAC </w:t>
      </w:r>
      <w:r w:rsidR="00367543">
        <w:t>underlined</w:t>
      </w:r>
      <w:r w:rsidR="00E950CF">
        <w:t xml:space="preserve"> the strict timeline and </w:t>
      </w:r>
      <w:r w:rsidR="006C7D73">
        <w:t xml:space="preserve">advised </w:t>
      </w:r>
      <w:r w:rsidR="00E950CF">
        <w:t xml:space="preserve">that a clear handover/takeover </w:t>
      </w:r>
      <w:r w:rsidR="006C7D73">
        <w:t xml:space="preserve">plan </w:t>
      </w:r>
      <w:r w:rsidR="00E950CF">
        <w:t xml:space="preserve">is needed, in terms of documents </w:t>
      </w:r>
      <w:r w:rsidR="00384E08">
        <w:t xml:space="preserve">to be shared </w:t>
      </w:r>
      <w:r w:rsidR="00E950CF">
        <w:t xml:space="preserve">and </w:t>
      </w:r>
      <w:r w:rsidR="00384E08">
        <w:t xml:space="preserve">follow-up to the previous External Auditor’s </w:t>
      </w:r>
      <w:r w:rsidR="00E950CF">
        <w:t>recommendations</w:t>
      </w:r>
      <w:r w:rsidR="006C7D73">
        <w:t>.</w:t>
      </w:r>
    </w:p>
    <w:p w14:paraId="54BE26D0" w14:textId="171BA843" w:rsidR="000E4EA3" w:rsidRDefault="000E4EA3" w:rsidP="007475DA">
      <w:pPr>
        <w:pStyle w:val="Normalnumbered"/>
        <w:numPr>
          <w:ilvl w:val="1"/>
          <w:numId w:val="6"/>
        </w:numPr>
        <w:ind w:left="0" w:firstLine="0"/>
      </w:pPr>
      <w:r>
        <w:t xml:space="preserve">As mentioned in </w:t>
      </w:r>
      <w:r w:rsidRPr="009C6F1F">
        <w:t>12.3</w:t>
      </w:r>
      <w:r>
        <w:t xml:space="preserve">, the </w:t>
      </w:r>
      <w:r w:rsidRPr="000E4EA3">
        <w:t xml:space="preserve">Committee noted the extreme importance </w:t>
      </w:r>
      <w:r w:rsidR="00AB00BD" w:rsidRPr="00AB00BD">
        <w:t xml:space="preserve">of timely providing all necessary documentation to the new External Auditors, and encouraged them to review their open recommendations, </w:t>
      </w:r>
      <w:proofErr w:type="gramStart"/>
      <w:r w:rsidR="00AB00BD" w:rsidRPr="00AB00BD">
        <w:t>in order for</w:t>
      </w:r>
      <w:proofErr w:type="gramEnd"/>
      <w:r w:rsidR="00AB00BD" w:rsidRPr="00AB00BD">
        <w:t xml:space="preserve"> those implemented to be suitable closed</w:t>
      </w:r>
      <w:r>
        <w:t>.</w:t>
      </w:r>
    </w:p>
    <w:p w14:paraId="1B12D3C1" w14:textId="67931ECD" w:rsidR="005F5DAC" w:rsidRDefault="0015647F" w:rsidP="007475DA">
      <w:pPr>
        <w:pStyle w:val="Normalnumbered"/>
        <w:numPr>
          <w:ilvl w:val="1"/>
          <w:numId w:val="6"/>
        </w:numPr>
        <w:ind w:left="0" w:firstLine="0"/>
      </w:pPr>
      <w:r>
        <w:t xml:space="preserve">Given </w:t>
      </w:r>
      <w:r w:rsidR="00A31F6C">
        <w:t>that 2021 is the last year of audit for Corte dei Conti</w:t>
      </w:r>
      <w:r w:rsidR="007657FA">
        <w:t xml:space="preserve">, </w:t>
      </w:r>
      <w:r w:rsidR="00A31F6C">
        <w:t xml:space="preserve">Italy, IMAC would </w:t>
      </w:r>
      <w:r w:rsidR="007657FA">
        <w:t xml:space="preserve">like to recognize </w:t>
      </w:r>
      <w:r w:rsidR="00BB56D7">
        <w:t xml:space="preserve">all </w:t>
      </w:r>
      <w:r w:rsidR="007657FA">
        <w:t xml:space="preserve">the </w:t>
      </w:r>
      <w:r w:rsidR="00E426C5">
        <w:t>efforts of the outgoing External Auditors</w:t>
      </w:r>
      <w:r w:rsidR="00203537">
        <w:t xml:space="preserve"> and</w:t>
      </w:r>
      <w:r w:rsidR="00F84000">
        <w:t xml:space="preserve"> </w:t>
      </w:r>
      <w:r w:rsidR="004367B4">
        <w:t xml:space="preserve">to </w:t>
      </w:r>
      <w:r w:rsidR="00203537">
        <w:t xml:space="preserve">compliment </w:t>
      </w:r>
      <w:r w:rsidR="00C24E66">
        <w:t xml:space="preserve">on </w:t>
      </w:r>
      <w:r w:rsidR="00203537">
        <w:t xml:space="preserve">their work and </w:t>
      </w:r>
      <w:r w:rsidR="00F84000">
        <w:t xml:space="preserve">the </w:t>
      </w:r>
      <w:r w:rsidR="00203537">
        <w:t xml:space="preserve">high-quality interactions with IMAC, while also </w:t>
      </w:r>
      <w:r w:rsidR="00670F11">
        <w:t xml:space="preserve">recognizing the attention and </w:t>
      </w:r>
      <w:r w:rsidR="00625C1C">
        <w:t>engagement</w:t>
      </w:r>
      <w:r w:rsidR="00670F11">
        <w:t xml:space="preserve"> of the Secretary-General </w:t>
      </w:r>
      <w:r w:rsidR="00625C1C">
        <w:t>for his willingness to</w:t>
      </w:r>
      <w:r w:rsidR="00174BC9">
        <w:t xml:space="preserve"> </w:t>
      </w:r>
      <w:r w:rsidR="00625C1C">
        <w:t>engage</w:t>
      </w:r>
      <w:r w:rsidR="00174BC9">
        <w:t xml:space="preserve"> his time and</w:t>
      </w:r>
      <w:r w:rsidR="00625C1C">
        <w:t xml:space="preserve"> resources in the process, as well as </w:t>
      </w:r>
      <w:r w:rsidR="00670F11">
        <w:t xml:space="preserve">the ITU management team </w:t>
      </w:r>
      <w:r w:rsidR="00B234A2">
        <w:t>for their</w:t>
      </w:r>
      <w:r w:rsidR="00C24E66">
        <w:t xml:space="preserve"> collaboration and</w:t>
      </w:r>
      <w:r w:rsidR="00B234A2">
        <w:t xml:space="preserve"> </w:t>
      </w:r>
      <w:r w:rsidR="002A0C19">
        <w:t>efforts.</w:t>
      </w:r>
    </w:p>
    <w:p w14:paraId="0D647E0E" w14:textId="28FD6802" w:rsidR="00DC565A" w:rsidRPr="001769DE" w:rsidRDefault="00DC565A" w:rsidP="001A46E6">
      <w:pPr>
        <w:pStyle w:val="NumberedHeading"/>
        <w:numPr>
          <w:ilvl w:val="0"/>
          <w:numId w:val="6"/>
        </w:numPr>
        <w:spacing w:before="360"/>
        <w:rPr>
          <w:rStyle w:val="Sectiontitle0"/>
          <w:b/>
          <w:bCs/>
        </w:rPr>
      </w:pPr>
      <w:r w:rsidRPr="001769DE">
        <w:rPr>
          <w:rStyle w:val="Sectiontitle0"/>
          <w:b/>
          <w:bCs/>
        </w:rPr>
        <w:t>EVALUATION FUNCTION</w:t>
      </w:r>
    </w:p>
    <w:p w14:paraId="22653080" w14:textId="7705E7C6" w:rsidR="008B59A8" w:rsidRDefault="008B59A8" w:rsidP="008B59A8">
      <w:pPr>
        <w:pStyle w:val="Normalnumbered"/>
        <w:numPr>
          <w:ilvl w:val="1"/>
          <w:numId w:val="6"/>
        </w:numPr>
        <w:ind w:left="0" w:firstLine="0"/>
        <w:rPr>
          <w:lang w:val="en-GB"/>
        </w:rPr>
      </w:pPr>
      <w:r>
        <w:rPr>
          <w:lang w:val="en-GB"/>
        </w:rPr>
        <w:t>IMAC had previously highlighted the importance of the evaluation function, and the need for the organization to pursue it in a more focused way, strengthening the evaluation culture across the organization, and gradually making evaluation part of every major initiative and project.</w:t>
      </w:r>
    </w:p>
    <w:p w14:paraId="45AB7CE6" w14:textId="1567D66D" w:rsidR="00FD2AD0" w:rsidRDefault="00FD2AD0" w:rsidP="00FD2AD0">
      <w:pPr>
        <w:pStyle w:val="Normalnumbered"/>
        <w:numPr>
          <w:ilvl w:val="1"/>
          <w:numId w:val="6"/>
        </w:numPr>
        <w:ind w:left="0" w:firstLine="0"/>
        <w:rPr>
          <w:lang w:val="en-GB"/>
        </w:rPr>
      </w:pPr>
      <w:r>
        <w:rPr>
          <w:lang w:val="en-GB"/>
        </w:rPr>
        <w:t>The Committee will continue to engage with the ITU management in the future on developments in this area.</w:t>
      </w:r>
    </w:p>
    <w:p w14:paraId="4472F82A" w14:textId="64CC0886" w:rsidR="00373A00" w:rsidRPr="0038211E" w:rsidRDefault="00373A00" w:rsidP="001A46E6">
      <w:pPr>
        <w:pStyle w:val="NumberedHeading"/>
        <w:numPr>
          <w:ilvl w:val="0"/>
          <w:numId w:val="6"/>
        </w:numPr>
        <w:spacing w:before="360"/>
        <w:rPr>
          <w:rStyle w:val="Sectiontitle0"/>
          <w:b/>
          <w:bCs/>
        </w:rPr>
      </w:pPr>
      <w:r w:rsidRPr="0038211E">
        <w:rPr>
          <w:rStyle w:val="Sectiontitle0"/>
          <w:b/>
          <w:bCs/>
        </w:rPr>
        <w:t>ENGAGEMENT WITH ITU MANAGEMENT / OTHER MATTERS</w:t>
      </w:r>
    </w:p>
    <w:p w14:paraId="660FF601" w14:textId="5B767B29" w:rsidR="00DF1FEA" w:rsidRDefault="00CE1977" w:rsidP="00DF1FEA">
      <w:pPr>
        <w:pStyle w:val="Normalnumbered"/>
        <w:numPr>
          <w:ilvl w:val="1"/>
          <w:numId w:val="6"/>
        </w:numPr>
        <w:ind w:left="0" w:firstLine="0"/>
        <w:rPr>
          <w:lang w:val="en-GB"/>
        </w:rPr>
      </w:pPr>
      <w:r w:rsidRPr="00CE1977">
        <w:rPr>
          <w:lang w:val="en-GB"/>
        </w:rPr>
        <w:t xml:space="preserve">In accordance with its </w:t>
      </w:r>
      <w:r w:rsidR="000B3235">
        <w:rPr>
          <w:lang w:val="en-GB"/>
        </w:rPr>
        <w:t xml:space="preserve">established </w:t>
      </w:r>
      <w:r w:rsidRPr="00CE1977">
        <w:rPr>
          <w:lang w:val="en-GB"/>
        </w:rPr>
        <w:t>practice, IMAC continued to engage with the ITU Secretary-General on the Committee meeting’s deliberations and observations</w:t>
      </w:r>
      <w:r w:rsidR="007709C3">
        <w:rPr>
          <w:lang w:val="en-GB"/>
        </w:rPr>
        <w:t xml:space="preserve">. </w:t>
      </w:r>
      <w:r w:rsidRPr="007709C3">
        <w:rPr>
          <w:lang w:val="en-GB"/>
        </w:rPr>
        <w:t>IMAC note</w:t>
      </w:r>
      <w:r w:rsidR="007709C3">
        <w:rPr>
          <w:lang w:val="en-GB"/>
        </w:rPr>
        <w:t>d</w:t>
      </w:r>
      <w:r w:rsidRPr="007709C3">
        <w:rPr>
          <w:lang w:val="en-GB"/>
        </w:rPr>
        <w:t xml:space="preserve"> the </w:t>
      </w:r>
      <w:r w:rsidRPr="007709C3">
        <w:rPr>
          <w:lang w:val="en-GB"/>
        </w:rPr>
        <w:lastRenderedPageBreak/>
        <w:t>open and fruitful discussions</w:t>
      </w:r>
      <w:r w:rsidR="00DF1FEA">
        <w:rPr>
          <w:lang w:val="en-GB"/>
        </w:rPr>
        <w:t xml:space="preserve"> </w:t>
      </w:r>
      <w:r w:rsidRPr="00DF1FEA">
        <w:rPr>
          <w:lang w:val="en-GB"/>
        </w:rPr>
        <w:t>with the Secretary-General, and appreciates his engagement, commitment and reaction to</w:t>
      </w:r>
      <w:r w:rsidR="00DF1FEA">
        <w:rPr>
          <w:lang w:val="en-GB"/>
        </w:rPr>
        <w:t xml:space="preserve"> </w:t>
      </w:r>
      <w:r w:rsidRPr="00DF1FEA">
        <w:rPr>
          <w:lang w:val="en-GB"/>
        </w:rPr>
        <w:t>the issues raised by the Committee.</w:t>
      </w:r>
    </w:p>
    <w:p w14:paraId="285672D9" w14:textId="6B5FB872" w:rsidR="00567C06" w:rsidRDefault="00CE1977" w:rsidP="00567C06">
      <w:pPr>
        <w:pStyle w:val="Normalnumbered"/>
        <w:numPr>
          <w:ilvl w:val="1"/>
          <w:numId w:val="6"/>
        </w:numPr>
        <w:ind w:left="0" w:firstLine="0"/>
        <w:rPr>
          <w:lang w:val="en-GB"/>
        </w:rPr>
      </w:pPr>
      <w:r w:rsidRPr="00DF1FEA">
        <w:rPr>
          <w:lang w:val="en-GB"/>
        </w:rPr>
        <w:t xml:space="preserve">IMAC members </w:t>
      </w:r>
      <w:r w:rsidR="000B3235">
        <w:rPr>
          <w:lang w:val="en-GB"/>
        </w:rPr>
        <w:t xml:space="preserve">also </w:t>
      </w:r>
      <w:r w:rsidRPr="00DF1FEA">
        <w:rPr>
          <w:lang w:val="en-GB"/>
        </w:rPr>
        <w:t>wish to express their continuing appreciation to the Deputy Secretary</w:t>
      </w:r>
      <w:r w:rsidR="00DF1FEA">
        <w:rPr>
          <w:lang w:val="en-GB"/>
        </w:rPr>
        <w:t>-</w:t>
      </w:r>
      <w:r w:rsidRPr="00DF1FEA">
        <w:rPr>
          <w:lang w:val="en-GB"/>
        </w:rPr>
        <w:t>General</w:t>
      </w:r>
      <w:r w:rsidR="00966C84">
        <w:rPr>
          <w:lang w:val="en-GB"/>
        </w:rPr>
        <w:t xml:space="preserve"> and</w:t>
      </w:r>
      <w:r w:rsidRPr="00DF1FEA">
        <w:rPr>
          <w:lang w:val="en-GB"/>
        </w:rPr>
        <w:t xml:space="preserve"> the Directors of the Bureaux</w:t>
      </w:r>
      <w:r w:rsidR="00966C84">
        <w:rPr>
          <w:lang w:val="en-GB"/>
        </w:rPr>
        <w:t xml:space="preserve">, </w:t>
      </w:r>
      <w:r w:rsidR="004B6B59">
        <w:rPr>
          <w:lang w:val="en-GB"/>
        </w:rPr>
        <w:t xml:space="preserve">and </w:t>
      </w:r>
      <w:proofErr w:type="gramStart"/>
      <w:r w:rsidR="00966C84">
        <w:rPr>
          <w:lang w:val="en-GB"/>
        </w:rPr>
        <w:t xml:space="preserve">in </w:t>
      </w:r>
      <w:r w:rsidR="005C61DA">
        <w:rPr>
          <w:lang w:val="en-GB"/>
        </w:rPr>
        <w:t xml:space="preserve">particular </w:t>
      </w:r>
      <w:r w:rsidR="00966C84">
        <w:rPr>
          <w:lang w:val="en-GB"/>
        </w:rPr>
        <w:t>to</w:t>
      </w:r>
      <w:proofErr w:type="gramEnd"/>
      <w:r w:rsidR="00966C84">
        <w:rPr>
          <w:lang w:val="en-GB"/>
        </w:rPr>
        <w:t xml:space="preserve"> </w:t>
      </w:r>
      <w:r w:rsidR="005C61DA">
        <w:rPr>
          <w:lang w:val="en-GB"/>
        </w:rPr>
        <w:t>the Director of the Telecommunication Development Bureau</w:t>
      </w:r>
      <w:r w:rsidR="004B6B59">
        <w:rPr>
          <w:lang w:val="en-GB"/>
        </w:rPr>
        <w:t xml:space="preserve"> for </w:t>
      </w:r>
      <w:r w:rsidR="005C61DA">
        <w:rPr>
          <w:lang w:val="en-GB"/>
        </w:rPr>
        <w:t xml:space="preserve">leading the efforts to address </w:t>
      </w:r>
      <w:r w:rsidR="00966C84">
        <w:rPr>
          <w:lang w:val="en-GB"/>
        </w:rPr>
        <w:t xml:space="preserve">the </w:t>
      </w:r>
      <w:r w:rsidR="002F5CCD">
        <w:rPr>
          <w:lang w:val="en-GB"/>
        </w:rPr>
        <w:t xml:space="preserve">previous </w:t>
      </w:r>
      <w:r w:rsidR="00966C84">
        <w:rPr>
          <w:lang w:val="en-GB"/>
        </w:rPr>
        <w:t>weaknesses o</w:t>
      </w:r>
      <w:r w:rsidR="002F5CCD">
        <w:rPr>
          <w:lang w:val="en-GB"/>
        </w:rPr>
        <w:t>f</w:t>
      </w:r>
      <w:r w:rsidR="00966C84">
        <w:rPr>
          <w:lang w:val="en-GB"/>
        </w:rPr>
        <w:t xml:space="preserve"> the internal controls system.</w:t>
      </w:r>
    </w:p>
    <w:p w14:paraId="7C007ED4" w14:textId="3C439750" w:rsidR="000F7555" w:rsidRDefault="00567C06" w:rsidP="000F7555">
      <w:pPr>
        <w:pStyle w:val="Normalnumbered"/>
        <w:numPr>
          <w:ilvl w:val="1"/>
          <w:numId w:val="6"/>
        </w:numPr>
        <w:ind w:left="0" w:firstLine="0"/>
        <w:rPr>
          <w:lang w:val="en-GB"/>
        </w:rPr>
      </w:pPr>
      <w:r>
        <w:rPr>
          <w:lang w:val="en-GB"/>
        </w:rPr>
        <w:t xml:space="preserve">The Committee members wish to thank the </w:t>
      </w:r>
      <w:r w:rsidR="00CE1977" w:rsidRPr="00567C06">
        <w:rPr>
          <w:lang w:val="en-GB"/>
        </w:rPr>
        <w:t xml:space="preserve">ITU officials for their support, </w:t>
      </w:r>
      <w:proofErr w:type="gramStart"/>
      <w:r w:rsidR="00CE1977" w:rsidRPr="00567C06">
        <w:rPr>
          <w:lang w:val="en-GB"/>
        </w:rPr>
        <w:t>cooperation</w:t>
      </w:r>
      <w:proofErr w:type="gramEnd"/>
      <w:r w:rsidR="00CE1977" w:rsidRPr="00567C06">
        <w:rPr>
          <w:lang w:val="en-GB"/>
        </w:rPr>
        <w:t xml:space="preserve"> and</w:t>
      </w:r>
      <w:r>
        <w:rPr>
          <w:lang w:val="en-GB"/>
        </w:rPr>
        <w:t xml:space="preserve"> </w:t>
      </w:r>
      <w:r w:rsidR="00CE1977" w:rsidRPr="00567C06">
        <w:rPr>
          <w:lang w:val="en-GB"/>
        </w:rPr>
        <w:t>positive attitude in supporting the effective functioning of the Committee</w:t>
      </w:r>
      <w:r w:rsidR="004A6389">
        <w:rPr>
          <w:lang w:val="en-GB"/>
        </w:rPr>
        <w:t xml:space="preserve">, and in </w:t>
      </w:r>
      <w:r w:rsidR="00CE1977" w:rsidRPr="00567C06">
        <w:rPr>
          <w:lang w:val="en-GB"/>
        </w:rPr>
        <w:t>particular the</w:t>
      </w:r>
      <w:r>
        <w:rPr>
          <w:lang w:val="en-GB"/>
        </w:rPr>
        <w:t xml:space="preserve"> </w:t>
      </w:r>
      <w:r w:rsidR="00CE1977" w:rsidRPr="00567C06">
        <w:rPr>
          <w:lang w:val="en-GB"/>
        </w:rPr>
        <w:t>commendable secretariat support</w:t>
      </w:r>
      <w:r w:rsidR="000F7555">
        <w:rPr>
          <w:lang w:val="en-GB"/>
        </w:rPr>
        <w:t>.</w:t>
      </w:r>
    </w:p>
    <w:p w14:paraId="505A299C" w14:textId="1EEF3B4A" w:rsidR="00982F66" w:rsidRDefault="00CE1977" w:rsidP="00982F66">
      <w:pPr>
        <w:pStyle w:val="Normalnumbered"/>
        <w:numPr>
          <w:ilvl w:val="1"/>
          <w:numId w:val="6"/>
        </w:numPr>
        <w:ind w:left="0" w:firstLine="0"/>
        <w:rPr>
          <w:lang w:val="en-GB"/>
        </w:rPr>
      </w:pPr>
      <w:r w:rsidRPr="000F7555">
        <w:rPr>
          <w:lang w:val="en-GB"/>
        </w:rPr>
        <w:t xml:space="preserve">The Committee </w:t>
      </w:r>
      <w:r w:rsidR="000B3235">
        <w:rPr>
          <w:lang w:val="en-GB"/>
        </w:rPr>
        <w:t xml:space="preserve">also </w:t>
      </w:r>
      <w:r w:rsidRPr="000F7555">
        <w:rPr>
          <w:lang w:val="en-GB"/>
        </w:rPr>
        <w:t>wish to express their appreciation to the Member States and the Council</w:t>
      </w:r>
      <w:r w:rsidR="00982F66">
        <w:rPr>
          <w:lang w:val="en-GB"/>
        </w:rPr>
        <w:t xml:space="preserve"> </w:t>
      </w:r>
      <w:r w:rsidRPr="00982F66">
        <w:rPr>
          <w:lang w:val="en-GB"/>
        </w:rPr>
        <w:t>for entrusting IMAC members with these important responsibilities.</w:t>
      </w:r>
    </w:p>
    <w:p w14:paraId="7F83A2F1" w14:textId="25A6FEDD" w:rsidR="00373E8A" w:rsidRDefault="00CE1977" w:rsidP="00982F66">
      <w:pPr>
        <w:pStyle w:val="Normalnumbered"/>
        <w:numPr>
          <w:ilvl w:val="1"/>
          <w:numId w:val="6"/>
        </w:numPr>
        <w:ind w:left="0" w:firstLine="0"/>
        <w:rPr>
          <w:lang w:val="en-GB"/>
        </w:rPr>
      </w:pPr>
      <w:r w:rsidRPr="00982F66">
        <w:rPr>
          <w:lang w:val="en-GB"/>
        </w:rPr>
        <w:t>IMAC’s membership, responsibilities, terms of reference and reports are available on the</w:t>
      </w:r>
      <w:r w:rsidR="00982F66">
        <w:rPr>
          <w:lang w:val="en-GB"/>
        </w:rPr>
        <w:t xml:space="preserve"> </w:t>
      </w:r>
      <w:r w:rsidRPr="00982F66">
        <w:rPr>
          <w:lang w:val="en-GB"/>
        </w:rPr>
        <w:t xml:space="preserve">IMAC area of ITU’s public website: </w:t>
      </w:r>
      <w:hyperlink r:id="rId28" w:history="1">
        <w:r w:rsidR="00DE10C5" w:rsidRPr="002C0625">
          <w:rPr>
            <w:rStyle w:val="Hyperlink"/>
            <w:lang w:val="en-GB"/>
          </w:rPr>
          <w:t>http://www.itu.int/imac</w:t>
        </w:r>
      </w:hyperlink>
      <w:r w:rsidR="00DE10C5">
        <w:rPr>
          <w:lang w:val="en-GB"/>
        </w:rPr>
        <w:t xml:space="preserve"> </w:t>
      </w:r>
    </w:p>
    <w:p w14:paraId="0077DFC5" w14:textId="0D42479A" w:rsidR="00FB6998" w:rsidRPr="00FB6998" w:rsidRDefault="00FB6998" w:rsidP="00FB6998">
      <w:pPr>
        <w:pStyle w:val="NumberedHeading"/>
        <w:numPr>
          <w:ilvl w:val="0"/>
          <w:numId w:val="6"/>
        </w:numPr>
        <w:spacing w:before="360"/>
        <w:rPr>
          <w:rStyle w:val="Sectiontitle0"/>
          <w:b/>
          <w:bCs/>
        </w:rPr>
      </w:pPr>
      <w:r w:rsidRPr="00FB6998">
        <w:rPr>
          <w:rStyle w:val="Sectiontitle0"/>
          <w:b/>
          <w:bCs/>
        </w:rPr>
        <w:t xml:space="preserve">Planning </w:t>
      </w:r>
      <w:r>
        <w:rPr>
          <w:rStyle w:val="Sectiontitle0"/>
          <w:b/>
          <w:bCs/>
        </w:rPr>
        <w:t xml:space="preserve">for </w:t>
      </w:r>
      <w:r w:rsidR="00C20344">
        <w:rPr>
          <w:rStyle w:val="Sectiontitle0"/>
          <w:b/>
          <w:bCs/>
        </w:rPr>
        <w:t>the IMAC meetings in 2022-2023</w:t>
      </w:r>
    </w:p>
    <w:p w14:paraId="72EB6B6E" w14:textId="08109D86" w:rsidR="00373E8A" w:rsidRPr="00770170" w:rsidRDefault="00384ABC" w:rsidP="00DB384B">
      <w:pPr>
        <w:pStyle w:val="Normalnumbered"/>
        <w:numPr>
          <w:ilvl w:val="1"/>
          <w:numId w:val="6"/>
        </w:numPr>
        <w:ind w:left="0" w:firstLine="0"/>
        <w:rPr>
          <w:lang w:val="en-GB"/>
        </w:rPr>
      </w:pPr>
      <w:r>
        <w:rPr>
          <w:lang w:val="en-GB"/>
        </w:rPr>
        <w:t>IMAC has preliminary planned its</w:t>
      </w:r>
      <w:r w:rsidR="00FE08E9">
        <w:rPr>
          <w:lang w:val="en-GB"/>
        </w:rPr>
        <w:t xml:space="preserve"> following</w:t>
      </w:r>
      <w:r>
        <w:rPr>
          <w:lang w:val="en-GB"/>
        </w:rPr>
        <w:t xml:space="preserve"> regular meetings for 2022-2023 for the dates</w:t>
      </w:r>
      <w:r w:rsidR="00FE08E9">
        <w:rPr>
          <w:lang w:val="en-GB"/>
        </w:rPr>
        <w:t xml:space="preserve"> below</w:t>
      </w:r>
      <w:r>
        <w:rPr>
          <w:lang w:val="en-GB"/>
        </w:rPr>
        <w:t>:</w:t>
      </w:r>
      <w:r w:rsidR="00FE08E9">
        <w:rPr>
          <w:lang w:val="en-GB"/>
        </w:rPr>
        <w:t xml:space="preserve"> </w:t>
      </w:r>
      <w:r w:rsidRPr="005F1C8A">
        <w:rPr>
          <w:lang w:val="en-GB"/>
        </w:rPr>
        <w:t>2-</w:t>
      </w:r>
      <w:r w:rsidRPr="005F1C8A">
        <w:t>4</w:t>
      </w:r>
      <w:r w:rsidR="00FE08E9" w:rsidRPr="005F1C8A">
        <w:t xml:space="preserve"> </w:t>
      </w:r>
      <w:r w:rsidRPr="005F1C8A">
        <w:t>No</w:t>
      </w:r>
      <w:r w:rsidR="00FE08E9" w:rsidRPr="005F1C8A">
        <w:t>vember</w:t>
      </w:r>
      <w:r w:rsidR="00FE08E9" w:rsidRPr="00770170">
        <w:t xml:space="preserve"> 2022, </w:t>
      </w:r>
      <w:r w:rsidR="008E47AF" w:rsidRPr="00770170">
        <w:t xml:space="preserve">3 days within </w:t>
      </w:r>
      <w:r w:rsidR="00F11A44" w:rsidRPr="00770170">
        <w:t xml:space="preserve">the week </w:t>
      </w:r>
      <w:r w:rsidR="00496C1A" w:rsidRPr="00770170">
        <w:t xml:space="preserve">starting on the </w:t>
      </w:r>
      <w:proofErr w:type="gramStart"/>
      <w:r w:rsidR="00496C1A" w:rsidRPr="005F1C8A">
        <w:t>13</w:t>
      </w:r>
      <w:r w:rsidR="00496C1A" w:rsidRPr="005F1C8A">
        <w:rPr>
          <w:vertAlign w:val="superscript"/>
        </w:rPr>
        <w:t>th</w:t>
      </w:r>
      <w:proofErr w:type="gramEnd"/>
      <w:r w:rsidR="00496C1A" w:rsidRPr="005F1C8A">
        <w:t xml:space="preserve"> February 202</w:t>
      </w:r>
      <w:r w:rsidR="00AA52F0" w:rsidRPr="005F1C8A">
        <w:t>3</w:t>
      </w:r>
      <w:r w:rsidR="00496C1A" w:rsidRPr="00770170">
        <w:t xml:space="preserve">, </w:t>
      </w:r>
      <w:r w:rsidR="00496C1A" w:rsidRPr="005F1C8A">
        <w:t>5-7 June 202</w:t>
      </w:r>
      <w:r w:rsidR="00AA52F0" w:rsidRPr="005F1C8A">
        <w:t>3</w:t>
      </w:r>
      <w:r w:rsidR="00496C1A" w:rsidRPr="00770170">
        <w:t xml:space="preserve">, </w:t>
      </w:r>
      <w:r w:rsidR="00AA52F0" w:rsidRPr="00770170">
        <w:t xml:space="preserve">and </w:t>
      </w:r>
      <w:r w:rsidR="00AA52F0" w:rsidRPr="005F1C8A">
        <w:t>30 October to 1 November 2023</w:t>
      </w:r>
      <w:r w:rsidR="00AA52F0" w:rsidRPr="00770170">
        <w:t>.</w:t>
      </w:r>
    </w:p>
    <w:p w14:paraId="02721694" w14:textId="49384BA9" w:rsidR="00E53731" w:rsidRPr="005F1C8A" w:rsidRDefault="00E53731" w:rsidP="001A46E6">
      <w:pPr>
        <w:pStyle w:val="NumberedHeading"/>
        <w:spacing w:before="360"/>
        <w:rPr>
          <w:rStyle w:val="Sectiontitle0"/>
          <w:b/>
          <w:bCs/>
        </w:rPr>
      </w:pPr>
      <w:r w:rsidRPr="005F1C8A">
        <w:rPr>
          <w:rStyle w:val="Sectiontitle0"/>
          <w:b/>
          <w:bCs/>
        </w:rPr>
        <w:t xml:space="preserve">Annex 1: </w:t>
      </w:r>
      <w:r w:rsidR="00810559" w:rsidRPr="005F1C8A">
        <w:rPr>
          <w:rStyle w:val="Sectiontitle0"/>
          <w:b/>
          <w:bCs/>
        </w:rPr>
        <w:t>IMPLEMENTATION OF IMAC RECOMMENDATIONS</w:t>
      </w:r>
    </w:p>
    <w:p w14:paraId="08545D8D" w14:textId="0711A2FE" w:rsidR="00770170" w:rsidRDefault="00770170" w:rsidP="00DB384B">
      <w:r>
        <w:rPr>
          <w:noProof/>
        </w:rPr>
        <w:drawing>
          <wp:inline distT="0" distB="0" distL="0" distR="0" wp14:anchorId="79C497B4" wp14:editId="467436E5">
            <wp:extent cx="6120765" cy="3436620"/>
            <wp:effectExtent l="0" t="0" r="0" b="0"/>
            <wp:docPr id="3" name="Picture 3"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chart&#10;&#10;Description automatically generated"/>
                    <pic:cNvPicPr/>
                  </pic:nvPicPr>
                  <pic:blipFill>
                    <a:blip r:embed="rId29"/>
                    <a:stretch>
                      <a:fillRect/>
                    </a:stretch>
                  </pic:blipFill>
                  <pic:spPr>
                    <a:xfrm>
                      <a:off x="0" y="0"/>
                      <a:ext cx="6120765" cy="3436620"/>
                    </a:xfrm>
                    <a:prstGeom prst="rect">
                      <a:avLst/>
                    </a:prstGeom>
                  </pic:spPr>
                </pic:pic>
              </a:graphicData>
            </a:graphic>
          </wp:inline>
        </w:drawing>
      </w:r>
    </w:p>
    <w:p w14:paraId="740A4B69" w14:textId="77777777" w:rsidR="006C6A8E" w:rsidRDefault="006C6A8E" w:rsidP="00411C49">
      <w:pPr>
        <w:pStyle w:val="Reasons"/>
      </w:pPr>
    </w:p>
    <w:p w14:paraId="49FBFFEB" w14:textId="77777777" w:rsidR="006C6A8E" w:rsidRDefault="006C6A8E">
      <w:pPr>
        <w:jc w:val="center"/>
      </w:pPr>
      <w:r>
        <w:t>______________</w:t>
      </w:r>
    </w:p>
    <w:sectPr w:rsidR="006C6A8E" w:rsidSect="004D1851">
      <w:head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FA87" w14:textId="77777777" w:rsidR="00140CE4" w:rsidRDefault="00140CE4">
      <w:r>
        <w:separator/>
      </w:r>
    </w:p>
  </w:endnote>
  <w:endnote w:type="continuationSeparator" w:id="0">
    <w:p w14:paraId="62646B5A" w14:textId="77777777" w:rsidR="00140CE4" w:rsidRDefault="00140CE4">
      <w:r>
        <w:continuationSeparator/>
      </w:r>
    </w:p>
  </w:endnote>
  <w:endnote w:type="continuationNotice" w:id="1">
    <w:p w14:paraId="16D768BA" w14:textId="77777777" w:rsidR="00140CE4" w:rsidRDefault="00140C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2B38" w14:textId="77777777" w:rsidR="00140CE4" w:rsidRDefault="00140CE4">
      <w:r>
        <w:t>____________________</w:t>
      </w:r>
    </w:p>
  </w:footnote>
  <w:footnote w:type="continuationSeparator" w:id="0">
    <w:p w14:paraId="11EC3A7F" w14:textId="77777777" w:rsidR="00140CE4" w:rsidRDefault="00140CE4">
      <w:r>
        <w:continuationSeparator/>
      </w:r>
    </w:p>
  </w:footnote>
  <w:footnote w:type="continuationNotice" w:id="1">
    <w:p w14:paraId="6E6A8728" w14:textId="77777777" w:rsidR="00140CE4" w:rsidRDefault="00140CE4">
      <w:pPr>
        <w:spacing w:before="0"/>
      </w:pPr>
    </w:p>
  </w:footnote>
  <w:footnote w:id="2">
    <w:p w14:paraId="3A988223" w14:textId="77777777" w:rsidR="00852567" w:rsidRPr="0070132A" w:rsidRDefault="00852567" w:rsidP="00852567">
      <w:pPr>
        <w:pStyle w:val="FootnoteText"/>
        <w:ind w:left="0" w:firstLine="0"/>
        <w:jc w:val="both"/>
        <w:rPr>
          <w:sz w:val="22"/>
          <w:szCs w:val="22"/>
          <w:lang w:val="en-US"/>
        </w:rPr>
      </w:pPr>
      <w:r>
        <w:rPr>
          <w:rStyle w:val="FootnoteReference"/>
        </w:rPr>
        <w:footnoteRef/>
      </w:r>
      <w:r>
        <w:t xml:space="preserve"> </w:t>
      </w:r>
      <w:r w:rsidRPr="0070132A">
        <w:rPr>
          <w:sz w:val="22"/>
          <w:szCs w:val="22"/>
        </w:rPr>
        <w:t xml:space="preserve">IMAC’s Recommendation 1 (2022) is included in document C22/22 recommending that </w:t>
      </w:r>
      <w:r>
        <w:rPr>
          <w:sz w:val="22"/>
          <w:szCs w:val="22"/>
        </w:rPr>
        <w:t>“</w:t>
      </w:r>
      <w:r w:rsidRPr="00A54B89">
        <w:rPr>
          <w:i/>
          <w:iCs/>
          <w:sz w:val="22"/>
          <w:szCs w:val="22"/>
        </w:rPr>
        <w:t>the senior management should engage with the Auditors to satisfy them on the adequacy of operations of controls that have already been put in place, to enable the Auditors to perform satisfactory audit procedures which help them to opine that the financial statements are free from material errors or misstatement</w:t>
      </w:r>
      <w:r>
        <w:rPr>
          <w:sz w:val="22"/>
          <w:szCs w:val="22"/>
        </w:rPr>
        <w:t>”</w:t>
      </w:r>
      <w:r w:rsidRPr="0070132A">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0A80713F"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98420B">
      <w:rPr>
        <w:bCs/>
      </w:rPr>
      <w:t>22</w:t>
    </w:r>
    <w:r w:rsidR="00E872BF">
      <w:rPr>
        <w:bCs/>
      </w:rPr>
      <w:t>(Add.1)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554A72"/>
    <w:multiLevelType w:val="hybridMultilevel"/>
    <w:tmpl w:val="6F9C170E"/>
    <w:numStyleLink w:val="ImportierterStil2"/>
  </w:abstractNum>
  <w:abstractNum w:abstractNumId="3"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030924"/>
    <w:multiLevelType w:val="multilevel"/>
    <w:tmpl w:val="E3B8961A"/>
    <w:numStyleLink w:val="ImportierterStil1"/>
  </w:abstractNum>
  <w:abstractNum w:abstractNumId="5" w15:restartNumberingAfterBreak="0">
    <w:nsid w:val="594F7961"/>
    <w:multiLevelType w:val="hybridMultilevel"/>
    <w:tmpl w:val="9196AFF4"/>
    <w:lvl w:ilvl="0" w:tplc="D57C7D0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893787">
    <w:abstractNumId w:val="0"/>
  </w:num>
  <w:num w:numId="2" w16cid:durableId="971590676">
    <w:abstractNumId w:val="1"/>
  </w:num>
  <w:num w:numId="3" w16cid:durableId="1309823037">
    <w:abstractNumId w:val="4"/>
  </w:num>
  <w:num w:numId="4" w16cid:durableId="1917275646">
    <w:abstractNumId w:val="3"/>
  </w:num>
  <w:num w:numId="5" w16cid:durableId="1681619009">
    <w:abstractNumId w:val="2"/>
  </w:num>
  <w:num w:numId="6" w16cid:durableId="961691390">
    <w:abstractNumId w:val="4"/>
  </w:num>
  <w:num w:numId="7" w16cid:durableId="699937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074F9"/>
    <w:rsid w:val="0001227E"/>
    <w:rsid w:val="00012648"/>
    <w:rsid w:val="00012F0F"/>
    <w:rsid w:val="00014029"/>
    <w:rsid w:val="00016A4C"/>
    <w:rsid w:val="0001750F"/>
    <w:rsid w:val="00020BBB"/>
    <w:rsid w:val="000210D4"/>
    <w:rsid w:val="00024315"/>
    <w:rsid w:val="00025C82"/>
    <w:rsid w:val="00026259"/>
    <w:rsid w:val="0003255F"/>
    <w:rsid w:val="000331DE"/>
    <w:rsid w:val="0003627B"/>
    <w:rsid w:val="00036CF4"/>
    <w:rsid w:val="00045DB8"/>
    <w:rsid w:val="000533D2"/>
    <w:rsid w:val="00063016"/>
    <w:rsid w:val="00064B6F"/>
    <w:rsid w:val="00064FF4"/>
    <w:rsid w:val="00066795"/>
    <w:rsid w:val="00070A3D"/>
    <w:rsid w:val="00071D44"/>
    <w:rsid w:val="000742D3"/>
    <w:rsid w:val="00076AF6"/>
    <w:rsid w:val="00076CEF"/>
    <w:rsid w:val="000801B0"/>
    <w:rsid w:val="00085CF2"/>
    <w:rsid w:val="000863E0"/>
    <w:rsid w:val="0009108C"/>
    <w:rsid w:val="00092F83"/>
    <w:rsid w:val="00093B7B"/>
    <w:rsid w:val="00095756"/>
    <w:rsid w:val="00096B20"/>
    <w:rsid w:val="000A2539"/>
    <w:rsid w:val="000A44C2"/>
    <w:rsid w:val="000A4D0A"/>
    <w:rsid w:val="000B1705"/>
    <w:rsid w:val="000B2BA2"/>
    <w:rsid w:val="000B3235"/>
    <w:rsid w:val="000B3F0D"/>
    <w:rsid w:val="000B64E8"/>
    <w:rsid w:val="000C0D05"/>
    <w:rsid w:val="000C0F43"/>
    <w:rsid w:val="000C109B"/>
    <w:rsid w:val="000C5EB6"/>
    <w:rsid w:val="000C6E83"/>
    <w:rsid w:val="000D0C6A"/>
    <w:rsid w:val="000D1AD8"/>
    <w:rsid w:val="000D4974"/>
    <w:rsid w:val="000D6366"/>
    <w:rsid w:val="000D757C"/>
    <w:rsid w:val="000D75B2"/>
    <w:rsid w:val="000E3CB7"/>
    <w:rsid w:val="000E4EA3"/>
    <w:rsid w:val="000E6BB2"/>
    <w:rsid w:val="000F7555"/>
    <w:rsid w:val="00104229"/>
    <w:rsid w:val="001071D0"/>
    <w:rsid w:val="00107C48"/>
    <w:rsid w:val="001121F5"/>
    <w:rsid w:val="001126B9"/>
    <w:rsid w:val="00112DFE"/>
    <w:rsid w:val="0012155D"/>
    <w:rsid w:val="001217EF"/>
    <w:rsid w:val="0012607C"/>
    <w:rsid w:val="00126C57"/>
    <w:rsid w:val="00132712"/>
    <w:rsid w:val="00133555"/>
    <w:rsid w:val="00133C72"/>
    <w:rsid w:val="001400DC"/>
    <w:rsid w:val="001408EC"/>
    <w:rsid w:val="00140CE1"/>
    <w:rsid w:val="00140CE4"/>
    <w:rsid w:val="00142B19"/>
    <w:rsid w:val="0014357F"/>
    <w:rsid w:val="00145913"/>
    <w:rsid w:val="00145D91"/>
    <w:rsid w:val="0014634F"/>
    <w:rsid w:val="00151403"/>
    <w:rsid w:val="00152127"/>
    <w:rsid w:val="0015647F"/>
    <w:rsid w:val="00162E2A"/>
    <w:rsid w:val="00163F98"/>
    <w:rsid w:val="001640EA"/>
    <w:rsid w:val="001653EB"/>
    <w:rsid w:val="00170959"/>
    <w:rsid w:val="0017107A"/>
    <w:rsid w:val="0017145D"/>
    <w:rsid w:val="00171B51"/>
    <w:rsid w:val="001721C9"/>
    <w:rsid w:val="00172623"/>
    <w:rsid w:val="00174BC9"/>
    <w:rsid w:val="0017539C"/>
    <w:rsid w:val="00175AC2"/>
    <w:rsid w:val="00176023"/>
    <w:rsid w:val="0017609F"/>
    <w:rsid w:val="001769DE"/>
    <w:rsid w:val="00176C39"/>
    <w:rsid w:val="001803D7"/>
    <w:rsid w:val="00180D73"/>
    <w:rsid w:val="00183262"/>
    <w:rsid w:val="00191C4B"/>
    <w:rsid w:val="00193235"/>
    <w:rsid w:val="0019332A"/>
    <w:rsid w:val="001969C3"/>
    <w:rsid w:val="001A0E0B"/>
    <w:rsid w:val="001A2014"/>
    <w:rsid w:val="001A2DA7"/>
    <w:rsid w:val="001A46E6"/>
    <w:rsid w:val="001A7085"/>
    <w:rsid w:val="001B00F7"/>
    <w:rsid w:val="001B11F1"/>
    <w:rsid w:val="001B65AE"/>
    <w:rsid w:val="001B6870"/>
    <w:rsid w:val="001C628E"/>
    <w:rsid w:val="001D2D9C"/>
    <w:rsid w:val="001D3339"/>
    <w:rsid w:val="001D4453"/>
    <w:rsid w:val="001D6F58"/>
    <w:rsid w:val="001D705C"/>
    <w:rsid w:val="001E0BDA"/>
    <w:rsid w:val="001E0F7B"/>
    <w:rsid w:val="001E0FB0"/>
    <w:rsid w:val="001E2DCD"/>
    <w:rsid w:val="001E4EA7"/>
    <w:rsid w:val="001E76A1"/>
    <w:rsid w:val="001F1411"/>
    <w:rsid w:val="001F3B31"/>
    <w:rsid w:val="001F46F5"/>
    <w:rsid w:val="00200822"/>
    <w:rsid w:val="002019B4"/>
    <w:rsid w:val="00202924"/>
    <w:rsid w:val="00203537"/>
    <w:rsid w:val="002053E4"/>
    <w:rsid w:val="00206BAB"/>
    <w:rsid w:val="00207D7C"/>
    <w:rsid w:val="00210A64"/>
    <w:rsid w:val="002119FD"/>
    <w:rsid w:val="002130E0"/>
    <w:rsid w:val="00227D80"/>
    <w:rsid w:val="0023685D"/>
    <w:rsid w:val="002375C7"/>
    <w:rsid w:val="00237720"/>
    <w:rsid w:val="00240F66"/>
    <w:rsid w:val="002414D5"/>
    <w:rsid w:val="002425D1"/>
    <w:rsid w:val="00242AA2"/>
    <w:rsid w:val="00243006"/>
    <w:rsid w:val="00244873"/>
    <w:rsid w:val="0024741D"/>
    <w:rsid w:val="00251480"/>
    <w:rsid w:val="00252047"/>
    <w:rsid w:val="00253CB7"/>
    <w:rsid w:val="00256D70"/>
    <w:rsid w:val="00260E02"/>
    <w:rsid w:val="00264425"/>
    <w:rsid w:val="00265875"/>
    <w:rsid w:val="00266A9C"/>
    <w:rsid w:val="0027303B"/>
    <w:rsid w:val="00275F7D"/>
    <w:rsid w:val="00276E31"/>
    <w:rsid w:val="00276E65"/>
    <w:rsid w:val="00280B7B"/>
    <w:rsid w:val="0028109B"/>
    <w:rsid w:val="00284870"/>
    <w:rsid w:val="00291D71"/>
    <w:rsid w:val="00292E88"/>
    <w:rsid w:val="0029461C"/>
    <w:rsid w:val="00297597"/>
    <w:rsid w:val="00297A1D"/>
    <w:rsid w:val="002A0AD9"/>
    <w:rsid w:val="002A0C19"/>
    <w:rsid w:val="002A2188"/>
    <w:rsid w:val="002A5CFF"/>
    <w:rsid w:val="002A6D9B"/>
    <w:rsid w:val="002A7615"/>
    <w:rsid w:val="002A7D07"/>
    <w:rsid w:val="002B1F58"/>
    <w:rsid w:val="002B22AA"/>
    <w:rsid w:val="002B2E56"/>
    <w:rsid w:val="002B458C"/>
    <w:rsid w:val="002B7030"/>
    <w:rsid w:val="002C1C7A"/>
    <w:rsid w:val="002C3545"/>
    <w:rsid w:val="002C6F1E"/>
    <w:rsid w:val="002C73C8"/>
    <w:rsid w:val="002D62F5"/>
    <w:rsid w:val="002D6A2B"/>
    <w:rsid w:val="002E0B2E"/>
    <w:rsid w:val="002E50B9"/>
    <w:rsid w:val="002E725A"/>
    <w:rsid w:val="002F11D0"/>
    <w:rsid w:val="002F1EDD"/>
    <w:rsid w:val="002F43FD"/>
    <w:rsid w:val="002F5CCD"/>
    <w:rsid w:val="002F5F90"/>
    <w:rsid w:val="002F6B03"/>
    <w:rsid w:val="002F7403"/>
    <w:rsid w:val="002F7EA5"/>
    <w:rsid w:val="0030160F"/>
    <w:rsid w:val="00301A34"/>
    <w:rsid w:val="0030378E"/>
    <w:rsid w:val="0031326D"/>
    <w:rsid w:val="00320223"/>
    <w:rsid w:val="00320FF2"/>
    <w:rsid w:val="00322D0D"/>
    <w:rsid w:val="00323495"/>
    <w:rsid w:val="003236D8"/>
    <w:rsid w:val="00325940"/>
    <w:rsid w:val="00333C50"/>
    <w:rsid w:val="003364EB"/>
    <w:rsid w:val="003428B8"/>
    <w:rsid w:val="00344B16"/>
    <w:rsid w:val="00345ABD"/>
    <w:rsid w:val="00347D0F"/>
    <w:rsid w:val="00350553"/>
    <w:rsid w:val="00353BC7"/>
    <w:rsid w:val="003600F0"/>
    <w:rsid w:val="00360897"/>
    <w:rsid w:val="00360A13"/>
    <w:rsid w:val="00367543"/>
    <w:rsid w:val="0037083E"/>
    <w:rsid w:val="00370F3A"/>
    <w:rsid w:val="00371058"/>
    <w:rsid w:val="0037203C"/>
    <w:rsid w:val="00373A00"/>
    <w:rsid w:val="00373E8A"/>
    <w:rsid w:val="00373F58"/>
    <w:rsid w:val="0037469F"/>
    <w:rsid w:val="00375DAC"/>
    <w:rsid w:val="00376C76"/>
    <w:rsid w:val="00380AC5"/>
    <w:rsid w:val="0038211E"/>
    <w:rsid w:val="00384753"/>
    <w:rsid w:val="00384ABC"/>
    <w:rsid w:val="00384E08"/>
    <w:rsid w:val="00386DA5"/>
    <w:rsid w:val="00390667"/>
    <w:rsid w:val="00391A8C"/>
    <w:rsid w:val="003921DA"/>
    <w:rsid w:val="0039278E"/>
    <w:rsid w:val="003942D4"/>
    <w:rsid w:val="003958A8"/>
    <w:rsid w:val="003A0958"/>
    <w:rsid w:val="003A7ECC"/>
    <w:rsid w:val="003B180B"/>
    <w:rsid w:val="003B2227"/>
    <w:rsid w:val="003B6032"/>
    <w:rsid w:val="003B7A33"/>
    <w:rsid w:val="003C0156"/>
    <w:rsid w:val="003C2533"/>
    <w:rsid w:val="003C4B14"/>
    <w:rsid w:val="003C51E7"/>
    <w:rsid w:val="003C6937"/>
    <w:rsid w:val="003C71EC"/>
    <w:rsid w:val="003D1664"/>
    <w:rsid w:val="003D1DE9"/>
    <w:rsid w:val="003D4DD0"/>
    <w:rsid w:val="003D5A20"/>
    <w:rsid w:val="003D6E75"/>
    <w:rsid w:val="003E1D58"/>
    <w:rsid w:val="003E2E4F"/>
    <w:rsid w:val="003E6368"/>
    <w:rsid w:val="003E745A"/>
    <w:rsid w:val="003E7D12"/>
    <w:rsid w:val="003F3722"/>
    <w:rsid w:val="003F659D"/>
    <w:rsid w:val="003F6EDB"/>
    <w:rsid w:val="00404151"/>
    <w:rsid w:val="0040435A"/>
    <w:rsid w:val="00406814"/>
    <w:rsid w:val="0041655A"/>
    <w:rsid w:val="00416A24"/>
    <w:rsid w:val="0041708F"/>
    <w:rsid w:val="00430C89"/>
    <w:rsid w:val="004317D5"/>
    <w:rsid w:val="00431D9E"/>
    <w:rsid w:val="00432FA9"/>
    <w:rsid w:val="00433CE8"/>
    <w:rsid w:val="00434A5C"/>
    <w:rsid w:val="004367B4"/>
    <w:rsid w:val="00437A3A"/>
    <w:rsid w:val="00440EF5"/>
    <w:rsid w:val="004415EB"/>
    <w:rsid w:val="00450CD8"/>
    <w:rsid w:val="004511BA"/>
    <w:rsid w:val="00453B8A"/>
    <w:rsid w:val="004544D9"/>
    <w:rsid w:val="00454818"/>
    <w:rsid w:val="00456013"/>
    <w:rsid w:val="00462602"/>
    <w:rsid w:val="00464682"/>
    <w:rsid w:val="0046717E"/>
    <w:rsid w:val="004679BC"/>
    <w:rsid w:val="0047073A"/>
    <w:rsid w:val="004707E5"/>
    <w:rsid w:val="00472247"/>
    <w:rsid w:val="00473566"/>
    <w:rsid w:val="004737B2"/>
    <w:rsid w:val="00474925"/>
    <w:rsid w:val="0048114E"/>
    <w:rsid w:val="0048199C"/>
    <w:rsid w:val="004819C8"/>
    <w:rsid w:val="004822B8"/>
    <w:rsid w:val="00486FC9"/>
    <w:rsid w:val="00487D5E"/>
    <w:rsid w:val="004904A5"/>
    <w:rsid w:val="00490E72"/>
    <w:rsid w:val="00491157"/>
    <w:rsid w:val="004921C8"/>
    <w:rsid w:val="0049530F"/>
    <w:rsid w:val="0049573B"/>
    <w:rsid w:val="00496C1A"/>
    <w:rsid w:val="004A052D"/>
    <w:rsid w:val="004A1B8B"/>
    <w:rsid w:val="004A20C0"/>
    <w:rsid w:val="004A2A77"/>
    <w:rsid w:val="004A43DA"/>
    <w:rsid w:val="004A4FA6"/>
    <w:rsid w:val="004A6389"/>
    <w:rsid w:val="004B0995"/>
    <w:rsid w:val="004B20C3"/>
    <w:rsid w:val="004B3486"/>
    <w:rsid w:val="004B448D"/>
    <w:rsid w:val="004B57B5"/>
    <w:rsid w:val="004B6B59"/>
    <w:rsid w:val="004B7BF9"/>
    <w:rsid w:val="004C0EEA"/>
    <w:rsid w:val="004C19B7"/>
    <w:rsid w:val="004C67C8"/>
    <w:rsid w:val="004D072F"/>
    <w:rsid w:val="004D0D1B"/>
    <w:rsid w:val="004D129C"/>
    <w:rsid w:val="004D1851"/>
    <w:rsid w:val="004D2D27"/>
    <w:rsid w:val="004D3EE0"/>
    <w:rsid w:val="004D599D"/>
    <w:rsid w:val="004D74FC"/>
    <w:rsid w:val="004E2DC2"/>
    <w:rsid w:val="004E2EA5"/>
    <w:rsid w:val="004E3AEB"/>
    <w:rsid w:val="004E49C7"/>
    <w:rsid w:val="004E5A79"/>
    <w:rsid w:val="004E5E1D"/>
    <w:rsid w:val="004E71E7"/>
    <w:rsid w:val="004E7566"/>
    <w:rsid w:val="004F00C3"/>
    <w:rsid w:val="004F2CD6"/>
    <w:rsid w:val="004F360D"/>
    <w:rsid w:val="004F3E2E"/>
    <w:rsid w:val="004F53E7"/>
    <w:rsid w:val="00500308"/>
    <w:rsid w:val="00501D42"/>
    <w:rsid w:val="0050223C"/>
    <w:rsid w:val="00503917"/>
    <w:rsid w:val="00503BDB"/>
    <w:rsid w:val="00510F17"/>
    <w:rsid w:val="00511B78"/>
    <w:rsid w:val="00514E75"/>
    <w:rsid w:val="00521567"/>
    <w:rsid w:val="00521653"/>
    <w:rsid w:val="005224AE"/>
    <w:rsid w:val="00522D34"/>
    <w:rsid w:val="005239F7"/>
    <w:rsid w:val="005243FF"/>
    <w:rsid w:val="00524DFF"/>
    <w:rsid w:val="005253E3"/>
    <w:rsid w:val="00536C2B"/>
    <w:rsid w:val="00550E2D"/>
    <w:rsid w:val="005521D9"/>
    <w:rsid w:val="005625BF"/>
    <w:rsid w:val="00562FEE"/>
    <w:rsid w:val="00564FBC"/>
    <w:rsid w:val="00565252"/>
    <w:rsid w:val="00566C23"/>
    <w:rsid w:val="00567C06"/>
    <w:rsid w:val="00582442"/>
    <w:rsid w:val="00582ADC"/>
    <w:rsid w:val="005878B8"/>
    <w:rsid w:val="0059020A"/>
    <w:rsid w:val="00591D9C"/>
    <w:rsid w:val="00593258"/>
    <w:rsid w:val="00594BE6"/>
    <w:rsid w:val="005959E3"/>
    <w:rsid w:val="00596C72"/>
    <w:rsid w:val="00596CB2"/>
    <w:rsid w:val="00596E53"/>
    <w:rsid w:val="00596F33"/>
    <w:rsid w:val="0059729D"/>
    <w:rsid w:val="005A2268"/>
    <w:rsid w:val="005A44DA"/>
    <w:rsid w:val="005A5219"/>
    <w:rsid w:val="005A5CB3"/>
    <w:rsid w:val="005B1674"/>
    <w:rsid w:val="005B1682"/>
    <w:rsid w:val="005B1AA6"/>
    <w:rsid w:val="005B790F"/>
    <w:rsid w:val="005C3DBB"/>
    <w:rsid w:val="005C516B"/>
    <w:rsid w:val="005C61DA"/>
    <w:rsid w:val="005D0116"/>
    <w:rsid w:val="005D37F6"/>
    <w:rsid w:val="005D442F"/>
    <w:rsid w:val="005D5BD0"/>
    <w:rsid w:val="005D602D"/>
    <w:rsid w:val="005D6181"/>
    <w:rsid w:val="005D70C6"/>
    <w:rsid w:val="005E2FCB"/>
    <w:rsid w:val="005E3CF2"/>
    <w:rsid w:val="005E4ECB"/>
    <w:rsid w:val="005F1C8A"/>
    <w:rsid w:val="005F3269"/>
    <w:rsid w:val="005F5323"/>
    <w:rsid w:val="005F5DAC"/>
    <w:rsid w:val="005F6F99"/>
    <w:rsid w:val="005F7307"/>
    <w:rsid w:val="0060142E"/>
    <w:rsid w:val="00603ECA"/>
    <w:rsid w:val="00604908"/>
    <w:rsid w:val="00606A19"/>
    <w:rsid w:val="00606CFC"/>
    <w:rsid w:val="0060732D"/>
    <w:rsid w:val="00610045"/>
    <w:rsid w:val="0061295D"/>
    <w:rsid w:val="00613080"/>
    <w:rsid w:val="00614503"/>
    <w:rsid w:val="006151F0"/>
    <w:rsid w:val="00615D2D"/>
    <w:rsid w:val="00616E35"/>
    <w:rsid w:val="00616ECF"/>
    <w:rsid w:val="00623AE3"/>
    <w:rsid w:val="006240E2"/>
    <w:rsid w:val="00625C1C"/>
    <w:rsid w:val="00626F1B"/>
    <w:rsid w:val="00627024"/>
    <w:rsid w:val="00632D4C"/>
    <w:rsid w:val="0063540E"/>
    <w:rsid w:val="00635CBE"/>
    <w:rsid w:val="006376CE"/>
    <w:rsid w:val="00640E64"/>
    <w:rsid w:val="006460C7"/>
    <w:rsid w:val="0064737F"/>
    <w:rsid w:val="006535F1"/>
    <w:rsid w:val="00654A43"/>
    <w:rsid w:val="00654FDD"/>
    <w:rsid w:val="0065557D"/>
    <w:rsid w:val="006560A6"/>
    <w:rsid w:val="0066039D"/>
    <w:rsid w:val="00662984"/>
    <w:rsid w:val="00662EE2"/>
    <w:rsid w:val="00663D83"/>
    <w:rsid w:val="006646BB"/>
    <w:rsid w:val="00665349"/>
    <w:rsid w:val="006657B8"/>
    <w:rsid w:val="00670D80"/>
    <w:rsid w:val="00670F11"/>
    <w:rsid w:val="006716BB"/>
    <w:rsid w:val="0067203B"/>
    <w:rsid w:val="006757E3"/>
    <w:rsid w:val="00681096"/>
    <w:rsid w:val="00681489"/>
    <w:rsid w:val="00682651"/>
    <w:rsid w:val="006866DD"/>
    <w:rsid w:val="006870F1"/>
    <w:rsid w:val="00687581"/>
    <w:rsid w:val="00687B04"/>
    <w:rsid w:val="006904F2"/>
    <w:rsid w:val="00693379"/>
    <w:rsid w:val="00695382"/>
    <w:rsid w:val="0069540B"/>
    <w:rsid w:val="006A0C0B"/>
    <w:rsid w:val="006A2240"/>
    <w:rsid w:val="006A5062"/>
    <w:rsid w:val="006B0134"/>
    <w:rsid w:val="006B6361"/>
    <w:rsid w:val="006B6680"/>
    <w:rsid w:val="006B6DCC"/>
    <w:rsid w:val="006C07FE"/>
    <w:rsid w:val="006C1A49"/>
    <w:rsid w:val="006C1C26"/>
    <w:rsid w:val="006C389B"/>
    <w:rsid w:val="006C6A8E"/>
    <w:rsid w:val="006C7D73"/>
    <w:rsid w:val="006D1A43"/>
    <w:rsid w:val="006D398E"/>
    <w:rsid w:val="006D43D0"/>
    <w:rsid w:val="006D54D2"/>
    <w:rsid w:val="006E2857"/>
    <w:rsid w:val="006E3018"/>
    <w:rsid w:val="006E4D97"/>
    <w:rsid w:val="006E4FE7"/>
    <w:rsid w:val="006E6E2C"/>
    <w:rsid w:val="006F109C"/>
    <w:rsid w:val="006F26B2"/>
    <w:rsid w:val="006F6799"/>
    <w:rsid w:val="006F770B"/>
    <w:rsid w:val="0070132A"/>
    <w:rsid w:val="0070197E"/>
    <w:rsid w:val="00702DEF"/>
    <w:rsid w:val="0070314C"/>
    <w:rsid w:val="00703F90"/>
    <w:rsid w:val="00705938"/>
    <w:rsid w:val="00706018"/>
    <w:rsid w:val="00706861"/>
    <w:rsid w:val="00707DE6"/>
    <w:rsid w:val="00717F68"/>
    <w:rsid w:val="0072181A"/>
    <w:rsid w:val="00734E0E"/>
    <w:rsid w:val="00736EE3"/>
    <w:rsid w:val="00743BB0"/>
    <w:rsid w:val="007475DA"/>
    <w:rsid w:val="0075051B"/>
    <w:rsid w:val="00752877"/>
    <w:rsid w:val="007604EE"/>
    <w:rsid w:val="007605CB"/>
    <w:rsid w:val="007657FA"/>
    <w:rsid w:val="00766394"/>
    <w:rsid w:val="00770170"/>
    <w:rsid w:val="007709C3"/>
    <w:rsid w:val="0077260E"/>
    <w:rsid w:val="00772DB3"/>
    <w:rsid w:val="00775349"/>
    <w:rsid w:val="00775985"/>
    <w:rsid w:val="0078080A"/>
    <w:rsid w:val="007836C3"/>
    <w:rsid w:val="00786A29"/>
    <w:rsid w:val="00790D93"/>
    <w:rsid w:val="0079294E"/>
    <w:rsid w:val="00793188"/>
    <w:rsid w:val="00794ADF"/>
    <w:rsid w:val="00794CEC"/>
    <w:rsid w:val="00794D34"/>
    <w:rsid w:val="00796B8C"/>
    <w:rsid w:val="007A0A51"/>
    <w:rsid w:val="007A2162"/>
    <w:rsid w:val="007B00B1"/>
    <w:rsid w:val="007B1845"/>
    <w:rsid w:val="007B4354"/>
    <w:rsid w:val="007B577D"/>
    <w:rsid w:val="007B5F65"/>
    <w:rsid w:val="007B766E"/>
    <w:rsid w:val="007C0716"/>
    <w:rsid w:val="007C0C94"/>
    <w:rsid w:val="007C3517"/>
    <w:rsid w:val="007C4EFE"/>
    <w:rsid w:val="007E03B1"/>
    <w:rsid w:val="007E4320"/>
    <w:rsid w:val="007E4EAF"/>
    <w:rsid w:val="007E5A75"/>
    <w:rsid w:val="007F3C9E"/>
    <w:rsid w:val="007F5DB6"/>
    <w:rsid w:val="007F6488"/>
    <w:rsid w:val="008003F5"/>
    <w:rsid w:val="008028EE"/>
    <w:rsid w:val="008035BE"/>
    <w:rsid w:val="00810559"/>
    <w:rsid w:val="00812AB6"/>
    <w:rsid w:val="00813E5E"/>
    <w:rsid w:val="008172C9"/>
    <w:rsid w:val="0081778C"/>
    <w:rsid w:val="0081791C"/>
    <w:rsid w:val="00820F5F"/>
    <w:rsid w:val="00823048"/>
    <w:rsid w:val="00826257"/>
    <w:rsid w:val="00826802"/>
    <w:rsid w:val="008343DF"/>
    <w:rsid w:val="00834DFE"/>
    <w:rsid w:val="0083581B"/>
    <w:rsid w:val="008376C7"/>
    <w:rsid w:val="008379DC"/>
    <w:rsid w:val="00840B2F"/>
    <w:rsid w:val="008430E4"/>
    <w:rsid w:val="00843ADD"/>
    <w:rsid w:val="00845CF1"/>
    <w:rsid w:val="00851790"/>
    <w:rsid w:val="0085198B"/>
    <w:rsid w:val="00852567"/>
    <w:rsid w:val="00855D43"/>
    <w:rsid w:val="00862059"/>
    <w:rsid w:val="00862133"/>
    <w:rsid w:val="0086426A"/>
    <w:rsid w:val="0086457A"/>
    <w:rsid w:val="00864AFF"/>
    <w:rsid w:val="008661DF"/>
    <w:rsid w:val="00870A7B"/>
    <w:rsid w:val="00873505"/>
    <w:rsid w:val="00876293"/>
    <w:rsid w:val="00881550"/>
    <w:rsid w:val="008864B9"/>
    <w:rsid w:val="008864CC"/>
    <w:rsid w:val="0089157C"/>
    <w:rsid w:val="00892A0A"/>
    <w:rsid w:val="00892B12"/>
    <w:rsid w:val="008943C3"/>
    <w:rsid w:val="00895C05"/>
    <w:rsid w:val="008965BA"/>
    <w:rsid w:val="00896D12"/>
    <w:rsid w:val="008A3D7B"/>
    <w:rsid w:val="008A5153"/>
    <w:rsid w:val="008A5A1D"/>
    <w:rsid w:val="008A775B"/>
    <w:rsid w:val="008A7888"/>
    <w:rsid w:val="008A7B65"/>
    <w:rsid w:val="008B1950"/>
    <w:rsid w:val="008B22A7"/>
    <w:rsid w:val="008B2899"/>
    <w:rsid w:val="008B4A6A"/>
    <w:rsid w:val="008B5781"/>
    <w:rsid w:val="008B59A8"/>
    <w:rsid w:val="008C238E"/>
    <w:rsid w:val="008C2BF2"/>
    <w:rsid w:val="008C48D6"/>
    <w:rsid w:val="008C5BA3"/>
    <w:rsid w:val="008C6054"/>
    <w:rsid w:val="008C7C80"/>
    <w:rsid w:val="008C7E27"/>
    <w:rsid w:val="008D180F"/>
    <w:rsid w:val="008D305D"/>
    <w:rsid w:val="008D3963"/>
    <w:rsid w:val="008D5BC9"/>
    <w:rsid w:val="008D628A"/>
    <w:rsid w:val="008D7083"/>
    <w:rsid w:val="008E022B"/>
    <w:rsid w:val="008E0E1B"/>
    <w:rsid w:val="008E1C44"/>
    <w:rsid w:val="008E38E9"/>
    <w:rsid w:val="008E47AF"/>
    <w:rsid w:val="008E77C5"/>
    <w:rsid w:val="008E7CD8"/>
    <w:rsid w:val="008F353B"/>
    <w:rsid w:val="008F5869"/>
    <w:rsid w:val="008F6CE0"/>
    <w:rsid w:val="008F7C12"/>
    <w:rsid w:val="00905678"/>
    <w:rsid w:val="00907350"/>
    <w:rsid w:val="00916658"/>
    <w:rsid w:val="00916A3C"/>
    <w:rsid w:val="009173EF"/>
    <w:rsid w:val="00923D45"/>
    <w:rsid w:val="0092413B"/>
    <w:rsid w:val="0092581D"/>
    <w:rsid w:val="0093261E"/>
    <w:rsid w:val="00932906"/>
    <w:rsid w:val="00933E18"/>
    <w:rsid w:val="009347A0"/>
    <w:rsid w:val="00935AA2"/>
    <w:rsid w:val="00935B2E"/>
    <w:rsid w:val="009402DE"/>
    <w:rsid w:val="00940B98"/>
    <w:rsid w:val="00940FCF"/>
    <w:rsid w:val="00941523"/>
    <w:rsid w:val="00941E51"/>
    <w:rsid w:val="00943B7F"/>
    <w:rsid w:val="00945D83"/>
    <w:rsid w:val="009508B9"/>
    <w:rsid w:val="00955456"/>
    <w:rsid w:val="0095586B"/>
    <w:rsid w:val="00961B0B"/>
    <w:rsid w:val="009627C5"/>
    <w:rsid w:val="00963C66"/>
    <w:rsid w:val="00966C84"/>
    <w:rsid w:val="00970F76"/>
    <w:rsid w:val="00971DDF"/>
    <w:rsid w:val="00981DBC"/>
    <w:rsid w:val="00981F47"/>
    <w:rsid w:val="00982F66"/>
    <w:rsid w:val="0098420B"/>
    <w:rsid w:val="0098482C"/>
    <w:rsid w:val="00985168"/>
    <w:rsid w:val="009860E4"/>
    <w:rsid w:val="0098624C"/>
    <w:rsid w:val="0098631A"/>
    <w:rsid w:val="00990FF8"/>
    <w:rsid w:val="009943D6"/>
    <w:rsid w:val="00997594"/>
    <w:rsid w:val="00997625"/>
    <w:rsid w:val="009976ED"/>
    <w:rsid w:val="00997956"/>
    <w:rsid w:val="009A022F"/>
    <w:rsid w:val="009A1657"/>
    <w:rsid w:val="009B0091"/>
    <w:rsid w:val="009B0A41"/>
    <w:rsid w:val="009B0D2B"/>
    <w:rsid w:val="009B17C8"/>
    <w:rsid w:val="009B17DA"/>
    <w:rsid w:val="009B3591"/>
    <w:rsid w:val="009B38C3"/>
    <w:rsid w:val="009C0145"/>
    <w:rsid w:val="009C05C0"/>
    <w:rsid w:val="009C0D0E"/>
    <w:rsid w:val="009C0D8A"/>
    <w:rsid w:val="009C5DC9"/>
    <w:rsid w:val="009C6F1F"/>
    <w:rsid w:val="009D36D8"/>
    <w:rsid w:val="009D4DEC"/>
    <w:rsid w:val="009D68D8"/>
    <w:rsid w:val="009E14A3"/>
    <w:rsid w:val="009E17BD"/>
    <w:rsid w:val="009E4206"/>
    <w:rsid w:val="009E485A"/>
    <w:rsid w:val="009E5B72"/>
    <w:rsid w:val="009E6041"/>
    <w:rsid w:val="009E6CFE"/>
    <w:rsid w:val="009E7762"/>
    <w:rsid w:val="009F01B8"/>
    <w:rsid w:val="009F17E0"/>
    <w:rsid w:val="009F2240"/>
    <w:rsid w:val="009F2E41"/>
    <w:rsid w:val="009F2E9A"/>
    <w:rsid w:val="009F43C6"/>
    <w:rsid w:val="009F56B6"/>
    <w:rsid w:val="009F5F16"/>
    <w:rsid w:val="009F67D3"/>
    <w:rsid w:val="009F6C10"/>
    <w:rsid w:val="00A025EB"/>
    <w:rsid w:val="00A03F1E"/>
    <w:rsid w:val="00A04CEC"/>
    <w:rsid w:val="00A057DB"/>
    <w:rsid w:val="00A123BC"/>
    <w:rsid w:val="00A12F91"/>
    <w:rsid w:val="00A14010"/>
    <w:rsid w:val="00A159BA"/>
    <w:rsid w:val="00A1766C"/>
    <w:rsid w:val="00A201AB"/>
    <w:rsid w:val="00A208F7"/>
    <w:rsid w:val="00A24785"/>
    <w:rsid w:val="00A24919"/>
    <w:rsid w:val="00A250A1"/>
    <w:rsid w:val="00A25B87"/>
    <w:rsid w:val="00A27E56"/>
    <w:rsid w:val="00A27F92"/>
    <w:rsid w:val="00A30D1E"/>
    <w:rsid w:val="00A31F6C"/>
    <w:rsid w:val="00A32257"/>
    <w:rsid w:val="00A34DEB"/>
    <w:rsid w:val="00A35690"/>
    <w:rsid w:val="00A36D20"/>
    <w:rsid w:val="00A4087A"/>
    <w:rsid w:val="00A40F99"/>
    <w:rsid w:val="00A41EC1"/>
    <w:rsid w:val="00A42556"/>
    <w:rsid w:val="00A4646F"/>
    <w:rsid w:val="00A477B8"/>
    <w:rsid w:val="00A51F00"/>
    <w:rsid w:val="00A52AA7"/>
    <w:rsid w:val="00A54B89"/>
    <w:rsid w:val="00A55622"/>
    <w:rsid w:val="00A57610"/>
    <w:rsid w:val="00A57CA8"/>
    <w:rsid w:val="00A603C2"/>
    <w:rsid w:val="00A6183C"/>
    <w:rsid w:val="00A61EA3"/>
    <w:rsid w:val="00A629CD"/>
    <w:rsid w:val="00A64DE0"/>
    <w:rsid w:val="00A65E23"/>
    <w:rsid w:val="00A71356"/>
    <w:rsid w:val="00A71C4B"/>
    <w:rsid w:val="00A72A98"/>
    <w:rsid w:val="00A73089"/>
    <w:rsid w:val="00A757A0"/>
    <w:rsid w:val="00A75CE2"/>
    <w:rsid w:val="00A76101"/>
    <w:rsid w:val="00A76B76"/>
    <w:rsid w:val="00A76DEA"/>
    <w:rsid w:val="00A83502"/>
    <w:rsid w:val="00A83BFA"/>
    <w:rsid w:val="00A90A6C"/>
    <w:rsid w:val="00A949B0"/>
    <w:rsid w:val="00A9508D"/>
    <w:rsid w:val="00A95618"/>
    <w:rsid w:val="00A96130"/>
    <w:rsid w:val="00A96410"/>
    <w:rsid w:val="00A97FC9"/>
    <w:rsid w:val="00AA24E9"/>
    <w:rsid w:val="00AA52F0"/>
    <w:rsid w:val="00AB00BD"/>
    <w:rsid w:val="00AB0301"/>
    <w:rsid w:val="00AB0D3C"/>
    <w:rsid w:val="00AB4D3F"/>
    <w:rsid w:val="00AB6A44"/>
    <w:rsid w:val="00AC2070"/>
    <w:rsid w:val="00AC280E"/>
    <w:rsid w:val="00AC4AEB"/>
    <w:rsid w:val="00AC4E14"/>
    <w:rsid w:val="00AC522A"/>
    <w:rsid w:val="00AC6F40"/>
    <w:rsid w:val="00AD06D7"/>
    <w:rsid w:val="00AD15B3"/>
    <w:rsid w:val="00AD1A16"/>
    <w:rsid w:val="00AD2BB4"/>
    <w:rsid w:val="00AD692B"/>
    <w:rsid w:val="00AD7766"/>
    <w:rsid w:val="00AE0F85"/>
    <w:rsid w:val="00AF1E21"/>
    <w:rsid w:val="00AF3145"/>
    <w:rsid w:val="00AF66C6"/>
    <w:rsid w:val="00AF6E49"/>
    <w:rsid w:val="00B01C48"/>
    <w:rsid w:val="00B04A67"/>
    <w:rsid w:val="00B0583C"/>
    <w:rsid w:val="00B05ECC"/>
    <w:rsid w:val="00B077CA"/>
    <w:rsid w:val="00B12B63"/>
    <w:rsid w:val="00B13E41"/>
    <w:rsid w:val="00B1480A"/>
    <w:rsid w:val="00B14B00"/>
    <w:rsid w:val="00B168B6"/>
    <w:rsid w:val="00B234A2"/>
    <w:rsid w:val="00B26587"/>
    <w:rsid w:val="00B27FC7"/>
    <w:rsid w:val="00B37927"/>
    <w:rsid w:val="00B4018D"/>
    <w:rsid w:val="00B40A81"/>
    <w:rsid w:val="00B429DD"/>
    <w:rsid w:val="00B4407D"/>
    <w:rsid w:val="00B44910"/>
    <w:rsid w:val="00B45887"/>
    <w:rsid w:val="00B554B8"/>
    <w:rsid w:val="00B55A71"/>
    <w:rsid w:val="00B6006E"/>
    <w:rsid w:val="00B607D6"/>
    <w:rsid w:val="00B60CA6"/>
    <w:rsid w:val="00B6312C"/>
    <w:rsid w:val="00B6354B"/>
    <w:rsid w:val="00B6357B"/>
    <w:rsid w:val="00B67D70"/>
    <w:rsid w:val="00B7153A"/>
    <w:rsid w:val="00B72267"/>
    <w:rsid w:val="00B7284E"/>
    <w:rsid w:val="00B76EB6"/>
    <w:rsid w:val="00B7727B"/>
    <w:rsid w:val="00B7737B"/>
    <w:rsid w:val="00B82189"/>
    <w:rsid w:val="00B82409"/>
    <w:rsid w:val="00B824C8"/>
    <w:rsid w:val="00B84B9D"/>
    <w:rsid w:val="00B85FAC"/>
    <w:rsid w:val="00B8608C"/>
    <w:rsid w:val="00B86B95"/>
    <w:rsid w:val="00B92814"/>
    <w:rsid w:val="00B949D8"/>
    <w:rsid w:val="00B9561C"/>
    <w:rsid w:val="00B97CD5"/>
    <w:rsid w:val="00BA0A8A"/>
    <w:rsid w:val="00BB060D"/>
    <w:rsid w:val="00BB3AFD"/>
    <w:rsid w:val="00BB56D7"/>
    <w:rsid w:val="00BB57B2"/>
    <w:rsid w:val="00BB711E"/>
    <w:rsid w:val="00BC1FA8"/>
    <w:rsid w:val="00BC251A"/>
    <w:rsid w:val="00BC789D"/>
    <w:rsid w:val="00BD032B"/>
    <w:rsid w:val="00BD5529"/>
    <w:rsid w:val="00BD64BB"/>
    <w:rsid w:val="00BE0223"/>
    <w:rsid w:val="00BE235F"/>
    <w:rsid w:val="00BE2640"/>
    <w:rsid w:val="00BE39A6"/>
    <w:rsid w:val="00BE44E9"/>
    <w:rsid w:val="00BE5708"/>
    <w:rsid w:val="00BE7E65"/>
    <w:rsid w:val="00BF3731"/>
    <w:rsid w:val="00BF4090"/>
    <w:rsid w:val="00BF6CBB"/>
    <w:rsid w:val="00C01189"/>
    <w:rsid w:val="00C03A7C"/>
    <w:rsid w:val="00C04EB1"/>
    <w:rsid w:val="00C05FA5"/>
    <w:rsid w:val="00C1328E"/>
    <w:rsid w:val="00C13B5C"/>
    <w:rsid w:val="00C20344"/>
    <w:rsid w:val="00C22719"/>
    <w:rsid w:val="00C24E66"/>
    <w:rsid w:val="00C25BEA"/>
    <w:rsid w:val="00C26649"/>
    <w:rsid w:val="00C30391"/>
    <w:rsid w:val="00C30A12"/>
    <w:rsid w:val="00C337F5"/>
    <w:rsid w:val="00C3456B"/>
    <w:rsid w:val="00C35E87"/>
    <w:rsid w:val="00C370D6"/>
    <w:rsid w:val="00C374DE"/>
    <w:rsid w:val="00C37FA4"/>
    <w:rsid w:val="00C4130C"/>
    <w:rsid w:val="00C41566"/>
    <w:rsid w:val="00C4438D"/>
    <w:rsid w:val="00C45496"/>
    <w:rsid w:val="00C46BA0"/>
    <w:rsid w:val="00C4729F"/>
    <w:rsid w:val="00C47AD4"/>
    <w:rsid w:val="00C51228"/>
    <w:rsid w:val="00C514B0"/>
    <w:rsid w:val="00C52D81"/>
    <w:rsid w:val="00C548CF"/>
    <w:rsid w:val="00C54936"/>
    <w:rsid w:val="00C55198"/>
    <w:rsid w:val="00C55725"/>
    <w:rsid w:val="00C558C3"/>
    <w:rsid w:val="00C61407"/>
    <w:rsid w:val="00C64CD8"/>
    <w:rsid w:val="00C70AB1"/>
    <w:rsid w:val="00C70BF1"/>
    <w:rsid w:val="00C71F8C"/>
    <w:rsid w:val="00C806EF"/>
    <w:rsid w:val="00C81189"/>
    <w:rsid w:val="00C82D4E"/>
    <w:rsid w:val="00C864A3"/>
    <w:rsid w:val="00C87722"/>
    <w:rsid w:val="00C8793A"/>
    <w:rsid w:val="00C94AE7"/>
    <w:rsid w:val="00C94B11"/>
    <w:rsid w:val="00C96B40"/>
    <w:rsid w:val="00C97A39"/>
    <w:rsid w:val="00C97F11"/>
    <w:rsid w:val="00CA116A"/>
    <w:rsid w:val="00CA1B15"/>
    <w:rsid w:val="00CA4C8B"/>
    <w:rsid w:val="00CA4DD4"/>
    <w:rsid w:val="00CA6393"/>
    <w:rsid w:val="00CB18FF"/>
    <w:rsid w:val="00CB2F0E"/>
    <w:rsid w:val="00CB32C9"/>
    <w:rsid w:val="00CD0C08"/>
    <w:rsid w:val="00CD1B0C"/>
    <w:rsid w:val="00CD4686"/>
    <w:rsid w:val="00CD4B9E"/>
    <w:rsid w:val="00CD507F"/>
    <w:rsid w:val="00CE03FB"/>
    <w:rsid w:val="00CE04D3"/>
    <w:rsid w:val="00CE1977"/>
    <w:rsid w:val="00CE2346"/>
    <w:rsid w:val="00CE433C"/>
    <w:rsid w:val="00CF0067"/>
    <w:rsid w:val="00CF1862"/>
    <w:rsid w:val="00CF33F3"/>
    <w:rsid w:val="00D008BB"/>
    <w:rsid w:val="00D00BE9"/>
    <w:rsid w:val="00D01308"/>
    <w:rsid w:val="00D033D2"/>
    <w:rsid w:val="00D04D6B"/>
    <w:rsid w:val="00D06183"/>
    <w:rsid w:val="00D10BE0"/>
    <w:rsid w:val="00D10F6C"/>
    <w:rsid w:val="00D12971"/>
    <w:rsid w:val="00D13082"/>
    <w:rsid w:val="00D1319A"/>
    <w:rsid w:val="00D15530"/>
    <w:rsid w:val="00D15569"/>
    <w:rsid w:val="00D15A94"/>
    <w:rsid w:val="00D20A10"/>
    <w:rsid w:val="00D215B7"/>
    <w:rsid w:val="00D22C42"/>
    <w:rsid w:val="00D24E52"/>
    <w:rsid w:val="00D256A3"/>
    <w:rsid w:val="00D25ADD"/>
    <w:rsid w:val="00D265CC"/>
    <w:rsid w:val="00D26E8C"/>
    <w:rsid w:val="00D2783B"/>
    <w:rsid w:val="00D30280"/>
    <w:rsid w:val="00D3200F"/>
    <w:rsid w:val="00D32D57"/>
    <w:rsid w:val="00D362F8"/>
    <w:rsid w:val="00D37C7B"/>
    <w:rsid w:val="00D40AC9"/>
    <w:rsid w:val="00D565B4"/>
    <w:rsid w:val="00D60CD9"/>
    <w:rsid w:val="00D62BDD"/>
    <w:rsid w:val="00D63423"/>
    <w:rsid w:val="00D638C7"/>
    <w:rsid w:val="00D65041"/>
    <w:rsid w:val="00D65A62"/>
    <w:rsid w:val="00D66053"/>
    <w:rsid w:val="00D67699"/>
    <w:rsid w:val="00D70949"/>
    <w:rsid w:val="00D724A5"/>
    <w:rsid w:val="00D8146F"/>
    <w:rsid w:val="00D81C2B"/>
    <w:rsid w:val="00D81C72"/>
    <w:rsid w:val="00D82362"/>
    <w:rsid w:val="00D82AC9"/>
    <w:rsid w:val="00D95814"/>
    <w:rsid w:val="00DA09E6"/>
    <w:rsid w:val="00DA506C"/>
    <w:rsid w:val="00DB253C"/>
    <w:rsid w:val="00DB2F4F"/>
    <w:rsid w:val="00DB384B"/>
    <w:rsid w:val="00DB4FEE"/>
    <w:rsid w:val="00DC204F"/>
    <w:rsid w:val="00DC22B2"/>
    <w:rsid w:val="00DC2DFF"/>
    <w:rsid w:val="00DC3727"/>
    <w:rsid w:val="00DC3EFA"/>
    <w:rsid w:val="00DC565A"/>
    <w:rsid w:val="00DC72A3"/>
    <w:rsid w:val="00DD30A5"/>
    <w:rsid w:val="00DD3305"/>
    <w:rsid w:val="00DD4D38"/>
    <w:rsid w:val="00DE10C5"/>
    <w:rsid w:val="00DE32C1"/>
    <w:rsid w:val="00DE56FC"/>
    <w:rsid w:val="00DE662A"/>
    <w:rsid w:val="00DF14E3"/>
    <w:rsid w:val="00DF188C"/>
    <w:rsid w:val="00DF1FEA"/>
    <w:rsid w:val="00DF7D78"/>
    <w:rsid w:val="00E00D8E"/>
    <w:rsid w:val="00E0236B"/>
    <w:rsid w:val="00E0794A"/>
    <w:rsid w:val="00E07F36"/>
    <w:rsid w:val="00E10E80"/>
    <w:rsid w:val="00E1111E"/>
    <w:rsid w:val="00E1249C"/>
    <w:rsid w:val="00E124AA"/>
    <w:rsid w:val="00E124F0"/>
    <w:rsid w:val="00E1391E"/>
    <w:rsid w:val="00E17304"/>
    <w:rsid w:val="00E22F5C"/>
    <w:rsid w:val="00E23DDB"/>
    <w:rsid w:val="00E23E89"/>
    <w:rsid w:val="00E262C5"/>
    <w:rsid w:val="00E27A4D"/>
    <w:rsid w:val="00E3056A"/>
    <w:rsid w:val="00E31B21"/>
    <w:rsid w:val="00E40900"/>
    <w:rsid w:val="00E409B2"/>
    <w:rsid w:val="00E40B4D"/>
    <w:rsid w:val="00E426C5"/>
    <w:rsid w:val="00E46C37"/>
    <w:rsid w:val="00E4725B"/>
    <w:rsid w:val="00E51ABF"/>
    <w:rsid w:val="00E528F9"/>
    <w:rsid w:val="00E52F7C"/>
    <w:rsid w:val="00E53731"/>
    <w:rsid w:val="00E56DFD"/>
    <w:rsid w:val="00E60F04"/>
    <w:rsid w:val="00E6196F"/>
    <w:rsid w:val="00E642F5"/>
    <w:rsid w:val="00E658C0"/>
    <w:rsid w:val="00E67ABE"/>
    <w:rsid w:val="00E7176A"/>
    <w:rsid w:val="00E71DCE"/>
    <w:rsid w:val="00E72DBD"/>
    <w:rsid w:val="00E73632"/>
    <w:rsid w:val="00E75692"/>
    <w:rsid w:val="00E760D4"/>
    <w:rsid w:val="00E779CD"/>
    <w:rsid w:val="00E8181B"/>
    <w:rsid w:val="00E8194E"/>
    <w:rsid w:val="00E842FE"/>
    <w:rsid w:val="00E854E4"/>
    <w:rsid w:val="00E85F86"/>
    <w:rsid w:val="00E872BF"/>
    <w:rsid w:val="00E90EBC"/>
    <w:rsid w:val="00E950CF"/>
    <w:rsid w:val="00EA1051"/>
    <w:rsid w:val="00EA3387"/>
    <w:rsid w:val="00EA699F"/>
    <w:rsid w:val="00EA6DC5"/>
    <w:rsid w:val="00EB0D6F"/>
    <w:rsid w:val="00EB2232"/>
    <w:rsid w:val="00EB23A1"/>
    <w:rsid w:val="00EB3C90"/>
    <w:rsid w:val="00EB664E"/>
    <w:rsid w:val="00EB729C"/>
    <w:rsid w:val="00EC031A"/>
    <w:rsid w:val="00EC125B"/>
    <w:rsid w:val="00EC1328"/>
    <w:rsid w:val="00EC5337"/>
    <w:rsid w:val="00ED157D"/>
    <w:rsid w:val="00ED5DC3"/>
    <w:rsid w:val="00ED609B"/>
    <w:rsid w:val="00EE33A2"/>
    <w:rsid w:val="00EE4469"/>
    <w:rsid w:val="00EF098C"/>
    <w:rsid w:val="00EF2021"/>
    <w:rsid w:val="00EF3DB1"/>
    <w:rsid w:val="00F07164"/>
    <w:rsid w:val="00F11A44"/>
    <w:rsid w:val="00F11EC3"/>
    <w:rsid w:val="00F12ED8"/>
    <w:rsid w:val="00F1410D"/>
    <w:rsid w:val="00F17A61"/>
    <w:rsid w:val="00F20435"/>
    <w:rsid w:val="00F21427"/>
    <w:rsid w:val="00F2150A"/>
    <w:rsid w:val="00F22028"/>
    <w:rsid w:val="00F231D8"/>
    <w:rsid w:val="00F24720"/>
    <w:rsid w:val="00F24AAF"/>
    <w:rsid w:val="00F30E8A"/>
    <w:rsid w:val="00F35533"/>
    <w:rsid w:val="00F3557F"/>
    <w:rsid w:val="00F36351"/>
    <w:rsid w:val="00F367C0"/>
    <w:rsid w:val="00F369B6"/>
    <w:rsid w:val="00F40D5B"/>
    <w:rsid w:val="00F450B2"/>
    <w:rsid w:val="00F46C5F"/>
    <w:rsid w:val="00F46CDC"/>
    <w:rsid w:val="00F47115"/>
    <w:rsid w:val="00F516A6"/>
    <w:rsid w:val="00F55DA1"/>
    <w:rsid w:val="00F66FE1"/>
    <w:rsid w:val="00F702AB"/>
    <w:rsid w:val="00F73687"/>
    <w:rsid w:val="00F776E0"/>
    <w:rsid w:val="00F84000"/>
    <w:rsid w:val="00F84846"/>
    <w:rsid w:val="00F858D5"/>
    <w:rsid w:val="00F902A2"/>
    <w:rsid w:val="00F90EBF"/>
    <w:rsid w:val="00F92175"/>
    <w:rsid w:val="00F94A63"/>
    <w:rsid w:val="00F94E5D"/>
    <w:rsid w:val="00F9526D"/>
    <w:rsid w:val="00F96EF2"/>
    <w:rsid w:val="00FA07F6"/>
    <w:rsid w:val="00FA0A43"/>
    <w:rsid w:val="00FA1C28"/>
    <w:rsid w:val="00FA29DB"/>
    <w:rsid w:val="00FA302E"/>
    <w:rsid w:val="00FA52C3"/>
    <w:rsid w:val="00FA5327"/>
    <w:rsid w:val="00FA58C1"/>
    <w:rsid w:val="00FB1279"/>
    <w:rsid w:val="00FB51F0"/>
    <w:rsid w:val="00FB6998"/>
    <w:rsid w:val="00FB7596"/>
    <w:rsid w:val="00FC2E65"/>
    <w:rsid w:val="00FD0D63"/>
    <w:rsid w:val="00FD2AD0"/>
    <w:rsid w:val="00FD47E1"/>
    <w:rsid w:val="00FD4C6A"/>
    <w:rsid w:val="00FD6A8A"/>
    <w:rsid w:val="00FE08E9"/>
    <w:rsid w:val="00FE0EEA"/>
    <w:rsid w:val="00FE1010"/>
    <w:rsid w:val="00FE373B"/>
    <w:rsid w:val="00FE4077"/>
    <w:rsid w:val="00FE77D2"/>
    <w:rsid w:val="00FF4871"/>
    <w:rsid w:val="00FF5CAA"/>
    <w:rsid w:val="00FF68C1"/>
    <w:rsid w:val="00FF6F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Ohne">
    <w:name w:val="Ohne"/>
    <w:rsid w:val="007E5A75"/>
  </w:style>
  <w:style w:type="character" w:customStyle="1" w:styleId="Hyperlink1">
    <w:name w:val="Hyperlink.1"/>
    <w:basedOn w:val="Ohne"/>
    <w:rsid w:val="007E5A75"/>
    <w:rPr>
      <w:rFonts w:ascii="Calibri" w:eastAsia="Calibri" w:hAnsi="Calibri" w:cs="Calibri"/>
      <w:i/>
      <w:iCs/>
      <w:color w:val="0000FF"/>
      <w:u w:val="single" w:color="0000FF"/>
      <w:lang w:val="en-US"/>
    </w:rPr>
  </w:style>
  <w:style w:type="paragraph" w:customStyle="1" w:styleId="NumberedHeading">
    <w:name w:val="Numbered Heading"/>
    <w:rsid w:val="004F3E2E"/>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4F3E2E"/>
    <w:pPr>
      <w:numPr>
        <w:numId w:val="2"/>
      </w:numPr>
    </w:pPr>
  </w:style>
  <w:style w:type="paragraph" w:customStyle="1" w:styleId="Normalnumbered">
    <w:name w:val="Normal (numbered)"/>
    <w:rsid w:val="004F3E2E"/>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6B6361"/>
    <w:pPr>
      <w:numPr>
        <w:numId w:val="4"/>
      </w:numPr>
    </w:pPr>
  </w:style>
  <w:style w:type="paragraph" w:customStyle="1" w:styleId="TextA">
    <w:name w:val="Text A"/>
    <w:rsid w:val="00C41566"/>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styleId="UnresolvedMention">
    <w:name w:val="Unresolved Mention"/>
    <w:basedOn w:val="DefaultParagraphFont"/>
    <w:uiPriority w:val="99"/>
    <w:semiHidden/>
    <w:unhideWhenUsed/>
    <w:rsid w:val="00593258"/>
    <w:rPr>
      <w:color w:val="605E5C"/>
      <w:shd w:val="clear" w:color="auto" w:fill="E1DFDD"/>
    </w:rPr>
  </w:style>
  <w:style w:type="paragraph" w:styleId="Revision">
    <w:name w:val="Revision"/>
    <w:hidden/>
    <w:uiPriority w:val="99"/>
    <w:semiHidden/>
    <w:rsid w:val="00A057DB"/>
    <w:rPr>
      <w:rFonts w:ascii="Calibri" w:hAnsi="Calibri"/>
      <w:sz w:val="24"/>
      <w:lang w:val="en-GB" w:eastAsia="en-US"/>
    </w:rPr>
  </w:style>
  <w:style w:type="character" w:customStyle="1" w:styleId="FootnoteTextChar">
    <w:name w:val="Footnote Text Char"/>
    <w:basedOn w:val="DefaultParagraphFont"/>
    <w:link w:val="FootnoteText"/>
    <w:rsid w:val="003D6E75"/>
    <w:rPr>
      <w:rFonts w:ascii="Calibri" w:hAnsi="Calibri"/>
      <w:sz w:val="24"/>
      <w:lang w:val="en-GB" w:eastAsia="en-US"/>
    </w:rPr>
  </w:style>
  <w:style w:type="paragraph" w:styleId="CommentText">
    <w:name w:val="annotation text"/>
    <w:basedOn w:val="Normal"/>
    <w:link w:val="CommentTextChar"/>
    <w:unhideWhenUsed/>
    <w:rsid w:val="003D6E75"/>
    <w:pPr>
      <w:textAlignment w:val="auto"/>
    </w:pPr>
    <w:rPr>
      <w:sz w:val="20"/>
    </w:rPr>
  </w:style>
  <w:style w:type="character" w:customStyle="1" w:styleId="CommentTextChar">
    <w:name w:val="Comment Text Char"/>
    <w:basedOn w:val="DefaultParagraphFont"/>
    <w:link w:val="CommentText"/>
    <w:rsid w:val="003D6E75"/>
    <w:rPr>
      <w:rFonts w:ascii="Calibri" w:hAnsi="Calibri"/>
      <w:lang w:val="en-GB" w:eastAsia="en-US"/>
    </w:rPr>
  </w:style>
  <w:style w:type="character" w:customStyle="1" w:styleId="enumlev1Char">
    <w:name w:val="enumlev1 Char"/>
    <w:basedOn w:val="DefaultParagraphFont"/>
    <w:link w:val="enumlev1"/>
    <w:locked/>
    <w:rsid w:val="003D6E75"/>
    <w:rPr>
      <w:rFonts w:ascii="Calibri" w:hAnsi="Calibri"/>
      <w:sz w:val="24"/>
      <w:lang w:val="en-GB" w:eastAsia="en-US"/>
    </w:rPr>
  </w:style>
  <w:style w:type="character" w:customStyle="1" w:styleId="AnnexNoChar">
    <w:name w:val="Annex_No Char"/>
    <w:basedOn w:val="DefaultParagraphFont"/>
    <w:link w:val="AnnexNo"/>
    <w:locked/>
    <w:rsid w:val="003D6E75"/>
    <w:rPr>
      <w:rFonts w:ascii="Calibri" w:hAnsi="Calibri"/>
      <w:caps/>
      <w:sz w:val="28"/>
      <w:lang w:val="en-GB" w:eastAsia="en-US"/>
    </w:rPr>
  </w:style>
  <w:style w:type="character" w:styleId="CommentReference">
    <w:name w:val="annotation reference"/>
    <w:basedOn w:val="DefaultParagraphFont"/>
    <w:semiHidden/>
    <w:unhideWhenUsed/>
    <w:rsid w:val="003D6E75"/>
    <w:rPr>
      <w:sz w:val="16"/>
      <w:szCs w:val="16"/>
    </w:rPr>
  </w:style>
  <w:style w:type="paragraph" w:styleId="ListParagraph">
    <w:name w:val="List Paragraph"/>
    <w:basedOn w:val="Normal"/>
    <w:uiPriority w:val="34"/>
    <w:qFormat/>
    <w:rsid w:val="00A1766C"/>
    <w:pPr>
      <w:ind w:left="720"/>
      <w:contextualSpacing/>
    </w:pPr>
  </w:style>
  <w:style w:type="character" w:customStyle="1" w:styleId="Sectiontitle0">
    <w:name w:val="Section title"/>
    <w:basedOn w:val="Ohne"/>
    <w:rsid w:val="00C514B0"/>
    <w:rPr>
      <w:b/>
      <w:bCs/>
      <w:caps/>
      <w:color w:val="000000"/>
      <w:u w:color="000000"/>
      <w:bdr w:val="nil"/>
    </w:rPr>
  </w:style>
  <w:style w:type="paragraph" w:styleId="CommentSubject">
    <w:name w:val="annotation subject"/>
    <w:basedOn w:val="CommentText"/>
    <w:next w:val="CommentText"/>
    <w:link w:val="CommentSubjectChar"/>
    <w:semiHidden/>
    <w:unhideWhenUsed/>
    <w:rsid w:val="004A43DA"/>
    <w:pPr>
      <w:textAlignment w:val="baseline"/>
    </w:pPr>
    <w:rPr>
      <w:b/>
      <w:bCs/>
    </w:rPr>
  </w:style>
  <w:style w:type="character" w:customStyle="1" w:styleId="CommentSubjectChar">
    <w:name w:val="Comment Subject Char"/>
    <w:basedOn w:val="CommentTextChar"/>
    <w:link w:val="CommentSubject"/>
    <w:semiHidden/>
    <w:rsid w:val="004A43DA"/>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28863">
      <w:bodyDiv w:val="1"/>
      <w:marLeft w:val="0"/>
      <w:marRight w:val="0"/>
      <w:marTop w:val="0"/>
      <w:marBottom w:val="0"/>
      <w:divBdr>
        <w:top w:val="none" w:sz="0" w:space="0" w:color="auto"/>
        <w:left w:val="none" w:sz="0" w:space="0" w:color="auto"/>
        <w:bottom w:val="none" w:sz="0" w:space="0" w:color="auto"/>
        <w:right w:val="none" w:sz="0" w:space="0" w:color="auto"/>
      </w:divBdr>
    </w:div>
    <w:div w:id="1494755391">
      <w:bodyDiv w:val="1"/>
      <w:marLeft w:val="0"/>
      <w:marRight w:val="0"/>
      <w:marTop w:val="0"/>
      <w:marBottom w:val="0"/>
      <w:divBdr>
        <w:top w:val="none" w:sz="0" w:space="0" w:color="auto"/>
        <w:left w:val="none" w:sz="0" w:space="0" w:color="auto"/>
        <w:bottom w:val="none" w:sz="0" w:space="0" w:color="auto"/>
        <w:right w:val="none" w:sz="0" w:space="0" w:color="auto"/>
      </w:divBdr>
    </w:div>
    <w:div w:id="21358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32/en" TargetMode="External"/><Relationship Id="rId18" Type="http://schemas.openxmlformats.org/officeDocument/2006/relationships/hyperlink" Target="https://www.itu.int/md/S16-CL-C-0022/en" TargetMode="External"/><Relationship Id="rId26" Type="http://schemas.openxmlformats.org/officeDocument/2006/relationships/hyperlink" Target="https://www.itu.int/en/council/Pages/imac.aspx" TargetMode="External"/><Relationship Id="rId3" Type="http://schemas.openxmlformats.org/officeDocument/2006/relationships/customXml" Target="../customXml/item3.xml"/><Relationship Id="rId21" Type="http://schemas.openxmlformats.org/officeDocument/2006/relationships/hyperlink" Target="https://www.itu.int/md/S19-CL-C-0022/en" TargetMode="External"/><Relationship Id="rId7" Type="http://schemas.openxmlformats.org/officeDocument/2006/relationships/settings" Target="settings.xml"/><Relationship Id="rId12" Type="http://schemas.openxmlformats.org/officeDocument/2006/relationships/hyperlink" Target="https://www.itu.int/en/council/Documents/basic-texts/RES-162-E.pdf" TargetMode="External"/><Relationship Id="rId17" Type="http://schemas.openxmlformats.org/officeDocument/2006/relationships/hyperlink" Target="http://www.itu.int/md/S15-CL-C-0022/en" TargetMode="External"/><Relationship Id="rId25" Type="http://schemas.openxmlformats.org/officeDocument/2006/relationships/hyperlink" Target="http://www.itu.int/en/council/Pages/imac.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S14-CL-C-0022/en" TargetMode="External"/><Relationship Id="rId20" Type="http://schemas.openxmlformats.org/officeDocument/2006/relationships/hyperlink" Target="https://www.itu.int/md/S18-CL-C-0022/e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2-CL-C-0022/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md/S13-CL-C-0065/en" TargetMode="External"/><Relationship Id="rId23" Type="http://schemas.openxmlformats.org/officeDocument/2006/relationships/hyperlink" Target="https://www.itu.int/md/S21-CL-C-0022/en" TargetMode="External"/><Relationship Id="rId28" Type="http://schemas.openxmlformats.org/officeDocument/2006/relationships/hyperlink" Target="http://www.itu.int/imac" TargetMode="External"/><Relationship Id="rId10" Type="http://schemas.openxmlformats.org/officeDocument/2006/relationships/endnotes" Target="endnotes.xml"/><Relationship Id="rId19" Type="http://schemas.openxmlformats.org/officeDocument/2006/relationships/hyperlink" Target="https://www.itu.int/md/S17-CL-C-0022/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2-CL-C-0044/en" TargetMode="External"/><Relationship Id="rId22" Type="http://schemas.openxmlformats.org/officeDocument/2006/relationships/hyperlink" Target="https://www.itu.int/md/S20-CL-C-0022/en" TargetMode="External"/><Relationship Id="rId27" Type="http://schemas.openxmlformats.org/officeDocument/2006/relationships/hyperlink" Target="http://www.itu.int/en/council/Pages/default.aspx"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E0870-E49F-4559-BD4E-068088424A55}">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675BBB61-B564-44BC-BDBF-33B8A0B254E3}">
  <ds:schemaRefs>
    <ds:schemaRef ds:uri="http://schemas.microsoft.com/sharepoint/v3/contenttype/forms"/>
  </ds:schemaRefs>
</ds:datastoreItem>
</file>

<file path=customXml/itemProps3.xml><?xml version="1.0" encoding="utf-8"?>
<ds:datastoreItem xmlns:ds="http://schemas.openxmlformats.org/officeDocument/2006/customXml" ds:itemID="{E2DD1703-D9AE-4053-8BE4-EE2F43B64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3730</Words>
  <Characters>21079</Characters>
  <Application>Microsoft Office Word</Application>
  <DocSecurity>0</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Council 2022</vt:lpstr>
      <vt:lpstr>Council 2022</vt:lpstr>
    </vt:vector>
  </TitlesOfParts>
  <Manager>General Secretariat - Pool</Manager>
  <Company>International Telecommunication Union (ITU)</Company>
  <LinksUpToDate>false</LinksUpToDate>
  <CharactersWithSpaces>24760</CharactersWithSpaces>
  <SharedDoc>false</SharedDoc>
  <HLinks>
    <vt:vector size="102" baseType="variant">
      <vt:variant>
        <vt:i4>4259914</vt:i4>
      </vt:variant>
      <vt:variant>
        <vt:i4>45</vt:i4>
      </vt:variant>
      <vt:variant>
        <vt:i4>0</vt:i4>
      </vt:variant>
      <vt:variant>
        <vt:i4>5</vt:i4>
      </vt:variant>
      <vt:variant>
        <vt:lpwstr>http://www.itu.int/en/council/Pages/default.aspx</vt:lpwstr>
      </vt:variant>
      <vt:variant>
        <vt:lpwstr/>
      </vt:variant>
      <vt:variant>
        <vt:i4>7143544</vt:i4>
      </vt:variant>
      <vt:variant>
        <vt:i4>42</vt:i4>
      </vt:variant>
      <vt:variant>
        <vt:i4>0</vt:i4>
      </vt:variant>
      <vt:variant>
        <vt:i4>5</vt:i4>
      </vt:variant>
      <vt:variant>
        <vt:lpwstr>https://www.itu.int/en/council/Pages/imac.aspx</vt:lpwstr>
      </vt:variant>
      <vt:variant>
        <vt:lpwstr/>
      </vt:variant>
      <vt:variant>
        <vt:i4>1245197</vt:i4>
      </vt:variant>
      <vt:variant>
        <vt:i4>39</vt:i4>
      </vt:variant>
      <vt:variant>
        <vt:i4>0</vt:i4>
      </vt:variant>
      <vt:variant>
        <vt:i4>5</vt:i4>
      </vt:variant>
      <vt:variant>
        <vt:lpwstr>http://www.itu.int/en/council/Pages/imac.aspx</vt:lpwstr>
      </vt:variant>
      <vt:variant>
        <vt:lpwstr/>
      </vt:variant>
      <vt:variant>
        <vt:i4>7471166</vt:i4>
      </vt:variant>
      <vt:variant>
        <vt:i4>36</vt:i4>
      </vt:variant>
      <vt:variant>
        <vt:i4>0</vt:i4>
      </vt:variant>
      <vt:variant>
        <vt:i4>5</vt:i4>
      </vt:variant>
      <vt:variant>
        <vt:lpwstr>https://www.itu.int/md/S22-CL-C-0022/en</vt:lpwstr>
      </vt:variant>
      <vt:variant>
        <vt:lpwstr/>
      </vt:variant>
      <vt:variant>
        <vt:i4>7405630</vt:i4>
      </vt:variant>
      <vt:variant>
        <vt:i4>33</vt:i4>
      </vt:variant>
      <vt:variant>
        <vt:i4>0</vt:i4>
      </vt:variant>
      <vt:variant>
        <vt:i4>5</vt:i4>
      </vt:variant>
      <vt:variant>
        <vt:lpwstr>https://www.itu.int/md/S21-CL-C-0022/en</vt:lpwstr>
      </vt:variant>
      <vt:variant>
        <vt:lpwstr/>
      </vt:variant>
      <vt:variant>
        <vt:i4>7340094</vt:i4>
      </vt:variant>
      <vt:variant>
        <vt:i4>30</vt:i4>
      </vt:variant>
      <vt:variant>
        <vt:i4>0</vt:i4>
      </vt:variant>
      <vt:variant>
        <vt:i4>5</vt:i4>
      </vt:variant>
      <vt:variant>
        <vt:lpwstr>https://www.itu.int/md/S20-CL-C-0022/en</vt:lpwstr>
      </vt:variant>
      <vt:variant>
        <vt:lpwstr/>
      </vt:variant>
      <vt:variant>
        <vt:i4>7929917</vt:i4>
      </vt:variant>
      <vt:variant>
        <vt:i4>27</vt:i4>
      </vt:variant>
      <vt:variant>
        <vt:i4>0</vt:i4>
      </vt:variant>
      <vt:variant>
        <vt:i4>5</vt:i4>
      </vt:variant>
      <vt:variant>
        <vt:lpwstr>https://www.itu.int/md/S19-CL-C-0022/en</vt:lpwstr>
      </vt:variant>
      <vt:variant>
        <vt:lpwstr/>
      </vt:variant>
      <vt:variant>
        <vt:i4>7864381</vt:i4>
      </vt:variant>
      <vt:variant>
        <vt:i4>24</vt:i4>
      </vt:variant>
      <vt:variant>
        <vt:i4>0</vt:i4>
      </vt:variant>
      <vt:variant>
        <vt:i4>5</vt:i4>
      </vt:variant>
      <vt:variant>
        <vt:lpwstr>https://www.itu.int/md/S18-CL-C-0022/en</vt:lpwstr>
      </vt:variant>
      <vt:variant>
        <vt:lpwstr/>
      </vt:variant>
      <vt:variant>
        <vt:i4>7798845</vt:i4>
      </vt:variant>
      <vt:variant>
        <vt:i4>21</vt:i4>
      </vt:variant>
      <vt:variant>
        <vt:i4>0</vt:i4>
      </vt:variant>
      <vt:variant>
        <vt:i4>5</vt:i4>
      </vt:variant>
      <vt:variant>
        <vt:lpwstr>https://www.itu.int/md/S17-CL-C-0022/en</vt:lpwstr>
      </vt:variant>
      <vt:variant>
        <vt:lpwstr/>
      </vt:variant>
      <vt:variant>
        <vt:i4>7733309</vt:i4>
      </vt:variant>
      <vt:variant>
        <vt:i4>18</vt:i4>
      </vt:variant>
      <vt:variant>
        <vt:i4>0</vt:i4>
      </vt:variant>
      <vt:variant>
        <vt:i4>5</vt:i4>
      </vt:variant>
      <vt:variant>
        <vt:lpwstr>https://www.itu.int/md/S16-CL-C-0022/en</vt:lpwstr>
      </vt:variant>
      <vt:variant>
        <vt:lpwstr/>
      </vt:variant>
      <vt:variant>
        <vt:i4>3670125</vt:i4>
      </vt:variant>
      <vt:variant>
        <vt:i4>15</vt:i4>
      </vt:variant>
      <vt:variant>
        <vt:i4>0</vt:i4>
      </vt:variant>
      <vt:variant>
        <vt:i4>5</vt:i4>
      </vt:variant>
      <vt:variant>
        <vt:lpwstr>http://www.itu.int/md/S15-CL-C-0022/en</vt:lpwstr>
      </vt:variant>
      <vt:variant>
        <vt:lpwstr/>
      </vt:variant>
      <vt:variant>
        <vt:i4>3670124</vt:i4>
      </vt:variant>
      <vt:variant>
        <vt:i4>12</vt:i4>
      </vt:variant>
      <vt:variant>
        <vt:i4>0</vt:i4>
      </vt:variant>
      <vt:variant>
        <vt:i4>5</vt:i4>
      </vt:variant>
      <vt:variant>
        <vt:lpwstr>http://www.itu.int/md/S14-CL-C-0022/en</vt:lpwstr>
      </vt:variant>
      <vt:variant>
        <vt:lpwstr/>
      </vt:variant>
      <vt:variant>
        <vt:i4>3932268</vt:i4>
      </vt:variant>
      <vt:variant>
        <vt:i4>9</vt:i4>
      </vt:variant>
      <vt:variant>
        <vt:i4>0</vt:i4>
      </vt:variant>
      <vt:variant>
        <vt:i4>5</vt:i4>
      </vt:variant>
      <vt:variant>
        <vt:lpwstr>http://www.itu.int/md/S13-CL-C-0065/en</vt:lpwstr>
      </vt:variant>
      <vt:variant>
        <vt:lpwstr/>
      </vt:variant>
      <vt:variant>
        <vt:i4>4063340</vt:i4>
      </vt:variant>
      <vt:variant>
        <vt:i4>6</vt:i4>
      </vt:variant>
      <vt:variant>
        <vt:i4>0</vt:i4>
      </vt:variant>
      <vt:variant>
        <vt:i4>5</vt:i4>
      </vt:variant>
      <vt:variant>
        <vt:lpwstr>http://www.itu.int/md/S12-CL-C-0044/en</vt:lpwstr>
      </vt:variant>
      <vt:variant>
        <vt:lpwstr/>
      </vt:variant>
      <vt:variant>
        <vt:i4>7864380</vt:i4>
      </vt:variant>
      <vt:variant>
        <vt:i4>3</vt:i4>
      </vt:variant>
      <vt:variant>
        <vt:i4>0</vt:i4>
      </vt:variant>
      <vt:variant>
        <vt:i4>5</vt:i4>
      </vt:variant>
      <vt:variant>
        <vt:lpwstr>https://www.itu.int/md/S19-CL-C-0132/en</vt:lpwstr>
      </vt:variant>
      <vt:variant>
        <vt:lpwstr/>
      </vt:variant>
      <vt:variant>
        <vt:i4>3080298</vt:i4>
      </vt:variant>
      <vt:variant>
        <vt:i4>0</vt:i4>
      </vt:variant>
      <vt:variant>
        <vt:i4>0</vt:i4>
      </vt:variant>
      <vt:variant>
        <vt:i4>5</vt:i4>
      </vt:variant>
      <vt:variant>
        <vt:lpwstr>https://www.itu.int/en/council/Documents/basic-texts/RES-162-E.pdf</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2022</dc:title>
  <dc:subject>Council 2022</dc:subject>
  <dc:creator>Brouard, Ricarda</dc:creator>
  <cp:keywords>C2022, C22, Council-22</cp:keywords>
  <dc:description/>
  <cp:lastModifiedBy>Comas Barnes, Maite</cp:lastModifiedBy>
  <cp:revision>3</cp:revision>
  <cp:lastPrinted>2022-09-14T15:25:00Z</cp:lastPrinted>
  <dcterms:created xsi:type="dcterms:W3CDTF">2022-09-23T15:27:00Z</dcterms:created>
  <dcterms:modified xsi:type="dcterms:W3CDTF">2022-09-23T15:27:00Z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0x010100A69984AA076DB84F9F755CCCF73A4990</vt:lpwstr>
  </property>
  <property fmtid="{D5CDD505-2E9C-101B-9397-08002B2CF9AE}" pid="9" name="MediaServiceImageTags">
    <vt:lpwstr/>
  </property>
</Properties>
</file>