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14634F">
            <w:pPr>
              <w:spacing w:before="0" w:line="240" w:lineRule="atLeast"/>
              <w:rPr>
                <w:b/>
                <w:smallCaps/>
                <w:szCs w:val="24"/>
              </w:rPr>
            </w:pPr>
          </w:p>
        </w:tc>
        <w:tc>
          <w:tcPr>
            <w:tcW w:w="3120" w:type="dxa"/>
            <w:tcBorders>
              <w:bottom w:val="single" w:sz="12" w:space="0" w:color="auto"/>
            </w:tcBorders>
          </w:tcPr>
          <w:p w14:paraId="76506FC1" w14:textId="77777777" w:rsidR="002A2188" w:rsidRPr="00813E5E" w:rsidRDefault="002A2188" w:rsidP="0014634F">
            <w:pPr>
              <w:spacing w:before="0" w:line="240" w:lineRule="atLeast"/>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14634F">
            <w:pPr>
              <w:spacing w:before="0" w:line="240" w:lineRule="atLeast"/>
              <w:rPr>
                <w:b/>
                <w:smallCaps/>
                <w:szCs w:val="24"/>
              </w:rPr>
            </w:pPr>
          </w:p>
        </w:tc>
        <w:tc>
          <w:tcPr>
            <w:tcW w:w="3120" w:type="dxa"/>
            <w:tcBorders>
              <w:top w:val="single" w:sz="12" w:space="0" w:color="auto"/>
            </w:tcBorders>
          </w:tcPr>
          <w:p w14:paraId="49C653C0" w14:textId="77777777" w:rsidR="002A2188" w:rsidRPr="00813E5E" w:rsidRDefault="002A2188" w:rsidP="0014634F">
            <w:pPr>
              <w:spacing w:before="0" w:line="240" w:lineRule="atLeast"/>
              <w:rPr>
                <w:szCs w:val="24"/>
              </w:rPr>
            </w:pPr>
          </w:p>
        </w:tc>
      </w:tr>
      <w:tr w:rsidR="002A2188" w:rsidRPr="00813E5E" w14:paraId="15B0AE9E" w14:textId="77777777" w:rsidTr="00464B6C">
        <w:trPr>
          <w:cantSplit/>
          <w:trHeight w:val="23"/>
        </w:trPr>
        <w:tc>
          <w:tcPr>
            <w:tcW w:w="6911" w:type="dxa"/>
            <w:vMerge w:val="restart"/>
          </w:tcPr>
          <w:p w14:paraId="6F107B8A" w14:textId="1CB98C0B" w:rsidR="002A2188" w:rsidRPr="00E85629" w:rsidRDefault="0014634F" w:rsidP="0014634F">
            <w:pPr>
              <w:tabs>
                <w:tab w:val="left" w:pos="851"/>
              </w:tabs>
              <w:spacing w:before="0" w:line="240" w:lineRule="atLeast"/>
              <w:rPr>
                <w:b/>
              </w:rPr>
            </w:pPr>
            <w:bookmarkStart w:id="3" w:name="dmeeting" w:colFirst="0" w:colLast="0"/>
            <w:bookmarkStart w:id="4" w:name="dnum" w:colFirst="1" w:colLast="1"/>
            <w:r>
              <w:rPr>
                <w:b/>
              </w:rPr>
              <w:t>Agenda item:</w:t>
            </w:r>
            <w:r w:rsidR="00FA4527">
              <w:rPr>
                <w:b/>
              </w:rPr>
              <w:t xml:space="preserve"> PL 1.5</w:t>
            </w:r>
          </w:p>
        </w:tc>
        <w:tc>
          <w:tcPr>
            <w:tcW w:w="3120" w:type="dxa"/>
          </w:tcPr>
          <w:p w14:paraId="66604129" w14:textId="0E801246" w:rsidR="002A2188" w:rsidRPr="00E85629" w:rsidRDefault="002A2188" w:rsidP="0014634F">
            <w:pPr>
              <w:tabs>
                <w:tab w:val="left" w:pos="851"/>
              </w:tabs>
              <w:spacing w:before="0" w:line="240" w:lineRule="atLeast"/>
              <w:rPr>
                <w:b/>
              </w:rPr>
            </w:pPr>
            <w:r>
              <w:rPr>
                <w:b/>
              </w:rPr>
              <w:t>Document C</w:t>
            </w:r>
            <w:r w:rsidR="004A1B8B">
              <w:rPr>
                <w:b/>
              </w:rPr>
              <w:t>2</w:t>
            </w:r>
            <w:r w:rsidR="0014634F">
              <w:rPr>
                <w:b/>
              </w:rPr>
              <w:t>2</w:t>
            </w:r>
            <w:r>
              <w:rPr>
                <w:b/>
              </w:rPr>
              <w:t>/</w:t>
            </w:r>
            <w:r w:rsidR="003E3250">
              <w:rPr>
                <w:b/>
              </w:rPr>
              <w:t>15</w:t>
            </w:r>
            <w:r>
              <w:rPr>
                <w:b/>
              </w:rPr>
              <w:t>-E</w:t>
            </w:r>
          </w:p>
        </w:tc>
      </w:tr>
      <w:tr w:rsidR="002A2188" w:rsidRPr="00813E5E" w14:paraId="275E195F" w14:textId="77777777" w:rsidTr="00464B6C">
        <w:trPr>
          <w:cantSplit/>
          <w:trHeight w:val="23"/>
        </w:trPr>
        <w:tc>
          <w:tcPr>
            <w:tcW w:w="6911" w:type="dxa"/>
            <w:vMerge/>
          </w:tcPr>
          <w:p w14:paraId="3627AC61" w14:textId="77777777" w:rsidR="002A2188" w:rsidRPr="00813E5E" w:rsidRDefault="002A2188" w:rsidP="0014634F">
            <w:pPr>
              <w:tabs>
                <w:tab w:val="left" w:pos="851"/>
              </w:tabs>
              <w:spacing w:before="0" w:line="240" w:lineRule="atLeast"/>
              <w:rPr>
                <w:b/>
              </w:rPr>
            </w:pPr>
            <w:bookmarkStart w:id="5" w:name="ddate" w:colFirst="1" w:colLast="1"/>
            <w:bookmarkEnd w:id="3"/>
            <w:bookmarkEnd w:id="4"/>
          </w:p>
        </w:tc>
        <w:tc>
          <w:tcPr>
            <w:tcW w:w="3120" w:type="dxa"/>
          </w:tcPr>
          <w:p w14:paraId="2B0CDBEF" w14:textId="104D5788" w:rsidR="002A2188" w:rsidRPr="00E85629" w:rsidRDefault="00B14746" w:rsidP="0014634F">
            <w:pPr>
              <w:tabs>
                <w:tab w:val="left" w:pos="993"/>
              </w:tabs>
              <w:spacing w:before="0"/>
              <w:rPr>
                <w:b/>
              </w:rPr>
            </w:pPr>
            <w:r>
              <w:rPr>
                <w:b/>
              </w:rPr>
              <w:t>1</w:t>
            </w:r>
            <w:r w:rsidR="009556D5">
              <w:rPr>
                <w:b/>
              </w:rPr>
              <w:t>8</w:t>
            </w:r>
            <w:r>
              <w:rPr>
                <w:b/>
              </w:rPr>
              <w:t xml:space="preserve"> February</w:t>
            </w:r>
            <w:r w:rsidR="002A2188">
              <w:rPr>
                <w:b/>
              </w:rPr>
              <w:t xml:space="preserve"> 20</w:t>
            </w:r>
            <w:r w:rsidR="004A1B8B">
              <w:rPr>
                <w:b/>
              </w:rPr>
              <w:t>2</w:t>
            </w:r>
            <w:r w:rsidR="00E3513C">
              <w:rPr>
                <w:b/>
              </w:rPr>
              <w:t>2</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14634F">
            <w:pPr>
              <w:tabs>
                <w:tab w:val="left" w:pos="851"/>
              </w:tabs>
              <w:spacing w:before="0" w:line="240" w:lineRule="atLeast"/>
              <w:rPr>
                <w:b/>
              </w:rPr>
            </w:pPr>
            <w:bookmarkStart w:id="6" w:name="dorlang" w:colFirst="1" w:colLast="1"/>
            <w:bookmarkEnd w:id="5"/>
          </w:p>
        </w:tc>
        <w:tc>
          <w:tcPr>
            <w:tcW w:w="3120" w:type="dxa"/>
          </w:tcPr>
          <w:p w14:paraId="7EAC0E79" w14:textId="77777777" w:rsidR="002A2188" w:rsidRPr="00E85629" w:rsidRDefault="002A2188" w:rsidP="0014634F">
            <w:pPr>
              <w:tabs>
                <w:tab w:val="left" w:pos="993"/>
              </w:tabs>
              <w:spacing w:before="0"/>
              <w:rPr>
                <w:b/>
              </w:rPr>
            </w:pPr>
            <w:r>
              <w:rPr>
                <w:b/>
              </w:rPr>
              <w:t>Original: English</w:t>
            </w:r>
          </w:p>
        </w:tc>
      </w:tr>
      <w:tr w:rsidR="002A2188" w:rsidRPr="00813E5E" w14:paraId="79546A94" w14:textId="77777777" w:rsidTr="00464B6C">
        <w:trPr>
          <w:cantSplit/>
        </w:trPr>
        <w:tc>
          <w:tcPr>
            <w:tcW w:w="10031" w:type="dxa"/>
            <w:gridSpan w:val="2"/>
          </w:tcPr>
          <w:p w14:paraId="7EEA3085" w14:textId="48134693" w:rsidR="002A2188" w:rsidRPr="00813E5E" w:rsidRDefault="0014634F" w:rsidP="003E3250">
            <w:pPr>
              <w:pStyle w:val="Source"/>
            </w:pPr>
            <w:bookmarkStart w:id="7" w:name="dsource" w:colFirst="0" w:colLast="0"/>
            <w:bookmarkEnd w:id="6"/>
            <w:r w:rsidRPr="0014634F">
              <w:t xml:space="preserve">Report by the </w:t>
            </w:r>
            <w:r w:rsidR="003E3250">
              <w:t xml:space="preserve">Chairman of the Council Working Group on </w:t>
            </w:r>
            <w:r w:rsidR="003E3250" w:rsidRPr="003E3250">
              <w:t>Child Online Protection</w:t>
            </w:r>
          </w:p>
        </w:tc>
      </w:tr>
      <w:tr w:rsidR="002A2188" w:rsidRPr="00813E5E" w14:paraId="5B5E8CC5" w14:textId="77777777" w:rsidTr="00464B6C">
        <w:trPr>
          <w:cantSplit/>
        </w:trPr>
        <w:tc>
          <w:tcPr>
            <w:tcW w:w="10031" w:type="dxa"/>
            <w:gridSpan w:val="2"/>
          </w:tcPr>
          <w:p w14:paraId="3689B12B" w14:textId="6FA94D1C" w:rsidR="002A2188" w:rsidRPr="00813E5E" w:rsidRDefault="003E3250" w:rsidP="003E3250">
            <w:pPr>
              <w:pStyle w:val="Title1"/>
            </w:pPr>
            <w:bookmarkStart w:id="8" w:name="dtitle1" w:colFirst="0" w:colLast="0"/>
            <w:bookmarkEnd w:id="7"/>
            <w:r>
              <w:t>OUTCOME OF THE EIGHTEENTH MEETING</w:t>
            </w:r>
            <w:r>
              <w:br/>
              <w:t>OF THE COUNCIL WORKING GROUP ON CHILD ONLINE PROTECTION</w:t>
            </w:r>
          </w:p>
        </w:tc>
      </w:tr>
      <w:bookmarkEnd w:id="8"/>
    </w:tbl>
    <w:p w14:paraId="554B4CB6"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1DF07826"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44CAD894" w14:textId="77777777" w:rsidR="002A2188" w:rsidRPr="00813E5E" w:rsidRDefault="002A2188" w:rsidP="00B14746">
            <w:pPr>
              <w:pStyle w:val="Headingb"/>
              <w:spacing w:before="120" w:after="120"/>
              <w:jc w:val="both"/>
            </w:pPr>
            <w:r w:rsidRPr="00813E5E">
              <w:t>Summary</w:t>
            </w:r>
          </w:p>
          <w:p w14:paraId="34E38646" w14:textId="6E2100F5" w:rsidR="002A2188" w:rsidRPr="00813E5E" w:rsidRDefault="003E3250" w:rsidP="00B14746">
            <w:pPr>
              <w:spacing w:after="120"/>
              <w:jc w:val="both"/>
            </w:pPr>
            <w:r w:rsidRPr="003E3250">
              <w:t>This report summarizes the main results of the eighteenth meeting of the Council Working Group on Child Online Protection (CWG-COP), held on 12</w:t>
            </w:r>
            <w:r w:rsidR="00715B63">
              <w:t> </w:t>
            </w:r>
            <w:r w:rsidRPr="003E3250">
              <w:t>January 2022, in accordance with ITU 2010 Council Resolution 1306 and ITU Plenipotentiary Resolution 179 (Rev. Dubai, 2018).</w:t>
            </w:r>
          </w:p>
          <w:p w14:paraId="17A30379" w14:textId="77777777" w:rsidR="002A2188" w:rsidRPr="00813E5E" w:rsidRDefault="002A2188" w:rsidP="00B14746">
            <w:pPr>
              <w:pStyle w:val="Headingb"/>
              <w:spacing w:before="120" w:after="120"/>
              <w:jc w:val="both"/>
            </w:pPr>
            <w:r w:rsidRPr="00813E5E">
              <w:t>Action required</w:t>
            </w:r>
          </w:p>
          <w:p w14:paraId="63C8FCD7" w14:textId="28AFEB0A" w:rsidR="002A2188" w:rsidRPr="00813E5E" w:rsidRDefault="003E3250" w:rsidP="00B14746">
            <w:pPr>
              <w:spacing w:after="120"/>
              <w:jc w:val="both"/>
            </w:pPr>
            <w:r w:rsidRPr="003E3250">
              <w:t xml:space="preserve">The Council is invited </w:t>
            </w:r>
            <w:r w:rsidRPr="00715B63">
              <w:rPr>
                <w:b/>
                <w:bCs/>
              </w:rPr>
              <w:t>to note</w:t>
            </w:r>
            <w:r w:rsidRPr="003E3250">
              <w:t xml:space="preserve"> the document.</w:t>
            </w:r>
          </w:p>
          <w:p w14:paraId="3098B3AD" w14:textId="77777777" w:rsidR="002A2188" w:rsidRPr="00813E5E" w:rsidRDefault="002A2188" w:rsidP="00B14746">
            <w:pPr>
              <w:pStyle w:val="Table"/>
              <w:keepNext w:val="0"/>
              <w:spacing w:before="120"/>
              <w:jc w:val="both"/>
              <w:rPr>
                <w:rFonts w:ascii="Calibri" w:hAnsi="Calibri"/>
                <w:caps w:val="0"/>
                <w:sz w:val="22"/>
              </w:rPr>
            </w:pPr>
            <w:r w:rsidRPr="00813E5E">
              <w:rPr>
                <w:rFonts w:ascii="Calibri" w:hAnsi="Calibri"/>
                <w:caps w:val="0"/>
                <w:sz w:val="22"/>
              </w:rPr>
              <w:t>____________</w:t>
            </w:r>
          </w:p>
          <w:p w14:paraId="6D31B914" w14:textId="77777777" w:rsidR="002A2188" w:rsidRPr="00813E5E" w:rsidRDefault="002A2188" w:rsidP="00B14746">
            <w:pPr>
              <w:pStyle w:val="Headingb"/>
              <w:spacing w:before="120" w:after="120"/>
              <w:jc w:val="both"/>
            </w:pPr>
            <w:r w:rsidRPr="00813E5E">
              <w:t>References</w:t>
            </w:r>
          </w:p>
          <w:p w14:paraId="47763C34" w14:textId="7CF247CE" w:rsidR="002A2188" w:rsidRPr="00813E5E" w:rsidRDefault="009556D5" w:rsidP="00B14746">
            <w:pPr>
              <w:spacing w:after="120"/>
              <w:jc w:val="both"/>
              <w:rPr>
                <w:i/>
                <w:iCs/>
              </w:rPr>
            </w:pPr>
            <w:hyperlink r:id="rId9" w:history="1">
              <w:r w:rsidR="003E3250" w:rsidRPr="003E3250">
                <w:rPr>
                  <w:rStyle w:val="Hyperlink"/>
                  <w:i/>
                  <w:iCs/>
                </w:rPr>
                <w:t>Eighteenth meeting of CWG-COP</w:t>
              </w:r>
            </w:hyperlink>
          </w:p>
        </w:tc>
      </w:tr>
    </w:tbl>
    <w:p w14:paraId="02F3B928" w14:textId="1B530B40" w:rsidR="003E3250" w:rsidRPr="003E3250" w:rsidRDefault="003E3250" w:rsidP="00715B63">
      <w:pPr>
        <w:pStyle w:val="Heading1"/>
        <w:keepNext w:val="0"/>
        <w:keepLines w:val="0"/>
        <w:tabs>
          <w:tab w:val="clear" w:pos="567"/>
          <w:tab w:val="clear" w:pos="1134"/>
          <w:tab w:val="clear" w:pos="1701"/>
          <w:tab w:val="clear" w:pos="2268"/>
          <w:tab w:val="clear" w:pos="2835"/>
        </w:tabs>
        <w:snapToGrid w:val="0"/>
        <w:spacing w:before="600" w:after="120"/>
        <w:ind w:left="0" w:firstLine="0"/>
        <w:jc w:val="both"/>
        <w:rPr>
          <w:rFonts w:asciiTheme="minorHAnsi" w:hAnsiTheme="minorHAnsi" w:cstheme="minorHAnsi"/>
          <w:sz w:val="24"/>
          <w:szCs w:val="24"/>
        </w:rPr>
      </w:pPr>
      <w:bookmarkStart w:id="9" w:name="dstart"/>
      <w:bookmarkStart w:id="10" w:name="dbreak"/>
      <w:bookmarkEnd w:id="9"/>
      <w:bookmarkEnd w:id="10"/>
      <w:r w:rsidRPr="003E3250">
        <w:rPr>
          <w:rFonts w:asciiTheme="minorHAnsi" w:hAnsiTheme="minorHAnsi" w:cstheme="minorHAnsi"/>
          <w:sz w:val="24"/>
          <w:szCs w:val="24"/>
        </w:rPr>
        <w:t>(1)</w:t>
      </w:r>
      <w:r w:rsidRPr="003E3250">
        <w:rPr>
          <w:rFonts w:asciiTheme="minorHAnsi" w:hAnsiTheme="minorHAnsi" w:cstheme="minorHAnsi"/>
          <w:sz w:val="24"/>
          <w:szCs w:val="24"/>
        </w:rPr>
        <w:tab/>
        <w:t>Introduction</w:t>
      </w:r>
    </w:p>
    <w:p w14:paraId="5B12F28B" w14:textId="77777777" w:rsidR="003E3250" w:rsidRPr="003E3250" w:rsidRDefault="003E3250" w:rsidP="003E325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3E3250">
        <w:rPr>
          <w:rFonts w:asciiTheme="minorHAnsi" w:hAnsiTheme="minorHAnsi" w:cstheme="minorHAnsi"/>
          <w:szCs w:val="24"/>
        </w:rPr>
        <w:t>1.1</w:t>
      </w:r>
      <w:r w:rsidRPr="003E3250">
        <w:rPr>
          <w:rFonts w:asciiTheme="minorHAnsi" w:hAnsiTheme="minorHAnsi" w:cstheme="minorHAnsi"/>
          <w:szCs w:val="24"/>
        </w:rPr>
        <w:tab/>
        <w:t xml:space="preserve">The eighteenth meeting of CWG-COP was held on 12 January 2022 online on the Platform Zoom. Around 100 participants, representing governments, private sector, civil society, academia, international and intergovernmental organizations, participated remotely in the meeting, which was chaired by Mr Abdelaziz </w:t>
      </w:r>
      <w:proofErr w:type="spellStart"/>
      <w:r w:rsidRPr="003E3250">
        <w:rPr>
          <w:rFonts w:asciiTheme="minorHAnsi" w:hAnsiTheme="minorHAnsi" w:cstheme="minorHAnsi"/>
          <w:szCs w:val="24"/>
        </w:rPr>
        <w:t>Alzarooni</w:t>
      </w:r>
      <w:proofErr w:type="spellEnd"/>
      <w:r w:rsidRPr="003E3250">
        <w:rPr>
          <w:rFonts w:asciiTheme="minorHAnsi" w:hAnsiTheme="minorHAnsi" w:cstheme="minorHAnsi"/>
          <w:szCs w:val="24"/>
        </w:rPr>
        <w:t xml:space="preserve"> (UAE).</w:t>
      </w:r>
    </w:p>
    <w:p w14:paraId="00EFB57D" w14:textId="16F8D42F" w:rsidR="003E3250" w:rsidRPr="003E3250" w:rsidRDefault="003E3250" w:rsidP="00715B63">
      <w:pPr>
        <w:pStyle w:val="Heading1"/>
        <w:keepNext w:val="0"/>
        <w:keepLines w:val="0"/>
        <w:tabs>
          <w:tab w:val="clear" w:pos="567"/>
          <w:tab w:val="clear" w:pos="1134"/>
          <w:tab w:val="clear" w:pos="1701"/>
          <w:tab w:val="clear" w:pos="2268"/>
          <w:tab w:val="clear" w:pos="2835"/>
        </w:tabs>
        <w:snapToGrid w:val="0"/>
        <w:spacing w:before="360" w:after="120"/>
        <w:ind w:left="0" w:firstLine="0"/>
        <w:jc w:val="both"/>
        <w:rPr>
          <w:rFonts w:asciiTheme="minorHAnsi" w:hAnsiTheme="minorHAnsi" w:cstheme="minorHAnsi"/>
          <w:sz w:val="24"/>
          <w:szCs w:val="24"/>
        </w:rPr>
      </w:pPr>
      <w:r w:rsidRPr="003E3250">
        <w:rPr>
          <w:rFonts w:asciiTheme="minorHAnsi" w:hAnsiTheme="minorHAnsi" w:cstheme="minorHAnsi"/>
          <w:sz w:val="24"/>
          <w:szCs w:val="24"/>
        </w:rPr>
        <w:t>(2)</w:t>
      </w:r>
      <w:r w:rsidRPr="003E3250">
        <w:rPr>
          <w:rFonts w:asciiTheme="minorHAnsi" w:hAnsiTheme="minorHAnsi" w:cstheme="minorHAnsi"/>
          <w:sz w:val="24"/>
          <w:szCs w:val="24"/>
        </w:rPr>
        <w:tab/>
        <w:t>Opening remarks</w:t>
      </w:r>
    </w:p>
    <w:p w14:paraId="0712319D" w14:textId="7FB0168E" w:rsidR="003E3250" w:rsidRPr="003E3250" w:rsidRDefault="003E3250" w:rsidP="003E325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3E3250">
        <w:rPr>
          <w:rFonts w:asciiTheme="minorHAnsi" w:hAnsiTheme="minorHAnsi" w:cstheme="minorHAnsi"/>
          <w:szCs w:val="24"/>
        </w:rPr>
        <w:t>2.1</w:t>
      </w:r>
      <w:r w:rsidRPr="003E3250">
        <w:rPr>
          <w:rFonts w:asciiTheme="minorHAnsi" w:hAnsiTheme="minorHAnsi" w:cstheme="minorHAnsi"/>
          <w:szCs w:val="24"/>
        </w:rPr>
        <w:tab/>
        <w:t>The Secretary-General of the ITU, Mr. Houlin Zhao opened the meeting and welcomed all the participants in the virtual room. He highlighted the importance of meaningful connectivity and a safe and empowering online environment for children, particularly due to the COVID-19 pandemic and myriad of subsequent increased risks online</w:t>
      </w:r>
      <w:r w:rsidR="00B14746">
        <w:rPr>
          <w:rFonts w:asciiTheme="minorHAnsi" w:hAnsiTheme="minorHAnsi" w:cstheme="minorHAnsi"/>
          <w:szCs w:val="24"/>
        </w:rPr>
        <w:t>,</w:t>
      </w:r>
      <w:r w:rsidRPr="003E3250">
        <w:rPr>
          <w:rFonts w:asciiTheme="minorHAnsi" w:hAnsiTheme="minorHAnsi" w:cstheme="minorHAnsi"/>
          <w:szCs w:val="24"/>
        </w:rPr>
        <w:t xml:space="preserve"> accentuating the need for urgent proactive action. Specifically, Mr. Houlin Zhao pointed to sexual exploitation and online abuse rising in prevalence in recent years. He further presented the ITU Global Programme goal (launched in collaboration with NCA</w:t>
      </w:r>
      <w:r w:rsidR="00B14746">
        <w:rPr>
          <w:rFonts w:asciiTheme="minorHAnsi" w:hAnsiTheme="minorHAnsi" w:cstheme="minorHAnsi"/>
          <w:szCs w:val="24"/>
        </w:rPr>
        <w:t>,</w:t>
      </w:r>
      <w:r w:rsidRPr="003E3250">
        <w:rPr>
          <w:rFonts w:asciiTheme="minorHAnsi" w:hAnsiTheme="minorHAnsi" w:cstheme="minorHAnsi"/>
          <w:szCs w:val="24"/>
        </w:rPr>
        <w:t xml:space="preserve"> </w:t>
      </w:r>
      <w:proofErr w:type="spellStart"/>
      <w:r w:rsidRPr="003E3250">
        <w:rPr>
          <w:rFonts w:asciiTheme="minorHAnsi" w:hAnsiTheme="minorHAnsi" w:cstheme="minorHAnsi"/>
          <w:szCs w:val="24"/>
        </w:rPr>
        <w:t>Saudia</w:t>
      </w:r>
      <w:proofErr w:type="spellEnd"/>
      <w:r w:rsidRPr="003E3250">
        <w:rPr>
          <w:rFonts w:asciiTheme="minorHAnsi" w:hAnsiTheme="minorHAnsi" w:cstheme="minorHAnsi"/>
          <w:szCs w:val="24"/>
        </w:rPr>
        <w:t xml:space="preserve"> Arabia</w:t>
      </w:r>
      <w:r w:rsidR="00B14746">
        <w:rPr>
          <w:rFonts w:asciiTheme="minorHAnsi" w:hAnsiTheme="minorHAnsi" w:cstheme="minorHAnsi"/>
          <w:szCs w:val="24"/>
        </w:rPr>
        <w:t>,</w:t>
      </w:r>
      <w:r w:rsidRPr="003E3250">
        <w:rPr>
          <w:rFonts w:asciiTheme="minorHAnsi" w:hAnsiTheme="minorHAnsi" w:cstheme="minorHAnsi"/>
          <w:szCs w:val="24"/>
        </w:rPr>
        <w:t xml:space="preserve"> in August 2021) being to provide technical support in the development and implementation of child online safety measures and policies among governments, industries, and civil society to increase capacity development and knowledge sharing between all relevant </w:t>
      </w:r>
      <w:r w:rsidRPr="003E3250">
        <w:rPr>
          <w:rFonts w:asciiTheme="minorHAnsi" w:hAnsiTheme="minorHAnsi" w:cstheme="minorHAnsi"/>
          <w:szCs w:val="24"/>
        </w:rPr>
        <w:lastRenderedPageBreak/>
        <w:t>stakeholders. Mr. Houlin Zhao concluded with inviting</w:t>
      </w:r>
      <w:r w:rsidRPr="003E3250">
        <w:rPr>
          <w:rFonts w:asciiTheme="minorHAnsi" w:eastAsia="Calibri" w:hAnsiTheme="minorHAnsi" w:cstheme="minorHAnsi"/>
          <w:szCs w:val="24"/>
        </w:rPr>
        <w:t xml:space="preserve"> all </w:t>
      </w:r>
      <w:r w:rsidRPr="003E3250">
        <w:rPr>
          <w:rFonts w:asciiTheme="minorHAnsi" w:hAnsiTheme="minorHAnsi" w:cstheme="minorHAnsi"/>
          <w:szCs w:val="24"/>
        </w:rPr>
        <w:t>member states and partners</w:t>
      </w:r>
      <w:r w:rsidRPr="003E3250">
        <w:rPr>
          <w:rFonts w:asciiTheme="minorHAnsi" w:eastAsia="Calibri" w:hAnsiTheme="minorHAnsi" w:cstheme="minorHAnsi"/>
          <w:szCs w:val="24"/>
        </w:rPr>
        <w:t xml:space="preserve"> to join </w:t>
      </w:r>
      <w:r w:rsidRPr="003E3250">
        <w:rPr>
          <w:rFonts w:asciiTheme="minorHAnsi" w:hAnsiTheme="minorHAnsi" w:cstheme="minorHAnsi"/>
          <w:szCs w:val="24"/>
        </w:rPr>
        <w:t>them</w:t>
      </w:r>
      <w:r w:rsidRPr="003E3250">
        <w:rPr>
          <w:rFonts w:asciiTheme="minorHAnsi" w:eastAsia="Calibri" w:hAnsiTheme="minorHAnsi" w:cstheme="minorHAnsi"/>
          <w:szCs w:val="24"/>
        </w:rPr>
        <w:t xml:space="preserve"> in this endeavour and to contribute t</w:t>
      </w:r>
      <w:r w:rsidRPr="003E3250">
        <w:rPr>
          <w:rFonts w:asciiTheme="minorHAnsi" w:hAnsiTheme="minorHAnsi" w:cstheme="minorHAnsi"/>
          <w:szCs w:val="24"/>
        </w:rPr>
        <w:t xml:space="preserve">o the programme through additional funding, and proactive involvement in the various activities. </w:t>
      </w:r>
    </w:p>
    <w:p w14:paraId="60060629" w14:textId="77777777" w:rsidR="003E3250" w:rsidRPr="003E3250" w:rsidRDefault="003E3250" w:rsidP="003E3250">
      <w:pPr>
        <w:tabs>
          <w:tab w:val="clear" w:pos="567"/>
          <w:tab w:val="clear" w:pos="1134"/>
          <w:tab w:val="clear" w:pos="1701"/>
          <w:tab w:val="clear" w:pos="2268"/>
          <w:tab w:val="clear" w:pos="2835"/>
        </w:tabs>
        <w:spacing w:after="120"/>
        <w:jc w:val="both"/>
        <w:rPr>
          <w:rFonts w:asciiTheme="minorHAnsi" w:eastAsia="Calibri" w:hAnsiTheme="minorHAnsi" w:cstheme="minorHAnsi"/>
          <w:szCs w:val="24"/>
        </w:rPr>
      </w:pPr>
      <w:r w:rsidRPr="003E3250">
        <w:rPr>
          <w:rFonts w:asciiTheme="minorHAnsi" w:hAnsiTheme="minorHAnsi" w:cstheme="minorHAnsi"/>
          <w:szCs w:val="24"/>
        </w:rPr>
        <w:t>2.2</w:t>
      </w:r>
      <w:r w:rsidRPr="003E3250">
        <w:rPr>
          <w:rFonts w:asciiTheme="minorHAnsi" w:hAnsiTheme="minorHAnsi" w:cstheme="minorHAnsi"/>
          <w:szCs w:val="24"/>
        </w:rPr>
        <w:tab/>
      </w:r>
      <w:r w:rsidRPr="00715B63">
        <w:rPr>
          <w:rFonts w:asciiTheme="minorHAnsi" w:hAnsiTheme="minorHAnsi" w:cstheme="minorHAnsi"/>
          <w:spacing w:val="-2"/>
          <w:szCs w:val="24"/>
        </w:rPr>
        <w:t>The Director of the ITU Telecommunication Development Bureau (BDT), Mrs. Doreen Bogdan-Martin</w:t>
      </w:r>
      <w:r w:rsidRPr="003E3250">
        <w:rPr>
          <w:rFonts w:asciiTheme="minorHAnsi" w:hAnsiTheme="minorHAnsi" w:cstheme="minorHAnsi"/>
          <w:szCs w:val="24"/>
        </w:rPr>
        <w:t xml:space="preserve">, in her welcoming remarks, shared her sincere appreciation for participants response to the Circular Letter sent on 3 December 2021, and inspiring efforts taken by member states to better protect and empower children online. Particularly, during times of uncertainty and increased use of the digital environment due to ongoing the COVID-19 pandemic. Mrs. Doreen Bogdan-Martin was further pleased to thank all participants for sharing best practices and progress on implementation of COP guidelines. She closed by stating the progress made by member states in-line with COP initiatives, revealing member states implementation of national awareness, capacity building and education on COP. For example, through school programmes or investment in research in COP. A few member states </w:t>
      </w:r>
      <w:r w:rsidRPr="003E3250">
        <w:rPr>
          <w:rFonts w:asciiTheme="minorHAnsi" w:eastAsia="Calibri" w:hAnsiTheme="minorHAnsi" w:cstheme="minorHAnsi"/>
          <w:szCs w:val="24"/>
        </w:rPr>
        <w:t xml:space="preserve">updated their legal frameworks and policies to </w:t>
      </w:r>
      <w:r w:rsidRPr="003E3250">
        <w:rPr>
          <w:rFonts w:asciiTheme="minorHAnsi" w:hAnsiTheme="minorHAnsi" w:cstheme="minorHAnsi"/>
          <w:szCs w:val="24"/>
        </w:rPr>
        <w:t>enhance</w:t>
      </w:r>
      <w:r w:rsidRPr="003E3250">
        <w:rPr>
          <w:rFonts w:asciiTheme="minorHAnsi" w:eastAsia="Calibri" w:hAnsiTheme="minorHAnsi" w:cstheme="minorHAnsi"/>
          <w:szCs w:val="24"/>
        </w:rPr>
        <w:t xml:space="preserve"> children’s safety and protection online.</w:t>
      </w:r>
    </w:p>
    <w:p w14:paraId="62274C17" w14:textId="77777777" w:rsidR="003E3250" w:rsidRPr="003E3250" w:rsidRDefault="003E3250" w:rsidP="003E325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3E3250">
        <w:rPr>
          <w:rFonts w:asciiTheme="minorHAnsi" w:hAnsiTheme="minorHAnsi" w:cstheme="minorHAnsi"/>
          <w:szCs w:val="24"/>
        </w:rPr>
        <w:t>2.3</w:t>
      </w:r>
      <w:r w:rsidRPr="003E3250">
        <w:rPr>
          <w:rFonts w:asciiTheme="minorHAnsi" w:hAnsiTheme="minorHAnsi" w:cstheme="minorHAnsi"/>
          <w:szCs w:val="24"/>
        </w:rPr>
        <w:tab/>
        <w:t xml:space="preserve">The Chairman welcomed the participants and thanked the Secretary-General and the BDT Director for their presence and support. He expressed the need to leverage from each other’s efforts to find innovative and successful ways to collaborate and to coordinate international actions. He hoped that participants can see Partners to Connect as a fruitful opportunity to work synergistically and to foster meaningful connectivity and digital transformation. The Chair noted the growth of the CWG, with this meeting having the most contributions and participants. He concluded by expressing his gratitude to be able to participate and work in close collaboration with everyone in the next months. He proceeded to give the floor to the ITU team. </w:t>
      </w:r>
    </w:p>
    <w:p w14:paraId="24FC23CB" w14:textId="35DC4906" w:rsidR="003E3250" w:rsidRPr="003E3250" w:rsidRDefault="003E3250" w:rsidP="00715B63">
      <w:pPr>
        <w:tabs>
          <w:tab w:val="clear" w:pos="567"/>
          <w:tab w:val="clear" w:pos="1134"/>
          <w:tab w:val="clear" w:pos="1701"/>
          <w:tab w:val="clear" w:pos="2268"/>
          <w:tab w:val="clear" w:pos="2835"/>
        </w:tabs>
        <w:snapToGrid w:val="0"/>
        <w:spacing w:before="360" w:after="120"/>
        <w:jc w:val="both"/>
        <w:rPr>
          <w:rFonts w:asciiTheme="minorHAnsi" w:hAnsiTheme="minorHAnsi" w:cstheme="minorHAnsi"/>
          <w:b/>
          <w:szCs w:val="24"/>
        </w:rPr>
      </w:pPr>
      <w:r w:rsidRPr="003E3250">
        <w:rPr>
          <w:rFonts w:asciiTheme="minorHAnsi" w:hAnsiTheme="minorHAnsi" w:cstheme="minorHAnsi"/>
          <w:b/>
          <w:szCs w:val="24"/>
        </w:rPr>
        <w:t>(3)</w:t>
      </w:r>
      <w:r w:rsidRPr="003E3250">
        <w:rPr>
          <w:rFonts w:asciiTheme="minorHAnsi" w:hAnsiTheme="minorHAnsi" w:cstheme="minorHAnsi"/>
          <w:b/>
          <w:szCs w:val="24"/>
        </w:rPr>
        <w:tab/>
        <w:t>Adoption of the agenda</w:t>
      </w:r>
    </w:p>
    <w:p w14:paraId="77F5E32E" w14:textId="77777777" w:rsidR="003E3250" w:rsidRPr="003E3250" w:rsidRDefault="003E3250" w:rsidP="003E325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3E3250">
        <w:rPr>
          <w:rFonts w:asciiTheme="minorHAnsi" w:hAnsiTheme="minorHAnsi" w:cstheme="minorHAnsi"/>
          <w:szCs w:val="24"/>
        </w:rPr>
        <w:t>3.1</w:t>
      </w:r>
      <w:r w:rsidRPr="003E3250">
        <w:rPr>
          <w:rFonts w:asciiTheme="minorHAnsi" w:hAnsiTheme="minorHAnsi" w:cstheme="minorHAnsi"/>
          <w:szCs w:val="24"/>
        </w:rPr>
        <w:tab/>
        <w:t>The</w:t>
      </w:r>
      <w:hyperlink r:id="rId10">
        <w:r w:rsidRPr="003E3250">
          <w:rPr>
            <w:rStyle w:val="Hyperlink"/>
            <w:rFonts w:asciiTheme="minorHAnsi" w:hAnsiTheme="minorHAnsi" w:cstheme="minorHAnsi"/>
            <w:szCs w:val="24"/>
          </w:rPr>
          <w:t xml:space="preserve"> Agenda</w:t>
        </w:r>
      </w:hyperlink>
      <w:r w:rsidRPr="003E3250">
        <w:rPr>
          <w:rFonts w:asciiTheme="minorHAnsi" w:hAnsiTheme="minorHAnsi" w:cstheme="minorHAnsi"/>
          <w:szCs w:val="24"/>
        </w:rPr>
        <w:t xml:space="preserve"> was adopted as drafted.</w:t>
      </w:r>
    </w:p>
    <w:p w14:paraId="2F196402" w14:textId="281DC14C" w:rsidR="003E3250" w:rsidRPr="003E3250" w:rsidRDefault="003E3250" w:rsidP="00715B63">
      <w:pPr>
        <w:pStyle w:val="Heading1"/>
        <w:keepNext w:val="0"/>
        <w:keepLines w:val="0"/>
        <w:tabs>
          <w:tab w:val="clear" w:pos="567"/>
          <w:tab w:val="clear" w:pos="1134"/>
          <w:tab w:val="clear" w:pos="1701"/>
          <w:tab w:val="clear" w:pos="2268"/>
          <w:tab w:val="clear" w:pos="2835"/>
        </w:tabs>
        <w:snapToGrid w:val="0"/>
        <w:spacing w:before="360" w:after="120"/>
        <w:ind w:left="0" w:firstLine="0"/>
        <w:jc w:val="both"/>
        <w:rPr>
          <w:rFonts w:asciiTheme="minorHAnsi" w:hAnsiTheme="minorHAnsi" w:cstheme="minorHAnsi"/>
          <w:sz w:val="24"/>
          <w:szCs w:val="24"/>
        </w:rPr>
      </w:pPr>
      <w:r w:rsidRPr="003E3250">
        <w:rPr>
          <w:rFonts w:asciiTheme="minorHAnsi" w:hAnsiTheme="minorHAnsi" w:cstheme="minorHAnsi"/>
          <w:sz w:val="24"/>
          <w:szCs w:val="24"/>
        </w:rPr>
        <w:t>(4)</w:t>
      </w:r>
      <w:r w:rsidRPr="003E3250">
        <w:rPr>
          <w:rFonts w:asciiTheme="minorHAnsi" w:hAnsiTheme="minorHAnsi" w:cstheme="minorHAnsi"/>
          <w:sz w:val="24"/>
          <w:szCs w:val="24"/>
        </w:rPr>
        <w:tab/>
        <w:t>Contributions and information documents</w:t>
      </w:r>
    </w:p>
    <w:p w14:paraId="7C1E63C9" w14:textId="5D9754C7" w:rsidR="003E3250" w:rsidRPr="003E3250" w:rsidRDefault="003E3250" w:rsidP="003E3250">
      <w:pPr>
        <w:tabs>
          <w:tab w:val="clear" w:pos="567"/>
          <w:tab w:val="clear" w:pos="1134"/>
          <w:tab w:val="clear" w:pos="1701"/>
          <w:tab w:val="clear" w:pos="2268"/>
          <w:tab w:val="clear" w:pos="2835"/>
        </w:tabs>
        <w:overflowPunct/>
        <w:autoSpaceDE/>
        <w:autoSpaceDN/>
        <w:adjustRightInd/>
        <w:snapToGrid w:val="0"/>
        <w:spacing w:after="120"/>
        <w:ind w:left="-11"/>
        <w:jc w:val="both"/>
        <w:textAlignment w:val="auto"/>
        <w:rPr>
          <w:rFonts w:asciiTheme="minorHAnsi" w:hAnsiTheme="minorHAnsi" w:cstheme="minorHAnsi"/>
          <w:szCs w:val="24"/>
        </w:rPr>
      </w:pPr>
      <w:r w:rsidRPr="003E3250">
        <w:rPr>
          <w:rFonts w:asciiTheme="minorHAnsi" w:hAnsiTheme="minorHAnsi" w:cstheme="minorHAnsi"/>
          <w:szCs w:val="24"/>
        </w:rPr>
        <w:t>4.1</w:t>
      </w:r>
      <w:r>
        <w:rPr>
          <w:rFonts w:asciiTheme="minorHAnsi" w:hAnsiTheme="minorHAnsi" w:cstheme="minorHAnsi"/>
          <w:szCs w:val="24"/>
        </w:rPr>
        <w:tab/>
      </w:r>
      <w:r w:rsidRPr="003E3250">
        <w:rPr>
          <w:rFonts w:asciiTheme="minorHAnsi" w:hAnsiTheme="minorHAnsi" w:cstheme="minorHAnsi"/>
          <w:szCs w:val="24"/>
        </w:rPr>
        <w:t>The following documents were presented:</w:t>
      </w:r>
    </w:p>
    <w:p w14:paraId="34E705AA" w14:textId="77777777" w:rsidR="003E3250" w:rsidRPr="003E3250" w:rsidRDefault="009556D5" w:rsidP="003E3250">
      <w:pPr>
        <w:pStyle w:val="ListParagraph"/>
        <w:numPr>
          <w:ilvl w:val="0"/>
          <w:numId w:val="2"/>
        </w:numPr>
        <w:shd w:val="clear" w:color="auto" w:fill="FFFFFF" w:themeFill="background1"/>
        <w:tabs>
          <w:tab w:val="clear" w:pos="794"/>
          <w:tab w:val="clear" w:pos="1191"/>
          <w:tab w:val="clear" w:pos="1588"/>
          <w:tab w:val="clear" w:pos="1985"/>
        </w:tabs>
        <w:spacing w:after="120"/>
        <w:contextualSpacing w:val="0"/>
        <w:jc w:val="both"/>
        <w:rPr>
          <w:rFonts w:asciiTheme="minorHAnsi" w:hAnsiTheme="minorHAnsi" w:cstheme="minorHAnsi"/>
          <w:szCs w:val="24"/>
        </w:rPr>
      </w:pPr>
      <w:hyperlink r:id="rId11">
        <w:r w:rsidR="003E3250" w:rsidRPr="003E3250">
          <w:rPr>
            <w:rStyle w:val="Hyperlink"/>
            <w:rFonts w:asciiTheme="minorHAnsi" w:hAnsiTheme="minorHAnsi" w:cstheme="minorHAnsi"/>
            <w:szCs w:val="24"/>
          </w:rPr>
          <w:t>Presentation</w:t>
        </w:r>
      </w:hyperlink>
      <w:r w:rsidR="003E3250" w:rsidRPr="003E3250">
        <w:rPr>
          <w:rFonts w:asciiTheme="minorHAnsi" w:hAnsiTheme="minorHAnsi" w:cstheme="minorHAnsi"/>
          <w:szCs w:val="24"/>
        </w:rPr>
        <w:t xml:space="preserve"> on ITU's updates on their work and activities towards the ITU-COP Initiative and the Global Programme to implement the 2020 COP Guidelines</w:t>
      </w:r>
    </w:p>
    <w:p w14:paraId="1DD1171D" w14:textId="77777777" w:rsidR="003E3250" w:rsidRPr="003E3250" w:rsidRDefault="009556D5" w:rsidP="003E3250">
      <w:pPr>
        <w:pStyle w:val="ListParagraph"/>
        <w:numPr>
          <w:ilvl w:val="0"/>
          <w:numId w:val="2"/>
        </w:numPr>
        <w:shd w:val="clear" w:color="auto" w:fill="FFFFFF" w:themeFill="background1"/>
        <w:tabs>
          <w:tab w:val="clear" w:pos="794"/>
          <w:tab w:val="clear" w:pos="1191"/>
          <w:tab w:val="clear" w:pos="1588"/>
          <w:tab w:val="clear" w:pos="1985"/>
        </w:tabs>
        <w:spacing w:after="120"/>
        <w:contextualSpacing w:val="0"/>
        <w:jc w:val="both"/>
        <w:rPr>
          <w:rFonts w:asciiTheme="minorHAnsi" w:hAnsiTheme="minorHAnsi" w:cstheme="minorHAnsi"/>
          <w:szCs w:val="24"/>
        </w:rPr>
      </w:pPr>
      <w:hyperlink r:id="rId12" w:history="1">
        <w:r w:rsidR="003E3250" w:rsidRPr="003E3250">
          <w:rPr>
            <w:rStyle w:val="Hyperlink"/>
            <w:rFonts w:asciiTheme="minorHAnsi" w:hAnsiTheme="minorHAnsi" w:cstheme="minorHAnsi"/>
            <w:szCs w:val="24"/>
          </w:rPr>
          <w:t>Documents</w:t>
        </w:r>
      </w:hyperlink>
      <w:r w:rsidR="003E3250" w:rsidRPr="003E3250">
        <w:rPr>
          <w:rFonts w:asciiTheme="minorHAnsi" w:hAnsiTheme="minorHAnsi" w:cstheme="minorHAnsi"/>
          <w:szCs w:val="24"/>
        </w:rPr>
        <w:t xml:space="preserve"> on advancement in the implementation of the Child Online Protection Guidelines from ITU memberships:</w:t>
      </w:r>
    </w:p>
    <w:p w14:paraId="79706A88" w14:textId="77777777"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spacing w:before="80" w:after="80"/>
        <w:contextualSpacing w:val="0"/>
        <w:jc w:val="both"/>
        <w:rPr>
          <w:rFonts w:asciiTheme="minorHAnsi" w:hAnsiTheme="minorHAnsi" w:cstheme="minorHAnsi"/>
          <w:szCs w:val="24"/>
        </w:rPr>
      </w:pPr>
      <w:hyperlink r:id="rId13">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the Federal Republic of Nigeria: Activities on Child Online Protection</w:t>
      </w:r>
    </w:p>
    <w:p w14:paraId="68B3C9AE" w14:textId="77777777" w:rsidR="003E3250" w:rsidRPr="003E3250" w:rsidRDefault="003E3250" w:rsidP="00715B63">
      <w:pPr>
        <w:pStyle w:val="ListParagraph"/>
        <w:numPr>
          <w:ilvl w:val="1"/>
          <w:numId w:val="2"/>
        </w:numPr>
        <w:shd w:val="clear" w:color="auto" w:fill="FFFFFF" w:themeFill="background1"/>
        <w:tabs>
          <w:tab w:val="clear" w:pos="794"/>
          <w:tab w:val="clear" w:pos="1191"/>
          <w:tab w:val="clear" w:pos="1588"/>
          <w:tab w:val="clear" w:pos="1985"/>
        </w:tabs>
        <w:spacing w:before="80" w:after="80"/>
        <w:contextualSpacing w:val="0"/>
        <w:jc w:val="both"/>
        <w:rPr>
          <w:rFonts w:asciiTheme="minorHAnsi" w:hAnsiTheme="minorHAnsi" w:cstheme="minorHAnsi"/>
          <w:szCs w:val="24"/>
          <w:lang w:val="fr-CH"/>
        </w:rPr>
      </w:pPr>
      <w:r w:rsidRPr="003E3250">
        <w:fldChar w:fldCharType="begin"/>
      </w:r>
      <w:r w:rsidRPr="003E3250">
        <w:rPr>
          <w:rFonts w:asciiTheme="minorHAnsi" w:hAnsiTheme="minorHAnsi" w:cstheme="minorHAnsi"/>
          <w:szCs w:val="24"/>
          <w:lang w:val="fr-BE"/>
          <w:rPrChange w:id="11" w:author="Carla Licciardello" w:date="2022-01-27T10:05:00Z">
            <w:rPr/>
          </w:rPrChange>
        </w:rPr>
        <w:instrText xml:space="preserve"> HYPERLINK "https://www.itu.int/md/meetingdoc.asp?lang=en&amp;parent=S22-CLCWGCOP18-INF&amp;source=Agence%20de%20D%E9veloppement%20du%20Digital" \h </w:instrText>
      </w:r>
      <w:r w:rsidRPr="003E3250">
        <w:fldChar w:fldCharType="separate"/>
      </w:r>
      <w:r w:rsidRPr="003E3250">
        <w:rPr>
          <w:rStyle w:val="Hyperlink"/>
          <w:rFonts w:asciiTheme="minorHAnsi" w:hAnsiTheme="minorHAnsi" w:cstheme="minorHAnsi"/>
          <w:szCs w:val="24"/>
          <w:lang w:val="fr-CH"/>
        </w:rPr>
        <w:t>Document</w:t>
      </w:r>
      <w:r w:rsidRPr="003E3250">
        <w:rPr>
          <w:rStyle w:val="Hyperlink"/>
          <w:rFonts w:asciiTheme="minorHAnsi" w:hAnsiTheme="minorHAnsi" w:cstheme="minorHAnsi"/>
          <w:szCs w:val="24"/>
          <w:lang w:val="fr-CH"/>
        </w:rPr>
        <w:fldChar w:fldCharType="end"/>
      </w:r>
      <w:r w:rsidRPr="003E3250">
        <w:rPr>
          <w:rFonts w:asciiTheme="minorHAnsi" w:hAnsiTheme="minorHAnsi" w:cstheme="minorHAnsi"/>
          <w:szCs w:val="24"/>
          <w:lang w:val="fr-CH"/>
        </w:rPr>
        <w:t xml:space="preserve"> by the </w:t>
      </w:r>
      <w:proofErr w:type="spellStart"/>
      <w:r w:rsidRPr="003E3250">
        <w:rPr>
          <w:rFonts w:asciiTheme="minorHAnsi" w:hAnsiTheme="minorHAnsi" w:cstheme="minorHAnsi"/>
          <w:szCs w:val="24"/>
          <w:lang w:val="fr-CH"/>
        </w:rPr>
        <w:t>Kingdom</w:t>
      </w:r>
      <w:proofErr w:type="spellEnd"/>
      <w:r w:rsidRPr="003E3250">
        <w:rPr>
          <w:rFonts w:asciiTheme="minorHAnsi" w:hAnsiTheme="minorHAnsi" w:cstheme="minorHAnsi"/>
          <w:szCs w:val="24"/>
          <w:lang w:val="fr-CH"/>
        </w:rPr>
        <w:t xml:space="preserve"> of Morocco Agence de Développement du </w:t>
      </w:r>
      <w:proofErr w:type="gramStart"/>
      <w:r w:rsidRPr="003E3250">
        <w:rPr>
          <w:rFonts w:asciiTheme="minorHAnsi" w:hAnsiTheme="minorHAnsi" w:cstheme="minorHAnsi"/>
          <w:szCs w:val="24"/>
          <w:lang w:val="fr-CH"/>
        </w:rPr>
        <w:t>Digital:</w:t>
      </w:r>
      <w:proofErr w:type="gramEnd"/>
      <w:r w:rsidRPr="003E3250">
        <w:rPr>
          <w:rFonts w:asciiTheme="minorHAnsi" w:hAnsiTheme="minorHAnsi" w:cstheme="minorHAnsi"/>
          <w:szCs w:val="24"/>
          <w:lang w:val="fr-CH"/>
        </w:rPr>
        <w:t xml:space="preserve"> Fiche projet ‘Culture digitale/protection des enfants en ligne’</w:t>
      </w:r>
    </w:p>
    <w:p w14:paraId="544D162A" w14:textId="30045B77"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spacing w:before="80" w:after="80"/>
        <w:contextualSpacing w:val="0"/>
        <w:jc w:val="both"/>
        <w:rPr>
          <w:rFonts w:asciiTheme="minorHAnsi" w:hAnsiTheme="minorHAnsi" w:cstheme="minorHAnsi"/>
          <w:szCs w:val="24"/>
        </w:rPr>
      </w:pPr>
      <w:hyperlink r:id="rId14">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Hungary: Child online protection in Hungary - The Digital Child Protection Strategy of Hungary</w:t>
      </w:r>
    </w:p>
    <w:p w14:paraId="2C583010" w14:textId="496DD94E"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spacing w:before="80" w:after="80"/>
        <w:contextualSpacing w:val="0"/>
        <w:jc w:val="both"/>
        <w:rPr>
          <w:rFonts w:asciiTheme="minorHAnsi" w:hAnsiTheme="minorHAnsi" w:cstheme="minorHAnsi"/>
          <w:szCs w:val="24"/>
        </w:rPr>
      </w:pPr>
      <w:hyperlink r:id="rId15">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DGYS: Digital Child Protection, a definition by DGYS</w:t>
      </w:r>
    </w:p>
    <w:p w14:paraId="4E389161" w14:textId="163669E5"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spacing w:before="80" w:after="80"/>
        <w:contextualSpacing w:val="0"/>
        <w:jc w:val="both"/>
        <w:rPr>
          <w:rFonts w:asciiTheme="minorHAnsi" w:hAnsiTheme="minorHAnsi" w:cstheme="minorHAnsi"/>
          <w:szCs w:val="24"/>
        </w:rPr>
      </w:pPr>
      <w:hyperlink r:id="rId16">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the e-Safety Commission</w:t>
      </w:r>
    </w:p>
    <w:p w14:paraId="6B2E1F96" w14:textId="77777777"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spacing w:before="80" w:after="80"/>
        <w:contextualSpacing w:val="0"/>
        <w:jc w:val="both"/>
        <w:rPr>
          <w:rFonts w:asciiTheme="minorHAnsi" w:hAnsiTheme="minorHAnsi" w:cstheme="minorHAnsi"/>
          <w:szCs w:val="24"/>
        </w:rPr>
      </w:pPr>
      <w:hyperlink r:id="rId17">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Australia: Best practices: Australia’s approach to keeping children safe online</w:t>
      </w:r>
    </w:p>
    <w:p w14:paraId="637EA62A" w14:textId="40892087"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spacing w:before="80" w:after="80"/>
        <w:contextualSpacing w:val="0"/>
        <w:jc w:val="both"/>
        <w:rPr>
          <w:rFonts w:asciiTheme="minorHAnsi" w:hAnsiTheme="minorHAnsi" w:cstheme="minorHAnsi"/>
          <w:szCs w:val="24"/>
        </w:rPr>
      </w:pPr>
      <w:hyperlink r:id="rId18">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the Russian Federation: Call for ITU General Secretariat on enhancing the Union's participation in the work of other international formats and in relevant discussions</w:t>
      </w:r>
    </w:p>
    <w:p w14:paraId="0CB99006" w14:textId="77777777"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spacing w:before="80" w:after="80"/>
        <w:contextualSpacing w:val="0"/>
        <w:jc w:val="both"/>
        <w:rPr>
          <w:rFonts w:asciiTheme="minorHAnsi" w:hAnsiTheme="minorHAnsi" w:cstheme="minorHAnsi"/>
          <w:szCs w:val="24"/>
        </w:rPr>
      </w:pPr>
      <w:hyperlink r:id="rId19">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the Republic of Malta: O.S.C.A.R – Online Safety for Children and Relatives</w:t>
      </w:r>
    </w:p>
    <w:p w14:paraId="45D6E5D6" w14:textId="77777777"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spacing w:before="80" w:after="80"/>
        <w:contextualSpacing w:val="0"/>
        <w:jc w:val="both"/>
        <w:rPr>
          <w:rFonts w:asciiTheme="minorHAnsi" w:hAnsiTheme="minorHAnsi" w:cstheme="minorHAnsi"/>
          <w:szCs w:val="24"/>
        </w:rPr>
      </w:pPr>
      <w:hyperlink r:id="rId20">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the Centre for Global IT-Cooperation</w:t>
      </w:r>
    </w:p>
    <w:p w14:paraId="603C0A4C" w14:textId="25500C7A"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spacing w:before="80" w:after="80"/>
        <w:contextualSpacing w:val="0"/>
        <w:jc w:val="both"/>
        <w:rPr>
          <w:rFonts w:asciiTheme="minorHAnsi" w:hAnsiTheme="minorHAnsi" w:cstheme="minorHAnsi"/>
          <w:szCs w:val="24"/>
        </w:rPr>
      </w:pPr>
      <w:hyperlink r:id="rId21">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Albania: Roll-out of the child online protection global project</w:t>
      </w:r>
    </w:p>
    <w:p w14:paraId="7A63F15A" w14:textId="6A4C7D49"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spacing w:before="80" w:after="80"/>
        <w:contextualSpacing w:val="0"/>
        <w:jc w:val="both"/>
        <w:rPr>
          <w:rFonts w:asciiTheme="minorHAnsi" w:hAnsiTheme="minorHAnsi" w:cstheme="minorHAnsi"/>
          <w:szCs w:val="24"/>
        </w:rPr>
      </w:pPr>
      <w:hyperlink r:id="rId22">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the Federal Republic of Brazil: Activities of the COP initiative</w:t>
      </w:r>
    </w:p>
    <w:p w14:paraId="672F118A" w14:textId="136F39BB"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spacing w:before="80" w:after="80"/>
        <w:contextualSpacing w:val="0"/>
        <w:jc w:val="both"/>
        <w:rPr>
          <w:rFonts w:asciiTheme="minorHAnsi" w:hAnsiTheme="minorHAnsi" w:cstheme="minorHAnsi"/>
          <w:szCs w:val="24"/>
        </w:rPr>
      </w:pPr>
      <w:hyperlink r:id="rId23">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the United Arab Emirates: Digital Wellbeing Program</w:t>
      </w:r>
    </w:p>
    <w:p w14:paraId="54A3BDA2" w14:textId="77777777" w:rsidR="0062510E" w:rsidRPr="0062510E" w:rsidRDefault="009556D5" w:rsidP="003E3250">
      <w:pPr>
        <w:pStyle w:val="ListParagraph"/>
        <w:numPr>
          <w:ilvl w:val="0"/>
          <w:numId w:val="2"/>
        </w:numPr>
        <w:shd w:val="clear" w:color="auto" w:fill="FFFFFF" w:themeFill="background1"/>
        <w:tabs>
          <w:tab w:val="clear" w:pos="794"/>
          <w:tab w:val="clear" w:pos="1191"/>
          <w:tab w:val="clear" w:pos="1588"/>
          <w:tab w:val="clear" w:pos="1985"/>
        </w:tabs>
        <w:overflowPunct/>
        <w:autoSpaceDE/>
        <w:autoSpaceDN/>
        <w:adjustRightInd/>
        <w:snapToGrid w:val="0"/>
        <w:spacing w:after="120"/>
        <w:contextualSpacing w:val="0"/>
        <w:jc w:val="both"/>
        <w:textAlignment w:val="auto"/>
        <w:rPr>
          <w:rFonts w:asciiTheme="minorHAnsi" w:hAnsiTheme="minorHAnsi" w:cstheme="minorHAnsi"/>
          <w:szCs w:val="24"/>
          <w:bdr w:val="none" w:sz="0" w:space="0" w:color="auto" w:frame="1"/>
          <w:shd w:val="clear" w:color="auto" w:fill="FFFFFF"/>
        </w:rPr>
      </w:pPr>
      <w:hyperlink r:id="rId24">
        <w:r w:rsidR="003E3250" w:rsidRPr="00715B63">
          <w:rPr>
            <w:rStyle w:val="Hyperlink"/>
            <w:rFonts w:asciiTheme="minorHAnsi" w:hAnsiTheme="minorHAnsi" w:cstheme="minorHAnsi"/>
            <w:szCs w:val="24"/>
          </w:rPr>
          <w:t>Document</w:t>
        </w:r>
      </w:hyperlink>
      <w:r w:rsidR="003E3250" w:rsidRPr="00715B63">
        <w:rPr>
          <w:rFonts w:asciiTheme="minorHAnsi" w:hAnsiTheme="minorHAnsi" w:cstheme="minorHAnsi"/>
          <w:szCs w:val="24"/>
        </w:rPr>
        <w:t xml:space="preserve"> by Mauritius (Information and Communication Technologies Authority (ICTA)): Child Sexual Abuse (CSA) filtering mechanism</w:t>
      </w:r>
    </w:p>
    <w:p w14:paraId="64BD312D" w14:textId="6C13F4D0" w:rsidR="003E3250" w:rsidRPr="00715B63" w:rsidRDefault="009556D5" w:rsidP="003E3250">
      <w:pPr>
        <w:pStyle w:val="ListParagraph"/>
        <w:numPr>
          <w:ilvl w:val="0"/>
          <w:numId w:val="2"/>
        </w:numPr>
        <w:shd w:val="clear" w:color="auto" w:fill="FFFFFF" w:themeFill="background1"/>
        <w:tabs>
          <w:tab w:val="clear" w:pos="794"/>
          <w:tab w:val="clear" w:pos="1191"/>
          <w:tab w:val="clear" w:pos="1588"/>
          <w:tab w:val="clear" w:pos="1985"/>
        </w:tabs>
        <w:overflowPunct/>
        <w:autoSpaceDE/>
        <w:autoSpaceDN/>
        <w:adjustRightInd/>
        <w:snapToGrid w:val="0"/>
        <w:spacing w:after="120"/>
        <w:contextualSpacing w:val="0"/>
        <w:jc w:val="both"/>
        <w:textAlignment w:val="auto"/>
        <w:rPr>
          <w:rFonts w:asciiTheme="minorHAnsi" w:hAnsiTheme="minorHAnsi" w:cstheme="minorHAnsi"/>
          <w:szCs w:val="24"/>
          <w:bdr w:val="none" w:sz="0" w:space="0" w:color="auto" w:frame="1"/>
          <w:shd w:val="clear" w:color="auto" w:fill="FFFFFF"/>
        </w:rPr>
      </w:pPr>
      <w:hyperlink r:id="rId25">
        <w:r w:rsidR="003E3250" w:rsidRPr="00715B63">
          <w:rPr>
            <w:rStyle w:val="Hyperlink"/>
            <w:rFonts w:asciiTheme="minorHAnsi" w:hAnsiTheme="minorHAnsi" w:cstheme="minorHAnsi"/>
            <w:szCs w:val="24"/>
          </w:rPr>
          <w:t>Documents</w:t>
        </w:r>
      </w:hyperlink>
      <w:r w:rsidR="003E3250" w:rsidRPr="00715B63">
        <w:rPr>
          <w:rFonts w:asciiTheme="minorHAnsi" w:hAnsiTheme="minorHAnsi" w:cstheme="minorHAnsi"/>
          <w:szCs w:val="24"/>
        </w:rPr>
        <w:t xml:space="preserve"> on collaborative efforts from ITU and COP partners </w:t>
      </w:r>
    </w:p>
    <w:p w14:paraId="49147BAA" w14:textId="36600340"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overflowPunct/>
        <w:autoSpaceDE/>
        <w:autoSpaceDN/>
        <w:adjustRightInd/>
        <w:snapToGrid w:val="0"/>
        <w:spacing w:before="80" w:after="80"/>
        <w:contextualSpacing w:val="0"/>
        <w:jc w:val="both"/>
        <w:textAlignment w:val="auto"/>
        <w:rPr>
          <w:rFonts w:asciiTheme="minorHAnsi" w:hAnsiTheme="minorHAnsi" w:cstheme="minorHAnsi"/>
          <w:szCs w:val="24"/>
          <w:bdr w:val="none" w:sz="0" w:space="0" w:color="auto" w:frame="1"/>
          <w:shd w:val="clear" w:color="auto" w:fill="FFFFFF"/>
        </w:rPr>
      </w:pPr>
      <w:hyperlink r:id="rId26">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UNICEF's Child Online Protection Strategic Framework and Action</w:t>
      </w:r>
    </w:p>
    <w:p w14:paraId="31D90D50" w14:textId="53852818"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overflowPunct/>
        <w:autoSpaceDE/>
        <w:autoSpaceDN/>
        <w:adjustRightInd/>
        <w:snapToGrid w:val="0"/>
        <w:spacing w:before="80" w:after="80"/>
        <w:contextualSpacing w:val="0"/>
        <w:jc w:val="both"/>
        <w:textAlignment w:val="auto"/>
        <w:rPr>
          <w:rFonts w:asciiTheme="minorHAnsi" w:hAnsiTheme="minorHAnsi" w:cstheme="minorHAnsi"/>
          <w:szCs w:val="24"/>
          <w:bdr w:val="none" w:sz="0" w:space="0" w:color="auto" w:frame="1"/>
          <w:shd w:val="clear" w:color="auto" w:fill="FFFFFF"/>
        </w:rPr>
      </w:pPr>
      <w:hyperlink r:id="rId27">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bdr w:val="none" w:sz="0" w:space="0" w:color="auto" w:frame="1"/>
          <w:shd w:val="clear" w:color="auto" w:fill="FFFFFF"/>
        </w:rPr>
        <w:t xml:space="preserve"> by</w:t>
      </w:r>
      <w:r w:rsidR="003E3250" w:rsidRPr="003E3250">
        <w:rPr>
          <w:rFonts w:asciiTheme="minorHAnsi" w:hAnsiTheme="minorHAnsi" w:cstheme="minorHAnsi"/>
          <w:szCs w:val="24"/>
        </w:rPr>
        <w:t xml:space="preserve"> The Global Partnership to End violence against Children </w:t>
      </w:r>
    </w:p>
    <w:p w14:paraId="6EE086C2" w14:textId="1C69829F" w:rsidR="003E3250" w:rsidRPr="0062510E" w:rsidRDefault="009556D5" w:rsidP="00715B63">
      <w:pPr>
        <w:pStyle w:val="ListParagraph"/>
        <w:numPr>
          <w:ilvl w:val="1"/>
          <w:numId w:val="2"/>
        </w:numPr>
        <w:shd w:val="clear" w:color="auto" w:fill="FFFFFF" w:themeFill="background1"/>
        <w:tabs>
          <w:tab w:val="clear" w:pos="794"/>
          <w:tab w:val="clear" w:pos="1191"/>
          <w:tab w:val="clear" w:pos="1588"/>
          <w:tab w:val="clear" w:pos="1985"/>
        </w:tabs>
        <w:overflowPunct/>
        <w:autoSpaceDE/>
        <w:autoSpaceDN/>
        <w:adjustRightInd/>
        <w:snapToGrid w:val="0"/>
        <w:spacing w:before="80" w:after="80"/>
        <w:contextualSpacing w:val="0"/>
        <w:jc w:val="both"/>
        <w:textAlignment w:val="auto"/>
        <w:rPr>
          <w:rFonts w:asciiTheme="minorHAnsi" w:hAnsiTheme="minorHAnsi" w:cstheme="minorHAnsi"/>
          <w:szCs w:val="24"/>
          <w:bdr w:val="none" w:sz="0" w:space="0" w:color="auto" w:frame="1"/>
          <w:shd w:val="clear" w:color="auto" w:fill="FFFFFF"/>
        </w:rPr>
      </w:pPr>
      <w:hyperlink r:id="rId28">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bdr w:val="none" w:sz="0" w:space="0" w:color="auto" w:frame="1"/>
          <w:shd w:val="clear" w:color="auto" w:fill="FFFFFF"/>
        </w:rPr>
        <w:t xml:space="preserve"> by </w:t>
      </w:r>
      <w:proofErr w:type="spellStart"/>
      <w:r w:rsidR="003E3250" w:rsidRPr="003E3250">
        <w:rPr>
          <w:rFonts w:asciiTheme="minorHAnsi" w:hAnsiTheme="minorHAnsi" w:cstheme="minorHAnsi"/>
          <w:szCs w:val="24"/>
          <w:bdr w:val="none" w:sz="0" w:space="0" w:color="auto" w:frame="1"/>
          <w:shd w:val="clear" w:color="auto" w:fill="FFFFFF"/>
        </w:rPr>
        <w:t>WePROTECT</w:t>
      </w:r>
      <w:proofErr w:type="spellEnd"/>
      <w:r w:rsidR="003E3250" w:rsidRPr="003E3250">
        <w:rPr>
          <w:rFonts w:asciiTheme="minorHAnsi" w:hAnsiTheme="minorHAnsi" w:cstheme="minorHAnsi"/>
          <w:szCs w:val="24"/>
          <w:bdr w:val="none" w:sz="0" w:space="0" w:color="auto" w:frame="1"/>
          <w:shd w:val="clear" w:color="auto" w:fill="FFFFFF"/>
        </w:rPr>
        <w:t xml:space="preserve"> Global Alliance</w:t>
      </w:r>
    </w:p>
    <w:p w14:paraId="369EB25E" w14:textId="77777777" w:rsidR="003E3250" w:rsidRPr="0062510E" w:rsidRDefault="009556D5" w:rsidP="00715B63">
      <w:pPr>
        <w:pStyle w:val="ListParagraph"/>
        <w:numPr>
          <w:ilvl w:val="1"/>
          <w:numId w:val="2"/>
        </w:numPr>
        <w:shd w:val="clear" w:color="auto" w:fill="FFFFFF" w:themeFill="background1"/>
        <w:tabs>
          <w:tab w:val="clear" w:pos="794"/>
          <w:tab w:val="clear" w:pos="1191"/>
          <w:tab w:val="clear" w:pos="1588"/>
          <w:tab w:val="clear" w:pos="1985"/>
        </w:tabs>
        <w:overflowPunct/>
        <w:autoSpaceDE/>
        <w:autoSpaceDN/>
        <w:adjustRightInd/>
        <w:snapToGrid w:val="0"/>
        <w:spacing w:before="80" w:after="80"/>
        <w:contextualSpacing w:val="0"/>
        <w:jc w:val="both"/>
        <w:textAlignment w:val="auto"/>
        <w:rPr>
          <w:rFonts w:asciiTheme="minorHAnsi" w:hAnsiTheme="minorHAnsi" w:cstheme="minorHAnsi"/>
          <w:szCs w:val="24"/>
          <w:bdr w:val="none" w:sz="0" w:space="0" w:color="auto" w:frame="1"/>
          <w:shd w:val="clear" w:color="auto" w:fill="FFFFFF"/>
        </w:rPr>
      </w:pPr>
      <w:hyperlink r:id="rId29">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bdr w:val="none" w:sz="0" w:space="0" w:color="auto" w:frame="1"/>
          <w:shd w:val="clear" w:color="auto" w:fill="FFFFFF"/>
        </w:rPr>
        <w:t xml:space="preserve"> by </w:t>
      </w:r>
      <w:r w:rsidR="003E3250" w:rsidRPr="003E3250">
        <w:rPr>
          <w:rFonts w:asciiTheme="minorHAnsi" w:hAnsiTheme="minorHAnsi" w:cstheme="minorHAnsi"/>
          <w:szCs w:val="24"/>
        </w:rPr>
        <w:t>Office of the UN Special Representative of the Secretary General on Violence against Children</w:t>
      </w:r>
    </w:p>
    <w:p w14:paraId="012D9D97" w14:textId="77777777" w:rsidR="003E3250" w:rsidRPr="003E3250" w:rsidRDefault="009556D5" w:rsidP="00715B63">
      <w:pPr>
        <w:pStyle w:val="ListParagraph"/>
        <w:numPr>
          <w:ilvl w:val="1"/>
          <w:numId w:val="2"/>
        </w:numPr>
        <w:shd w:val="clear" w:color="auto" w:fill="FFFFFF" w:themeFill="background1"/>
        <w:tabs>
          <w:tab w:val="clear" w:pos="794"/>
          <w:tab w:val="clear" w:pos="1191"/>
          <w:tab w:val="clear" w:pos="1588"/>
          <w:tab w:val="clear" w:pos="1985"/>
        </w:tabs>
        <w:overflowPunct/>
        <w:autoSpaceDE/>
        <w:autoSpaceDN/>
        <w:adjustRightInd/>
        <w:snapToGrid w:val="0"/>
        <w:spacing w:before="80" w:after="80"/>
        <w:contextualSpacing w:val="0"/>
        <w:jc w:val="both"/>
        <w:textAlignment w:val="auto"/>
        <w:rPr>
          <w:rFonts w:asciiTheme="minorHAnsi" w:hAnsiTheme="minorHAnsi" w:cstheme="minorHAnsi"/>
          <w:szCs w:val="24"/>
          <w:bdr w:val="none" w:sz="0" w:space="0" w:color="auto" w:frame="1"/>
          <w:shd w:val="clear" w:color="auto" w:fill="FFFFFF"/>
        </w:rPr>
      </w:pPr>
      <w:hyperlink r:id="rId30">
        <w:r w:rsidR="003E3250" w:rsidRPr="003E3250">
          <w:rPr>
            <w:rStyle w:val="Hyperlink"/>
            <w:rFonts w:asciiTheme="minorHAnsi" w:hAnsiTheme="minorHAnsi" w:cstheme="minorHAnsi"/>
            <w:szCs w:val="24"/>
          </w:rPr>
          <w:t>Document</w:t>
        </w:r>
      </w:hyperlink>
      <w:r w:rsidR="003E3250" w:rsidRPr="003E3250">
        <w:rPr>
          <w:rFonts w:asciiTheme="minorHAnsi" w:hAnsiTheme="minorHAnsi" w:cstheme="minorHAnsi"/>
          <w:szCs w:val="24"/>
        </w:rPr>
        <w:t xml:space="preserve"> by The </w:t>
      </w:r>
      <w:proofErr w:type="spellStart"/>
      <w:r w:rsidR="003E3250" w:rsidRPr="003E3250">
        <w:rPr>
          <w:rFonts w:asciiTheme="minorHAnsi" w:hAnsiTheme="minorHAnsi" w:cstheme="minorHAnsi"/>
          <w:szCs w:val="24"/>
        </w:rPr>
        <w:t>Scort</w:t>
      </w:r>
      <w:proofErr w:type="spellEnd"/>
      <w:r w:rsidR="003E3250" w:rsidRPr="003E3250">
        <w:rPr>
          <w:rFonts w:asciiTheme="minorHAnsi" w:hAnsiTheme="minorHAnsi" w:cstheme="minorHAnsi"/>
          <w:szCs w:val="24"/>
        </w:rPr>
        <w:t xml:space="preserve"> Foundation</w:t>
      </w:r>
    </w:p>
    <w:p w14:paraId="6F491845" w14:textId="77777777" w:rsidR="003E3250" w:rsidRPr="003E3250" w:rsidRDefault="003E3250" w:rsidP="00715B63">
      <w:pPr>
        <w:pStyle w:val="Heading1"/>
        <w:keepNext w:val="0"/>
        <w:keepLines w:val="0"/>
        <w:numPr>
          <w:ilvl w:val="0"/>
          <w:numId w:val="4"/>
        </w:numPr>
        <w:tabs>
          <w:tab w:val="clear" w:pos="567"/>
          <w:tab w:val="clear" w:pos="1134"/>
          <w:tab w:val="clear" w:pos="1701"/>
          <w:tab w:val="clear" w:pos="2268"/>
          <w:tab w:val="clear" w:pos="2835"/>
        </w:tabs>
        <w:snapToGrid w:val="0"/>
        <w:spacing w:before="360" w:after="120"/>
        <w:ind w:left="0" w:firstLine="0"/>
        <w:jc w:val="both"/>
        <w:rPr>
          <w:rFonts w:asciiTheme="minorHAnsi" w:hAnsiTheme="minorHAnsi" w:cstheme="minorHAnsi"/>
          <w:sz w:val="24"/>
          <w:szCs w:val="24"/>
        </w:rPr>
      </w:pPr>
      <w:r w:rsidRPr="003E3250">
        <w:rPr>
          <w:rFonts w:asciiTheme="minorHAnsi" w:hAnsiTheme="minorHAnsi" w:cstheme="minorHAnsi"/>
          <w:sz w:val="24"/>
          <w:szCs w:val="24"/>
        </w:rPr>
        <w:t>Presentations</w:t>
      </w:r>
    </w:p>
    <w:p w14:paraId="6234FABD" w14:textId="77777777" w:rsidR="003E3250" w:rsidRPr="003E3250"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ITU gave an </w:t>
      </w:r>
      <w:hyperlink r:id="rId31">
        <w:r w:rsidRPr="003E3250">
          <w:rPr>
            <w:rStyle w:val="Hyperlink"/>
            <w:rFonts w:asciiTheme="minorHAnsi" w:hAnsiTheme="minorHAnsi" w:cstheme="minorHAnsi"/>
            <w:szCs w:val="24"/>
          </w:rPr>
          <w:t>update</w:t>
        </w:r>
      </w:hyperlink>
      <w:r w:rsidRPr="003E3250">
        <w:rPr>
          <w:rFonts w:asciiTheme="minorHAnsi" w:hAnsiTheme="minorHAnsi" w:cstheme="minorHAnsi"/>
          <w:szCs w:val="24"/>
        </w:rPr>
        <w:t xml:space="preserve"> on the work undertaken in 2021 and beyond, by providing a comprehensive overview of the COP Guidelines, related materials, and events. Additionally, ITU reiterated its publication of the first COP Policy Brief at the end of 2021, which provides clear step-by step guidance for policymakers on the development of a comprehensive national strategy on COP. The ITU equally recalled the launch of the first three episodes of ‘Online Safety with Sango’ synergistically created with Deloitte and ENI. Followed by ITU disclosing its 2022 plans to release the first pilot version of the Sango game and app for young children. ITU furthermore presented its current and continuous efforts to ensure implementation of the COP Guidelines on an a global, regional, and national scale. It ended its presentation with an overview of the global programme to implement the COP Guidelines (2021-2024) and a call to action to support the effort. The Global Programme agreement signed with the National Cybersecurity of Saudi Arabia will be executed through a global collaborative project focusing on two main workstreams: capacity-building activities, and activities focusing on policies and framework, accompanied by a clear roadmap to implementation.</w:t>
      </w:r>
    </w:p>
    <w:p w14:paraId="53E404E1" w14:textId="77777777" w:rsidR="003E3250" w:rsidRPr="003E3250"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Chairman expressed his gratitude and inspiration towards ITU’s progress and updates on COP initiatives. He gave the floor to the first member state contribution from the Federal Republic of Nigeria. </w:t>
      </w:r>
    </w:p>
    <w:p w14:paraId="15105621" w14:textId="77777777" w:rsidR="003E3250" w:rsidRPr="003E3250"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first </w:t>
      </w:r>
      <w:hyperlink r:id="rId32">
        <w:r w:rsidRPr="003E3250">
          <w:rPr>
            <w:rStyle w:val="Hyperlink"/>
            <w:rFonts w:asciiTheme="minorHAnsi" w:hAnsiTheme="minorHAnsi" w:cstheme="minorHAnsi"/>
            <w:szCs w:val="24"/>
          </w:rPr>
          <w:t>contribution</w:t>
        </w:r>
      </w:hyperlink>
      <w:r w:rsidRPr="003E3250">
        <w:rPr>
          <w:rFonts w:asciiTheme="minorHAnsi" w:hAnsiTheme="minorHAnsi" w:cstheme="minorHAnsi"/>
          <w:szCs w:val="24"/>
        </w:rPr>
        <w:t xml:space="preserve"> by the Federal Republic of Nigeria provided an overview of the progress to implement the COP Guidelines at the national level, including workshops and events, campaigns, policy-assistance and collaborative efforts with other key stakeholders. The Federal Republic of Nigeria shared its encouraging progress on the localisation and implementation of COP guidelines and relevant materials; noteworthy is their inspiring adaptations to Sango materials to better suit </w:t>
      </w:r>
      <w:r w:rsidRPr="003E3250">
        <w:rPr>
          <w:rFonts w:asciiTheme="minorHAnsi" w:hAnsiTheme="minorHAnsi" w:cstheme="minorHAnsi"/>
          <w:szCs w:val="24"/>
        </w:rPr>
        <w:lastRenderedPageBreak/>
        <w:t xml:space="preserve">the Nigerian culture. The presentation ended with the Federal Republic of Nigeria communicating some key prevailing challenges such as the pandemic and security challenges to a successful and widespread implementation of COP guidelines, and related initiatives. </w:t>
      </w:r>
    </w:p>
    <w:p w14:paraId="5678EE4F" w14:textId="77777777" w:rsidR="003E3250" w:rsidRPr="003E3250"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second </w:t>
      </w:r>
      <w:hyperlink r:id="rId33">
        <w:r w:rsidRPr="003E3250">
          <w:rPr>
            <w:rStyle w:val="Hyperlink"/>
            <w:rFonts w:asciiTheme="minorHAnsi" w:hAnsiTheme="minorHAnsi" w:cstheme="minorHAnsi"/>
            <w:szCs w:val="24"/>
          </w:rPr>
          <w:t>contribution</w:t>
        </w:r>
      </w:hyperlink>
      <w:r w:rsidRPr="003E3250">
        <w:rPr>
          <w:rFonts w:asciiTheme="minorHAnsi" w:hAnsiTheme="minorHAnsi" w:cstheme="minorHAnsi"/>
          <w:szCs w:val="24"/>
        </w:rPr>
        <w:t xml:space="preserve"> from The Kingdom of Morocco presented its initiative ‘</w:t>
      </w:r>
      <w:proofErr w:type="spellStart"/>
      <w:r w:rsidRPr="003E3250">
        <w:rPr>
          <w:rFonts w:asciiTheme="minorHAnsi" w:hAnsiTheme="minorHAnsi" w:cstheme="minorHAnsi"/>
          <w:color w:val="000000" w:themeColor="text1"/>
          <w:szCs w:val="24"/>
        </w:rPr>
        <w:t>Agence</w:t>
      </w:r>
      <w:proofErr w:type="spellEnd"/>
      <w:r w:rsidRPr="003E3250">
        <w:rPr>
          <w:rFonts w:asciiTheme="minorHAnsi" w:hAnsiTheme="minorHAnsi" w:cstheme="minorHAnsi"/>
          <w:color w:val="000000" w:themeColor="text1"/>
          <w:szCs w:val="24"/>
        </w:rPr>
        <w:t xml:space="preserve"> de </w:t>
      </w:r>
      <w:proofErr w:type="spellStart"/>
      <w:r w:rsidRPr="003E3250">
        <w:rPr>
          <w:rFonts w:asciiTheme="minorHAnsi" w:hAnsiTheme="minorHAnsi" w:cstheme="minorHAnsi"/>
          <w:color w:val="000000" w:themeColor="text1"/>
          <w:szCs w:val="24"/>
        </w:rPr>
        <w:t>Développement</w:t>
      </w:r>
      <w:proofErr w:type="spellEnd"/>
      <w:r w:rsidRPr="003E3250">
        <w:rPr>
          <w:rFonts w:asciiTheme="minorHAnsi" w:hAnsiTheme="minorHAnsi" w:cstheme="minorHAnsi"/>
          <w:color w:val="000000" w:themeColor="text1"/>
          <w:szCs w:val="24"/>
        </w:rPr>
        <w:t xml:space="preserve"> du Digital: </w:t>
      </w:r>
      <w:r w:rsidRPr="003E3250">
        <w:rPr>
          <w:rFonts w:asciiTheme="minorHAnsi" w:hAnsiTheme="minorHAnsi" w:cstheme="minorHAnsi"/>
          <w:szCs w:val="24"/>
        </w:rPr>
        <w:t xml:space="preserve">Fiche </w:t>
      </w:r>
      <w:proofErr w:type="spellStart"/>
      <w:r w:rsidRPr="003E3250">
        <w:rPr>
          <w:rFonts w:asciiTheme="minorHAnsi" w:hAnsiTheme="minorHAnsi" w:cstheme="minorHAnsi"/>
          <w:szCs w:val="24"/>
        </w:rPr>
        <w:t>projet</w:t>
      </w:r>
      <w:proofErr w:type="spellEnd"/>
      <w:r w:rsidRPr="003E3250">
        <w:rPr>
          <w:rFonts w:asciiTheme="minorHAnsi" w:hAnsiTheme="minorHAnsi" w:cstheme="minorHAnsi"/>
          <w:szCs w:val="24"/>
        </w:rPr>
        <w:t xml:space="preserve"> Culture </w:t>
      </w:r>
      <w:proofErr w:type="spellStart"/>
      <w:r w:rsidRPr="003E3250">
        <w:rPr>
          <w:rFonts w:asciiTheme="minorHAnsi" w:hAnsiTheme="minorHAnsi" w:cstheme="minorHAnsi"/>
          <w:szCs w:val="24"/>
        </w:rPr>
        <w:t>digitale</w:t>
      </w:r>
      <w:proofErr w:type="spellEnd"/>
      <w:r w:rsidRPr="003E3250">
        <w:rPr>
          <w:rFonts w:asciiTheme="minorHAnsi" w:hAnsiTheme="minorHAnsi" w:cstheme="minorHAnsi"/>
          <w:szCs w:val="24"/>
        </w:rPr>
        <w:t>' to</w:t>
      </w:r>
      <w:r w:rsidRPr="003E3250">
        <w:rPr>
          <w:rFonts w:asciiTheme="minorHAnsi" w:hAnsiTheme="minorHAnsi" w:cstheme="minorHAnsi"/>
          <w:szCs w:val="24"/>
          <w:lang w:val="en-US"/>
        </w:rPr>
        <w:t xml:space="preserve"> protect children online and mitigate cybersecurity risks. The Kingdom of Morocco equally provided an overview of the progress to implement COP guidelines at a national level, including workshops, training </w:t>
      </w:r>
      <w:proofErr w:type="spellStart"/>
      <w:r w:rsidRPr="003E3250">
        <w:rPr>
          <w:rFonts w:asciiTheme="minorHAnsi" w:hAnsiTheme="minorHAnsi" w:cstheme="minorHAnsi"/>
          <w:szCs w:val="24"/>
          <w:lang w:val="en-US"/>
        </w:rPr>
        <w:t>programmes</w:t>
      </w:r>
      <w:proofErr w:type="spellEnd"/>
      <w:r w:rsidRPr="003E3250">
        <w:rPr>
          <w:rFonts w:asciiTheme="minorHAnsi" w:hAnsiTheme="minorHAnsi" w:cstheme="minorHAnsi"/>
          <w:szCs w:val="24"/>
          <w:lang w:val="en-US"/>
        </w:rPr>
        <w:t xml:space="preserve">, campaigns, and policy-assistance. </w:t>
      </w:r>
    </w:p>
    <w:p w14:paraId="5E82EF8A" w14:textId="77777777" w:rsidR="003E3250" w:rsidRPr="003E3250"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third </w:t>
      </w:r>
      <w:hyperlink r:id="rId34">
        <w:r w:rsidRPr="003E3250">
          <w:rPr>
            <w:rStyle w:val="Hyperlink"/>
            <w:rFonts w:asciiTheme="minorHAnsi" w:hAnsiTheme="minorHAnsi" w:cstheme="minorHAnsi"/>
            <w:szCs w:val="24"/>
          </w:rPr>
          <w:t>contribution</w:t>
        </w:r>
      </w:hyperlink>
      <w:r w:rsidRPr="003E3250">
        <w:rPr>
          <w:rFonts w:asciiTheme="minorHAnsi" w:hAnsiTheme="minorHAnsi" w:cstheme="minorHAnsi"/>
          <w:szCs w:val="24"/>
        </w:rPr>
        <w:t xml:space="preserve"> from Hungary on its Digital Child Protection Strategy presented an overview of its successful localisation and implementation progress of the COP guidelines at a national level. Initiatives presented included children participation in several inspiring competitions to do with online safety and risks, workshops, camps, training programmes, events, campaigns, policy-</w:t>
      </w:r>
      <w:proofErr w:type="gramStart"/>
      <w:r w:rsidRPr="003E3250">
        <w:rPr>
          <w:rFonts w:asciiTheme="minorHAnsi" w:hAnsiTheme="minorHAnsi" w:cstheme="minorHAnsi"/>
          <w:szCs w:val="24"/>
        </w:rPr>
        <w:t>assistance</w:t>
      </w:r>
      <w:proofErr w:type="gramEnd"/>
      <w:r w:rsidRPr="003E3250">
        <w:rPr>
          <w:rFonts w:asciiTheme="minorHAnsi" w:hAnsiTheme="minorHAnsi" w:cstheme="minorHAnsi"/>
          <w:szCs w:val="24"/>
        </w:rPr>
        <w:t xml:space="preserve"> and collaborative efforts with other key stakeholders.</w:t>
      </w:r>
    </w:p>
    <w:p w14:paraId="25901BBF" w14:textId="77777777" w:rsidR="003E3250" w:rsidRPr="003E3250"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complementary </w:t>
      </w:r>
      <w:hyperlink r:id="rId35">
        <w:r w:rsidRPr="003E3250">
          <w:rPr>
            <w:rStyle w:val="Hyperlink"/>
            <w:rFonts w:asciiTheme="minorHAnsi" w:hAnsiTheme="minorHAnsi" w:cstheme="minorHAnsi"/>
            <w:szCs w:val="24"/>
          </w:rPr>
          <w:t>contribution</w:t>
        </w:r>
      </w:hyperlink>
      <w:r w:rsidRPr="003E3250">
        <w:rPr>
          <w:rFonts w:asciiTheme="minorHAnsi" w:hAnsiTheme="minorHAnsi" w:cstheme="minorHAnsi"/>
          <w:szCs w:val="24"/>
        </w:rPr>
        <w:t xml:space="preserve"> from DGYS: Digital Child Protection in Hungary provided an overview of its government funded satellite project which provides a comprehensive strategic framework of holistic practices. DGYS emphasised the importance of Identification, Regulation, and Mitigation as best practices to digital child protection. Lastly, DGYS shared their detailed approach to tackling child online protection through innovative research methods and the provision of free educational programmes.</w:t>
      </w:r>
    </w:p>
    <w:p w14:paraId="235122DF" w14:textId="77777777" w:rsidR="003E3250" w:rsidRPr="003E3250"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next </w:t>
      </w:r>
      <w:hyperlink r:id="rId36">
        <w:r w:rsidRPr="003E3250">
          <w:rPr>
            <w:rStyle w:val="Hyperlink"/>
            <w:rFonts w:asciiTheme="minorHAnsi" w:hAnsiTheme="minorHAnsi" w:cstheme="minorHAnsi"/>
            <w:szCs w:val="24"/>
          </w:rPr>
          <w:t>contribution</w:t>
        </w:r>
      </w:hyperlink>
      <w:r w:rsidRPr="003E3250">
        <w:rPr>
          <w:rFonts w:asciiTheme="minorHAnsi" w:hAnsiTheme="minorHAnsi" w:cstheme="minorHAnsi"/>
          <w:szCs w:val="24"/>
        </w:rPr>
        <w:t xml:space="preserve">, which was based in two distinct documents, was delivered by Australia which provided an overview on its best practices to keeping children safe online through the e-Safety Commission – the first Australian government agency (online regulator). E-safety is based on three crucial pillars: protection, prevention, and proactive change, </w:t>
      </w:r>
      <w:proofErr w:type="gramStart"/>
      <w:r w:rsidRPr="003E3250">
        <w:rPr>
          <w:rFonts w:asciiTheme="minorHAnsi" w:hAnsiTheme="minorHAnsi" w:cstheme="minorHAnsi"/>
          <w:szCs w:val="24"/>
        </w:rPr>
        <w:t>as a means to</w:t>
      </w:r>
      <w:proofErr w:type="gramEnd"/>
      <w:r w:rsidRPr="003E3250">
        <w:rPr>
          <w:rFonts w:asciiTheme="minorHAnsi" w:hAnsiTheme="minorHAnsi" w:cstheme="minorHAnsi"/>
          <w:szCs w:val="24"/>
        </w:rPr>
        <w:t xml:space="preserve"> successful protection of children in the digital environment and implementation of COP guidelines. Australia presented their efforts with added emphasis on the need to redirect responsibility of the risks children face online, to the very tech companies that create these digital spaces. Importantly, Australia presented inspiring progress in-line with COP initiatives as they continue to progress in their work at the national and regional level; by sharing their </w:t>
      </w:r>
      <w:proofErr w:type="spellStart"/>
      <w:r w:rsidRPr="003E3250">
        <w:rPr>
          <w:rFonts w:asciiTheme="minorHAnsi" w:hAnsiTheme="minorHAnsi" w:cstheme="minorHAnsi"/>
          <w:szCs w:val="24"/>
        </w:rPr>
        <w:t>SbD</w:t>
      </w:r>
      <w:proofErr w:type="spellEnd"/>
      <w:r w:rsidRPr="003E3250">
        <w:rPr>
          <w:rFonts w:asciiTheme="minorHAnsi" w:hAnsiTheme="minorHAnsi" w:cstheme="minorHAnsi"/>
          <w:szCs w:val="24"/>
        </w:rPr>
        <w:t xml:space="preserve"> assessment tools initiative as a model approach to online safety across the Southeast Asian digital ecosystem. Australia’s efforts can also be seen in its delivery of events, campaigns, policy-</w:t>
      </w:r>
      <w:proofErr w:type="gramStart"/>
      <w:r w:rsidRPr="003E3250">
        <w:rPr>
          <w:rFonts w:asciiTheme="minorHAnsi" w:hAnsiTheme="minorHAnsi" w:cstheme="minorHAnsi"/>
          <w:szCs w:val="24"/>
        </w:rPr>
        <w:t>assistance</w:t>
      </w:r>
      <w:proofErr w:type="gramEnd"/>
      <w:r w:rsidRPr="003E3250">
        <w:rPr>
          <w:rFonts w:asciiTheme="minorHAnsi" w:hAnsiTheme="minorHAnsi" w:cstheme="minorHAnsi"/>
          <w:szCs w:val="24"/>
        </w:rPr>
        <w:t xml:space="preserve"> and collaborative efforts with other key stakeholders, as they accentuate the need of working together globally to mindfully create a better internet for the future. </w:t>
      </w:r>
    </w:p>
    <w:p w14:paraId="68C67E0E" w14:textId="215E3A40" w:rsidR="003E3250" w:rsidRPr="00715B63" w:rsidRDefault="003E3250" w:rsidP="00715B63">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following </w:t>
      </w:r>
      <w:hyperlink r:id="rId37">
        <w:r w:rsidRPr="003E3250">
          <w:rPr>
            <w:rStyle w:val="Hyperlink"/>
            <w:rFonts w:asciiTheme="minorHAnsi" w:hAnsiTheme="minorHAnsi" w:cstheme="minorHAnsi"/>
            <w:szCs w:val="24"/>
          </w:rPr>
          <w:t>contribution</w:t>
        </w:r>
      </w:hyperlink>
      <w:r w:rsidRPr="003E3250">
        <w:rPr>
          <w:rFonts w:asciiTheme="minorHAnsi" w:hAnsiTheme="minorHAnsi" w:cstheme="minorHAnsi"/>
          <w:szCs w:val="24"/>
        </w:rPr>
        <w:t xml:space="preserve"> from the Russian Federation called for ITU to enhance the Union's participation in the work of other international formats and in relevant discussions. Crucially, the Russian Federation shared its appreciation of the COP guidelines due to its overarching importance in providing children safety when in the digital environment. Nonetheless, they highlighted the need for ITU to attain greater global representation of COP guidelines for its implementation to be on a national, regional, and global scale. </w:t>
      </w:r>
    </w:p>
    <w:p w14:paraId="790746A7" w14:textId="4FBCA72F" w:rsidR="003E3250" w:rsidRPr="00715B63" w:rsidRDefault="003E3250" w:rsidP="00715B63">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next </w:t>
      </w:r>
      <w:hyperlink r:id="rId38">
        <w:r w:rsidRPr="003E3250">
          <w:rPr>
            <w:rStyle w:val="Hyperlink"/>
            <w:rFonts w:asciiTheme="minorHAnsi" w:hAnsiTheme="minorHAnsi" w:cstheme="minorHAnsi"/>
            <w:szCs w:val="24"/>
          </w:rPr>
          <w:t>contribution</w:t>
        </w:r>
      </w:hyperlink>
      <w:r w:rsidRPr="003E3250">
        <w:rPr>
          <w:rFonts w:asciiTheme="minorHAnsi" w:hAnsiTheme="minorHAnsi" w:cstheme="minorHAnsi"/>
          <w:szCs w:val="24"/>
        </w:rPr>
        <w:t xml:space="preserve"> was held by the Republic of Malta presenting their project ‘O.S.C.A.R – Online Safety for Children and Relatives.’ The Republic of Malta has worked towards implementing the ITU-COP Guidelines through the help of the private and public sector, and civil society. </w:t>
      </w:r>
      <w:proofErr w:type="gramStart"/>
      <w:r w:rsidRPr="003E3250">
        <w:rPr>
          <w:rFonts w:asciiTheme="minorHAnsi" w:hAnsiTheme="minorHAnsi" w:cstheme="minorHAnsi"/>
          <w:szCs w:val="24"/>
        </w:rPr>
        <w:t>In order to</w:t>
      </w:r>
      <w:proofErr w:type="gramEnd"/>
      <w:r w:rsidRPr="003E3250">
        <w:rPr>
          <w:rFonts w:asciiTheme="minorHAnsi" w:hAnsiTheme="minorHAnsi" w:cstheme="minorHAnsi"/>
          <w:szCs w:val="24"/>
        </w:rPr>
        <w:t xml:space="preserve"> establish the project, </w:t>
      </w:r>
      <w:r w:rsidR="00B14746">
        <w:rPr>
          <w:rFonts w:asciiTheme="minorHAnsi" w:hAnsiTheme="minorHAnsi" w:cstheme="minorHAnsi"/>
          <w:szCs w:val="24"/>
        </w:rPr>
        <w:t>t</w:t>
      </w:r>
      <w:r w:rsidRPr="003E3250">
        <w:rPr>
          <w:rFonts w:asciiTheme="minorHAnsi" w:hAnsiTheme="minorHAnsi" w:cstheme="minorHAnsi"/>
          <w:szCs w:val="24"/>
        </w:rPr>
        <w:t xml:space="preserve">he Republic of Malta has structured a network of several important stakeholders such as the industry, civil society and international contributors. In the future, this project will respond to other future needs such as awareness raising and capacity building. </w:t>
      </w:r>
    </w:p>
    <w:p w14:paraId="272E77F2" w14:textId="77777777" w:rsidR="003E3250" w:rsidRPr="003E3250"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lastRenderedPageBreak/>
        <w:t xml:space="preserve">This </w:t>
      </w:r>
      <w:hyperlink r:id="rId39">
        <w:r w:rsidRPr="003E3250">
          <w:rPr>
            <w:rStyle w:val="Hyperlink"/>
            <w:rFonts w:asciiTheme="minorHAnsi" w:hAnsiTheme="minorHAnsi" w:cstheme="minorHAnsi"/>
            <w:szCs w:val="24"/>
          </w:rPr>
          <w:t>contribution</w:t>
        </w:r>
      </w:hyperlink>
      <w:r w:rsidRPr="003E3250">
        <w:rPr>
          <w:rFonts w:asciiTheme="minorHAnsi" w:hAnsiTheme="minorHAnsi" w:cstheme="minorHAnsi"/>
          <w:szCs w:val="24"/>
        </w:rPr>
        <w:t xml:space="preserve"> has been presented by the Centre for Global IT-Cooperation. The Centre is part of the Russian civil society and collaborates with several IT companies and other members of civil societies, to empower and protect children. It is part of the global alliance advisory group and assisted in the development of the Digital Ethics of Childhood Charter for the industry which is open to all international stakeholders. The Centre for Global IT-Cooperation recommends the combination of appropriate legislation and self-regulatory initiatives from private sectors. The Centre further encourages cooperation and collaboration in COP through exchanging and sharing initiatives and technical solutions. </w:t>
      </w:r>
    </w:p>
    <w:p w14:paraId="1C3EE87C" w14:textId="77777777" w:rsidR="003E3250" w:rsidRPr="003E3250"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This next </w:t>
      </w:r>
      <w:hyperlink r:id="rId40">
        <w:r w:rsidRPr="003E3250">
          <w:rPr>
            <w:rStyle w:val="Hyperlink"/>
            <w:rFonts w:asciiTheme="minorHAnsi" w:hAnsiTheme="minorHAnsi" w:cstheme="minorHAnsi"/>
            <w:szCs w:val="24"/>
          </w:rPr>
          <w:t>contribution</w:t>
        </w:r>
      </w:hyperlink>
      <w:r w:rsidRPr="003E3250">
        <w:rPr>
          <w:rFonts w:asciiTheme="minorHAnsi" w:hAnsiTheme="minorHAnsi" w:cstheme="minorHAnsi"/>
          <w:szCs w:val="24"/>
        </w:rPr>
        <w:t xml:space="preserve"> shared by Albania provided an overview of their project on the ‘Roll-out of the child online protection global project.’ Albania is the first pilot country of the COP-ITU Global Programme in which they aim to protect children in the digital environment. Before the start of the COP-ITU Global Programme, Albania had implemented 5 capacity-building workshops on COP, targeted for parents and educators at the household level. The initial task in collaboration with the ITU Global Programme was to translate and disseminate the ITU-COP Guidelines throughout Albania. Currently, the government and ITU is working on identifying activities to raise awareness and build capacity nationally. In the future, Albania will launch promotional video, child friendly books and workshops. </w:t>
      </w:r>
    </w:p>
    <w:p w14:paraId="5169EFE2" w14:textId="77777777" w:rsidR="003E3250" w:rsidRPr="003E3250"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next </w:t>
      </w:r>
      <w:hyperlink r:id="rId41">
        <w:r w:rsidRPr="003E3250">
          <w:rPr>
            <w:rStyle w:val="Hyperlink"/>
            <w:rFonts w:asciiTheme="minorHAnsi" w:hAnsiTheme="minorHAnsi" w:cstheme="minorHAnsi"/>
            <w:szCs w:val="24"/>
          </w:rPr>
          <w:t>contribution</w:t>
        </w:r>
      </w:hyperlink>
      <w:r w:rsidRPr="003E3250">
        <w:rPr>
          <w:rFonts w:asciiTheme="minorHAnsi" w:hAnsiTheme="minorHAnsi" w:cstheme="minorHAnsi"/>
          <w:szCs w:val="24"/>
        </w:rPr>
        <w:t xml:space="preserve"> is presented by Brazil with their document on ‘Activities of the COP initiatives.’ Brazil has translated the ITU Guidelines in Portuguese and disseminated them in all regions of the country. This has enabled raising awareness on the risks children face online and subsequent knowledge-sharing. Currently, Brazil has drafted a proposal for action for the safe use of the internet and ICTs in the country. </w:t>
      </w:r>
    </w:p>
    <w:p w14:paraId="607F685B" w14:textId="26263363" w:rsidR="003E3250" w:rsidRPr="003E3250"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lang w:val="en-US" w:eastAsia="fr-CH"/>
        </w:rPr>
      </w:pPr>
      <w:r w:rsidRPr="003E3250">
        <w:rPr>
          <w:rFonts w:asciiTheme="minorHAnsi" w:hAnsiTheme="minorHAnsi" w:cstheme="minorHAnsi"/>
          <w:szCs w:val="24"/>
        </w:rPr>
        <w:t xml:space="preserve">The following </w:t>
      </w:r>
      <w:hyperlink r:id="rId42">
        <w:r w:rsidRPr="003E3250">
          <w:rPr>
            <w:rStyle w:val="Hyperlink"/>
            <w:rFonts w:asciiTheme="minorHAnsi" w:hAnsiTheme="minorHAnsi" w:cstheme="minorHAnsi"/>
            <w:szCs w:val="24"/>
          </w:rPr>
          <w:t>contribution</w:t>
        </w:r>
      </w:hyperlink>
      <w:r w:rsidRPr="003E3250">
        <w:rPr>
          <w:rFonts w:asciiTheme="minorHAnsi" w:hAnsiTheme="minorHAnsi" w:cstheme="minorHAnsi"/>
          <w:szCs w:val="24"/>
        </w:rPr>
        <w:t xml:space="preserve"> is from the United Arab Emirates presenting their Digital Wellbeing Programme. Through their research, the UAE has identified the increasing need for parents to be supported in the protection of children, particularly due to the increased connectivity of the UAE population. The UAE’s findings in the programme have led to the creation of the Digital Wellbeing Council. This Council aims to protect children and adults by providing support, sharing of tools through a knowledge platform, and a digital charter. The Council has also implemented the Digital Wellbeing Policy to ensure the alignment of digital safety and wellbeing nationally. </w:t>
      </w:r>
      <w:r w:rsidRPr="003E3250">
        <w:rPr>
          <w:rFonts w:asciiTheme="minorHAnsi" w:hAnsiTheme="minorHAnsi" w:cstheme="minorHAnsi"/>
          <w:szCs w:val="24"/>
          <w:lang w:eastAsia="fr-CH"/>
        </w:rPr>
        <w:t>Lastly</w:t>
      </w:r>
      <w:r w:rsidRPr="003E3250">
        <w:rPr>
          <w:rFonts w:asciiTheme="minorHAnsi" w:hAnsiTheme="minorHAnsi" w:cstheme="minorHAnsi"/>
          <w:szCs w:val="24"/>
          <w:lang w:val="en-US" w:eastAsia="fr-CH"/>
        </w:rPr>
        <w:t xml:space="preserve">, the UAE has embedded in their school curriculum a Digital Wellbeing </w:t>
      </w:r>
      <w:proofErr w:type="spellStart"/>
      <w:r w:rsidRPr="003E3250">
        <w:rPr>
          <w:rFonts w:asciiTheme="minorHAnsi" w:hAnsiTheme="minorHAnsi" w:cstheme="minorHAnsi"/>
          <w:szCs w:val="24"/>
          <w:lang w:val="en-US" w:eastAsia="fr-CH"/>
        </w:rPr>
        <w:t>Programme</w:t>
      </w:r>
      <w:proofErr w:type="spellEnd"/>
      <w:r w:rsidRPr="003E3250">
        <w:rPr>
          <w:rFonts w:asciiTheme="minorHAnsi" w:hAnsiTheme="minorHAnsi" w:cstheme="minorHAnsi"/>
          <w:szCs w:val="24"/>
          <w:lang w:val="en-US" w:eastAsia="fr-CH"/>
        </w:rPr>
        <w:t xml:space="preserve"> to raise awareness. </w:t>
      </w:r>
    </w:p>
    <w:p w14:paraId="1C42288E" w14:textId="7E8A3307" w:rsidR="003E3250" w:rsidRPr="00715B63" w:rsidRDefault="003E3250" w:rsidP="00715B63">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lang w:val="en-US" w:eastAsia="fr-CH"/>
        </w:rPr>
      </w:pPr>
      <w:r w:rsidRPr="003E3250">
        <w:rPr>
          <w:rFonts w:asciiTheme="minorHAnsi" w:hAnsiTheme="minorHAnsi" w:cstheme="minorHAnsi"/>
          <w:szCs w:val="24"/>
          <w:lang w:val="en-US" w:eastAsia="fr-CH"/>
        </w:rPr>
        <w:t xml:space="preserve">The final </w:t>
      </w:r>
      <w:hyperlink r:id="rId43">
        <w:r w:rsidRPr="003E3250">
          <w:rPr>
            <w:rStyle w:val="Hyperlink"/>
            <w:rFonts w:asciiTheme="minorHAnsi" w:hAnsiTheme="minorHAnsi" w:cstheme="minorHAnsi"/>
            <w:szCs w:val="24"/>
            <w:lang w:val="en-US" w:eastAsia="fr-CH"/>
          </w:rPr>
          <w:t>contribution</w:t>
        </w:r>
      </w:hyperlink>
      <w:r w:rsidRPr="003E3250">
        <w:rPr>
          <w:rFonts w:asciiTheme="minorHAnsi" w:hAnsiTheme="minorHAnsi" w:cstheme="minorHAnsi"/>
          <w:szCs w:val="24"/>
          <w:lang w:val="en-US" w:eastAsia="fr-CH"/>
        </w:rPr>
        <w:t xml:space="preserve"> was delivered by Mauritius by providing an overview of the Information and Communication Technologies Authority (ICTA): Child Sexual Abuse (CSA) filtering mechanism. The government has revised the legislation on COP to include all current risks to better assist law enforcement in their work. Furthermore, awareness raising has also been undertaken with a train the trainer approach. Finally, Safer Internet Day is promoted every year through activities, promotional videos, round table discussions and workshops. </w:t>
      </w:r>
    </w:p>
    <w:p w14:paraId="311A9ABE" w14:textId="77777777" w:rsidR="003E3250" w:rsidRPr="003E3250"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Chairman thanked all member states for their inspirational updates and efforts to move towards a national and global scale implementation of COP guidelines and relevant initiatives. He highlighted that </w:t>
      </w:r>
      <w:r w:rsidRPr="003E3250">
        <w:rPr>
          <w:rFonts w:asciiTheme="minorHAnsi" w:hAnsiTheme="minorHAnsi" w:cstheme="minorHAnsi"/>
          <w:szCs w:val="24"/>
          <w:lang w:val="en-US"/>
        </w:rPr>
        <w:t xml:space="preserve">the meeting had noted all contributions. </w:t>
      </w:r>
    </w:p>
    <w:p w14:paraId="2E42F9E3" w14:textId="2DA34BD6" w:rsidR="003E3250" w:rsidRPr="00715B63" w:rsidRDefault="003E3250" w:rsidP="00715B63">
      <w:pPr>
        <w:pStyle w:val="ListParagraph"/>
        <w:tabs>
          <w:tab w:val="clear" w:pos="794"/>
          <w:tab w:val="clear" w:pos="1191"/>
          <w:tab w:val="clear" w:pos="1588"/>
          <w:tab w:val="clear" w:pos="1985"/>
        </w:tabs>
        <w:spacing w:after="120"/>
        <w:ind w:left="0"/>
        <w:contextualSpacing w:val="0"/>
        <w:jc w:val="both"/>
        <w:rPr>
          <w:rFonts w:asciiTheme="minorHAnsi" w:hAnsiTheme="minorHAnsi" w:cstheme="minorHAnsi"/>
          <w:szCs w:val="24"/>
        </w:rPr>
      </w:pPr>
      <w:r w:rsidRPr="003E3250">
        <w:rPr>
          <w:rFonts w:asciiTheme="minorHAnsi" w:hAnsiTheme="minorHAnsi" w:cstheme="minorHAnsi"/>
          <w:szCs w:val="24"/>
        </w:rPr>
        <w:t>He gave the floor to the first COP partnership presentation.</w:t>
      </w:r>
    </w:p>
    <w:p w14:paraId="4E41A140" w14:textId="6B48247B" w:rsidR="003E3250" w:rsidRPr="00715B63" w:rsidRDefault="003E3250" w:rsidP="00715B63">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first </w:t>
      </w:r>
      <w:hyperlink r:id="rId44">
        <w:r w:rsidRPr="003E3250">
          <w:rPr>
            <w:rStyle w:val="Hyperlink"/>
            <w:rFonts w:asciiTheme="minorHAnsi" w:hAnsiTheme="minorHAnsi" w:cstheme="minorHAnsi"/>
            <w:szCs w:val="24"/>
          </w:rPr>
          <w:t>presentation</w:t>
        </w:r>
      </w:hyperlink>
      <w:r w:rsidRPr="003E3250">
        <w:rPr>
          <w:rFonts w:asciiTheme="minorHAnsi" w:hAnsiTheme="minorHAnsi" w:cstheme="minorHAnsi"/>
          <w:szCs w:val="24"/>
        </w:rPr>
        <w:t xml:space="preserve"> was delivered by UNICEF sharing the Child Online Protection Strategic Framework and Action, which aims to increase the responsibility placed on the private sector in terms of the protection of child rights. Indeed, the Framework’s main goal is to integrate child and </w:t>
      </w:r>
      <w:r w:rsidRPr="003E3250">
        <w:rPr>
          <w:rFonts w:asciiTheme="minorHAnsi" w:hAnsiTheme="minorHAnsi" w:cstheme="minorHAnsi"/>
          <w:szCs w:val="24"/>
        </w:rPr>
        <w:lastRenderedPageBreak/>
        <w:t>human rights into organization’s business models. It also aims to establish tools and guidelines for the industry. The national UNICEF team further disclosed their close collaboration with ITU to roll-out the ITU-COP guidelines in their respective countries. Finally, UNICEF is conducting research in several countries to better assess child online protection related risks and hear the voices of children on this topic.</w:t>
      </w:r>
    </w:p>
    <w:p w14:paraId="4EEE1129" w14:textId="3BC8D3C4" w:rsidR="003E3250" w:rsidRPr="00715B63" w:rsidRDefault="003E3250" w:rsidP="00715B63">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second </w:t>
      </w:r>
      <w:hyperlink r:id="rId45">
        <w:r w:rsidRPr="003E3250">
          <w:rPr>
            <w:rStyle w:val="Hyperlink"/>
            <w:rFonts w:asciiTheme="minorHAnsi" w:hAnsiTheme="minorHAnsi" w:cstheme="minorHAnsi"/>
            <w:szCs w:val="24"/>
          </w:rPr>
          <w:t>presentation</w:t>
        </w:r>
      </w:hyperlink>
      <w:r w:rsidRPr="003E3250">
        <w:rPr>
          <w:rFonts w:asciiTheme="minorHAnsi" w:hAnsiTheme="minorHAnsi" w:cstheme="minorHAnsi"/>
          <w:szCs w:val="24"/>
        </w:rPr>
        <w:t xml:space="preserve"> was conducted by the Global Partnership to End Violence Against Children (EVAC), whereby the document ‘Make the Internet Safe for Children’ was shared. The main goal of the Partnership is to end violence against children on a global scale. The Global Partnership EVAC communicated the importance of collaboration and cooperation with other organizations through initiatives and fora like the CWG COP as a main priority to create nexuses between stakeholders. EVAC has also contributed to the creation of Safe Online National Centres in Cambodia and Colombia to give victims support, protect children, and create awareness on the online risks for children.</w:t>
      </w:r>
    </w:p>
    <w:p w14:paraId="2D7ADA20" w14:textId="51CA8DFD" w:rsidR="003E3250" w:rsidRPr="00715B63" w:rsidRDefault="003E3250" w:rsidP="003E3250">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Fonts w:asciiTheme="minorHAnsi" w:hAnsiTheme="minorHAnsi" w:cstheme="minorHAnsi"/>
          <w:szCs w:val="24"/>
        </w:rPr>
        <w:t xml:space="preserve">The third </w:t>
      </w:r>
      <w:hyperlink r:id="rId46">
        <w:r w:rsidRPr="003E3250">
          <w:rPr>
            <w:rStyle w:val="Hyperlink"/>
            <w:rFonts w:asciiTheme="minorHAnsi" w:hAnsiTheme="minorHAnsi" w:cstheme="minorHAnsi"/>
            <w:szCs w:val="24"/>
          </w:rPr>
          <w:t>presentation</w:t>
        </w:r>
      </w:hyperlink>
      <w:r w:rsidRPr="003E3250">
        <w:rPr>
          <w:rFonts w:asciiTheme="minorHAnsi" w:hAnsiTheme="minorHAnsi" w:cstheme="minorHAnsi"/>
          <w:szCs w:val="24"/>
        </w:rPr>
        <w:t xml:space="preserve"> by the </w:t>
      </w:r>
      <w:proofErr w:type="spellStart"/>
      <w:r w:rsidRPr="003E3250">
        <w:rPr>
          <w:rFonts w:asciiTheme="minorHAnsi" w:hAnsiTheme="minorHAnsi" w:cstheme="minorHAnsi"/>
          <w:szCs w:val="24"/>
        </w:rPr>
        <w:t>WeProtect</w:t>
      </w:r>
      <w:proofErr w:type="spellEnd"/>
      <w:r w:rsidRPr="003E3250">
        <w:rPr>
          <w:rFonts w:asciiTheme="minorHAnsi" w:hAnsiTheme="minorHAnsi" w:cstheme="minorHAnsi"/>
          <w:szCs w:val="24"/>
        </w:rPr>
        <w:t xml:space="preserve"> Global Alliance provided an overview of their Global Threat Assessment 2021. The main goal of the Alliance is to create change in stakeholders' responses towards sexual abuse and exploitation online. The report states that there is an increasing number of children facing risks of sexual abuse online. Namely identified </w:t>
      </w:r>
      <w:proofErr w:type="gramStart"/>
      <w:r w:rsidRPr="003E3250">
        <w:rPr>
          <w:rFonts w:asciiTheme="minorHAnsi" w:hAnsiTheme="minorHAnsi" w:cstheme="minorHAnsi"/>
          <w:szCs w:val="24"/>
        </w:rPr>
        <w:t>as a result of</w:t>
      </w:r>
      <w:proofErr w:type="gramEnd"/>
      <w:r w:rsidRPr="003E3250">
        <w:rPr>
          <w:rFonts w:asciiTheme="minorHAnsi" w:hAnsiTheme="minorHAnsi" w:cstheme="minorHAnsi"/>
          <w:szCs w:val="24"/>
        </w:rPr>
        <w:t xml:space="preserve"> two main factors: the COVID-19 pandemic and self-generated content. Furthermore, the report also divulged how the technological advances in fact help offenders stay anonymous, nonetheless that it also helped the government and industry to create COP related tools. One of the main recommendations from </w:t>
      </w:r>
      <w:proofErr w:type="spellStart"/>
      <w:r w:rsidRPr="003E3250">
        <w:rPr>
          <w:rFonts w:asciiTheme="minorHAnsi" w:hAnsiTheme="minorHAnsi" w:cstheme="minorHAnsi"/>
          <w:szCs w:val="24"/>
        </w:rPr>
        <w:t>WeProtect</w:t>
      </w:r>
      <w:proofErr w:type="spellEnd"/>
      <w:r w:rsidRPr="003E3250">
        <w:rPr>
          <w:rFonts w:asciiTheme="minorHAnsi" w:hAnsiTheme="minorHAnsi" w:cstheme="minorHAnsi"/>
          <w:szCs w:val="24"/>
        </w:rPr>
        <w:t xml:space="preserve"> Global Alliance was to implement legislations towards the protection of children on a national, regional, and global scale. Furthermore, they also noted the importance of partnership and international collaboration through platforms like the </w:t>
      </w:r>
      <w:proofErr w:type="spellStart"/>
      <w:r w:rsidRPr="003E3250">
        <w:rPr>
          <w:rFonts w:asciiTheme="minorHAnsi" w:hAnsiTheme="minorHAnsi" w:cstheme="minorHAnsi"/>
          <w:szCs w:val="24"/>
        </w:rPr>
        <w:t>Weprotect</w:t>
      </w:r>
      <w:proofErr w:type="spellEnd"/>
      <w:r w:rsidRPr="003E3250">
        <w:rPr>
          <w:rFonts w:asciiTheme="minorHAnsi" w:hAnsiTheme="minorHAnsi" w:cstheme="minorHAnsi"/>
          <w:szCs w:val="24"/>
        </w:rPr>
        <w:t xml:space="preserve"> </w:t>
      </w:r>
      <w:proofErr w:type="spellStart"/>
      <w:r w:rsidRPr="003E3250">
        <w:rPr>
          <w:rFonts w:asciiTheme="minorHAnsi" w:hAnsiTheme="minorHAnsi" w:cstheme="minorHAnsi"/>
          <w:szCs w:val="24"/>
        </w:rPr>
        <w:t>Gobal</w:t>
      </w:r>
      <w:proofErr w:type="spellEnd"/>
      <w:r w:rsidRPr="003E3250">
        <w:rPr>
          <w:rFonts w:asciiTheme="minorHAnsi" w:hAnsiTheme="minorHAnsi" w:cstheme="minorHAnsi"/>
          <w:szCs w:val="24"/>
        </w:rPr>
        <w:t xml:space="preserve"> Alliance and Council Working Group. </w:t>
      </w:r>
    </w:p>
    <w:p w14:paraId="3B88294D" w14:textId="2B871804" w:rsidR="003E3250" w:rsidRPr="00715B63" w:rsidRDefault="003E3250" w:rsidP="00715B63">
      <w:pPr>
        <w:pStyle w:val="ListParagraph"/>
        <w:numPr>
          <w:ilvl w:val="1"/>
          <w:numId w:val="5"/>
        </w:numPr>
        <w:tabs>
          <w:tab w:val="clear" w:pos="794"/>
          <w:tab w:val="clear" w:pos="1191"/>
          <w:tab w:val="clear" w:pos="1588"/>
          <w:tab w:val="clear" w:pos="1985"/>
        </w:tabs>
        <w:spacing w:after="120"/>
        <w:ind w:left="0" w:firstLine="0"/>
        <w:contextualSpacing w:val="0"/>
        <w:jc w:val="both"/>
        <w:rPr>
          <w:rStyle w:val="normaltextrun"/>
          <w:rFonts w:asciiTheme="minorHAnsi" w:hAnsiTheme="minorHAnsi" w:cstheme="minorHAnsi"/>
          <w:szCs w:val="24"/>
        </w:rPr>
      </w:pPr>
      <w:r w:rsidRPr="003E3250">
        <w:rPr>
          <w:rFonts w:asciiTheme="minorHAnsi" w:hAnsiTheme="minorHAnsi" w:cstheme="minorHAnsi"/>
          <w:szCs w:val="24"/>
        </w:rPr>
        <w:t xml:space="preserve">The fourth </w:t>
      </w:r>
      <w:hyperlink r:id="rId47">
        <w:r w:rsidRPr="003E3250">
          <w:rPr>
            <w:rStyle w:val="Hyperlink"/>
            <w:rFonts w:asciiTheme="minorHAnsi" w:hAnsiTheme="minorHAnsi" w:cstheme="minorHAnsi"/>
            <w:szCs w:val="24"/>
          </w:rPr>
          <w:t>presentation</w:t>
        </w:r>
      </w:hyperlink>
      <w:r w:rsidRPr="003E3250">
        <w:rPr>
          <w:rFonts w:asciiTheme="minorHAnsi" w:hAnsiTheme="minorHAnsi" w:cstheme="minorHAnsi"/>
          <w:szCs w:val="24"/>
        </w:rPr>
        <w:t xml:space="preserve"> was delivered by the </w:t>
      </w:r>
      <w:r w:rsidRPr="003E3250">
        <w:rPr>
          <w:rStyle w:val="normaltextrun"/>
          <w:rFonts w:asciiTheme="minorHAnsi" w:hAnsiTheme="minorHAnsi" w:cstheme="minorHAnsi"/>
          <w:szCs w:val="24"/>
        </w:rPr>
        <w:t>Office of the UN Special Representative of the Secretary General on Violence against Children on their project: ‘</w:t>
      </w:r>
      <w:r w:rsidRPr="003E3250">
        <w:rPr>
          <w:rStyle w:val="normaltextrun"/>
          <w:rFonts w:asciiTheme="minorHAnsi" w:hAnsiTheme="minorHAnsi" w:cstheme="minorHAnsi"/>
          <w:i/>
          <w:iCs/>
          <w:szCs w:val="24"/>
        </w:rPr>
        <w:t xml:space="preserve">Understanding how children are accessing protection through online mean.’ </w:t>
      </w:r>
      <w:r w:rsidRPr="003E3250">
        <w:rPr>
          <w:rStyle w:val="normaltextrun"/>
          <w:rFonts w:asciiTheme="minorHAnsi" w:hAnsiTheme="minorHAnsi" w:cstheme="minorHAnsi"/>
          <w:szCs w:val="24"/>
        </w:rPr>
        <w:t xml:space="preserve">This project focuses on the understanding of how children can access support systems online. The OS-SGVAC states that an increasing number of children, with Covid-19, are accessing health-lines and support systems online. The goal of the collaborative initiative is to identify these online support systems for children </w:t>
      </w:r>
      <w:proofErr w:type="gramStart"/>
      <w:r w:rsidRPr="003E3250">
        <w:rPr>
          <w:rStyle w:val="normaltextrun"/>
          <w:rFonts w:asciiTheme="minorHAnsi" w:hAnsiTheme="minorHAnsi" w:cstheme="minorHAnsi"/>
          <w:szCs w:val="24"/>
        </w:rPr>
        <w:t>in order to</w:t>
      </w:r>
      <w:proofErr w:type="gramEnd"/>
      <w:r w:rsidRPr="003E3250">
        <w:rPr>
          <w:rStyle w:val="normaltextrun"/>
          <w:rFonts w:asciiTheme="minorHAnsi" w:hAnsiTheme="minorHAnsi" w:cstheme="minorHAnsi"/>
          <w:szCs w:val="24"/>
        </w:rPr>
        <w:t xml:space="preserve"> create a map which will be shared worldwide to help stakeholders better develop and support these systems. Furthermore, in the future, the OS-SGVAC in collaboration with ITU, will propose recommendations for child rights advocates and expert organisations on how to develop and leverage on safe online support systems for children in the digital environment. </w:t>
      </w:r>
    </w:p>
    <w:p w14:paraId="6BE19100" w14:textId="5C21B354" w:rsidR="003E3250" w:rsidRPr="00715B63" w:rsidRDefault="003E3250" w:rsidP="00715B63">
      <w:pPr>
        <w:pStyle w:val="ListParagraph"/>
        <w:numPr>
          <w:ilvl w:val="1"/>
          <w:numId w:val="5"/>
        </w:numPr>
        <w:tabs>
          <w:tab w:val="clear" w:pos="794"/>
          <w:tab w:val="clear" w:pos="1191"/>
          <w:tab w:val="clear" w:pos="1588"/>
          <w:tab w:val="clear" w:pos="1985"/>
        </w:tabs>
        <w:spacing w:after="120"/>
        <w:ind w:left="0" w:firstLine="0"/>
        <w:contextualSpacing w:val="0"/>
        <w:jc w:val="both"/>
        <w:rPr>
          <w:rFonts w:asciiTheme="minorHAnsi" w:hAnsiTheme="minorHAnsi" w:cstheme="minorHAnsi"/>
          <w:szCs w:val="24"/>
        </w:rPr>
      </w:pPr>
      <w:r w:rsidRPr="003E3250">
        <w:rPr>
          <w:rStyle w:val="normaltextrun"/>
          <w:rFonts w:asciiTheme="minorHAnsi" w:hAnsiTheme="minorHAnsi" w:cstheme="minorHAnsi"/>
          <w:szCs w:val="24"/>
        </w:rPr>
        <w:t xml:space="preserve">The final </w:t>
      </w:r>
      <w:hyperlink r:id="rId48">
        <w:r w:rsidRPr="003E3250">
          <w:rPr>
            <w:rStyle w:val="Hyperlink"/>
            <w:rFonts w:asciiTheme="minorHAnsi" w:hAnsiTheme="minorHAnsi" w:cstheme="minorHAnsi"/>
            <w:szCs w:val="24"/>
          </w:rPr>
          <w:t>presentation</w:t>
        </w:r>
      </w:hyperlink>
      <w:r w:rsidRPr="003E3250">
        <w:rPr>
          <w:rStyle w:val="normaltextrun"/>
          <w:rFonts w:asciiTheme="minorHAnsi" w:hAnsiTheme="minorHAnsi" w:cstheme="minorHAnsi"/>
          <w:szCs w:val="24"/>
        </w:rPr>
        <w:t xml:space="preserve"> was delivered by the SCORT Foundation on their Activity Report. Sports plays a key role in children's lives, and proves to be a remarkably effective way of disseminating COP. The SCORT Foundation has been working with ITU closely to create events on COP with different clubs, training for trainer and a roundtable session </w:t>
      </w:r>
      <w:proofErr w:type="gramStart"/>
      <w:r w:rsidRPr="003E3250">
        <w:rPr>
          <w:rStyle w:val="normaltextrun"/>
          <w:rFonts w:asciiTheme="minorHAnsi" w:hAnsiTheme="minorHAnsi" w:cstheme="minorHAnsi"/>
          <w:szCs w:val="24"/>
        </w:rPr>
        <w:t>in order to</w:t>
      </w:r>
      <w:proofErr w:type="gramEnd"/>
      <w:r w:rsidRPr="003E3250">
        <w:rPr>
          <w:rStyle w:val="normaltextrun"/>
          <w:rFonts w:asciiTheme="minorHAnsi" w:hAnsiTheme="minorHAnsi" w:cstheme="minorHAnsi"/>
          <w:szCs w:val="24"/>
        </w:rPr>
        <w:t xml:space="preserve"> assess further steps. It has been decided that, with the collaboration of ITU, SCORT Foundation will develop practical recommendations for sports clubs to enable them to implement COP guidelines in their infrastructures. It has also been assessed that capacity building and awareness raising throughout the sports sector should be undertaken. </w:t>
      </w:r>
    </w:p>
    <w:p w14:paraId="4784A436" w14:textId="39DBF0D9" w:rsidR="003E3250" w:rsidRPr="003E3250" w:rsidRDefault="003E3250" w:rsidP="00715B63">
      <w:pPr>
        <w:pStyle w:val="ListParagraph"/>
        <w:numPr>
          <w:ilvl w:val="0"/>
          <w:numId w:val="4"/>
        </w:numPr>
        <w:tabs>
          <w:tab w:val="clear" w:pos="794"/>
          <w:tab w:val="clear" w:pos="1191"/>
          <w:tab w:val="clear" w:pos="1588"/>
          <w:tab w:val="clear" w:pos="1985"/>
        </w:tabs>
        <w:spacing w:before="360" w:after="120"/>
        <w:ind w:left="0" w:firstLine="0"/>
        <w:contextualSpacing w:val="0"/>
        <w:jc w:val="both"/>
        <w:rPr>
          <w:rFonts w:asciiTheme="minorHAnsi" w:hAnsiTheme="minorHAnsi" w:cstheme="minorHAnsi"/>
          <w:szCs w:val="24"/>
        </w:rPr>
      </w:pPr>
      <w:r w:rsidRPr="003E3250">
        <w:rPr>
          <w:rFonts w:asciiTheme="minorHAnsi" w:hAnsiTheme="minorHAnsi" w:cstheme="minorHAnsi"/>
          <w:b/>
          <w:bCs/>
          <w:szCs w:val="24"/>
        </w:rPr>
        <w:t xml:space="preserve">Oher Business </w:t>
      </w:r>
    </w:p>
    <w:p w14:paraId="469C8528" w14:textId="77777777" w:rsidR="003E3250" w:rsidRPr="003E3250" w:rsidRDefault="003E3250" w:rsidP="003E3250">
      <w:pPr>
        <w:pStyle w:val="ListParagraph"/>
        <w:numPr>
          <w:ilvl w:val="1"/>
          <w:numId w:val="6"/>
        </w:numPr>
        <w:tabs>
          <w:tab w:val="clear" w:pos="794"/>
          <w:tab w:val="clear" w:pos="1191"/>
          <w:tab w:val="clear" w:pos="1588"/>
          <w:tab w:val="clear" w:pos="1985"/>
        </w:tabs>
        <w:spacing w:after="120"/>
        <w:ind w:left="0" w:firstLine="0"/>
        <w:contextualSpacing w:val="0"/>
        <w:rPr>
          <w:rFonts w:asciiTheme="minorHAnsi" w:hAnsiTheme="minorHAnsi" w:cstheme="minorHAnsi"/>
          <w:szCs w:val="24"/>
        </w:rPr>
      </w:pPr>
      <w:r w:rsidRPr="003E3250">
        <w:rPr>
          <w:rFonts w:asciiTheme="minorHAnsi" w:hAnsiTheme="minorHAnsi" w:cstheme="minorHAnsi"/>
          <w:szCs w:val="24"/>
        </w:rPr>
        <w:t>The Chair noted that there was no other business to be discussed.</w:t>
      </w:r>
    </w:p>
    <w:p w14:paraId="77720F2C" w14:textId="02340272" w:rsidR="003E3250" w:rsidRPr="00715B63" w:rsidRDefault="003E3250" w:rsidP="003E3250">
      <w:pPr>
        <w:pStyle w:val="Heading1"/>
        <w:keepNext w:val="0"/>
        <w:keepLines w:val="0"/>
        <w:numPr>
          <w:ilvl w:val="0"/>
          <w:numId w:val="4"/>
        </w:numPr>
        <w:tabs>
          <w:tab w:val="clear" w:pos="567"/>
          <w:tab w:val="clear" w:pos="1134"/>
          <w:tab w:val="clear" w:pos="1701"/>
          <w:tab w:val="clear" w:pos="2268"/>
          <w:tab w:val="clear" w:pos="2835"/>
        </w:tabs>
        <w:snapToGrid w:val="0"/>
        <w:spacing w:before="120" w:after="120"/>
        <w:ind w:left="0" w:firstLine="0"/>
        <w:jc w:val="both"/>
        <w:rPr>
          <w:rFonts w:asciiTheme="minorHAnsi" w:hAnsiTheme="minorHAnsi" w:cstheme="minorHAnsi"/>
          <w:sz w:val="24"/>
          <w:szCs w:val="24"/>
        </w:rPr>
      </w:pPr>
      <w:r w:rsidRPr="003E3250">
        <w:rPr>
          <w:rFonts w:asciiTheme="minorHAnsi" w:hAnsiTheme="minorHAnsi" w:cstheme="minorHAnsi"/>
          <w:sz w:val="24"/>
          <w:szCs w:val="24"/>
        </w:rPr>
        <w:lastRenderedPageBreak/>
        <w:t>Outcomes of the eighteenth meeting of the CWG-COP</w:t>
      </w:r>
    </w:p>
    <w:p w14:paraId="6DBCFE26" w14:textId="77777777" w:rsidR="003E3250" w:rsidRPr="003E3250" w:rsidRDefault="003E3250" w:rsidP="00715B63">
      <w:pPr>
        <w:pStyle w:val="ListParagraph"/>
        <w:numPr>
          <w:ilvl w:val="1"/>
          <w:numId w:val="3"/>
        </w:numPr>
        <w:shd w:val="clear" w:color="auto" w:fill="FFFFFF" w:themeFill="background1"/>
        <w:tabs>
          <w:tab w:val="clear" w:pos="794"/>
          <w:tab w:val="clear" w:pos="1191"/>
          <w:tab w:val="clear" w:pos="1588"/>
          <w:tab w:val="clear" w:pos="1985"/>
        </w:tabs>
        <w:overflowPunct/>
        <w:autoSpaceDE/>
        <w:autoSpaceDN/>
        <w:adjustRightInd/>
        <w:snapToGrid w:val="0"/>
        <w:spacing w:after="120"/>
        <w:ind w:left="0" w:firstLine="0"/>
        <w:contextualSpacing w:val="0"/>
        <w:jc w:val="both"/>
        <w:textAlignment w:val="auto"/>
        <w:rPr>
          <w:rFonts w:asciiTheme="minorHAnsi" w:hAnsiTheme="minorHAnsi" w:cstheme="minorHAnsi"/>
          <w:szCs w:val="24"/>
        </w:rPr>
      </w:pPr>
      <w:r w:rsidRPr="003E3250">
        <w:rPr>
          <w:rFonts w:asciiTheme="minorHAnsi" w:hAnsiTheme="minorHAnsi" w:cstheme="minorHAnsi"/>
          <w:szCs w:val="24"/>
        </w:rPr>
        <w:t xml:space="preserve">The Chair stated that the meeting was very well attended and the participation in the discussion both orally and in the chat, was high, lively, and engaging. This </w:t>
      </w:r>
      <w:r w:rsidRPr="003E3250">
        <w:rPr>
          <w:rFonts w:asciiTheme="minorHAnsi" w:hAnsiTheme="minorHAnsi" w:cstheme="minorHAnsi"/>
          <w:szCs w:val="24"/>
          <w:lang w:val="en-US"/>
        </w:rPr>
        <w:t xml:space="preserve">showed how important this CWG has become to membership to share their experiences in relation to child online protection. </w:t>
      </w:r>
    </w:p>
    <w:p w14:paraId="066ED8B1" w14:textId="77777777" w:rsidR="003E3250" w:rsidRPr="003E3250" w:rsidRDefault="003E3250" w:rsidP="00715B63">
      <w:pPr>
        <w:pStyle w:val="ListParagraph"/>
        <w:numPr>
          <w:ilvl w:val="1"/>
          <w:numId w:val="3"/>
        </w:numPr>
        <w:shd w:val="clear" w:color="auto" w:fill="FFFFFF" w:themeFill="background1"/>
        <w:tabs>
          <w:tab w:val="clear" w:pos="794"/>
          <w:tab w:val="clear" w:pos="1191"/>
          <w:tab w:val="clear" w:pos="1588"/>
          <w:tab w:val="clear" w:pos="1985"/>
        </w:tabs>
        <w:overflowPunct/>
        <w:autoSpaceDE/>
        <w:autoSpaceDN/>
        <w:adjustRightInd/>
        <w:snapToGrid w:val="0"/>
        <w:spacing w:after="120"/>
        <w:ind w:left="0" w:firstLine="0"/>
        <w:contextualSpacing w:val="0"/>
        <w:jc w:val="both"/>
        <w:textAlignment w:val="auto"/>
        <w:rPr>
          <w:rFonts w:asciiTheme="minorHAnsi" w:hAnsiTheme="minorHAnsi" w:cstheme="minorHAnsi"/>
          <w:szCs w:val="24"/>
        </w:rPr>
      </w:pPr>
      <w:r w:rsidRPr="003E3250">
        <w:rPr>
          <w:rFonts w:asciiTheme="minorHAnsi" w:hAnsiTheme="minorHAnsi" w:cstheme="minorHAnsi"/>
          <w:szCs w:val="24"/>
        </w:rPr>
        <w:t>The Chair thanked all participants for the invaluable contributions.</w:t>
      </w:r>
    </w:p>
    <w:p w14:paraId="657BAC88" w14:textId="77777777" w:rsidR="003E3250" w:rsidRPr="003E3250" w:rsidRDefault="003E3250" w:rsidP="00715B63">
      <w:pPr>
        <w:pStyle w:val="ListParagraph"/>
        <w:numPr>
          <w:ilvl w:val="1"/>
          <w:numId w:val="3"/>
        </w:numPr>
        <w:shd w:val="clear" w:color="auto" w:fill="FFFFFF" w:themeFill="background1"/>
        <w:tabs>
          <w:tab w:val="clear" w:pos="794"/>
          <w:tab w:val="clear" w:pos="1191"/>
          <w:tab w:val="clear" w:pos="1588"/>
          <w:tab w:val="clear" w:pos="1985"/>
        </w:tabs>
        <w:overflowPunct/>
        <w:autoSpaceDE/>
        <w:autoSpaceDN/>
        <w:adjustRightInd/>
        <w:snapToGrid w:val="0"/>
        <w:spacing w:after="120"/>
        <w:ind w:left="0" w:firstLine="0"/>
        <w:contextualSpacing w:val="0"/>
        <w:jc w:val="both"/>
        <w:textAlignment w:val="auto"/>
        <w:rPr>
          <w:rFonts w:asciiTheme="minorHAnsi" w:hAnsiTheme="minorHAnsi" w:cstheme="minorHAnsi"/>
          <w:szCs w:val="24"/>
        </w:rPr>
      </w:pPr>
      <w:r w:rsidRPr="003E3250">
        <w:rPr>
          <w:rFonts w:asciiTheme="minorHAnsi" w:hAnsiTheme="minorHAnsi" w:cstheme="minorHAnsi"/>
          <w:szCs w:val="24"/>
        </w:rPr>
        <w:t xml:space="preserve">The Chair added that each contribution added a unique perspective on the approach of the COP initiative. </w:t>
      </w:r>
    </w:p>
    <w:p w14:paraId="5496BA04" w14:textId="77777777" w:rsidR="003E3250" w:rsidRPr="003E3250" w:rsidRDefault="003E3250" w:rsidP="00715B63">
      <w:pPr>
        <w:pStyle w:val="ListParagraph"/>
        <w:numPr>
          <w:ilvl w:val="1"/>
          <w:numId w:val="3"/>
        </w:numPr>
        <w:shd w:val="clear" w:color="auto" w:fill="FFFFFF" w:themeFill="background1"/>
        <w:tabs>
          <w:tab w:val="clear" w:pos="794"/>
          <w:tab w:val="clear" w:pos="1191"/>
          <w:tab w:val="clear" w:pos="1588"/>
          <w:tab w:val="clear" w:pos="1985"/>
        </w:tabs>
        <w:overflowPunct/>
        <w:autoSpaceDE/>
        <w:autoSpaceDN/>
        <w:adjustRightInd/>
        <w:snapToGrid w:val="0"/>
        <w:spacing w:after="120"/>
        <w:ind w:left="0" w:firstLine="0"/>
        <w:contextualSpacing w:val="0"/>
        <w:jc w:val="both"/>
        <w:textAlignment w:val="auto"/>
        <w:rPr>
          <w:rFonts w:asciiTheme="minorHAnsi" w:hAnsiTheme="minorHAnsi" w:cstheme="minorHAnsi"/>
          <w:szCs w:val="24"/>
        </w:rPr>
      </w:pPr>
      <w:r w:rsidRPr="003E3250">
        <w:rPr>
          <w:rFonts w:asciiTheme="minorHAnsi" w:hAnsiTheme="minorHAnsi" w:cstheme="minorHAnsi"/>
          <w:szCs w:val="24"/>
        </w:rPr>
        <w:t>The Chair reminded all participants that this year was unique with three main ITU conferences providing a great opportunity to look back at a fruitful period since the last Plenipotentiary Conference allowing member states to emphasise important aspects of the relevant resolutions.</w:t>
      </w:r>
    </w:p>
    <w:p w14:paraId="356B18C6" w14:textId="77777777" w:rsidR="003E3250" w:rsidRPr="003E3250" w:rsidRDefault="003E3250" w:rsidP="0062510E">
      <w:pPr>
        <w:tabs>
          <w:tab w:val="clear" w:pos="567"/>
          <w:tab w:val="clear" w:pos="1134"/>
          <w:tab w:val="clear" w:pos="1701"/>
          <w:tab w:val="clear" w:pos="2268"/>
          <w:tab w:val="clear" w:pos="2835"/>
        </w:tabs>
        <w:spacing w:before="600" w:after="120"/>
        <w:ind w:left="6237"/>
        <w:jc w:val="both"/>
        <w:rPr>
          <w:rFonts w:asciiTheme="minorHAnsi" w:hAnsiTheme="minorHAnsi" w:cstheme="minorHAnsi"/>
          <w:b/>
          <w:bCs/>
          <w:szCs w:val="24"/>
        </w:rPr>
      </w:pPr>
      <w:r w:rsidRPr="003E3250">
        <w:rPr>
          <w:rFonts w:asciiTheme="minorHAnsi" w:hAnsiTheme="minorHAnsi" w:cstheme="minorHAnsi"/>
          <w:b/>
          <w:bCs/>
          <w:szCs w:val="24"/>
        </w:rPr>
        <w:t xml:space="preserve">Abdelaziz </w:t>
      </w:r>
      <w:proofErr w:type="spellStart"/>
      <w:r w:rsidRPr="003E3250">
        <w:rPr>
          <w:rFonts w:asciiTheme="minorHAnsi" w:hAnsiTheme="minorHAnsi" w:cstheme="minorHAnsi"/>
          <w:b/>
          <w:bCs/>
          <w:szCs w:val="24"/>
        </w:rPr>
        <w:t>Alzarooni</w:t>
      </w:r>
      <w:proofErr w:type="spellEnd"/>
      <w:r w:rsidRPr="003E3250">
        <w:rPr>
          <w:rFonts w:asciiTheme="minorHAnsi" w:hAnsiTheme="minorHAnsi" w:cstheme="minorHAnsi"/>
          <w:b/>
          <w:bCs/>
          <w:szCs w:val="24"/>
        </w:rPr>
        <w:t xml:space="preserve"> (UAE)</w:t>
      </w:r>
      <w:r w:rsidRPr="003E3250">
        <w:rPr>
          <w:rFonts w:asciiTheme="minorHAnsi" w:hAnsiTheme="minorHAnsi" w:cstheme="minorHAnsi"/>
          <w:szCs w:val="24"/>
        </w:rPr>
        <w:br/>
      </w:r>
      <w:r w:rsidRPr="003E3250">
        <w:rPr>
          <w:rFonts w:asciiTheme="minorHAnsi" w:hAnsiTheme="minorHAnsi" w:cstheme="minorHAnsi"/>
          <w:b/>
          <w:bCs/>
          <w:szCs w:val="24"/>
        </w:rPr>
        <w:t>Chair, CWG-COP</w:t>
      </w:r>
    </w:p>
    <w:p w14:paraId="7809A502" w14:textId="00256951" w:rsidR="004A1B8B" w:rsidRPr="003E3250" w:rsidRDefault="003E3250" w:rsidP="0062510E">
      <w:pPr>
        <w:tabs>
          <w:tab w:val="clear" w:pos="567"/>
          <w:tab w:val="clear" w:pos="1134"/>
          <w:tab w:val="clear" w:pos="1701"/>
          <w:tab w:val="clear" w:pos="2268"/>
          <w:tab w:val="clear" w:pos="2835"/>
        </w:tabs>
        <w:spacing w:before="840"/>
        <w:jc w:val="center"/>
        <w:rPr>
          <w:rFonts w:asciiTheme="minorHAnsi" w:hAnsiTheme="minorHAnsi" w:cstheme="minorHAnsi"/>
          <w:szCs w:val="24"/>
          <w:lang w:val="en-US"/>
        </w:rPr>
      </w:pPr>
      <w:r w:rsidRPr="003E3250">
        <w:rPr>
          <w:rFonts w:asciiTheme="minorHAnsi" w:hAnsiTheme="minorHAnsi" w:cstheme="minorHAnsi"/>
          <w:szCs w:val="24"/>
        </w:rPr>
        <w:t>______________</w:t>
      </w:r>
    </w:p>
    <w:sectPr w:rsidR="004A1B8B" w:rsidRPr="003E3250" w:rsidSect="004D1851">
      <w:headerReference w:type="default" r:id="rId49"/>
      <w:footerReference w:type="default" r:id="rId50"/>
      <w:footerReference w:type="first" r:id="rId5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7B0C" w14:textId="77777777" w:rsidR="0014634F" w:rsidRDefault="0014634F">
      <w:r>
        <w:separator/>
      </w:r>
    </w:p>
  </w:endnote>
  <w:endnote w:type="continuationSeparator" w:id="0">
    <w:p w14:paraId="724281C9" w14:textId="77777777" w:rsidR="0014634F" w:rsidRDefault="0014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B42F" w14:textId="2ADC4827" w:rsidR="00CB18FF" w:rsidRPr="0062510E" w:rsidRDefault="0062510E">
    <w:pPr>
      <w:pStyle w:val="Footer"/>
      <w:rPr>
        <w:color w:val="D9D9D9" w:themeColor="background1" w:themeShade="D9"/>
      </w:rPr>
    </w:pPr>
    <w:r w:rsidRPr="0062510E">
      <w:rPr>
        <w:color w:val="D9D9D9" w:themeColor="background1" w:themeShade="D9"/>
      </w:rPr>
      <w:fldChar w:fldCharType="begin"/>
    </w:r>
    <w:r w:rsidRPr="0062510E">
      <w:rPr>
        <w:color w:val="D9D9D9" w:themeColor="background1" w:themeShade="D9"/>
      </w:rPr>
      <w:instrText xml:space="preserve"> FILENAME \p  \* MERGEFORMAT </w:instrText>
    </w:r>
    <w:r w:rsidRPr="0062510E">
      <w:rPr>
        <w:color w:val="D9D9D9" w:themeColor="background1" w:themeShade="D9"/>
      </w:rPr>
      <w:fldChar w:fldCharType="separate"/>
    </w:r>
    <w:r w:rsidR="0014634F" w:rsidRPr="0062510E">
      <w:rPr>
        <w:color w:val="D9D9D9" w:themeColor="background1" w:themeShade="D9"/>
      </w:rPr>
      <w:t>Document1</w:t>
    </w:r>
    <w:r w:rsidRPr="0062510E">
      <w:rPr>
        <w:color w:val="D9D9D9" w:themeColor="background1" w:themeShade="D9"/>
      </w:rPr>
      <w:fldChar w:fldCharType="end"/>
    </w:r>
    <w:r w:rsidR="00CB18FF" w:rsidRPr="0062510E">
      <w:rPr>
        <w:color w:val="D9D9D9" w:themeColor="background1" w:themeShade="D9"/>
      </w:rPr>
      <w:tab/>
    </w:r>
    <w:r w:rsidR="00864AFF" w:rsidRPr="0062510E">
      <w:rPr>
        <w:color w:val="D9D9D9" w:themeColor="background1" w:themeShade="D9"/>
      </w:rPr>
      <w:fldChar w:fldCharType="begin"/>
    </w:r>
    <w:r w:rsidR="00CB18FF" w:rsidRPr="0062510E">
      <w:rPr>
        <w:color w:val="D9D9D9" w:themeColor="background1" w:themeShade="D9"/>
      </w:rPr>
      <w:instrText xml:space="preserve"> SAVEDATE \@ DD.MM.YY </w:instrText>
    </w:r>
    <w:r w:rsidR="00864AFF" w:rsidRPr="0062510E">
      <w:rPr>
        <w:color w:val="D9D9D9" w:themeColor="background1" w:themeShade="D9"/>
      </w:rPr>
      <w:fldChar w:fldCharType="separate"/>
    </w:r>
    <w:r w:rsidR="009556D5">
      <w:rPr>
        <w:color w:val="D9D9D9" w:themeColor="background1" w:themeShade="D9"/>
      </w:rPr>
      <w:t>10.02.22</w:t>
    </w:r>
    <w:r w:rsidR="00864AFF" w:rsidRPr="0062510E">
      <w:rPr>
        <w:color w:val="D9D9D9" w:themeColor="background1" w:themeShade="D9"/>
      </w:rPr>
      <w:fldChar w:fldCharType="end"/>
    </w:r>
    <w:r w:rsidR="00CB18FF" w:rsidRPr="0062510E">
      <w:rPr>
        <w:color w:val="D9D9D9" w:themeColor="background1" w:themeShade="D9"/>
      </w:rPr>
      <w:tab/>
    </w:r>
    <w:r w:rsidR="00864AFF" w:rsidRPr="0062510E">
      <w:rPr>
        <w:color w:val="D9D9D9" w:themeColor="background1" w:themeShade="D9"/>
      </w:rPr>
      <w:fldChar w:fldCharType="begin"/>
    </w:r>
    <w:r w:rsidR="00CB18FF" w:rsidRPr="0062510E">
      <w:rPr>
        <w:color w:val="D9D9D9" w:themeColor="background1" w:themeShade="D9"/>
      </w:rPr>
      <w:instrText xml:space="preserve"> PRINTDATE \@ DD.MM.YY </w:instrText>
    </w:r>
    <w:r w:rsidR="00864AFF" w:rsidRPr="0062510E">
      <w:rPr>
        <w:color w:val="D9D9D9" w:themeColor="background1" w:themeShade="D9"/>
      </w:rPr>
      <w:fldChar w:fldCharType="separate"/>
    </w:r>
    <w:r w:rsidR="0014634F" w:rsidRPr="0062510E">
      <w:rPr>
        <w:color w:val="D9D9D9" w:themeColor="background1" w:themeShade="D9"/>
      </w:rPr>
      <w:t>18.07.00</w:t>
    </w:r>
    <w:r w:rsidR="00864AFF" w:rsidRPr="0062510E">
      <w:rPr>
        <w:color w:val="D9D9D9" w:themeColor="background1" w:themeShade="D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85DD" w14:textId="77777777" w:rsidR="0014634F" w:rsidRDefault="0014634F">
      <w:r>
        <w:t>____________________</w:t>
      </w:r>
    </w:p>
  </w:footnote>
  <w:footnote w:type="continuationSeparator" w:id="0">
    <w:p w14:paraId="59030122" w14:textId="77777777" w:rsidR="0014634F" w:rsidRDefault="0014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4948958C" w14:textId="5CAFAB58" w:rsidR="00322D0D" w:rsidRPr="00623AE3" w:rsidRDefault="00623AE3" w:rsidP="00FB1279">
    <w:pPr>
      <w:pStyle w:val="Header"/>
      <w:rPr>
        <w:bCs/>
      </w:rPr>
    </w:pPr>
    <w:r w:rsidRPr="00623AE3">
      <w:rPr>
        <w:bCs/>
      </w:rPr>
      <w:t>C</w:t>
    </w:r>
    <w:r w:rsidR="004A1B8B">
      <w:rPr>
        <w:bCs/>
      </w:rPr>
      <w:t>2</w:t>
    </w:r>
    <w:r w:rsidR="0014634F">
      <w:rPr>
        <w:bCs/>
      </w:rPr>
      <w:t>2</w:t>
    </w:r>
    <w:r w:rsidRPr="00623AE3">
      <w:rPr>
        <w:bCs/>
      </w:rPr>
      <w:t>/</w:t>
    </w:r>
    <w:r w:rsidR="0062510E">
      <w:rPr>
        <w:bCs/>
      </w:rPr>
      <w:t>15</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41073"/>
    <w:multiLevelType w:val="multilevel"/>
    <w:tmpl w:val="9106FA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251588"/>
    <w:multiLevelType w:val="hybridMultilevel"/>
    <w:tmpl w:val="E4A41B36"/>
    <w:lvl w:ilvl="0" w:tplc="502617A0">
      <w:start w:val="5"/>
      <w:numFmt w:val="decimal"/>
      <w:lvlText w:val="(%1)"/>
      <w:lvlJc w:val="left"/>
      <w:pPr>
        <w:ind w:left="2062"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6F4B5E74"/>
    <w:multiLevelType w:val="multilevel"/>
    <w:tmpl w:val="BD284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0596486"/>
    <w:multiLevelType w:val="hybridMultilevel"/>
    <w:tmpl w:val="7BF6F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343FC4"/>
    <w:multiLevelType w:val="multilevel"/>
    <w:tmpl w:val="0666C3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a Licciardello">
    <w15:presenceInfo w15:providerId="None" w15:userId="Carla Licciarde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4F"/>
    <w:rsid w:val="000210D4"/>
    <w:rsid w:val="00063016"/>
    <w:rsid w:val="00066795"/>
    <w:rsid w:val="00076AF6"/>
    <w:rsid w:val="00085CF2"/>
    <w:rsid w:val="000B1705"/>
    <w:rsid w:val="000D75B2"/>
    <w:rsid w:val="001121F5"/>
    <w:rsid w:val="001400DC"/>
    <w:rsid w:val="00140CE1"/>
    <w:rsid w:val="0014634F"/>
    <w:rsid w:val="0017539C"/>
    <w:rsid w:val="00175AC2"/>
    <w:rsid w:val="0017609F"/>
    <w:rsid w:val="001C628E"/>
    <w:rsid w:val="001E0F7B"/>
    <w:rsid w:val="002119FD"/>
    <w:rsid w:val="002130E0"/>
    <w:rsid w:val="00264425"/>
    <w:rsid w:val="00265875"/>
    <w:rsid w:val="0027303B"/>
    <w:rsid w:val="0028109B"/>
    <w:rsid w:val="002A2188"/>
    <w:rsid w:val="002B1F58"/>
    <w:rsid w:val="002C1C7A"/>
    <w:rsid w:val="0030160F"/>
    <w:rsid w:val="00320223"/>
    <w:rsid w:val="00322D0D"/>
    <w:rsid w:val="003942D4"/>
    <w:rsid w:val="003958A8"/>
    <w:rsid w:val="003C2533"/>
    <w:rsid w:val="003E3250"/>
    <w:rsid w:val="0040435A"/>
    <w:rsid w:val="00416A24"/>
    <w:rsid w:val="00431D9E"/>
    <w:rsid w:val="00433CE8"/>
    <w:rsid w:val="00434A5C"/>
    <w:rsid w:val="004544D9"/>
    <w:rsid w:val="00490E72"/>
    <w:rsid w:val="00491157"/>
    <w:rsid w:val="004921C8"/>
    <w:rsid w:val="004A1B8B"/>
    <w:rsid w:val="004D1851"/>
    <w:rsid w:val="004D599D"/>
    <w:rsid w:val="004E2EA5"/>
    <w:rsid w:val="004E3AEB"/>
    <w:rsid w:val="0050223C"/>
    <w:rsid w:val="005243FF"/>
    <w:rsid w:val="00564FBC"/>
    <w:rsid w:val="00582442"/>
    <w:rsid w:val="005F3269"/>
    <w:rsid w:val="00623AE3"/>
    <w:rsid w:val="0062510E"/>
    <w:rsid w:val="0064737F"/>
    <w:rsid w:val="006535F1"/>
    <w:rsid w:val="0065557D"/>
    <w:rsid w:val="00662984"/>
    <w:rsid w:val="006716BB"/>
    <w:rsid w:val="006B6680"/>
    <w:rsid w:val="006B6DCC"/>
    <w:rsid w:val="00702DEF"/>
    <w:rsid w:val="00706861"/>
    <w:rsid w:val="00715B63"/>
    <w:rsid w:val="0075051B"/>
    <w:rsid w:val="00793188"/>
    <w:rsid w:val="00794D34"/>
    <w:rsid w:val="00813E5E"/>
    <w:rsid w:val="0083581B"/>
    <w:rsid w:val="00864AFF"/>
    <w:rsid w:val="008B4A6A"/>
    <w:rsid w:val="008C7E27"/>
    <w:rsid w:val="009173EF"/>
    <w:rsid w:val="00932906"/>
    <w:rsid w:val="009556D5"/>
    <w:rsid w:val="00961B0B"/>
    <w:rsid w:val="009B38C3"/>
    <w:rsid w:val="009E17BD"/>
    <w:rsid w:val="009E485A"/>
    <w:rsid w:val="00A04CEC"/>
    <w:rsid w:val="00A27F92"/>
    <w:rsid w:val="00A32257"/>
    <w:rsid w:val="00A36D20"/>
    <w:rsid w:val="00A55622"/>
    <w:rsid w:val="00A83502"/>
    <w:rsid w:val="00AD15B3"/>
    <w:rsid w:val="00AF6E49"/>
    <w:rsid w:val="00B04A67"/>
    <w:rsid w:val="00B0583C"/>
    <w:rsid w:val="00B14746"/>
    <w:rsid w:val="00B40A81"/>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6183"/>
    <w:rsid w:val="00D22C42"/>
    <w:rsid w:val="00D24014"/>
    <w:rsid w:val="00D65041"/>
    <w:rsid w:val="00DB384B"/>
    <w:rsid w:val="00E10E80"/>
    <w:rsid w:val="00E124F0"/>
    <w:rsid w:val="00E3513C"/>
    <w:rsid w:val="00E60F04"/>
    <w:rsid w:val="00E854E4"/>
    <w:rsid w:val="00EB0D6F"/>
    <w:rsid w:val="00EB2232"/>
    <w:rsid w:val="00EC5337"/>
    <w:rsid w:val="00F2150A"/>
    <w:rsid w:val="00F231D8"/>
    <w:rsid w:val="00F46C5F"/>
    <w:rsid w:val="00F94A63"/>
    <w:rsid w:val="00FA1C28"/>
    <w:rsid w:val="00FA4527"/>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91EB6E"/>
  <w15:docId w15:val="{2D7282C5-D362-4336-BB5E-B699225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uiPriority w:val="99"/>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styleId="UnresolvedMention">
    <w:name w:val="Unresolved Mention"/>
    <w:basedOn w:val="DefaultParagraphFont"/>
    <w:uiPriority w:val="99"/>
    <w:semiHidden/>
    <w:unhideWhenUsed/>
    <w:rsid w:val="003E3250"/>
    <w:rPr>
      <w:color w:val="605E5C"/>
      <w:shd w:val="clear" w:color="auto" w:fill="E1DFDD"/>
    </w:rPr>
  </w:style>
  <w:style w:type="paragraph" w:styleId="ListParagraph">
    <w:name w:val="List Paragraph"/>
    <w:basedOn w:val="Normal"/>
    <w:link w:val="ListParagraphChar"/>
    <w:uiPriority w:val="34"/>
    <w:qFormat/>
    <w:rsid w:val="003E3250"/>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character" w:customStyle="1" w:styleId="ListParagraphChar">
    <w:name w:val="List Paragraph Char"/>
    <w:basedOn w:val="DefaultParagraphFont"/>
    <w:link w:val="ListParagraph"/>
    <w:uiPriority w:val="34"/>
    <w:rsid w:val="003E3250"/>
    <w:rPr>
      <w:rFonts w:ascii="Times New Roman" w:hAnsi="Times New Roman"/>
      <w:sz w:val="24"/>
      <w:lang w:val="en-GB" w:eastAsia="en-US"/>
    </w:rPr>
  </w:style>
  <w:style w:type="character" w:customStyle="1" w:styleId="normaltextrun">
    <w:name w:val="normaltextrun"/>
    <w:basedOn w:val="DefaultParagraphFont"/>
    <w:rsid w:val="003E3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meetingdoc.asp?lang=en&amp;parent=S22-CLCWGCOP18-INF&amp;source=Nigeria%20%28Federal%20Republic%20of%29" TargetMode="External"/><Relationship Id="rId18" Type="http://schemas.openxmlformats.org/officeDocument/2006/relationships/hyperlink" Target="https://www.itu.int/md/meetingdoc.asp?lang=en&amp;parent=S22-CLCWGCOP18-C&amp;source=Russian%20Federation" TargetMode="External"/><Relationship Id="rId26" Type="http://schemas.openxmlformats.org/officeDocument/2006/relationships/hyperlink" Target="https://www.itu.int/md/meetingdoc.asp?lang=en&amp;parent=S22-CLCWGCOP18-INF&amp;source=UNICEF" TargetMode="External"/><Relationship Id="rId39" Type="http://schemas.openxmlformats.org/officeDocument/2006/relationships/hyperlink" Target="https://www.itu.int/md/meetingdoc.asp?lang=en&amp;parent=S22-CLCWGCOP18-C&amp;source=Center%20for%20Global%20IT-Cooperation" TargetMode="External"/><Relationship Id="rId21" Type="http://schemas.openxmlformats.org/officeDocument/2006/relationships/hyperlink" Target="https://www.itu.int/md/meetingdoc.asp?lang=en&amp;parent=S22-CLCWGCOP18-INF&amp;source=NAECCS%20Albania" TargetMode="External"/><Relationship Id="rId34" Type="http://schemas.openxmlformats.org/officeDocument/2006/relationships/hyperlink" Target="https://www.itu.int/md/meetingdoc.asp?lang=en&amp;parent=S22-CLCWGCOP18-INF&amp;source=Hungary" TargetMode="External"/><Relationship Id="rId42" Type="http://schemas.openxmlformats.org/officeDocument/2006/relationships/hyperlink" Target="https://www.itu.int/md/meetingdoc.asp?lang=en&amp;parent=S22-CLCWGCOP18-INF&amp;source=United%20Arab%20Emirates" TargetMode="External"/><Relationship Id="rId47" Type="http://schemas.openxmlformats.org/officeDocument/2006/relationships/hyperlink" Target="https://www.itu.int/md/meetingdoc.asp?lang=en&amp;parent=S22-CLCWGCOP18-INF&amp;source=UN%20SG%20Special%20representative"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meetingdoc.asp?lang=en&amp;parent=S22-CLCWGCOP18-INF&amp;source=Australia" TargetMode="External"/><Relationship Id="rId29" Type="http://schemas.openxmlformats.org/officeDocument/2006/relationships/hyperlink" Target="https://www.itu.int/md/meetingdoc.asp?lang=en&amp;parent=S22-CLCWGCOP18-INF&amp;source=UN%20SG%20Special%20representative" TargetMode="External"/><Relationship Id="rId11" Type="http://schemas.openxmlformats.org/officeDocument/2006/relationships/hyperlink" Target="https://www.itu.int/md/meetingdoc.asp?lang=en&amp;parent=S22-CLCWGCOP18-C&amp;source=SG" TargetMode="External"/><Relationship Id="rId24" Type="http://schemas.openxmlformats.org/officeDocument/2006/relationships/hyperlink" Target="https://www.itu.int/md/meetingdoc.asp?lang=en&amp;parent=S22-CLCWGCOP18-C&amp;source=ICTA" TargetMode="External"/><Relationship Id="rId32" Type="http://schemas.openxmlformats.org/officeDocument/2006/relationships/hyperlink" Target="https://www.itu.int/md/meetingdoc.asp?lang=en&amp;parent=S22-CLCWGCOP18-INF&amp;source=Nigeria%20%28Federal%20Republic%20of%29" TargetMode="External"/><Relationship Id="rId37" Type="http://schemas.openxmlformats.org/officeDocument/2006/relationships/hyperlink" Target="https://www.itu.int/md/meetingdoc.asp?lang=en&amp;parent=S22-CLCWGCOP18-C&amp;source=Russian%20Federation" TargetMode="External"/><Relationship Id="rId40" Type="http://schemas.openxmlformats.org/officeDocument/2006/relationships/hyperlink" Target="https://www.itu.int/md/meetingdoc.asp?lang=en&amp;parent=S22-CLCWGCOP18-INF&amp;source=NAECCS%20Albania" TargetMode="External"/><Relationship Id="rId45" Type="http://schemas.openxmlformats.org/officeDocument/2006/relationships/hyperlink" Target="https://www.itu.int/md/meetingdoc.asp?lang=en&amp;parent=S22-CLCWGCOP18-INF&amp;source=END%20Violence%20Safe%20Online"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hyperlink" Target="https://www.itu.int/md/S22-CLCWGCOP18-C-0001/en" TargetMode="External"/><Relationship Id="rId19" Type="http://schemas.openxmlformats.org/officeDocument/2006/relationships/hyperlink" Target="https://www.itu.int/md/meetingdoc.asp?lang=en&amp;parent=S22-CLCWGCOP18-INF&amp;source=MFWS%20Malta" TargetMode="External"/><Relationship Id="rId31" Type="http://schemas.openxmlformats.org/officeDocument/2006/relationships/hyperlink" Target="https://www.itu.int/md/meetingdoc.asp?lang=en&amp;parent=S22-CLCWGCOP18-C&amp;source=SG" TargetMode="External"/><Relationship Id="rId44" Type="http://schemas.openxmlformats.org/officeDocument/2006/relationships/hyperlink" Target="https://www.itu.int/md/meetingdoc.asp?lang=en&amp;parent=S22-CLCWGCOP18-INF&amp;source=UNICE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en/council/cwg-cop/Pages/Eighteenth-Meeting.aspx" TargetMode="External"/><Relationship Id="rId14" Type="http://schemas.openxmlformats.org/officeDocument/2006/relationships/hyperlink" Target="https://www.itu.int/md/meetingdoc.asp?lang=en&amp;parent=S22-CLCWGCOP18-INF&amp;source=Hungary" TargetMode="External"/><Relationship Id="rId22" Type="http://schemas.openxmlformats.org/officeDocument/2006/relationships/hyperlink" Target="https://www.itu.int/md/meetingdoc.asp?lang=en&amp;parent=S22-CLCWGCOP18-INF&amp;source=Brazil%20%28Federative%20Republic%20of%29" TargetMode="External"/><Relationship Id="rId27" Type="http://schemas.openxmlformats.org/officeDocument/2006/relationships/hyperlink" Target="https://www.itu.int/md/meetingdoc.asp?lang=en&amp;parent=S22-CLCWGCOP18-INF&amp;source=END%20Violence%20Safe%20Online" TargetMode="External"/><Relationship Id="rId30" Type="http://schemas.openxmlformats.org/officeDocument/2006/relationships/hyperlink" Target="https://www.itu.int/md/meetingdoc.asp?lang=en&amp;parent=S21-CLCWGCOP17-INF-0008" TargetMode="External"/><Relationship Id="rId35" Type="http://schemas.openxmlformats.org/officeDocument/2006/relationships/hyperlink" Target="https://www.itu.int/md/meetingdoc.asp?lang=en&amp;parent=S22-CLCWGCOP18-INF&amp;source=DGYS" TargetMode="External"/><Relationship Id="rId43" Type="http://schemas.openxmlformats.org/officeDocument/2006/relationships/hyperlink" Target="https://www.itu.int/md/meetingdoc.asp?lang=en&amp;parent=S22-CLCWGCOP18-C&amp;source=ICTA" TargetMode="External"/><Relationship Id="rId48" Type="http://schemas.openxmlformats.org/officeDocument/2006/relationships/hyperlink" Target="https://www.itu.int/md/meetingdoc.asp?lang=en&amp;parent=S22-CLCWGCOP18-INF&amp;source=SCORT" TargetMode="External"/><Relationship Id="rId8" Type="http://schemas.openxmlformats.org/officeDocument/2006/relationships/image" Target="media/image1.jpe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itu.int/md/S22-CLCWGCOP18-INF/en" TargetMode="External"/><Relationship Id="rId17" Type="http://schemas.openxmlformats.org/officeDocument/2006/relationships/hyperlink" Target="https://www.itu.int/md/meetingdoc.asp?lang=en&amp;parent=S22-CLCWGCOP18-INF&amp;source=Australia" TargetMode="External"/><Relationship Id="rId25" Type="http://schemas.openxmlformats.org/officeDocument/2006/relationships/hyperlink" Target="https://www.itu.int/md/S22-CLCWGCOP18-INF/en" TargetMode="External"/><Relationship Id="rId33" Type="http://schemas.openxmlformats.org/officeDocument/2006/relationships/hyperlink" Target="https://www.itu.int/md/meetingdoc.asp?lang=en&amp;parent=S22-CLCWGCOP18-INF&amp;source=Agence%20de%20D%E9veloppement%20du%20Digital" TargetMode="External"/><Relationship Id="rId38" Type="http://schemas.openxmlformats.org/officeDocument/2006/relationships/hyperlink" Target="https://www.itu.int/md/meetingdoc.asp?lang=en&amp;parent=S22-CLCWGCOP18-INF&amp;source=MFWS%20Malta" TargetMode="External"/><Relationship Id="rId46" Type="http://schemas.openxmlformats.org/officeDocument/2006/relationships/hyperlink" Target="https://www.itu.int/md/meetingdoc.asp?lang=en&amp;parent=S22-CLCWGCOP18-INF&amp;source=WeProtect" TargetMode="External"/><Relationship Id="rId20" Type="http://schemas.openxmlformats.org/officeDocument/2006/relationships/hyperlink" Target="https://www.itu.int/md/meetingdoc.asp?lang=en&amp;parent=S22-CLCWGCOP18-C&amp;source=Center%20for%20Global%20IT-Cooperation" TargetMode="External"/><Relationship Id="rId41" Type="http://schemas.openxmlformats.org/officeDocument/2006/relationships/hyperlink" Target="https://www.itu.int/md/meetingdoc.asp?lang=en&amp;parent=S22-CLCWGCOP18-INF&amp;source=Brazil%20%28Federative%20Republic%20of%2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meetingdoc.asp?lang=en&amp;parent=S22-CLCWGCOP18-INF&amp;source=DGYS" TargetMode="External"/><Relationship Id="rId23" Type="http://schemas.openxmlformats.org/officeDocument/2006/relationships/hyperlink" Target="https://www.itu.int/md/meetingdoc.asp?lang=en&amp;parent=S22-CLCWGCOP18-INF&amp;source=United%20Arab%20Emirates" TargetMode="External"/><Relationship Id="rId28" Type="http://schemas.openxmlformats.org/officeDocument/2006/relationships/hyperlink" Target="https://www.itu.int/md/meetingdoc.asp?lang=en&amp;parent=S22-CLCWGCOP18-INF&amp;source=WeProtect" TargetMode="External"/><Relationship Id="rId36" Type="http://schemas.openxmlformats.org/officeDocument/2006/relationships/hyperlink" Target="https://www.itu.int/md/meetingdoc.asp?lang=en&amp;parent=S22-CLCWGCOP18-INF&amp;source=Australia"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PE_C21.dotx</Template>
  <TotalTime>8</TotalTime>
  <Pages>7</Pages>
  <Words>3016</Words>
  <Characters>21845</Characters>
  <Application>Microsoft Office Word</Application>
  <DocSecurity>0</DocSecurity>
  <Lines>182</Lines>
  <Paragraphs>49</Paragraphs>
  <ScaleCrop>false</ScaleCrop>
  <HeadingPairs>
    <vt:vector size="2" baseType="variant">
      <vt:variant>
        <vt:lpstr>Title</vt:lpstr>
      </vt:variant>
      <vt:variant>
        <vt:i4>1</vt:i4>
      </vt:variant>
    </vt:vector>
  </HeadingPairs>
  <TitlesOfParts>
    <vt:vector size="1" baseType="lpstr">
      <vt:lpstr>Report by the Chairman of CWG-COP</vt:lpstr>
    </vt:vector>
  </TitlesOfParts>
  <Manager>General Secretariat - Pool</Manager>
  <Company>International Telecommunication Union (ITU)</Company>
  <LinksUpToDate>false</LinksUpToDate>
  <CharactersWithSpaces>24812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Chairman of CWG-COP</dc:title>
  <dc:subject>Council 2022</dc:subject>
  <dc:creator>Brouard, Ricarda</dc:creator>
  <cp:keywords>C2022, C22, Council-22</cp:keywords>
  <dc:description/>
  <cp:lastModifiedBy>Xue, Kun</cp:lastModifiedBy>
  <cp:revision>5</cp:revision>
  <cp:lastPrinted>2000-07-18T13:30:00Z</cp:lastPrinted>
  <dcterms:created xsi:type="dcterms:W3CDTF">2022-01-27T17:17:00Z</dcterms:created>
  <dcterms:modified xsi:type="dcterms:W3CDTF">2022-02-18T16:10:00Z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