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F345D" w14:paraId="4EF025E4" w14:textId="77777777">
        <w:trPr>
          <w:cantSplit/>
        </w:trPr>
        <w:tc>
          <w:tcPr>
            <w:tcW w:w="6912" w:type="dxa"/>
          </w:tcPr>
          <w:p w14:paraId="401E5603" w14:textId="77777777" w:rsidR="00093EEB" w:rsidRPr="001F345D" w:rsidRDefault="00093EEB" w:rsidP="00C2727F">
            <w:pPr>
              <w:spacing w:before="360"/>
              <w:rPr>
                <w:szCs w:val="24"/>
              </w:rPr>
            </w:pPr>
            <w:bookmarkStart w:id="0" w:name="dc06"/>
            <w:bookmarkStart w:id="1" w:name="dbluepink" w:colFirst="0" w:colLast="0"/>
            <w:bookmarkEnd w:id="0"/>
            <w:r w:rsidRPr="001F345D">
              <w:rPr>
                <w:b/>
                <w:bCs/>
                <w:sz w:val="30"/>
                <w:szCs w:val="30"/>
              </w:rPr>
              <w:t>Consejo 20</w:t>
            </w:r>
            <w:r w:rsidR="007955DA" w:rsidRPr="001F345D">
              <w:rPr>
                <w:b/>
                <w:bCs/>
                <w:sz w:val="30"/>
                <w:szCs w:val="30"/>
              </w:rPr>
              <w:t>2</w:t>
            </w:r>
            <w:r w:rsidR="00D50A36" w:rsidRPr="001F345D">
              <w:rPr>
                <w:b/>
                <w:bCs/>
                <w:sz w:val="30"/>
                <w:szCs w:val="30"/>
              </w:rPr>
              <w:t>2</w:t>
            </w:r>
            <w:r w:rsidRPr="001F345D">
              <w:rPr>
                <w:b/>
                <w:bCs/>
                <w:sz w:val="26"/>
                <w:szCs w:val="26"/>
              </w:rPr>
              <w:br/>
            </w:r>
            <w:r w:rsidR="00D50A36" w:rsidRPr="001F345D">
              <w:rPr>
                <w:b/>
                <w:bCs/>
                <w:sz w:val="26"/>
                <w:szCs w:val="26"/>
              </w:rPr>
              <w:t>Ginebra</w:t>
            </w:r>
            <w:r w:rsidRPr="001F345D">
              <w:rPr>
                <w:b/>
                <w:bCs/>
                <w:sz w:val="26"/>
                <w:szCs w:val="26"/>
              </w:rPr>
              <w:t xml:space="preserve">, </w:t>
            </w:r>
            <w:r w:rsidR="00D50A36" w:rsidRPr="001F345D">
              <w:rPr>
                <w:b/>
                <w:bCs/>
                <w:sz w:val="26"/>
                <w:szCs w:val="26"/>
              </w:rPr>
              <w:t>21</w:t>
            </w:r>
            <w:r w:rsidRPr="001F345D">
              <w:rPr>
                <w:b/>
                <w:bCs/>
                <w:sz w:val="26"/>
                <w:szCs w:val="26"/>
              </w:rPr>
              <w:t>-</w:t>
            </w:r>
            <w:r w:rsidR="00D50A36" w:rsidRPr="001F345D">
              <w:rPr>
                <w:b/>
                <w:bCs/>
                <w:sz w:val="26"/>
                <w:szCs w:val="26"/>
              </w:rPr>
              <w:t>31</w:t>
            </w:r>
            <w:r w:rsidRPr="001F345D">
              <w:rPr>
                <w:b/>
                <w:bCs/>
                <w:sz w:val="26"/>
                <w:szCs w:val="26"/>
              </w:rPr>
              <w:t xml:space="preserve"> de </w:t>
            </w:r>
            <w:r w:rsidR="00D50A36" w:rsidRPr="001F345D">
              <w:rPr>
                <w:b/>
                <w:bCs/>
                <w:sz w:val="26"/>
                <w:szCs w:val="26"/>
              </w:rPr>
              <w:t>marzo</w:t>
            </w:r>
            <w:r w:rsidRPr="001F345D">
              <w:rPr>
                <w:b/>
                <w:bCs/>
                <w:sz w:val="26"/>
                <w:szCs w:val="26"/>
              </w:rPr>
              <w:t xml:space="preserve"> de 20</w:t>
            </w:r>
            <w:r w:rsidR="007955DA" w:rsidRPr="001F345D">
              <w:rPr>
                <w:b/>
                <w:bCs/>
                <w:sz w:val="26"/>
                <w:szCs w:val="26"/>
              </w:rPr>
              <w:t>2</w:t>
            </w:r>
            <w:r w:rsidR="00D50A36" w:rsidRPr="001F345D">
              <w:rPr>
                <w:b/>
                <w:bCs/>
                <w:sz w:val="26"/>
                <w:szCs w:val="26"/>
              </w:rPr>
              <w:t>2</w:t>
            </w:r>
          </w:p>
        </w:tc>
        <w:tc>
          <w:tcPr>
            <w:tcW w:w="3261" w:type="dxa"/>
          </w:tcPr>
          <w:p w14:paraId="66D6866E" w14:textId="77777777" w:rsidR="00093EEB" w:rsidRPr="001F345D" w:rsidRDefault="007955DA" w:rsidP="007955DA">
            <w:pPr>
              <w:spacing w:before="0"/>
              <w:rPr>
                <w:szCs w:val="24"/>
              </w:rPr>
            </w:pPr>
            <w:bookmarkStart w:id="2" w:name="ditulogo"/>
            <w:bookmarkEnd w:id="2"/>
            <w:r w:rsidRPr="001F345D">
              <w:rPr>
                <w:noProof/>
                <w:lang w:eastAsia="es-ES_tradnl"/>
              </w:rPr>
              <w:drawing>
                <wp:inline distT="0" distB="0" distL="0" distR="0" wp14:anchorId="0515FBCE" wp14:editId="3769BA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1F345D" w14:paraId="592F1615" w14:textId="77777777">
        <w:trPr>
          <w:cantSplit/>
          <w:trHeight w:val="20"/>
        </w:trPr>
        <w:tc>
          <w:tcPr>
            <w:tcW w:w="10173" w:type="dxa"/>
            <w:gridSpan w:val="2"/>
            <w:tcBorders>
              <w:bottom w:val="single" w:sz="12" w:space="0" w:color="auto"/>
            </w:tcBorders>
          </w:tcPr>
          <w:p w14:paraId="6DEA864C" w14:textId="77777777" w:rsidR="00093EEB" w:rsidRPr="001F345D" w:rsidRDefault="00093EEB">
            <w:pPr>
              <w:spacing w:before="0"/>
              <w:rPr>
                <w:b/>
                <w:bCs/>
                <w:szCs w:val="24"/>
              </w:rPr>
            </w:pPr>
          </w:p>
        </w:tc>
      </w:tr>
      <w:tr w:rsidR="00093EEB" w:rsidRPr="001F345D" w14:paraId="0470F060" w14:textId="77777777">
        <w:trPr>
          <w:cantSplit/>
          <w:trHeight w:val="20"/>
        </w:trPr>
        <w:tc>
          <w:tcPr>
            <w:tcW w:w="6912" w:type="dxa"/>
            <w:tcBorders>
              <w:top w:val="single" w:sz="12" w:space="0" w:color="auto"/>
            </w:tcBorders>
          </w:tcPr>
          <w:p w14:paraId="7E6F02DC" w14:textId="77777777" w:rsidR="00093EEB" w:rsidRPr="001F345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3CDACF5" w14:textId="77777777" w:rsidR="00093EEB" w:rsidRPr="001F345D" w:rsidRDefault="00093EEB">
            <w:pPr>
              <w:spacing w:before="0"/>
              <w:rPr>
                <w:b/>
                <w:bCs/>
                <w:szCs w:val="24"/>
              </w:rPr>
            </w:pPr>
          </w:p>
        </w:tc>
      </w:tr>
      <w:tr w:rsidR="00A44AA5" w:rsidRPr="001F345D" w14:paraId="0F2C2ED9" w14:textId="77777777">
        <w:trPr>
          <w:cantSplit/>
          <w:trHeight w:val="20"/>
        </w:trPr>
        <w:tc>
          <w:tcPr>
            <w:tcW w:w="6912" w:type="dxa"/>
            <w:shd w:val="clear" w:color="auto" w:fill="auto"/>
          </w:tcPr>
          <w:p w14:paraId="7BC23D48" w14:textId="028A3594" w:rsidR="00A44AA5" w:rsidRPr="001F345D" w:rsidRDefault="00A44AA5" w:rsidP="00A44AA5">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1F345D">
              <w:rPr>
                <w:b/>
              </w:rPr>
              <w:t>Punto del orden del día: ADM 1</w:t>
            </w:r>
          </w:p>
        </w:tc>
        <w:tc>
          <w:tcPr>
            <w:tcW w:w="3261" w:type="dxa"/>
          </w:tcPr>
          <w:p w14:paraId="65B5EC03" w14:textId="0A2EE48E" w:rsidR="00A44AA5" w:rsidRPr="001F345D" w:rsidRDefault="00A44AA5" w:rsidP="00A44AA5">
            <w:pPr>
              <w:spacing w:before="0"/>
              <w:rPr>
                <w:b/>
                <w:bCs/>
                <w:szCs w:val="24"/>
              </w:rPr>
            </w:pPr>
            <w:r w:rsidRPr="001F345D">
              <w:rPr>
                <w:b/>
              </w:rPr>
              <w:t>Documento C22/9-S</w:t>
            </w:r>
          </w:p>
        </w:tc>
      </w:tr>
      <w:tr w:rsidR="00A44AA5" w:rsidRPr="001F345D" w14:paraId="1203DEDA" w14:textId="77777777">
        <w:trPr>
          <w:cantSplit/>
          <w:trHeight w:val="20"/>
        </w:trPr>
        <w:tc>
          <w:tcPr>
            <w:tcW w:w="6912" w:type="dxa"/>
            <w:shd w:val="clear" w:color="auto" w:fill="auto"/>
          </w:tcPr>
          <w:p w14:paraId="2D0DE2B2" w14:textId="77777777" w:rsidR="00A44AA5" w:rsidRPr="001F345D" w:rsidRDefault="00A44AA5" w:rsidP="00A44AA5">
            <w:pPr>
              <w:shd w:val="solid" w:color="FFFFFF" w:fill="FFFFFF"/>
              <w:spacing w:before="0"/>
              <w:rPr>
                <w:smallCaps/>
                <w:szCs w:val="24"/>
              </w:rPr>
            </w:pPr>
            <w:bookmarkStart w:id="5" w:name="ddate" w:colFirst="1" w:colLast="1"/>
            <w:bookmarkEnd w:id="3"/>
            <w:bookmarkEnd w:id="4"/>
          </w:p>
        </w:tc>
        <w:tc>
          <w:tcPr>
            <w:tcW w:w="3261" w:type="dxa"/>
          </w:tcPr>
          <w:p w14:paraId="08BE926C" w14:textId="39FF73CC" w:rsidR="00A44AA5" w:rsidRPr="001F345D" w:rsidRDefault="00A44AA5" w:rsidP="00A44AA5">
            <w:pPr>
              <w:spacing w:before="0"/>
              <w:rPr>
                <w:b/>
                <w:bCs/>
                <w:szCs w:val="24"/>
              </w:rPr>
            </w:pPr>
            <w:r w:rsidRPr="001F345D">
              <w:rPr>
                <w:b/>
              </w:rPr>
              <w:t>7 de febrero de 2022</w:t>
            </w:r>
          </w:p>
        </w:tc>
      </w:tr>
      <w:tr w:rsidR="00A44AA5" w:rsidRPr="001F345D" w14:paraId="010B15A6" w14:textId="77777777">
        <w:trPr>
          <w:cantSplit/>
          <w:trHeight w:val="20"/>
        </w:trPr>
        <w:tc>
          <w:tcPr>
            <w:tcW w:w="6912" w:type="dxa"/>
            <w:shd w:val="clear" w:color="auto" w:fill="auto"/>
          </w:tcPr>
          <w:p w14:paraId="39890BB7" w14:textId="77777777" w:rsidR="00A44AA5" w:rsidRPr="001F345D" w:rsidRDefault="00A44AA5" w:rsidP="00A44AA5">
            <w:pPr>
              <w:shd w:val="solid" w:color="FFFFFF" w:fill="FFFFFF"/>
              <w:spacing w:before="0"/>
              <w:rPr>
                <w:smallCaps/>
                <w:szCs w:val="24"/>
              </w:rPr>
            </w:pPr>
            <w:bookmarkStart w:id="6" w:name="dorlang" w:colFirst="1" w:colLast="1"/>
            <w:bookmarkEnd w:id="5"/>
          </w:p>
        </w:tc>
        <w:tc>
          <w:tcPr>
            <w:tcW w:w="3261" w:type="dxa"/>
          </w:tcPr>
          <w:p w14:paraId="59934000" w14:textId="58B93850" w:rsidR="00A44AA5" w:rsidRPr="001F345D" w:rsidRDefault="00A44AA5" w:rsidP="00A44AA5">
            <w:pPr>
              <w:spacing w:before="0"/>
              <w:rPr>
                <w:b/>
                <w:bCs/>
                <w:szCs w:val="24"/>
              </w:rPr>
            </w:pPr>
            <w:r w:rsidRPr="001F345D">
              <w:rPr>
                <w:b/>
              </w:rPr>
              <w:t>Original: inglés</w:t>
            </w:r>
          </w:p>
        </w:tc>
      </w:tr>
      <w:tr w:rsidR="00093EEB" w:rsidRPr="001F345D" w14:paraId="34A167CF" w14:textId="77777777">
        <w:trPr>
          <w:cantSplit/>
        </w:trPr>
        <w:tc>
          <w:tcPr>
            <w:tcW w:w="10173" w:type="dxa"/>
            <w:gridSpan w:val="2"/>
          </w:tcPr>
          <w:p w14:paraId="214A2606" w14:textId="271BB3E5" w:rsidR="00093EEB" w:rsidRPr="001F345D" w:rsidRDefault="00A44AA5">
            <w:pPr>
              <w:pStyle w:val="Source"/>
            </w:pPr>
            <w:bookmarkStart w:id="7" w:name="dsource" w:colFirst="0" w:colLast="0"/>
            <w:bookmarkEnd w:id="1"/>
            <w:bookmarkEnd w:id="6"/>
            <w:r w:rsidRPr="001F345D">
              <w:t>Informe del Secretario General</w:t>
            </w:r>
          </w:p>
        </w:tc>
      </w:tr>
      <w:tr w:rsidR="00093EEB" w:rsidRPr="001F345D" w14:paraId="4EB407B6" w14:textId="77777777">
        <w:trPr>
          <w:cantSplit/>
        </w:trPr>
        <w:tc>
          <w:tcPr>
            <w:tcW w:w="10173" w:type="dxa"/>
            <w:gridSpan w:val="2"/>
          </w:tcPr>
          <w:p w14:paraId="0C2AAB51" w14:textId="77777777" w:rsidR="00A44AA5" w:rsidRPr="001F345D" w:rsidRDefault="00A44AA5" w:rsidP="00A44AA5">
            <w:pPr>
              <w:pStyle w:val="Title1"/>
            </w:pPr>
            <w:bookmarkStart w:id="8" w:name="dtitle1" w:colFirst="0" w:colLast="0"/>
            <w:bookmarkEnd w:id="7"/>
            <w:r w:rsidRPr="001F345D">
              <w:t>EXAMEN ANUAL DE INGRESOS Y GASTOS</w:t>
            </w:r>
          </w:p>
          <w:p w14:paraId="2F1834F3" w14:textId="5BFAF35A" w:rsidR="00093EEB" w:rsidRPr="001F345D" w:rsidRDefault="00A44AA5" w:rsidP="00A44AA5">
            <w:pPr>
              <w:pStyle w:val="Title1"/>
            </w:pPr>
            <w:r w:rsidRPr="001F345D">
              <w:t>MEDIDAS DE EFICIENCIA</w:t>
            </w:r>
          </w:p>
        </w:tc>
      </w:tr>
      <w:bookmarkEnd w:id="8"/>
    </w:tbl>
    <w:p w14:paraId="6B98A080" w14:textId="77777777" w:rsidR="00093EEB" w:rsidRPr="001F345D"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1F345D" w14:paraId="23FDE717"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9524CAE" w14:textId="77777777" w:rsidR="00093EEB" w:rsidRPr="001F345D" w:rsidRDefault="00093EEB">
            <w:pPr>
              <w:pStyle w:val="Headingb"/>
            </w:pPr>
            <w:r w:rsidRPr="001F345D">
              <w:t>Resumen</w:t>
            </w:r>
          </w:p>
          <w:p w14:paraId="51C40D24" w14:textId="77777777" w:rsidR="00A44AA5" w:rsidRPr="001F345D" w:rsidRDefault="00A44AA5" w:rsidP="00A44AA5">
            <w:r w:rsidRPr="001F345D">
              <w:t>El presente documento contiene los elementos esenciales de la ejecución del presupuesto en 2022, con arreglo a lo dispuesto en el número 73 del Convenio de la UIT, en el cual se estipula que el Consejo efectuará un examen anual de los ingresos y gastos.</w:t>
            </w:r>
          </w:p>
          <w:p w14:paraId="4554848E" w14:textId="693911FD" w:rsidR="00093EEB" w:rsidRPr="001F345D" w:rsidRDefault="00A44AA5" w:rsidP="00A44AA5">
            <w:r w:rsidRPr="001F345D">
              <w:t xml:space="preserve">De conformidad con los números 1, 2 y 3 del encarga al Secretario General y a los Directores de las Oficinas de la Decisión 5 (Rev. </w:t>
            </w:r>
            <w:proofErr w:type="spellStart"/>
            <w:r w:rsidRPr="001F345D">
              <w:t>Busán</w:t>
            </w:r>
            <w:proofErr w:type="spellEnd"/>
            <w:r w:rsidRPr="001F345D">
              <w:t xml:space="preserve">, 2014 y Rev. Dubái, 2018), este documento facilita información actualizada sobre la aplicación de las medidas de eficiencia que figuran en el Anexo 2 a la Decisión 5 (Rev. </w:t>
            </w:r>
            <w:proofErr w:type="spellStart"/>
            <w:r w:rsidRPr="001F345D">
              <w:t>Busán</w:t>
            </w:r>
            <w:proofErr w:type="spellEnd"/>
            <w:r w:rsidRPr="001F345D">
              <w:t>, 2014 y Rev. Dubái, 2018).</w:t>
            </w:r>
          </w:p>
          <w:p w14:paraId="566E1127" w14:textId="77777777" w:rsidR="00093EEB" w:rsidRPr="001F345D" w:rsidRDefault="00093EEB">
            <w:pPr>
              <w:pStyle w:val="Headingb"/>
            </w:pPr>
            <w:r w:rsidRPr="001F345D">
              <w:t>Acción solicitada</w:t>
            </w:r>
          </w:p>
          <w:p w14:paraId="07BA44B1" w14:textId="4193C3ED" w:rsidR="00093EEB" w:rsidRPr="001F345D" w:rsidRDefault="00A44AA5" w:rsidP="00A44AA5">
            <w:r w:rsidRPr="001F345D">
              <w:t>Se invita al Consejo a refrendar el presente informe.</w:t>
            </w:r>
          </w:p>
          <w:p w14:paraId="0FE9F32D" w14:textId="77777777" w:rsidR="00093EEB" w:rsidRPr="001F345D" w:rsidRDefault="00093EEB">
            <w:pPr>
              <w:pStyle w:val="Headingb"/>
            </w:pPr>
            <w:r w:rsidRPr="001F345D">
              <w:t>Referencia</w:t>
            </w:r>
          </w:p>
          <w:p w14:paraId="066CCDAE" w14:textId="045F989F" w:rsidR="00A44AA5" w:rsidRPr="001F345D" w:rsidRDefault="007A2173" w:rsidP="00A44AA5">
            <w:pPr>
              <w:spacing w:after="120"/>
              <w:rPr>
                <w:rStyle w:val="Hyperlink"/>
              </w:rPr>
            </w:pPr>
            <w:hyperlink r:id="rId8" w:history="1">
              <w:r w:rsidR="00B12534" w:rsidRPr="001F345D">
                <w:rPr>
                  <w:rStyle w:val="Hyperlink"/>
                </w:rPr>
                <w:t>Resolución 1405 del Consejo –</w:t>
              </w:r>
              <w:r w:rsidR="00A44AA5" w:rsidRPr="001F345D">
                <w:rPr>
                  <w:rStyle w:val="Hyperlink"/>
                </w:rPr>
                <w:t xml:space="preserve"> Presupuesto bienal de la Unión Internacional de Telecomunicaciones para 2022-2023</w:t>
              </w:r>
            </w:hyperlink>
          </w:p>
          <w:p w14:paraId="1D22B3A8" w14:textId="6EEF09A6" w:rsidR="00093EEB" w:rsidRPr="001F345D" w:rsidRDefault="007A2173" w:rsidP="00A44AA5">
            <w:pPr>
              <w:spacing w:after="120"/>
              <w:rPr>
                <w:iCs/>
              </w:rPr>
            </w:pPr>
            <w:hyperlink r:id="rId9" w:history="1">
              <w:r w:rsidR="00A44AA5" w:rsidRPr="001F345D">
                <w:rPr>
                  <w:rStyle w:val="Hyperlink"/>
                </w:rPr>
                <w:t xml:space="preserve">Decisión 5 (Rev. </w:t>
              </w:r>
              <w:proofErr w:type="spellStart"/>
              <w:r w:rsidR="00A44AA5" w:rsidRPr="001F345D">
                <w:rPr>
                  <w:rStyle w:val="Hyperlink"/>
                </w:rPr>
                <w:t>Busán</w:t>
              </w:r>
              <w:proofErr w:type="spellEnd"/>
              <w:r w:rsidR="00A44AA5" w:rsidRPr="001F345D">
                <w:rPr>
                  <w:rStyle w:val="Hyperlink"/>
                </w:rPr>
                <w:t>, 2014)</w:t>
              </w:r>
            </w:hyperlink>
            <w:r w:rsidR="00A44AA5" w:rsidRPr="001F345D">
              <w:rPr>
                <w:i/>
                <w:iCs/>
              </w:rPr>
              <w:t xml:space="preserve"> </w:t>
            </w:r>
            <w:r w:rsidR="00A44AA5" w:rsidRPr="001F345D">
              <w:rPr>
                <w:iCs/>
              </w:rPr>
              <w:t>y</w:t>
            </w:r>
            <w:r w:rsidR="00A44AA5" w:rsidRPr="001F345D">
              <w:rPr>
                <w:rStyle w:val="Hyperlink"/>
              </w:rPr>
              <w:t xml:space="preserve"> </w:t>
            </w:r>
            <w:hyperlink r:id="rId10" w:history="1">
              <w:r w:rsidR="00A44AA5" w:rsidRPr="001F345D">
                <w:rPr>
                  <w:rStyle w:val="Hyperlink"/>
                </w:rPr>
                <w:t>Decisión 5 (Rev. Dubái, 2018)</w:t>
              </w:r>
            </w:hyperlink>
          </w:p>
          <w:p w14:paraId="5752F13F" w14:textId="77777777" w:rsidR="00093EEB" w:rsidRPr="001F345D" w:rsidRDefault="00093EEB">
            <w:pPr>
              <w:spacing w:after="120"/>
              <w:rPr>
                <w:i/>
                <w:iCs/>
              </w:rPr>
            </w:pPr>
          </w:p>
        </w:tc>
      </w:tr>
    </w:tbl>
    <w:p w14:paraId="1EB78F30" w14:textId="0A8D0DA3" w:rsidR="00A44AA5" w:rsidRPr="001F345D" w:rsidRDefault="00A44AA5">
      <w:pPr>
        <w:tabs>
          <w:tab w:val="clear" w:pos="567"/>
          <w:tab w:val="clear" w:pos="1134"/>
          <w:tab w:val="clear" w:pos="1701"/>
          <w:tab w:val="clear" w:pos="2268"/>
          <w:tab w:val="clear" w:pos="2835"/>
        </w:tabs>
        <w:overflowPunct/>
        <w:autoSpaceDE/>
        <w:autoSpaceDN/>
        <w:adjustRightInd/>
        <w:spacing w:before="0"/>
        <w:textAlignment w:val="auto"/>
      </w:pPr>
      <w:r w:rsidRPr="001F345D">
        <w:br w:type="page"/>
      </w:r>
    </w:p>
    <w:p w14:paraId="6127F919" w14:textId="42E6C41E" w:rsidR="00A44AA5" w:rsidRPr="001F345D" w:rsidRDefault="00A44AA5" w:rsidP="00B12534">
      <w:pPr>
        <w:pStyle w:val="Heading1"/>
        <w:tabs>
          <w:tab w:val="clear" w:pos="2268"/>
          <w:tab w:val="clear" w:pos="2835"/>
          <w:tab w:val="center" w:pos="4819"/>
        </w:tabs>
      </w:pPr>
      <w:r w:rsidRPr="001F345D">
        <w:lastRenderedPageBreak/>
        <w:t>1</w:t>
      </w:r>
      <w:r w:rsidRPr="001F345D">
        <w:tab/>
        <w:t>Introducción</w:t>
      </w:r>
    </w:p>
    <w:p w14:paraId="558C2B84" w14:textId="77777777" w:rsidR="00A44AA5" w:rsidRPr="001F345D" w:rsidRDefault="00A44AA5" w:rsidP="00A44AA5">
      <w:r w:rsidRPr="001F345D">
        <w:t>1.1</w:t>
      </w:r>
      <w:r w:rsidRPr="001F345D">
        <w:tab/>
        <w:t>El presente documento tiene por objeto informar sobre el estado de aplicación del primer año del presupuesto de la Unión para el bienio 2022-2023 en lo que respecta a los ingresos y los gastos.</w:t>
      </w:r>
    </w:p>
    <w:p w14:paraId="7D6E5552" w14:textId="77777777" w:rsidR="00A44AA5" w:rsidRPr="001F345D" w:rsidRDefault="00A44AA5" w:rsidP="00A44AA5">
      <w:pPr>
        <w:pStyle w:val="Heading1"/>
      </w:pPr>
      <w:r w:rsidRPr="001F345D">
        <w:t>2</w:t>
      </w:r>
      <w:r w:rsidRPr="001F345D">
        <w:tab/>
        <w:t>Presupuesto de la Unión para 2022-2023 (Resolución 1405)</w:t>
      </w:r>
    </w:p>
    <w:p w14:paraId="0CCC19FC" w14:textId="4DEF4E37" w:rsidR="00A44AA5" w:rsidRPr="001F345D" w:rsidRDefault="00A44AA5" w:rsidP="00A44AA5">
      <w:r w:rsidRPr="001F345D">
        <w:t>2.1</w:t>
      </w:r>
      <w:r w:rsidRPr="001F345D">
        <w:tab/>
        <w:t>En su reunión virtual de 2021 (y posterior consulta), el Consejo adoptó mediante su Resolución 1405 el presupuesto de la Unión para 2022-2023. El presupuesto actualizado asciende a 326 795 000</w:t>
      </w:r>
      <w:r w:rsidR="00524204" w:rsidRPr="001F345D">
        <w:t> </w:t>
      </w:r>
      <w:r w:rsidRPr="001F345D">
        <w:t>CHF para el bienio y se subdivide como sigue: 163</w:t>
      </w:r>
      <w:r w:rsidR="00524204" w:rsidRPr="001F345D">
        <w:t> </w:t>
      </w:r>
      <w:r w:rsidRPr="001F345D">
        <w:t>601</w:t>
      </w:r>
      <w:r w:rsidR="00524204" w:rsidRPr="001F345D">
        <w:t> </w:t>
      </w:r>
      <w:r w:rsidRPr="001F345D">
        <w:t>000</w:t>
      </w:r>
      <w:r w:rsidR="00524204" w:rsidRPr="001F345D">
        <w:t> </w:t>
      </w:r>
      <w:r w:rsidRPr="001F345D">
        <w:t>CHF para 2022 y 163</w:t>
      </w:r>
      <w:r w:rsidR="00524204" w:rsidRPr="001F345D">
        <w:t> </w:t>
      </w:r>
      <w:r w:rsidRPr="001F345D">
        <w:t>194</w:t>
      </w:r>
      <w:r w:rsidR="00524204" w:rsidRPr="001F345D">
        <w:t> </w:t>
      </w:r>
      <w:r w:rsidRPr="001F345D">
        <w:t>000</w:t>
      </w:r>
      <w:r w:rsidR="00524204" w:rsidRPr="001F345D">
        <w:t> </w:t>
      </w:r>
      <w:r w:rsidRPr="001F345D">
        <w:t>CHF para 2023. Se basa en una unidad contributiva anual de los Estados Miembros de 318</w:t>
      </w:r>
      <w:r w:rsidR="002D3F45" w:rsidRPr="001F345D">
        <w:t> </w:t>
      </w:r>
      <w:r w:rsidRPr="001F345D">
        <w:t>000</w:t>
      </w:r>
      <w:r w:rsidR="002D3F45" w:rsidRPr="001F345D">
        <w:t> </w:t>
      </w:r>
      <w:r w:rsidRPr="001F345D">
        <w:t>CHF, lo que corresponde a un crecimiento nominal cero desde 2006. El presupuesto de la Unión se está aplicando de conformidad con el Artículo 10 del Reglamento Financiero y las Reglas Financieras.</w:t>
      </w:r>
    </w:p>
    <w:p w14:paraId="0D0DA14E" w14:textId="2554C4F6" w:rsidR="00A44AA5" w:rsidRPr="001F345D" w:rsidRDefault="00A44AA5" w:rsidP="00A44AA5">
      <w:r w:rsidRPr="001F345D">
        <w:t>2.2</w:t>
      </w:r>
      <w:r w:rsidRPr="001F345D">
        <w:tab/>
        <w:t>El presupuesto correspondiente a 2022 se ha incrementado en 1</w:t>
      </w:r>
      <w:r w:rsidR="00524204" w:rsidRPr="001F345D">
        <w:t> </w:t>
      </w:r>
      <w:r w:rsidRPr="001F345D">
        <w:t>640</w:t>
      </w:r>
      <w:r w:rsidR="00524204" w:rsidRPr="001F345D">
        <w:t> </w:t>
      </w:r>
      <w:r w:rsidRPr="001F345D">
        <w:t>000</w:t>
      </w:r>
      <w:r w:rsidR="002D3F45" w:rsidRPr="001F345D">
        <w:t> </w:t>
      </w:r>
      <w:r w:rsidRPr="001F345D">
        <w:t>CHF debido al aplazamiento de la Conferencia Mundial de Desarrollo de las Telecomunicaciones (CMDT) y de la Reunión Interregional (RIR) para la preparación de la CMDT de 2021 a 2022. El presupuesto actualizado para 2022 asciende a 163</w:t>
      </w:r>
      <w:r w:rsidR="00524204" w:rsidRPr="001F345D">
        <w:t> </w:t>
      </w:r>
      <w:r w:rsidRPr="001F345D">
        <w:t>601</w:t>
      </w:r>
      <w:r w:rsidR="00524204" w:rsidRPr="001F345D">
        <w:t> </w:t>
      </w:r>
      <w:r w:rsidRPr="001F345D">
        <w:t>000 CHF.</w:t>
      </w:r>
    </w:p>
    <w:p w14:paraId="6050D245" w14:textId="59588024" w:rsidR="00A44AA5" w:rsidRPr="001F345D" w:rsidRDefault="00A44AA5" w:rsidP="00A44AA5">
      <w:r w:rsidRPr="001F345D">
        <w:t>2.3</w:t>
      </w:r>
      <w:r w:rsidRPr="001F345D">
        <w:tab/>
        <w:t>En los Cuadros 1 y 2 siguientes se muestra la situación del presupuesto para 2022, con indicación de los gastos e ingresos al 31 de enero de 2022 y una previsión de ingresos y gastos hasta el 31 de diciembre de 2022. Las previsiones preliminares para 2022 muestran un resultado equilibrado.</w:t>
      </w:r>
    </w:p>
    <w:p w14:paraId="3338C13E" w14:textId="0CC50FBA" w:rsidR="00A6065A" w:rsidRPr="001F345D" w:rsidRDefault="00A6065A" w:rsidP="00A6065A">
      <w:pPr>
        <w:pStyle w:val="Tabletitle"/>
        <w:spacing w:before="240" w:after="0"/>
      </w:pPr>
      <w:r w:rsidRPr="001F345D">
        <w:t>Cuadro 1 – Estado financiero al 31 de enero de 2022</w:t>
      </w:r>
    </w:p>
    <w:p w14:paraId="5046B60B" w14:textId="1BA3EFBD" w:rsidR="007955DA" w:rsidRPr="001F345D" w:rsidRDefault="00ED081A" w:rsidP="00ED081A">
      <w:pPr>
        <w:jc w:val="center"/>
      </w:pPr>
      <w:r w:rsidRPr="00ED081A">
        <w:rPr>
          <w:noProof/>
        </w:rPr>
        <w:drawing>
          <wp:inline distT="0" distB="0" distL="0" distR="0" wp14:anchorId="7B30F29C" wp14:editId="4E76FEDD">
            <wp:extent cx="6048000" cy="211262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8000" cy="2112628"/>
                    </a:xfrm>
                    <a:prstGeom prst="rect">
                      <a:avLst/>
                    </a:prstGeom>
                  </pic:spPr>
                </pic:pic>
              </a:graphicData>
            </a:graphic>
          </wp:inline>
        </w:drawing>
      </w:r>
    </w:p>
    <w:p w14:paraId="119AE865" w14:textId="3D6AD537" w:rsidR="00ED35FC" w:rsidRPr="001F345D" w:rsidRDefault="00ED35FC">
      <w:pPr>
        <w:tabs>
          <w:tab w:val="clear" w:pos="567"/>
          <w:tab w:val="clear" w:pos="1134"/>
          <w:tab w:val="clear" w:pos="1701"/>
          <w:tab w:val="clear" w:pos="2268"/>
          <w:tab w:val="clear" w:pos="2835"/>
        </w:tabs>
        <w:overflowPunct/>
        <w:autoSpaceDE/>
        <w:autoSpaceDN/>
        <w:adjustRightInd/>
        <w:spacing w:before="0"/>
        <w:textAlignment w:val="auto"/>
      </w:pPr>
      <w:r w:rsidRPr="001F345D">
        <w:br w:type="page"/>
      </w:r>
    </w:p>
    <w:p w14:paraId="468284F5" w14:textId="2C4F4911" w:rsidR="00A6065A" w:rsidRPr="001F345D" w:rsidRDefault="00A6065A" w:rsidP="00A6065A">
      <w:pPr>
        <w:pStyle w:val="Tabletitle"/>
        <w:spacing w:after="0"/>
      </w:pPr>
      <w:r w:rsidRPr="001F345D">
        <w:lastRenderedPageBreak/>
        <w:t>Cuadro 2 – Estado financiero al 31 de enero de 2022</w:t>
      </w:r>
    </w:p>
    <w:p w14:paraId="619F1DF8" w14:textId="09EF3409" w:rsidR="00ED35FC" w:rsidRPr="001F345D" w:rsidRDefault="007A2173" w:rsidP="00B12534">
      <w:pPr>
        <w:jc w:val="center"/>
        <w:rPr>
          <w:noProof/>
        </w:rPr>
      </w:pPr>
      <w:r w:rsidRPr="007A2173">
        <w:drawing>
          <wp:inline distT="0" distB="0" distL="0" distR="0" wp14:anchorId="38ABF757" wp14:editId="330793C6">
            <wp:extent cx="4860000" cy="2886555"/>
            <wp:effectExtent l="0" t="0" r="0" b="952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60000" cy="2886555"/>
                    </a:xfrm>
                    <a:prstGeom prst="rect">
                      <a:avLst/>
                    </a:prstGeom>
                  </pic:spPr>
                </pic:pic>
              </a:graphicData>
            </a:graphic>
          </wp:inline>
        </w:drawing>
      </w:r>
    </w:p>
    <w:p w14:paraId="1E14EF14" w14:textId="77777777" w:rsidR="00ED35FC" w:rsidRPr="001F345D" w:rsidRDefault="00ED35FC" w:rsidP="00ED35FC">
      <w:pPr>
        <w:pStyle w:val="Heading1"/>
      </w:pPr>
      <w:r w:rsidRPr="001F345D">
        <w:t>3</w:t>
      </w:r>
      <w:r w:rsidRPr="001F345D">
        <w:tab/>
        <w:t>Ingresos</w:t>
      </w:r>
    </w:p>
    <w:p w14:paraId="24248BD0" w14:textId="77777777" w:rsidR="00ED35FC" w:rsidRPr="001F345D" w:rsidRDefault="00ED35FC" w:rsidP="00ED35FC">
      <w:r w:rsidRPr="001F345D">
        <w:t>3.1</w:t>
      </w:r>
      <w:r w:rsidRPr="001F345D">
        <w:tab/>
        <w:t xml:space="preserve">Los ingresos de la Unión proceden de las contribuciones previstas, la recuperación de costes, los intereses y otros tipos de ingresos y los ahorros realizados en la ejecución del presupuesto. Se estima que el déficit de ingresos para 2022 ascienda a 3,7 millones CHF. </w:t>
      </w:r>
    </w:p>
    <w:p w14:paraId="6228C185" w14:textId="3EC75265" w:rsidR="00ED35FC" w:rsidRPr="001F345D" w:rsidRDefault="00ED35FC" w:rsidP="00ED35FC">
      <w:r w:rsidRPr="001F345D">
        <w:t>3.2</w:t>
      </w:r>
      <w:r w:rsidRPr="001F345D">
        <w:tab/>
        <w:t>Los ingresos en concepto de contribuciones previstas representan un 77% de los ingresos totales presupuestados para 2022. Incluyen las contribuciones de los Estados Miembros, Miembros de Sector, Asociados e Instituciones Académicas. En el Cuadro 3 se muestra el desglose de las contribuciones previstas.</w:t>
      </w:r>
    </w:p>
    <w:p w14:paraId="7FB0BA77" w14:textId="003EF0DA" w:rsidR="00A6065A" w:rsidRPr="001F345D" w:rsidRDefault="00A6065A" w:rsidP="00A6065A">
      <w:pPr>
        <w:pStyle w:val="Tabletitle"/>
        <w:spacing w:before="240" w:after="0"/>
      </w:pPr>
      <w:r w:rsidRPr="001F345D">
        <w:t>Cuadro 3 – Contribuciones previstas al 31 de enero de 2022</w:t>
      </w:r>
    </w:p>
    <w:p w14:paraId="421FA8BC" w14:textId="69C489CD" w:rsidR="00ED35FC" w:rsidRPr="001F345D" w:rsidRDefault="007A2173" w:rsidP="00B12534">
      <w:pPr>
        <w:jc w:val="center"/>
      </w:pPr>
      <w:r w:rsidRPr="007A2173">
        <w:drawing>
          <wp:inline distT="0" distB="0" distL="0" distR="0" wp14:anchorId="33E760E7" wp14:editId="7F570748">
            <wp:extent cx="5004000" cy="2579939"/>
            <wp:effectExtent l="0" t="0" r="635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04000" cy="2579939"/>
                    </a:xfrm>
                    <a:prstGeom prst="rect">
                      <a:avLst/>
                    </a:prstGeom>
                  </pic:spPr>
                </pic:pic>
              </a:graphicData>
            </a:graphic>
          </wp:inline>
        </w:drawing>
      </w:r>
    </w:p>
    <w:p w14:paraId="6CA9ACCB" w14:textId="6B950CFF" w:rsidR="00ED35FC" w:rsidRPr="001F345D" w:rsidRDefault="00ED35FC" w:rsidP="00ED35FC">
      <w:r w:rsidRPr="001F345D">
        <w:t>3.3</w:t>
      </w:r>
      <w:r w:rsidRPr="001F345D">
        <w:tab/>
        <w:t>El importe de la unidad contributiva anual para 2022-2023 se fija en 318</w:t>
      </w:r>
      <w:r w:rsidR="002D3F45" w:rsidRPr="001F345D">
        <w:t> </w:t>
      </w:r>
      <w:r w:rsidRPr="001F345D">
        <w:t>000</w:t>
      </w:r>
      <w:r w:rsidR="002D3F45" w:rsidRPr="001F345D">
        <w:t> </w:t>
      </w:r>
      <w:r w:rsidRPr="001F345D">
        <w:t xml:space="preserve">CHF. Al 31 de enero de 2022, los ingresos facturados totales procedentes de los Estados Miembros se sitúan en los niveles presupuestados. </w:t>
      </w:r>
    </w:p>
    <w:p w14:paraId="4456CD93" w14:textId="0CC512D2" w:rsidR="00ED35FC" w:rsidRPr="001F345D" w:rsidRDefault="00ED35FC" w:rsidP="00ED35FC">
      <w:r w:rsidRPr="001F345D">
        <w:lastRenderedPageBreak/>
        <w:t>3.4</w:t>
      </w:r>
      <w:r w:rsidRPr="001F345D">
        <w:tab/>
        <w:t>Para 2022, el importe de la unidad contributiva anual de los Miembros de Sector se fija en 63</w:t>
      </w:r>
      <w:r w:rsidR="002D3F45" w:rsidRPr="001F345D">
        <w:t> </w:t>
      </w:r>
      <w:r w:rsidRPr="001F345D">
        <w:t>600</w:t>
      </w:r>
      <w:r w:rsidR="002D3F45" w:rsidRPr="001F345D">
        <w:t> </w:t>
      </w:r>
      <w:r w:rsidRPr="001F345D">
        <w:t>CHF, y en 10</w:t>
      </w:r>
      <w:r w:rsidR="002D3F45" w:rsidRPr="001F345D">
        <w:t> </w:t>
      </w:r>
      <w:r w:rsidRPr="001F345D">
        <w:t>600</w:t>
      </w:r>
      <w:r w:rsidR="002D3F45" w:rsidRPr="001F345D">
        <w:t> </w:t>
      </w:r>
      <w:r w:rsidRPr="001F345D">
        <w:t>CHF para los Asociados. Al 31 de enero de 2022 los ingresos totales facturados procedentes de los Miembros de Sector son superiores a los ingresos presupuestados en 124</w:t>
      </w:r>
      <w:r w:rsidR="002D3F45" w:rsidRPr="001F345D">
        <w:t> </w:t>
      </w:r>
      <w:r w:rsidRPr="001F345D">
        <w:t>000</w:t>
      </w:r>
      <w:r w:rsidR="002D3F45" w:rsidRPr="001F345D">
        <w:t> </w:t>
      </w:r>
      <w:r w:rsidRPr="001F345D">
        <w:t>CHF. Los ingresos facturados de los Asociados son inferiores a los ingresos presupuestados en 50</w:t>
      </w:r>
      <w:r w:rsidR="002D3F45" w:rsidRPr="001F345D">
        <w:t> </w:t>
      </w:r>
      <w:r w:rsidRPr="001F345D">
        <w:t>000</w:t>
      </w:r>
      <w:r w:rsidR="002D3F45" w:rsidRPr="001F345D">
        <w:t> </w:t>
      </w:r>
      <w:r w:rsidRPr="001F345D">
        <w:t>CHF. Los ingresos facturados de las Instituciones Académicas superan los ingresos presupuestados en 8</w:t>
      </w:r>
      <w:r w:rsidR="002D3F45" w:rsidRPr="001F345D">
        <w:t> </w:t>
      </w:r>
      <w:r w:rsidRPr="001F345D">
        <w:t>000</w:t>
      </w:r>
      <w:r w:rsidR="002D3F45" w:rsidRPr="001F345D">
        <w:t> </w:t>
      </w:r>
      <w:r w:rsidRPr="001F345D">
        <w:t>CHF.</w:t>
      </w:r>
    </w:p>
    <w:p w14:paraId="5119548C" w14:textId="29FB83AC" w:rsidR="00ED35FC" w:rsidRPr="001F345D" w:rsidRDefault="00ED35FC" w:rsidP="00ED35FC">
      <w:r w:rsidRPr="001F345D">
        <w:t>3.5</w:t>
      </w:r>
      <w:r w:rsidRPr="001F345D">
        <w:tab/>
        <w:t>Los ingresos en concepto de recuperación de costes representan el 20,5% de los ingresos totales presupuestados. El desglose figura en el Cuadro 4. Los ingresos por recuperación de costes probablemente serán inferiores al importe presupuestado para 2022 (3,7</w:t>
      </w:r>
      <w:r w:rsidR="002D3F45" w:rsidRPr="001F345D">
        <w:t> </w:t>
      </w:r>
      <w:r w:rsidRPr="001F345D">
        <w:t>millones</w:t>
      </w:r>
      <w:r w:rsidR="002D3F45" w:rsidRPr="001F345D">
        <w:t> </w:t>
      </w:r>
      <w:r w:rsidRPr="001F345D">
        <w:t>CHF).</w:t>
      </w:r>
    </w:p>
    <w:p w14:paraId="5D2324B3" w14:textId="261075EA" w:rsidR="00ED35FC" w:rsidRPr="001F345D" w:rsidRDefault="00ED35FC" w:rsidP="00ED35FC">
      <w:r w:rsidRPr="001F345D">
        <w:t>3.6</w:t>
      </w:r>
      <w:r w:rsidRPr="001F345D">
        <w:tab/>
        <w:t>Se procederá a la detracción de un importe de 3</w:t>
      </w:r>
      <w:r w:rsidR="002D3F45" w:rsidRPr="001F345D">
        <w:t> </w:t>
      </w:r>
      <w:r w:rsidRPr="001F345D">
        <w:t>109</w:t>
      </w:r>
      <w:r w:rsidR="002D3F45" w:rsidRPr="001F345D">
        <w:t> </w:t>
      </w:r>
      <w:r w:rsidRPr="001F345D">
        <w:t>000</w:t>
      </w:r>
      <w:r w:rsidR="002D3F45" w:rsidRPr="001F345D">
        <w:t> </w:t>
      </w:r>
      <w:r w:rsidRPr="001F345D">
        <w:t>CHF de la Cuenta de Provisión debido al aplazamiento de la Asamblea Mundial de Normalización de las Telecomunicaciones (AMNT) de 2020 a 2022 y al aplazamiento de la CMDT de 2021 a 2022. Esa misma cuantía se acreditó a la Cuenta de Provisión a finales de 2020 para la AMNT y a finales de 2021 para la CMDT, por lo que no habrá incidencia financiera alguna en el nivel de la Cuenta de Provisión.</w:t>
      </w:r>
    </w:p>
    <w:p w14:paraId="60886182" w14:textId="19A831E0" w:rsidR="00F70251" w:rsidRPr="001F345D" w:rsidRDefault="00F70251" w:rsidP="00F70251">
      <w:pPr>
        <w:pStyle w:val="Tabletitle"/>
        <w:spacing w:before="240" w:after="0"/>
      </w:pPr>
      <w:r w:rsidRPr="001F345D">
        <w:t>Cuadro 4 – Ingresos en concepto de recuperación de costes al 31 de enero de 2022</w:t>
      </w:r>
    </w:p>
    <w:bookmarkStart w:id="9" w:name="_MON_1649835312"/>
    <w:bookmarkEnd w:id="9"/>
    <w:p w14:paraId="089E9F68" w14:textId="6F482FFA" w:rsidR="00ED35FC" w:rsidRPr="001F345D" w:rsidRDefault="007A2173" w:rsidP="00F70251">
      <w:pPr>
        <w:jc w:val="center"/>
      </w:pPr>
      <w:r w:rsidRPr="001F345D">
        <w:object w:dxaOrig="9949" w:dyaOrig="5518" w14:anchorId="791A9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26.8pt;height:236.75pt" o:ole="">
            <v:imagedata r:id="rId14" o:title=""/>
          </v:shape>
          <o:OLEObject Type="Embed" ProgID="Excel.Sheet.12" ShapeID="_x0000_i1037" DrawAspect="Content" ObjectID="_1743403359" r:id="rId15"/>
        </w:object>
      </w:r>
    </w:p>
    <w:p w14:paraId="043905FB" w14:textId="074A87FB" w:rsidR="00ED35FC" w:rsidRPr="001F345D" w:rsidRDefault="00ED35FC" w:rsidP="00ED35FC">
      <w:r w:rsidRPr="001F345D">
        <w:t>3.7</w:t>
      </w:r>
      <w:r w:rsidRPr="001F345D">
        <w:tab/>
        <w:t>Se calcula que el total conjunto de los demás ingresos y de los ingresos por concepto de intereses se sitúe en sus niveles presupuestados acumulados para 2022.</w:t>
      </w:r>
    </w:p>
    <w:p w14:paraId="1AA72F60" w14:textId="77777777" w:rsidR="00ED35FC" w:rsidRPr="001F345D" w:rsidRDefault="00ED35FC" w:rsidP="00ED35FC">
      <w:pPr>
        <w:pStyle w:val="Heading1"/>
      </w:pPr>
      <w:r w:rsidRPr="001F345D">
        <w:t>4</w:t>
      </w:r>
      <w:r w:rsidRPr="001F345D">
        <w:tab/>
        <w:t>Gastos</w:t>
      </w:r>
    </w:p>
    <w:p w14:paraId="1AD12A67" w14:textId="435E06E8" w:rsidR="00ED35FC" w:rsidRPr="001F345D" w:rsidRDefault="00ED35FC" w:rsidP="00ED35FC">
      <w:r w:rsidRPr="001F345D">
        <w:t>4.1</w:t>
      </w:r>
      <w:r w:rsidRPr="001F345D">
        <w:tab/>
        <w:t>En lo que respecta a los gastos, se están aplicando continuamente medidas y esfuerzos para incrementar la eficiencia a fin de cumplir lo dispuesto en la Resolución 1405. El objetivo es mantener los gastos dentro de lo presupuestado al final del ejercicio de 2022. La aplicación de medidas de eficiencia, así como las consecuencias de la pandemia de COVID-19, generarán créditos no utilizados por una cuantía estimada de unos 3,7</w:t>
      </w:r>
      <w:r w:rsidR="002D3F45" w:rsidRPr="001F345D">
        <w:t> </w:t>
      </w:r>
      <w:r w:rsidRPr="001F345D">
        <w:t>millones</w:t>
      </w:r>
      <w:r w:rsidR="002D3F45" w:rsidRPr="001F345D">
        <w:t> </w:t>
      </w:r>
      <w:r w:rsidRPr="001F345D">
        <w:t>CHF para 2022.</w:t>
      </w:r>
    </w:p>
    <w:p w14:paraId="6554718E" w14:textId="77777777" w:rsidR="00ED35FC" w:rsidRPr="001F345D" w:rsidRDefault="00ED35FC" w:rsidP="00ED35FC">
      <w:pPr>
        <w:pStyle w:val="Heading1"/>
      </w:pPr>
      <w:r w:rsidRPr="001F345D">
        <w:lastRenderedPageBreak/>
        <w:t>5</w:t>
      </w:r>
      <w:r w:rsidRPr="001F345D">
        <w:tab/>
        <w:t>Medidas de eficiencia</w:t>
      </w:r>
    </w:p>
    <w:p w14:paraId="73954101" w14:textId="3C365591" w:rsidR="00ED35FC" w:rsidRPr="001F345D" w:rsidRDefault="00ED35FC" w:rsidP="00ED35FC">
      <w:r w:rsidRPr="001F345D">
        <w:t>5.1</w:t>
      </w:r>
      <w:r w:rsidRPr="001F345D">
        <w:tab/>
        <w:t>Las medidas que debían aplicarse en los bienios 2014-2015, 2016-2017 y 2018-2019 se presentaron al Consejo en los Documentos C15/45, C16/45, C17/45, C18/45, C19/45 y C20/9. Estas medidas permitieron lograr ahorros que totalizaron 57,6 millones CHF en el per</w:t>
      </w:r>
      <w:r w:rsidR="002D3F45" w:rsidRPr="001F345D">
        <w:t>i</w:t>
      </w:r>
      <w:r w:rsidRPr="001F345D">
        <w:t>odo 2014</w:t>
      </w:r>
      <w:r w:rsidR="002D3F45" w:rsidRPr="001F345D">
        <w:noBreakHyphen/>
      </w:r>
      <w:r w:rsidRPr="001F345D">
        <w:t>2019.</w:t>
      </w:r>
    </w:p>
    <w:p w14:paraId="3FEBBD32" w14:textId="77777777" w:rsidR="00ED35FC" w:rsidRPr="001F345D" w:rsidRDefault="00ED35FC" w:rsidP="00ED35FC">
      <w:r w:rsidRPr="001F345D">
        <w:t>5.2</w:t>
      </w:r>
      <w:r w:rsidRPr="001F345D">
        <w:tab/>
        <w:t xml:space="preserve">En el Cuadro A se presentan los ahorros derivados de cada una de las 30 medidas de eficiencia identificadas en el Anexo 2 a la Decisión 5 (Rev. </w:t>
      </w:r>
      <w:proofErr w:type="spellStart"/>
      <w:r w:rsidRPr="001F345D">
        <w:t>Busán</w:t>
      </w:r>
      <w:proofErr w:type="spellEnd"/>
      <w:r w:rsidRPr="001F345D">
        <w:t>, 2014) para el periodo 2014-2019.</w:t>
      </w:r>
    </w:p>
    <w:p w14:paraId="65160D4B" w14:textId="745817CA" w:rsidR="00ED35FC" w:rsidRPr="001F345D" w:rsidRDefault="00ED35FC" w:rsidP="00A47CBA">
      <w:r w:rsidRPr="001F345D">
        <w:t>5.3</w:t>
      </w:r>
      <w:r w:rsidRPr="001F345D">
        <w:tab/>
        <w:t>En el Cuadro B se presentan los ahorros previstos y reales c</w:t>
      </w:r>
      <w:r w:rsidR="00A6065A" w:rsidRPr="001F345D">
        <w:t>on arreglo a cada una de las 27 </w:t>
      </w:r>
      <w:r w:rsidRPr="001F345D">
        <w:t>medidas destinadas a mejorar la eficiencia del Anexo 2 a la Decisión 5 (Rev. Dubái, 2018) para el periodo 2020-2023. Dichas medidas se analizarán con mayor detenimiento durante la ejecución del presupuesto, momento en que podrán proporcionarse cálculos más precisos de los ahorros logrados gracias a algunas de esas medidas.</w:t>
      </w:r>
    </w:p>
    <w:p w14:paraId="62A1A571" w14:textId="29F369CD" w:rsidR="00ED35FC" w:rsidRPr="001F345D" w:rsidRDefault="00ED35FC" w:rsidP="00F70251">
      <w:pPr>
        <w:pStyle w:val="TableNo"/>
      </w:pPr>
      <w:r w:rsidRPr="001F345D">
        <w:lastRenderedPageBreak/>
        <w:t>CUADRO A</w:t>
      </w:r>
    </w:p>
    <w:p w14:paraId="42D23D64" w14:textId="33D52594" w:rsidR="00ED35FC" w:rsidRPr="001F345D" w:rsidRDefault="007A2173" w:rsidP="00ED35FC">
      <w:pPr>
        <w:jc w:val="center"/>
      </w:pPr>
      <w:r w:rsidRPr="001F345D">
        <w:rPr>
          <w:noProof/>
          <w:lang w:eastAsia="es-ES_tradnl"/>
        </w:rPr>
        <w:drawing>
          <wp:inline distT="0" distB="0" distL="0" distR="0" wp14:anchorId="130F661A" wp14:editId="05D5594F">
            <wp:extent cx="6120765" cy="7334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7334451"/>
                    </a:xfrm>
                    <a:prstGeom prst="rect">
                      <a:avLst/>
                    </a:prstGeom>
                    <a:noFill/>
                  </pic:spPr>
                </pic:pic>
              </a:graphicData>
            </a:graphic>
          </wp:inline>
        </w:drawing>
      </w:r>
    </w:p>
    <w:p w14:paraId="067C8798" w14:textId="77777777" w:rsidR="00F70251" w:rsidRPr="001F345D" w:rsidRDefault="00F70251" w:rsidP="00ED35FC">
      <w:pPr>
        <w:jc w:val="center"/>
      </w:pPr>
    </w:p>
    <w:p w14:paraId="2C286C6A" w14:textId="25D3DD60" w:rsidR="00A47CBA" w:rsidRPr="001F345D" w:rsidRDefault="00A47CBA" w:rsidP="00A47CBA">
      <w:pPr>
        <w:tabs>
          <w:tab w:val="clear" w:pos="567"/>
          <w:tab w:val="clear" w:pos="1134"/>
          <w:tab w:val="clear" w:pos="1701"/>
          <w:tab w:val="clear" w:pos="2268"/>
          <w:tab w:val="clear" w:pos="2835"/>
        </w:tabs>
        <w:overflowPunct/>
        <w:autoSpaceDE/>
        <w:autoSpaceDN/>
        <w:adjustRightInd/>
        <w:spacing w:before="0"/>
        <w:textAlignment w:val="auto"/>
      </w:pPr>
      <w:r w:rsidRPr="001F345D">
        <w:br w:type="page"/>
      </w:r>
    </w:p>
    <w:p w14:paraId="4D81BDF5" w14:textId="64F0469F" w:rsidR="00ED35FC" w:rsidRPr="001F345D" w:rsidRDefault="00ED35FC" w:rsidP="00F70251">
      <w:pPr>
        <w:pStyle w:val="TableNo"/>
      </w:pPr>
      <w:r w:rsidRPr="001F345D">
        <w:lastRenderedPageBreak/>
        <w:t>CUADRO B</w:t>
      </w:r>
    </w:p>
    <w:p w14:paraId="70D23CB7" w14:textId="726B055A" w:rsidR="00ED35FC" w:rsidRPr="001F345D" w:rsidRDefault="007A2173" w:rsidP="00ED35FC">
      <w:pPr>
        <w:jc w:val="center"/>
        <w:rPr>
          <w:rFonts w:asciiTheme="minorHAnsi" w:hAnsiTheme="minorHAnsi" w:cstheme="minorHAnsi"/>
        </w:rPr>
      </w:pPr>
      <w:bookmarkStart w:id="10" w:name="_GoBack"/>
      <w:r w:rsidRPr="007A2173">
        <w:drawing>
          <wp:inline distT="0" distB="0" distL="0" distR="0" wp14:anchorId="0D746E5B" wp14:editId="515FD2E4">
            <wp:extent cx="6120765" cy="7499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0765" cy="7499985"/>
                    </a:xfrm>
                    <a:prstGeom prst="rect">
                      <a:avLst/>
                    </a:prstGeom>
                    <a:noFill/>
                    <a:ln>
                      <a:noFill/>
                    </a:ln>
                  </pic:spPr>
                </pic:pic>
              </a:graphicData>
            </a:graphic>
          </wp:inline>
        </w:drawing>
      </w:r>
      <w:bookmarkEnd w:id="10"/>
    </w:p>
    <w:p w14:paraId="067567F9" w14:textId="77777777" w:rsidR="00ED35FC" w:rsidRPr="001F345D" w:rsidRDefault="00ED35FC" w:rsidP="00411C49">
      <w:pPr>
        <w:pStyle w:val="Reasons"/>
      </w:pPr>
    </w:p>
    <w:p w14:paraId="736C6FAC" w14:textId="22051CB0" w:rsidR="00ED35FC" w:rsidRPr="001F345D" w:rsidRDefault="00ED35FC" w:rsidP="00ED35FC">
      <w:pPr>
        <w:jc w:val="center"/>
      </w:pPr>
      <w:r w:rsidRPr="001F345D">
        <w:t>______________</w:t>
      </w:r>
    </w:p>
    <w:sectPr w:rsidR="00ED35FC" w:rsidRPr="001F345D" w:rsidSect="006710F6">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D3ACB" w14:textId="77777777" w:rsidR="00B57CB9" w:rsidRDefault="00B57CB9">
      <w:r>
        <w:separator/>
      </w:r>
    </w:p>
  </w:endnote>
  <w:endnote w:type="continuationSeparator" w:id="0">
    <w:p w14:paraId="6DCC16C1" w14:textId="77777777" w:rsidR="00B57CB9" w:rsidRDefault="00B5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8D42" w14:textId="05D1DA0A" w:rsidR="00760F1C" w:rsidRDefault="00AC3A94" w:rsidP="00082ADA">
    <w:pPr>
      <w:pStyle w:val="Footer"/>
      <w:rPr>
        <w:lang w:val="en-US"/>
      </w:rPr>
    </w:pPr>
    <w:fldSimple w:instr=" FILENAME \p  \* MERGEFORMAT ">
      <w:r w:rsidR="00082ADA">
        <w:t>P:\ESP\SG\CONSEIL\C22\000\009S.docx</w:t>
      </w:r>
    </w:fldSimple>
    <w:r w:rsidR="00082ADA">
      <w:t xml:space="preserve"> (498277)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16CF" w14:textId="2D2C05DB" w:rsidR="00760F1C" w:rsidRDefault="00760F1C">
    <w:pPr>
      <w:spacing w:after="120"/>
      <w:jc w:val="center"/>
    </w:pPr>
    <w:r>
      <w:t xml:space="preserve">• </w:t>
    </w:r>
    <w:hyperlink r:id="rId1" w:history="1">
      <w:r>
        <w:rPr>
          <w:rStyle w:val="Hyperlink"/>
        </w:rPr>
        <w:t>http://www.itu.int/council</w:t>
      </w:r>
    </w:hyperlink>
    <w:r>
      <w:t xml:space="preserve"> •</w:t>
    </w:r>
  </w:p>
  <w:p w14:paraId="0CE97EE0" w14:textId="3A80A41C" w:rsidR="009175A7" w:rsidRPr="009175A7" w:rsidRDefault="00AC3A94" w:rsidP="009175A7">
    <w:pPr>
      <w:pStyle w:val="Footer"/>
      <w:rPr>
        <w:lang w:val="en-US"/>
      </w:rPr>
    </w:pPr>
    <w:fldSimple w:instr=" FILENAME \p  \* MERGEFORMAT ">
      <w:r w:rsidR="009175A7">
        <w:t>P:\ESP\SG\CONSEIL\C22\000\009S.docx</w:t>
      </w:r>
    </w:fldSimple>
    <w:r w:rsidR="009175A7">
      <w:t xml:space="preserve"> (498277)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1913" w14:textId="77777777" w:rsidR="00B57CB9" w:rsidRDefault="00B57CB9">
      <w:r>
        <w:t>____________________</w:t>
      </w:r>
    </w:p>
  </w:footnote>
  <w:footnote w:type="continuationSeparator" w:id="0">
    <w:p w14:paraId="46C824B2" w14:textId="77777777" w:rsidR="00B57CB9" w:rsidRDefault="00B5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3D6FC" w14:textId="6A24BF9A" w:rsidR="00760F1C" w:rsidRDefault="000B7C15" w:rsidP="007657F0">
    <w:pPr>
      <w:pStyle w:val="Header"/>
    </w:pPr>
    <w:r>
      <w:fldChar w:fldCharType="begin"/>
    </w:r>
    <w:r>
      <w:instrText>PAGE</w:instrText>
    </w:r>
    <w:r>
      <w:fldChar w:fldCharType="separate"/>
    </w:r>
    <w:r w:rsidR="001F345D">
      <w:rPr>
        <w:noProof/>
      </w:rPr>
      <w:t>7</w:t>
    </w:r>
    <w:r>
      <w:rPr>
        <w:noProof/>
      </w:rPr>
      <w:fldChar w:fldCharType="end"/>
    </w:r>
  </w:p>
  <w:p w14:paraId="432B723D" w14:textId="012BA3D3" w:rsidR="00760F1C" w:rsidRDefault="00760F1C" w:rsidP="00C2727F">
    <w:pPr>
      <w:pStyle w:val="Header"/>
    </w:pPr>
    <w:r>
      <w:t>C</w:t>
    </w:r>
    <w:r w:rsidR="007955DA">
      <w:t>2</w:t>
    </w:r>
    <w:r w:rsidR="00D50A36">
      <w:t>2</w:t>
    </w:r>
    <w:r w:rsidR="00B12534">
      <w:t>/9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2ED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4C3A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E83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88C7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064C2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42AD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00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E02B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8EF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06AE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B9"/>
    <w:rsid w:val="000007D1"/>
    <w:rsid w:val="00015E12"/>
    <w:rsid w:val="00082ADA"/>
    <w:rsid w:val="00093EEB"/>
    <w:rsid w:val="000B0D00"/>
    <w:rsid w:val="000B7C15"/>
    <w:rsid w:val="000D1D0F"/>
    <w:rsid w:val="000F5290"/>
    <w:rsid w:val="0010165C"/>
    <w:rsid w:val="00146BFB"/>
    <w:rsid w:val="00157E8A"/>
    <w:rsid w:val="001F14A2"/>
    <w:rsid w:val="001F345D"/>
    <w:rsid w:val="002801AA"/>
    <w:rsid w:val="002C4676"/>
    <w:rsid w:val="002C70B0"/>
    <w:rsid w:val="002D3F45"/>
    <w:rsid w:val="002F3CC4"/>
    <w:rsid w:val="00387408"/>
    <w:rsid w:val="00513630"/>
    <w:rsid w:val="00524204"/>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A2173"/>
    <w:rsid w:val="007E5DD3"/>
    <w:rsid w:val="007F350B"/>
    <w:rsid w:val="00820BE4"/>
    <w:rsid w:val="008451E8"/>
    <w:rsid w:val="00913B9C"/>
    <w:rsid w:val="009175A7"/>
    <w:rsid w:val="00956E77"/>
    <w:rsid w:val="009F4811"/>
    <w:rsid w:val="00A44AA5"/>
    <w:rsid w:val="00A47CBA"/>
    <w:rsid w:val="00A6065A"/>
    <w:rsid w:val="00AA390C"/>
    <w:rsid w:val="00AC3A94"/>
    <w:rsid w:val="00B0200A"/>
    <w:rsid w:val="00B12534"/>
    <w:rsid w:val="00B574DB"/>
    <w:rsid w:val="00B57CB9"/>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E06947"/>
    <w:rsid w:val="00E248C5"/>
    <w:rsid w:val="00E3592D"/>
    <w:rsid w:val="00E92DE8"/>
    <w:rsid w:val="00EB1212"/>
    <w:rsid w:val="00ED081A"/>
    <w:rsid w:val="00ED35FC"/>
    <w:rsid w:val="00ED65AB"/>
    <w:rsid w:val="00F12850"/>
    <w:rsid w:val="00F33BF4"/>
    <w:rsid w:val="00F70251"/>
    <w:rsid w:val="00F7105E"/>
    <w:rsid w:val="00F75F57"/>
    <w:rsid w:val="00F82FEE"/>
    <w:rsid w:val="00F9078C"/>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B5013EA"/>
  <w15:docId w15:val="{1660567B-6891-4623-A95F-D5472292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A44AA5"/>
    <w:rPr>
      <w:color w:val="605E5C"/>
      <w:shd w:val="clear" w:color="auto" w:fill="E1DFDD"/>
    </w:rPr>
  </w:style>
  <w:style w:type="paragraph" w:customStyle="1" w:styleId="Heading10">
    <w:name w:val="Heading_1"/>
    <w:basedOn w:val="Normal"/>
    <w:rsid w:val="00A44AA5"/>
    <w:pPr>
      <w:tabs>
        <w:tab w:val="clear" w:pos="567"/>
        <w:tab w:val="clear" w:pos="1134"/>
        <w:tab w:val="clear" w:pos="1701"/>
        <w:tab w:val="clear" w:pos="2268"/>
        <w:tab w:val="clear" w:pos="2835"/>
      </w:tabs>
      <w:overflowPunct/>
      <w:autoSpaceDE/>
      <w:autoSpaceDN/>
      <w:adjustRightInd/>
      <w:spacing w:before="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1-CL-C-0097/es"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package" Target="embeddings/Microsoft_Excel_Worksheet.xlsx"/><Relationship Id="rId10" Type="http://schemas.openxmlformats.org/officeDocument/2006/relationships/hyperlink" Target="https://www.itu.int/en/council/Documents/basic-texts/DEC-005-S.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pub/S-CONF-ACTF-2014/es"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18</TotalTime>
  <Pages>7</Pages>
  <Words>1081</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6654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5</cp:revision>
  <cp:lastPrinted>2006-03-24T09:51:00Z</cp:lastPrinted>
  <dcterms:created xsi:type="dcterms:W3CDTF">2023-04-19T07:08:00Z</dcterms:created>
  <dcterms:modified xsi:type="dcterms:W3CDTF">2023-04-19T07:53:00Z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