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67574F26" w:rsidR="002A2188" w:rsidRPr="00813E5E" w:rsidRDefault="002A2188" w:rsidP="00B84B9D">
            <w:pPr>
              <w:spacing w:before="360" w:after="48" w:line="240" w:lineRule="atLeast"/>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4A1B8B">
            <w:pPr>
              <w:spacing w:before="0" w:line="240" w:lineRule="atLeast"/>
            </w:pPr>
            <w:bookmarkStart w:id="2" w:name="ditulogo"/>
            <w:bookmarkEnd w:id="2"/>
            <w:r>
              <w:rPr>
                <w:noProof/>
                <w:lang w:val="en-US"/>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14634F">
            <w:pPr>
              <w:spacing w:before="0" w:line="240" w:lineRule="atLeast"/>
              <w:rPr>
                <w:b/>
                <w:smallCaps/>
                <w:szCs w:val="24"/>
              </w:rPr>
            </w:pPr>
          </w:p>
        </w:tc>
        <w:tc>
          <w:tcPr>
            <w:tcW w:w="3120" w:type="dxa"/>
            <w:tcBorders>
              <w:bottom w:val="single" w:sz="12" w:space="0" w:color="auto"/>
            </w:tcBorders>
          </w:tcPr>
          <w:p w14:paraId="76506FC1" w14:textId="77777777" w:rsidR="002A2188" w:rsidRPr="00813E5E" w:rsidRDefault="002A2188" w:rsidP="0014634F">
            <w:pPr>
              <w:spacing w:before="0" w:line="240" w:lineRule="atLeast"/>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14634F">
            <w:pPr>
              <w:spacing w:before="0" w:line="240" w:lineRule="atLeast"/>
              <w:rPr>
                <w:b/>
                <w:smallCaps/>
                <w:szCs w:val="24"/>
              </w:rPr>
            </w:pPr>
          </w:p>
        </w:tc>
        <w:tc>
          <w:tcPr>
            <w:tcW w:w="3120" w:type="dxa"/>
            <w:tcBorders>
              <w:top w:val="single" w:sz="12" w:space="0" w:color="auto"/>
            </w:tcBorders>
          </w:tcPr>
          <w:p w14:paraId="49C653C0" w14:textId="77777777" w:rsidR="002A2188" w:rsidRPr="00813E5E" w:rsidRDefault="002A2188" w:rsidP="0014634F">
            <w:pPr>
              <w:spacing w:before="0" w:line="240" w:lineRule="atLeast"/>
              <w:rPr>
                <w:szCs w:val="24"/>
              </w:rPr>
            </w:pPr>
          </w:p>
        </w:tc>
      </w:tr>
      <w:tr w:rsidR="002A2188" w:rsidRPr="00813E5E" w14:paraId="15B0AE9E" w14:textId="77777777" w:rsidTr="00464B6C">
        <w:trPr>
          <w:cantSplit/>
          <w:trHeight w:val="23"/>
        </w:trPr>
        <w:tc>
          <w:tcPr>
            <w:tcW w:w="6911" w:type="dxa"/>
            <w:vMerge w:val="restart"/>
          </w:tcPr>
          <w:p w14:paraId="6F107B8A" w14:textId="3A527CF7" w:rsidR="002A2188" w:rsidRPr="00E85629" w:rsidRDefault="0014634F" w:rsidP="0014634F">
            <w:pPr>
              <w:tabs>
                <w:tab w:val="left" w:pos="851"/>
              </w:tabs>
              <w:spacing w:before="0" w:line="240" w:lineRule="atLeast"/>
              <w:rPr>
                <w:b/>
              </w:rPr>
            </w:pPr>
            <w:bookmarkStart w:id="3" w:name="dmeeting" w:colFirst="0" w:colLast="0"/>
            <w:bookmarkStart w:id="4" w:name="dnum" w:colFirst="1" w:colLast="1"/>
            <w:r w:rsidRPr="00952D44">
              <w:rPr>
                <w:b/>
              </w:rPr>
              <w:t>Agenda item:</w:t>
            </w:r>
            <w:r w:rsidR="00952D44">
              <w:t xml:space="preserve"> </w:t>
            </w:r>
            <w:r w:rsidR="00952D44" w:rsidRPr="00952D44">
              <w:rPr>
                <w:b/>
              </w:rPr>
              <w:t xml:space="preserve">PL </w:t>
            </w:r>
            <w:r w:rsidR="00952D44">
              <w:rPr>
                <w:b/>
              </w:rPr>
              <w:t>1.9</w:t>
            </w:r>
          </w:p>
        </w:tc>
        <w:tc>
          <w:tcPr>
            <w:tcW w:w="3120" w:type="dxa"/>
          </w:tcPr>
          <w:p w14:paraId="66604129" w14:textId="379ED35A" w:rsidR="002A2188" w:rsidRPr="00E85629" w:rsidRDefault="002A2188" w:rsidP="0014634F">
            <w:pPr>
              <w:tabs>
                <w:tab w:val="left" w:pos="851"/>
              </w:tabs>
              <w:spacing w:before="0" w:line="240" w:lineRule="atLeast"/>
              <w:rPr>
                <w:b/>
              </w:rPr>
            </w:pPr>
            <w:r>
              <w:rPr>
                <w:b/>
              </w:rPr>
              <w:t>Document C</w:t>
            </w:r>
            <w:r w:rsidR="004A1B8B">
              <w:rPr>
                <w:b/>
              </w:rPr>
              <w:t>2</w:t>
            </w:r>
            <w:r w:rsidR="0014634F">
              <w:rPr>
                <w:b/>
              </w:rPr>
              <w:t>2</w:t>
            </w:r>
            <w:r>
              <w:rPr>
                <w:b/>
              </w:rPr>
              <w:t>/</w:t>
            </w:r>
            <w:r w:rsidR="00C925C6" w:rsidRPr="00A0797C">
              <w:rPr>
                <w:b/>
              </w:rPr>
              <w:t>6</w:t>
            </w:r>
            <w:r>
              <w:rPr>
                <w:b/>
              </w:rPr>
              <w:t>-E</w:t>
            </w:r>
          </w:p>
        </w:tc>
      </w:tr>
      <w:tr w:rsidR="002A2188" w:rsidRPr="00813E5E" w14:paraId="275E195F" w14:textId="77777777" w:rsidTr="00464B6C">
        <w:trPr>
          <w:cantSplit/>
          <w:trHeight w:val="23"/>
        </w:trPr>
        <w:tc>
          <w:tcPr>
            <w:tcW w:w="6911" w:type="dxa"/>
            <w:vMerge/>
          </w:tcPr>
          <w:p w14:paraId="3627AC61" w14:textId="77777777" w:rsidR="002A2188" w:rsidRPr="00813E5E" w:rsidRDefault="002A2188" w:rsidP="0014634F">
            <w:pPr>
              <w:tabs>
                <w:tab w:val="left" w:pos="851"/>
              </w:tabs>
              <w:spacing w:before="0" w:line="240" w:lineRule="atLeast"/>
              <w:rPr>
                <w:b/>
              </w:rPr>
            </w:pPr>
            <w:bookmarkStart w:id="5" w:name="ddate" w:colFirst="1" w:colLast="1"/>
            <w:bookmarkEnd w:id="3"/>
            <w:bookmarkEnd w:id="4"/>
          </w:p>
        </w:tc>
        <w:tc>
          <w:tcPr>
            <w:tcW w:w="3120" w:type="dxa"/>
          </w:tcPr>
          <w:p w14:paraId="2B0CDBEF" w14:textId="788F96F3" w:rsidR="002A2188" w:rsidRPr="00E85629" w:rsidRDefault="00F55B2D" w:rsidP="0014634F">
            <w:pPr>
              <w:tabs>
                <w:tab w:val="left" w:pos="993"/>
              </w:tabs>
              <w:spacing w:before="0"/>
              <w:rPr>
                <w:b/>
              </w:rPr>
            </w:pPr>
            <w:r>
              <w:rPr>
                <w:b/>
              </w:rPr>
              <w:t>9</w:t>
            </w:r>
            <w:r w:rsidR="00BD764F">
              <w:rPr>
                <w:b/>
              </w:rPr>
              <w:t xml:space="preserve"> December</w:t>
            </w:r>
            <w:r w:rsidR="002A2188">
              <w:rPr>
                <w:b/>
              </w:rPr>
              <w:t xml:space="preserve"> 20</w:t>
            </w:r>
            <w:r w:rsidR="004A1B8B">
              <w:rPr>
                <w:b/>
              </w:rPr>
              <w:t>2</w:t>
            </w:r>
            <w:r w:rsidR="0014634F">
              <w:rPr>
                <w:b/>
              </w:rPr>
              <w:t>1</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14634F">
            <w:pPr>
              <w:tabs>
                <w:tab w:val="left" w:pos="851"/>
              </w:tabs>
              <w:spacing w:before="0" w:line="240" w:lineRule="atLeast"/>
              <w:rPr>
                <w:b/>
              </w:rPr>
            </w:pPr>
            <w:bookmarkStart w:id="6" w:name="dorlang" w:colFirst="1" w:colLast="1"/>
            <w:bookmarkEnd w:id="5"/>
          </w:p>
        </w:tc>
        <w:tc>
          <w:tcPr>
            <w:tcW w:w="3120" w:type="dxa"/>
          </w:tcPr>
          <w:p w14:paraId="7EAC0E79" w14:textId="77777777" w:rsidR="002A2188" w:rsidRPr="00E85629" w:rsidRDefault="002A2188" w:rsidP="0014634F">
            <w:pPr>
              <w:tabs>
                <w:tab w:val="left" w:pos="993"/>
              </w:tabs>
              <w:spacing w:before="0"/>
              <w:rPr>
                <w:b/>
              </w:rPr>
            </w:pPr>
            <w:r>
              <w:rPr>
                <w:b/>
              </w:rPr>
              <w:t>Original: English</w:t>
            </w:r>
          </w:p>
        </w:tc>
      </w:tr>
      <w:tr w:rsidR="002A2188" w:rsidRPr="00813E5E" w14:paraId="79546A94" w14:textId="77777777" w:rsidTr="00464B6C">
        <w:trPr>
          <w:cantSplit/>
        </w:trPr>
        <w:tc>
          <w:tcPr>
            <w:tcW w:w="10031" w:type="dxa"/>
            <w:gridSpan w:val="2"/>
          </w:tcPr>
          <w:p w14:paraId="7EEA3085" w14:textId="2DEEB841" w:rsidR="002A2188" w:rsidRPr="00813E5E" w:rsidRDefault="0014634F" w:rsidP="00464B6C">
            <w:pPr>
              <w:pStyle w:val="Source"/>
            </w:pPr>
            <w:bookmarkStart w:id="7" w:name="dsource" w:colFirst="0" w:colLast="0"/>
            <w:bookmarkEnd w:id="6"/>
            <w:r w:rsidRPr="0014634F">
              <w:t>Report by the Secretary-General</w:t>
            </w:r>
          </w:p>
        </w:tc>
      </w:tr>
      <w:tr w:rsidR="002A2188" w:rsidRPr="00813E5E" w14:paraId="5B5E8CC5" w14:textId="77777777" w:rsidTr="00464B6C">
        <w:trPr>
          <w:cantSplit/>
        </w:trPr>
        <w:tc>
          <w:tcPr>
            <w:tcW w:w="10031" w:type="dxa"/>
            <w:gridSpan w:val="2"/>
          </w:tcPr>
          <w:p w14:paraId="3689B12B" w14:textId="3B5C53FE" w:rsidR="002A2188" w:rsidRPr="00813E5E" w:rsidRDefault="00CA55CB" w:rsidP="00464B6C">
            <w:pPr>
              <w:pStyle w:val="Title1"/>
            </w:pPr>
            <w:bookmarkStart w:id="8" w:name="dtitle1" w:colFirst="0" w:colLast="0"/>
            <w:bookmarkEnd w:id="7"/>
            <w:r>
              <w:t>ITU’S ACTIVITIES RELATED TO RESOLUTION 70 (REV. Dubai, 2018)</w:t>
            </w:r>
          </w:p>
        </w:tc>
      </w:tr>
      <w:bookmarkEnd w:id="8"/>
    </w:tbl>
    <w:p w14:paraId="554B4CB6"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1DF07826" w14:textId="77777777" w:rsidTr="00EF63EE">
        <w:trPr>
          <w:trHeight w:val="4771"/>
        </w:trPr>
        <w:tc>
          <w:tcPr>
            <w:tcW w:w="8080" w:type="dxa"/>
            <w:tcBorders>
              <w:top w:val="single" w:sz="12" w:space="0" w:color="auto"/>
              <w:left w:val="single" w:sz="12" w:space="0" w:color="auto"/>
              <w:bottom w:val="single" w:sz="12" w:space="0" w:color="auto"/>
              <w:right w:val="single" w:sz="12" w:space="0" w:color="auto"/>
            </w:tcBorders>
          </w:tcPr>
          <w:p w14:paraId="44CAD894" w14:textId="77777777" w:rsidR="002A2188" w:rsidRPr="00085A79" w:rsidRDefault="002A2188" w:rsidP="00464B6C">
            <w:pPr>
              <w:pStyle w:val="Headingb"/>
              <w:rPr>
                <w:szCs w:val="24"/>
              </w:rPr>
            </w:pPr>
            <w:r w:rsidRPr="00085A79">
              <w:rPr>
                <w:szCs w:val="24"/>
              </w:rPr>
              <w:t>Summary</w:t>
            </w:r>
          </w:p>
          <w:p w14:paraId="352A3B89" w14:textId="34731F27" w:rsidR="00D45432" w:rsidRPr="00085A79" w:rsidRDefault="00D45432" w:rsidP="00D45432">
            <w:pPr>
              <w:spacing w:after="120"/>
              <w:jc w:val="both"/>
              <w:rPr>
                <w:szCs w:val="24"/>
              </w:rPr>
            </w:pPr>
            <w:r w:rsidRPr="00085A79">
              <w:rPr>
                <w:szCs w:val="24"/>
              </w:rPr>
              <w:t>This document summarizes ITU’s activities related to the implementation of Resolution 70 (Rev. Dubai, 2018) since the last report to Council.</w:t>
            </w:r>
            <w:r w:rsidR="00E33EA3" w:rsidRPr="00085A79">
              <w:rPr>
                <w:szCs w:val="24"/>
              </w:rPr>
              <w:t xml:space="preserve"> </w:t>
            </w:r>
            <w:r w:rsidR="00BF0B73" w:rsidRPr="00085A79">
              <w:rPr>
                <w:szCs w:val="24"/>
              </w:rPr>
              <w:t>As Annex 1, th</w:t>
            </w:r>
            <w:r w:rsidR="005336B8" w:rsidRPr="00085A79">
              <w:rPr>
                <w:szCs w:val="24"/>
              </w:rPr>
              <w:t>is</w:t>
            </w:r>
            <w:r w:rsidR="00BF0B73" w:rsidRPr="00085A79">
              <w:rPr>
                <w:szCs w:val="24"/>
              </w:rPr>
              <w:t xml:space="preserve"> document </w:t>
            </w:r>
            <w:r w:rsidR="0038199E" w:rsidRPr="00085A79">
              <w:rPr>
                <w:szCs w:val="24"/>
              </w:rPr>
              <w:t xml:space="preserve">also </w:t>
            </w:r>
            <w:r w:rsidR="000D3FEF" w:rsidRPr="00085A79">
              <w:rPr>
                <w:szCs w:val="24"/>
              </w:rPr>
              <w:t>updates the</w:t>
            </w:r>
            <w:r w:rsidR="00CB3DFE" w:rsidRPr="00085A79">
              <w:rPr>
                <w:szCs w:val="24"/>
              </w:rPr>
              <w:t xml:space="preserve"> </w:t>
            </w:r>
            <w:r w:rsidR="00591BA2" w:rsidRPr="00085A79">
              <w:rPr>
                <w:szCs w:val="24"/>
              </w:rPr>
              <w:t xml:space="preserve">ITU Gender Equality </w:t>
            </w:r>
            <w:r w:rsidR="00AA2F54" w:rsidRPr="00085A79">
              <w:rPr>
                <w:szCs w:val="24"/>
              </w:rPr>
              <w:t>and</w:t>
            </w:r>
            <w:r w:rsidR="00591BA2" w:rsidRPr="00085A79">
              <w:rPr>
                <w:szCs w:val="24"/>
              </w:rPr>
              <w:t xml:space="preserve"> Mainstreaming </w:t>
            </w:r>
            <w:r w:rsidR="00AA2F54" w:rsidRPr="00085A79">
              <w:rPr>
                <w:szCs w:val="24"/>
              </w:rPr>
              <w:t xml:space="preserve">(GEM) </w:t>
            </w:r>
            <w:r w:rsidR="00591BA2" w:rsidRPr="00085A79">
              <w:rPr>
                <w:szCs w:val="24"/>
              </w:rPr>
              <w:t>Policy</w:t>
            </w:r>
            <w:r w:rsidR="000D3FEF" w:rsidRPr="00085A79">
              <w:rPr>
                <w:szCs w:val="24"/>
              </w:rPr>
              <w:t xml:space="preserve"> endorsed by Council</w:t>
            </w:r>
            <w:r w:rsidR="00F55B2D" w:rsidRPr="00085A79">
              <w:rPr>
                <w:szCs w:val="24"/>
              </w:rPr>
              <w:t>-</w:t>
            </w:r>
            <w:r w:rsidR="000D3FEF" w:rsidRPr="00085A79">
              <w:rPr>
                <w:szCs w:val="24"/>
              </w:rPr>
              <w:t>13</w:t>
            </w:r>
            <w:r w:rsidR="0038199E" w:rsidRPr="00085A79">
              <w:rPr>
                <w:szCs w:val="24"/>
              </w:rPr>
              <w:t>.</w:t>
            </w:r>
            <w:r w:rsidR="00591BA2" w:rsidRPr="00085A79">
              <w:rPr>
                <w:szCs w:val="24"/>
              </w:rPr>
              <w:t xml:space="preserve"> </w:t>
            </w:r>
          </w:p>
          <w:p w14:paraId="17A30379" w14:textId="77777777" w:rsidR="002A2188" w:rsidRPr="00085A79" w:rsidRDefault="002A2188" w:rsidP="00464B6C">
            <w:pPr>
              <w:pStyle w:val="Headingb"/>
              <w:rPr>
                <w:szCs w:val="24"/>
              </w:rPr>
            </w:pPr>
            <w:r w:rsidRPr="00085A79">
              <w:rPr>
                <w:szCs w:val="24"/>
              </w:rPr>
              <w:t>Action required</w:t>
            </w:r>
          </w:p>
          <w:p w14:paraId="4E02565C" w14:textId="243E8125" w:rsidR="00D21096" w:rsidRPr="00085A79" w:rsidRDefault="00D21096" w:rsidP="00D21096">
            <w:pPr>
              <w:spacing w:after="120"/>
              <w:jc w:val="both"/>
              <w:rPr>
                <w:szCs w:val="24"/>
              </w:rPr>
            </w:pPr>
            <w:r w:rsidRPr="00085A79">
              <w:rPr>
                <w:szCs w:val="24"/>
              </w:rPr>
              <w:t xml:space="preserve">The Council is invited </w:t>
            </w:r>
            <w:r w:rsidRPr="00085A79">
              <w:rPr>
                <w:b/>
                <w:bCs/>
                <w:szCs w:val="24"/>
              </w:rPr>
              <w:t>to note</w:t>
            </w:r>
            <w:r w:rsidRPr="00085A79">
              <w:rPr>
                <w:szCs w:val="24"/>
              </w:rPr>
              <w:t xml:space="preserve"> this report a</w:t>
            </w:r>
            <w:r w:rsidR="0038199E" w:rsidRPr="00085A79">
              <w:rPr>
                <w:szCs w:val="24"/>
              </w:rPr>
              <w:t xml:space="preserve">nd </w:t>
            </w:r>
            <w:r w:rsidR="0038199E" w:rsidRPr="00085A79">
              <w:rPr>
                <w:b/>
                <w:bCs/>
                <w:szCs w:val="24"/>
              </w:rPr>
              <w:t xml:space="preserve">to </w:t>
            </w:r>
            <w:r w:rsidR="00AC1CF2" w:rsidRPr="00085A79">
              <w:rPr>
                <w:b/>
                <w:bCs/>
                <w:szCs w:val="24"/>
              </w:rPr>
              <w:t>endorse</w:t>
            </w:r>
            <w:r w:rsidR="00AC1CF2" w:rsidRPr="00085A79">
              <w:rPr>
                <w:szCs w:val="24"/>
              </w:rPr>
              <w:t xml:space="preserve"> </w:t>
            </w:r>
            <w:r w:rsidR="0038199E" w:rsidRPr="00085A79">
              <w:rPr>
                <w:szCs w:val="24"/>
              </w:rPr>
              <w:t xml:space="preserve">the </w:t>
            </w:r>
            <w:r w:rsidR="00453544" w:rsidRPr="00085A79">
              <w:rPr>
                <w:szCs w:val="24"/>
              </w:rPr>
              <w:t xml:space="preserve">draft </w:t>
            </w:r>
            <w:r w:rsidR="00CA4BF3" w:rsidRPr="00085A79">
              <w:rPr>
                <w:szCs w:val="24"/>
              </w:rPr>
              <w:t xml:space="preserve">ITU Gender Equality </w:t>
            </w:r>
            <w:r w:rsidR="00AA2F54" w:rsidRPr="00085A79">
              <w:rPr>
                <w:szCs w:val="24"/>
              </w:rPr>
              <w:t>and</w:t>
            </w:r>
            <w:r w:rsidR="00CA4BF3" w:rsidRPr="00085A79">
              <w:rPr>
                <w:szCs w:val="24"/>
              </w:rPr>
              <w:t xml:space="preserve"> Mainstreaming </w:t>
            </w:r>
            <w:r w:rsidR="00AA2F54" w:rsidRPr="00085A79">
              <w:rPr>
                <w:szCs w:val="24"/>
              </w:rPr>
              <w:t xml:space="preserve">(GEM) </w:t>
            </w:r>
            <w:r w:rsidR="00CA4BF3" w:rsidRPr="00085A79">
              <w:rPr>
                <w:szCs w:val="24"/>
              </w:rPr>
              <w:t xml:space="preserve">Policy in </w:t>
            </w:r>
            <w:hyperlink w:anchor="Annex1" w:history="1">
              <w:r w:rsidR="00CA4BF3" w:rsidRPr="00085A79">
                <w:rPr>
                  <w:rStyle w:val="Hyperlink"/>
                  <w:szCs w:val="24"/>
                </w:rPr>
                <w:t>Annex 1</w:t>
              </w:r>
            </w:hyperlink>
            <w:r w:rsidR="00CA4BF3" w:rsidRPr="00085A79">
              <w:rPr>
                <w:szCs w:val="24"/>
              </w:rPr>
              <w:t>.</w:t>
            </w:r>
          </w:p>
          <w:p w14:paraId="3098B3AD" w14:textId="77777777" w:rsidR="002A2188" w:rsidRPr="00085A79" w:rsidRDefault="002A2188" w:rsidP="00464B6C">
            <w:pPr>
              <w:pStyle w:val="Table"/>
              <w:keepNext w:val="0"/>
              <w:spacing w:before="0" w:after="0"/>
              <w:rPr>
                <w:rFonts w:ascii="Calibri" w:hAnsi="Calibri"/>
                <w:caps w:val="0"/>
                <w:szCs w:val="24"/>
              </w:rPr>
            </w:pPr>
            <w:r w:rsidRPr="00085A79">
              <w:rPr>
                <w:rFonts w:ascii="Calibri" w:hAnsi="Calibri"/>
                <w:caps w:val="0"/>
                <w:szCs w:val="24"/>
              </w:rPr>
              <w:t>____________</w:t>
            </w:r>
          </w:p>
          <w:p w14:paraId="6D31B914" w14:textId="77777777" w:rsidR="002A2188" w:rsidRPr="00085A79" w:rsidRDefault="002A2188" w:rsidP="00464B6C">
            <w:pPr>
              <w:pStyle w:val="Headingb"/>
              <w:rPr>
                <w:szCs w:val="24"/>
              </w:rPr>
            </w:pPr>
            <w:r w:rsidRPr="00085A79">
              <w:rPr>
                <w:szCs w:val="24"/>
              </w:rPr>
              <w:t>References</w:t>
            </w:r>
          </w:p>
          <w:p w14:paraId="47763C34" w14:textId="1BA62094" w:rsidR="002A2188" w:rsidRPr="00085A79" w:rsidRDefault="00AE3041" w:rsidP="00085A79">
            <w:pPr>
              <w:spacing w:after="120"/>
              <w:rPr>
                <w:i/>
                <w:iCs/>
                <w:szCs w:val="24"/>
              </w:rPr>
            </w:pPr>
            <w:r w:rsidRPr="00085A79">
              <w:rPr>
                <w:i/>
                <w:iCs/>
                <w:szCs w:val="24"/>
              </w:rPr>
              <w:t xml:space="preserve">PP </w:t>
            </w:r>
            <w:hyperlink r:id="rId12" w:history="1">
              <w:r w:rsidRPr="00085A79">
                <w:rPr>
                  <w:rStyle w:val="Hyperlink"/>
                  <w:i/>
                  <w:iCs/>
                  <w:szCs w:val="24"/>
                </w:rPr>
                <w:t>Resolution 70 (Rev. Dubai, 2018)</w:t>
              </w:r>
            </w:hyperlink>
            <w:r w:rsidRPr="00085A79">
              <w:rPr>
                <w:i/>
                <w:iCs/>
                <w:szCs w:val="24"/>
              </w:rPr>
              <w:t xml:space="preserve">; Council documents </w:t>
            </w:r>
            <w:hyperlink r:id="rId13" w:history="1">
              <w:r w:rsidR="00850E25" w:rsidRPr="00085A79">
                <w:rPr>
                  <w:rStyle w:val="Hyperlink"/>
                  <w:i/>
                  <w:iCs/>
                  <w:szCs w:val="24"/>
                </w:rPr>
                <w:t>C13/39</w:t>
              </w:r>
            </w:hyperlink>
            <w:r w:rsidRPr="00085A79">
              <w:rPr>
                <w:i/>
                <w:iCs/>
                <w:szCs w:val="24"/>
              </w:rPr>
              <w:t xml:space="preserve">, </w:t>
            </w:r>
            <w:hyperlink r:id="rId14" w:history="1">
              <w:r w:rsidR="007970E6" w:rsidRPr="00085A79">
                <w:rPr>
                  <w:rStyle w:val="Hyperlink"/>
                  <w:i/>
                  <w:iCs/>
                  <w:szCs w:val="24"/>
                </w:rPr>
                <w:t>C14/6</w:t>
              </w:r>
            </w:hyperlink>
            <w:r w:rsidRPr="00085A79">
              <w:rPr>
                <w:rStyle w:val="Hyperlink"/>
                <w:i/>
                <w:iCs/>
                <w:szCs w:val="24"/>
              </w:rPr>
              <w:t xml:space="preserve">, </w:t>
            </w:r>
            <w:hyperlink r:id="rId15" w:history="1">
              <w:r w:rsidR="008A119B" w:rsidRPr="00085A79">
                <w:rPr>
                  <w:rStyle w:val="Hyperlink"/>
                  <w:i/>
                  <w:iCs/>
                  <w:szCs w:val="24"/>
                </w:rPr>
                <w:t>C15/6</w:t>
              </w:r>
            </w:hyperlink>
            <w:r w:rsidRPr="00085A79">
              <w:rPr>
                <w:szCs w:val="24"/>
              </w:rPr>
              <w:t xml:space="preserve">, </w:t>
            </w:r>
            <w:hyperlink r:id="rId16" w:history="1">
              <w:r w:rsidR="001039F4" w:rsidRPr="00085A79">
                <w:rPr>
                  <w:rStyle w:val="Hyperlink"/>
                  <w:i/>
                  <w:iCs/>
                  <w:szCs w:val="24"/>
                </w:rPr>
                <w:t>C16/6</w:t>
              </w:r>
            </w:hyperlink>
            <w:r w:rsidRPr="00085A79">
              <w:rPr>
                <w:szCs w:val="24"/>
              </w:rPr>
              <w:t>,</w:t>
            </w:r>
            <w:r w:rsidRPr="00085A79">
              <w:rPr>
                <w:rStyle w:val="Hyperlink"/>
                <w:i/>
                <w:iCs/>
                <w:szCs w:val="24"/>
              </w:rPr>
              <w:t xml:space="preserve"> </w:t>
            </w:r>
            <w:hyperlink r:id="rId17" w:history="1">
              <w:r w:rsidR="00217942" w:rsidRPr="00085A79">
                <w:rPr>
                  <w:rStyle w:val="Hyperlink"/>
                  <w:i/>
                  <w:iCs/>
                  <w:szCs w:val="24"/>
                </w:rPr>
                <w:t>C17/6</w:t>
              </w:r>
            </w:hyperlink>
            <w:r w:rsidRPr="00085A79">
              <w:rPr>
                <w:rStyle w:val="Hyperlink"/>
                <w:i/>
                <w:iCs/>
                <w:szCs w:val="24"/>
                <w:u w:val="none"/>
              </w:rPr>
              <w:t xml:space="preserve">, </w:t>
            </w:r>
            <w:hyperlink r:id="rId18" w:history="1">
              <w:r w:rsidR="008C70A4" w:rsidRPr="00085A79">
                <w:rPr>
                  <w:rStyle w:val="Hyperlink"/>
                  <w:i/>
                  <w:iCs/>
                  <w:szCs w:val="24"/>
                </w:rPr>
                <w:t>C18/6</w:t>
              </w:r>
            </w:hyperlink>
            <w:r w:rsidRPr="00085A79">
              <w:rPr>
                <w:rStyle w:val="Hyperlink"/>
                <w:i/>
                <w:iCs/>
                <w:szCs w:val="24"/>
                <w:u w:val="none"/>
              </w:rPr>
              <w:t xml:space="preserve">, </w:t>
            </w:r>
            <w:hyperlink r:id="rId19" w:history="1">
              <w:r w:rsidR="00F30A7E" w:rsidRPr="00085A79">
                <w:rPr>
                  <w:rStyle w:val="Hyperlink"/>
                  <w:i/>
                  <w:iCs/>
                  <w:szCs w:val="24"/>
                </w:rPr>
                <w:t>C19/6</w:t>
              </w:r>
            </w:hyperlink>
            <w:r w:rsidRPr="00085A79">
              <w:rPr>
                <w:rStyle w:val="Hyperlink"/>
                <w:i/>
                <w:iCs/>
                <w:szCs w:val="24"/>
                <w:u w:val="none"/>
              </w:rPr>
              <w:t xml:space="preserve">, </w:t>
            </w:r>
            <w:hyperlink r:id="rId20" w:history="1">
              <w:r w:rsidR="00A72EFD" w:rsidRPr="00085A79">
                <w:rPr>
                  <w:rStyle w:val="Hyperlink"/>
                  <w:i/>
                  <w:iCs/>
                  <w:szCs w:val="24"/>
                </w:rPr>
                <w:t>C20/6</w:t>
              </w:r>
            </w:hyperlink>
            <w:r w:rsidRPr="00085A79">
              <w:rPr>
                <w:rStyle w:val="Hyperlink"/>
                <w:i/>
                <w:iCs/>
                <w:szCs w:val="24"/>
                <w:u w:val="none"/>
              </w:rPr>
              <w:t xml:space="preserve">, </w:t>
            </w:r>
            <w:hyperlink r:id="rId21" w:history="1">
              <w:r w:rsidR="00E47DE6" w:rsidRPr="00085A79">
                <w:rPr>
                  <w:rStyle w:val="Hyperlink"/>
                  <w:i/>
                  <w:iCs/>
                  <w:szCs w:val="24"/>
                </w:rPr>
                <w:t>C21/6</w:t>
              </w:r>
            </w:hyperlink>
            <w:r w:rsidR="003426D6" w:rsidRPr="00085A79">
              <w:rPr>
                <w:rStyle w:val="Hyperlink"/>
                <w:i/>
                <w:iCs/>
                <w:szCs w:val="24"/>
                <w:u w:val="none"/>
              </w:rPr>
              <w:t xml:space="preserve">, </w:t>
            </w:r>
            <w:hyperlink r:id="rId22" w:history="1">
              <w:r w:rsidR="009967E9" w:rsidRPr="00085A79">
                <w:rPr>
                  <w:rStyle w:val="Hyperlink"/>
                  <w:i/>
                  <w:iCs/>
                  <w:szCs w:val="24"/>
                </w:rPr>
                <w:t>C13/INF/11</w:t>
              </w:r>
            </w:hyperlink>
            <w:r w:rsidR="00961CFF" w:rsidRPr="00085A79">
              <w:rPr>
                <w:i/>
                <w:iCs/>
                <w:szCs w:val="24"/>
              </w:rPr>
              <w:t xml:space="preserve">, </w:t>
            </w:r>
            <w:hyperlink r:id="rId23" w:history="1">
              <w:r w:rsidR="009D4AFC" w:rsidRPr="00085A79">
                <w:rPr>
                  <w:rStyle w:val="Hyperlink"/>
                  <w:i/>
                  <w:iCs/>
                  <w:szCs w:val="24"/>
                </w:rPr>
                <w:t>C18/INF/3</w:t>
              </w:r>
            </w:hyperlink>
            <w:r w:rsidRPr="00085A79">
              <w:rPr>
                <w:rStyle w:val="Hyperlink"/>
                <w:i/>
                <w:iCs/>
                <w:szCs w:val="24"/>
                <w:u w:val="none"/>
              </w:rPr>
              <w:t xml:space="preserve">, </w:t>
            </w:r>
            <w:hyperlink r:id="rId24" w:history="1">
              <w:r w:rsidRPr="00085A79">
                <w:rPr>
                  <w:rStyle w:val="Hyperlink"/>
                  <w:i/>
                  <w:iCs/>
                  <w:szCs w:val="24"/>
                </w:rPr>
                <w:t>C19/INF/2</w:t>
              </w:r>
            </w:hyperlink>
            <w:r w:rsidRPr="00085A79">
              <w:rPr>
                <w:rStyle w:val="Hyperlink"/>
                <w:i/>
                <w:iCs/>
                <w:szCs w:val="24"/>
                <w:u w:val="none"/>
              </w:rPr>
              <w:t xml:space="preserve">,, </w:t>
            </w:r>
            <w:hyperlink r:id="rId25" w:history="1">
              <w:r w:rsidR="00C91199" w:rsidRPr="00085A79">
                <w:rPr>
                  <w:rStyle w:val="Hyperlink"/>
                  <w:i/>
                  <w:iCs/>
                  <w:szCs w:val="24"/>
                </w:rPr>
                <w:t>C20/INF/2</w:t>
              </w:r>
            </w:hyperlink>
            <w:r w:rsidRPr="00085A79">
              <w:rPr>
                <w:rStyle w:val="Hyperlink"/>
                <w:szCs w:val="24"/>
                <w:u w:val="none"/>
              </w:rPr>
              <w:t xml:space="preserve">, </w:t>
            </w:r>
            <w:hyperlink r:id="rId26" w:history="1">
              <w:r w:rsidR="00C241E6" w:rsidRPr="00085A79">
                <w:rPr>
                  <w:rStyle w:val="Hyperlink"/>
                  <w:i/>
                  <w:iCs/>
                  <w:szCs w:val="24"/>
                </w:rPr>
                <w:t>C21/INF/4</w:t>
              </w:r>
            </w:hyperlink>
            <w:r w:rsidR="005B16FB" w:rsidRPr="00085A79">
              <w:rPr>
                <w:rStyle w:val="Hyperlink"/>
                <w:i/>
                <w:iCs/>
                <w:szCs w:val="24"/>
                <w:u w:val="none"/>
              </w:rPr>
              <w:t xml:space="preserve">, </w:t>
            </w:r>
            <w:hyperlink r:id="rId27" w:history="1">
              <w:r w:rsidR="00731CEE" w:rsidRPr="00085A79">
                <w:rPr>
                  <w:rStyle w:val="Hyperlink"/>
                  <w:i/>
                  <w:iCs/>
                  <w:szCs w:val="24"/>
                </w:rPr>
                <w:t>C22/INF/4</w:t>
              </w:r>
            </w:hyperlink>
          </w:p>
        </w:tc>
      </w:tr>
    </w:tbl>
    <w:p w14:paraId="35262E9E" w14:textId="77777777" w:rsidR="00434A00" w:rsidRPr="00085A79" w:rsidRDefault="00434A00" w:rsidP="00303A7B">
      <w:pPr>
        <w:pStyle w:val="Heading1"/>
        <w:keepNext w:val="0"/>
        <w:keepLines w:val="0"/>
        <w:tabs>
          <w:tab w:val="clear" w:pos="567"/>
          <w:tab w:val="clear" w:pos="1134"/>
          <w:tab w:val="clear" w:pos="1701"/>
          <w:tab w:val="clear" w:pos="2268"/>
          <w:tab w:val="clear" w:pos="2835"/>
        </w:tabs>
        <w:snapToGrid w:val="0"/>
        <w:spacing w:before="360" w:after="120"/>
        <w:rPr>
          <w:rFonts w:asciiTheme="minorHAnsi" w:hAnsiTheme="minorHAnsi" w:cstheme="minorHAnsi"/>
          <w:caps/>
          <w:sz w:val="24"/>
          <w:szCs w:val="24"/>
        </w:rPr>
      </w:pPr>
      <w:bookmarkStart w:id="9" w:name="dstart"/>
      <w:bookmarkStart w:id="10" w:name="dbreak"/>
      <w:bookmarkEnd w:id="9"/>
      <w:bookmarkEnd w:id="10"/>
      <w:r w:rsidRPr="00085A79">
        <w:rPr>
          <w:rFonts w:asciiTheme="minorHAnsi" w:hAnsiTheme="minorHAnsi" w:cstheme="minorHAnsi"/>
          <w:sz w:val="24"/>
          <w:szCs w:val="24"/>
        </w:rPr>
        <w:t>1</w:t>
      </w:r>
      <w:r w:rsidRPr="00085A79">
        <w:rPr>
          <w:rFonts w:asciiTheme="minorHAnsi" w:hAnsiTheme="minorHAnsi" w:cstheme="minorHAnsi"/>
          <w:sz w:val="24"/>
          <w:szCs w:val="24"/>
        </w:rPr>
        <w:tab/>
        <w:t>Introduction</w:t>
      </w:r>
    </w:p>
    <w:p w14:paraId="14D727A9" w14:textId="420794A8" w:rsidR="00434A00" w:rsidRPr="00085A79" w:rsidRDefault="00434A00" w:rsidP="00303A7B">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085A79">
        <w:rPr>
          <w:rFonts w:asciiTheme="minorHAnsi" w:hAnsiTheme="minorHAnsi" w:cstheme="minorHAnsi"/>
          <w:szCs w:val="24"/>
        </w:rPr>
        <w:t>Resolution 70 (Rev. Dubai, 2018) highlights the importance of mainstreaming a gender perspective in ITU and promoting gender equality and the empowerment of women through telecommunications/information and communication technologies (ICTs). This document provides a summary review of relevant activities and developments since the Virtual Consultation of Councillors in 202</w:t>
      </w:r>
      <w:r w:rsidR="00C30936" w:rsidRPr="00085A79">
        <w:rPr>
          <w:rFonts w:asciiTheme="minorHAnsi" w:hAnsiTheme="minorHAnsi" w:cstheme="minorHAnsi"/>
          <w:szCs w:val="24"/>
        </w:rPr>
        <w:t>1 (C21</w:t>
      </w:r>
      <w:r w:rsidR="002D2A2B" w:rsidRPr="00085A79">
        <w:rPr>
          <w:rFonts w:asciiTheme="minorHAnsi" w:hAnsiTheme="minorHAnsi" w:cstheme="minorHAnsi"/>
          <w:szCs w:val="24"/>
        </w:rPr>
        <w:t>/</w:t>
      </w:r>
      <w:r w:rsidR="00C30936" w:rsidRPr="00085A79">
        <w:rPr>
          <w:rFonts w:asciiTheme="minorHAnsi" w:hAnsiTheme="minorHAnsi" w:cstheme="minorHAnsi"/>
          <w:szCs w:val="24"/>
        </w:rPr>
        <w:t>VCC-1)</w:t>
      </w:r>
      <w:r w:rsidRPr="00085A79">
        <w:rPr>
          <w:rFonts w:asciiTheme="minorHAnsi" w:hAnsiTheme="minorHAnsi" w:cstheme="minorHAnsi"/>
          <w:szCs w:val="24"/>
        </w:rPr>
        <w:t xml:space="preserve">. Further information related to gender and ICTs can be found on </w:t>
      </w:r>
      <w:hyperlink r:id="rId28" w:history="1">
        <w:r w:rsidR="00B477A9" w:rsidRPr="00085A79">
          <w:rPr>
            <w:rStyle w:val="Hyperlink"/>
            <w:rFonts w:asciiTheme="minorHAnsi" w:hAnsiTheme="minorHAnsi" w:cstheme="minorHAnsi"/>
            <w:szCs w:val="24"/>
          </w:rPr>
          <w:t>ITU’s gender webpage</w:t>
        </w:r>
      </w:hyperlink>
      <w:r w:rsidRPr="00085A79">
        <w:rPr>
          <w:rFonts w:asciiTheme="minorHAnsi" w:hAnsiTheme="minorHAnsi" w:cstheme="minorHAnsi"/>
          <w:szCs w:val="24"/>
        </w:rPr>
        <w:t>.</w:t>
      </w:r>
    </w:p>
    <w:p w14:paraId="1D194415" w14:textId="77777777" w:rsidR="00434A00" w:rsidRPr="00085A79" w:rsidRDefault="00434A00" w:rsidP="00303A7B">
      <w:pPr>
        <w:pStyle w:val="Heading1"/>
        <w:keepNext w:val="0"/>
        <w:keepLines w:val="0"/>
        <w:tabs>
          <w:tab w:val="clear" w:pos="567"/>
          <w:tab w:val="clear" w:pos="1134"/>
          <w:tab w:val="clear" w:pos="1701"/>
          <w:tab w:val="clear" w:pos="2268"/>
          <w:tab w:val="clear" w:pos="2835"/>
        </w:tabs>
        <w:snapToGrid w:val="0"/>
        <w:spacing w:before="360" w:after="120"/>
        <w:rPr>
          <w:rFonts w:asciiTheme="minorHAnsi" w:hAnsiTheme="minorHAnsi" w:cstheme="minorHAnsi"/>
          <w:sz w:val="24"/>
          <w:szCs w:val="24"/>
        </w:rPr>
      </w:pPr>
      <w:r w:rsidRPr="00085A79">
        <w:rPr>
          <w:rFonts w:asciiTheme="minorHAnsi" w:hAnsiTheme="minorHAnsi" w:cstheme="minorHAnsi"/>
          <w:sz w:val="24"/>
          <w:szCs w:val="24"/>
        </w:rPr>
        <w:t>2</w:t>
      </w:r>
      <w:r w:rsidRPr="00085A79">
        <w:rPr>
          <w:rFonts w:asciiTheme="minorHAnsi" w:hAnsiTheme="minorHAnsi" w:cstheme="minorHAnsi"/>
          <w:sz w:val="24"/>
          <w:szCs w:val="24"/>
        </w:rPr>
        <w:tab/>
        <w:t>Data Gathering and Tracking</w:t>
      </w:r>
    </w:p>
    <w:p w14:paraId="6D558A41" w14:textId="12014A6D" w:rsidR="00434A00" w:rsidRPr="00085A79" w:rsidRDefault="00434A00" w:rsidP="00303A7B">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085A79">
        <w:rPr>
          <w:rFonts w:asciiTheme="minorHAnsi" w:hAnsiTheme="minorHAnsi" w:cstheme="minorHAnsi"/>
          <w:szCs w:val="24"/>
        </w:rPr>
        <w:t>ITU regularly collects and disseminates ICT indicators related to individuals accessing and using ICTs. These indicators can be disaggregated by gender, age, education, labour force status, and occupation. ITU monitors and tracks three gender-related indicators that are included in the SDG Indicators Monitoring Framework: (1) “</w:t>
      </w:r>
      <w:r w:rsidRPr="00085A79">
        <w:rPr>
          <w:rFonts w:asciiTheme="minorHAnsi" w:hAnsiTheme="minorHAnsi" w:cstheme="minorHAnsi"/>
          <w:i/>
          <w:iCs/>
          <w:szCs w:val="24"/>
        </w:rPr>
        <w:t>proportion of individuals who own a mobile telephone, by sex</w:t>
      </w:r>
      <w:r w:rsidRPr="00085A79">
        <w:rPr>
          <w:rFonts w:asciiTheme="minorHAnsi" w:hAnsiTheme="minorHAnsi" w:cstheme="minorHAnsi"/>
          <w:szCs w:val="24"/>
        </w:rPr>
        <w:t>” (which is one of the gender-related indicators monitoring SDG 5), (2) “</w:t>
      </w:r>
      <w:r w:rsidRPr="00085A79">
        <w:rPr>
          <w:rFonts w:asciiTheme="minorHAnsi" w:hAnsiTheme="minorHAnsi" w:cstheme="minorHAnsi"/>
          <w:i/>
          <w:iCs/>
          <w:szCs w:val="24"/>
        </w:rPr>
        <w:t xml:space="preserve">proportion of individuals </w:t>
      </w:r>
      <w:r w:rsidRPr="00085A79">
        <w:rPr>
          <w:rFonts w:asciiTheme="minorHAnsi" w:hAnsiTheme="minorHAnsi" w:cstheme="minorHAnsi"/>
          <w:i/>
          <w:iCs/>
          <w:szCs w:val="24"/>
        </w:rPr>
        <w:lastRenderedPageBreak/>
        <w:t>using the Internet, by sex</w:t>
      </w:r>
      <w:r w:rsidRPr="00085A79">
        <w:rPr>
          <w:rFonts w:asciiTheme="minorHAnsi" w:hAnsiTheme="minorHAnsi" w:cstheme="minorHAnsi"/>
          <w:szCs w:val="24"/>
        </w:rPr>
        <w:t>”, and (3) “</w:t>
      </w:r>
      <w:r w:rsidRPr="00085A79">
        <w:rPr>
          <w:rFonts w:asciiTheme="minorHAnsi" w:hAnsiTheme="minorHAnsi" w:cstheme="minorHAnsi"/>
          <w:i/>
          <w:iCs/>
          <w:szCs w:val="24"/>
        </w:rPr>
        <w:t>proportion of individuals with ICT skills, by sex</w:t>
      </w:r>
      <w:r w:rsidRPr="00085A79">
        <w:rPr>
          <w:rFonts w:asciiTheme="minorHAnsi" w:hAnsiTheme="minorHAnsi" w:cstheme="minorHAnsi"/>
          <w:szCs w:val="24"/>
        </w:rPr>
        <w:t xml:space="preserve">”. </w:t>
      </w:r>
      <w:r w:rsidRPr="00085A79">
        <w:rPr>
          <w:rFonts w:asciiTheme="minorHAnsi" w:eastAsia="Calibri" w:hAnsiTheme="minorHAnsi" w:cstheme="minorHAnsi"/>
          <w:szCs w:val="24"/>
        </w:rPr>
        <w:t xml:space="preserve">Latest figures as published in </w:t>
      </w:r>
      <w:r w:rsidR="0038455A" w:rsidRPr="00085A79">
        <w:rPr>
          <w:rFonts w:asciiTheme="minorHAnsi" w:eastAsia="Calibri" w:hAnsiTheme="minorHAnsi" w:cstheme="minorHAnsi"/>
          <w:szCs w:val="24"/>
        </w:rPr>
        <w:t xml:space="preserve">ITU’s </w:t>
      </w:r>
      <w:hyperlink r:id="rId29" w:history="1">
        <w:r w:rsidR="0038455A" w:rsidRPr="00085A79">
          <w:rPr>
            <w:rStyle w:val="Hyperlink"/>
            <w:rFonts w:asciiTheme="minorHAnsi" w:eastAsia="Calibri" w:hAnsiTheme="minorHAnsi" w:cstheme="minorHAnsi"/>
            <w:szCs w:val="24"/>
          </w:rPr>
          <w:t>Measuring digital development: Facts and figures 202</w:t>
        </w:r>
        <w:r w:rsidR="001B43E5" w:rsidRPr="00085A79">
          <w:rPr>
            <w:rStyle w:val="Hyperlink"/>
            <w:rFonts w:asciiTheme="minorHAnsi" w:eastAsia="Calibri" w:hAnsiTheme="minorHAnsi" w:cstheme="minorHAnsi"/>
            <w:szCs w:val="24"/>
          </w:rPr>
          <w:t>1</w:t>
        </w:r>
      </w:hyperlink>
      <w:r w:rsidR="001B43E5" w:rsidRPr="00085A79">
        <w:rPr>
          <w:rFonts w:asciiTheme="minorHAnsi" w:eastAsia="Calibri" w:hAnsiTheme="minorHAnsi" w:cstheme="minorHAnsi"/>
          <w:szCs w:val="24"/>
        </w:rPr>
        <w:t xml:space="preserve"> </w:t>
      </w:r>
      <w:r w:rsidRPr="00085A79">
        <w:rPr>
          <w:rFonts w:asciiTheme="minorHAnsi" w:eastAsia="Calibri" w:hAnsiTheme="minorHAnsi" w:cstheme="minorHAnsi"/>
          <w:szCs w:val="24"/>
        </w:rPr>
        <w:t xml:space="preserve">show that </w:t>
      </w:r>
      <w:r w:rsidR="00D36E77" w:rsidRPr="00085A79">
        <w:rPr>
          <w:rFonts w:asciiTheme="minorHAnsi" w:hAnsiTheme="minorHAnsi" w:cstheme="minorHAnsi"/>
          <w:szCs w:val="24"/>
        </w:rPr>
        <w:t>the digital gender divide is narrowing globally, but large gaps remain in poorer countries. Globally, an average of 62</w:t>
      </w:r>
      <w:r w:rsidR="00E5225E" w:rsidRPr="00085A79">
        <w:rPr>
          <w:rFonts w:asciiTheme="minorHAnsi" w:hAnsiTheme="minorHAnsi" w:cstheme="minorHAnsi"/>
          <w:szCs w:val="24"/>
        </w:rPr>
        <w:t>%</w:t>
      </w:r>
      <w:r w:rsidR="00D36E77" w:rsidRPr="00085A79">
        <w:rPr>
          <w:rFonts w:asciiTheme="minorHAnsi" w:hAnsiTheme="minorHAnsi" w:cstheme="minorHAnsi"/>
          <w:szCs w:val="24"/>
        </w:rPr>
        <w:t xml:space="preserve"> of men use the Internet compared with 57</w:t>
      </w:r>
      <w:r w:rsidR="0003505D" w:rsidRPr="00085A79">
        <w:rPr>
          <w:rFonts w:asciiTheme="minorHAnsi" w:hAnsiTheme="minorHAnsi" w:cstheme="minorHAnsi"/>
          <w:szCs w:val="24"/>
        </w:rPr>
        <w:t>%</w:t>
      </w:r>
      <w:r w:rsidR="00D36E77" w:rsidRPr="00085A79">
        <w:rPr>
          <w:rFonts w:asciiTheme="minorHAnsi" w:hAnsiTheme="minorHAnsi" w:cstheme="minorHAnsi"/>
          <w:szCs w:val="24"/>
        </w:rPr>
        <w:t xml:space="preserve"> of women. Although the digital gender divide has been narrowing in all world regions and has been virtually eliminated in the developed world</w:t>
      </w:r>
      <w:r w:rsidR="00A32893" w:rsidRPr="00085A79">
        <w:rPr>
          <w:rFonts w:asciiTheme="minorHAnsi" w:hAnsiTheme="minorHAnsi" w:cstheme="minorHAnsi"/>
          <w:szCs w:val="24"/>
        </w:rPr>
        <w:t xml:space="preserve">, </w:t>
      </w:r>
      <w:r w:rsidR="00D36E77" w:rsidRPr="00085A79">
        <w:rPr>
          <w:rFonts w:asciiTheme="minorHAnsi" w:hAnsiTheme="minorHAnsi" w:cstheme="minorHAnsi"/>
          <w:szCs w:val="24"/>
        </w:rPr>
        <w:t xml:space="preserve">wide gaps remain in Least Developed Countries </w:t>
      </w:r>
      <w:r w:rsidR="00A32893" w:rsidRPr="00085A79">
        <w:rPr>
          <w:rFonts w:asciiTheme="minorHAnsi" w:hAnsiTheme="minorHAnsi" w:cstheme="minorHAnsi"/>
          <w:szCs w:val="24"/>
        </w:rPr>
        <w:t xml:space="preserve">(LDCs) </w:t>
      </w:r>
      <w:r w:rsidR="00D36E77" w:rsidRPr="00085A79">
        <w:rPr>
          <w:rFonts w:asciiTheme="minorHAnsi" w:hAnsiTheme="minorHAnsi" w:cstheme="minorHAnsi"/>
          <w:szCs w:val="24"/>
        </w:rPr>
        <w:t>and in Landlocked Developing Countries (</w:t>
      </w:r>
      <w:r w:rsidR="00A32893" w:rsidRPr="00085A79">
        <w:rPr>
          <w:rFonts w:asciiTheme="minorHAnsi" w:hAnsiTheme="minorHAnsi" w:cstheme="minorHAnsi"/>
          <w:szCs w:val="24"/>
        </w:rPr>
        <w:t>LLDCs)</w:t>
      </w:r>
      <w:r w:rsidR="00782C08" w:rsidRPr="00085A79">
        <w:rPr>
          <w:rFonts w:asciiTheme="minorHAnsi" w:hAnsiTheme="minorHAnsi" w:cstheme="minorHAnsi"/>
          <w:szCs w:val="24"/>
        </w:rPr>
        <w:t xml:space="preserve">, so still </w:t>
      </w:r>
      <w:r w:rsidR="00782C08" w:rsidRPr="00085A79">
        <w:rPr>
          <w:rFonts w:asciiTheme="minorHAnsi" w:eastAsia="Calibri" w:hAnsiTheme="minorHAnsi" w:cstheme="minorHAnsi"/>
          <w:szCs w:val="24"/>
        </w:rPr>
        <w:t>m</w:t>
      </w:r>
      <w:r w:rsidRPr="00085A79">
        <w:rPr>
          <w:rFonts w:asciiTheme="minorHAnsi" w:eastAsia="Calibri" w:hAnsiTheme="minorHAnsi" w:cstheme="minorHAnsi"/>
          <w:szCs w:val="24"/>
        </w:rPr>
        <w:t>ore effective action is urgently needed to address a range of barriers – cultural, financial and skills-related – that are impeding Internet uptake, especially among women.</w:t>
      </w:r>
    </w:p>
    <w:p w14:paraId="5862E13F" w14:textId="73928BA5" w:rsidR="008D6887" w:rsidRPr="00085A79" w:rsidRDefault="00434A00" w:rsidP="00303A7B">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bookmarkStart w:id="11" w:name="_Hlk2678733"/>
      <w:r w:rsidRPr="00085A79">
        <w:rPr>
          <w:rFonts w:asciiTheme="minorHAnsi" w:hAnsiTheme="minorHAnsi" w:cstheme="minorHAnsi"/>
          <w:szCs w:val="24"/>
        </w:rPr>
        <w:t xml:space="preserve">ITU’s </w:t>
      </w:r>
      <w:hyperlink r:id="rId30" w:history="1">
        <w:r w:rsidR="00ED24D5" w:rsidRPr="00085A79">
          <w:rPr>
            <w:rStyle w:val="Hyperlink"/>
            <w:rFonts w:asciiTheme="minorHAnsi" w:hAnsiTheme="minorHAnsi" w:cstheme="minorHAnsi"/>
            <w:szCs w:val="24"/>
          </w:rPr>
          <w:t>gender dashboard</w:t>
        </w:r>
      </w:hyperlink>
      <w:r w:rsidRPr="00085A79">
        <w:rPr>
          <w:rFonts w:asciiTheme="minorHAnsi" w:hAnsiTheme="minorHAnsi" w:cstheme="minorHAnsi"/>
          <w:szCs w:val="24"/>
        </w:rPr>
        <w:t xml:space="preserve"> is under review </w:t>
      </w:r>
      <w:r w:rsidR="000E5BAE" w:rsidRPr="00085A79">
        <w:rPr>
          <w:rFonts w:asciiTheme="minorHAnsi" w:hAnsiTheme="minorHAnsi" w:cstheme="minorHAnsi"/>
          <w:szCs w:val="24"/>
        </w:rPr>
        <w:t xml:space="preserve">to be </w:t>
      </w:r>
      <w:r w:rsidR="009D2816" w:rsidRPr="00085A79">
        <w:rPr>
          <w:rFonts w:asciiTheme="minorHAnsi" w:hAnsiTheme="minorHAnsi" w:cstheme="minorHAnsi"/>
          <w:szCs w:val="24"/>
        </w:rPr>
        <w:t>publish</w:t>
      </w:r>
      <w:r w:rsidR="009C0A3F" w:rsidRPr="00085A79">
        <w:rPr>
          <w:rFonts w:asciiTheme="minorHAnsi" w:hAnsiTheme="minorHAnsi" w:cstheme="minorHAnsi"/>
          <w:szCs w:val="24"/>
        </w:rPr>
        <w:t>ed</w:t>
      </w:r>
      <w:r w:rsidR="009D2816" w:rsidRPr="00085A79">
        <w:rPr>
          <w:rFonts w:asciiTheme="minorHAnsi" w:hAnsiTheme="minorHAnsi" w:cstheme="minorHAnsi"/>
          <w:szCs w:val="24"/>
        </w:rPr>
        <w:t xml:space="preserve"> </w:t>
      </w:r>
      <w:r w:rsidRPr="00085A79">
        <w:rPr>
          <w:rFonts w:asciiTheme="minorHAnsi" w:hAnsiTheme="minorHAnsi" w:cstheme="minorHAnsi"/>
          <w:szCs w:val="24"/>
        </w:rPr>
        <w:t>online. It will continue to provide a visual overview of gender in the ICT arena, in ITU meetings, and within ITU, such as staff composition by gender and grade, gender representation in the recruitment and selection processes</w:t>
      </w:r>
      <w:r w:rsidR="009D2816" w:rsidRPr="00085A79">
        <w:rPr>
          <w:rFonts w:asciiTheme="minorHAnsi" w:hAnsiTheme="minorHAnsi" w:cstheme="minorHAnsi"/>
          <w:szCs w:val="24"/>
        </w:rPr>
        <w:t xml:space="preserve">, </w:t>
      </w:r>
      <w:r w:rsidR="00DC0A90" w:rsidRPr="00085A79">
        <w:rPr>
          <w:rFonts w:asciiTheme="minorHAnsi" w:hAnsiTheme="minorHAnsi" w:cstheme="minorHAnsi"/>
          <w:szCs w:val="24"/>
        </w:rPr>
        <w:t xml:space="preserve">and </w:t>
      </w:r>
      <w:r w:rsidR="009D2816" w:rsidRPr="00085A79">
        <w:rPr>
          <w:rFonts w:asciiTheme="minorHAnsi" w:hAnsiTheme="minorHAnsi" w:cstheme="minorHAnsi"/>
          <w:szCs w:val="24"/>
        </w:rPr>
        <w:t>g</w:t>
      </w:r>
      <w:r w:rsidRPr="00085A79">
        <w:rPr>
          <w:rFonts w:asciiTheme="minorHAnsi" w:hAnsiTheme="minorHAnsi" w:cstheme="minorHAnsi"/>
          <w:szCs w:val="24"/>
        </w:rPr>
        <w:t>ender representation in statutory committees</w:t>
      </w:r>
      <w:r w:rsidR="00DC0A90" w:rsidRPr="00085A79">
        <w:rPr>
          <w:rFonts w:asciiTheme="minorHAnsi" w:hAnsiTheme="minorHAnsi" w:cstheme="minorHAnsi"/>
          <w:szCs w:val="24"/>
        </w:rPr>
        <w:t xml:space="preserve">. </w:t>
      </w:r>
      <w:r w:rsidR="008D6887" w:rsidRPr="00085A79">
        <w:rPr>
          <w:rFonts w:asciiTheme="minorHAnsi" w:hAnsiTheme="minorHAnsi" w:cstheme="minorHAnsi"/>
          <w:szCs w:val="24"/>
        </w:rPr>
        <w:t xml:space="preserve">Further gender equality efforts in human resources are available in the </w:t>
      </w:r>
      <w:r w:rsidR="00323DC8">
        <w:rPr>
          <w:rFonts w:asciiTheme="minorHAnsi" w:hAnsiTheme="minorHAnsi" w:cstheme="minorHAnsi"/>
          <w:szCs w:val="24"/>
        </w:rPr>
        <w:t>r</w:t>
      </w:r>
      <w:r w:rsidR="007E2872" w:rsidRPr="00085A79">
        <w:rPr>
          <w:rFonts w:asciiTheme="minorHAnsi" w:hAnsiTheme="minorHAnsi" w:cstheme="minorHAnsi"/>
          <w:szCs w:val="24"/>
        </w:rPr>
        <w:t>eport to</w:t>
      </w:r>
      <w:r w:rsidR="00323DC8">
        <w:rPr>
          <w:rFonts w:asciiTheme="minorHAnsi" w:hAnsiTheme="minorHAnsi" w:cstheme="minorHAnsi"/>
          <w:szCs w:val="24"/>
        </w:rPr>
        <w:t xml:space="preserve"> the</w:t>
      </w:r>
      <w:r w:rsidR="007E2872" w:rsidRPr="00085A79">
        <w:rPr>
          <w:rFonts w:asciiTheme="minorHAnsi" w:hAnsiTheme="minorHAnsi" w:cstheme="minorHAnsi"/>
          <w:szCs w:val="24"/>
        </w:rPr>
        <w:t xml:space="preserve"> Council on Resolution 48</w:t>
      </w:r>
      <w:r w:rsidR="00CC5C81" w:rsidRPr="00085A79">
        <w:rPr>
          <w:rFonts w:asciiTheme="minorHAnsi" w:hAnsiTheme="minorHAnsi" w:cstheme="minorHAnsi"/>
          <w:szCs w:val="24"/>
        </w:rPr>
        <w:t xml:space="preserve"> (</w:t>
      </w:r>
      <w:hyperlink r:id="rId31" w:history="1">
        <w:r w:rsidR="00CC5C81" w:rsidRPr="00085A79">
          <w:rPr>
            <w:rStyle w:val="Hyperlink"/>
            <w:rFonts w:asciiTheme="minorHAnsi" w:hAnsiTheme="minorHAnsi" w:cstheme="minorHAnsi"/>
            <w:szCs w:val="24"/>
          </w:rPr>
          <w:t>C22/54</w:t>
        </w:r>
      </w:hyperlink>
      <w:r w:rsidR="00CC5C81" w:rsidRPr="00085A79">
        <w:rPr>
          <w:rFonts w:asciiTheme="minorHAnsi" w:hAnsiTheme="minorHAnsi" w:cstheme="minorHAnsi"/>
          <w:szCs w:val="24"/>
        </w:rPr>
        <w:t>)</w:t>
      </w:r>
      <w:r w:rsidR="008D6887" w:rsidRPr="00085A79">
        <w:rPr>
          <w:rFonts w:asciiTheme="minorHAnsi" w:hAnsiTheme="minorHAnsi" w:cstheme="minorHAnsi"/>
          <w:szCs w:val="24"/>
        </w:rPr>
        <w:t>.</w:t>
      </w:r>
    </w:p>
    <w:bookmarkEnd w:id="11"/>
    <w:p w14:paraId="46DE8E3A" w14:textId="3D1E5674" w:rsidR="00434A00" w:rsidRPr="00085A79" w:rsidRDefault="00434A00" w:rsidP="00303A7B">
      <w:pPr>
        <w:pStyle w:val="Heading1"/>
        <w:keepNext w:val="0"/>
        <w:keepLines w:val="0"/>
        <w:tabs>
          <w:tab w:val="clear" w:pos="567"/>
          <w:tab w:val="clear" w:pos="1134"/>
          <w:tab w:val="clear" w:pos="1701"/>
          <w:tab w:val="clear" w:pos="2268"/>
          <w:tab w:val="clear" w:pos="2835"/>
        </w:tabs>
        <w:snapToGrid w:val="0"/>
        <w:spacing w:before="360" w:after="120"/>
        <w:ind w:left="709" w:hanging="709"/>
        <w:jc w:val="both"/>
        <w:rPr>
          <w:rFonts w:asciiTheme="minorHAnsi" w:hAnsiTheme="minorHAnsi" w:cstheme="minorHAnsi"/>
          <w:sz w:val="24"/>
          <w:szCs w:val="24"/>
        </w:rPr>
      </w:pPr>
      <w:r w:rsidRPr="00085A79">
        <w:rPr>
          <w:rFonts w:asciiTheme="minorHAnsi" w:hAnsiTheme="minorHAnsi" w:cstheme="minorHAnsi"/>
          <w:sz w:val="24"/>
          <w:szCs w:val="24"/>
        </w:rPr>
        <w:t>3</w:t>
      </w:r>
      <w:r w:rsidRPr="00085A79">
        <w:rPr>
          <w:rFonts w:asciiTheme="minorHAnsi" w:hAnsiTheme="minorHAnsi" w:cstheme="minorHAnsi"/>
          <w:sz w:val="24"/>
          <w:szCs w:val="24"/>
        </w:rPr>
        <w:tab/>
        <w:t xml:space="preserve">Advancing </w:t>
      </w:r>
      <w:r w:rsidR="00601BBE" w:rsidRPr="00085A79">
        <w:rPr>
          <w:rFonts w:asciiTheme="minorHAnsi" w:hAnsiTheme="minorHAnsi" w:cstheme="minorHAnsi"/>
          <w:sz w:val="24"/>
          <w:szCs w:val="24"/>
        </w:rPr>
        <w:t xml:space="preserve">the </w:t>
      </w:r>
      <w:r w:rsidRPr="00085A79">
        <w:rPr>
          <w:rFonts w:asciiTheme="minorHAnsi" w:hAnsiTheme="minorHAnsi" w:cstheme="minorHAnsi"/>
          <w:sz w:val="24"/>
          <w:szCs w:val="24"/>
        </w:rPr>
        <w:t xml:space="preserve">Agenda 2030 and Bridging the Digital Gender Divide </w:t>
      </w:r>
    </w:p>
    <w:p w14:paraId="63032D6C" w14:textId="77777777" w:rsidR="00434A00" w:rsidRPr="00085A79" w:rsidRDefault="00434A00" w:rsidP="00303A7B">
      <w:pPr>
        <w:pStyle w:val="Heading3"/>
        <w:keepNext w:val="0"/>
        <w:keepLines w:val="0"/>
        <w:tabs>
          <w:tab w:val="clear" w:pos="567"/>
          <w:tab w:val="clear" w:pos="1134"/>
          <w:tab w:val="clear" w:pos="1701"/>
          <w:tab w:val="clear" w:pos="2268"/>
          <w:tab w:val="clear" w:pos="2835"/>
        </w:tabs>
        <w:snapToGrid w:val="0"/>
        <w:spacing w:before="120" w:after="120"/>
        <w:ind w:left="0" w:firstLine="0"/>
        <w:rPr>
          <w:rFonts w:asciiTheme="minorHAnsi" w:hAnsiTheme="minorHAnsi" w:cstheme="minorHAnsi"/>
          <w:szCs w:val="24"/>
        </w:rPr>
      </w:pPr>
      <w:bookmarkStart w:id="12" w:name="_Hlk2676846"/>
      <w:r w:rsidRPr="00085A79">
        <w:rPr>
          <w:rFonts w:asciiTheme="minorHAnsi" w:hAnsiTheme="minorHAnsi" w:cstheme="minorHAnsi"/>
          <w:szCs w:val="24"/>
        </w:rPr>
        <w:t>3.1</w:t>
      </w:r>
      <w:r w:rsidRPr="00085A79">
        <w:rPr>
          <w:rFonts w:asciiTheme="minorHAnsi" w:hAnsiTheme="minorHAnsi" w:cstheme="minorHAnsi"/>
          <w:szCs w:val="24"/>
        </w:rPr>
        <w:tab/>
        <w:t>World Summit on the Information Society (WSIS)</w:t>
      </w:r>
    </w:p>
    <w:bookmarkEnd w:id="12"/>
    <w:p w14:paraId="2863EDB9" w14:textId="4D22B64F" w:rsidR="00A94E3A" w:rsidRPr="00085A79" w:rsidRDefault="00A94E3A" w:rsidP="00303A7B">
      <w:pPr>
        <w:spacing w:after="120"/>
        <w:jc w:val="both"/>
        <w:rPr>
          <w:rFonts w:asciiTheme="minorHAnsi" w:eastAsia="Calibri" w:hAnsiTheme="minorHAnsi" w:cstheme="minorHAnsi"/>
          <w:szCs w:val="24"/>
        </w:rPr>
      </w:pPr>
      <w:r w:rsidRPr="00085A79">
        <w:rPr>
          <w:rFonts w:asciiTheme="minorHAnsi" w:hAnsiTheme="minorHAnsi" w:cstheme="minorHAnsi"/>
          <w:szCs w:val="24"/>
        </w:rPr>
        <w:t>The</w:t>
      </w:r>
      <w:r w:rsidRPr="00085A79">
        <w:rPr>
          <w:rFonts w:asciiTheme="minorHAnsi" w:hAnsiTheme="minorHAnsi" w:cstheme="minorHAnsi"/>
          <w:b/>
          <w:bCs/>
          <w:szCs w:val="24"/>
        </w:rPr>
        <w:t xml:space="preserve"> </w:t>
      </w:r>
      <w:hyperlink r:id="rId32">
        <w:r w:rsidRPr="00085A79">
          <w:rPr>
            <w:rStyle w:val="Hyperlink"/>
            <w:rFonts w:asciiTheme="minorHAnsi" w:hAnsiTheme="minorHAnsi" w:cstheme="minorHAnsi"/>
            <w:szCs w:val="24"/>
          </w:rPr>
          <w:t>WSIS+10 Statement on Implementation of WSIS Outcomes and the WSIS+10 Vision for WSIS Beyond 2015</w:t>
        </w:r>
      </w:hyperlink>
      <w:r w:rsidRPr="00085A79">
        <w:rPr>
          <w:rFonts w:asciiTheme="minorHAnsi" w:hAnsiTheme="minorHAnsi" w:cstheme="minorHAnsi"/>
          <w:b/>
          <w:bCs/>
          <w:szCs w:val="24"/>
        </w:rPr>
        <w:t xml:space="preserve"> </w:t>
      </w:r>
      <w:r w:rsidRPr="00085A79">
        <w:rPr>
          <w:rFonts w:asciiTheme="minorHAnsi" w:hAnsiTheme="minorHAnsi" w:cstheme="minorHAnsi"/>
          <w:szCs w:val="24"/>
        </w:rPr>
        <w:t>invite all</w:t>
      </w:r>
      <w:r w:rsidRPr="00085A79">
        <w:rPr>
          <w:rFonts w:asciiTheme="minorHAnsi" w:hAnsiTheme="minorHAnsi" w:cstheme="minorHAnsi"/>
          <w:b/>
          <w:bCs/>
          <w:szCs w:val="24"/>
        </w:rPr>
        <w:t xml:space="preserve"> </w:t>
      </w:r>
      <w:r w:rsidRPr="00085A79">
        <w:rPr>
          <w:rFonts w:asciiTheme="minorHAnsi" w:hAnsiTheme="minorHAnsi" w:cstheme="minorHAnsi"/>
          <w:szCs w:val="24"/>
        </w:rPr>
        <w:t xml:space="preserve">WSIS stakeholders to mainstream a gender equality perspective and use ICTs as a tool to that end. As the coordinator of the WSIS Process, ITU has been working with the UN WSIS Action Line focal points and across ITU to fully integrate gender equality perspectives in WSIS related strategies. </w:t>
      </w:r>
      <w:r w:rsidRPr="00085A79">
        <w:rPr>
          <w:rFonts w:asciiTheme="minorHAnsi" w:eastAsia="Calibri" w:hAnsiTheme="minorHAnsi" w:cstheme="minorHAnsi"/>
          <w:szCs w:val="24"/>
        </w:rPr>
        <w:t>The WSIS Forum 2021 was held in a virtual format and organi</w:t>
      </w:r>
      <w:r w:rsidR="00323DC8">
        <w:rPr>
          <w:rFonts w:asciiTheme="minorHAnsi" w:eastAsia="Calibri" w:hAnsiTheme="minorHAnsi" w:cstheme="minorHAnsi"/>
          <w:szCs w:val="24"/>
        </w:rPr>
        <w:t>z</w:t>
      </w:r>
      <w:r w:rsidRPr="00085A79">
        <w:rPr>
          <w:rFonts w:asciiTheme="minorHAnsi" w:eastAsia="Calibri" w:hAnsiTheme="minorHAnsi" w:cstheme="minorHAnsi"/>
          <w:szCs w:val="24"/>
        </w:rPr>
        <w:t xml:space="preserve">ed a special track on “ICTs and Gender Mainstreaming” dedicated to the issues of bridging </w:t>
      </w:r>
      <w:r w:rsidR="00BF178F" w:rsidRPr="00085A79">
        <w:rPr>
          <w:rFonts w:asciiTheme="minorHAnsi" w:eastAsia="Calibri" w:hAnsiTheme="minorHAnsi" w:cstheme="minorHAnsi"/>
          <w:szCs w:val="24"/>
        </w:rPr>
        <w:t xml:space="preserve">the </w:t>
      </w:r>
      <w:r w:rsidRPr="00085A79">
        <w:rPr>
          <w:rFonts w:asciiTheme="minorHAnsi" w:eastAsia="Calibri" w:hAnsiTheme="minorHAnsi" w:cstheme="minorHAnsi"/>
          <w:szCs w:val="24"/>
        </w:rPr>
        <w:t>gender divide, women empowerment</w:t>
      </w:r>
      <w:r w:rsidR="0033760D" w:rsidRPr="00085A79">
        <w:rPr>
          <w:rFonts w:asciiTheme="minorHAnsi" w:eastAsia="Calibri" w:hAnsiTheme="minorHAnsi" w:cstheme="minorHAnsi"/>
          <w:szCs w:val="24"/>
        </w:rPr>
        <w:t>,</w:t>
      </w:r>
      <w:r w:rsidRPr="00085A79">
        <w:rPr>
          <w:rFonts w:asciiTheme="minorHAnsi" w:eastAsia="Calibri" w:hAnsiTheme="minorHAnsi" w:cstheme="minorHAnsi"/>
          <w:szCs w:val="24"/>
        </w:rPr>
        <w:t xml:space="preserve"> and </w:t>
      </w:r>
      <w:r w:rsidR="00CD60F6" w:rsidRPr="00085A79">
        <w:rPr>
          <w:rFonts w:asciiTheme="minorHAnsi" w:eastAsia="Calibri" w:hAnsiTheme="minorHAnsi" w:cstheme="minorHAnsi"/>
          <w:szCs w:val="24"/>
        </w:rPr>
        <w:t xml:space="preserve">the </w:t>
      </w:r>
      <w:r w:rsidRPr="00085A79">
        <w:rPr>
          <w:rFonts w:asciiTheme="minorHAnsi" w:eastAsia="Calibri" w:hAnsiTheme="minorHAnsi" w:cstheme="minorHAnsi"/>
          <w:szCs w:val="24"/>
        </w:rPr>
        <w:t>promot</w:t>
      </w:r>
      <w:r w:rsidR="00CD60F6" w:rsidRPr="00085A79">
        <w:rPr>
          <w:rFonts w:asciiTheme="minorHAnsi" w:eastAsia="Calibri" w:hAnsiTheme="minorHAnsi" w:cstheme="minorHAnsi"/>
          <w:szCs w:val="24"/>
        </w:rPr>
        <w:t xml:space="preserve">ion of </w:t>
      </w:r>
      <w:r w:rsidR="0033760D" w:rsidRPr="00085A79">
        <w:rPr>
          <w:rFonts w:asciiTheme="minorHAnsi" w:eastAsia="Calibri" w:hAnsiTheme="minorHAnsi" w:cstheme="minorHAnsi"/>
          <w:szCs w:val="24"/>
        </w:rPr>
        <w:t xml:space="preserve">an </w:t>
      </w:r>
      <w:r w:rsidRPr="00085A79">
        <w:rPr>
          <w:rFonts w:asciiTheme="minorHAnsi" w:eastAsia="Calibri" w:hAnsiTheme="minorHAnsi" w:cstheme="minorHAnsi"/>
          <w:szCs w:val="24"/>
        </w:rPr>
        <w:t xml:space="preserve">equality perspective </w:t>
      </w:r>
      <w:proofErr w:type="gramStart"/>
      <w:r w:rsidRPr="00085A79">
        <w:rPr>
          <w:rFonts w:asciiTheme="minorHAnsi" w:eastAsia="Calibri" w:hAnsiTheme="minorHAnsi" w:cstheme="minorHAnsi"/>
          <w:szCs w:val="24"/>
        </w:rPr>
        <w:t>through the use of</w:t>
      </w:r>
      <w:proofErr w:type="gramEnd"/>
      <w:r w:rsidRPr="00085A79">
        <w:rPr>
          <w:rFonts w:asciiTheme="minorHAnsi" w:eastAsia="Calibri" w:hAnsiTheme="minorHAnsi" w:cstheme="minorHAnsi"/>
          <w:szCs w:val="24"/>
        </w:rPr>
        <w:t xml:space="preserve"> ICTs. The list of ICTs and Gender Mainstreaming workshops is available </w:t>
      </w:r>
      <w:hyperlink r:id="rId33" w:history="1">
        <w:r w:rsidRPr="00085A79">
          <w:rPr>
            <w:rStyle w:val="Hyperlink"/>
            <w:rFonts w:asciiTheme="minorHAnsi" w:eastAsia="Calibri" w:hAnsiTheme="minorHAnsi" w:cstheme="minorHAnsi"/>
            <w:szCs w:val="24"/>
          </w:rPr>
          <w:t>here</w:t>
        </w:r>
      </w:hyperlink>
      <w:r w:rsidRPr="00085A79">
        <w:rPr>
          <w:rFonts w:asciiTheme="minorHAnsi" w:eastAsia="Calibri" w:hAnsiTheme="minorHAnsi" w:cstheme="minorHAnsi"/>
          <w:szCs w:val="24"/>
        </w:rPr>
        <w:t xml:space="preserve">. </w:t>
      </w:r>
    </w:p>
    <w:p w14:paraId="1CA3945F" w14:textId="7A46D08C" w:rsidR="00A94E3A" w:rsidRPr="00137E9F" w:rsidRDefault="00A94E3A" w:rsidP="00303A7B">
      <w:pPr>
        <w:spacing w:after="120"/>
        <w:jc w:val="both"/>
        <w:rPr>
          <w:rFonts w:asciiTheme="minorHAnsi" w:eastAsia="Calibri" w:hAnsiTheme="minorHAnsi" w:cstheme="minorHAnsi"/>
          <w:szCs w:val="24"/>
        </w:rPr>
      </w:pPr>
      <w:r w:rsidRPr="00085A79">
        <w:rPr>
          <w:rFonts w:asciiTheme="minorHAnsi" w:eastAsia="Calibri" w:hAnsiTheme="minorHAnsi" w:cstheme="minorHAnsi"/>
          <w:szCs w:val="24"/>
        </w:rPr>
        <w:t xml:space="preserve">As the </w:t>
      </w:r>
      <w:r w:rsidRPr="00137E9F">
        <w:rPr>
          <w:rFonts w:asciiTheme="minorHAnsi" w:eastAsia="Calibri" w:hAnsiTheme="minorHAnsi" w:cstheme="minorHAnsi"/>
          <w:szCs w:val="24"/>
        </w:rPr>
        <w:t xml:space="preserve">outcomes of this special track at the WSIS Forum 2021, WSIS and its stakeholders have launched </w:t>
      </w:r>
      <w:r w:rsidR="007923F2" w:rsidRPr="00137E9F">
        <w:rPr>
          <w:rFonts w:asciiTheme="minorHAnsi" w:eastAsia="Calibri" w:hAnsiTheme="minorHAnsi" w:cstheme="minorHAnsi"/>
          <w:szCs w:val="24"/>
        </w:rPr>
        <w:t xml:space="preserve">the following </w:t>
      </w:r>
      <w:r w:rsidRPr="00137E9F">
        <w:rPr>
          <w:rFonts w:asciiTheme="minorHAnsi" w:eastAsia="Calibri" w:hAnsiTheme="minorHAnsi" w:cstheme="minorHAnsi"/>
          <w:szCs w:val="24"/>
        </w:rPr>
        <w:t>WSIS Special Initiatives:</w:t>
      </w:r>
    </w:p>
    <w:p w14:paraId="4A7FC2E6" w14:textId="3442A8A7" w:rsidR="00A94E3A" w:rsidRPr="00137E9F" w:rsidRDefault="00A94E3A" w:rsidP="00F55B2D">
      <w:pPr>
        <w:pStyle w:val="ListParagraph"/>
        <w:numPr>
          <w:ilvl w:val="0"/>
          <w:numId w:val="2"/>
        </w:numPr>
        <w:tabs>
          <w:tab w:val="clear" w:pos="1134"/>
          <w:tab w:val="left" w:pos="990"/>
        </w:tabs>
        <w:spacing w:after="120"/>
        <w:ind w:left="987" w:hanging="448"/>
        <w:contextualSpacing w:val="0"/>
        <w:jc w:val="both"/>
        <w:rPr>
          <w:rFonts w:asciiTheme="minorHAnsi" w:eastAsia="Calibri" w:hAnsiTheme="minorHAnsi" w:cstheme="minorHAnsi"/>
          <w:szCs w:val="24"/>
          <w:u w:val="single"/>
        </w:rPr>
      </w:pPr>
      <w:r w:rsidRPr="00137E9F">
        <w:rPr>
          <w:rFonts w:asciiTheme="minorHAnsi" w:eastAsia="Calibri" w:hAnsiTheme="minorHAnsi" w:cstheme="minorHAnsi"/>
          <w:szCs w:val="24"/>
        </w:rPr>
        <w:t xml:space="preserve">A new repository called </w:t>
      </w:r>
      <w:r w:rsidRPr="00137E9F">
        <w:rPr>
          <w:rFonts w:asciiTheme="minorHAnsi" w:eastAsia="Calibri" w:hAnsiTheme="minorHAnsi" w:cstheme="minorHAnsi"/>
          <w:i/>
          <w:szCs w:val="24"/>
        </w:rPr>
        <w:t>WSIS Stocktaking Repository of Women in Technology</w:t>
      </w:r>
      <w:r w:rsidRPr="00137E9F">
        <w:rPr>
          <w:rFonts w:asciiTheme="minorHAnsi" w:eastAsia="Calibri" w:hAnsiTheme="minorHAnsi" w:cstheme="minorHAnsi"/>
          <w:szCs w:val="24"/>
        </w:rPr>
        <w:t xml:space="preserve"> (</w:t>
      </w:r>
      <w:hyperlink r:id="rId34" w:history="1">
        <w:r w:rsidR="001A6A79" w:rsidRPr="00137E9F">
          <w:rPr>
            <w:rStyle w:val="Hyperlink"/>
            <w:rFonts w:asciiTheme="minorHAnsi" w:eastAsia="Calibri" w:hAnsiTheme="minorHAnsi" w:cstheme="minorHAnsi"/>
            <w:szCs w:val="24"/>
          </w:rPr>
          <w:t>http://www.itu.int/go/WSISGender</w:t>
        </w:r>
      </w:hyperlink>
      <w:r w:rsidR="001A6A79" w:rsidRPr="00137E9F">
        <w:rPr>
          <w:rFonts w:asciiTheme="minorHAnsi" w:eastAsia="Microsoft YaHei" w:hAnsiTheme="minorHAnsi" w:cstheme="minorHAnsi"/>
          <w:szCs w:val="24"/>
          <w:lang w:eastAsia="zh-CN"/>
        </w:rPr>
        <w:t>).</w:t>
      </w:r>
      <w:r w:rsidRPr="00137E9F">
        <w:rPr>
          <w:rFonts w:asciiTheme="minorHAnsi" w:eastAsia="Calibri" w:hAnsiTheme="minorHAnsi" w:cstheme="minorHAnsi"/>
          <w:szCs w:val="24"/>
        </w:rPr>
        <w:t xml:space="preserve"> This repository provides opportunities to connect with women leaders and practitioners in all sectors of the ICT industry from all regions and to engage in various activities on ICTs and Gender Mainstreaming, such as workshops, training courses, networking events, WSIS Forum, and others that aimed at fostering a dialogue on the use of ICTs as a means for implementing the SDGs. </w:t>
      </w:r>
    </w:p>
    <w:p w14:paraId="2264C8D9" w14:textId="03722780" w:rsidR="00A94E3A" w:rsidRPr="00137E9F" w:rsidRDefault="00A94E3A" w:rsidP="00303A7B">
      <w:pPr>
        <w:pStyle w:val="ListParagraph"/>
        <w:numPr>
          <w:ilvl w:val="0"/>
          <w:numId w:val="2"/>
        </w:numPr>
        <w:tabs>
          <w:tab w:val="clear" w:pos="1134"/>
          <w:tab w:val="left" w:pos="990"/>
        </w:tabs>
        <w:spacing w:after="120"/>
        <w:ind w:left="990" w:hanging="450"/>
        <w:contextualSpacing w:val="0"/>
        <w:jc w:val="both"/>
        <w:rPr>
          <w:rFonts w:asciiTheme="minorHAnsi" w:eastAsia="Calibri" w:hAnsiTheme="minorHAnsi" w:cstheme="minorHAnsi"/>
          <w:szCs w:val="24"/>
          <w:u w:val="single"/>
        </w:rPr>
      </w:pPr>
      <w:r w:rsidRPr="00137E9F">
        <w:rPr>
          <w:rFonts w:asciiTheme="minorHAnsi" w:hAnsiTheme="minorHAnsi" w:cstheme="minorHAnsi"/>
          <w:color w:val="000000"/>
          <w:szCs w:val="24"/>
          <w:lang w:val="en-US" w:eastAsia="zh-CN"/>
        </w:rPr>
        <w:t xml:space="preserve">To promote the repository, the </w:t>
      </w:r>
      <w:hyperlink r:id="rId35" w:history="1">
        <w:r w:rsidRPr="00137E9F">
          <w:rPr>
            <w:rStyle w:val="Hyperlink"/>
            <w:rFonts w:asciiTheme="minorHAnsi" w:hAnsiTheme="minorHAnsi" w:cstheme="minorHAnsi"/>
            <w:i/>
            <w:szCs w:val="24"/>
            <w:lang w:val="en-US" w:eastAsia="zh-CN"/>
          </w:rPr>
          <w:t>WSIS Gender Trendsetters</w:t>
        </w:r>
      </w:hyperlink>
      <w:r w:rsidR="00A22008" w:rsidRPr="00137E9F">
        <w:rPr>
          <w:rFonts w:asciiTheme="minorHAnsi" w:hAnsiTheme="minorHAnsi" w:cstheme="minorHAnsi"/>
          <w:color w:val="000000"/>
          <w:szCs w:val="24"/>
          <w:lang w:val="en-US" w:eastAsia="zh-CN"/>
        </w:rPr>
        <w:t xml:space="preserve">  </w:t>
      </w:r>
      <w:r w:rsidRPr="00137E9F">
        <w:rPr>
          <w:rFonts w:asciiTheme="minorHAnsi" w:hAnsiTheme="minorHAnsi" w:cstheme="minorHAnsi"/>
          <w:color w:val="000000"/>
          <w:szCs w:val="24"/>
          <w:lang w:val="en-US" w:eastAsia="zh-CN"/>
        </w:rPr>
        <w:t>advocate</w:t>
      </w:r>
      <w:r w:rsidR="007923F2" w:rsidRPr="00137E9F">
        <w:rPr>
          <w:rFonts w:asciiTheme="minorHAnsi" w:hAnsiTheme="minorHAnsi" w:cstheme="minorHAnsi"/>
          <w:color w:val="000000"/>
          <w:szCs w:val="24"/>
          <w:lang w:val="en-US" w:eastAsia="zh-CN"/>
        </w:rPr>
        <w:t>s</w:t>
      </w:r>
      <w:r w:rsidRPr="00137E9F">
        <w:rPr>
          <w:rFonts w:asciiTheme="minorHAnsi" w:hAnsiTheme="minorHAnsi" w:cstheme="minorHAnsi"/>
          <w:color w:val="000000"/>
          <w:szCs w:val="24"/>
          <w:lang w:val="en-US" w:eastAsia="zh-CN"/>
        </w:rPr>
        <w:t xml:space="preserve"> and promote</w:t>
      </w:r>
      <w:r w:rsidR="007923F2" w:rsidRPr="00137E9F">
        <w:rPr>
          <w:rFonts w:asciiTheme="minorHAnsi" w:hAnsiTheme="minorHAnsi" w:cstheme="minorHAnsi"/>
          <w:color w:val="000000"/>
          <w:szCs w:val="24"/>
          <w:lang w:val="en-US" w:eastAsia="zh-CN"/>
        </w:rPr>
        <w:t>s</w:t>
      </w:r>
      <w:r w:rsidRPr="00137E9F">
        <w:rPr>
          <w:rFonts w:asciiTheme="minorHAnsi" w:hAnsiTheme="minorHAnsi" w:cstheme="minorHAnsi"/>
          <w:color w:val="000000"/>
          <w:szCs w:val="24"/>
          <w:lang w:val="en-US" w:eastAsia="zh-CN"/>
        </w:rPr>
        <w:t xml:space="preserve"> the inclusion of gender issues in ICTs discussions as well as the WSIS Forum 50/50 gender balance </w:t>
      </w:r>
      <w:r w:rsidRPr="00137E9F">
        <w:rPr>
          <w:rFonts w:asciiTheme="minorHAnsi" w:hAnsiTheme="minorHAnsi" w:cstheme="minorHAnsi"/>
          <w:szCs w:val="24"/>
          <w:lang w:val="en-US" w:eastAsia="zh-CN"/>
        </w:rPr>
        <w:t>challenge.</w:t>
      </w:r>
    </w:p>
    <w:p w14:paraId="0F79F7C3" w14:textId="503D07CC" w:rsidR="00A94E3A" w:rsidRPr="00085A79" w:rsidRDefault="00A94E3A" w:rsidP="00303A7B">
      <w:pPr>
        <w:spacing w:after="120"/>
        <w:jc w:val="both"/>
        <w:rPr>
          <w:rStyle w:val="Hyperlink"/>
          <w:rFonts w:asciiTheme="minorHAnsi" w:eastAsia="Calibri" w:hAnsiTheme="minorHAnsi" w:cstheme="minorHAnsi"/>
          <w:color w:val="auto"/>
          <w:szCs w:val="24"/>
        </w:rPr>
      </w:pPr>
      <w:r w:rsidRPr="00085A79">
        <w:rPr>
          <w:rFonts w:asciiTheme="minorHAnsi" w:eastAsia="Calibri" w:hAnsiTheme="minorHAnsi" w:cstheme="minorHAnsi"/>
          <w:szCs w:val="24"/>
        </w:rPr>
        <w:t xml:space="preserve">More information about WSIS and its preparations for the WSIS Forum 2022 can be found in </w:t>
      </w:r>
      <w:hyperlink r:id="rId36" w:history="1">
        <w:r w:rsidRPr="00085A79">
          <w:rPr>
            <w:rStyle w:val="Hyperlink"/>
            <w:rFonts w:asciiTheme="minorHAnsi" w:eastAsia="Calibri" w:hAnsiTheme="minorHAnsi" w:cstheme="minorHAnsi"/>
            <w:szCs w:val="24"/>
          </w:rPr>
          <w:t>www.wsis.org/forum</w:t>
        </w:r>
      </w:hyperlink>
      <w:r w:rsidRPr="00085A79">
        <w:rPr>
          <w:rStyle w:val="Hyperlink"/>
          <w:rFonts w:asciiTheme="minorHAnsi" w:eastAsia="Calibri" w:hAnsiTheme="minorHAnsi" w:cstheme="minorHAnsi"/>
          <w:szCs w:val="24"/>
        </w:rPr>
        <w:t>.</w:t>
      </w:r>
    </w:p>
    <w:p w14:paraId="6D5B7C8E" w14:textId="77777777" w:rsidR="00434A00" w:rsidRPr="00085A79" w:rsidRDefault="00434A00" w:rsidP="00303A7B">
      <w:pPr>
        <w:spacing w:after="120"/>
        <w:jc w:val="both"/>
        <w:rPr>
          <w:rStyle w:val="Hyperlink"/>
          <w:rFonts w:asciiTheme="minorHAnsi" w:eastAsia="Calibri" w:hAnsiTheme="minorHAnsi" w:cstheme="minorHAnsi"/>
          <w:b/>
          <w:bCs/>
          <w:color w:val="auto"/>
          <w:szCs w:val="24"/>
        </w:rPr>
      </w:pPr>
      <w:r w:rsidRPr="00085A79">
        <w:rPr>
          <w:rFonts w:asciiTheme="minorHAnsi" w:hAnsiTheme="minorHAnsi" w:cstheme="minorHAnsi"/>
          <w:b/>
          <w:bCs/>
          <w:szCs w:val="24"/>
        </w:rPr>
        <w:t xml:space="preserve">3.2 </w:t>
      </w:r>
      <w:r w:rsidRPr="00085A79">
        <w:rPr>
          <w:rFonts w:asciiTheme="minorHAnsi" w:hAnsiTheme="minorHAnsi" w:cstheme="minorHAnsi"/>
          <w:b/>
          <w:bCs/>
          <w:szCs w:val="24"/>
        </w:rPr>
        <w:tab/>
        <w:t>Girls in ICT Day</w:t>
      </w:r>
    </w:p>
    <w:p w14:paraId="0957FB72" w14:textId="04B94494" w:rsidR="00DE79ED" w:rsidRPr="00085A79" w:rsidRDefault="00DE79ED" w:rsidP="00303A7B">
      <w:pPr>
        <w:spacing w:after="120"/>
        <w:jc w:val="both"/>
        <w:rPr>
          <w:rFonts w:asciiTheme="minorHAnsi" w:hAnsiTheme="minorHAnsi" w:cstheme="minorHAnsi"/>
          <w:bCs/>
          <w:szCs w:val="24"/>
          <w:lang w:val="en-US"/>
        </w:rPr>
      </w:pPr>
      <w:r w:rsidRPr="00085A79">
        <w:rPr>
          <w:rFonts w:asciiTheme="minorHAnsi" w:hAnsiTheme="minorHAnsi" w:cstheme="minorHAnsi"/>
          <w:bCs/>
          <w:szCs w:val="24"/>
          <w:lang w:val="en"/>
        </w:rPr>
        <w:t xml:space="preserve">Launched in 2011 and now a </w:t>
      </w:r>
      <w:r w:rsidR="00EE79BF" w:rsidRPr="00085A79">
        <w:rPr>
          <w:rFonts w:asciiTheme="minorHAnsi" w:hAnsiTheme="minorHAnsi" w:cstheme="minorHAnsi"/>
          <w:bCs/>
          <w:szCs w:val="24"/>
          <w:lang w:val="en"/>
        </w:rPr>
        <w:t>UN observance</w:t>
      </w:r>
      <w:r w:rsidRPr="00085A79">
        <w:rPr>
          <w:rFonts w:asciiTheme="minorHAnsi" w:hAnsiTheme="minorHAnsi" w:cstheme="minorHAnsi"/>
          <w:bCs/>
          <w:szCs w:val="24"/>
          <w:lang w:val="en"/>
        </w:rPr>
        <w:t xml:space="preserve">, the </w:t>
      </w:r>
      <w:hyperlink r:id="rId37" w:history="1">
        <w:r w:rsidR="00EE79BF" w:rsidRPr="00085A79">
          <w:rPr>
            <w:rStyle w:val="Hyperlink"/>
            <w:rFonts w:asciiTheme="minorHAnsi" w:hAnsiTheme="minorHAnsi" w:cstheme="minorHAnsi"/>
            <w:bCs/>
            <w:szCs w:val="24"/>
            <w:lang w:val="en"/>
          </w:rPr>
          <w:t>International Girls in ICT Day</w:t>
        </w:r>
      </w:hyperlink>
      <w:r w:rsidRPr="00085A79">
        <w:rPr>
          <w:rFonts w:asciiTheme="minorHAnsi" w:hAnsiTheme="minorHAnsi" w:cstheme="minorHAnsi"/>
          <w:bCs/>
          <w:szCs w:val="24"/>
          <w:lang w:val="en"/>
        </w:rPr>
        <w:t xml:space="preserve"> takes place every fourth Thursday of April to encourage more girls and young women to take up ICT careers and studies. </w:t>
      </w:r>
    </w:p>
    <w:p w14:paraId="16DB5CFC" w14:textId="4EC10BB5" w:rsidR="49C52635" w:rsidRPr="00085A79" w:rsidRDefault="49C52635" w:rsidP="00085A79">
      <w:pPr>
        <w:keepNext/>
        <w:keepLines/>
        <w:spacing w:after="120"/>
        <w:jc w:val="both"/>
        <w:rPr>
          <w:rFonts w:asciiTheme="minorHAnsi" w:hAnsiTheme="minorHAnsi" w:cstheme="minorHAnsi"/>
          <w:szCs w:val="24"/>
          <w:lang w:val="en-US"/>
        </w:rPr>
      </w:pPr>
      <w:r w:rsidRPr="00085A79">
        <w:rPr>
          <w:rFonts w:asciiTheme="minorHAnsi" w:hAnsiTheme="minorHAnsi" w:cstheme="minorHAnsi"/>
          <w:szCs w:val="24"/>
          <w:lang w:val="en-US"/>
        </w:rPr>
        <w:lastRenderedPageBreak/>
        <w:t xml:space="preserve">The </w:t>
      </w:r>
      <w:hyperlink r:id="rId38" w:history="1">
        <w:r w:rsidRPr="00085A79">
          <w:rPr>
            <w:rFonts w:asciiTheme="minorHAnsi" w:hAnsiTheme="minorHAnsi" w:cstheme="minorHAnsi"/>
            <w:szCs w:val="24"/>
            <w:lang w:val="en-US"/>
          </w:rPr>
          <w:t>10th Anniversary of Girls in ICT</w:t>
        </w:r>
      </w:hyperlink>
      <w:r w:rsidRPr="00085A79">
        <w:rPr>
          <w:rFonts w:asciiTheme="minorHAnsi" w:hAnsiTheme="minorHAnsi" w:cstheme="minorHAnsi"/>
          <w:szCs w:val="24"/>
          <w:lang w:val="en-US"/>
        </w:rPr>
        <w:t xml:space="preserve"> was celebrated on 22 April 2021. With the theme ‘Connecting</w:t>
      </w:r>
      <w:r w:rsidR="00DC7A3D" w:rsidRPr="00085A79">
        <w:rPr>
          <w:rFonts w:asciiTheme="minorHAnsi" w:hAnsiTheme="minorHAnsi" w:cstheme="minorHAnsi"/>
          <w:szCs w:val="24"/>
          <w:lang w:val="en-US"/>
        </w:rPr>
        <w:t xml:space="preserve"> </w:t>
      </w:r>
      <w:r w:rsidRPr="00085A79">
        <w:rPr>
          <w:rFonts w:asciiTheme="minorHAnsi" w:hAnsiTheme="minorHAnsi" w:cstheme="minorHAnsi"/>
          <w:szCs w:val="24"/>
          <w:lang w:val="en-US"/>
        </w:rPr>
        <w:t>girls, creating brighter futures’, 10 Moments of Girls in ICT was a series of virtual events hosted by ITU and its partners. The 10 Moments series was designed with three goals in mind: build momentum and awareness about the importance of encouraging girls in STEM; engage key stakeholders and communities; and provide an inclusive platform to discuss the best ways to encourage girls to pursue STEM careers.</w:t>
      </w:r>
    </w:p>
    <w:p w14:paraId="70373DDB" w14:textId="6202DFF8" w:rsidR="49C52635" w:rsidRPr="00085A79" w:rsidRDefault="49C52635" w:rsidP="00303A7B">
      <w:pPr>
        <w:spacing w:after="120"/>
        <w:jc w:val="both"/>
        <w:rPr>
          <w:rFonts w:asciiTheme="minorHAnsi" w:hAnsiTheme="minorHAnsi" w:cstheme="minorHAnsi"/>
          <w:szCs w:val="24"/>
        </w:rPr>
      </w:pPr>
      <w:r w:rsidRPr="00085A79">
        <w:rPr>
          <w:rFonts w:asciiTheme="minorHAnsi" w:hAnsiTheme="minorHAnsi" w:cstheme="minorHAnsi"/>
          <w:szCs w:val="24"/>
          <w:lang w:val="en-US"/>
        </w:rPr>
        <w:t>In September 2021, as part of Girls in ICTs 2021, Airtel Networks Zambia Plc</w:t>
      </w:r>
      <w:r w:rsidR="00B37E25" w:rsidRPr="00085A79">
        <w:rPr>
          <w:rFonts w:asciiTheme="minorHAnsi" w:hAnsiTheme="minorHAnsi" w:cstheme="minorHAnsi"/>
          <w:szCs w:val="24"/>
          <w:lang w:val="en-US"/>
        </w:rPr>
        <w:t>.</w:t>
      </w:r>
      <w:r w:rsidRPr="00085A79">
        <w:rPr>
          <w:rFonts w:asciiTheme="minorHAnsi" w:hAnsiTheme="minorHAnsi" w:cstheme="minorHAnsi"/>
          <w:szCs w:val="24"/>
          <w:lang w:val="en-US"/>
        </w:rPr>
        <w:t xml:space="preserve"> partnered with the Smart Zambia Institute to provide digital skills training to schoolgirls in the country and to encourage them to pursue careers in STEM. Under the program, hosted by Smart Zambia Institute, 150 girls selected from three provinces in Zambia will undergo digital skills training that will run throughout 2021.The partnership is part of the Digital Transformation </w:t>
      </w:r>
      <w:r w:rsidR="00B45FA0" w:rsidRPr="00085A79">
        <w:rPr>
          <w:rFonts w:asciiTheme="minorHAnsi" w:hAnsiTheme="minorHAnsi" w:cstheme="minorHAnsi"/>
          <w:szCs w:val="24"/>
          <w:lang w:val="en-US"/>
        </w:rPr>
        <w:t>Centers</w:t>
      </w:r>
      <w:r w:rsidRPr="00085A79">
        <w:rPr>
          <w:rFonts w:asciiTheme="minorHAnsi" w:hAnsiTheme="minorHAnsi" w:cstheme="minorHAnsi"/>
          <w:szCs w:val="24"/>
          <w:lang w:val="en-US"/>
        </w:rPr>
        <w:t xml:space="preserve"> (DTC) initiative launched by the ITU and CISCO.</w:t>
      </w:r>
    </w:p>
    <w:p w14:paraId="15830DF6" w14:textId="77777777" w:rsidR="00434A00" w:rsidRPr="00085A79" w:rsidRDefault="00434A00" w:rsidP="00303A7B">
      <w:pPr>
        <w:spacing w:after="120"/>
        <w:rPr>
          <w:rFonts w:asciiTheme="minorHAnsi" w:hAnsiTheme="minorHAnsi" w:cstheme="minorHAnsi"/>
          <w:b/>
          <w:bCs/>
          <w:szCs w:val="24"/>
        </w:rPr>
      </w:pPr>
      <w:r w:rsidRPr="00085A79">
        <w:rPr>
          <w:rFonts w:asciiTheme="minorHAnsi" w:hAnsiTheme="minorHAnsi" w:cstheme="minorHAnsi"/>
          <w:b/>
          <w:bCs/>
          <w:szCs w:val="24"/>
        </w:rPr>
        <w:t xml:space="preserve">3.3 </w:t>
      </w:r>
      <w:r w:rsidRPr="00085A79">
        <w:rPr>
          <w:rFonts w:asciiTheme="minorHAnsi" w:hAnsiTheme="minorHAnsi" w:cstheme="minorHAnsi"/>
          <w:b/>
          <w:bCs/>
          <w:szCs w:val="24"/>
        </w:rPr>
        <w:tab/>
        <w:t xml:space="preserve">Girls can Code Initiatives </w:t>
      </w:r>
    </w:p>
    <w:p w14:paraId="6FF2096B" w14:textId="4D6215E4" w:rsidR="00B919DC" w:rsidRPr="00085A79" w:rsidRDefault="7F714C35" w:rsidP="00303A7B">
      <w:pPr>
        <w:spacing w:after="120"/>
        <w:jc w:val="both"/>
        <w:rPr>
          <w:rFonts w:asciiTheme="minorHAnsi" w:hAnsiTheme="minorHAnsi" w:cstheme="minorHAnsi"/>
          <w:szCs w:val="24"/>
          <w:lang w:val="en-US"/>
        </w:rPr>
      </w:pPr>
      <w:r w:rsidRPr="00085A79">
        <w:rPr>
          <w:rFonts w:asciiTheme="minorHAnsi" w:hAnsiTheme="minorHAnsi" w:cstheme="minorHAnsi"/>
          <w:szCs w:val="24"/>
          <w:lang w:val="en-US"/>
        </w:rPr>
        <w:t xml:space="preserve">In 2018 and 2019, over five hundred girls participated in coding workshops as </w:t>
      </w:r>
      <w:r w:rsidRPr="00137E9F">
        <w:rPr>
          <w:rFonts w:asciiTheme="minorHAnsi" w:hAnsiTheme="minorHAnsi" w:cstheme="minorHAnsi"/>
          <w:szCs w:val="24"/>
          <w:lang w:val="en-US"/>
        </w:rPr>
        <w:t xml:space="preserve">part of the </w:t>
      </w:r>
      <w:hyperlink r:id="rId39" w:anchor=":~:text=ITU%20and%20UN%20Women%2c%20in%20collaboration%20with%20the%2c17%20to%2020%20years%20old%20with%20ICT%20skills." w:history="1">
        <w:r w:rsidR="00BD2129" w:rsidRPr="00137E9F">
          <w:rPr>
            <w:rStyle w:val="Hyperlink"/>
            <w:rFonts w:asciiTheme="minorHAnsi" w:hAnsiTheme="minorHAnsi" w:cstheme="minorHAnsi"/>
            <w:szCs w:val="24"/>
            <w:lang w:val="en-US"/>
          </w:rPr>
          <w:t>African Girls Can Code</w:t>
        </w:r>
        <w:r w:rsidRPr="00137E9F">
          <w:rPr>
            <w:rStyle w:val="Hyperlink"/>
            <w:rFonts w:asciiTheme="minorHAnsi" w:hAnsiTheme="minorHAnsi" w:cstheme="minorHAnsi"/>
            <w:szCs w:val="24"/>
            <w:lang w:val="en-US"/>
          </w:rPr>
          <w:t xml:space="preserve"> Initiative</w:t>
        </w:r>
      </w:hyperlink>
      <w:r w:rsidRPr="00137E9F">
        <w:rPr>
          <w:rFonts w:asciiTheme="minorHAnsi" w:hAnsiTheme="minorHAnsi" w:cstheme="minorHAnsi"/>
          <w:szCs w:val="24"/>
          <w:lang w:val="en-US"/>
        </w:rPr>
        <w:t>, an initiative by ITU, the African Union and UN Women with financial support of ITU and the Royal Danish Embassy in Ethiopia. In 2020</w:t>
      </w:r>
      <w:r w:rsidR="007923F2" w:rsidRPr="00137E9F">
        <w:rPr>
          <w:rFonts w:asciiTheme="minorHAnsi" w:hAnsiTheme="minorHAnsi" w:cstheme="minorHAnsi"/>
          <w:szCs w:val="24"/>
          <w:lang w:val="en-US"/>
        </w:rPr>
        <w:t>,</w:t>
      </w:r>
      <w:r w:rsidRPr="00137E9F">
        <w:rPr>
          <w:rFonts w:asciiTheme="minorHAnsi" w:hAnsiTheme="minorHAnsi" w:cstheme="minorHAnsi"/>
          <w:szCs w:val="24"/>
          <w:lang w:val="en-US"/>
        </w:rPr>
        <w:t xml:space="preserve"> the initiative scaled</w:t>
      </w:r>
      <w:r w:rsidR="007923F2" w:rsidRPr="00137E9F">
        <w:rPr>
          <w:rFonts w:asciiTheme="minorHAnsi" w:hAnsiTheme="minorHAnsi" w:cstheme="minorHAnsi"/>
          <w:szCs w:val="24"/>
          <w:lang w:val="en-US"/>
        </w:rPr>
        <w:t>-up,</w:t>
      </w:r>
      <w:r w:rsidRPr="00137E9F">
        <w:rPr>
          <w:rFonts w:asciiTheme="minorHAnsi" w:hAnsiTheme="minorHAnsi" w:cstheme="minorHAnsi"/>
          <w:szCs w:val="24"/>
          <w:lang w:val="en-US"/>
        </w:rPr>
        <w:t xml:space="preserve"> went hybrid and held an event with UNECA in Addis Ababa, Ethiopia</w:t>
      </w:r>
      <w:r w:rsidR="002950F6" w:rsidRPr="00137E9F">
        <w:rPr>
          <w:rFonts w:asciiTheme="minorHAnsi" w:hAnsiTheme="minorHAnsi" w:cstheme="minorHAnsi"/>
          <w:szCs w:val="24"/>
          <w:lang w:val="en-US"/>
        </w:rPr>
        <w:t>,</w:t>
      </w:r>
      <w:r w:rsidRPr="00137E9F">
        <w:rPr>
          <w:rFonts w:asciiTheme="minorHAnsi" w:hAnsiTheme="minorHAnsi" w:cstheme="minorHAnsi"/>
          <w:szCs w:val="24"/>
          <w:lang w:val="en-US"/>
        </w:rPr>
        <w:t xml:space="preserve"> with 125 girls participating in person and over 2000 girls from across the continent participating remotely. The second phase of the</w:t>
      </w:r>
      <w:r w:rsidRPr="00085A79">
        <w:rPr>
          <w:rFonts w:asciiTheme="minorHAnsi" w:hAnsiTheme="minorHAnsi" w:cstheme="minorHAnsi"/>
          <w:szCs w:val="24"/>
          <w:lang w:val="en-US"/>
        </w:rPr>
        <w:t xml:space="preserve"> initiative is bringing the regional initiative to the national level, with the development of customized national programs with partners</w:t>
      </w:r>
      <w:r w:rsidRPr="00085A79">
        <w:rPr>
          <w:rFonts w:asciiTheme="minorHAnsi" w:hAnsiTheme="minorHAnsi" w:cstheme="minorHAnsi"/>
          <w:i/>
          <w:iCs/>
          <w:szCs w:val="24"/>
          <w:lang w:val="en-US"/>
        </w:rPr>
        <w:t>.</w:t>
      </w:r>
    </w:p>
    <w:p w14:paraId="69BD29A1" w14:textId="08D0753E" w:rsidR="7F714C35" w:rsidRPr="00085A79" w:rsidRDefault="7F714C35" w:rsidP="00303A7B">
      <w:pPr>
        <w:spacing w:after="120"/>
        <w:jc w:val="both"/>
        <w:rPr>
          <w:rFonts w:asciiTheme="minorHAnsi" w:hAnsiTheme="minorHAnsi" w:cstheme="minorHAnsi"/>
          <w:szCs w:val="24"/>
          <w:lang w:val="en-US"/>
        </w:rPr>
      </w:pPr>
      <w:r w:rsidRPr="00085A79">
        <w:rPr>
          <w:rFonts w:asciiTheme="minorHAnsi" w:hAnsiTheme="minorHAnsi" w:cstheme="minorHAnsi"/>
          <w:szCs w:val="24"/>
          <w:lang w:val="en-US"/>
        </w:rPr>
        <w:t xml:space="preserve">The </w:t>
      </w:r>
      <w:hyperlink r:id="rId40" w:history="1">
        <w:r w:rsidRPr="00085A79">
          <w:rPr>
            <w:rStyle w:val="Hyperlink"/>
            <w:rFonts w:asciiTheme="minorHAnsi" w:hAnsiTheme="minorHAnsi" w:cstheme="minorHAnsi"/>
            <w:szCs w:val="24"/>
            <w:lang w:val="en-US"/>
          </w:rPr>
          <w:t>America</w:t>
        </w:r>
        <w:r w:rsidR="00033A58" w:rsidRPr="00085A79">
          <w:rPr>
            <w:rStyle w:val="Hyperlink"/>
            <w:rFonts w:asciiTheme="minorHAnsi" w:hAnsiTheme="minorHAnsi" w:cstheme="minorHAnsi"/>
            <w:szCs w:val="24"/>
            <w:lang w:val="en-US"/>
          </w:rPr>
          <w:t>n</w:t>
        </w:r>
        <w:r w:rsidRPr="00085A79">
          <w:rPr>
            <w:rStyle w:val="Hyperlink"/>
            <w:rFonts w:asciiTheme="minorHAnsi" w:hAnsiTheme="minorHAnsi" w:cstheme="minorHAnsi"/>
            <w:szCs w:val="24"/>
            <w:lang w:val="en-US"/>
          </w:rPr>
          <w:t xml:space="preserve"> Girls Can Code Initiative</w:t>
        </w:r>
      </w:hyperlink>
      <w:r w:rsidRPr="00085A79">
        <w:rPr>
          <w:rFonts w:asciiTheme="minorHAnsi" w:hAnsiTheme="minorHAnsi" w:cstheme="minorHAnsi"/>
          <w:szCs w:val="24"/>
          <w:lang w:val="en-US"/>
        </w:rPr>
        <w:t xml:space="preserve"> has taught over 7000 girls how to code through a series of workshops organized with the support of many different partners.</w:t>
      </w:r>
      <w:r w:rsidR="00B919DC" w:rsidRPr="00085A79">
        <w:rPr>
          <w:rFonts w:asciiTheme="minorHAnsi" w:hAnsiTheme="minorHAnsi" w:cstheme="minorHAnsi"/>
          <w:szCs w:val="24"/>
          <w:lang w:val="en-US"/>
        </w:rPr>
        <w:t xml:space="preserve"> </w:t>
      </w:r>
      <w:r w:rsidRPr="00085A79">
        <w:rPr>
          <w:rFonts w:asciiTheme="minorHAnsi" w:hAnsiTheme="minorHAnsi" w:cstheme="minorHAnsi"/>
          <w:szCs w:val="24"/>
          <w:lang w:val="en-US"/>
        </w:rPr>
        <w:t>America</w:t>
      </w:r>
      <w:r w:rsidR="00A51A46" w:rsidRPr="00085A79">
        <w:rPr>
          <w:rFonts w:asciiTheme="minorHAnsi" w:hAnsiTheme="minorHAnsi" w:cstheme="minorHAnsi"/>
          <w:szCs w:val="24"/>
          <w:lang w:val="en-US"/>
        </w:rPr>
        <w:t>n</w:t>
      </w:r>
      <w:r w:rsidRPr="00085A79">
        <w:rPr>
          <w:rFonts w:asciiTheme="minorHAnsi" w:hAnsiTheme="minorHAnsi" w:cstheme="minorHAnsi"/>
          <w:szCs w:val="24"/>
          <w:lang w:val="en-US"/>
        </w:rPr>
        <w:t xml:space="preserve"> Girls Can Code initiative counts today on a new ITU project supported by Facebook. Its</w:t>
      </w:r>
      <w:r w:rsidR="009D537F" w:rsidRPr="00085A79">
        <w:rPr>
          <w:rFonts w:asciiTheme="minorHAnsi" w:hAnsiTheme="minorHAnsi" w:cstheme="minorHAnsi"/>
          <w:szCs w:val="24"/>
          <w:lang w:val="en-US"/>
        </w:rPr>
        <w:t xml:space="preserve"> </w:t>
      </w:r>
      <w:r w:rsidRPr="00085A79">
        <w:rPr>
          <w:rFonts w:asciiTheme="minorHAnsi" w:hAnsiTheme="minorHAnsi" w:cstheme="minorHAnsi"/>
          <w:szCs w:val="24"/>
          <w:lang w:val="en-US"/>
        </w:rPr>
        <w:t>main objective is to promote the development of digital skills activities in benefit of girls and young women from the region and to provide support to beneficiary countries to review/adopt digital inclusion policies and strategies. The project was signed in January 2021 to be implemented in 2 years.</w:t>
      </w:r>
    </w:p>
    <w:p w14:paraId="468FA259" w14:textId="1413A6B4" w:rsidR="00434A00" w:rsidRPr="00085A79" w:rsidRDefault="00434A00" w:rsidP="00303A7B">
      <w:pPr>
        <w:spacing w:after="120"/>
        <w:rPr>
          <w:rFonts w:asciiTheme="minorHAnsi" w:hAnsiTheme="minorHAnsi" w:cstheme="minorHAnsi"/>
          <w:b/>
          <w:bCs/>
          <w:szCs w:val="24"/>
        </w:rPr>
      </w:pPr>
      <w:r w:rsidRPr="00085A79">
        <w:rPr>
          <w:rFonts w:asciiTheme="minorHAnsi" w:hAnsiTheme="minorHAnsi" w:cstheme="minorHAnsi"/>
          <w:b/>
          <w:bCs/>
          <w:szCs w:val="24"/>
        </w:rPr>
        <w:t xml:space="preserve">3.4 </w:t>
      </w:r>
      <w:r w:rsidRPr="00085A79">
        <w:rPr>
          <w:rFonts w:asciiTheme="minorHAnsi" w:hAnsiTheme="minorHAnsi" w:cstheme="minorHAnsi"/>
          <w:b/>
          <w:bCs/>
          <w:szCs w:val="24"/>
        </w:rPr>
        <w:tab/>
        <w:t xml:space="preserve">EQUALS: The Global Partnership </w:t>
      </w:r>
      <w:r w:rsidR="00CB1473" w:rsidRPr="00085A79">
        <w:rPr>
          <w:rFonts w:asciiTheme="minorHAnsi" w:hAnsiTheme="minorHAnsi" w:cstheme="minorHAnsi"/>
          <w:b/>
          <w:bCs/>
          <w:szCs w:val="24"/>
        </w:rPr>
        <w:t>for Gender Equality in the Digital Age</w:t>
      </w:r>
    </w:p>
    <w:p w14:paraId="63C6C6BA" w14:textId="3EE6DE95" w:rsidR="00124AC8" w:rsidRPr="00085A79" w:rsidRDefault="00434A00" w:rsidP="00303A7B">
      <w:pPr>
        <w:pStyle w:val="font8"/>
        <w:spacing w:before="120" w:beforeAutospacing="0" w:after="120" w:afterAutospacing="0"/>
        <w:jc w:val="both"/>
        <w:rPr>
          <w:rFonts w:asciiTheme="minorHAnsi" w:hAnsiTheme="minorHAnsi" w:cstheme="minorHAnsi"/>
        </w:rPr>
      </w:pPr>
      <w:r w:rsidRPr="00085A79">
        <w:rPr>
          <w:rFonts w:asciiTheme="minorHAnsi" w:hAnsiTheme="minorHAnsi" w:cstheme="minorHAnsi"/>
        </w:rPr>
        <w:t xml:space="preserve">As a co-founder of the </w:t>
      </w:r>
      <w:hyperlink r:id="rId41" w:history="1">
        <w:r w:rsidR="006506ED" w:rsidRPr="00085A79">
          <w:rPr>
            <w:rStyle w:val="Hyperlink"/>
            <w:rFonts w:asciiTheme="minorHAnsi" w:hAnsiTheme="minorHAnsi" w:cstheme="minorHAnsi"/>
          </w:rPr>
          <w:t>EQUALS</w:t>
        </w:r>
      </w:hyperlink>
      <w:r w:rsidRPr="00085A79">
        <w:rPr>
          <w:rFonts w:asciiTheme="minorHAnsi" w:hAnsiTheme="minorHAnsi" w:cstheme="minorHAnsi"/>
        </w:rPr>
        <w:t xml:space="preserve"> initiative back in 2016, ITU has been leading the efforts along with other members to ensure that women can access ICTs, are equipped with digital skills, and build leadership. </w:t>
      </w:r>
      <w:r w:rsidR="00124AC8" w:rsidRPr="00085A79">
        <w:rPr>
          <w:rFonts w:asciiTheme="minorHAnsi" w:hAnsiTheme="minorHAnsi" w:cstheme="minorHAnsi"/>
          <w:bdr w:val="none" w:sz="0" w:space="0" w:color="auto" w:frame="1"/>
        </w:rPr>
        <w:t>EQUALS Global Partnership is a committed group of corporate leaders, governments, businesses, not-for-profit organizations, academic institutions, NGOs</w:t>
      </w:r>
      <w:r w:rsidR="00323DC8">
        <w:rPr>
          <w:rFonts w:asciiTheme="minorHAnsi" w:hAnsiTheme="minorHAnsi" w:cstheme="minorHAnsi"/>
          <w:bdr w:val="none" w:sz="0" w:space="0" w:color="auto" w:frame="1"/>
        </w:rPr>
        <w:t>,</w:t>
      </w:r>
      <w:r w:rsidR="00124AC8" w:rsidRPr="00085A79">
        <w:rPr>
          <w:rFonts w:asciiTheme="minorHAnsi" w:hAnsiTheme="minorHAnsi" w:cstheme="minorHAnsi"/>
          <w:bdr w:val="none" w:sz="0" w:space="0" w:color="auto" w:frame="1"/>
        </w:rPr>
        <w:t xml:space="preserve"> and community groups around the world dedicated to promoting gender balance in the technology sector by championing equality of access, skills development</w:t>
      </w:r>
      <w:r w:rsidR="00323DC8">
        <w:rPr>
          <w:rFonts w:asciiTheme="minorHAnsi" w:hAnsiTheme="minorHAnsi" w:cstheme="minorHAnsi"/>
          <w:bdr w:val="none" w:sz="0" w:space="0" w:color="auto" w:frame="1"/>
        </w:rPr>
        <w:t>,</w:t>
      </w:r>
      <w:r w:rsidR="00124AC8" w:rsidRPr="00085A79">
        <w:rPr>
          <w:rFonts w:asciiTheme="minorHAnsi" w:hAnsiTheme="minorHAnsi" w:cstheme="minorHAnsi"/>
          <w:bdr w:val="none" w:sz="0" w:space="0" w:color="auto" w:frame="1"/>
        </w:rPr>
        <w:t xml:space="preserve"> and career opportunities for women and men alike.</w:t>
      </w:r>
    </w:p>
    <w:p w14:paraId="00B94EC0" w14:textId="53E3DC59" w:rsidR="00434A00" w:rsidRPr="00085A79" w:rsidRDefault="007854B4" w:rsidP="00303A7B">
      <w:pPr>
        <w:pStyle w:val="font8"/>
        <w:spacing w:before="120" w:beforeAutospacing="0" w:after="120" w:afterAutospacing="0"/>
        <w:jc w:val="both"/>
        <w:textAlignment w:val="baseline"/>
        <w:rPr>
          <w:rFonts w:asciiTheme="minorHAnsi" w:hAnsiTheme="minorHAnsi" w:cstheme="minorHAnsi"/>
        </w:rPr>
      </w:pPr>
      <w:r w:rsidRPr="00085A79">
        <w:rPr>
          <w:rFonts w:asciiTheme="minorHAnsi" w:hAnsiTheme="minorHAnsi" w:cstheme="minorHAnsi"/>
        </w:rPr>
        <w:t xml:space="preserve">Within EQUALS, </w:t>
      </w:r>
      <w:r w:rsidR="00434A00" w:rsidRPr="00085A79">
        <w:rPr>
          <w:rFonts w:asciiTheme="minorHAnsi" w:hAnsiTheme="minorHAnsi" w:cstheme="minorHAnsi"/>
        </w:rPr>
        <w:t xml:space="preserve">ITU has </w:t>
      </w:r>
      <w:r w:rsidRPr="00085A79">
        <w:rPr>
          <w:rFonts w:asciiTheme="minorHAnsi" w:hAnsiTheme="minorHAnsi" w:cstheme="minorHAnsi"/>
        </w:rPr>
        <w:t xml:space="preserve">also </w:t>
      </w:r>
      <w:r w:rsidR="00434A00" w:rsidRPr="00085A79">
        <w:rPr>
          <w:rFonts w:asciiTheme="minorHAnsi" w:hAnsiTheme="minorHAnsi" w:cstheme="minorHAnsi"/>
        </w:rPr>
        <w:t xml:space="preserve">been conducting long-standing work on Child Online Protection to develop a training on safety online for girls. The safety module will be part of workshops for girls delivered with GSMA in </w:t>
      </w:r>
      <w:r w:rsidR="00323DC8">
        <w:rPr>
          <w:rFonts w:asciiTheme="minorHAnsi" w:hAnsiTheme="minorHAnsi" w:cstheme="minorHAnsi"/>
        </w:rPr>
        <w:t>12</w:t>
      </w:r>
      <w:r w:rsidR="00323DC8" w:rsidRPr="00085A79">
        <w:rPr>
          <w:rFonts w:asciiTheme="minorHAnsi" w:hAnsiTheme="minorHAnsi" w:cstheme="minorHAnsi"/>
        </w:rPr>
        <w:t xml:space="preserve"> </w:t>
      </w:r>
      <w:r w:rsidR="00434A00" w:rsidRPr="00085A79">
        <w:rPr>
          <w:rFonts w:asciiTheme="minorHAnsi" w:hAnsiTheme="minorHAnsi" w:cstheme="minorHAnsi"/>
        </w:rPr>
        <w:t>countries.</w:t>
      </w:r>
    </w:p>
    <w:p w14:paraId="3E224AD8" w14:textId="0CBBAEF8" w:rsidR="1865FFA7" w:rsidRPr="00085A79" w:rsidRDefault="1865FFA7" w:rsidP="00303A7B">
      <w:pPr>
        <w:spacing w:after="120"/>
        <w:jc w:val="both"/>
        <w:rPr>
          <w:rFonts w:asciiTheme="minorHAnsi" w:hAnsiTheme="minorHAnsi" w:cstheme="minorHAnsi"/>
          <w:szCs w:val="24"/>
        </w:rPr>
      </w:pPr>
      <w:r w:rsidRPr="00085A79">
        <w:rPr>
          <w:rFonts w:asciiTheme="minorHAnsi" w:hAnsiTheme="minorHAnsi" w:cstheme="minorHAnsi"/>
          <w:szCs w:val="24"/>
        </w:rPr>
        <w:t xml:space="preserve">On 8 March 2021, ITU, FIRST, and EQUALS launched the </w:t>
      </w:r>
      <w:hyperlink r:id="rId42" w:history="1">
        <w:r w:rsidR="001120CA" w:rsidRPr="00085A79">
          <w:rPr>
            <w:rStyle w:val="Hyperlink"/>
            <w:rFonts w:asciiTheme="minorHAnsi" w:hAnsiTheme="minorHAnsi" w:cstheme="minorHAnsi"/>
            <w:szCs w:val="24"/>
          </w:rPr>
          <w:t>Women in Cyber Mentorship Programme</w:t>
        </w:r>
      </w:hyperlink>
      <w:r w:rsidR="001120CA" w:rsidRPr="00085A79">
        <w:rPr>
          <w:rFonts w:asciiTheme="minorHAnsi" w:hAnsiTheme="minorHAnsi" w:cstheme="minorHAnsi"/>
          <w:szCs w:val="24"/>
        </w:rPr>
        <w:t>.</w:t>
      </w:r>
      <w:r w:rsidRPr="00085A79">
        <w:rPr>
          <w:rFonts w:asciiTheme="minorHAnsi" w:hAnsiTheme="minorHAnsi" w:cstheme="minorHAnsi"/>
          <w:szCs w:val="24"/>
        </w:rPr>
        <w:t xml:space="preserve"> </w:t>
      </w:r>
      <w:r w:rsidR="2DE75E67" w:rsidRPr="00085A79">
        <w:rPr>
          <w:rFonts w:asciiTheme="minorHAnsi" w:eastAsiaTheme="minorEastAsia" w:hAnsiTheme="minorHAnsi" w:cstheme="minorHAnsi"/>
          <w:szCs w:val="24"/>
        </w:rPr>
        <w:t xml:space="preserve">The first edition of the programme focused on the Arab and Africa regions. It engages role models and leaders in this field and connects them with talented women worldwide. This effort aims at overcoming the global gender gap in the field of cybersecurity, through the creation of a global mentorship programme aimed at building capacity of women wishing to pursue a successful career and evolve within the cybersecurity sector. The Women in Cyber Mentorship Programme is three-fold, and incorporates a series of inspirational webinars, technical and soft skills training courses, </w:t>
      </w:r>
      <w:r w:rsidR="2DE75E67" w:rsidRPr="00085A79">
        <w:rPr>
          <w:rFonts w:asciiTheme="minorHAnsi" w:eastAsiaTheme="minorEastAsia" w:hAnsiTheme="minorHAnsi" w:cstheme="minorHAnsi"/>
          <w:szCs w:val="24"/>
        </w:rPr>
        <w:lastRenderedPageBreak/>
        <w:t>and a six-month mentorship module. All activities were delivered online over the course of eight months, from March 2021 to August 2021.</w:t>
      </w:r>
    </w:p>
    <w:p w14:paraId="6BA264FD" w14:textId="708F9A83" w:rsidR="52B524AC" w:rsidRPr="00085A79" w:rsidRDefault="52B524AC" w:rsidP="00303A7B">
      <w:pPr>
        <w:spacing w:after="120"/>
        <w:jc w:val="both"/>
        <w:rPr>
          <w:rFonts w:asciiTheme="minorHAnsi" w:eastAsiaTheme="minorEastAsia" w:hAnsiTheme="minorHAnsi" w:cstheme="minorHAnsi"/>
          <w:szCs w:val="24"/>
        </w:rPr>
      </w:pPr>
      <w:r w:rsidRPr="00085A79">
        <w:rPr>
          <w:rFonts w:asciiTheme="minorHAnsi" w:eastAsiaTheme="minorEastAsia" w:hAnsiTheme="minorHAnsi" w:cstheme="minorHAnsi"/>
          <w:szCs w:val="24"/>
        </w:rPr>
        <w:t>USTTI</w:t>
      </w:r>
      <w:r w:rsidR="00F42E29" w:rsidRPr="00085A79">
        <w:rPr>
          <w:rFonts w:asciiTheme="minorHAnsi" w:eastAsiaTheme="minorEastAsia" w:hAnsiTheme="minorHAnsi" w:cstheme="minorHAnsi"/>
          <w:szCs w:val="24"/>
        </w:rPr>
        <w:t>,</w:t>
      </w:r>
      <w:r w:rsidRPr="00085A79">
        <w:rPr>
          <w:rFonts w:asciiTheme="minorHAnsi" w:eastAsiaTheme="minorEastAsia" w:hAnsiTheme="minorHAnsi" w:cstheme="minorHAnsi"/>
          <w:szCs w:val="24"/>
        </w:rPr>
        <w:t xml:space="preserve"> </w:t>
      </w:r>
      <w:r w:rsidR="67A1EBA6" w:rsidRPr="00085A79">
        <w:rPr>
          <w:rFonts w:asciiTheme="minorHAnsi" w:eastAsiaTheme="minorEastAsia" w:hAnsiTheme="minorHAnsi" w:cstheme="minorHAnsi"/>
          <w:szCs w:val="24"/>
        </w:rPr>
        <w:t xml:space="preserve">in </w:t>
      </w:r>
      <w:r w:rsidRPr="00085A79">
        <w:rPr>
          <w:rFonts w:asciiTheme="minorHAnsi" w:eastAsiaTheme="minorEastAsia" w:hAnsiTheme="minorHAnsi" w:cstheme="minorHAnsi"/>
          <w:szCs w:val="24"/>
        </w:rPr>
        <w:t xml:space="preserve">partnership with the United States Department of State’s Bureau of Economic and Business Affairs’, </w:t>
      </w:r>
      <w:r w:rsidR="00475AA9" w:rsidRPr="00085A79">
        <w:rPr>
          <w:rFonts w:asciiTheme="minorHAnsi" w:eastAsiaTheme="minorEastAsia" w:hAnsiTheme="minorHAnsi" w:cstheme="minorHAnsi"/>
          <w:szCs w:val="24"/>
        </w:rPr>
        <w:t xml:space="preserve">the </w:t>
      </w:r>
      <w:r w:rsidRPr="00085A79">
        <w:rPr>
          <w:rFonts w:asciiTheme="minorHAnsi" w:eastAsiaTheme="minorEastAsia" w:hAnsiTheme="minorHAnsi" w:cstheme="minorHAnsi"/>
          <w:szCs w:val="24"/>
        </w:rPr>
        <w:t>Providing Opportunities for Women’s Economic Rise (POWER) initiative</w:t>
      </w:r>
      <w:r w:rsidR="00BB7C67" w:rsidRPr="00085A79">
        <w:rPr>
          <w:rFonts w:asciiTheme="minorHAnsi" w:eastAsiaTheme="minorEastAsia" w:hAnsiTheme="minorHAnsi" w:cstheme="minorHAnsi"/>
          <w:szCs w:val="24"/>
        </w:rPr>
        <w:t>,</w:t>
      </w:r>
      <w:r w:rsidRPr="00085A79">
        <w:rPr>
          <w:rFonts w:asciiTheme="minorHAnsi" w:eastAsiaTheme="minorEastAsia" w:hAnsiTheme="minorHAnsi" w:cstheme="minorHAnsi"/>
          <w:szCs w:val="24"/>
        </w:rPr>
        <w:t xml:space="preserve"> and EQUALS are conducting a series of programs that will address best practices to connect the unconnected and bridge the divides that affect women and girls.</w:t>
      </w:r>
    </w:p>
    <w:p w14:paraId="607CBA6A" w14:textId="0DE5EF07" w:rsidR="52B524AC" w:rsidRPr="00085A79" w:rsidRDefault="52B524AC" w:rsidP="00303A7B">
      <w:pPr>
        <w:spacing w:after="120"/>
        <w:jc w:val="both"/>
        <w:rPr>
          <w:rFonts w:asciiTheme="minorHAnsi" w:eastAsiaTheme="minorEastAsia" w:hAnsiTheme="minorHAnsi" w:cstheme="minorHAnsi"/>
          <w:szCs w:val="24"/>
        </w:rPr>
      </w:pPr>
      <w:r w:rsidRPr="00085A79">
        <w:rPr>
          <w:rFonts w:asciiTheme="minorHAnsi" w:eastAsiaTheme="minorEastAsia" w:hAnsiTheme="minorHAnsi" w:cstheme="minorHAnsi"/>
          <w:szCs w:val="24"/>
        </w:rPr>
        <w:t>Through this partnership</w:t>
      </w:r>
      <w:r w:rsidR="007923F2">
        <w:rPr>
          <w:rFonts w:asciiTheme="minorHAnsi" w:eastAsiaTheme="minorEastAsia" w:hAnsiTheme="minorHAnsi" w:cstheme="minorHAnsi"/>
          <w:szCs w:val="24"/>
        </w:rPr>
        <w:t xml:space="preserve">, </w:t>
      </w:r>
      <w:r w:rsidRPr="00085A79">
        <w:rPr>
          <w:rFonts w:asciiTheme="minorHAnsi" w:eastAsiaTheme="minorEastAsia" w:hAnsiTheme="minorHAnsi" w:cstheme="minorHAnsi"/>
          <w:szCs w:val="24"/>
        </w:rPr>
        <w:t>USTTI hosted</w:t>
      </w:r>
      <w:r w:rsidR="7620180E" w:rsidRPr="00085A79">
        <w:rPr>
          <w:rFonts w:asciiTheme="minorHAnsi" w:eastAsiaTheme="minorEastAsia" w:hAnsiTheme="minorHAnsi" w:cstheme="minorHAnsi"/>
          <w:szCs w:val="24"/>
        </w:rPr>
        <w:t xml:space="preserve"> </w:t>
      </w:r>
      <w:r w:rsidRPr="00085A79">
        <w:rPr>
          <w:rFonts w:asciiTheme="minorHAnsi" w:eastAsiaTheme="minorEastAsia" w:hAnsiTheme="minorHAnsi" w:cstheme="minorHAnsi"/>
          <w:szCs w:val="24"/>
        </w:rPr>
        <w:t>a webinar series that facilitate</w:t>
      </w:r>
      <w:r w:rsidR="2E5E66DC" w:rsidRPr="00085A79">
        <w:rPr>
          <w:rFonts w:asciiTheme="minorHAnsi" w:eastAsiaTheme="minorEastAsia" w:hAnsiTheme="minorHAnsi" w:cstheme="minorHAnsi"/>
          <w:szCs w:val="24"/>
        </w:rPr>
        <w:t>d</w:t>
      </w:r>
      <w:r w:rsidRPr="00085A79">
        <w:rPr>
          <w:rFonts w:asciiTheme="minorHAnsi" w:eastAsiaTheme="minorEastAsia" w:hAnsiTheme="minorHAnsi" w:cstheme="minorHAnsi"/>
          <w:szCs w:val="24"/>
        </w:rPr>
        <w:t xml:space="preserve"> an exchange of knowledge and lessons learned from regulators, policymakers, service providers, entrepreneurs and other stakeholders who are working towards increasing connectivity and improving digital inclusion, including in developing countries.</w:t>
      </w:r>
    </w:p>
    <w:p w14:paraId="3B7E21EA" w14:textId="340D5320" w:rsidR="00233980" w:rsidRPr="00085A79" w:rsidRDefault="00434A00" w:rsidP="00303A7B">
      <w:pPr>
        <w:pStyle w:val="NormalWeb"/>
        <w:spacing w:before="120" w:after="120"/>
        <w:jc w:val="both"/>
        <w:rPr>
          <w:rFonts w:asciiTheme="minorHAnsi" w:eastAsia="Times New Roman" w:hAnsiTheme="minorHAnsi" w:cstheme="minorHAnsi"/>
          <w:lang w:eastAsia="en-US"/>
        </w:rPr>
      </w:pPr>
      <w:r w:rsidRPr="00085A79">
        <w:rPr>
          <w:rFonts w:asciiTheme="minorHAnsi" w:eastAsia="Times New Roman" w:hAnsiTheme="minorHAnsi" w:cstheme="minorHAnsi"/>
          <w:lang w:eastAsia="en-US"/>
        </w:rPr>
        <w:t xml:space="preserve">The </w:t>
      </w:r>
      <w:hyperlink r:id="rId43" w:history="1">
        <w:r w:rsidR="00BD1539" w:rsidRPr="00085A79">
          <w:rPr>
            <w:rStyle w:val="Hyperlink"/>
            <w:rFonts w:asciiTheme="minorHAnsi" w:eastAsia="Times New Roman" w:hAnsiTheme="minorHAnsi" w:cstheme="minorHAnsi"/>
            <w:lang w:eastAsia="en-US"/>
          </w:rPr>
          <w:t>EQUALS in Tech Awards</w:t>
        </w:r>
      </w:hyperlink>
      <w:r w:rsidRPr="00085A79">
        <w:rPr>
          <w:rFonts w:asciiTheme="minorHAnsi" w:eastAsia="Times New Roman" w:hAnsiTheme="minorHAnsi" w:cstheme="minorHAnsi"/>
          <w:lang w:eastAsia="en-US"/>
        </w:rPr>
        <w:t xml:space="preserve">, </w:t>
      </w:r>
      <w:r w:rsidR="001F260B" w:rsidRPr="00085A79">
        <w:rPr>
          <w:rFonts w:asciiTheme="minorHAnsi" w:hAnsiTheme="minorHAnsi" w:cstheme="minorHAnsi"/>
          <w:bdr w:val="none" w:sz="0" w:space="0" w:color="auto" w:frame="1"/>
        </w:rPr>
        <w:t>are given every year to organizations and individuals working to help girls and women gain equal internet access, digital skills</w:t>
      </w:r>
      <w:r w:rsidR="00323DC8">
        <w:rPr>
          <w:rFonts w:asciiTheme="minorHAnsi" w:hAnsiTheme="minorHAnsi" w:cstheme="minorHAnsi"/>
          <w:bdr w:val="none" w:sz="0" w:space="0" w:color="auto" w:frame="1"/>
        </w:rPr>
        <w:t>,</w:t>
      </w:r>
      <w:r w:rsidR="001F260B" w:rsidRPr="00085A79">
        <w:rPr>
          <w:rFonts w:asciiTheme="minorHAnsi" w:hAnsiTheme="minorHAnsi" w:cstheme="minorHAnsi"/>
          <w:bdr w:val="none" w:sz="0" w:space="0" w:color="auto" w:frame="1"/>
        </w:rPr>
        <w:t xml:space="preserve"> and opportunities in the tech industry.</w:t>
      </w:r>
      <w:r w:rsidR="00573672" w:rsidRPr="00085A79">
        <w:rPr>
          <w:rFonts w:asciiTheme="minorHAnsi" w:hAnsiTheme="minorHAnsi" w:cstheme="minorHAnsi"/>
          <w:bdr w:val="none" w:sz="0" w:space="0" w:color="auto" w:frame="1"/>
        </w:rPr>
        <w:t xml:space="preserve"> </w:t>
      </w:r>
      <w:r w:rsidR="001F260B" w:rsidRPr="00085A79">
        <w:rPr>
          <w:rFonts w:asciiTheme="minorHAnsi" w:hAnsiTheme="minorHAnsi" w:cstheme="minorHAnsi"/>
          <w:bdr w:val="none" w:sz="0" w:space="0" w:color="auto" w:frame="1"/>
        </w:rPr>
        <w:t xml:space="preserve">Individuals and organizations can nominate their own initiatives or those of others for an award in the following categories: Access, </w:t>
      </w:r>
      <w:r w:rsidR="00CB1473" w:rsidRPr="00085A79">
        <w:rPr>
          <w:rFonts w:asciiTheme="minorHAnsi" w:hAnsiTheme="minorHAnsi" w:cstheme="minorHAnsi"/>
          <w:bdr w:val="none" w:sz="0" w:space="0" w:color="auto" w:frame="1"/>
        </w:rPr>
        <w:t>Skills, Leadership and Research</w:t>
      </w:r>
      <w:r w:rsidRPr="00085A79">
        <w:rPr>
          <w:rFonts w:asciiTheme="minorHAnsi" w:eastAsia="Times New Roman" w:hAnsiTheme="minorHAnsi" w:cstheme="minorHAnsi"/>
          <w:lang w:eastAsia="en-US"/>
        </w:rPr>
        <w:t>.</w:t>
      </w:r>
    </w:p>
    <w:p w14:paraId="00AF9FD8" w14:textId="24B2CF0D" w:rsidR="00434A00" w:rsidRPr="00085A79" w:rsidRDefault="00434A00" w:rsidP="00303A7B">
      <w:pPr>
        <w:spacing w:after="120"/>
        <w:rPr>
          <w:rFonts w:asciiTheme="minorHAnsi" w:hAnsiTheme="minorHAnsi" w:cstheme="minorHAnsi"/>
          <w:b/>
          <w:bCs/>
          <w:szCs w:val="24"/>
        </w:rPr>
      </w:pPr>
      <w:r w:rsidRPr="00085A79">
        <w:rPr>
          <w:rFonts w:asciiTheme="minorHAnsi" w:hAnsiTheme="minorHAnsi" w:cstheme="minorHAnsi"/>
          <w:b/>
          <w:bCs/>
          <w:szCs w:val="24"/>
        </w:rPr>
        <w:t>3.</w:t>
      </w:r>
      <w:r w:rsidR="00CB1473" w:rsidRPr="00085A79">
        <w:rPr>
          <w:rFonts w:asciiTheme="minorHAnsi" w:hAnsiTheme="minorHAnsi" w:cstheme="minorHAnsi"/>
          <w:b/>
          <w:bCs/>
          <w:szCs w:val="24"/>
        </w:rPr>
        <w:t>5</w:t>
      </w:r>
      <w:r w:rsidRPr="00085A79">
        <w:rPr>
          <w:rFonts w:asciiTheme="minorHAnsi" w:hAnsiTheme="minorHAnsi" w:cstheme="minorHAnsi"/>
          <w:b/>
          <w:bCs/>
          <w:szCs w:val="24"/>
        </w:rPr>
        <w:tab/>
        <w:t>Enhance the digital ecosystem and build digital skills for women in Least Developed Countries (LDCs)</w:t>
      </w:r>
    </w:p>
    <w:p w14:paraId="563E36FA" w14:textId="566A8CF3" w:rsidR="00434A00" w:rsidRPr="00085A79" w:rsidRDefault="074DB8F5" w:rsidP="00303A7B">
      <w:pPr>
        <w:spacing w:after="120"/>
        <w:jc w:val="both"/>
        <w:rPr>
          <w:rFonts w:asciiTheme="minorHAnsi" w:eastAsiaTheme="minorEastAsia" w:hAnsiTheme="minorHAnsi" w:cstheme="minorHAnsi"/>
          <w:szCs w:val="24"/>
        </w:rPr>
      </w:pPr>
      <w:r w:rsidRPr="00085A79">
        <w:rPr>
          <w:rFonts w:asciiTheme="minorHAnsi" w:eastAsiaTheme="minorEastAsia" w:hAnsiTheme="minorHAnsi" w:cstheme="minorHAnsi"/>
          <w:szCs w:val="24"/>
          <w:lang w:val="en-US"/>
        </w:rPr>
        <w:t xml:space="preserve">In September 2020, and in partnership with the Enhanced Integrated Framework (EIF) and UNOPS, ITU launched a cooperative project to enhance the digital ecosystem and build digital skills for women in Least Developed Countries (LDCs). The project is benefiting women in Burundi, Ethiopia and Haiti. </w:t>
      </w:r>
      <w:r w:rsidRPr="00085A79">
        <w:rPr>
          <w:rFonts w:asciiTheme="minorHAnsi" w:eastAsiaTheme="minorEastAsia" w:hAnsiTheme="minorHAnsi" w:cstheme="minorHAnsi"/>
          <w:color w:val="000000" w:themeColor="text1"/>
          <w:szCs w:val="24"/>
        </w:rPr>
        <w:t xml:space="preserve">A total of 32 policies, strategies and regulations related to the </w:t>
      </w:r>
      <w:r w:rsidRPr="00085A79">
        <w:rPr>
          <w:rFonts w:asciiTheme="minorHAnsi" w:eastAsiaTheme="minorEastAsia" w:hAnsiTheme="minorHAnsi" w:cstheme="minorHAnsi"/>
          <w:szCs w:val="24"/>
        </w:rPr>
        <w:t>digital economy have been assessed on their gender responsiveness. The regulations include the following categories: international development instruments, national digital policies, and national laws</w:t>
      </w:r>
      <w:r w:rsidR="00323DC8">
        <w:rPr>
          <w:rFonts w:asciiTheme="minorHAnsi" w:eastAsiaTheme="minorEastAsia" w:hAnsiTheme="minorHAnsi" w:cstheme="minorHAnsi"/>
          <w:szCs w:val="24"/>
        </w:rPr>
        <w:t>,</w:t>
      </w:r>
      <w:r w:rsidRPr="00085A79">
        <w:rPr>
          <w:rFonts w:asciiTheme="minorHAnsi" w:eastAsiaTheme="minorEastAsia" w:hAnsiTheme="minorHAnsi" w:cstheme="minorHAnsi"/>
          <w:szCs w:val="24"/>
        </w:rPr>
        <w:t xml:space="preserve"> and regulations.</w:t>
      </w:r>
    </w:p>
    <w:p w14:paraId="6C93CC1A" w14:textId="47C37865" w:rsidR="00434A00" w:rsidRPr="00085A79" w:rsidRDefault="074DB8F5" w:rsidP="00303A7B">
      <w:pPr>
        <w:spacing w:after="120"/>
        <w:jc w:val="both"/>
        <w:rPr>
          <w:rFonts w:asciiTheme="minorHAnsi" w:hAnsiTheme="minorHAnsi" w:cstheme="minorHAnsi"/>
          <w:szCs w:val="24"/>
        </w:rPr>
      </w:pPr>
      <w:r w:rsidRPr="00085A79">
        <w:rPr>
          <w:rFonts w:asciiTheme="minorHAnsi" w:eastAsiaTheme="minorEastAsia" w:hAnsiTheme="minorHAnsi" w:cstheme="minorHAnsi"/>
          <w:szCs w:val="24"/>
        </w:rPr>
        <w:t>The project’s capacity building focus provided female entrepreneurs and workers with an in-depth understanding of the information and digital tools needed to improve their readiness and competitiveness in the international market. Ninety-eight per cent of women who participated in capacity building activities agreed that attending the workshops improved their understanding and knowledge on how digital skills and technologies can increase the competitiveness of their business/professional horizon. Ninety-eight per cent</w:t>
      </w:r>
      <w:r w:rsidRPr="00085A79">
        <w:rPr>
          <w:rFonts w:asciiTheme="minorHAnsi" w:eastAsiaTheme="minorEastAsia" w:hAnsiTheme="minorHAnsi" w:cstheme="minorHAnsi"/>
          <w:b/>
          <w:bCs/>
          <w:szCs w:val="24"/>
        </w:rPr>
        <w:t xml:space="preserve"> </w:t>
      </w:r>
      <w:r w:rsidRPr="00085A79">
        <w:rPr>
          <w:rFonts w:asciiTheme="minorHAnsi" w:eastAsiaTheme="minorEastAsia" w:hAnsiTheme="minorHAnsi" w:cstheme="minorHAnsi"/>
          <w:szCs w:val="24"/>
        </w:rPr>
        <w:t>also found the learning sessions useful for their work.</w:t>
      </w:r>
      <w:r w:rsidR="36E00339" w:rsidRPr="00085A79">
        <w:rPr>
          <w:rFonts w:asciiTheme="minorHAnsi" w:eastAsiaTheme="minorEastAsia" w:hAnsiTheme="minorHAnsi" w:cstheme="minorHAnsi"/>
          <w:szCs w:val="24"/>
        </w:rPr>
        <w:t xml:space="preserve"> </w:t>
      </w:r>
      <w:r w:rsidR="1865FFA7" w:rsidRPr="00085A79">
        <w:rPr>
          <w:rFonts w:asciiTheme="minorHAnsi" w:hAnsiTheme="minorHAnsi" w:cstheme="minorHAnsi"/>
          <w:szCs w:val="24"/>
        </w:rPr>
        <w:t xml:space="preserve">For more information see </w:t>
      </w:r>
      <w:hyperlink r:id="rId44" w:history="1">
        <w:r w:rsidR="00E728E7" w:rsidRPr="00085A79">
          <w:rPr>
            <w:rStyle w:val="Hyperlink"/>
            <w:rFonts w:asciiTheme="minorHAnsi" w:hAnsiTheme="minorHAnsi" w:cstheme="minorHAnsi"/>
            <w:szCs w:val="24"/>
          </w:rPr>
          <w:t>here</w:t>
        </w:r>
      </w:hyperlink>
      <w:r w:rsidR="1865FFA7" w:rsidRPr="00085A79">
        <w:rPr>
          <w:rFonts w:asciiTheme="minorHAnsi" w:hAnsiTheme="minorHAnsi" w:cstheme="minorHAnsi"/>
          <w:szCs w:val="24"/>
        </w:rPr>
        <w:t>.</w:t>
      </w:r>
    </w:p>
    <w:p w14:paraId="4B71288F" w14:textId="3662B57F" w:rsidR="00434A00" w:rsidRPr="00085A79" w:rsidRDefault="00434A00" w:rsidP="00303A7B">
      <w:pPr>
        <w:pStyle w:val="Heading3"/>
        <w:keepNext w:val="0"/>
        <w:keepLines w:val="0"/>
        <w:tabs>
          <w:tab w:val="clear" w:pos="567"/>
          <w:tab w:val="clear" w:pos="1134"/>
          <w:tab w:val="clear" w:pos="1701"/>
          <w:tab w:val="clear" w:pos="2268"/>
          <w:tab w:val="clear" w:pos="2835"/>
        </w:tabs>
        <w:snapToGrid w:val="0"/>
        <w:spacing w:before="120" w:after="120"/>
        <w:ind w:left="0" w:firstLine="0"/>
        <w:rPr>
          <w:rFonts w:asciiTheme="minorHAnsi" w:hAnsiTheme="minorHAnsi" w:cstheme="minorHAnsi"/>
          <w:szCs w:val="24"/>
        </w:rPr>
      </w:pPr>
      <w:r w:rsidRPr="00085A79">
        <w:rPr>
          <w:rFonts w:asciiTheme="minorHAnsi" w:hAnsiTheme="minorHAnsi" w:cstheme="minorHAnsi"/>
          <w:szCs w:val="24"/>
        </w:rPr>
        <w:t>3.</w:t>
      </w:r>
      <w:r w:rsidR="00233980" w:rsidRPr="00085A79">
        <w:rPr>
          <w:rFonts w:asciiTheme="minorHAnsi" w:hAnsiTheme="minorHAnsi" w:cstheme="minorHAnsi"/>
          <w:szCs w:val="24"/>
        </w:rPr>
        <w:t>6</w:t>
      </w:r>
      <w:r w:rsidRPr="00085A79">
        <w:rPr>
          <w:rFonts w:asciiTheme="minorHAnsi" w:hAnsiTheme="minorHAnsi" w:cstheme="minorHAnsi"/>
          <w:szCs w:val="24"/>
        </w:rPr>
        <w:tab/>
        <w:t>Outstanding activities in ITU Liaison Office in New York</w:t>
      </w:r>
    </w:p>
    <w:p w14:paraId="4F2DD3C3" w14:textId="761EAA50" w:rsidR="00303A7B" w:rsidRPr="00085A79" w:rsidRDefault="00EF24BC" w:rsidP="00303A7B">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085A79">
        <w:rPr>
          <w:rFonts w:asciiTheme="minorHAnsi" w:hAnsiTheme="minorHAnsi" w:cstheme="minorHAnsi"/>
          <w:szCs w:val="24"/>
        </w:rPr>
        <w:t xml:space="preserve">ITU liaison office at the UN in New York is also actively engaged in communications and partnership </w:t>
      </w:r>
      <w:r w:rsidRPr="00085A79">
        <w:rPr>
          <w:rFonts w:asciiTheme="minorHAnsi" w:hAnsiTheme="minorHAnsi" w:cstheme="minorHAnsi"/>
          <w:spacing w:val="-2"/>
          <w:szCs w:val="24"/>
        </w:rPr>
        <w:t>building activities to support implementation of Resolution 70. This includes promoting ITU initiatives</w:t>
      </w:r>
      <w:r w:rsidRPr="00085A79">
        <w:rPr>
          <w:rFonts w:asciiTheme="minorHAnsi" w:hAnsiTheme="minorHAnsi" w:cstheme="minorHAnsi"/>
          <w:szCs w:val="24"/>
        </w:rPr>
        <w:t xml:space="preserve"> at the UN and other external events. ITU, UNICC and the Office of the UN Secretary-General’s </w:t>
      </w:r>
      <w:r w:rsidRPr="00D12F9C">
        <w:rPr>
          <w:rFonts w:asciiTheme="minorHAnsi" w:hAnsiTheme="minorHAnsi" w:cstheme="minorHAnsi"/>
          <w:szCs w:val="24"/>
        </w:rPr>
        <w:t>Envoy on Youth have been collaborating on a gender and tech initiative called Talking Tech: Girls and</w:t>
      </w:r>
      <w:r w:rsidRPr="00085A79">
        <w:rPr>
          <w:rFonts w:asciiTheme="minorHAnsi" w:hAnsiTheme="minorHAnsi" w:cstheme="minorHAnsi"/>
          <w:szCs w:val="24"/>
        </w:rPr>
        <w:t xml:space="preserve"> Women in ICT. This initiative promotes ICT studies and careers to women and girls through one-one intergenerational interviews recorded online and promoted through social media. The Talking Tech interview series reached its 100</w:t>
      </w:r>
      <w:r w:rsidRPr="00137E9F">
        <w:rPr>
          <w:rFonts w:asciiTheme="minorHAnsi" w:hAnsiTheme="minorHAnsi" w:cstheme="minorHAnsi"/>
          <w:szCs w:val="24"/>
          <w:vertAlign w:val="superscript"/>
        </w:rPr>
        <w:t>th</w:t>
      </w:r>
      <w:r w:rsidRPr="00085A79">
        <w:rPr>
          <w:rFonts w:asciiTheme="minorHAnsi" w:hAnsiTheme="minorHAnsi" w:cstheme="minorHAnsi"/>
          <w:szCs w:val="24"/>
        </w:rPr>
        <w:t xml:space="preserve"> episode in August 2021. To </w:t>
      </w:r>
      <w:r w:rsidRPr="00137E9F">
        <w:rPr>
          <w:rFonts w:asciiTheme="minorHAnsi" w:hAnsiTheme="minorHAnsi" w:cstheme="minorHAnsi"/>
          <w:szCs w:val="24"/>
        </w:rPr>
        <w:t>date</w:t>
      </w:r>
      <w:r w:rsidR="00344FD0" w:rsidRPr="00137E9F">
        <w:rPr>
          <w:rFonts w:asciiTheme="minorHAnsi" w:hAnsiTheme="minorHAnsi" w:cstheme="minorHAnsi"/>
          <w:szCs w:val="24"/>
        </w:rPr>
        <w:t>, it</w:t>
      </w:r>
      <w:r w:rsidR="00323DC8" w:rsidRPr="00137E9F">
        <w:rPr>
          <w:rFonts w:asciiTheme="minorHAnsi" w:hAnsiTheme="minorHAnsi" w:cstheme="minorHAnsi"/>
          <w:szCs w:val="24"/>
        </w:rPr>
        <w:t xml:space="preserve"> has</w:t>
      </w:r>
      <w:r w:rsidR="00344FD0" w:rsidRPr="00137E9F">
        <w:rPr>
          <w:rFonts w:asciiTheme="minorHAnsi" w:hAnsiTheme="minorHAnsi" w:cstheme="minorHAnsi"/>
          <w:szCs w:val="24"/>
        </w:rPr>
        <w:t xml:space="preserve"> involved</w:t>
      </w:r>
      <w:r w:rsidRPr="00137E9F">
        <w:rPr>
          <w:rFonts w:asciiTheme="minorHAnsi" w:hAnsiTheme="minorHAnsi" w:cstheme="minorHAnsi"/>
          <w:szCs w:val="24"/>
        </w:rPr>
        <w:t xml:space="preserve"> 260 participants from 80 different countries around the world rang</w:t>
      </w:r>
      <w:r w:rsidR="00C04128" w:rsidRPr="00137E9F">
        <w:rPr>
          <w:rFonts w:asciiTheme="minorHAnsi" w:hAnsiTheme="minorHAnsi" w:cstheme="minorHAnsi"/>
          <w:szCs w:val="24"/>
        </w:rPr>
        <w:t>ing</w:t>
      </w:r>
      <w:r w:rsidRPr="00137E9F">
        <w:rPr>
          <w:rFonts w:asciiTheme="minorHAnsi" w:hAnsiTheme="minorHAnsi" w:cstheme="minorHAnsi"/>
          <w:szCs w:val="24"/>
        </w:rPr>
        <w:t xml:space="preserve"> from experts in artificial intelligence (AI) to electronic sports (esports), astronauts to leaders of UN agencies, and ambassadors</w:t>
      </w:r>
      <w:r w:rsidRPr="00085A79">
        <w:rPr>
          <w:rFonts w:asciiTheme="minorHAnsi" w:hAnsiTheme="minorHAnsi" w:cstheme="minorHAnsi"/>
          <w:szCs w:val="24"/>
        </w:rPr>
        <w:t xml:space="preserve"> to corporate executives. In the interviews, women and girls from around the world share achievements and challenges, exchange advice and network with one another – all to inspire others with evidence that every girl can fulfil great potential in the ICT sector.</w:t>
      </w:r>
    </w:p>
    <w:p w14:paraId="2C21B197" w14:textId="77777777" w:rsidR="00434A00" w:rsidRPr="00085A79" w:rsidRDefault="00434A00" w:rsidP="00573672">
      <w:pPr>
        <w:pStyle w:val="Heading1"/>
        <w:tabs>
          <w:tab w:val="clear" w:pos="567"/>
          <w:tab w:val="clear" w:pos="1134"/>
          <w:tab w:val="clear" w:pos="1701"/>
          <w:tab w:val="clear" w:pos="2268"/>
          <w:tab w:val="clear" w:pos="2835"/>
        </w:tabs>
        <w:snapToGrid w:val="0"/>
        <w:spacing w:before="360" w:after="120"/>
        <w:ind w:left="0" w:firstLine="0"/>
        <w:rPr>
          <w:rFonts w:asciiTheme="minorHAnsi" w:hAnsiTheme="minorHAnsi" w:cstheme="minorHAnsi"/>
          <w:sz w:val="24"/>
          <w:szCs w:val="24"/>
        </w:rPr>
      </w:pPr>
      <w:r w:rsidRPr="00085A79">
        <w:rPr>
          <w:rFonts w:asciiTheme="minorHAnsi" w:hAnsiTheme="minorHAnsi" w:cstheme="minorHAnsi"/>
          <w:sz w:val="24"/>
          <w:szCs w:val="24"/>
        </w:rPr>
        <w:lastRenderedPageBreak/>
        <w:t>4</w:t>
      </w:r>
      <w:r w:rsidRPr="00085A79">
        <w:rPr>
          <w:rFonts w:asciiTheme="minorHAnsi" w:hAnsiTheme="minorHAnsi" w:cstheme="minorHAnsi"/>
          <w:sz w:val="24"/>
          <w:szCs w:val="24"/>
        </w:rPr>
        <w:tab/>
        <w:t>Reinforcing Women’s Participation in ITU’s Meetings and Conferences</w:t>
      </w:r>
    </w:p>
    <w:p w14:paraId="23A6A7DA" w14:textId="77777777" w:rsidR="00434A00" w:rsidRPr="00085A79" w:rsidRDefault="00434A00" w:rsidP="00573672">
      <w:pPr>
        <w:pStyle w:val="Heading3"/>
        <w:tabs>
          <w:tab w:val="clear" w:pos="567"/>
          <w:tab w:val="clear" w:pos="1134"/>
          <w:tab w:val="clear" w:pos="1701"/>
          <w:tab w:val="clear" w:pos="2268"/>
          <w:tab w:val="clear" w:pos="2835"/>
        </w:tabs>
        <w:snapToGrid w:val="0"/>
        <w:spacing w:before="120" w:after="120"/>
        <w:ind w:left="0" w:firstLine="0"/>
        <w:rPr>
          <w:rFonts w:asciiTheme="minorHAnsi" w:hAnsiTheme="minorHAnsi" w:cstheme="minorHAnsi"/>
          <w:szCs w:val="24"/>
          <w:lang w:val="en-CA"/>
        </w:rPr>
      </w:pPr>
      <w:r w:rsidRPr="00085A79">
        <w:rPr>
          <w:rFonts w:asciiTheme="minorHAnsi" w:hAnsiTheme="minorHAnsi" w:cstheme="minorHAnsi"/>
          <w:szCs w:val="24"/>
          <w:lang w:val="en-CA"/>
        </w:rPr>
        <w:t>4.1</w:t>
      </w:r>
      <w:r w:rsidRPr="00085A79">
        <w:rPr>
          <w:rFonts w:asciiTheme="minorHAnsi" w:hAnsiTheme="minorHAnsi" w:cstheme="minorHAnsi"/>
          <w:szCs w:val="24"/>
          <w:lang w:val="en-CA"/>
        </w:rPr>
        <w:tab/>
        <w:t>Gender Equality in Delegations and Conferences</w:t>
      </w:r>
    </w:p>
    <w:p w14:paraId="4B82204D" w14:textId="2D487431" w:rsidR="00434A00" w:rsidRPr="00137E9F" w:rsidRDefault="00434A00" w:rsidP="00573672">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CA"/>
        </w:rPr>
      </w:pPr>
      <w:r w:rsidRPr="00085A79">
        <w:rPr>
          <w:rFonts w:asciiTheme="minorHAnsi" w:hAnsiTheme="minorHAnsi" w:cstheme="minorHAnsi"/>
          <w:szCs w:val="24"/>
          <w:lang w:val="en-CA"/>
        </w:rPr>
        <w:t xml:space="preserve">ITU continues efforts to increase participation of women in ITU events. An internal checklist supports staff in planning gender-responsive events. Conference circular letters to membership and event invitations encourage gender-balanced representation and invite nominations of women for </w:t>
      </w:r>
      <w:r w:rsidRPr="00137E9F">
        <w:rPr>
          <w:rFonts w:asciiTheme="minorHAnsi" w:hAnsiTheme="minorHAnsi" w:cstheme="minorHAnsi"/>
          <w:szCs w:val="24"/>
          <w:lang w:val="en-CA"/>
        </w:rPr>
        <w:t>key roles. Statistics are reported on event pages and ITU’s gender dashboard.</w:t>
      </w:r>
    </w:p>
    <w:p w14:paraId="314B044F" w14:textId="4F7A4B2E" w:rsidR="00FD7E5E" w:rsidRPr="00085A79" w:rsidRDefault="00344FD0" w:rsidP="00303A7B">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CA"/>
        </w:rPr>
      </w:pPr>
      <w:r w:rsidRPr="00137E9F">
        <w:rPr>
          <w:rFonts w:asciiTheme="minorHAnsi" w:hAnsiTheme="minorHAnsi" w:cstheme="minorHAnsi"/>
          <w:szCs w:val="24"/>
          <w:lang w:val="en-CA"/>
        </w:rPr>
        <w:t>Council 2021 approved</w:t>
      </w:r>
      <w:r w:rsidR="00683563" w:rsidRPr="00137E9F">
        <w:rPr>
          <w:rFonts w:asciiTheme="minorHAnsi" w:hAnsiTheme="minorHAnsi" w:cstheme="minorHAnsi"/>
          <w:szCs w:val="24"/>
          <w:lang w:val="en-CA"/>
        </w:rPr>
        <w:t xml:space="preserve"> </w:t>
      </w:r>
      <w:r w:rsidR="00AF4ABD" w:rsidRPr="00137E9F">
        <w:rPr>
          <w:rFonts w:asciiTheme="minorHAnsi" w:hAnsiTheme="minorHAnsi" w:cstheme="minorHAnsi"/>
          <w:szCs w:val="24"/>
          <w:lang w:val="en-CA"/>
        </w:rPr>
        <w:t xml:space="preserve">a </w:t>
      </w:r>
      <w:r w:rsidR="00F04711" w:rsidRPr="00137E9F">
        <w:rPr>
          <w:rFonts w:asciiTheme="minorHAnsi" w:hAnsiTheme="minorHAnsi" w:cstheme="minorHAnsi"/>
          <w:szCs w:val="24"/>
          <w:lang w:val="en-CA"/>
        </w:rPr>
        <w:t xml:space="preserve">document </w:t>
      </w:r>
      <w:r w:rsidR="00AF4ABD" w:rsidRPr="00137E9F">
        <w:rPr>
          <w:rFonts w:asciiTheme="minorHAnsi" w:hAnsiTheme="minorHAnsi" w:cstheme="minorHAnsi"/>
          <w:szCs w:val="24"/>
          <w:lang w:val="en-CA"/>
        </w:rPr>
        <w:t>o</w:t>
      </w:r>
      <w:r w:rsidR="00F04711" w:rsidRPr="00137E9F">
        <w:rPr>
          <w:rFonts w:asciiTheme="minorHAnsi" w:hAnsiTheme="minorHAnsi" w:cstheme="minorHAnsi"/>
          <w:szCs w:val="24"/>
          <w:lang w:val="en-CA"/>
        </w:rPr>
        <w:t xml:space="preserve">n “Proposed improvements for the Plenipotentiary Conference” </w:t>
      </w:r>
      <w:r w:rsidR="000A03BD" w:rsidRPr="00137E9F">
        <w:rPr>
          <w:rFonts w:asciiTheme="minorHAnsi" w:hAnsiTheme="minorHAnsi" w:cstheme="minorHAnsi"/>
          <w:szCs w:val="24"/>
          <w:lang w:val="en-CA"/>
        </w:rPr>
        <w:t>(</w:t>
      </w:r>
      <w:hyperlink r:id="rId45" w:history="1">
        <w:r w:rsidR="000A03BD" w:rsidRPr="00137E9F">
          <w:rPr>
            <w:rStyle w:val="Hyperlink"/>
            <w:rFonts w:asciiTheme="minorHAnsi" w:hAnsiTheme="minorHAnsi" w:cstheme="minorHAnsi"/>
            <w:szCs w:val="24"/>
            <w:lang w:val="en-CA"/>
          </w:rPr>
          <w:t>C</w:t>
        </w:r>
        <w:r w:rsidR="00EF23E4" w:rsidRPr="00137E9F">
          <w:rPr>
            <w:rStyle w:val="Hyperlink"/>
            <w:rFonts w:asciiTheme="minorHAnsi" w:hAnsiTheme="minorHAnsi" w:cstheme="minorHAnsi"/>
            <w:szCs w:val="24"/>
            <w:lang w:val="en-CA"/>
          </w:rPr>
          <w:t>21/13</w:t>
        </w:r>
      </w:hyperlink>
      <w:r w:rsidR="00EF23E4" w:rsidRPr="00137E9F">
        <w:rPr>
          <w:rFonts w:asciiTheme="minorHAnsi" w:hAnsiTheme="minorHAnsi" w:cstheme="minorHAnsi"/>
          <w:szCs w:val="24"/>
          <w:lang w:val="en-CA"/>
        </w:rPr>
        <w:t>)</w:t>
      </w:r>
      <w:r w:rsidR="00AF4ABD" w:rsidRPr="00137E9F">
        <w:rPr>
          <w:rFonts w:asciiTheme="minorHAnsi" w:hAnsiTheme="minorHAnsi" w:cstheme="minorHAnsi"/>
          <w:szCs w:val="24"/>
          <w:lang w:val="en-CA"/>
        </w:rPr>
        <w:t xml:space="preserve"> </w:t>
      </w:r>
      <w:r w:rsidR="00F04711" w:rsidRPr="00137E9F">
        <w:rPr>
          <w:rFonts w:asciiTheme="minorHAnsi" w:hAnsiTheme="minorHAnsi" w:cstheme="minorHAnsi"/>
          <w:szCs w:val="24"/>
          <w:lang w:val="en-CA"/>
        </w:rPr>
        <w:t xml:space="preserve">highlighting the importance of organizing a full gender responsive and inclusive </w:t>
      </w:r>
      <w:r w:rsidR="00D06ACE" w:rsidRPr="00137E9F">
        <w:rPr>
          <w:rFonts w:asciiTheme="minorHAnsi" w:hAnsiTheme="minorHAnsi" w:cstheme="minorHAnsi"/>
          <w:szCs w:val="24"/>
          <w:lang w:val="en-CA"/>
        </w:rPr>
        <w:t xml:space="preserve">ITU </w:t>
      </w:r>
      <w:r w:rsidR="00775ED3" w:rsidRPr="00137E9F">
        <w:rPr>
          <w:rFonts w:asciiTheme="minorHAnsi" w:hAnsiTheme="minorHAnsi" w:cstheme="minorHAnsi"/>
          <w:szCs w:val="24"/>
          <w:lang w:val="en-CA"/>
        </w:rPr>
        <w:t>Plenipotentiary Conference 2022 (PP</w:t>
      </w:r>
      <w:r w:rsidR="00775ED3" w:rsidRPr="00085A79">
        <w:rPr>
          <w:rFonts w:asciiTheme="minorHAnsi" w:hAnsiTheme="minorHAnsi" w:cstheme="minorHAnsi"/>
          <w:szCs w:val="24"/>
          <w:lang w:val="en-CA"/>
        </w:rPr>
        <w:t>-22).</w:t>
      </w:r>
    </w:p>
    <w:p w14:paraId="03B2D01E" w14:textId="20B28654" w:rsidR="00775ED3" w:rsidRPr="00085A79" w:rsidRDefault="004559E0" w:rsidP="00303A7B">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CA"/>
        </w:rPr>
      </w:pPr>
      <w:r w:rsidRPr="00085A79">
        <w:rPr>
          <w:rFonts w:asciiTheme="minorHAnsi" w:hAnsiTheme="minorHAnsi" w:cstheme="minorHAnsi"/>
          <w:szCs w:val="24"/>
          <w:lang w:val="en-CA"/>
        </w:rPr>
        <w:t>A gender-responsive event is one that aims to advance gender equality by upholding actions on agenda-setting, participation, governance, working environment, and decision-making which, when used collectively, can work as a system to accelerate, achieve, and sustain gender equality, as well as to achieve the Sustainable Development Goals by 2030 (SDG 5), and contribute to a gender equal and inclusive society</w:t>
      </w:r>
      <w:r w:rsidR="00D457A2" w:rsidRPr="00085A79">
        <w:rPr>
          <w:rFonts w:asciiTheme="minorHAnsi" w:hAnsiTheme="minorHAnsi" w:cstheme="minorHAnsi"/>
          <w:szCs w:val="24"/>
          <w:lang w:val="en-CA"/>
        </w:rPr>
        <w:t>.</w:t>
      </w:r>
    </w:p>
    <w:p w14:paraId="2C2E9146" w14:textId="1802051B" w:rsidR="0030204B" w:rsidRPr="00085A79" w:rsidRDefault="00D06ACE" w:rsidP="00303A7B">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CA"/>
        </w:rPr>
      </w:pPr>
      <w:r w:rsidRPr="00085A79">
        <w:rPr>
          <w:rFonts w:asciiTheme="minorHAnsi" w:hAnsiTheme="minorHAnsi" w:cstheme="minorHAnsi"/>
          <w:szCs w:val="24"/>
          <w:lang w:val="en-CA"/>
        </w:rPr>
        <w:t xml:space="preserve">The ITU </w:t>
      </w:r>
      <w:r w:rsidR="0030204B" w:rsidRPr="00085A79">
        <w:rPr>
          <w:rFonts w:asciiTheme="minorHAnsi" w:hAnsiTheme="minorHAnsi" w:cstheme="minorHAnsi"/>
          <w:szCs w:val="24"/>
          <w:lang w:val="en-CA"/>
        </w:rPr>
        <w:t>secretariat, together with the PP-22 Host Country, started preparations for a gender-responsive PP-22 with the following objectives:</w:t>
      </w:r>
    </w:p>
    <w:p w14:paraId="78DF3FC1" w14:textId="31FE220B" w:rsidR="004F23CC" w:rsidRPr="00085A79" w:rsidRDefault="004F23CC" w:rsidP="00303A7B">
      <w:pPr>
        <w:pStyle w:val="ListParagraph"/>
        <w:numPr>
          <w:ilvl w:val="0"/>
          <w:numId w:val="5"/>
        </w:numPr>
        <w:tabs>
          <w:tab w:val="clear" w:pos="567"/>
          <w:tab w:val="clear" w:pos="1134"/>
          <w:tab w:val="clear" w:pos="1701"/>
          <w:tab w:val="clear" w:pos="2268"/>
          <w:tab w:val="clear" w:pos="2835"/>
        </w:tabs>
        <w:snapToGrid w:val="0"/>
        <w:spacing w:after="120"/>
        <w:contextualSpacing w:val="0"/>
        <w:jc w:val="both"/>
        <w:rPr>
          <w:rFonts w:asciiTheme="minorHAnsi" w:hAnsiTheme="minorHAnsi" w:cstheme="minorHAnsi"/>
          <w:szCs w:val="24"/>
          <w:lang w:val="en-CA"/>
        </w:rPr>
      </w:pPr>
      <w:r w:rsidRPr="00085A79">
        <w:rPr>
          <w:rFonts w:asciiTheme="minorHAnsi" w:hAnsiTheme="minorHAnsi" w:cstheme="minorHAnsi"/>
          <w:szCs w:val="24"/>
          <w:lang w:val="en-CA"/>
        </w:rPr>
        <w:t>Ensure that every stage of the planning is worked from a gender perspective and make attendees aware and part of it.</w:t>
      </w:r>
    </w:p>
    <w:p w14:paraId="188CAD19" w14:textId="764985C6" w:rsidR="004F23CC" w:rsidRPr="00085A79" w:rsidRDefault="004F23CC" w:rsidP="00456088">
      <w:pPr>
        <w:pStyle w:val="ListParagraph"/>
        <w:numPr>
          <w:ilvl w:val="0"/>
          <w:numId w:val="5"/>
        </w:numPr>
        <w:tabs>
          <w:tab w:val="clear" w:pos="567"/>
          <w:tab w:val="clear" w:pos="1134"/>
          <w:tab w:val="clear" w:pos="1701"/>
          <w:tab w:val="clear" w:pos="2268"/>
          <w:tab w:val="clear" w:pos="2835"/>
        </w:tabs>
        <w:snapToGrid w:val="0"/>
        <w:spacing w:before="100" w:after="100"/>
        <w:contextualSpacing w:val="0"/>
        <w:jc w:val="both"/>
        <w:rPr>
          <w:rFonts w:asciiTheme="minorHAnsi" w:hAnsiTheme="minorHAnsi" w:cstheme="minorHAnsi"/>
          <w:szCs w:val="24"/>
          <w:lang w:val="en-CA"/>
        </w:rPr>
      </w:pPr>
      <w:r w:rsidRPr="00085A79">
        <w:rPr>
          <w:rFonts w:asciiTheme="minorHAnsi" w:hAnsiTheme="minorHAnsi" w:cstheme="minorHAnsi"/>
          <w:szCs w:val="24"/>
          <w:lang w:val="en-CA"/>
        </w:rPr>
        <w:t>Promote equal representation of men and women.</w:t>
      </w:r>
    </w:p>
    <w:p w14:paraId="67D955F8" w14:textId="7D9DE3E1" w:rsidR="004F23CC" w:rsidRPr="00085A79" w:rsidRDefault="004F23CC" w:rsidP="00456088">
      <w:pPr>
        <w:pStyle w:val="ListParagraph"/>
        <w:numPr>
          <w:ilvl w:val="0"/>
          <w:numId w:val="5"/>
        </w:numPr>
        <w:tabs>
          <w:tab w:val="clear" w:pos="567"/>
          <w:tab w:val="clear" w:pos="1134"/>
          <w:tab w:val="clear" w:pos="1701"/>
          <w:tab w:val="clear" w:pos="2268"/>
          <w:tab w:val="clear" w:pos="2835"/>
        </w:tabs>
        <w:snapToGrid w:val="0"/>
        <w:spacing w:before="100" w:after="100"/>
        <w:contextualSpacing w:val="0"/>
        <w:jc w:val="both"/>
        <w:rPr>
          <w:rFonts w:asciiTheme="minorHAnsi" w:hAnsiTheme="minorHAnsi" w:cstheme="minorHAnsi"/>
          <w:szCs w:val="24"/>
          <w:lang w:val="en-CA"/>
        </w:rPr>
      </w:pPr>
      <w:r w:rsidRPr="00085A79">
        <w:rPr>
          <w:rFonts w:asciiTheme="minorHAnsi" w:hAnsiTheme="minorHAnsi" w:cstheme="minorHAnsi"/>
          <w:szCs w:val="24"/>
          <w:lang w:val="en-CA"/>
        </w:rPr>
        <w:t>Improve women participation in ICT decision-making.</w:t>
      </w:r>
    </w:p>
    <w:p w14:paraId="3C354416" w14:textId="1FB986AB" w:rsidR="00E138B0" w:rsidRPr="00085A79" w:rsidRDefault="004F23CC" w:rsidP="00456088">
      <w:pPr>
        <w:pStyle w:val="ListParagraph"/>
        <w:numPr>
          <w:ilvl w:val="0"/>
          <w:numId w:val="5"/>
        </w:numPr>
        <w:tabs>
          <w:tab w:val="clear" w:pos="567"/>
          <w:tab w:val="clear" w:pos="1134"/>
          <w:tab w:val="clear" w:pos="1701"/>
          <w:tab w:val="clear" w:pos="2268"/>
          <w:tab w:val="clear" w:pos="2835"/>
        </w:tabs>
        <w:snapToGrid w:val="0"/>
        <w:spacing w:before="100" w:after="100"/>
        <w:contextualSpacing w:val="0"/>
        <w:jc w:val="both"/>
        <w:rPr>
          <w:rFonts w:asciiTheme="minorHAnsi" w:hAnsiTheme="minorHAnsi" w:cstheme="minorHAnsi"/>
          <w:szCs w:val="24"/>
          <w:lang w:val="en-CA"/>
        </w:rPr>
      </w:pPr>
      <w:r w:rsidRPr="00085A79">
        <w:rPr>
          <w:rFonts w:asciiTheme="minorHAnsi" w:hAnsiTheme="minorHAnsi" w:cstheme="minorHAnsi"/>
          <w:szCs w:val="24"/>
          <w:lang w:val="en-CA"/>
        </w:rPr>
        <w:t>Advance gender</w:t>
      </w:r>
      <w:r w:rsidR="00573672" w:rsidRPr="00085A79">
        <w:rPr>
          <w:rFonts w:asciiTheme="minorHAnsi" w:hAnsiTheme="minorHAnsi" w:cstheme="minorHAnsi"/>
          <w:szCs w:val="24"/>
          <w:lang w:val="en-CA"/>
        </w:rPr>
        <w:t xml:space="preserve"> </w:t>
      </w:r>
      <w:r w:rsidRPr="00085A79">
        <w:rPr>
          <w:rFonts w:asciiTheme="minorHAnsi" w:hAnsiTheme="minorHAnsi" w:cstheme="minorHAnsi"/>
          <w:szCs w:val="24"/>
          <w:lang w:val="en-CA"/>
        </w:rPr>
        <w:t>mainstreaming in the outcomes (resolutions and decisions) of the conference</w:t>
      </w:r>
      <w:r w:rsidR="00E138B0" w:rsidRPr="00085A79">
        <w:rPr>
          <w:rFonts w:asciiTheme="minorHAnsi" w:hAnsiTheme="minorHAnsi" w:cstheme="minorHAnsi"/>
          <w:szCs w:val="24"/>
          <w:lang w:val="en-CA"/>
        </w:rPr>
        <w:t>.</w:t>
      </w:r>
    </w:p>
    <w:p w14:paraId="082A1BB9" w14:textId="03BAB398" w:rsidR="00E138B0" w:rsidRPr="00085A79" w:rsidRDefault="00E138B0" w:rsidP="00456088">
      <w:pPr>
        <w:pStyle w:val="ListParagraph"/>
        <w:numPr>
          <w:ilvl w:val="0"/>
          <w:numId w:val="5"/>
        </w:numPr>
        <w:tabs>
          <w:tab w:val="clear" w:pos="567"/>
          <w:tab w:val="clear" w:pos="1134"/>
          <w:tab w:val="clear" w:pos="1701"/>
          <w:tab w:val="clear" w:pos="2268"/>
          <w:tab w:val="clear" w:pos="2835"/>
        </w:tabs>
        <w:snapToGrid w:val="0"/>
        <w:spacing w:before="100" w:after="100"/>
        <w:contextualSpacing w:val="0"/>
        <w:jc w:val="both"/>
        <w:rPr>
          <w:rFonts w:asciiTheme="minorHAnsi" w:hAnsiTheme="minorHAnsi" w:cstheme="minorHAnsi"/>
          <w:szCs w:val="24"/>
          <w:lang w:val="en-CA"/>
        </w:rPr>
      </w:pPr>
      <w:r w:rsidRPr="00085A79">
        <w:rPr>
          <w:rFonts w:asciiTheme="minorHAnsi" w:hAnsiTheme="minorHAnsi" w:cstheme="minorHAnsi"/>
          <w:szCs w:val="24"/>
          <w:lang w:val="en-CA"/>
        </w:rPr>
        <w:t>F</w:t>
      </w:r>
      <w:r w:rsidR="004F23CC" w:rsidRPr="00085A79">
        <w:rPr>
          <w:rFonts w:asciiTheme="minorHAnsi" w:hAnsiTheme="minorHAnsi" w:cstheme="minorHAnsi"/>
          <w:szCs w:val="24"/>
          <w:lang w:val="en-CA"/>
        </w:rPr>
        <w:t>oster transparency and accountability through tracking and reporting data and information before, during and after the</w:t>
      </w:r>
      <w:r w:rsidR="00573672" w:rsidRPr="00085A79">
        <w:rPr>
          <w:rFonts w:asciiTheme="minorHAnsi" w:hAnsiTheme="minorHAnsi" w:cstheme="minorHAnsi"/>
          <w:szCs w:val="24"/>
          <w:lang w:val="en-CA"/>
        </w:rPr>
        <w:t xml:space="preserve"> </w:t>
      </w:r>
      <w:r w:rsidR="004F23CC" w:rsidRPr="00085A79">
        <w:rPr>
          <w:rFonts w:asciiTheme="minorHAnsi" w:hAnsiTheme="minorHAnsi" w:cstheme="minorHAnsi"/>
          <w:szCs w:val="24"/>
          <w:lang w:val="en-CA"/>
        </w:rPr>
        <w:t>event.</w:t>
      </w:r>
    </w:p>
    <w:p w14:paraId="047FA367" w14:textId="3AC5D9EA" w:rsidR="00E138B0" w:rsidRPr="00085A79" w:rsidRDefault="00E138B0" w:rsidP="00456088">
      <w:pPr>
        <w:pStyle w:val="ListParagraph"/>
        <w:numPr>
          <w:ilvl w:val="0"/>
          <w:numId w:val="5"/>
        </w:numPr>
        <w:tabs>
          <w:tab w:val="clear" w:pos="567"/>
          <w:tab w:val="clear" w:pos="1134"/>
          <w:tab w:val="clear" w:pos="1701"/>
          <w:tab w:val="clear" w:pos="2268"/>
          <w:tab w:val="clear" w:pos="2835"/>
        </w:tabs>
        <w:snapToGrid w:val="0"/>
        <w:spacing w:before="100" w:after="100"/>
        <w:contextualSpacing w:val="0"/>
        <w:jc w:val="both"/>
        <w:rPr>
          <w:rFonts w:asciiTheme="minorHAnsi" w:hAnsiTheme="minorHAnsi" w:cstheme="minorHAnsi"/>
          <w:szCs w:val="24"/>
          <w:lang w:val="en-CA"/>
        </w:rPr>
      </w:pPr>
      <w:r w:rsidRPr="00085A79">
        <w:rPr>
          <w:rFonts w:asciiTheme="minorHAnsi" w:hAnsiTheme="minorHAnsi" w:cstheme="minorHAnsi"/>
          <w:szCs w:val="24"/>
          <w:lang w:val="en-CA"/>
        </w:rPr>
        <w:t>S</w:t>
      </w:r>
      <w:r w:rsidR="004F23CC" w:rsidRPr="00085A79">
        <w:rPr>
          <w:rFonts w:asciiTheme="minorHAnsi" w:hAnsiTheme="minorHAnsi" w:cstheme="minorHAnsi"/>
          <w:szCs w:val="24"/>
          <w:lang w:val="en-CA"/>
        </w:rPr>
        <w:t>trive for ensuring all attendees an event free from harassment, sexism, or discrimination by providing a safe and inclusive environment for everyone and giving women spaces to step up their influence in the decision-making process and networking.</w:t>
      </w:r>
    </w:p>
    <w:p w14:paraId="10D677BD" w14:textId="4007C0E3" w:rsidR="004F23CC" w:rsidRPr="00085A79" w:rsidRDefault="00E138B0" w:rsidP="00456088">
      <w:pPr>
        <w:pStyle w:val="ListParagraph"/>
        <w:numPr>
          <w:ilvl w:val="0"/>
          <w:numId w:val="5"/>
        </w:numPr>
        <w:tabs>
          <w:tab w:val="clear" w:pos="567"/>
          <w:tab w:val="clear" w:pos="1134"/>
          <w:tab w:val="clear" w:pos="1701"/>
          <w:tab w:val="clear" w:pos="2268"/>
          <w:tab w:val="clear" w:pos="2835"/>
        </w:tabs>
        <w:snapToGrid w:val="0"/>
        <w:spacing w:before="100" w:after="100"/>
        <w:contextualSpacing w:val="0"/>
        <w:jc w:val="both"/>
        <w:rPr>
          <w:rFonts w:asciiTheme="minorHAnsi" w:hAnsiTheme="minorHAnsi" w:cstheme="minorHAnsi"/>
          <w:szCs w:val="24"/>
          <w:lang w:val="en-CA"/>
        </w:rPr>
      </w:pPr>
      <w:r w:rsidRPr="00085A79">
        <w:rPr>
          <w:rFonts w:asciiTheme="minorHAnsi" w:hAnsiTheme="minorHAnsi" w:cstheme="minorHAnsi"/>
          <w:szCs w:val="24"/>
          <w:lang w:val="en-CA"/>
        </w:rPr>
        <w:t>P</w:t>
      </w:r>
      <w:r w:rsidR="004F23CC" w:rsidRPr="00085A79">
        <w:rPr>
          <w:rFonts w:asciiTheme="minorHAnsi" w:hAnsiTheme="minorHAnsi" w:cstheme="minorHAnsi"/>
          <w:szCs w:val="24"/>
          <w:lang w:val="en-CA"/>
        </w:rPr>
        <w:t>rovide a solid basis for gender-responsiveness for future ITU events.</w:t>
      </w:r>
    </w:p>
    <w:p w14:paraId="5A1DF619" w14:textId="77777777" w:rsidR="00434A00" w:rsidRPr="00085A79" w:rsidRDefault="00434A00" w:rsidP="00303A7B">
      <w:pPr>
        <w:pStyle w:val="Heading3"/>
        <w:tabs>
          <w:tab w:val="clear" w:pos="567"/>
          <w:tab w:val="clear" w:pos="1134"/>
          <w:tab w:val="clear" w:pos="1701"/>
          <w:tab w:val="clear" w:pos="2268"/>
          <w:tab w:val="clear" w:pos="2835"/>
        </w:tabs>
        <w:snapToGrid w:val="0"/>
        <w:spacing w:before="120" w:after="120"/>
        <w:ind w:left="0" w:firstLine="0"/>
        <w:rPr>
          <w:rFonts w:asciiTheme="minorHAnsi" w:hAnsiTheme="minorHAnsi" w:cstheme="minorHAnsi"/>
          <w:szCs w:val="24"/>
        </w:rPr>
      </w:pPr>
      <w:bookmarkStart w:id="13" w:name="_Hlk2341777"/>
      <w:r w:rsidRPr="00085A79">
        <w:rPr>
          <w:rFonts w:asciiTheme="minorHAnsi" w:hAnsiTheme="minorHAnsi" w:cstheme="minorHAnsi"/>
          <w:szCs w:val="24"/>
          <w:lang w:val="en-CA"/>
        </w:rPr>
        <w:t>4.2</w:t>
      </w:r>
      <w:r w:rsidRPr="00085A79">
        <w:rPr>
          <w:rFonts w:asciiTheme="minorHAnsi" w:hAnsiTheme="minorHAnsi" w:cstheme="minorHAnsi"/>
          <w:szCs w:val="24"/>
          <w:lang w:val="en-CA"/>
        </w:rPr>
        <w:tab/>
      </w:r>
      <w:bookmarkEnd w:id="13"/>
      <w:r w:rsidRPr="00085A79">
        <w:rPr>
          <w:rFonts w:asciiTheme="minorHAnsi" w:hAnsiTheme="minorHAnsi" w:cstheme="minorHAnsi"/>
          <w:szCs w:val="24"/>
        </w:rPr>
        <w:t xml:space="preserve">ITU Network of Women for WRC </w:t>
      </w:r>
    </w:p>
    <w:p w14:paraId="665235E0" w14:textId="36FB4E62" w:rsidR="008F155C" w:rsidRPr="00085A79" w:rsidRDefault="008F155C" w:rsidP="00303A7B">
      <w:pPr>
        <w:spacing w:after="120"/>
        <w:jc w:val="both"/>
        <w:rPr>
          <w:rFonts w:asciiTheme="minorHAnsi" w:eastAsia="Calibri" w:hAnsiTheme="minorHAnsi" w:cstheme="minorHAnsi"/>
          <w:szCs w:val="24"/>
          <w:lang w:val="en"/>
        </w:rPr>
      </w:pPr>
      <w:r w:rsidRPr="00085A79">
        <w:rPr>
          <w:rFonts w:asciiTheme="minorHAnsi" w:hAnsiTheme="minorHAnsi" w:cstheme="minorHAnsi"/>
          <w:color w:val="000000"/>
          <w:szCs w:val="24"/>
          <w:shd w:val="clear" w:color="auto" w:fill="FFFEFE"/>
        </w:rPr>
        <w:t>Inspired by the </w:t>
      </w:r>
      <w:hyperlink r:id="rId46" w:history="1">
        <w:r w:rsidRPr="00085A79">
          <w:rPr>
            <w:rStyle w:val="Hyperlink"/>
            <w:rFonts w:asciiTheme="minorHAnsi" w:eastAsia="Calibri" w:hAnsiTheme="minorHAnsi" w:cstheme="minorHAnsi"/>
            <w:szCs w:val="24"/>
            <w:lang w:val="en"/>
          </w:rPr>
          <w:t>We Lead initiative</w:t>
        </w:r>
      </w:hyperlink>
      <w:r w:rsidRPr="00085A79">
        <w:rPr>
          <w:rFonts w:asciiTheme="minorHAnsi" w:hAnsiTheme="minorHAnsi" w:cstheme="minorHAnsi"/>
          <w:color w:val="000000"/>
          <w:szCs w:val="24"/>
          <w:shd w:val="clear" w:color="auto" w:fill="FFFEFE"/>
        </w:rPr>
        <w:t>,</w:t>
      </w:r>
      <w:r w:rsidR="00573672" w:rsidRPr="00085A79">
        <w:rPr>
          <w:rFonts w:asciiTheme="minorHAnsi" w:hAnsiTheme="minorHAnsi" w:cstheme="minorHAnsi"/>
          <w:color w:val="000000"/>
          <w:szCs w:val="24"/>
          <w:shd w:val="clear" w:color="auto" w:fill="FFFEFE"/>
        </w:rPr>
        <w:t xml:space="preserve"> </w:t>
      </w:r>
      <w:r w:rsidRPr="00085A79">
        <w:rPr>
          <w:rFonts w:asciiTheme="minorHAnsi" w:hAnsiTheme="minorHAnsi" w:cstheme="minorHAnsi"/>
          <w:color w:val="000000"/>
          <w:szCs w:val="24"/>
          <w:shd w:val="clear" w:color="auto" w:fill="FFFEFE"/>
        </w:rPr>
        <w:t>t</w:t>
      </w:r>
      <w:r w:rsidRPr="00085A79">
        <w:rPr>
          <w:rFonts w:asciiTheme="minorHAnsi" w:eastAsia="Calibri" w:hAnsiTheme="minorHAnsi" w:cstheme="minorHAnsi"/>
          <w:szCs w:val="24"/>
          <w:lang w:val="en"/>
        </w:rPr>
        <w:t>he “</w:t>
      </w:r>
      <w:r w:rsidRPr="00085A79">
        <w:rPr>
          <w:rFonts w:asciiTheme="minorHAnsi" w:eastAsia="Calibri" w:hAnsiTheme="minorHAnsi" w:cstheme="minorHAnsi"/>
          <w:szCs w:val="24"/>
          <w:lang w:val="en-US"/>
        </w:rPr>
        <w:t xml:space="preserve">Network of Women for WRC” project </w:t>
      </w:r>
      <w:r w:rsidRPr="00085A79">
        <w:rPr>
          <w:rFonts w:asciiTheme="minorHAnsi" w:eastAsia="Calibri" w:hAnsiTheme="minorHAnsi" w:cstheme="minorHAnsi"/>
          <w:szCs w:val="24"/>
          <w:lang w:val="en"/>
        </w:rPr>
        <w:t>is a knowledge sharing and mentoring network that encourages gender balance in decision-making bodies, panels, statutory committees, and study groups at ITU-R events leading to the next World Radiocommunication Conference.</w:t>
      </w:r>
    </w:p>
    <w:p w14:paraId="7AE9CBAE" w14:textId="5345C3F8" w:rsidR="008F155C" w:rsidRPr="00085A79" w:rsidRDefault="008F155C" w:rsidP="00303A7B">
      <w:pPr>
        <w:keepNext/>
        <w:keepLines/>
        <w:spacing w:after="120"/>
        <w:jc w:val="both"/>
        <w:rPr>
          <w:rFonts w:asciiTheme="minorHAnsi" w:eastAsia="Calibri" w:hAnsiTheme="minorHAnsi" w:cstheme="minorHAnsi"/>
          <w:szCs w:val="24"/>
          <w:lang w:val="en"/>
        </w:rPr>
      </w:pPr>
      <w:r w:rsidRPr="00085A79">
        <w:rPr>
          <w:rFonts w:asciiTheme="minorHAnsi" w:eastAsia="Calibri" w:hAnsiTheme="minorHAnsi" w:cstheme="minorHAnsi"/>
          <w:szCs w:val="24"/>
          <w:lang w:val="en"/>
        </w:rPr>
        <w:t>NOW4WRC aims to increase the number of women participating in and taking on leading roles, such as committee chairs and conference chairs, in the technical conferences of ITU’s Radiocommunication Sector.</w:t>
      </w:r>
    </w:p>
    <w:p w14:paraId="7637D555" w14:textId="0D23EEB4" w:rsidR="008F155C" w:rsidRPr="00085A79" w:rsidRDefault="008F155C" w:rsidP="00303A7B">
      <w:pPr>
        <w:spacing w:after="120"/>
        <w:jc w:val="both"/>
        <w:rPr>
          <w:rFonts w:asciiTheme="minorHAnsi" w:eastAsia="Calibri" w:hAnsiTheme="minorHAnsi" w:cstheme="minorHAnsi"/>
          <w:szCs w:val="24"/>
          <w:lang w:val="en"/>
        </w:rPr>
      </w:pPr>
      <w:r w:rsidRPr="00085A79">
        <w:rPr>
          <w:rFonts w:asciiTheme="minorHAnsi" w:eastAsia="Calibri" w:hAnsiTheme="minorHAnsi" w:cstheme="minorHAnsi"/>
          <w:szCs w:val="24"/>
          <w:lang w:val="en"/>
        </w:rPr>
        <w:t xml:space="preserve">The </w:t>
      </w:r>
      <w:hyperlink r:id="rId47">
        <w:r w:rsidRPr="00085A79">
          <w:rPr>
            <w:rStyle w:val="Hyperlink"/>
            <w:rFonts w:asciiTheme="minorHAnsi" w:eastAsia="Calibri" w:hAnsiTheme="minorHAnsi" w:cstheme="minorHAnsi"/>
            <w:color w:val="auto"/>
            <w:szCs w:val="24"/>
            <w:u w:val="none"/>
            <w:lang w:val="en-US"/>
          </w:rPr>
          <w:t>NOW</w:t>
        </w:r>
      </w:hyperlink>
      <w:r w:rsidRPr="00085A79">
        <w:rPr>
          <w:rStyle w:val="Hyperlink"/>
          <w:rFonts w:asciiTheme="minorHAnsi" w:eastAsia="Calibri" w:hAnsiTheme="minorHAnsi" w:cstheme="minorHAnsi"/>
          <w:color w:val="auto"/>
          <w:szCs w:val="24"/>
          <w:u w:val="none"/>
          <w:lang w:val="en-US"/>
        </w:rPr>
        <w:t>4WRC19</w:t>
      </w:r>
      <w:r w:rsidRPr="00085A79">
        <w:rPr>
          <w:rFonts w:asciiTheme="minorHAnsi" w:eastAsia="Calibri" w:hAnsiTheme="minorHAnsi" w:cstheme="minorHAnsi"/>
          <w:szCs w:val="24"/>
          <w:lang w:val="en-US"/>
        </w:rPr>
        <w:t xml:space="preserve"> mentorship </w:t>
      </w:r>
      <w:proofErr w:type="spellStart"/>
      <w:r w:rsidRPr="00085A79">
        <w:rPr>
          <w:rFonts w:asciiTheme="minorHAnsi" w:eastAsia="Calibri" w:hAnsiTheme="minorHAnsi" w:cstheme="minorHAnsi"/>
          <w:szCs w:val="24"/>
          <w:lang w:val="en-US"/>
        </w:rPr>
        <w:t>programme</w:t>
      </w:r>
      <w:proofErr w:type="spellEnd"/>
      <w:r w:rsidRPr="00085A79">
        <w:rPr>
          <w:rFonts w:asciiTheme="minorHAnsi" w:eastAsia="Calibri" w:hAnsiTheme="minorHAnsi" w:cstheme="minorHAnsi"/>
          <w:szCs w:val="24"/>
          <w:lang w:val="en-US"/>
        </w:rPr>
        <w:t xml:space="preserve"> (before CPM19-2 and WRC-19) brought together 205 new and experienced delegates from 70 countries and matched over 180 mentor/mentee pairs to share knowledge and encourage larger and more active participation of women in the WRC process. NOW4WRC19 participants led the effort that succeed in the adoption of the </w:t>
      </w:r>
      <w:hyperlink r:id="rId48" w:history="1">
        <w:r w:rsidRPr="00085A79">
          <w:rPr>
            <w:rStyle w:val="Hyperlink"/>
            <w:rFonts w:asciiTheme="minorHAnsi" w:eastAsia="Calibri" w:hAnsiTheme="minorHAnsi" w:cstheme="minorHAnsi"/>
            <w:szCs w:val="24"/>
            <w:lang w:val="en"/>
          </w:rPr>
          <w:t>WRC-19 Declaration on Promoting Gender Equality, Equity and Parity in the ITU Radiocommunication Sector</w:t>
        </w:r>
      </w:hyperlink>
      <w:r w:rsidRPr="00085A79">
        <w:rPr>
          <w:rFonts w:asciiTheme="minorHAnsi" w:eastAsia="Calibri" w:hAnsiTheme="minorHAnsi" w:cstheme="minorHAnsi"/>
          <w:szCs w:val="24"/>
          <w:lang w:val="en"/>
        </w:rPr>
        <w:t>.</w:t>
      </w:r>
    </w:p>
    <w:p w14:paraId="57001949" w14:textId="21A30E1C" w:rsidR="008F155C" w:rsidRPr="00137E9F" w:rsidRDefault="008F155C" w:rsidP="00303A7B">
      <w:pPr>
        <w:spacing w:after="120"/>
        <w:jc w:val="both"/>
        <w:rPr>
          <w:rFonts w:asciiTheme="minorHAnsi" w:hAnsiTheme="minorHAnsi" w:cstheme="minorHAnsi"/>
          <w:szCs w:val="24"/>
        </w:rPr>
      </w:pPr>
      <w:r w:rsidRPr="00137E9F">
        <w:rPr>
          <w:rFonts w:asciiTheme="minorHAnsi" w:hAnsiTheme="minorHAnsi" w:cstheme="minorHAnsi"/>
          <w:szCs w:val="24"/>
          <w:lang w:val="en-CA" w:eastAsia="en-GB"/>
        </w:rPr>
        <w:lastRenderedPageBreak/>
        <w:t xml:space="preserve">In </w:t>
      </w:r>
      <w:r w:rsidRPr="00137E9F">
        <w:rPr>
          <w:rFonts w:asciiTheme="minorHAnsi" w:hAnsiTheme="minorHAnsi" w:cstheme="minorHAnsi"/>
          <w:szCs w:val="24"/>
        </w:rPr>
        <w:t>December 2020, the Network of Women for WRC</w:t>
      </w:r>
      <w:r w:rsidR="00573672" w:rsidRPr="00137E9F">
        <w:rPr>
          <w:rFonts w:asciiTheme="minorHAnsi" w:hAnsiTheme="minorHAnsi" w:cstheme="minorHAnsi"/>
          <w:szCs w:val="24"/>
        </w:rPr>
        <w:t>-</w:t>
      </w:r>
      <w:r w:rsidRPr="00137E9F">
        <w:rPr>
          <w:rFonts w:asciiTheme="minorHAnsi" w:hAnsiTheme="minorHAnsi" w:cstheme="minorHAnsi"/>
          <w:szCs w:val="24"/>
        </w:rPr>
        <w:t>23 (</w:t>
      </w:r>
      <w:hyperlink r:id="rId49" w:history="1">
        <w:r w:rsidRPr="00137E9F">
          <w:rPr>
            <w:rStyle w:val="Hyperlink"/>
            <w:rFonts w:asciiTheme="minorHAnsi" w:hAnsiTheme="minorHAnsi" w:cstheme="minorHAnsi"/>
            <w:szCs w:val="24"/>
          </w:rPr>
          <w:t>NOW4WRC23</w:t>
        </w:r>
      </w:hyperlink>
      <w:r w:rsidRPr="00137E9F">
        <w:rPr>
          <w:rFonts w:asciiTheme="minorHAnsi" w:hAnsiTheme="minorHAnsi" w:cstheme="minorHAnsi"/>
          <w:szCs w:val="24"/>
        </w:rPr>
        <w:t>) was launched</w:t>
      </w:r>
      <w:r w:rsidRPr="00137E9F">
        <w:rPr>
          <w:rFonts w:asciiTheme="minorHAnsi" w:hAnsiTheme="minorHAnsi" w:cstheme="minorHAnsi"/>
          <w:szCs w:val="24"/>
          <w:lang w:val="en-CA" w:eastAsia="en-GB"/>
        </w:rPr>
        <w:t xml:space="preserve"> to fulfill one of </w:t>
      </w:r>
      <w:r w:rsidR="00323DC8" w:rsidRPr="00137E9F">
        <w:rPr>
          <w:rFonts w:asciiTheme="minorHAnsi" w:hAnsiTheme="minorHAnsi" w:cstheme="minorHAnsi"/>
          <w:szCs w:val="24"/>
          <w:lang w:val="en-CA" w:eastAsia="en-GB"/>
        </w:rPr>
        <w:t xml:space="preserve">ITU’s </w:t>
      </w:r>
      <w:r w:rsidRPr="00137E9F">
        <w:rPr>
          <w:rFonts w:asciiTheme="minorHAnsi" w:hAnsiTheme="minorHAnsi" w:cstheme="minorHAnsi"/>
          <w:szCs w:val="24"/>
          <w:lang w:val="en-CA" w:eastAsia="en-GB"/>
        </w:rPr>
        <w:t xml:space="preserve">commitments to implement the concrete actions in the WRC-19 Gender Declaration. </w:t>
      </w:r>
      <w:r w:rsidRPr="00137E9F">
        <w:rPr>
          <w:rFonts w:asciiTheme="minorHAnsi" w:hAnsiTheme="minorHAnsi" w:cstheme="minorHAnsi"/>
          <w:szCs w:val="24"/>
        </w:rPr>
        <w:t xml:space="preserve">It aims to continue building capacity and encouraging greater participation of women in key roles, increasing attendance in ITU-R meetings and conferences as delegates, chairs, and vice-chairs. Since then, the NOW4WRC23 has also expanded to include regional initiatives, led by the </w:t>
      </w:r>
      <w:hyperlink r:id="rId50" w:history="1">
        <w:r w:rsidRPr="00137E9F">
          <w:rPr>
            <w:rStyle w:val="Hyperlink"/>
            <w:rFonts w:asciiTheme="minorHAnsi" w:hAnsiTheme="minorHAnsi" w:cstheme="minorHAnsi"/>
            <w:szCs w:val="24"/>
          </w:rPr>
          <w:t>Regional NOW4WRC23 Co-Chairs</w:t>
        </w:r>
      </w:hyperlink>
      <w:r w:rsidRPr="00137E9F">
        <w:rPr>
          <w:rFonts w:asciiTheme="minorHAnsi" w:hAnsiTheme="minorHAnsi" w:cstheme="minorHAnsi"/>
          <w:szCs w:val="24"/>
        </w:rPr>
        <w:t xml:space="preserve"> for each of the six Regional Telecommunication Organizations (RTO). In 2021, numerous activities have been organi</w:t>
      </w:r>
      <w:r w:rsidR="00323DC8" w:rsidRPr="00137E9F">
        <w:rPr>
          <w:rFonts w:asciiTheme="minorHAnsi" w:hAnsiTheme="minorHAnsi" w:cstheme="minorHAnsi"/>
          <w:szCs w:val="24"/>
        </w:rPr>
        <w:t>z</w:t>
      </w:r>
      <w:r w:rsidRPr="00137E9F">
        <w:rPr>
          <w:rFonts w:asciiTheme="minorHAnsi" w:hAnsiTheme="minorHAnsi" w:cstheme="minorHAnsi"/>
          <w:szCs w:val="24"/>
        </w:rPr>
        <w:t>ed in the various regions, carried out within and during the RTOs’ preparatory processes for the WRC-23.</w:t>
      </w:r>
    </w:p>
    <w:p w14:paraId="39D6E5A7" w14:textId="77777777" w:rsidR="008F155C" w:rsidRPr="00137E9F" w:rsidRDefault="008F155C" w:rsidP="00303A7B">
      <w:pPr>
        <w:keepNext/>
        <w:keepLines/>
        <w:spacing w:after="120"/>
        <w:jc w:val="both"/>
        <w:rPr>
          <w:rFonts w:asciiTheme="minorHAnsi" w:eastAsia="Calibri" w:hAnsiTheme="minorHAnsi" w:cstheme="minorHAnsi"/>
          <w:szCs w:val="24"/>
          <w:lang w:val="en"/>
        </w:rPr>
      </w:pPr>
      <w:r w:rsidRPr="00137E9F">
        <w:rPr>
          <w:rFonts w:asciiTheme="minorHAnsi" w:eastAsia="Calibri" w:hAnsiTheme="minorHAnsi" w:cstheme="minorHAnsi"/>
          <w:szCs w:val="24"/>
          <w:lang w:val="en"/>
        </w:rPr>
        <w:t xml:space="preserve">A key component of the NOW4WRC23 initiative is mentoring, which is carried out both within the RTOs and also at the global level in conjunction with the ITU-R Study Group activities. The global NOW4WRC23 mentoring </w:t>
      </w:r>
      <w:proofErr w:type="spellStart"/>
      <w:r w:rsidRPr="00137E9F">
        <w:rPr>
          <w:rFonts w:asciiTheme="minorHAnsi" w:eastAsia="Calibri" w:hAnsiTheme="minorHAnsi" w:cstheme="minorHAnsi"/>
          <w:szCs w:val="24"/>
          <w:lang w:val="en"/>
        </w:rPr>
        <w:t>programme</w:t>
      </w:r>
      <w:proofErr w:type="spellEnd"/>
      <w:r w:rsidRPr="00137E9F">
        <w:rPr>
          <w:rFonts w:asciiTheme="minorHAnsi" w:eastAsia="Calibri" w:hAnsiTheme="minorHAnsi" w:cstheme="minorHAnsi"/>
          <w:szCs w:val="24"/>
          <w:lang w:val="en"/>
        </w:rPr>
        <w:t xml:space="preserve">, supported by </w:t>
      </w:r>
      <w:hyperlink r:id="rId51" w:history="1">
        <w:r w:rsidRPr="00137E9F">
          <w:rPr>
            <w:rStyle w:val="Hyperlink"/>
            <w:rFonts w:asciiTheme="minorHAnsi" w:eastAsia="Calibri" w:hAnsiTheme="minorHAnsi" w:cstheme="minorHAnsi"/>
            <w:szCs w:val="24"/>
            <w:lang w:val="en"/>
          </w:rPr>
          <w:t>BR coordinators</w:t>
        </w:r>
      </w:hyperlink>
      <w:r w:rsidRPr="00137E9F">
        <w:rPr>
          <w:rFonts w:asciiTheme="minorHAnsi" w:eastAsia="Calibri" w:hAnsiTheme="minorHAnsi" w:cstheme="minorHAnsi"/>
          <w:szCs w:val="24"/>
          <w:lang w:val="en"/>
        </w:rPr>
        <w:t>, aims to provide an active forum for exchanging knowledge, networking and mentoring for women in the ITU Radiocommunication Sector (ITU-R). Its main objectives are four-fold:</w:t>
      </w:r>
    </w:p>
    <w:p w14:paraId="0435133C" w14:textId="590B6EB3" w:rsidR="008F155C" w:rsidRPr="00137E9F" w:rsidRDefault="008F155C" w:rsidP="00303A7B">
      <w:pPr>
        <w:pStyle w:val="ListParagraph"/>
        <w:keepNext/>
        <w:keepLines/>
        <w:numPr>
          <w:ilvl w:val="0"/>
          <w:numId w:val="16"/>
        </w:numPr>
        <w:spacing w:after="120"/>
        <w:ind w:left="567"/>
        <w:contextualSpacing w:val="0"/>
        <w:jc w:val="both"/>
        <w:rPr>
          <w:rFonts w:asciiTheme="minorHAnsi" w:eastAsia="Calibri" w:hAnsiTheme="minorHAnsi" w:cstheme="minorHAnsi"/>
          <w:szCs w:val="24"/>
          <w:lang w:val="en"/>
        </w:rPr>
      </w:pPr>
      <w:r w:rsidRPr="00137E9F">
        <w:rPr>
          <w:rFonts w:asciiTheme="minorHAnsi" w:eastAsia="Calibri" w:hAnsiTheme="minorHAnsi" w:cstheme="minorHAnsi"/>
          <w:szCs w:val="24"/>
          <w:lang w:val="en"/>
        </w:rPr>
        <w:t>To strive for gender balance among delegates</w:t>
      </w:r>
      <w:r w:rsidR="0044229B" w:rsidRPr="00137E9F">
        <w:rPr>
          <w:rFonts w:asciiTheme="minorHAnsi" w:eastAsia="Calibri" w:hAnsiTheme="minorHAnsi" w:cstheme="minorHAnsi"/>
          <w:szCs w:val="24"/>
          <w:lang w:val="en"/>
        </w:rPr>
        <w:t>.</w:t>
      </w:r>
    </w:p>
    <w:p w14:paraId="032F96EE" w14:textId="77096D99" w:rsidR="008F155C" w:rsidRPr="00137E9F" w:rsidRDefault="008F155C" w:rsidP="004E5659">
      <w:pPr>
        <w:pStyle w:val="ListParagraph"/>
        <w:keepNext/>
        <w:keepLines/>
        <w:numPr>
          <w:ilvl w:val="0"/>
          <w:numId w:val="16"/>
        </w:numPr>
        <w:spacing w:after="120"/>
        <w:ind w:left="567"/>
        <w:contextualSpacing w:val="0"/>
        <w:jc w:val="both"/>
        <w:rPr>
          <w:rFonts w:asciiTheme="minorHAnsi" w:eastAsia="Calibri" w:hAnsiTheme="minorHAnsi" w:cstheme="minorHAnsi"/>
          <w:szCs w:val="24"/>
          <w:lang w:val="en"/>
        </w:rPr>
      </w:pPr>
      <w:r w:rsidRPr="00137E9F">
        <w:rPr>
          <w:rFonts w:asciiTheme="minorHAnsi" w:eastAsia="Calibri" w:hAnsiTheme="minorHAnsi" w:cstheme="minorHAnsi"/>
          <w:szCs w:val="24"/>
          <w:lang w:val="en"/>
        </w:rPr>
        <w:t>To prepare women delegates for key roles in the WRC-23</w:t>
      </w:r>
      <w:r w:rsidR="0044229B" w:rsidRPr="00137E9F">
        <w:rPr>
          <w:rFonts w:asciiTheme="minorHAnsi" w:eastAsia="Calibri" w:hAnsiTheme="minorHAnsi" w:cstheme="minorHAnsi"/>
          <w:szCs w:val="24"/>
          <w:lang w:val="en"/>
        </w:rPr>
        <w:t>.</w:t>
      </w:r>
    </w:p>
    <w:p w14:paraId="53BDC96E" w14:textId="7865A616" w:rsidR="008F155C" w:rsidRPr="00085A79" w:rsidDel="00771F66" w:rsidRDefault="008F155C" w:rsidP="00137E9F">
      <w:pPr>
        <w:pStyle w:val="ListParagraph"/>
        <w:keepNext/>
        <w:keepLines/>
        <w:numPr>
          <w:ilvl w:val="0"/>
          <w:numId w:val="16"/>
        </w:numPr>
        <w:spacing w:after="120"/>
        <w:ind w:hanging="436"/>
        <w:contextualSpacing w:val="0"/>
        <w:jc w:val="both"/>
        <w:rPr>
          <w:rFonts w:asciiTheme="minorHAnsi" w:eastAsia="Calibri" w:hAnsiTheme="minorHAnsi" w:cstheme="minorHAnsi"/>
          <w:szCs w:val="24"/>
          <w:lang w:val="en"/>
        </w:rPr>
      </w:pPr>
      <w:r w:rsidRPr="00137E9F" w:rsidDel="00771F66">
        <w:rPr>
          <w:rFonts w:asciiTheme="minorHAnsi" w:eastAsia="Calibri" w:hAnsiTheme="minorHAnsi" w:cstheme="minorHAnsi"/>
          <w:szCs w:val="24"/>
          <w:lang w:val="en"/>
        </w:rPr>
        <w:t>To grow the ITU women’s community in terms of their numbers and level of participation in the conference</w:t>
      </w:r>
      <w:r w:rsidRPr="00085A79" w:rsidDel="00771F66">
        <w:rPr>
          <w:rFonts w:asciiTheme="minorHAnsi" w:eastAsia="Calibri" w:hAnsiTheme="minorHAnsi" w:cstheme="minorHAnsi"/>
          <w:szCs w:val="24"/>
          <w:lang w:val="en"/>
        </w:rPr>
        <w:t>.</w:t>
      </w:r>
    </w:p>
    <w:p w14:paraId="32E557CE" w14:textId="4761A444" w:rsidR="008F155C" w:rsidRPr="00085A79" w:rsidRDefault="008F155C" w:rsidP="00303A7B">
      <w:pPr>
        <w:pStyle w:val="ListParagraph"/>
        <w:keepNext/>
        <w:keepLines/>
        <w:numPr>
          <w:ilvl w:val="0"/>
          <w:numId w:val="17"/>
        </w:numPr>
        <w:spacing w:after="120"/>
        <w:contextualSpacing w:val="0"/>
        <w:jc w:val="both"/>
        <w:rPr>
          <w:rFonts w:asciiTheme="minorHAnsi" w:eastAsia="Calibri" w:hAnsiTheme="minorHAnsi" w:cstheme="minorHAnsi"/>
          <w:szCs w:val="24"/>
          <w:lang w:val="en"/>
        </w:rPr>
      </w:pPr>
      <w:r w:rsidRPr="00085A79">
        <w:rPr>
          <w:rFonts w:asciiTheme="minorHAnsi" w:eastAsia="Calibri" w:hAnsiTheme="minorHAnsi" w:cstheme="minorHAnsi"/>
          <w:szCs w:val="24"/>
          <w:lang w:val="en"/>
        </w:rPr>
        <w:t>To increase the number of women delegates having chairmanships and other key roles in ITU-R Study Groups, Working Parties and Working Groups during the important Study Period between WRCs</w:t>
      </w:r>
      <w:r w:rsidR="00E85154" w:rsidRPr="00085A79">
        <w:rPr>
          <w:rFonts w:asciiTheme="minorHAnsi" w:eastAsia="Calibri" w:hAnsiTheme="minorHAnsi" w:cstheme="minorHAnsi"/>
          <w:szCs w:val="24"/>
          <w:lang w:val="en"/>
        </w:rPr>
        <w:t>.</w:t>
      </w:r>
    </w:p>
    <w:p w14:paraId="68E98CA3" w14:textId="75ABBDFD" w:rsidR="009F4AA3" w:rsidRPr="00085A79" w:rsidRDefault="00E85154" w:rsidP="00303A7B">
      <w:pPr>
        <w:spacing w:after="120"/>
        <w:jc w:val="both"/>
        <w:rPr>
          <w:rFonts w:asciiTheme="minorHAnsi" w:eastAsia="Calibri" w:hAnsiTheme="minorHAnsi" w:cstheme="minorHAnsi"/>
          <w:color w:val="000000" w:themeColor="text1"/>
          <w:szCs w:val="24"/>
        </w:rPr>
      </w:pPr>
      <w:r w:rsidRPr="00085A79">
        <w:rPr>
          <w:rFonts w:asciiTheme="minorHAnsi" w:eastAsia="Calibri" w:hAnsiTheme="minorHAnsi" w:cstheme="minorHAnsi"/>
          <w:szCs w:val="24"/>
          <w:lang w:val="en"/>
        </w:rPr>
        <w:t xml:space="preserve">Furthermore, </w:t>
      </w:r>
      <w:r w:rsidR="009F4AA3" w:rsidRPr="00085A79">
        <w:rPr>
          <w:rFonts w:asciiTheme="minorHAnsi" w:eastAsia="Calibri" w:hAnsiTheme="minorHAnsi" w:cstheme="minorHAnsi"/>
          <w:szCs w:val="24"/>
          <w:lang w:val="en"/>
        </w:rPr>
        <w:t>t</w:t>
      </w:r>
      <w:r w:rsidR="009F4AA3" w:rsidRPr="00085A79">
        <w:rPr>
          <w:rFonts w:asciiTheme="minorHAnsi" w:eastAsia="Calibri" w:hAnsiTheme="minorHAnsi" w:cstheme="minorHAnsi"/>
          <w:color w:val="000000" w:themeColor="text1"/>
          <w:szCs w:val="24"/>
        </w:rPr>
        <w:t xml:space="preserve">he </w:t>
      </w:r>
      <w:hyperlink r:id="rId52" w:history="1">
        <w:r w:rsidR="009F4AA3" w:rsidRPr="00085A79">
          <w:rPr>
            <w:rStyle w:val="Hyperlink"/>
            <w:rFonts w:asciiTheme="minorHAnsi" w:eastAsia="Calibri" w:hAnsiTheme="minorHAnsi" w:cstheme="minorHAnsi"/>
            <w:szCs w:val="24"/>
          </w:rPr>
          <w:t>Radiocommunication Advisory Group (RAG) Correspondence Group</w:t>
        </w:r>
      </w:hyperlink>
      <w:r w:rsidR="009F4AA3" w:rsidRPr="00085A79">
        <w:rPr>
          <w:rFonts w:asciiTheme="minorHAnsi" w:eastAsia="Calibri" w:hAnsiTheme="minorHAnsi" w:cstheme="minorHAnsi"/>
          <w:color w:val="000000" w:themeColor="text1"/>
          <w:szCs w:val="24"/>
        </w:rPr>
        <w:t xml:space="preserve"> on the implementation of the WRC-19 Gender Declaration has been established to focus on the empowerment of women and promotion of gender integration in the ITU-R Study Groups and other entities. A key objective of their work is the development of a draft new Resolution on ‘Promoting Gender, Equality, Equity and Parity in the ITU Radiocommunication Sector, which will be presented for adoption at the 2023 Radiocommunication Assembly.</w:t>
      </w:r>
    </w:p>
    <w:p w14:paraId="7C3868AF" w14:textId="61DB7FE7" w:rsidR="00434A00" w:rsidRPr="00085A79" w:rsidRDefault="00434A00" w:rsidP="00303A7B">
      <w:pPr>
        <w:pStyle w:val="Heading3"/>
        <w:tabs>
          <w:tab w:val="clear" w:pos="567"/>
          <w:tab w:val="clear" w:pos="1134"/>
          <w:tab w:val="clear" w:pos="1701"/>
          <w:tab w:val="clear" w:pos="2268"/>
          <w:tab w:val="clear" w:pos="2835"/>
        </w:tabs>
        <w:snapToGrid w:val="0"/>
        <w:spacing w:before="120" w:after="120"/>
        <w:rPr>
          <w:rFonts w:asciiTheme="minorHAnsi" w:hAnsiTheme="minorHAnsi" w:cstheme="minorHAnsi"/>
          <w:szCs w:val="24"/>
        </w:rPr>
      </w:pPr>
      <w:r w:rsidRPr="00085A79">
        <w:rPr>
          <w:rFonts w:asciiTheme="minorHAnsi" w:hAnsiTheme="minorHAnsi" w:cstheme="minorHAnsi"/>
          <w:szCs w:val="24"/>
        </w:rPr>
        <w:t>4.3</w:t>
      </w:r>
      <w:r w:rsidRPr="00085A79">
        <w:rPr>
          <w:rFonts w:asciiTheme="minorHAnsi" w:hAnsiTheme="minorHAnsi" w:cstheme="minorHAnsi"/>
          <w:szCs w:val="24"/>
        </w:rPr>
        <w:tab/>
      </w:r>
      <w:r w:rsidR="00FC7BB8" w:rsidRPr="00085A79">
        <w:rPr>
          <w:rFonts w:asciiTheme="minorHAnsi" w:hAnsiTheme="minorHAnsi" w:cstheme="minorHAnsi"/>
          <w:szCs w:val="24"/>
        </w:rPr>
        <w:t xml:space="preserve">ITU </w:t>
      </w:r>
      <w:r w:rsidRPr="00085A79">
        <w:rPr>
          <w:rFonts w:asciiTheme="minorHAnsi" w:hAnsiTheme="minorHAnsi" w:cstheme="minorHAnsi"/>
          <w:szCs w:val="24"/>
        </w:rPr>
        <w:t>Network of Women</w:t>
      </w:r>
      <w:r w:rsidR="00FC7BB8" w:rsidRPr="00085A79">
        <w:rPr>
          <w:rFonts w:asciiTheme="minorHAnsi" w:hAnsiTheme="minorHAnsi" w:cstheme="minorHAnsi"/>
          <w:szCs w:val="24"/>
        </w:rPr>
        <w:t xml:space="preserve"> for WTDC</w:t>
      </w:r>
      <w:r w:rsidRPr="00085A79">
        <w:rPr>
          <w:rFonts w:asciiTheme="minorHAnsi" w:hAnsiTheme="minorHAnsi" w:cstheme="minorHAnsi"/>
          <w:szCs w:val="24"/>
        </w:rPr>
        <w:t xml:space="preserve"> </w:t>
      </w:r>
    </w:p>
    <w:p w14:paraId="1B150B5F" w14:textId="573334F3" w:rsidR="00434A00" w:rsidRPr="00085A79" w:rsidRDefault="00434A00" w:rsidP="00303A7B">
      <w:pPr>
        <w:pStyle w:val="Heading3"/>
        <w:keepNext w:val="0"/>
        <w:keepLines w:val="0"/>
        <w:tabs>
          <w:tab w:val="clear" w:pos="567"/>
          <w:tab w:val="clear" w:pos="1134"/>
          <w:tab w:val="clear" w:pos="1701"/>
          <w:tab w:val="clear" w:pos="2268"/>
          <w:tab w:val="clear" w:pos="2835"/>
        </w:tabs>
        <w:snapToGrid w:val="0"/>
        <w:spacing w:before="120" w:after="120"/>
        <w:ind w:left="0" w:firstLine="0"/>
        <w:jc w:val="both"/>
        <w:rPr>
          <w:rFonts w:asciiTheme="minorHAnsi" w:hAnsiTheme="minorHAnsi" w:cstheme="minorHAnsi"/>
          <w:b w:val="0"/>
          <w:szCs w:val="24"/>
        </w:rPr>
      </w:pPr>
      <w:r w:rsidRPr="00085A79">
        <w:rPr>
          <w:rFonts w:asciiTheme="minorHAnsi" w:hAnsiTheme="minorHAnsi" w:cstheme="minorHAnsi"/>
          <w:b w:val="0"/>
          <w:szCs w:val="24"/>
        </w:rPr>
        <w:t>In January 2021</w:t>
      </w:r>
      <w:r w:rsidR="00771F66">
        <w:rPr>
          <w:rFonts w:asciiTheme="minorHAnsi" w:hAnsiTheme="minorHAnsi" w:cstheme="minorHAnsi"/>
          <w:b w:val="0"/>
          <w:szCs w:val="24"/>
        </w:rPr>
        <w:t>,</w:t>
      </w:r>
      <w:r w:rsidRPr="00085A79">
        <w:rPr>
          <w:rFonts w:asciiTheme="minorHAnsi" w:hAnsiTheme="minorHAnsi" w:cstheme="minorHAnsi"/>
          <w:b w:val="0"/>
          <w:szCs w:val="24"/>
        </w:rPr>
        <w:t xml:space="preserve"> ITU-D launched the Network of Women </w:t>
      </w:r>
      <w:r w:rsidR="00C85403" w:rsidRPr="00085A79">
        <w:rPr>
          <w:rFonts w:asciiTheme="minorHAnsi" w:hAnsiTheme="minorHAnsi" w:cstheme="minorHAnsi"/>
          <w:b w:val="0"/>
          <w:szCs w:val="24"/>
        </w:rPr>
        <w:t xml:space="preserve">for </w:t>
      </w:r>
      <w:r w:rsidRPr="00085A79">
        <w:rPr>
          <w:rFonts w:asciiTheme="minorHAnsi" w:hAnsiTheme="minorHAnsi" w:cstheme="minorHAnsi"/>
          <w:b w:val="0"/>
          <w:szCs w:val="24"/>
        </w:rPr>
        <w:t xml:space="preserve">the World Telecommunication Development Conference </w:t>
      </w:r>
      <w:r w:rsidRPr="00085A79">
        <w:rPr>
          <w:rFonts w:asciiTheme="minorHAnsi" w:hAnsiTheme="minorHAnsi" w:cstheme="minorHAnsi"/>
          <w:b w:val="0"/>
          <w:bCs/>
          <w:szCs w:val="24"/>
        </w:rPr>
        <w:t>(</w:t>
      </w:r>
      <w:hyperlink r:id="rId53" w:history="1">
        <w:r w:rsidR="00AC2047" w:rsidRPr="00085A79">
          <w:rPr>
            <w:rStyle w:val="Hyperlink"/>
            <w:rFonts w:asciiTheme="minorHAnsi" w:hAnsiTheme="minorHAnsi" w:cstheme="minorHAnsi"/>
            <w:b w:val="0"/>
            <w:szCs w:val="24"/>
          </w:rPr>
          <w:t>NoW4WTDC</w:t>
        </w:r>
      </w:hyperlink>
      <w:r w:rsidRPr="00085A79">
        <w:rPr>
          <w:rFonts w:asciiTheme="minorHAnsi" w:hAnsiTheme="minorHAnsi" w:cstheme="minorHAnsi"/>
          <w:b w:val="0"/>
          <w:szCs w:val="24"/>
        </w:rPr>
        <w:t>), with the overarching aim of increasing the number of women participating in ITU-D meetings as well as taking up leadership roles, such as committee chairs, working group chairs and other management roles related to processes in preparation of WTDC itself, and beyond. It will be a platform to understand the challenges that women delegates face and explore possible avenues to overcome them. It will also allow sharing important lessons in a supportive community through mentorship and networking opportunities.</w:t>
      </w:r>
    </w:p>
    <w:p w14:paraId="3795E85B" w14:textId="4D976AB2" w:rsidR="00405C58" w:rsidRPr="00085A79" w:rsidRDefault="3DAA5E58" w:rsidP="00303A7B">
      <w:pPr>
        <w:tabs>
          <w:tab w:val="clear" w:pos="567"/>
          <w:tab w:val="clear" w:pos="1134"/>
          <w:tab w:val="clear" w:pos="1701"/>
          <w:tab w:val="clear" w:pos="2268"/>
          <w:tab w:val="clear" w:pos="2835"/>
        </w:tabs>
        <w:spacing w:after="120"/>
        <w:jc w:val="both"/>
        <w:rPr>
          <w:rFonts w:asciiTheme="minorHAnsi" w:eastAsiaTheme="minorEastAsia" w:hAnsiTheme="minorHAnsi" w:cstheme="minorHAnsi"/>
          <w:szCs w:val="24"/>
          <w:lang w:val="en-US"/>
        </w:rPr>
      </w:pPr>
      <w:r w:rsidRPr="00085A79">
        <w:rPr>
          <w:rFonts w:asciiTheme="minorHAnsi" w:eastAsiaTheme="minorEastAsia" w:hAnsiTheme="minorHAnsi" w:cstheme="minorHAnsi"/>
          <w:szCs w:val="24"/>
          <w:lang w:val="en-US"/>
        </w:rPr>
        <w:t>As part of th</w:t>
      </w:r>
      <w:r w:rsidR="19F9D41B" w:rsidRPr="00085A79">
        <w:rPr>
          <w:rFonts w:asciiTheme="minorHAnsi" w:eastAsiaTheme="minorEastAsia" w:hAnsiTheme="minorHAnsi" w:cstheme="minorHAnsi"/>
          <w:szCs w:val="24"/>
          <w:lang w:val="en-US"/>
        </w:rPr>
        <w:t>is effort</w:t>
      </w:r>
      <w:r w:rsidRPr="00085A79">
        <w:rPr>
          <w:rFonts w:asciiTheme="minorHAnsi" w:eastAsiaTheme="minorEastAsia" w:hAnsiTheme="minorHAnsi" w:cstheme="minorHAnsi"/>
          <w:szCs w:val="24"/>
          <w:lang w:val="en-US"/>
        </w:rPr>
        <w:t xml:space="preserve">, ITU launched the global mentorship </w:t>
      </w:r>
      <w:proofErr w:type="spellStart"/>
      <w:r w:rsidRPr="00085A79">
        <w:rPr>
          <w:rFonts w:asciiTheme="minorHAnsi" w:eastAsiaTheme="minorEastAsia" w:hAnsiTheme="minorHAnsi" w:cstheme="minorHAnsi"/>
          <w:szCs w:val="24"/>
          <w:lang w:val="en-US"/>
        </w:rPr>
        <w:t>programme</w:t>
      </w:r>
      <w:proofErr w:type="spellEnd"/>
      <w:r w:rsidRPr="00085A79">
        <w:rPr>
          <w:rFonts w:asciiTheme="minorHAnsi" w:eastAsiaTheme="minorEastAsia" w:hAnsiTheme="minorHAnsi" w:cstheme="minorHAnsi"/>
          <w:szCs w:val="24"/>
          <w:lang w:val="en-US"/>
        </w:rPr>
        <w:t xml:space="preserve"> on 28 May 2021 at the NoW4WTDC side event during the Telecommunication Development Advisory Group (TDAG) meeting and called for mentees on 24 June 2021 at the Global Symposium of Regulators (GSR) 2021 </w:t>
      </w:r>
      <w:r w:rsidR="00AD246D">
        <w:rPr>
          <w:rFonts w:asciiTheme="minorHAnsi" w:eastAsiaTheme="minorEastAsia" w:hAnsiTheme="minorHAnsi" w:cstheme="minorHAnsi"/>
          <w:szCs w:val="24"/>
          <w:lang w:val="en-US"/>
        </w:rPr>
        <w:t>–</w:t>
      </w:r>
      <w:r w:rsidRPr="00085A79">
        <w:rPr>
          <w:rFonts w:asciiTheme="minorHAnsi" w:eastAsiaTheme="minorEastAsia" w:hAnsiTheme="minorHAnsi" w:cstheme="minorHAnsi"/>
          <w:szCs w:val="24"/>
          <w:lang w:val="en-US"/>
        </w:rPr>
        <w:t xml:space="preserve"> NoW4WTDC session. An entire </w:t>
      </w:r>
      <w:proofErr w:type="spellStart"/>
      <w:r w:rsidRPr="00085A79">
        <w:rPr>
          <w:rFonts w:asciiTheme="minorHAnsi" w:eastAsiaTheme="minorEastAsia" w:hAnsiTheme="minorHAnsi" w:cstheme="minorHAnsi"/>
          <w:szCs w:val="24"/>
          <w:lang w:val="en-US"/>
        </w:rPr>
        <w:t>programme</w:t>
      </w:r>
      <w:proofErr w:type="spellEnd"/>
      <w:r w:rsidRPr="00085A79">
        <w:rPr>
          <w:rFonts w:asciiTheme="minorHAnsi" w:eastAsiaTheme="minorEastAsia" w:hAnsiTheme="minorHAnsi" w:cstheme="minorHAnsi"/>
          <w:szCs w:val="24"/>
          <w:lang w:val="en-US"/>
        </w:rPr>
        <w:t xml:space="preserve"> of Fireside discussion was also launched in October 2021.</w:t>
      </w:r>
    </w:p>
    <w:p w14:paraId="1161F07D" w14:textId="1F220911" w:rsidR="00434A00" w:rsidRPr="00085A79" w:rsidRDefault="00434A00" w:rsidP="00573672">
      <w:pPr>
        <w:pStyle w:val="Heading3"/>
        <w:tabs>
          <w:tab w:val="clear" w:pos="567"/>
          <w:tab w:val="clear" w:pos="1134"/>
          <w:tab w:val="clear" w:pos="1701"/>
          <w:tab w:val="clear" w:pos="2268"/>
          <w:tab w:val="clear" w:pos="2835"/>
        </w:tabs>
        <w:snapToGrid w:val="0"/>
        <w:spacing w:before="120" w:after="120"/>
        <w:ind w:left="0" w:firstLine="0"/>
        <w:rPr>
          <w:rFonts w:asciiTheme="minorHAnsi" w:hAnsiTheme="minorHAnsi" w:cstheme="minorHAnsi"/>
          <w:szCs w:val="24"/>
        </w:rPr>
      </w:pPr>
      <w:r w:rsidRPr="00085A79">
        <w:rPr>
          <w:rFonts w:asciiTheme="minorHAnsi" w:hAnsiTheme="minorHAnsi" w:cstheme="minorHAnsi"/>
          <w:szCs w:val="24"/>
        </w:rPr>
        <w:lastRenderedPageBreak/>
        <w:t>4.4</w:t>
      </w:r>
      <w:r w:rsidRPr="00085A79">
        <w:rPr>
          <w:rFonts w:asciiTheme="minorHAnsi" w:hAnsiTheme="minorHAnsi" w:cstheme="minorHAnsi"/>
          <w:szCs w:val="24"/>
        </w:rPr>
        <w:tab/>
        <w:t>Setting the Standard for Gender Equality</w:t>
      </w:r>
    </w:p>
    <w:p w14:paraId="6B340AC1" w14:textId="4FE70C0C" w:rsidR="00E9006A" w:rsidRPr="00085A79" w:rsidRDefault="00434A00" w:rsidP="00573672">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bookmarkStart w:id="14" w:name="_Hlk2181458"/>
      <w:r w:rsidRPr="00085A79">
        <w:rPr>
          <w:rFonts w:asciiTheme="minorHAnsi" w:hAnsiTheme="minorHAnsi" w:cstheme="minorHAnsi"/>
          <w:szCs w:val="24"/>
        </w:rPr>
        <w:t>The ITU Telecommunication Standardization Sector continues to undertake actions to improve gender equality in TSB and ITU-T</w:t>
      </w:r>
      <w:r w:rsidR="61CBBF3A" w:rsidRPr="00085A79">
        <w:rPr>
          <w:rFonts w:asciiTheme="minorHAnsi" w:hAnsiTheme="minorHAnsi" w:cstheme="minorHAnsi"/>
          <w:szCs w:val="24"/>
        </w:rPr>
        <w:t xml:space="preserve"> </w:t>
      </w:r>
      <w:r w:rsidR="61CBBF3A" w:rsidRPr="00085A79">
        <w:rPr>
          <w:rFonts w:asciiTheme="minorHAnsi" w:eastAsia="Calibri" w:hAnsiTheme="minorHAnsi" w:cstheme="minorHAnsi"/>
          <w:szCs w:val="24"/>
        </w:rPr>
        <w:t xml:space="preserve">including supporting the activities of the Women in Standardization Expert Group (WISE). The second WISE event is planned at WTSA-20 on 8 March 2022 to continue the discussion on how to advance gender equality and the empowerment of women. WISE will also be </w:t>
      </w:r>
      <w:r w:rsidR="000D02CE" w:rsidRPr="00085A79">
        <w:rPr>
          <w:rFonts w:asciiTheme="minorHAnsi" w:eastAsia="Calibri" w:hAnsiTheme="minorHAnsi" w:cstheme="minorHAnsi"/>
          <w:szCs w:val="24"/>
        </w:rPr>
        <w:t>honouring</w:t>
      </w:r>
      <w:r w:rsidR="61CBBF3A" w:rsidRPr="00085A79">
        <w:rPr>
          <w:rFonts w:asciiTheme="minorHAnsi" w:eastAsia="Calibri" w:hAnsiTheme="minorHAnsi" w:cstheme="minorHAnsi"/>
          <w:szCs w:val="24"/>
        </w:rPr>
        <w:t xml:space="preserve"> women, men</w:t>
      </w:r>
      <w:r w:rsidR="00C30BAB">
        <w:rPr>
          <w:rFonts w:asciiTheme="minorHAnsi" w:eastAsia="Calibri" w:hAnsiTheme="minorHAnsi" w:cstheme="minorHAnsi"/>
          <w:szCs w:val="24"/>
        </w:rPr>
        <w:t>,</w:t>
      </w:r>
      <w:r w:rsidR="61CBBF3A" w:rsidRPr="00085A79">
        <w:rPr>
          <w:rFonts w:asciiTheme="minorHAnsi" w:eastAsia="Calibri" w:hAnsiTheme="minorHAnsi" w:cstheme="minorHAnsi"/>
          <w:szCs w:val="24"/>
        </w:rPr>
        <w:t xml:space="preserve"> and entities who have made valuable contribution to gender equality and the empowerment of women in ICT standardization sector</w:t>
      </w:r>
      <w:r w:rsidRPr="00085A79">
        <w:rPr>
          <w:rFonts w:asciiTheme="minorHAnsi" w:hAnsiTheme="minorHAnsi" w:cstheme="minorHAnsi"/>
          <w:szCs w:val="24"/>
        </w:rPr>
        <w:t>.</w:t>
      </w:r>
    </w:p>
    <w:p w14:paraId="425D66CE" w14:textId="384D3810" w:rsidR="00DD45FA" w:rsidRPr="00085A79" w:rsidRDefault="00434A00" w:rsidP="00303A7B">
      <w:pPr>
        <w:tabs>
          <w:tab w:val="clear" w:pos="567"/>
          <w:tab w:val="clear" w:pos="1134"/>
          <w:tab w:val="clear" w:pos="1701"/>
          <w:tab w:val="clear" w:pos="2268"/>
          <w:tab w:val="clear" w:pos="2835"/>
        </w:tabs>
        <w:snapToGrid w:val="0"/>
        <w:spacing w:after="120"/>
        <w:jc w:val="both"/>
        <w:rPr>
          <w:rFonts w:asciiTheme="minorHAnsi" w:eastAsia="Calibri" w:hAnsiTheme="minorHAnsi" w:cstheme="minorHAnsi"/>
          <w:szCs w:val="24"/>
        </w:rPr>
      </w:pPr>
      <w:r w:rsidRPr="00085A79">
        <w:rPr>
          <w:rFonts w:asciiTheme="minorHAnsi" w:hAnsiTheme="minorHAnsi" w:cstheme="minorHAnsi"/>
          <w:szCs w:val="24"/>
        </w:rPr>
        <w:t>The AI for Good Summit continues to focus on increasing the number of female speakers on technical topics.</w:t>
      </w:r>
      <w:r w:rsidR="1AB01F56" w:rsidRPr="00085A79">
        <w:rPr>
          <w:rFonts w:asciiTheme="minorHAnsi" w:eastAsia="Calibri" w:hAnsiTheme="minorHAnsi" w:cstheme="minorHAnsi"/>
          <w:szCs w:val="24"/>
        </w:rPr>
        <w:t xml:space="preserve"> Through the Bridging Standardization Gap initiative, TSB delivers training to encourage active participation of men and women from developing countries.</w:t>
      </w:r>
    </w:p>
    <w:p w14:paraId="7553AEFE" w14:textId="0326E6B6" w:rsidR="00434A00" w:rsidRPr="00085A79" w:rsidRDefault="1AB01F56" w:rsidP="00303A7B">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085A79">
        <w:rPr>
          <w:rFonts w:asciiTheme="minorHAnsi" w:eastAsia="Calibri" w:hAnsiTheme="minorHAnsi" w:cstheme="minorHAnsi"/>
          <w:szCs w:val="24"/>
        </w:rPr>
        <w:t>Lastly, TSB continues</w:t>
      </w:r>
      <w:r w:rsidR="00434A00" w:rsidRPr="00085A79">
        <w:rPr>
          <w:rFonts w:asciiTheme="minorHAnsi" w:hAnsiTheme="minorHAnsi" w:cstheme="minorHAnsi"/>
          <w:szCs w:val="24"/>
        </w:rPr>
        <w:t xml:space="preserve"> collaboration with other Standards Development Organizations and UN agencies on ensuring that the standards development processes are inclusive, and the standards developed are gender responsive.</w:t>
      </w:r>
    </w:p>
    <w:p w14:paraId="725C8AEF" w14:textId="5086EF7A" w:rsidR="00434A00" w:rsidRPr="00085A79" w:rsidRDefault="4ACF78E1" w:rsidP="00303A7B">
      <w:pPr>
        <w:pStyle w:val="Heading3"/>
        <w:spacing w:before="120" w:after="120"/>
        <w:rPr>
          <w:rFonts w:asciiTheme="minorHAnsi" w:eastAsia="Calibri" w:hAnsiTheme="minorHAnsi" w:cstheme="minorHAnsi"/>
          <w:szCs w:val="24"/>
        </w:rPr>
      </w:pPr>
      <w:r w:rsidRPr="00085A79">
        <w:rPr>
          <w:rFonts w:asciiTheme="minorHAnsi" w:eastAsia="Calibri" w:hAnsiTheme="minorHAnsi" w:cstheme="minorHAnsi"/>
          <w:szCs w:val="24"/>
        </w:rPr>
        <w:t>4.5</w:t>
      </w:r>
      <w:r w:rsidR="000B4B0D" w:rsidRPr="00085A79">
        <w:rPr>
          <w:rFonts w:asciiTheme="minorHAnsi" w:eastAsia="Calibri" w:hAnsiTheme="minorHAnsi" w:cstheme="minorHAnsi"/>
          <w:szCs w:val="24"/>
        </w:rPr>
        <w:tab/>
      </w:r>
      <w:r w:rsidRPr="00085A79">
        <w:rPr>
          <w:rFonts w:asciiTheme="minorHAnsi" w:eastAsia="Calibri" w:hAnsiTheme="minorHAnsi" w:cstheme="minorHAnsi"/>
          <w:szCs w:val="24"/>
        </w:rPr>
        <w:t>ITU Digital World 2021</w:t>
      </w:r>
    </w:p>
    <w:p w14:paraId="7E22449B" w14:textId="25ECD7BB" w:rsidR="00434A00" w:rsidRPr="00085A79" w:rsidRDefault="4ACF78E1" w:rsidP="00303A7B">
      <w:pPr>
        <w:spacing w:after="120"/>
        <w:jc w:val="both"/>
        <w:rPr>
          <w:rFonts w:asciiTheme="minorHAnsi" w:eastAsia="Calibri" w:hAnsiTheme="minorHAnsi" w:cstheme="minorHAnsi"/>
          <w:color w:val="000000" w:themeColor="text1"/>
          <w:szCs w:val="24"/>
        </w:rPr>
      </w:pPr>
      <w:r w:rsidRPr="00085A79">
        <w:rPr>
          <w:rFonts w:asciiTheme="minorHAnsi" w:eastAsia="Calibri" w:hAnsiTheme="minorHAnsi" w:cstheme="minorHAnsi"/>
          <w:color w:val="000000" w:themeColor="text1"/>
          <w:szCs w:val="24"/>
        </w:rPr>
        <w:t>The Forum at ITU Digital World 2021 took place online from September-December 2021. Despite circumstances being very different to a physical event, the participation of female speakers continued to be encouraged in the same way, resulting in a gender balance in Forum and Ministerial roundtable sessions of 32% female and 68% male speakers, with female speakers present in every session. This represented an increase in the share of female speakers from 21% in 2020.</w:t>
      </w:r>
    </w:p>
    <w:bookmarkEnd w:id="14"/>
    <w:p w14:paraId="5323E980" w14:textId="77777777" w:rsidR="00434A00" w:rsidRPr="00085A79" w:rsidRDefault="00434A00" w:rsidP="00303A7B">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cstheme="minorHAnsi"/>
          <w:sz w:val="24"/>
          <w:szCs w:val="24"/>
        </w:rPr>
      </w:pPr>
      <w:r w:rsidRPr="00085A79">
        <w:rPr>
          <w:rFonts w:asciiTheme="minorHAnsi" w:hAnsiTheme="minorHAnsi" w:cstheme="minorHAnsi"/>
          <w:sz w:val="24"/>
          <w:szCs w:val="24"/>
        </w:rPr>
        <w:t>5</w:t>
      </w:r>
      <w:r w:rsidRPr="00085A79">
        <w:rPr>
          <w:rFonts w:asciiTheme="minorHAnsi" w:hAnsiTheme="minorHAnsi" w:cstheme="minorHAnsi"/>
          <w:sz w:val="24"/>
          <w:szCs w:val="24"/>
        </w:rPr>
        <w:tab/>
        <w:t>Institutional Awareness of Gender Equality and Mainstreaming</w:t>
      </w:r>
    </w:p>
    <w:p w14:paraId="23C1A540" w14:textId="77777777" w:rsidR="00434A00" w:rsidRPr="00085A79" w:rsidRDefault="00434A00" w:rsidP="00303A7B">
      <w:pPr>
        <w:pStyle w:val="Heading3"/>
        <w:keepNext w:val="0"/>
        <w:keepLines w:val="0"/>
        <w:tabs>
          <w:tab w:val="clear" w:pos="567"/>
          <w:tab w:val="clear" w:pos="1134"/>
          <w:tab w:val="clear" w:pos="1701"/>
          <w:tab w:val="clear" w:pos="2268"/>
          <w:tab w:val="clear" w:pos="2835"/>
        </w:tabs>
        <w:snapToGrid w:val="0"/>
        <w:spacing w:before="120" w:after="120"/>
        <w:ind w:left="0" w:firstLine="0"/>
        <w:rPr>
          <w:rFonts w:asciiTheme="minorHAnsi" w:hAnsiTheme="minorHAnsi" w:cstheme="minorHAnsi"/>
          <w:szCs w:val="24"/>
        </w:rPr>
      </w:pPr>
      <w:r w:rsidRPr="00085A79">
        <w:rPr>
          <w:rFonts w:asciiTheme="minorHAnsi" w:hAnsiTheme="minorHAnsi" w:cstheme="minorHAnsi"/>
          <w:szCs w:val="24"/>
        </w:rPr>
        <w:t>5.1</w:t>
      </w:r>
      <w:r w:rsidRPr="00085A79">
        <w:rPr>
          <w:rFonts w:asciiTheme="minorHAnsi" w:hAnsiTheme="minorHAnsi" w:cstheme="minorHAnsi"/>
          <w:szCs w:val="24"/>
        </w:rPr>
        <w:tab/>
        <w:t>International Gender Champions of Geneva</w:t>
      </w:r>
    </w:p>
    <w:p w14:paraId="1BBF67F6" w14:textId="34AE394E" w:rsidR="007A21EF" w:rsidRPr="00085A79" w:rsidRDefault="00434A00" w:rsidP="00303A7B">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085A79">
        <w:rPr>
          <w:rFonts w:asciiTheme="minorHAnsi" w:hAnsiTheme="minorHAnsi" w:cstheme="minorHAnsi"/>
          <w:szCs w:val="24"/>
        </w:rPr>
        <w:t xml:space="preserve">The ITU Secretary-General is a founding member of the Geneva chapter of the </w:t>
      </w:r>
      <w:hyperlink r:id="rId54" w:anchor="search-form" w:history="1">
        <w:r w:rsidR="00DB23AF" w:rsidRPr="00085A79">
          <w:rPr>
            <w:rStyle w:val="Hyperlink"/>
            <w:rFonts w:asciiTheme="minorHAnsi" w:hAnsiTheme="minorHAnsi" w:cstheme="minorHAnsi"/>
            <w:szCs w:val="24"/>
          </w:rPr>
          <w:t>International Gender Champions</w:t>
        </w:r>
        <w:r w:rsidRPr="00085A79">
          <w:rPr>
            <w:rStyle w:val="Hyperlink"/>
            <w:rFonts w:asciiTheme="minorHAnsi" w:hAnsiTheme="minorHAnsi" w:cstheme="minorHAnsi"/>
            <w:szCs w:val="24"/>
          </w:rPr>
          <w:t xml:space="preserve"> (IGC)</w:t>
        </w:r>
      </w:hyperlink>
      <w:r w:rsidRPr="00085A79">
        <w:rPr>
          <w:rFonts w:asciiTheme="minorHAnsi" w:hAnsiTheme="minorHAnsi" w:cstheme="minorHAnsi"/>
          <w:szCs w:val="24"/>
        </w:rPr>
        <w:t xml:space="preserve">. In addition to the panel-parity pledge to avoid single-sex panels, </w:t>
      </w:r>
      <w:r w:rsidR="00F6393E" w:rsidRPr="00085A79">
        <w:rPr>
          <w:rFonts w:asciiTheme="minorHAnsi" w:hAnsiTheme="minorHAnsi" w:cstheme="minorHAnsi"/>
          <w:szCs w:val="24"/>
        </w:rPr>
        <w:t xml:space="preserve">the SG commits to the </w:t>
      </w:r>
      <w:r w:rsidR="00DE1BA5" w:rsidRPr="00085A79">
        <w:rPr>
          <w:rFonts w:asciiTheme="minorHAnsi" w:hAnsiTheme="minorHAnsi" w:cstheme="minorHAnsi"/>
          <w:szCs w:val="24"/>
        </w:rPr>
        <w:t>p</w:t>
      </w:r>
      <w:r w:rsidR="00F6393E" w:rsidRPr="00085A79">
        <w:rPr>
          <w:rFonts w:asciiTheme="minorHAnsi" w:hAnsiTheme="minorHAnsi" w:cstheme="minorHAnsi"/>
          <w:szCs w:val="24"/>
        </w:rPr>
        <w:t>ledge to stand for zero tolerance of gender-based violence (GBV), an IGC commitment to the Generation Equality Forum that aims to tackle some of the deepest and most harmful norms that prevent the equal rights of women and girls being realised.</w:t>
      </w:r>
    </w:p>
    <w:p w14:paraId="56ED423E" w14:textId="02BB1CAD" w:rsidR="00434A00" w:rsidRPr="00085A79" w:rsidRDefault="002A481E" w:rsidP="00303A7B">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085A79">
        <w:rPr>
          <w:rFonts w:asciiTheme="minorHAnsi" w:hAnsiTheme="minorHAnsi" w:cstheme="minorHAnsi"/>
          <w:szCs w:val="24"/>
        </w:rPr>
        <w:t xml:space="preserve">Among his personal commitments for 2021, </w:t>
      </w:r>
      <w:r w:rsidR="00434A00" w:rsidRPr="00085A79">
        <w:rPr>
          <w:rFonts w:asciiTheme="minorHAnsi" w:hAnsiTheme="minorHAnsi" w:cstheme="minorHAnsi"/>
          <w:szCs w:val="24"/>
        </w:rPr>
        <w:t xml:space="preserve">the </w:t>
      </w:r>
      <w:r w:rsidR="00434A00" w:rsidRPr="00085A79">
        <w:rPr>
          <w:rFonts w:asciiTheme="minorHAnsi" w:hAnsiTheme="minorHAnsi" w:cstheme="minorHAnsi"/>
          <w:szCs w:val="24"/>
          <w:lang w:val="en-CA"/>
        </w:rPr>
        <w:t xml:space="preserve">SG </w:t>
      </w:r>
      <w:r w:rsidRPr="00085A79">
        <w:rPr>
          <w:rFonts w:asciiTheme="minorHAnsi" w:hAnsiTheme="minorHAnsi" w:cstheme="minorHAnsi"/>
          <w:szCs w:val="24"/>
        </w:rPr>
        <w:t>commits</w:t>
      </w:r>
      <w:r w:rsidR="00434A00" w:rsidRPr="00085A79">
        <w:rPr>
          <w:rFonts w:asciiTheme="minorHAnsi" w:hAnsiTheme="minorHAnsi" w:cstheme="minorHAnsi"/>
          <w:szCs w:val="24"/>
        </w:rPr>
        <w:t xml:space="preserve"> to further work on: (1) reinforcing the efforts to help countries to have the necessary capacity to collect and disseminate/share global/regional/national gender- and age-disaggregated data on access and use of ICTs and digital skills; and (2) helping countries to raise awareness and promote the active participation of girls and young women in ICT related careers and other digital skills to fulfil the demand of future jobs on an equal basis.</w:t>
      </w:r>
    </w:p>
    <w:p w14:paraId="147177A3" w14:textId="7EBE399B" w:rsidR="400A4F0F" w:rsidRPr="00085A79" w:rsidRDefault="400A4F0F" w:rsidP="00303A7B">
      <w:pPr>
        <w:tabs>
          <w:tab w:val="clear" w:pos="567"/>
          <w:tab w:val="clear" w:pos="1134"/>
          <w:tab w:val="clear" w:pos="1701"/>
          <w:tab w:val="clear" w:pos="2268"/>
          <w:tab w:val="clear" w:pos="2835"/>
        </w:tabs>
        <w:spacing w:after="120"/>
        <w:jc w:val="both"/>
        <w:rPr>
          <w:rFonts w:asciiTheme="minorHAnsi" w:eastAsiaTheme="minorEastAsia" w:hAnsiTheme="minorHAnsi" w:cstheme="minorHAnsi"/>
          <w:szCs w:val="24"/>
        </w:rPr>
      </w:pPr>
      <w:r w:rsidRPr="00085A79">
        <w:rPr>
          <w:rFonts w:asciiTheme="minorHAnsi" w:hAnsiTheme="minorHAnsi" w:cstheme="minorHAnsi"/>
          <w:szCs w:val="24"/>
        </w:rPr>
        <w:t>As from January 2022,</w:t>
      </w:r>
      <w:r w:rsidRPr="00085A79">
        <w:rPr>
          <w:rFonts w:asciiTheme="minorHAnsi" w:eastAsiaTheme="minorEastAsia" w:hAnsiTheme="minorHAnsi" w:cstheme="minorHAnsi"/>
          <w:szCs w:val="24"/>
        </w:rPr>
        <w:t xml:space="preserve"> ITU led the Action coalition on Technology and Innovation of the Generation Equality Forum, a process convened by UN Women, and hosted by the governments of Mexico and France.</w:t>
      </w:r>
    </w:p>
    <w:p w14:paraId="671334FD" w14:textId="77777777" w:rsidR="00434A00" w:rsidRPr="00085A79" w:rsidRDefault="00434A00" w:rsidP="00303A7B">
      <w:pPr>
        <w:pStyle w:val="Heading3"/>
        <w:spacing w:before="120" w:after="120"/>
        <w:rPr>
          <w:rFonts w:asciiTheme="minorHAnsi" w:hAnsiTheme="minorHAnsi" w:cstheme="minorHAnsi"/>
          <w:szCs w:val="24"/>
        </w:rPr>
      </w:pPr>
      <w:r w:rsidRPr="00085A79">
        <w:rPr>
          <w:rFonts w:asciiTheme="minorHAnsi" w:hAnsiTheme="minorHAnsi" w:cstheme="minorHAnsi"/>
          <w:szCs w:val="24"/>
        </w:rPr>
        <w:t>5.2</w:t>
      </w:r>
      <w:r w:rsidRPr="00085A79">
        <w:rPr>
          <w:rFonts w:asciiTheme="minorHAnsi" w:hAnsiTheme="minorHAnsi" w:cstheme="minorHAnsi"/>
          <w:szCs w:val="24"/>
        </w:rPr>
        <w:tab/>
        <w:t>ITU as a Safe and Professional Environment</w:t>
      </w:r>
    </w:p>
    <w:p w14:paraId="20C85570" w14:textId="6B2F2EEE" w:rsidR="007F0832" w:rsidRPr="00085A79" w:rsidRDefault="00434A00" w:rsidP="00303A7B">
      <w:pPr>
        <w:tabs>
          <w:tab w:val="clear" w:pos="567"/>
          <w:tab w:val="clear" w:pos="1134"/>
          <w:tab w:val="clear" w:pos="1701"/>
          <w:tab w:val="clear" w:pos="2268"/>
          <w:tab w:val="clear" w:pos="2835"/>
        </w:tabs>
        <w:snapToGrid w:val="0"/>
        <w:spacing w:after="120"/>
        <w:jc w:val="both"/>
        <w:rPr>
          <w:rFonts w:asciiTheme="minorHAnsi" w:hAnsiTheme="minorHAnsi" w:cstheme="minorHAnsi"/>
          <w:szCs w:val="24"/>
        </w:rPr>
      </w:pPr>
      <w:r w:rsidRPr="00085A79">
        <w:rPr>
          <w:rFonts w:asciiTheme="minorHAnsi" w:hAnsiTheme="minorHAnsi" w:cstheme="minorHAnsi"/>
          <w:szCs w:val="24"/>
        </w:rPr>
        <w:t>ITU continues its efforts to ensure a safe and harmonious work environment for all. ITU participates in the Chief Executive Board (CEB) task force addressing sexual harassment within the United Nations system. Work is focused on scaling up prevention and response mechanisms to sexual harassment</w:t>
      </w:r>
      <w:bookmarkStart w:id="15" w:name="_Hlk33770850"/>
      <w:r w:rsidRPr="00085A79">
        <w:rPr>
          <w:rFonts w:asciiTheme="minorHAnsi" w:hAnsiTheme="minorHAnsi" w:cstheme="minorHAnsi"/>
          <w:szCs w:val="24"/>
        </w:rPr>
        <w:t xml:space="preserve">. </w:t>
      </w:r>
      <w:bookmarkEnd w:id="15"/>
      <w:r w:rsidR="00CF634B" w:rsidRPr="00085A79">
        <w:rPr>
          <w:rFonts w:asciiTheme="minorHAnsi" w:hAnsiTheme="minorHAnsi" w:cstheme="minorHAnsi"/>
          <w:szCs w:val="24"/>
        </w:rPr>
        <w:t xml:space="preserve">ITU is member of the </w:t>
      </w:r>
      <w:r w:rsidR="00C30BAB">
        <w:rPr>
          <w:rFonts w:asciiTheme="minorHAnsi" w:hAnsiTheme="minorHAnsi" w:cstheme="minorHAnsi"/>
          <w:szCs w:val="24"/>
        </w:rPr>
        <w:t>five</w:t>
      </w:r>
      <w:r w:rsidR="00CF634B" w:rsidRPr="00085A79">
        <w:rPr>
          <w:rFonts w:asciiTheme="minorHAnsi" w:hAnsiTheme="minorHAnsi" w:cstheme="minorHAnsi"/>
          <w:szCs w:val="24"/>
        </w:rPr>
        <w:t xml:space="preserve"> work</w:t>
      </w:r>
      <w:r w:rsidR="00C30BAB">
        <w:rPr>
          <w:rFonts w:asciiTheme="minorHAnsi" w:hAnsiTheme="minorHAnsi" w:cstheme="minorHAnsi"/>
          <w:szCs w:val="24"/>
        </w:rPr>
        <w:t xml:space="preserve"> </w:t>
      </w:r>
      <w:r w:rsidR="00CF634B" w:rsidRPr="00085A79">
        <w:rPr>
          <w:rFonts w:asciiTheme="minorHAnsi" w:hAnsiTheme="minorHAnsi" w:cstheme="minorHAnsi"/>
          <w:szCs w:val="24"/>
        </w:rPr>
        <w:t>streams</w:t>
      </w:r>
      <w:r w:rsidR="007F0832" w:rsidRPr="00085A79">
        <w:rPr>
          <w:rFonts w:asciiTheme="minorHAnsi" w:hAnsiTheme="minorHAnsi" w:cstheme="minorHAnsi"/>
          <w:szCs w:val="24"/>
        </w:rPr>
        <w:t>, which are</w:t>
      </w:r>
      <w:r w:rsidR="00856299" w:rsidRPr="00085A79">
        <w:rPr>
          <w:rFonts w:asciiTheme="minorHAnsi" w:hAnsiTheme="minorHAnsi" w:cstheme="minorHAnsi"/>
          <w:szCs w:val="24"/>
        </w:rPr>
        <w:t xml:space="preserve">: </w:t>
      </w:r>
      <w:r w:rsidR="007F0832" w:rsidRPr="00085A79">
        <w:rPr>
          <w:rStyle w:val="normaltextrun"/>
          <w:rFonts w:asciiTheme="minorHAnsi" w:hAnsiTheme="minorHAnsi" w:cstheme="minorHAnsi"/>
          <w:color w:val="000000"/>
          <w:szCs w:val="24"/>
          <w:shd w:val="clear" w:color="auto" w:fill="FFFFFF"/>
        </w:rPr>
        <w:t>1. Implement: Support the roll-out of products endorsed by HLCM</w:t>
      </w:r>
      <w:r w:rsidR="00257883" w:rsidRPr="00085A79">
        <w:rPr>
          <w:rStyle w:val="normaltextrun"/>
          <w:rFonts w:asciiTheme="minorHAnsi" w:hAnsiTheme="minorHAnsi" w:cstheme="minorHAnsi"/>
          <w:color w:val="000000"/>
          <w:szCs w:val="24"/>
          <w:shd w:val="clear" w:color="auto" w:fill="FFFFFF"/>
        </w:rPr>
        <w:t xml:space="preserve">; </w:t>
      </w:r>
      <w:r w:rsidR="007F0832" w:rsidRPr="00085A79">
        <w:rPr>
          <w:rStyle w:val="normaltextrun"/>
          <w:rFonts w:asciiTheme="minorHAnsi" w:hAnsiTheme="minorHAnsi" w:cstheme="minorHAnsi"/>
          <w:color w:val="000000"/>
          <w:szCs w:val="24"/>
          <w:shd w:val="clear" w:color="auto" w:fill="FFFFFF"/>
        </w:rPr>
        <w:t xml:space="preserve">2. Strengthen: Advance a victim-centred approach to tackling </w:t>
      </w:r>
      <w:r w:rsidR="007F0832" w:rsidRPr="00085A79">
        <w:rPr>
          <w:rStyle w:val="normaltextrun"/>
          <w:rFonts w:asciiTheme="minorHAnsi" w:hAnsiTheme="minorHAnsi" w:cstheme="minorHAnsi"/>
          <w:color w:val="000000"/>
          <w:szCs w:val="24"/>
          <w:shd w:val="clear" w:color="auto" w:fill="FFFFFF"/>
        </w:rPr>
        <w:lastRenderedPageBreak/>
        <w:t>sexual harassment</w:t>
      </w:r>
      <w:r w:rsidR="00257883" w:rsidRPr="00085A79">
        <w:rPr>
          <w:rStyle w:val="normaltextrun"/>
          <w:rFonts w:asciiTheme="minorHAnsi" w:hAnsiTheme="minorHAnsi" w:cstheme="minorHAnsi"/>
          <w:color w:val="000000"/>
          <w:szCs w:val="24"/>
          <w:shd w:val="clear" w:color="auto" w:fill="FFFFFF"/>
        </w:rPr>
        <w:t xml:space="preserve">; </w:t>
      </w:r>
      <w:r w:rsidR="007F0832" w:rsidRPr="00085A79">
        <w:rPr>
          <w:rStyle w:val="normaltextrun"/>
          <w:rFonts w:asciiTheme="minorHAnsi" w:hAnsiTheme="minorHAnsi" w:cstheme="minorHAnsi"/>
          <w:color w:val="000000"/>
          <w:szCs w:val="24"/>
          <w:shd w:val="clear" w:color="auto" w:fill="FFFFFF"/>
        </w:rPr>
        <w:t>3. Learning and Communication; 4. Outreach and Knowledge Sharing; and 5. Leadership and Culture.</w:t>
      </w:r>
    </w:p>
    <w:p w14:paraId="0FF318A8" w14:textId="5F47DBC2" w:rsidR="00434A00" w:rsidRPr="00085A79" w:rsidRDefault="00434A00" w:rsidP="00303A7B">
      <w:pPr>
        <w:pStyle w:val="Heading3"/>
        <w:keepNext w:val="0"/>
        <w:keepLines w:val="0"/>
        <w:tabs>
          <w:tab w:val="clear" w:pos="567"/>
          <w:tab w:val="clear" w:pos="1134"/>
          <w:tab w:val="clear" w:pos="1701"/>
          <w:tab w:val="clear" w:pos="2268"/>
          <w:tab w:val="clear" w:pos="2835"/>
        </w:tabs>
        <w:snapToGrid w:val="0"/>
        <w:spacing w:before="120" w:after="120"/>
        <w:ind w:left="0" w:firstLine="0"/>
        <w:rPr>
          <w:rFonts w:asciiTheme="minorHAnsi" w:hAnsiTheme="minorHAnsi" w:cstheme="minorHAnsi"/>
          <w:szCs w:val="24"/>
        </w:rPr>
      </w:pPr>
      <w:r w:rsidRPr="00085A79">
        <w:rPr>
          <w:rFonts w:asciiTheme="minorHAnsi" w:hAnsiTheme="minorHAnsi" w:cstheme="minorHAnsi"/>
          <w:szCs w:val="24"/>
        </w:rPr>
        <w:t>5.3</w:t>
      </w:r>
      <w:r w:rsidRPr="00085A79">
        <w:rPr>
          <w:rFonts w:asciiTheme="minorHAnsi" w:hAnsiTheme="minorHAnsi" w:cstheme="minorHAnsi"/>
          <w:szCs w:val="24"/>
        </w:rPr>
        <w:tab/>
        <w:t>UN-SWAP and Gender Equality and Mainstreaming across ITU</w:t>
      </w:r>
    </w:p>
    <w:p w14:paraId="7C059535" w14:textId="39EB3D27" w:rsidR="00434A00" w:rsidRPr="00085A79" w:rsidRDefault="00434A00" w:rsidP="00303A7B">
      <w:pPr>
        <w:tabs>
          <w:tab w:val="clear" w:pos="567"/>
          <w:tab w:val="clear" w:pos="1134"/>
          <w:tab w:val="clear" w:pos="1701"/>
          <w:tab w:val="clear" w:pos="2268"/>
          <w:tab w:val="clear" w:pos="2835"/>
        </w:tabs>
        <w:snapToGrid w:val="0"/>
        <w:spacing w:after="120"/>
        <w:jc w:val="both"/>
        <w:rPr>
          <w:rFonts w:asciiTheme="minorHAnsi" w:hAnsiTheme="minorHAnsi" w:cstheme="minorHAnsi"/>
          <w:szCs w:val="24"/>
          <w:lang w:val="en-CA"/>
        </w:rPr>
      </w:pPr>
      <w:r w:rsidRPr="00085A79">
        <w:rPr>
          <w:rFonts w:asciiTheme="minorHAnsi" w:hAnsiTheme="minorHAnsi" w:cstheme="minorHAnsi"/>
          <w:szCs w:val="24"/>
          <w:lang w:val="en-CA"/>
        </w:rPr>
        <w:t xml:space="preserve">The United Nations System-Wide Action Plan on Gender Equality and the Empowerment of Women (UN-SWAP) is </w:t>
      </w:r>
      <w:r w:rsidRPr="00085A79">
        <w:rPr>
          <w:rStyle w:val="Hyperlink"/>
          <w:rFonts w:asciiTheme="minorHAnsi" w:hAnsiTheme="minorHAnsi" w:cstheme="minorHAnsi"/>
          <w:color w:val="auto"/>
          <w:szCs w:val="24"/>
          <w:u w:val="none"/>
          <w:lang w:val="en-CA"/>
        </w:rPr>
        <w:t xml:space="preserve">the accountability framework applicable to all UN entities to measure, monitor and advance towards a common set of gender equality standards. </w:t>
      </w:r>
      <w:r w:rsidR="00C46EBF" w:rsidRPr="00085A79">
        <w:rPr>
          <w:rFonts w:asciiTheme="minorHAnsi" w:hAnsiTheme="minorHAnsi" w:cstheme="minorHAnsi"/>
          <w:szCs w:val="24"/>
          <w:lang w:val="en-CA"/>
        </w:rPr>
        <w:t xml:space="preserve">In 2020, ITU </w:t>
      </w:r>
      <w:r w:rsidR="009D2BE1" w:rsidRPr="00085A79">
        <w:rPr>
          <w:rFonts w:asciiTheme="minorHAnsi" w:hAnsiTheme="minorHAnsi" w:cstheme="minorHAnsi"/>
          <w:szCs w:val="24"/>
          <w:lang w:val="en-CA"/>
        </w:rPr>
        <w:t>“</w:t>
      </w:r>
      <w:r w:rsidR="00C46EBF" w:rsidRPr="00085A79">
        <w:rPr>
          <w:rFonts w:asciiTheme="minorHAnsi" w:hAnsiTheme="minorHAnsi" w:cstheme="minorHAnsi"/>
          <w:szCs w:val="24"/>
          <w:lang w:val="en-CA"/>
        </w:rPr>
        <w:t>met</w:t>
      </w:r>
      <w:r w:rsidR="009D2BE1" w:rsidRPr="00085A79">
        <w:rPr>
          <w:rFonts w:asciiTheme="minorHAnsi" w:hAnsiTheme="minorHAnsi" w:cstheme="minorHAnsi"/>
          <w:szCs w:val="24"/>
          <w:lang w:val="en-CA"/>
        </w:rPr>
        <w:t>”</w:t>
      </w:r>
      <w:r w:rsidR="00C46EBF" w:rsidRPr="00085A79">
        <w:rPr>
          <w:rFonts w:asciiTheme="minorHAnsi" w:hAnsiTheme="minorHAnsi" w:cstheme="minorHAnsi"/>
          <w:szCs w:val="24"/>
          <w:lang w:val="en-CA"/>
        </w:rPr>
        <w:t xml:space="preserve"> </w:t>
      </w:r>
      <w:r w:rsidR="00FA019A" w:rsidRPr="00085A79">
        <w:rPr>
          <w:rFonts w:asciiTheme="minorHAnsi" w:hAnsiTheme="minorHAnsi" w:cstheme="minorHAnsi"/>
          <w:szCs w:val="24"/>
          <w:lang w:val="en-CA"/>
        </w:rPr>
        <w:t xml:space="preserve">or </w:t>
      </w:r>
      <w:r w:rsidR="009D2BE1" w:rsidRPr="00085A79">
        <w:rPr>
          <w:rFonts w:asciiTheme="minorHAnsi" w:hAnsiTheme="minorHAnsi" w:cstheme="minorHAnsi"/>
          <w:szCs w:val="24"/>
          <w:lang w:val="en-CA"/>
        </w:rPr>
        <w:t>“</w:t>
      </w:r>
      <w:r w:rsidR="00C46EBF" w:rsidRPr="00085A79">
        <w:rPr>
          <w:rFonts w:asciiTheme="minorHAnsi" w:hAnsiTheme="minorHAnsi" w:cstheme="minorHAnsi"/>
          <w:szCs w:val="24"/>
          <w:lang w:val="en-CA"/>
        </w:rPr>
        <w:t>exceeded</w:t>
      </w:r>
      <w:r w:rsidR="009D2BE1" w:rsidRPr="00085A79">
        <w:rPr>
          <w:rFonts w:asciiTheme="minorHAnsi" w:hAnsiTheme="minorHAnsi" w:cstheme="minorHAnsi"/>
          <w:szCs w:val="24"/>
          <w:lang w:val="en-CA"/>
        </w:rPr>
        <w:t>”</w:t>
      </w:r>
      <w:r w:rsidR="00C46EBF" w:rsidRPr="00085A79">
        <w:rPr>
          <w:rFonts w:asciiTheme="minorHAnsi" w:hAnsiTheme="minorHAnsi" w:cstheme="minorHAnsi"/>
          <w:szCs w:val="24"/>
          <w:lang w:val="en-CA"/>
        </w:rPr>
        <w:t xml:space="preserve"> </w:t>
      </w:r>
      <w:r w:rsidR="00B3457F" w:rsidRPr="00085A79">
        <w:rPr>
          <w:rFonts w:asciiTheme="minorHAnsi" w:hAnsiTheme="minorHAnsi" w:cstheme="minorHAnsi"/>
          <w:szCs w:val="24"/>
          <w:lang w:val="en-CA"/>
        </w:rPr>
        <w:t xml:space="preserve">requirements for 8 out of 17 performance </w:t>
      </w:r>
      <w:r w:rsidR="00C46EBF" w:rsidRPr="00085A79">
        <w:rPr>
          <w:rFonts w:asciiTheme="minorHAnsi" w:hAnsiTheme="minorHAnsi" w:cstheme="minorHAnsi"/>
          <w:szCs w:val="24"/>
          <w:lang w:val="en-CA"/>
        </w:rPr>
        <w:t>indicator</w:t>
      </w:r>
      <w:r w:rsidR="00B3457F" w:rsidRPr="00085A79">
        <w:rPr>
          <w:rFonts w:asciiTheme="minorHAnsi" w:hAnsiTheme="minorHAnsi" w:cstheme="minorHAnsi"/>
          <w:szCs w:val="24"/>
          <w:lang w:val="en-CA"/>
        </w:rPr>
        <w:t>s</w:t>
      </w:r>
      <w:r w:rsidR="00C46EBF" w:rsidRPr="00085A79">
        <w:rPr>
          <w:rFonts w:asciiTheme="minorHAnsi" w:hAnsiTheme="minorHAnsi" w:cstheme="minorHAnsi"/>
          <w:szCs w:val="24"/>
          <w:lang w:val="en-CA"/>
        </w:rPr>
        <w:t>.</w:t>
      </w:r>
      <w:r w:rsidR="009D2BE1" w:rsidRPr="00085A79">
        <w:rPr>
          <w:rFonts w:asciiTheme="minorHAnsi" w:hAnsiTheme="minorHAnsi" w:cstheme="minorHAnsi"/>
          <w:szCs w:val="24"/>
          <w:lang w:val="en-CA"/>
        </w:rPr>
        <w:t xml:space="preserve"> </w:t>
      </w:r>
      <w:r w:rsidR="00C46EBF" w:rsidRPr="00085A79">
        <w:rPr>
          <w:rFonts w:asciiTheme="minorHAnsi" w:hAnsiTheme="minorHAnsi" w:cstheme="minorHAnsi"/>
          <w:szCs w:val="24"/>
          <w:lang w:val="en-CA"/>
        </w:rPr>
        <w:t xml:space="preserve">Significantly, ITU has improved performance on </w:t>
      </w:r>
      <w:r w:rsidR="007F5370" w:rsidRPr="00085A79">
        <w:rPr>
          <w:rFonts w:asciiTheme="minorHAnsi" w:hAnsiTheme="minorHAnsi" w:cstheme="minorHAnsi"/>
          <w:szCs w:val="24"/>
          <w:lang w:val="en-CA"/>
        </w:rPr>
        <w:t>4</w:t>
      </w:r>
      <w:r w:rsidR="00C46EBF" w:rsidRPr="00085A79">
        <w:rPr>
          <w:rFonts w:asciiTheme="minorHAnsi" w:hAnsiTheme="minorHAnsi" w:cstheme="minorHAnsi"/>
          <w:szCs w:val="24"/>
          <w:lang w:val="en-CA"/>
        </w:rPr>
        <w:t xml:space="preserve"> indicators:</w:t>
      </w:r>
      <w:r w:rsidR="007F5370" w:rsidRPr="00085A79">
        <w:rPr>
          <w:rFonts w:asciiTheme="minorHAnsi" w:hAnsiTheme="minorHAnsi" w:cstheme="minorHAnsi"/>
          <w:szCs w:val="24"/>
          <w:lang w:val="en-CA"/>
        </w:rPr>
        <w:t xml:space="preserve"> </w:t>
      </w:r>
      <w:r w:rsidR="00C46EBF" w:rsidRPr="00085A79">
        <w:rPr>
          <w:rFonts w:asciiTheme="minorHAnsi" w:hAnsiTheme="minorHAnsi" w:cstheme="minorHAnsi"/>
          <w:szCs w:val="24"/>
          <w:lang w:val="en-CA"/>
        </w:rPr>
        <w:t>Programmatic gender-related SDG results</w:t>
      </w:r>
      <w:r w:rsidR="007F5370" w:rsidRPr="00085A79">
        <w:rPr>
          <w:rFonts w:asciiTheme="minorHAnsi" w:hAnsiTheme="minorHAnsi" w:cstheme="minorHAnsi"/>
          <w:szCs w:val="24"/>
          <w:lang w:val="en-CA"/>
        </w:rPr>
        <w:t xml:space="preserve">; </w:t>
      </w:r>
      <w:r w:rsidR="00C46EBF" w:rsidRPr="00085A79">
        <w:rPr>
          <w:rFonts w:asciiTheme="minorHAnsi" w:hAnsiTheme="minorHAnsi" w:cstheme="minorHAnsi"/>
          <w:szCs w:val="24"/>
          <w:lang w:val="en-CA"/>
        </w:rPr>
        <w:t xml:space="preserve">Gender-responsive performance </w:t>
      </w:r>
      <w:r w:rsidR="00C46EBF" w:rsidRPr="00137E9F">
        <w:rPr>
          <w:rFonts w:asciiTheme="minorHAnsi" w:hAnsiTheme="minorHAnsi" w:cstheme="minorHAnsi"/>
          <w:szCs w:val="24"/>
          <w:lang w:val="en-CA"/>
        </w:rPr>
        <w:t>management</w:t>
      </w:r>
      <w:r w:rsidR="007F5370" w:rsidRPr="00137E9F">
        <w:rPr>
          <w:rFonts w:asciiTheme="minorHAnsi" w:hAnsiTheme="minorHAnsi" w:cstheme="minorHAnsi"/>
          <w:szCs w:val="24"/>
          <w:lang w:val="en-CA"/>
        </w:rPr>
        <w:t xml:space="preserve">; </w:t>
      </w:r>
      <w:r w:rsidR="00C46EBF" w:rsidRPr="00137E9F">
        <w:rPr>
          <w:rFonts w:asciiTheme="minorHAnsi" w:hAnsiTheme="minorHAnsi" w:cstheme="minorHAnsi"/>
          <w:szCs w:val="24"/>
          <w:lang w:val="en-CA"/>
        </w:rPr>
        <w:t>Organizational culture</w:t>
      </w:r>
      <w:r w:rsidR="007F5370" w:rsidRPr="00137E9F">
        <w:rPr>
          <w:rFonts w:asciiTheme="minorHAnsi" w:hAnsiTheme="minorHAnsi" w:cstheme="minorHAnsi"/>
          <w:szCs w:val="24"/>
          <w:lang w:val="en-CA"/>
        </w:rPr>
        <w:t xml:space="preserve">; and </w:t>
      </w:r>
      <w:r w:rsidR="00C46EBF" w:rsidRPr="00137E9F">
        <w:rPr>
          <w:rFonts w:asciiTheme="minorHAnsi" w:hAnsiTheme="minorHAnsi" w:cstheme="minorHAnsi"/>
          <w:szCs w:val="24"/>
          <w:lang w:val="en-CA"/>
        </w:rPr>
        <w:t>Knowledge and communication</w:t>
      </w:r>
      <w:r w:rsidR="007F5370" w:rsidRPr="00137E9F">
        <w:rPr>
          <w:rFonts w:asciiTheme="minorHAnsi" w:hAnsiTheme="minorHAnsi" w:cstheme="minorHAnsi"/>
          <w:szCs w:val="24"/>
          <w:lang w:val="en-CA"/>
        </w:rPr>
        <w:t xml:space="preserve">. </w:t>
      </w:r>
      <w:r w:rsidR="00C46EBF" w:rsidRPr="00137E9F">
        <w:rPr>
          <w:rFonts w:asciiTheme="minorHAnsi" w:hAnsiTheme="minorHAnsi" w:cstheme="minorHAnsi"/>
          <w:szCs w:val="24"/>
          <w:lang w:val="en-CA"/>
        </w:rPr>
        <w:t>The representation of women witnessed gains at most levels between 2010 and 2020</w:t>
      </w:r>
      <w:r w:rsidR="00AD246D" w:rsidRPr="00137E9F">
        <w:rPr>
          <w:rFonts w:asciiTheme="minorHAnsi" w:hAnsiTheme="minorHAnsi" w:cstheme="minorHAnsi"/>
          <w:szCs w:val="24"/>
          <w:lang w:val="en-CA"/>
        </w:rPr>
        <w:t>.W</w:t>
      </w:r>
      <w:r w:rsidR="00E50435" w:rsidRPr="00137E9F">
        <w:rPr>
          <w:rFonts w:asciiTheme="minorHAnsi" w:hAnsiTheme="minorHAnsi" w:cstheme="minorHAnsi"/>
          <w:szCs w:val="24"/>
          <w:lang w:val="en-CA"/>
        </w:rPr>
        <w:t xml:space="preserve">omen </w:t>
      </w:r>
      <w:r w:rsidR="00AD246D" w:rsidRPr="00137E9F">
        <w:rPr>
          <w:rFonts w:asciiTheme="minorHAnsi" w:hAnsiTheme="minorHAnsi" w:cstheme="minorHAnsi"/>
          <w:szCs w:val="24"/>
          <w:lang w:val="en-CA"/>
        </w:rPr>
        <w:t xml:space="preserve">are </w:t>
      </w:r>
      <w:r w:rsidR="00C46EBF" w:rsidRPr="00137E9F">
        <w:rPr>
          <w:rFonts w:asciiTheme="minorHAnsi" w:hAnsiTheme="minorHAnsi" w:cstheme="minorHAnsi"/>
          <w:szCs w:val="24"/>
          <w:lang w:val="en-CA"/>
        </w:rPr>
        <w:t>the majority at the P1 and P2 levels</w:t>
      </w:r>
      <w:r w:rsidR="00AD246D" w:rsidRPr="00137E9F">
        <w:rPr>
          <w:rFonts w:asciiTheme="minorHAnsi" w:hAnsiTheme="minorHAnsi" w:cstheme="minorHAnsi"/>
          <w:szCs w:val="24"/>
          <w:lang w:val="en-CA"/>
        </w:rPr>
        <w:t>. P</w:t>
      </w:r>
      <w:r w:rsidR="00C46EBF" w:rsidRPr="00137E9F">
        <w:rPr>
          <w:rFonts w:asciiTheme="minorHAnsi" w:hAnsiTheme="minorHAnsi" w:cstheme="minorHAnsi"/>
          <w:szCs w:val="24"/>
          <w:lang w:val="en-CA"/>
        </w:rPr>
        <w:t>arity</w:t>
      </w:r>
      <w:r w:rsidR="00AD246D" w:rsidRPr="00137E9F">
        <w:rPr>
          <w:rFonts w:asciiTheme="minorHAnsi" w:hAnsiTheme="minorHAnsi" w:cstheme="minorHAnsi"/>
          <w:szCs w:val="24"/>
          <w:lang w:val="en-CA"/>
        </w:rPr>
        <w:t xml:space="preserve"> is</w:t>
      </w:r>
      <w:r w:rsidR="00C46EBF" w:rsidRPr="00137E9F">
        <w:rPr>
          <w:rFonts w:asciiTheme="minorHAnsi" w:hAnsiTheme="minorHAnsi" w:cstheme="minorHAnsi"/>
          <w:szCs w:val="24"/>
          <w:lang w:val="en-CA"/>
        </w:rPr>
        <w:t xml:space="preserve"> close</w:t>
      </w:r>
      <w:r w:rsidR="00AD246D" w:rsidRPr="00137E9F">
        <w:rPr>
          <w:rFonts w:asciiTheme="minorHAnsi" w:hAnsiTheme="minorHAnsi" w:cstheme="minorHAnsi"/>
          <w:szCs w:val="24"/>
          <w:lang w:val="en-CA"/>
        </w:rPr>
        <w:t>d</w:t>
      </w:r>
      <w:r w:rsidR="00C46EBF" w:rsidRPr="00137E9F">
        <w:rPr>
          <w:rFonts w:asciiTheme="minorHAnsi" w:hAnsiTheme="minorHAnsi" w:cstheme="minorHAnsi"/>
          <w:szCs w:val="24"/>
          <w:lang w:val="en-CA"/>
        </w:rPr>
        <w:t xml:space="preserve"> to being achieved at the P3 level</w:t>
      </w:r>
      <w:r w:rsidR="00E50435" w:rsidRPr="00137E9F">
        <w:rPr>
          <w:rFonts w:asciiTheme="minorHAnsi" w:hAnsiTheme="minorHAnsi" w:cstheme="minorHAnsi"/>
          <w:szCs w:val="24"/>
          <w:lang w:val="en-CA"/>
        </w:rPr>
        <w:t>.</w:t>
      </w:r>
      <w:r w:rsidR="00C46EBF" w:rsidRPr="00137E9F">
        <w:rPr>
          <w:rFonts w:asciiTheme="minorHAnsi" w:hAnsiTheme="minorHAnsi" w:cstheme="minorHAnsi"/>
          <w:szCs w:val="24"/>
          <w:lang w:val="en-CA"/>
        </w:rPr>
        <w:t xml:space="preserve"> </w:t>
      </w:r>
      <w:r w:rsidR="00CF0B20" w:rsidRPr="00137E9F">
        <w:rPr>
          <w:rFonts w:asciiTheme="minorHAnsi" w:hAnsiTheme="minorHAnsi" w:cstheme="minorHAnsi"/>
          <w:szCs w:val="24"/>
          <w:lang w:val="en-CA"/>
        </w:rPr>
        <w:t xml:space="preserve">Representation of women from </w:t>
      </w:r>
      <w:r w:rsidR="006961D7" w:rsidRPr="00137E9F">
        <w:rPr>
          <w:rFonts w:asciiTheme="minorHAnsi" w:hAnsiTheme="minorHAnsi" w:cstheme="minorHAnsi"/>
          <w:szCs w:val="24"/>
          <w:lang w:val="en-CA"/>
        </w:rPr>
        <w:t>P4 and above still needs to improve</w:t>
      </w:r>
      <w:r w:rsidRPr="00137E9F">
        <w:rPr>
          <w:rStyle w:val="Hyperlink"/>
          <w:rFonts w:asciiTheme="minorHAnsi" w:hAnsiTheme="minorHAnsi" w:cstheme="minorHAnsi"/>
          <w:color w:val="auto"/>
          <w:szCs w:val="24"/>
          <w:u w:val="none"/>
          <w:lang w:val="en-CA"/>
        </w:rPr>
        <w:t xml:space="preserve">. The report card for the year </w:t>
      </w:r>
      <w:r w:rsidR="00972A93" w:rsidRPr="00137E9F">
        <w:rPr>
          <w:rStyle w:val="Hyperlink"/>
          <w:rFonts w:asciiTheme="minorHAnsi" w:hAnsiTheme="minorHAnsi" w:cstheme="minorHAnsi"/>
          <w:color w:val="auto"/>
          <w:szCs w:val="24"/>
          <w:u w:val="none"/>
          <w:lang w:val="en-CA"/>
        </w:rPr>
        <w:t>2020 is</w:t>
      </w:r>
      <w:r w:rsidRPr="00137E9F">
        <w:rPr>
          <w:rStyle w:val="Hyperlink"/>
          <w:rFonts w:asciiTheme="minorHAnsi" w:hAnsiTheme="minorHAnsi" w:cstheme="minorHAnsi"/>
          <w:color w:val="auto"/>
          <w:szCs w:val="24"/>
          <w:u w:val="none"/>
          <w:lang w:val="en-CA"/>
        </w:rPr>
        <w:t xml:space="preserve"> provided </w:t>
      </w:r>
      <w:r w:rsidR="007E2457" w:rsidRPr="00137E9F">
        <w:rPr>
          <w:rStyle w:val="Hyperlink"/>
          <w:rFonts w:asciiTheme="minorHAnsi" w:hAnsiTheme="minorHAnsi" w:cstheme="minorHAnsi"/>
          <w:color w:val="auto"/>
          <w:szCs w:val="24"/>
          <w:u w:val="none"/>
          <w:lang w:val="en-CA"/>
        </w:rPr>
        <w:t xml:space="preserve">as </w:t>
      </w:r>
      <w:r w:rsidRPr="00137E9F">
        <w:rPr>
          <w:rStyle w:val="Hyperlink"/>
          <w:rFonts w:asciiTheme="minorHAnsi" w:hAnsiTheme="minorHAnsi" w:cstheme="minorHAnsi"/>
          <w:color w:val="auto"/>
          <w:szCs w:val="24"/>
          <w:u w:val="none"/>
          <w:lang w:val="en-CA"/>
        </w:rPr>
        <w:t xml:space="preserve">information </w:t>
      </w:r>
      <w:r w:rsidR="00840FAB" w:rsidRPr="00137E9F">
        <w:rPr>
          <w:rStyle w:val="Hyperlink"/>
          <w:rFonts w:asciiTheme="minorHAnsi" w:hAnsiTheme="minorHAnsi" w:cstheme="minorHAnsi"/>
          <w:color w:val="auto"/>
          <w:szCs w:val="24"/>
          <w:u w:val="none"/>
          <w:lang w:val="en-CA"/>
        </w:rPr>
        <w:t xml:space="preserve">document </w:t>
      </w:r>
      <w:hyperlink r:id="rId55" w:history="1">
        <w:r w:rsidR="0018479E" w:rsidRPr="00137E9F">
          <w:rPr>
            <w:rStyle w:val="Hyperlink"/>
            <w:rFonts w:asciiTheme="minorHAnsi" w:hAnsiTheme="minorHAnsi" w:cstheme="minorHAnsi"/>
            <w:szCs w:val="24"/>
            <w:lang w:val="en-CA"/>
          </w:rPr>
          <w:t>C22/INF/4</w:t>
        </w:r>
      </w:hyperlink>
      <w:r w:rsidRPr="00137E9F">
        <w:rPr>
          <w:rFonts w:asciiTheme="minorHAnsi" w:hAnsiTheme="minorHAnsi" w:cstheme="minorHAnsi"/>
          <w:szCs w:val="24"/>
          <w:lang w:val="en-CA"/>
        </w:rPr>
        <w:t>.</w:t>
      </w:r>
    </w:p>
    <w:p w14:paraId="28780946" w14:textId="62C6832F" w:rsidR="003A64A3" w:rsidRPr="00085A79" w:rsidRDefault="00434A00" w:rsidP="00303A7B">
      <w:pPr>
        <w:pStyle w:val="Heading3"/>
        <w:keepNext w:val="0"/>
        <w:keepLines w:val="0"/>
        <w:tabs>
          <w:tab w:val="clear" w:pos="567"/>
          <w:tab w:val="clear" w:pos="1134"/>
          <w:tab w:val="clear" w:pos="1701"/>
          <w:tab w:val="clear" w:pos="2268"/>
          <w:tab w:val="clear" w:pos="2835"/>
        </w:tabs>
        <w:snapToGrid w:val="0"/>
        <w:spacing w:before="120" w:after="120"/>
        <w:ind w:left="0" w:firstLine="0"/>
        <w:jc w:val="both"/>
        <w:rPr>
          <w:rFonts w:asciiTheme="minorHAnsi" w:hAnsiTheme="minorHAnsi" w:cstheme="minorHAnsi"/>
          <w:b w:val="0"/>
          <w:bCs/>
          <w:szCs w:val="24"/>
          <w:lang w:val="en-CA"/>
        </w:rPr>
      </w:pPr>
      <w:r w:rsidRPr="00085A79">
        <w:rPr>
          <w:rFonts w:asciiTheme="minorHAnsi" w:hAnsiTheme="minorHAnsi" w:cstheme="minorHAnsi"/>
          <w:b w:val="0"/>
          <w:bCs/>
          <w:szCs w:val="24"/>
          <w:lang w:val="en-CA"/>
        </w:rPr>
        <w:t xml:space="preserve">ITU continues efforts to incorporate a gender perspective in </w:t>
      </w:r>
      <w:r w:rsidR="00954FE0" w:rsidRPr="00085A79">
        <w:rPr>
          <w:rFonts w:asciiTheme="minorHAnsi" w:hAnsiTheme="minorHAnsi" w:cstheme="minorHAnsi"/>
          <w:b w:val="0"/>
          <w:bCs/>
          <w:szCs w:val="24"/>
          <w:lang w:val="en-CA"/>
        </w:rPr>
        <w:t xml:space="preserve">its </w:t>
      </w:r>
      <w:r w:rsidR="00E76B52" w:rsidRPr="00085A79">
        <w:rPr>
          <w:rFonts w:asciiTheme="minorHAnsi" w:hAnsiTheme="minorHAnsi" w:cstheme="minorHAnsi"/>
          <w:b w:val="0"/>
          <w:szCs w:val="24"/>
        </w:rPr>
        <w:t>plans, activities</w:t>
      </w:r>
      <w:r w:rsidR="00954FE0" w:rsidRPr="00085A79">
        <w:rPr>
          <w:rFonts w:asciiTheme="minorHAnsi" w:hAnsiTheme="minorHAnsi" w:cstheme="minorHAnsi"/>
          <w:b w:val="0"/>
          <w:szCs w:val="24"/>
        </w:rPr>
        <w:t xml:space="preserve">, </w:t>
      </w:r>
      <w:r w:rsidR="00E76B52" w:rsidRPr="00085A79">
        <w:rPr>
          <w:rFonts w:asciiTheme="minorHAnsi" w:hAnsiTheme="minorHAnsi" w:cstheme="minorHAnsi"/>
          <w:b w:val="0"/>
          <w:szCs w:val="24"/>
        </w:rPr>
        <w:t>procedures</w:t>
      </w:r>
      <w:r w:rsidRPr="00085A79">
        <w:rPr>
          <w:rFonts w:asciiTheme="minorHAnsi" w:hAnsiTheme="minorHAnsi" w:cstheme="minorHAnsi"/>
          <w:b w:val="0"/>
          <w:bCs/>
          <w:szCs w:val="24"/>
          <w:lang w:val="en-CA"/>
        </w:rPr>
        <w:t>, management approaches, and human resource</w:t>
      </w:r>
      <w:r w:rsidR="001B2762" w:rsidRPr="00085A79">
        <w:rPr>
          <w:rFonts w:asciiTheme="minorHAnsi" w:hAnsiTheme="minorHAnsi" w:cstheme="minorHAnsi"/>
          <w:b w:val="0"/>
          <w:bCs/>
          <w:szCs w:val="24"/>
          <w:lang w:val="en-CA"/>
        </w:rPr>
        <w:t>s</w:t>
      </w:r>
      <w:r w:rsidRPr="00085A79">
        <w:rPr>
          <w:rFonts w:asciiTheme="minorHAnsi" w:hAnsiTheme="minorHAnsi" w:cstheme="minorHAnsi"/>
          <w:b w:val="0"/>
          <w:bCs/>
          <w:szCs w:val="24"/>
          <w:lang w:val="en-CA"/>
        </w:rPr>
        <w:t xml:space="preserve"> development of the Union.</w:t>
      </w:r>
    </w:p>
    <w:p w14:paraId="7D3A0A96" w14:textId="6DF1E413" w:rsidR="00434A00" w:rsidRPr="00085A79" w:rsidRDefault="003A64A3" w:rsidP="00303A7B">
      <w:pPr>
        <w:pStyle w:val="Heading3"/>
        <w:keepNext w:val="0"/>
        <w:keepLines w:val="0"/>
        <w:tabs>
          <w:tab w:val="clear" w:pos="567"/>
          <w:tab w:val="clear" w:pos="1134"/>
          <w:tab w:val="clear" w:pos="1701"/>
          <w:tab w:val="clear" w:pos="2268"/>
          <w:tab w:val="clear" w:pos="2835"/>
        </w:tabs>
        <w:snapToGrid w:val="0"/>
        <w:spacing w:before="120" w:after="120"/>
        <w:ind w:left="0" w:firstLine="0"/>
        <w:jc w:val="both"/>
        <w:rPr>
          <w:rFonts w:asciiTheme="minorHAnsi" w:hAnsiTheme="minorHAnsi" w:cstheme="minorHAnsi"/>
          <w:b w:val="0"/>
          <w:bCs/>
          <w:szCs w:val="24"/>
          <w:lang w:val="en-CA"/>
        </w:rPr>
      </w:pPr>
      <w:r w:rsidRPr="00085A79">
        <w:rPr>
          <w:rFonts w:asciiTheme="minorHAnsi" w:hAnsiTheme="minorHAnsi" w:cstheme="minorHAnsi"/>
          <w:b w:val="0"/>
          <w:bCs/>
          <w:szCs w:val="24"/>
        </w:rPr>
        <w:t xml:space="preserve">ITU’s first Gender Equality and Mainstreaming (GEM) Policy was </w:t>
      </w:r>
      <w:r w:rsidR="008D0B96" w:rsidRPr="00085A79">
        <w:rPr>
          <w:rFonts w:asciiTheme="minorHAnsi" w:hAnsiTheme="minorHAnsi" w:cstheme="minorHAnsi"/>
          <w:b w:val="0"/>
          <w:bCs/>
          <w:szCs w:val="24"/>
        </w:rPr>
        <w:t xml:space="preserve">endorsed </w:t>
      </w:r>
      <w:r w:rsidRPr="00085A79">
        <w:rPr>
          <w:rFonts w:asciiTheme="minorHAnsi" w:hAnsiTheme="minorHAnsi" w:cstheme="minorHAnsi"/>
          <w:b w:val="0"/>
          <w:bCs/>
          <w:szCs w:val="24"/>
        </w:rPr>
        <w:t>by the ITU Council at its 2013 session. In 2020</w:t>
      </w:r>
      <w:r w:rsidR="00AD246D">
        <w:rPr>
          <w:rFonts w:asciiTheme="minorHAnsi" w:hAnsiTheme="minorHAnsi" w:cstheme="minorHAnsi"/>
          <w:b w:val="0"/>
          <w:bCs/>
          <w:szCs w:val="24"/>
        </w:rPr>
        <w:t>,</w:t>
      </w:r>
      <w:r w:rsidRPr="00085A79">
        <w:rPr>
          <w:rFonts w:asciiTheme="minorHAnsi" w:hAnsiTheme="minorHAnsi" w:cstheme="minorHAnsi"/>
          <w:b w:val="0"/>
          <w:bCs/>
          <w:szCs w:val="24"/>
        </w:rPr>
        <w:t xml:space="preserve"> ITU started a review of the policy aiming at updating and bringing it into alignment with UN-SWAP 2.0, the revised version of the UN System-wide Action Plan on gender equality and women’s empowerment.</w:t>
      </w:r>
      <w:r w:rsidR="00846582" w:rsidRPr="00085A79">
        <w:rPr>
          <w:rFonts w:asciiTheme="minorHAnsi" w:hAnsiTheme="minorHAnsi" w:cstheme="minorHAnsi"/>
          <w:b w:val="0"/>
          <w:bCs/>
          <w:szCs w:val="24"/>
        </w:rPr>
        <w:t xml:space="preserve"> An update</w:t>
      </w:r>
      <w:r w:rsidR="00B226D6" w:rsidRPr="00085A79">
        <w:rPr>
          <w:rFonts w:asciiTheme="minorHAnsi" w:hAnsiTheme="minorHAnsi" w:cstheme="minorHAnsi"/>
          <w:b w:val="0"/>
          <w:bCs/>
          <w:szCs w:val="24"/>
        </w:rPr>
        <w:t xml:space="preserve">d GEM Policy </w:t>
      </w:r>
      <w:r w:rsidR="00B32F32" w:rsidRPr="00085A79">
        <w:rPr>
          <w:rFonts w:asciiTheme="minorHAnsi" w:hAnsiTheme="minorHAnsi" w:cstheme="minorHAnsi"/>
          <w:b w:val="0"/>
          <w:bCs/>
          <w:szCs w:val="24"/>
          <w:lang w:val="en-CA"/>
        </w:rPr>
        <w:t>is attached as Annex 1 to this document, for the Council’s</w:t>
      </w:r>
      <w:r w:rsidR="00B226D6" w:rsidRPr="00085A79">
        <w:rPr>
          <w:rFonts w:asciiTheme="minorHAnsi" w:hAnsiTheme="minorHAnsi" w:cstheme="minorHAnsi"/>
          <w:b w:val="0"/>
          <w:bCs/>
          <w:szCs w:val="24"/>
          <w:lang w:val="en-CA"/>
        </w:rPr>
        <w:t xml:space="preserve"> </w:t>
      </w:r>
      <w:r w:rsidR="000E7E36" w:rsidRPr="00085A79">
        <w:rPr>
          <w:rFonts w:asciiTheme="minorHAnsi" w:hAnsiTheme="minorHAnsi" w:cstheme="minorHAnsi"/>
          <w:b w:val="0"/>
          <w:bCs/>
          <w:szCs w:val="24"/>
          <w:lang w:val="en-CA"/>
        </w:rPr>
        <w:t xml:space="preserve">consideration and </w:t>
      </w:r>
      <w:r w:rsidR="00525C2F" w:rsidRPr="00085A79">
        <w:rPr>
          <w:rFonts w:asciiTheme="minorHAnsi" w:hAnsiTheme="minorHAnsi" w:cstheme="minorHAnsi"/>
          <w:b w:val="0"/>
          <w:bCs/>
          <w:szCs w:val="24"/>
          <w:lang w:val="en-CA"/>
        </w:rPr>
        <w:t>endorsement</w:t>
      </w:r>
      <w:r w:rsidR="00434A00" w:rsidRPr="00085A79">
        <w:rPr>
          <w:rFonts w:asciiTheme="minorHAnsi" w:hAnsiTheme="minorHAnsi" w:cstheme="minorHAnsi"/>
          <w:b w:val="0"/>
          <w:bCs/>
          <w:szCs w:val="24"/>
          <w:lang w:val="en-CA"/>
        </w:rPr>
        <w:t>.</w:t>
      </w:r>
    </w:p>
    <w:p w14:paraId="2D3E1ACE" w14:textId="1D8D00DB" w:rsidR="0014634F" w:rsidRDefault="0014634F" w:rsidP="00303A7B">
      <w:pPr>
        <w:spacing w:after="120"/>
        <w:rPr>
          <w:lang w:val="en-US"/>
        </w:rPr>
      </w:pPr>
      <w:r>
        <w:rPr>
          <w:lang w:val="en-US"/>
        </w:rPr>
        <w:br w:type="page"/>
      </w:r>
    </w:p>
    <w:p w14:paraId="18E12BBE" w14:textId="77777777" w:rsidR="00887DBE" w:rsidRPr="00887DBE" w:rsidRDefault="00887DBE" w:rsidP="00303A7B">
      <w:pPr>
        <w:tabs>
          <w:tab w:val="clear" w:pos="567"/>
          <w:tab w:val="clear" w:pos="1134"/>
          <w:tab w:val="clear" w:pos="1701"/>
          <w:tab w:val="clear" w:pos="2268"/>
          <w:tab w:val="clear" w:pos="2835"/>
          <w:tab w:val="left" w:pos="794"/>
          <w:tab w:val="left" w:pos="1191"/>
          <w:tab w:val="left" w:pos="1588"/>
          <w:tab w:val="left" w:pos="1985"/>
        </w:tabs>
        <w:spacing w:after="120"/>
        <w:jc w:val="center"/>
        <w:rPr>
          <w:rFonts w:asciiTheme="minorHAnsi" w:hAnsiTheme="minorHAnsi" w:cstheme="minorHAnsi"/>
          <w:sz w:val="28"/>
          <w:szCs w:val="28"/>
        </w:rPr>
      </w:pPr>
      <w:bookmarkStart w:id="16" w:name="Annex1"/>
      <w:r w:rsidRPr="00887DBE">
        <w:rPr>
          <w:rFonts w:asciiTheme="minorHAnsi" w:hAnsiTheme="minorHAnsi" w:cstheme="minorHAnsi"/>
          <w:sz w:val="28"/>
          <w:szCs w:val="28"/>
        </w:rPr>
        <w:lastRenderedPageBreak/>
        <w:t>ANNEX 1</w:t>
      </w:r>
    </w:p>
    <w:bookmarkEnd w:id="16"/>
    <w:p w14:paraId="1157D0AC" w14:textId="77777777" w:rsidR="00887DBE" w:rsidRPr="00887DBE" w:rsidRDefault="00887DBE" w:rsidP="00303A7B">
      <w:pPr>
        <w:tabs>
          <w:tab w:val="clear" w:pos="567"/>
          <w:tab w:val="clear" w:pos="1134"/>
          <w:tab w:val="clear" w:pos="1701"/>
          <w:tab w:val="clear" w:pos="2268"/>
          <w:tab w:val="clear" w:pos="2835"/>
          <w:tab w:val="left" w:pos="794"/>
          <w:tab w:val="left" w:pos="1191"/>
          <w:tab w:val="left" w:pos="1588"/>
          <w:tab w:val="left" w:pos="1985"/>
        </w:tabs>
        <w:spacing w:after="120"/>
        <w:jc w:val="center"/>
        <w:rPr>
          <w:rFonts w:asciiTheme="minorHAnsi" w:hAnsiTheme="minorHAnsi" w:cs="Calibri"/>
          <w:b/>
          <w:bCs/>
          <w:sz w:val="28"/>
          <w:szCs w:val="28"/>
        </w:rPr>
      </w:pPr>
      <w:r w:rsidRPr="00887DBE">
        <w:rPr>
          <w:rFonts w:asciiTheme="minorHAnsi" w:hAnsiTheme="minorHAnsi" w:cs="Calibri"/>
          <w:b/>
          <w:bCs/>
          <w:sz w:val="28"/>
          <w:szCs w:val="28"/>
        </w:rPr>
        <w:t>ITU Gender Equality &amp; Mainstreaming Policy</w:t>
      </w:r>
    </w:p>
    <w:p w14:paraId="527B5ED4" w14:textId="77777777" w:rsidR="00887DBE" w:rsidRPr="00085A79" w:rsidRDefault="00887DBE" w:rsidP="00303A7B">
      <w:pPr>
        <w:tabs>
          <w:tab w:val="clear" w:pos="567"/>
          <w:tab w:val="clear" w:pos="1134"/>
          <w:tab w:val="clear" w:pos="1701"/>
          <w:tab w:val="clear" w:pos="2268"/>
          <w:tab w:val="clear" w:pos="2835"/>
          <w:tab w:val="left" w:pos="794"/>
          <w:tab w:val="left" w:pos="1191"/>
          <w:tab w:val="left" w:pos="1588"/>
          <w:tab w:val="left" w:pos="1985"/>
        </w:tabs>
        <w:spacing w:before="360" w:after="120"/>
        <w:rPr>
          <w:rFonts w:asciiTheme="minorHAnsi" w:hAnsiTheme="minorHAnsi" w:cstheme="minorHAnsi"/>
          <w:b/>
          <w:bCs/>
          <w:szCs w:val="24"/>
        </w:rPr>
      </w:pPr>
      <w:r w:rsidRPr="00085A79">
        <w:rPr>
          <w:rFonts w:asciiTheme="minorHAnsi" w:hAnsiTheme="minorHAnsi" w:cstheme="minorHAnsi"/>
          <w:b/>
          <w:bCs/>
          <w:szCs w:val="24"/>
        </w:rPr>
        <w:t>1</w:t>
      </w:r>
      <w:r w:rsidRPr="00085A79">
        <w:rPr>
          <w:rFonts w:asciiTheme="minorHAnsi" w:hAnsiTheme="minorHAnsi" w:cstheme="minorHAnsi"/>
          <w:b/>
          <w:bCs/>
          <w:szCs w:val="24"/>
        </w:rPr>
        <w:tab/>
        <w:t>Preamble</w:t>
      </w:r>
    </w:p>
    <w:p w14:paraId="383B7398" w14:textId="77777777" w:rsidR="005D6B94" w:rsidRPr="00085A79" w:rsidRDefault="005D6B94" w:rsidP="00303A7B">
      <w:pPr>
        <w:tabs>
          <w:tab w:val="clear" w:pos="567"/>
          <w:tab w:val="clear" w:pos="1134"/>
          <w:tab w:val="clear" w:pos="1701"/>
          <w:tab w:val="clear" w:pos="2268"/>
          <w:tab w:val="clear" w:pos="2835"/>
          <w:tab w:val="left" w:pos="794"/>
          <w:tab w:val="left" w:pos="1191"/>
          <w:tab w:val="left" w:pos="1588"/>
          <w:tab w:val="left" w:pos="1985"/>
        </w:tabs>
        <w:spacing w:after="120"/>
        <w:jc w:val="both"/>
        <w:rPr>
          <w:rFonts w:asciiTheme="minorHAnsi" w:hAnsiTheme="minorHAnsi" w:cstheme="minorHAnsi"/>
          <w:szCs w:val="24"/>
        </w:rPr>
      </w:pPr>
      <w:r w:rsidRPr="00085A79">
        <w:rPr>
          <w:rFonts w:asciiTheme="minorHAnsi" w:hAnsiTheme="minorHAnsi" w:cstheme="minorHAnsi"/>
          <w:szCs w:val="24"/>
        </w:rPr>
        <w:t>As the United Nations specialized agency for information and communication technologies (ICTs), ITU works to bridge the digital divide and build an inclusive digital society. In this context, including a gender perspective in ITU’s work is essential to ensure that the benefits of ICTs are made available to all women and men on a fair and equitable basis. At the same time, ITU is committed to cultivating an inclusive culture among its workforce.</w:t>
      </w:r>
    </w:p>
    <w:p w14:paraId="1541BE67" w14:textId="77777777" w:rsidR="00887DBE" w:rsidRPr="00085A79" w:rsidRDefault="00887DBE" w:rsidP="00303A7B">
      <w:pPr>
        <w:tabs>
          <w:tab w:val="clear" w:pos="567"/>
          <w:tab w:val="clear" w:pos="1134"/>
          <w:tab w:val="clear" w:pos="1701"/>
          <w:tab w:val="clear" w:pos="2268"/>
          <w:tab w:val="clear" w:pos="2835"/>
          <w:tab w:val="left" w:pos="794"/>
          <w:tab w:val="left" w:pos="1191"/>
          <w:tab w:val="left" w:pos="1588"/>
          <w:tab w:val="left" w:pos="1985"/>
        </w:tabs>
        <w:spacing w:before="360" w:after="120"/>
        <w:rPr>
          <w:rFonts w:asciiTheme="minorHAnsi" w:hAnsiTheme="minorHAnsi" w:cstheme="minorHAnsi"/>
          <w:b/>
          <w:bCs/>
          <w:szCs w:val="24"/>
        </w:rPr>
      </w:pPr>
      <w:r w:rsidRPr="00085A79">
        <w:rPr>
          <w:rFonts w:asciiTheme="minorHAnsi" w:hAnsiTheme="minorHAnsi" w:cstheme="minorHAnsi"/>
          <w:b/>
          <w:bCs/>
          <w:szCs w:val="24"/>
        </w:rPr>
        <w:t>2</w:t>
      </w:r>
      <w:r w:rsidRPr="00085A79">
        <w:rPr>
          <w:rFonts w:asciiTheme="minorHAnsi" w:hAnsiTheme="minorHAnsi" w:cstheme="minorHAnsi"/>
          <w:b/>
          <w:bCs/>
          <w:szCs w:val="24"/>
        </w:rPr>
        <w:tab/>
        <w:t xml:space="preserve">Purpose </w:t>
      </w:r>
    </w:p>
    <w:p w14:paraId="163236D5" w14:textId="7150B6DD" w:rsidR="00887DBE" w:rsidRPr="00085A79" w:rsidRDefault="00887DBE" w:rsidP="00303A7B">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085A79">
        <w:rPr>
          <w:rFonts w:asciiTheme="minorHAnsi" w:hAnsiTheme="minorHAnsi" w:cstheme="minorHAnsi"/>
          <w:szCs w:val="24"/>
        </w:rPr>
        <w:t xml:space="preserve">This policy presents a shared vision for integrating a gender perspective throughout the Union. It provides a tool to ensure that gender equality </w:t>
      </w:r>
      <w:r w:rsidR="00EE1477" w:rsidRPr="00085A79">
        <w:rPr>
          <w:rFonts w:asciiTheme="minorHAnsi" w:hAnsiTheme="minorHAnsi" w:cstheme="minorHAnsi"/>
          <w:szCs w:val="24"/>
        </w:rPr>
        <w:t xml:space="preserve">is </w:t>
      </w:r>
      <w:r w:rsidRPr="00085A79">
        <w:rPr>
          <w:rFonts w:asciiTheme="minorHAnsi" w:hAnsiTheme="minorHAnsi" w:cstheme="minorHAnsi"/>
          <w:szCs w:val="24"/>
        </w:rPr>
        <w:t>a core consideration in ITU’s strategic plans, activities</w:t>
      </w:r>
      <w:r w:rsidR="00D87D81" w:rsidRPr="00085A79">
        <w:rPr>
          <w:rFonts w:asciiTheme="minorHAnsi" w:hAnsiTheme="minorHAnsi" w:cstheme="minorHAnsi"/>
          <w:szCs w:val="24"/>
        </w:rPr>
        <w:t xml:space="preserve">, </w:t>
      </w:r>
      <w:r w:rsidR="00687984" w:rsidRPr="00085A79">
        <w:rPr>
          <w:rFonts w:asciiTheme="minorHAnsi" w:hAnsiTheme="minorHAnsi" w:cstheme="minorHAnsi"/>
          <w:szCs w:val="24"/>
        </w:rPr>
        <w:t>programmes,</w:t>
      </w:r>
      <w:r w:rsidR="00D87D81" w:rsidRPr="00085A79">
        <w:rPr>
          <w:rFonts w:asciiTheme="minorHAnsi" w:hAnsiTheme="minorHAnsi" w:cstheme="minorHAnsi"/>
          <w:szCs w:val="24"/>
        </w:rPr>
        <w:t xml:space="preserve"> and procedures</w:t>
      </w:r>
      <w:r w:rsidRPr="00085A79">
        <w:rPr>
          <w:rFonts w:asciiTheme="minorHAnsi" w:hAnsiTheme="minorHAnsi" w:cstheme="minorHAnsi"/>
          <w:szCs w:val="24"/>
        </w:rPr>
        <w:t>. This policy also outlines an accountability mechanism to ensure oversight and achievement of results and an action plan to be developed and reviewed periodically.</w:t>
      </w:r>
    </w:p>
    <w:p w14:paraId="1F6E52D0" w14:textId="77777777" w:rsidR="00887DBE" w:rsidRPr="00085A79" w:rsidRDefault="00887DBE" w:rsidP="00303A7B">
      <w:pPr>
        <w:tabs>
          <w:tab w:val="clear" w:pos="567"/>
          <w:tab w:val="clear" w:pos="1134"/>
          <w:tab w:val="clear" w:pos="1701"/>
          <w:tab w:val="clear" w:pos="2268"/>
          <w:tab w:val="clear" w:pos="2835"/>
          <w:tab w:val="left" w:pos="794"/>
          <w:tab w:val="left" w:pos="1191"/>
          <w:tab w:val="left" w:pos="1588"/>
          <w:tab w:val="left" w:pos="1985"/>
        </w:tabs>
        <w:spacing w:before="360" w:after="120"/>
        <w:rPr>
          <w:rFonts w:asciiTheme="minorHAnsi" w:hAnsiTheme="minorHAnsi" w:cstheme="minorHAnsi"/>
          <w:b/>
          <w:bCs/>
          <w:szCs w:val="24"/>
        </w:rPr>
      </w:pPr>
      <w:r w:rsidRPr="00085A79">
        <w:rPr>
          <w:rFonts w:asciiTheme="minorHAnsi" w:hAnsiTheme="minorHAnsi" w:cstheme="minorHAnsi"/>
          <w:b/>
          <w:bCs/>
          <w:szCs w:val="24"/>
        </w:rPr>
        <w:t>3</w:t>
      </w:r>
      <w:r w:rsidRPr="00085A79">
        <w:rPr>
          <w:rFonts w:asciiTheme="minorHAnsi" w:hAnsiTheme="minorHAnsi" w:cstheme="minorHAnsi"/>
          <w:b/>
          <w:bCs/>
          <w:szCs w:val="24"/>
        </w:rPr>
        <w:tab/>
        <w:t>Scope</w:t>
      </w:r>
    </w:p>
    <w:p w14:paraId="666BA956" w14:textId="29093C14" w:rsidR="00887DBE" w:rsidRPr="00085A79" w:rsidRDefault="00887DBE" w:rsidP="00303A7B">
      <w:pPr>
        <w:tabs>
          <w:tab w:val="clear" w:pos="567"/>
          <w:tab w:val="clear" w:pos="1134"/>
          <w:tab w:val="clear" w:pos="1701"/>
          <w:tab w:val="clear" w:pos="2268"/>
          <w:tab w:val="clear" w:pos="2835"/>
          <w:tab w:val="left" w:pos="794"/>
          <w:tab w:val="left" w:pos="1191"/>
          <w:tab w:val="left" w:pos="1588"/>
          <w:tab w:val="left" w:pos="1985"/>
        </w:tabs>
        <w:spacing w:after="120"/>
        <w:jc w:val="both"/>
        <w:rPr>
          <w:rFonts w:asciiTheme="minorHAnsi" w:hAnsiTheme="minorHAnsi" w:cstheme="minorHAnsi"/>
          <w:b/>
          <w:szCs w:val="24"/>
        </w:rPr>
      </w:pPr>
      <w:r w:rsidRPr="00085A79">
        <w:rPr>
          <w:rFonts w:asciiTheme="minorHAnsi" w:hAnsiTheme="minorHAnsi" w:cstheme="minorHAnsi"/>
          <w:szCs w:val="24"/>
        </w:rPr>
        <w:t xml:space="preserve">The Gender Equality &amp; Mainstreaming (GEM) applies to all staff members at headquarters and field </w:t>
      </w:r>
      <w:r w:rsidR="00687984" w:rsidRPr="00085A79">
        <w:rPr>
          <w:rFonts w:asciiTheme="minorHAnsi" w:hAnsiTheme="minorHAnsi" w:cstheme="minorHAnsi"/>
          <w:szCs w:val="24"/>
        </w:rPr>
        <w:t>offices and</w:t>
      </w:r>
      <w:r w:rsidR="00791F72" w:rsidRPr="00085A79">
        <w:rPr>
          <w:rFonts w:asciiTheme="minorHAnsi" w:hAnsiTheme="minorHAnsi" w:cstheme="minorHAnsi"/>
          <w:szCs w:val="24"/>
        </w:rPr>
        <w:t xml:space="preserve"> covers ITU’s internal operations as well as its programmatic work.</w:t>
      </w:r>
    </w:p>
    <w:p w14:paraId="4B4C35C9" w14:textId="77777777" w:rsidR="00887DBE" w:rsidRPr="00085A79" w:rsidRDefault="00887DBE" w:rsidP="00303A7B">
      <w:pPr>
        <w:tabs>
          <w:tab w:val="clear" w:pos="567"/>
          <w:tab w:val="clear" w:pos="1134"/>
          <w:tab w:val="clear" w:pos="1701"/>
          <w:tab w:val="clear" w:pos="2268"/>
          <w:tab w:val="clear" w:pos="2835"/>
          <w:tab w:val="left" w:pos="794"/>
          <w:tab w:val="left" w:pos="1191"/>
          <w:tab w:val="left" w:pos="1588"/>
          <w:tab w:val="left" w:pos="1985"/>
        </w:tabs>
        <w:spacing w:before="360" w:after="120"/>
        <w:rPr>
          <w:rFonts w:asciiTheme="minorHAnsi" w:hAnsiTheme="minorHAnsi" w:cstheme="minorHAnsi"/>
          <w:b/>
          <w:bCs/>
          <w:szCs w:val="24"/>
        </w:rPr>
      </w:pPr>
      <w:r w:rsidRPr="00085A79">
        <w:rPr>
          <w:rFonts w:asciiTheme="minorHAnsi" w:hAnsiTheme="minorHAnsi" w:cstheme="minorHAnsi"/>
          <w:b/>
          <w:bCs/>
          <w:szCs w:val="24"/>
        </w:rPr>
        <w:t>4</w:t>
      </w:r>
      <w:r w:rsidRPr="00085A79">
        <w:rPr>
          <w:rFonts w:asciiTheme="minorHAnsi" w:hAnsiTheme="minorHAnsi" w:cstheme="minorHAnsi"/>
          <w:b/>
          <w:bCs/>
          <w:szCs w:val="24"/>
        </w:rPr>
        <w:tab/>
        <w:t xml:space="preserve">Rationale </w:t>
      </w:r>
    </w:p>
    <w:p w14:paraId="1F1DD800" w14:textId="332E187F" w:rsidR="00907879" w:rsidRPr="00085A79" w:rsidRDefault="00887DBE" w:rsidP="00303A7B">
      <w:pPr>
        <w:tabs>
          <w:tab w:val="clear" w:pos="567"/>
          <w:tab w:val="clear" w:pos="1134"/>
          <w:tab w:val="clear" w:pos="1701"/>
          <w:tab w:val="clear" w:pos="2268"/>
          <w:tab w:val="clear" w:pos="2835"/>
          <w:tab w:val="left" w:pos="794"/>
          <w:tab w:val="left" w:pos="1191"/>
          <w:tab w:val="left" w:pos="1588"/>
          <w:tab w:val="left" w:pos="1985"/>
        </w:tabs>
        <w:spacing w:after="120"/>
        <w:jc w:val="both"/>
        <w:rPr>
          <w:rFonts w:asciiTheme="minorHAnsi" w:hAnsiTheme="minorHAnsi" w:cstheme="minorHAnsi"/>
          <w:szCs w:val="24"/>
        </w:rPr>
      </w:pPr>
      <w:r w:rsidRPr="00085A79">
        <w:rPr>
          <w:rFonts w:asciiTheme="minorHAnsi" w:hAnsiTheme="minorHAnsi" w:cstheme="minorHAnsi"/>
          <w:szCs w:val="24"/>
        </w:rPr>
        <w:t xml:space="preserve">The GEM policy builds on the following resolutions: Resolution 70 (Rev. </w:t>
      </w:r>
      <w:r w:rsidR="00B32D8F" w:rsidRPr="00085A79">
        <w:rPr>
          <w:rFonts w:asciiTheme="minorHAnsi" w:hAnsiTheme="minorHAnsi" w:cstheme="minorHAnsi"/>
          <w:szCs w:val="24"/>
        </w:rPr>
        <w:t>Dubai, 2018</w:t>
      </w:r>
      <w:r w:rsidRPr="00085A79">
        <w:rPr>
          <w:rFonts w:asciiTheme="minorHAnsi" w:hAnsiTheme="minorHAnsi" w:cstheme="minorHAnsi"/>
          <w:szCs w:val="24"/>
        </w:rPr>
        <w:t>), WTDC Resolution 55 (</w:t>
      </w:r>
      <w:r w:rsidR="00B32D8F" w:rsidRPr="00085A79">
        <w:rPr>
          <w:rFonts w:asciiTheme="minorHAnsi" w:hAnsiTheme="minorHAnsi" w:cstheme="minorHAnsi"/>
          <w:szCs w:val="24"/>
        </w:rPr>
        <w:t>Buenos Aires, 2017</w:t>
      </w:r>
      <w:r w:rsidRPr="00085A79">
        <w:rPr>
          <w:rFonts w:asciiTheme="minorHAnsi" w:hAnsiTheme="minorHAnsi" w:cstheme="minorHAnsi"/>
          <w:szCs w:val="24"/>
        </w:rPr>
        <w:t xml:space="preserve">), WTSA Resolution 55 (Rev. </w:t>
      </w:r>
      <w:proofErr w:type="spellStart"/>
      <w:r w:rsidR="00B32D8F" w:rsidRPr="00085A79">
        <w:rPr>
          <w:rFonts w:asciiTheme="minorHAnsi" w:hAnsiTheme="minorHAnsi" w:cstheme="minorHAnsi"/>
          <w:szCs w:val="24"/>
        </w:rPr>
        <w:t>Hammamet</w:t>
      </w:r>
      <w:proofErr w:type="spellEnd"/>
      <w:r w:rsidR="00B32D8F" w:rsidRPr="00085A79">
        <w:rPr>
          <w:rFonts w:asciiTheme="minorHAnsi" w:hAnsiTheme="minorHAnsi" w:cstheme="minorHAnsi"/>
          <w:szCs w:val="24"/>
        </w:rPr>
        <w:t>, 2016</w:t>
      </w:r>
      <w:r w:rsidRPr="00085A79">
        <w:rPr>
          <w:rFonts w:asciiTheme="minorHAnsi" w:hAnsiTheme="minorHAnsi" w:cstheme="minorHAnsi"/>
          <w:szCs w:val="24"/>
        </w:rPr>
        <w:t>)</w:t>
      </w:r>
      <w:r w:rsidR="00B32D8F" w:rsidRPr="00085A79">
        <w:rPr>
          <w:rFonts w:asciiTheme="minorHAnsi" w:hAnsiTheme="minorHAnsi" w:cstheme="minorHAnsi"/>
          <w:szCs w:val="24"/>
        </w:rPr>
        <w:t xml:space="preserve">, </w:t>
      </w:r>
      <w:r w:rsidR="00907879" w:rsidRPr="00085A79">
        <w:rPr>
          <w:rFonts w:asciiTheme="minorHAnsi" w:hAnsiTheme="minorHAnsi" w:cstheme="minorHAnsi"/>
          <w:szCs w:val="24"/>
        </w:rPr>
        <w:t>the “Declaration on Promoting Gender Equality, Equity and Parity in the ITU Radiocommunication Sector” (WRC-19), and Resolution 48 (Rev. Dubai, 2018) on Human Resources Management and Development</w:t>
      </w:r>
      <w:r w:rsidRPr="00085A79">
        <w:rPr>
          <w:rFonts w:asciiTheme="minorHAnsi" w:hAnsiTheme="minorHAnsi" w:cstheme="minorHAnsi"/>
          <w:szCs w:val="24"/>
        </w:rPr>
        <w:t>.</w:t>
      </w:r>
    </w:p>
    <w:p w14:paraId="45B84F4A" w14:textId="62528569" w:rsidR="00887DBE" w:rsidRPr="00085A79" w:rsidRDefault="00887DBE" w:rsidP="00303A7B">
      <w:pPr>
        <w:tabs>
          <w:tab w:val="clear" w:pos="567"/>
          <w:tab w:val="clear" w:pos="1134"/>
          <w:tab w:val="clear" w:pos="1701"/>
          <w:tab w:val="clear" w:pos="2268"/>
          <w:tab w:val="clear" w:pos="2835"/>
          <w:tab w:val="left" w:pos="794"/>
          <w:tab w:val="left" w:pos="1191"/>
          <w:tab w:val="left" w:pos="1588"/>
          <w:tab w:val="left" w:pos="1985"/>
        </w:tabs>
        <w:spacing w:after="120"/>
        <w:jc w:val="both"/>
        <w:rPr>
          <w:rFonts w:asciiTheme="minorHAnsi" w:hAnsiTheme="minorHAnsi" w:cstheme="minorHAnsi"/>
          <w:szCs w:val="24"/>
        </w:rPr>
      </w:pPr>
      <w:r w:rsidRPr="00085A79">
        <w:rPr>
          <w:rFonts w:asciiTheme="minorHAnsi" w:hAnsiTheme="minorHAnsi" w:cstheme="minorHAnsi"/>
          <w:szCs w:val="24"/>
        </w:rPr>
        <w:t>ITU has also endorsed the UN system-wide policy on gender equality and the UN System</w:t>
      </w:r>
      <w:r w:rsidR="003E46E4" w:rsidRPr="00085A79">
        <w:rPr>
          <w:rFonts w:asciiTheme="minorHAnsi" w:hAnsiTheme="minorHAnsi" w:cstheme="minorHAnsi"/>
          <w:szCs w:val="24"/>
        </w:rPr>
        <w:t>-w</w:t>
      </w:r>
      <w:r w:rsidRPr="00085A79">
        <w:rPr>
          <w:rFonts w:asciiTheme="minorHAnsi" w:hAnsiTheme="minorHAnsi" w:cstheme="minorHAnsi"/>
          <w:szCs w:val="24"/>
        </w:rPr>
        <w:t>ide Action Plan (UN</w:t>
      </w:r>
      <w:r w:rsidRPr="00085A79">
        <w:rPr>
          <w:rFonts w:asciiTheme="minorHAnsi" w:hAnsiTheme="minorHAnsi" w:cstheme="minorHAnsi"/>
          <w:szCs w:val="24"/>
        </w:rPr>
        <w:noBreakHyphen/>
        <w:t>SWAP) on gender equality and women’s empowerment. Promoting gender equality and the empowerment of women is in line with ITU’s mission to connect the world. This implies incorporating a gender perspective in the implementation of all the</w:t>
      </w:r>
      <w:r w:rsidR="00342C2F" w:rsidRPr="00085A79">
        <w:rPr>
          <w:rFonts w:asciiTheme="minorHAnsi" w:hAnsiTheme="minorHAnsi" w:cstheme="minorHAnsi"/>
          <w:szCs w:val="24"/>
        </w:rPr>
        <w:t xml:space="preserve"> plans, </w:t>
      </w:r>
      <w:r w:rsidRPr="00085A79">
        <w:rPr>
          <w:rFonts w:asciiTheme="minorHAnsi" w:hAnsiTheme="minorHAnsi" w:cstheme="minorHAnsi"/>
          <w:szCs w:val="24"/>
        </w:rPr>
        <w:t>programmes</w:t>
      </w:r>
      <w:r w:rsidR="00D92EF4" w:rsidRPr="00085A79">
        <w:rPr>
          <w:rFonts w:asciiTheme="minorHAnsi" w:hAnsiTheme="minorHAnsi" w:cstheme="minorHAnsi"/>
          <w:szCs w:val="24"/>
        </w:rPr>
        <w:t>, activities</w:t>
      </w:r>
      <w:r w:rsidRPr="00085A79">
        <w:rPr>
          <w:rFonts w:asciiTheme="minorHAnsi" w:hAnsiTheme="minorHAnsi" w:cstheme="minorHAnsi"/>
          <w:szCs w:val="24"/>
        </w:rPr>
        <w:t xml:space="preserve"> and </w:t>
      </w:r>
      <w:r w:rsidR="00342C2F" w:rsidRPr="00085A79">
        <w:rPr>
          <w:rFonts w:asciiTheme="minorHAnsi" w:hAnsiTheme="minorHAnsi" w:cstheme="minorHAnsi"/>
          <w:szCs w:val="24"/>
        </w:rPr>
        <w:t>procedures</w:t>
      </w:r>
      <w:r w:rsidR="00687984" w:rsidRPr="00085A79">
        <w:rPr>
          <w:rFonts w:asciiTheme="minorHAnsi" w:hAnsiTheme="minorHAnsi" w:cstheme="minorHAnsi"/>
          <w:szCs w:val="24"/>
        </w:rPr>
        <w:t xml:space="preserve"> </w:t>
      </w:r>
      <w:r w:rsidRPr="00085A79">
        <w:rPr>
          <w:rFonts w:asciiTheme="minorHAnsi" w:hAnsiTheme="minorHAnsi" w:cstheme="minorHAnsi"/>
          <w:szCs w:val="24"/>
        </w:rPr>
        <w:t xml:space="preserve">of the Union. ITU also recognizes that gender equality helps foster a more </w:t>
      </w:r>
      <w:r w:rsidR="00073452" w:rsidRPr="00085A79">
        <w:rPr>
          <w:rFonts w:asciiTheme="minorHAnsi" w:hAnsiTheme="minorHAnsi" w:cstheme="minorHAnsi"/>
          <w:szCs w:val="24"/>
        </w:rPr>
        <w:t xml:space="preserve">inclusive, </w:t>
      </w:r>
      <w:r w:rsidRPr="00085A79">
        <w:rPr>
          <w:rFonts w:asciiTheme="minorHAnsi" w:hAnsiTheme="minorHAnsi" w:cstheme="minorHAnsi"/>
          <w:szCs w:val="24"/>
        </w:rPr>
        <w:t>creative</w:t>
      </w:r>
      <w:r w:rsidR="00073452" w:rsidRPr="00085A79">
        <w:rPr>
          <w:rFonts w:asciiTheme="minorHAnsi" w:hAnsiTheme="minorHAnsi" w:cstheme="minorHAnsi"/>
          <w:szCs w:val="24"/>
        </w:rPr>
        <w:t>,</w:t>
      </w:r>
      <w:r w:rsidRPr="00085A79">
        <w:rPr>
          <w:rFonts w:asciiTheme="minorHAnsi" w:hAnsiTheme="minorHAnsi" w:cstheme="minorHAnsi"/>
          <w:szCs w:val="24"/>
        </w:rPr>
        <w:t xml:space="preserve"> and effective organization which is linked to increased productivity and innovation. To lead by example, ITU </w:t>
      </w:r>
      <w:r w:rsidR="008835B2" w:rsidRPr="00085A79">
        <w:rPr>
          <w:rFonts w:asciiTheme="minorHAnsi" w:hAnsiTheme="minorHAnsi" w:cstheme="minorHAnsi"/>
          <w:szCs w:val="24"/>
        </w:rPr>
        <w:t xml:space="preserve">thus also </w:t>
      </w:r>
      <w:r w:rsidRPr="00085A79">
        <w:rPr>
          <w:rFonts w:asciiTheme="minorHAnsi" w:hAnsiTheme="minorHAnsi" w:cstheme="minorHAnsi"/>
          <w:szCs w:val="24"/>
        </w:rPr>
        <w:t xml:space="preserve">commits to applying </w:t>
      </w:r>
      <w:r w:rsidR="00965FC4" w:rsidRPr="00085A79">
        <w:rPr>
          <w:rFonts w:asciiTheme="minorHAnsi" w:hAnsiTheme="minorHAnsi" w:cstheme="minorHAnsi"/>
          <w:szCs w:val="24"/>
        </w:rPr>
        <w:t>a gender perspective</w:t>
      </w:r>
      <w:r w:rsidRPr="00085A79">
        <w:rPr>
          <w:rFonts w:asciiTheme="minorHAnsi" w:hAnsiTheme="minorHAnsi" w:cstheme="minorHAnsi"/>
          <w:szCs w:val="24"/>
        </w:rPr>
        <w:t xml:space="preserve"> within its own organization.</w:t>
      </w:r>
    </w:p>
    <w:p w14:paraId="4AC6999B" w14:textId="77777777" w:rsidR="00887DBE" w:rsidRPr="00085A79" w:rsidRDefault="00887DBE" w:rsidP="00303A7B">
      <w:pPr>
        <w:tabs>
          <w:tab w:val="clear" w:pos="567"/>
          <w:tab w:val="clear" w:pos="1134"/>
          <w:tab w:val="clear" w:pos="1701"/>
          <w:tab w:val="clear" w:pos="2268"/>
          <w:tab w:val="clear" w:pos="2835"/>
          <w:tab w:val="left" w:pos="794"/>
          <w:tab w:val="left" w:pos="1191"/>
          <w:tab w:val="left" w:pos="1588"/>
          <w:tab w:val="left" w:pos="1985"/>
        </w:tabs>
        <w:spacing w:before="360" w:after="120"/>
        <w:rPr>
          <w:rFonts w:asciiTheme="minorHAnsi" w:hAnsiTheme="minorHAnsi" w:cstheme="minorHAnsi"/>
          <w:b/>
          <w:bCs/>
          <w:szCs w:val="24"/>
        </w:rPr>
      </w:pPr>
      <w:r w:rsidRPr="00085A79">
        <w:rPr>
          <w:rFonts w:asciiTheme="minorHAnsi" w:hAnsiTheme="minorHAnsi" w:cstheme="minorHAnsi"/>
          <w:b/>
          <w:bCs/>
          <w:szCs w:val="24"/>
        </w:rPr>
        <w:t>5</w:t>
      </w:r>
      <w:r w:rsidRPr="00085A79">
        <w:rPr>
          <w:rFonts w:asciiTheme="minorHAnsi" w:hAnsiTheme="minorHAnsi" w:cstheme="minorHAnsi"/>
          <w:b/>
          <w:bCs/>
          <w:szCs w:val="24"/>
        </w:rPr>
        <w:tab/>
        <w:t xml:space="preserve">Policy </w:t>
      </w:r>
    </w:p>
    <w:p w14:paraId="3FFFB357" w14:textId="665E12C4" w:rsidR="00887DBE" w:rsidRPr="00085A79" w:rsidRDefault="003C0E8D" w:rsidP="00303A7B">
      <w:pPr>
        <w:tabs>
          <w:tab w:val="clear" w:pos="567"/>
          <w:tab w:val="clear" w:pos="1134"/>
          <w:tab w:val="clear" w:pos="1701"/>
          <w:tab w:val="clear" w:pos="2268"/>
          <w:tab w:val="clear" w:pos="2835"/>
          <w:tab w:val="left" w:pos="794"/>
          <w:tab w:val="left" w:pos="1191"/>
          <w:tab w:val="left" w:pos="1588"/>
          <w:tab w:val="left" w:pos="1985"/>
        </w:tabs>
        <w:spacing w:after="120"/>
        <w:rPr>
          <w:rFonts w:asciiTheme="minorHAnsi" w:hAnsiTheme="minorHAnsi" w:cstheme="minorHAnsi"/>
          <w:b/>
          <w:bCs/>
          <w:i/>
          <w:iCs/>
          <w:szCs w:val="24"/>
        </w:rPr>
      </w:pPr>
      <w:r w:rsidRPr="00085A79">
        <w:rPr>
          <w:rFonts w:asciiTheme="minorHAnsi" w:hAnsiTheme="minorHAnsi" w:cstheme="minorHAnsi"/>
          <w:b/>
          <w:bCs/>
          <w:i/>
          <w:iCs/>
          <w:szCs w:val="24"/>
        </w:rPr>
        <w:t xml:space="preserve">ITU’s Gender </w:t>
      </w:r>
      <w:r w:rsidR="00887DBE" w:rsidRPr="00085A79">
        <w:rPr>
          <w:rFonts w:asciiTheme="minorHAnsi" w:hAnsiTheme="minorHAnsi" w:cstheme="minorHAnsi"/>
          <w:b/>
          <w:bCs/>
          <w:i/>
          <w:iCs/>
          <w:szCs w:val="24"/>
        </w:rPr>
        <w:t xml:space="preserve">Vision statement </w:t>
      </w:r>
    </w:p>
    <w:p w14:paraId="4F8FD6E3" w14:textId="0B401BD4" w:rsidR="00887DBE" w:rsidRPr="00085A79" w:rsidRDefault="00887DBE" w:rsidP="00303A7B">
      <w:pPr>
        <w:tabs>
          <w:tab w:val="clear" w:pos="567"/>
          <w:tab w:val="clear" w:pos="1134"/>
          <w:tab w:val="clear" w:pos="1701"/>
          <w:tab w:val="clear" w:pos="2268"/>
          <w:tab w:val="clear" w:pos="2835"/>
        </w:tabs>
        <w:overflowPunct/>
        <w:autoSpaceDE/>
        <w:autoSpaceDN/>
        <w:adjustRightInd/>
        <w:spacing w:after="120"/>
        <w:textAlignment w:val="auto"/>
        <w:rPr>
          <w:rFonts w:asciiTheme="minorHAnsi" w:hAnsiTheme="minorHAnsi" w:cstheme="minorHAnsi"/>
          <w:iCs/>
          <w:szCs w:val="24"/>
        </w:rPr>
      </w:pPr>
      <w:r w:rsidRPr="00085A79">
        <w:rPr>
          <w:rFonts w:asciiTheme="minorHAnsi" w:hAnsiTheme="minorHAnsi" w:cstheme="minorHAnsi"/>
          <w:szCs w:val="24"/>
        </w:rPr>
        <w:t>ITU’s</w:t>
      </w:r>
      <w:r w:rsidRPr="00085A79">
        <w:rPr>
          <w:rFonts w:asciiTheme="minorHAnsi" w:hAnsiTheme="minorHAnsi" w:cstheme="minorHAnsi"/>
          <w:iCs/>
          <w:szCs w:val="24"/>
        </w:rPr>
        <w:t xml:space="preserve"> vision is to become a model organization for gender equality, and to leverage the </w:t>
      </w:r>
      <w:r w:rsidR="00417627" w:rsidRPr="00085A79">
        <w:rPr>
          <w:rFonts w:asciiTheme="minorHAnsi" w:hAnsiTheme="minorHAnsi" w:cstheme="minorHAnsi"/>
          <w:iCs/>
          <w:szCs w:val="24"/>
        </w:rPr>
        <w:t xml:space="preserve">benefits </w:t>
      </w:r>
      <w:r w:rsidRPr="00085A79">
        <w:rPr>
          <w:rFonts w:asciiTheme="minorHAnsi" w:hAnsiTheme="minorHAnsi" w:cstheme="minorHAnsi"/>
          <w:iCs/>
          <w:szCs w:val="24"/>
        </w:rPr>
        <w:t>of ICTs to empower both women and men.</w:t>
      </w:r>
    </w:p>
    <w:p w14:paraId="5C33AAD7" w14:textId="77777777" w:rsidR="00887DBE" w:rsidRPr="00085A79" w:rsidRDefault="00887DBE" w:rsidP="0037276C">
      <w:pPr>
        <w:keepNext/>
        <w:keepLines/>
        <w:tabs>
          <w:tab w:val="clear" w:pos="567"/>
          <w:tab w:val="clear" w:pos="1134"/>
          <w:tab w:val="clear" w:pos="1701"/>
          <w:tab w:val="clear" w:pos="2268"/>
          <w:tab w:val="clear" w:pos="2835"/>
          <w:tab w:val="left" w:pos="360"/>
        </w:tabs>
        <w:overflowPunct/>
        <w:autoSpaceDE/>
        <w:autoSpaceDN/>
        <w:adjustRightInd/>
        <w:spacing w:after="120"/>
        <w:textAlignment w:val="auto"/>
        <w:rPr>
          <w:rFonts w:asciiTheme="minorHAnsi" w:hAnsiTheme="minorHAnsi" w:cstheme="minorHAnsi"/>
          <w:b/>
          <w:i/>
          <w:iCs/>
          <w:szCs w:val="24"/>
        </w:rPr>
      </w:pPr>
      <w:r w:rsidRPr="00085A79">
        <w:rPr>
          <w:rFonts w:asciiTheme="minorHAnsi" w:hAnsiTheme="minorHAnsi" w:cstheme="minorHAnsi"/>
          <w:b/>
          <w:i/>
          <w:iCs/>
          <w:szCs w:val="24"/>
        </w:rPr>
        <w:lastRenderedPageBreak/>
        <w:t>Objectives</w:t>
      </w:r>
    </w:p>
    <w:p w14:paraId="452DD4EB" w14:textId="77777777" w:rsidR="00887DBE" w:rsidRPr="00085A79" w:rsidRDefault="00887DBE" w:rsidP="0037276C">
      <w:pPr>
        <w:keepNext/>
        <w:keepLines/>
        <w:tabs>
          <w:tab w:val="clear" w:pos="567"/>
          <w:tab w:val="clear" w:pos="1134"/>
          <w:tab w:val="clear" w:pos="1701"/>
          <w:tab w:val="clear" w:pos="2268"/>
          <w:tab w:val="clear" w:pos="2835"/>
        </w:tabs>
        <w:overflowPunct/>
        <w:autoSpaceDE/>
        <w:autoSpaceDN/>
        <w:adjustRightInd/>
        <w:spacing w:after="120"/>
        <w:textAlignment w:val="auto"/>
        <w:rPr>
          <w:rFonts w:asciiTheme="minorHAnsi" w:hAnsiTheme="minorHAnsi" w:cstheme="minorHAnsi"/>
          <w:szCs w:val="24"/>
        </w:rPr>
      </w:pPr>
      <w:r w:rsidRPr="00085A79">
        <w:rPr>
          <w:rFonts w:asciiTheme="minorHAnsi" w:hAnsiTheme="minorHAnsi" w:cstheme="minorHAnsi"/>
          <w:szCs w:val="24"/>
        </w:rPr>
        <w:t>To fulfil this vision, the GEM policy aims to achieve the following objectives:</w:t>
      </w:r>
    </w:p>
    <w:p w14:paraId="0A4E1AE9" w14:textId="77777777" w:rsidR="00887DBE" w:rsidRPr="00085A79" w:rsidRDefault="00887DBE" w:rsidP="0037276C">
      <w:pPr>
        <w:keepNext/>
        <w:keepLines/>
        <w:numPr>
          <w:ilvl w:val="0"/>
          <w:numId w:val="6"/>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after="120"/>
        <w:textAlignment w:val="auto"/>
        <w:rPr>
          <w:rFonts w:asciiTheme="minorHAnsi" w:hAnsiTheme="minorHAnsi" w:cstheme="minorHAnsi"/>
          <w:szCs w:val="24"/>
        </w:rPr>
      </w:pPr>
      <w:r w:rsidRPr="00085A79">
        <w:rPr>
          <w:rFonts w:asciiTheme="minorHAnsi" w:hAnsiTheme="minorHAnsi" w:cstheme="minorHAnsi"/>
          <w:szCs w:val="24"/>
        </w:rPr>
        <w:t>Achieve gender equality within ITU to allow both women and men to equally contribute to and participate in the work of the organization;</w:t>
      </w:r>
    </w:p>
    <w:p w14:paraId="716B0075" w14:textId="12D4E530" w:rsidR="00887DBE" w:rsidRPr="00085A79" w:rsidRDefault="00887DBE" w:rsidP="00303A7B">
      <w:pPr>
        <w:numPr>
          <w:ilvl w:val="0"/>
          <w:numId w:val="6"/>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after="120"/>
        <w:textAlignment w:val="auto"/>
        <w:rPr>
          <w:rFonts w:asciiTheme="minorHAnsi" w:hAnsiTheme="minorHAnsi" w:cstheme="minorHAnsi"/>
          <w:szCs w:val="24"/>
        </w:rPr>
      </w:pPr>
      <w:r w:rsidRPr="00085A79">
        <w:rPr>
          <w:rFonts w:asciiTheme="minorHAnsi" w:hAnsiTheme="minorHAnsi" w:cstheme="minorHAnsi"/>
          <w:szCs w:val="24"/>
        </w:rPr>
        <w:t xml:space="preserve">Develop policies, programmes, projects and </w:t>
      </w:r>
      <w:r w:rsidR="005838D4" w:rsidRPr="00085A79">
        <w:rPr>
          <w:rFonts w:asciiTheme="minorHAnsi" w:hAnsiTheme="minorHAnsi" w:cstheme="minorHAnsi"/>
          <w:szCs w:val="24"/>
        </w:rPr>
        <w:t>capacity development</w:t>
      </w:r>
      <w:r w:rsidRPr="00085A79">
        <w:rPr>
          <w:rFonts w:asciiTheme="minorHAnsi" w:hAnsiTheme="minorHAnsi" w:cstheme="minorHAnsi"/>
          <w:szCs w:val="24"/>
        </w:rPr>
        <w:t xml:space="preserve"> activities that allow for both women and men to equally benefit from ICTs, and further achieve equalities</w:t>
      </w:r>
      <w:r w:rsidR="00BD0D3C" w:rsidRPr="00085A79">
        <w:rPr>
          <w:rFonts w:asciiTheme="minorHAnsi" w:hAnsiTheme="minorHAnsi" w:cstheme="minorHAnsi"/>
          <w:szCs w:val="24"/>
        </w:rPr>
        <w:t xml:space="preserve"> and parity</w:t>
      </w:r>
      <w:r w:rsidRPr="00085A79">
        <w:rPr>
          <w:rFonts w:asciiTheme="minorHAnsi" w:hAnsiTheme="minorHAnsi" w:cstheme="minorHAnsi"/>
          <w:szCs w:val="24"/>
        </w:rPr>
        <w:t xml:space="preserve"> in the representation of women;</w:t>
      </w:r>
    </w:p>
    <w:p w14:paraId="30FD81F7" w14:textId="14A70912" w:rsidR="00887DBE" w:rsidRPr="00085A79" w:rsidRDefault="00887DBE" w:rsidP="00303A7B">
      <w:pPr>
        <w:numPr>
          <w:ilvl w:val="0"/>
          <w:numId w:val="6"/>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after="120"/>
        <w:textAlignment w:val="auto"/>
        <w:rPr>
          <w:rFonts w:asciiTheme="minorHAnsi" w:hAnsiTheme="minorHAnsi" w:cstheme="minorHAnsi"/>
          <w:szCs w:val="24"/>
        </w:rPr>
      </w:pPr>
      <w:r w:rsidRPr="00085A79">
        <w:rPr>
          <w:rFonts w:asciiTheme="minorHAnsi" w:hAnsiTheme="minorHAnsi" w:cstheme="minorHAnsi"/>
          <w:szCs w:val="24"/>
        </w:rPr>
        <w:t xml:space="preserve">Strengthen institutional </w:t>
      </w:r>
      <w:r w:rsidR="00C774E3" w:rsidRPr="00085A79">
        <w:rPr>
          <w:rFonts w:asciiTheme="minorHAnsi" w:hAnsiTheme="minorHAnsi" w:cstheme="minorHAnsi"/>
          <w:szCs w:val="24"/>
        </w:rPr>
        <w:t xml:space="preserve">plans and procedures </w:t>
      </w:r>
      <w:r w:rsidRPr="00085A79">
        <w:rPr>
          <w:rFonts w:asciiTheme="minorHAnsi" w:hAnsiTheme="minorHAnsi" w:cstheme="minorHAnsi"/>
          <w:szCs w:val="24"/>
        </w:rPr>
        <w:t xml:space="preserve">for gender mainstreaming and to review the </w:t>
      </w:r>
      <w:r w:rsidR="00047E42" w:rsidRPr="00085A79">
        <w:rPr>
          <w:rFonts w:asciiTheme="minorHAnsi" w:hAnsiTheme="minorHAnsi" w:cstheme="minorHAnsi"/>
          <w:szCs w:val="24"/>
        </w:rPr>
        <w:t xml:space="preserve">organization’s </w:t>
      </w:r>
      <w:r w:rsidRPr="00085A79">
        <w:rPr>
          <w:rFonts w:asciiTheme="minorHAnsi" w:hAnsiTheme="minorHAnsi" w:cstheme="minorHAnsi"/>
          <w:szCs w:val="24"/>
        </w:rPr>
        <w:t>delivery mechanisms to integrate gender issues more effectively</w:t>
      </w:r>
      <w:r w:rsidR="004B3B71" w:rsidRPr="00085A79">
        <w:rPr>
          <w:rFonts w:asciiTheme="minorHAnsi" w:hAnsiTheme="minorHAnsi" w:cstheme="minorHAnsi"/>
          <w:szCs w:val="24"/>
        </w:rPr>
        <w:t>;</w:t>
      </w:r>
    </w:p>
    <w:p w14:paraId="086FA525" w14:textId="59585922" w:rsidR="00887DBE" w:rsidRPr="00085A79" w:rsidRDefault="00887DBE" w:rsidP="00303A7B">
      <w:pPr>
        <w:numPr>
          <w:ilvl w:val="0"/>
          <w:numId w:val="6"/>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after="120"/>
        <w:textAlignment w:val="auto"/>
        <w:rPr>
          <w:rFonts w:asciiTheme="minorHAnsi" w:hAnsiTheme="minorHAnsi" w:cstheme="minorHAnsi"/>
          <w:szCs w:val="24"/>
        </w:rPr>
      </w:pPr>
      <w:r w:rsidRPr="00085A79">
        <w:rPr>
          <w:rFonts w:asciiTheme="minorHAnsi" w:hAnsiTheme="minorHAnsi" w:cstheme="minorHAnsi"/>
          <w:szCs w:val="24"/>
        </w:rPr>
        <w:t>Provide an accountability framework for gender equality and an internal monitoring</w:t>
      </w:r>
      <w:r w:rsidR="007F3260" w:rsidRPr="00085A79">
        <w:rPr>
          <w:rFonts w:asciiTheme="minorHAnsi" w:hAnsiTheme="minorHAnsi" w:cstheme="minorHAnsi"/>
          <w:szCs w:val="24"/>
        </w:rPr>
        <w:t>, evaluation</w:t>
      </w:r>
      <w:r w:rsidRPr="00085A79">
        <w:rPr>
          <w:rFonts w:asciiTheme="minorHAnsi" w:hAnsiTheme="minorHAnsi" w:cstheme="minorHAnsi"/>
          <w:szCs w:val="24"/>
        </w:rPr>
        <w:t xml:space="preserve"> and reporting mechanism in accordance with the requirements of the UN-SWAP.</w:t>
      </w:r>
    </w:p>
    <w:p w14:paraId="4C8F86C7" w14:textId="77777777" w:rsidR="00887DBE" w:rsidRPr="00085A79" w:rsidRDefault="00887DBE" w:rsidP="00303A7B">
      <w:pPr>
        <w:tabs>
          <w:tab w:val="clear" w:pos="567"/>
          <w:tab w:val="clear" w:pos="1134"/>
          <w:tab w:val="clear" w:pos="1701"/>
          <w:tab w:val="clear" w:pos="2268"/>
          <w:tab w:val="clear" w:pos="2835"/>
        </w:tabs>
        <w:overflowPunct/>
        <w:autoSpaceDE/>
        <w:autoSpaceDN/>
        <w:adjustRightInd/>
        <w:spacing w:after="120"/>
        <w:textAlignment w:val="auto"/>
        <w:rPr>
          <w:rFonts w:asciiTheme="minorHAnsi" w:hAnsiTheme="minorHAnsi" w:cstheme="minorHAnsi"/>
          <w:szCs w:val="24"/>
        </w:rPr>
      </w:pPr>
      <w:r w:rsidRPr="00085A79">
        <w:rPr>
          <w:rFonts w:asciiTheme="minorHAnsi" w:hAnsiTheme="minorHAnsi" w:cstheme="minorHAnsi"/>
          <w:szCs w:val="24"/>
        </w:rPr>
        <w:t xml:space="preserve">In relation to the above objectives, this policy commits ITU to take actions focusing on the following areas: </w:t>
      </w:r>
    </w:p>
    <w:p w14:paraId="39325676" w14:textId="77777777" w:rsidR="00887DBE" w:rsidRPr="00085A79" w:rsidRDefault="00887DBE" w:rsidP="00303A7B">
      <w:pPr>
        <w:numPr>
          <w:ilvl w:val="0"/>
          <w:numId w:val="7"/>
        </w:numPr>
        <w:tabs>
          <w:tab w:val="clear" w:pos="567"/>
          <w:tab w:val="clear" w:pos="1134"/>
          <w:tab w:val="clear" w:pos="1701"/>
          <w:tab w:val="clear" w:pos="2268"/>
          <w:tab w:val="clear" w:pos="2835"/>
          <w:tab w:val="left" w:pos="360"/>
          <w:tab w:val="left" w:pos="794"/>
          <w:tab w:val="left" w:pos="1191"/>
          <w:tab w:val="left" w:pos="1588"/>
          <w:tab w:val="left" w:pos="1985"/>
        </w:tabs>
        <w:overflowPunct/>
        <w:autoSpaceDE/>
        <w:autoSpaceDN/>
        <w:adjustRightInd/>
        <w:spacing w:after="120"/>
        <w:textAlignment w:val="auto"/>
        <w:rPr>
          <w:rFonts w:asciiTheme="minorHAnsi" w:hAnsiTheme="minorHAnsi" w:cstheme="minorHAnsi"/>
          <w:b/>
          <w:bCs/>
          <w:i/>
          <w:iCs/>
          <w:szCs w:val="24"/>
        </w:rPr>
      </w:pPr>
      <w:r w:rsidRPr="00085A79">
        <w:rPr>
          <w:rFonts w:asciiTheme="minorHAnsi" w:hAnsiTheme="minorHAnsi" w:cstheme="minorHAnsi"/>
          <w:b/>
          <w:bCs/>
          <w:i/>
          <w:iCs/>
          <w:szCs w:val="24"/>
        </w:rPr>
        <w:t xml:space="preserve">Organizational Culture and Staffing </w:t>
      </w:r>
    </w:p>
    <w:p w14:paraId="5B2BC25C" w14:textId="69C850E8" w:rsidR="00887DBE" w:rsidRPr="00085A79" w:rsidRDefault="00887DBE" w:rsidP="00303A7B">
      <w:pPr>
        <w:tabs>
          <w:tab w:val="clear" w:pos="567"/>
          <w:tab w:val="clear" w:pos="1134"/>
          <w:tab w:val="clear" w:pos="1701"/>
          <w:tab w:val="clear" w:pos="2268"/>
          <w:tab w:val="clear" w:pos="2835"/>
        </w:tabs>
        <w:overflowPunct/>
        <w:autoSpaceDE/>
        <w:autoSpaceDN/>
        <w:adjustRightInd/>
        <w:spacing w:after="120"/>
        <w:ind w:left="709"/>
        <w:jc w:val="both"/>
        <w:textAlignment w:val="auto"/>
        <w:rPr>
          <w:rFonts w:asciiTheme="minorHAnsi" w:hAnsiTheme="minorHAnsi" w:cstheme="minorHAnsi"/>
          <w:szCs w:val="24"/>
        </w:rPr>
      </w:pPr>
      <w:r w:rsidRPr="00085A79">
        <w:rPr>
          <w:rFonts w:asciiTheme="minorHAnsi" w:hAnsiTheme="minorHAnsi" w:cstheme="minorHAnsi"/>
          <w:szCs w:val="24"/>
        </w:rPr>
        <w:t xml:space="preserve">The GEM policy proactively commits ITU to promoting an inclusive workplace and to nurture </w:t>
      </w:r>
      <w:r w:rsidR="00242F9F" w:rsidRPr="00085A79">
        <w:rPr>
          <w:rFonts w:asciiTheme="minorHAnsi" w:hAnsiTheme="minorHAnsi" w:cstheme="minorHAnsi"/>
          <w:szCs w:val="24"/>
        </w:rPr>
        <w:t>an enabling environment for gender equality</w:t>
      </w:r>
      <w:r w:rsidR="00242F9F" w:rsidRPr="00085A79" w:rsidDel="00242F9F">
        <w:rPr>
          <w:rFonts w:asciiTheme="minorHAnsi" w:hAnsiTheme="minorHAnsi" w:cstheme="minorHAnsi"/>
          <w:szCs w:val="24"/>
        </w:rPr>
        <w:t xml:space="preserve"> </w:t>
      </w:r>
      <w:r w:rsidRPr="00085A79">
        <w:rPr>
          <w:rFonts w:asciiTheme="minorHAnsi" w:hAnsiTheme="minorHAnsi" w:cstheme="minorHAnsi"/>
          <w:szCs w:val="24"/>
        </w:rPr>
        <w:t>by:</w:t>
      </w:r>
    </w:p>
    <w:p w14:paraId="2754DFA4" w14:textId="48B60193" w:rsidR="00E14272" w:rsidRPr="00085A79" w:rsidRDefault="00E14272" w:rsidP="00303A7B">
      <w:pPr>
        <w:numPr>
          <w:ilvl w:val="0"/>
          <w:numId w:val="6"/>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after="120"/>
        <w:ind w:left="1145" w:hanging="425"/>
        <w:textAlignment w:val="auto"/>
        <w:rPr>
          <w:rFonts w:asciiTheme="minorHAnsi" w:hAnsiTheme="minorHAnsi" w:cstheme="minorHAnsi"/>
          <w:szCs w:val="24"/>
        </w:rPr>
      </w:pPr>
      <w:r w:rsidRPr="00085A79">
        <w:rPr>
          <w:rFonts w:asciiTheme="minorHAnsi" w:hAnsiTheme="minorHAnsi" w:cstheme="minorHAnsi"/>
          <w:szCs w:val="24"/>
        </w:rPr>
        <w:t xml:space="preserve">Fostering a participative </w:t>
      </w:r>
      <w:r w:rsidR="008074E2" w:rsidRPr="00085A79">
        <w:rPr>
          <w:rFonts w:asciiTheme="minorHAnsi" w:hAnsiTheme="minorHAnsi" w:cstheme="minorHAnsi"/>
          <w:szCs w:val="24"/>
        </w:rPr>
        <w:t xml:space="preserve">organizational </w:t>
      </w:r>
      <w:r w:rsidRPr="00085A79">
        <w:rPr>
          <w:rFonts w:asciiTheme="minorHAnsi" w:hAnsiTheme="minorHAnsi" w:cstheme="minorHAnsi"/>
          <w:szCs w:val="24"/>
        </w:rPr>
        <w:t xml:space="preserve">culture that </w:t>
      </w:r>
      <w:r w:rsidR="003221A3" w:rsidRPr="00085A79">
        <w:rPr>
          <w:rFonts w:asciiTheme="minorHAnsi" w:hAnsiTheme="minorHAnsi" w:cstheme="minorHAnsi"/>
          <w:szCs w:val="24"/>
        </w:rPr>
        <w:t xml:space="preserve">fully supports promotion of gender equality and the empowerment of women, and </w:t>
      </w:r>
      <w:r w:rsidRPr="00085A79">
        <w:rPr>
          <w:rFonts w:asciiTheme="minorHAnsi" w:hAnsiTheme="minorHAnsi" w:cstheme="minorHAnsi"/>
          <w:szCs w:val="24"/>
        </w:rPr>
        <w:t xml:space="preserve">values the contribution of each staff member, </w:t>
      </w:r>
      <w:r w:rsidR="00AE068F" w:rsidRPr="00085A79">
        <w:rPr>
          <w:rFonts w:asciiTheme="minorHAnsi" w:hAnsiTheme="minorHAnsi" w:cstheme="minorHAnsi"/>
          <w:szCs w:val="24"/>
        </w:rPr>
        <w:t>irrespective of gender</w:t>
      </w:r>
      <w:r w:rsidRPr="00085A79">
        <w:rPr>
          <w:rFonts w:asciiTheme="minorHAnsi" w:hAnsiTheme="minorHAnsi" w:cstheme="minorHAnsi"/>
          <w:szCs w:val="24"/>
        </w:rPr>
        <w:t>;</w:t>
      </w:r>
    </w:p>
    <w:p w14:paraId="75B1C483" w14:textId="2E1788B4" w:rsidR="003B0B2C" w:rsidRPr="00085A79" w:rsidRDefault="003B0B2C" w:rsidP="00303A7B">
      <w:pPr>
        <w:numPr>
          <w:ilvl w:val="0"/>
          <w:numId w:val="6"/>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after="120"/>
        <w:ind w:left="1145" w:hanging="425"/>
        <w:textAlignment w:val="auto"/>
        <w:rPr>
          <w:rFonts w:asciiTheme="minorHAnsi" w:hAnsiTheme="minorHAnsi" w:cstheme="minorHAnsi"/>
          <w:szCs w:val="24"/>
        </w:rPr>
      </w:pPr>
      <w:r w:rsidRPr="00085A79" w:rsidDel="009E02D8">
        <w:rPr>
          <w:rFonts w:asciiTheme="minorHAnsi" w:hAnsiTheme="minorHAnsi" w:cstheme="minorHAnsi"/>
          <w:szCs w:val="24"/>
        </w:rPr>
        <w:t>Promoting inclusive decision-making processes and management styles;</w:t>
      </w:r>
    </w:p>
    <w:p w14:paraId="5E6384AC" w14:textId="77777777" w:rsidR="00D0150B" w:rsidRPr="00085A79" w:rsidRDefault="001A42F0" w:rsidP="00303A7B">
      <w:pPr>
        <w:numPr>
          <w:ilvl w:val="0"/>
          <w:numId w:val="9"/>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after="120"/>
        <w:jc w:val="both"/>
        <w:textAlignment w:val="auto"/>
        <w:rPr>
          <w:rFonts w:asciiTheme="minorHAnsi" w:hAnsiTheme="minorHAnsi" w:cstheme="minorHAnsi"/>
          <w:szCs w:val="24"/>
        </w:rPr>
      </w:pPr>
      <w:r w:rsidRPr="00085A79">
        <w:rPr>
          <w:rFonts w:asciiTheme="minorHAnsi" w:hAnsiTheme="minorHAnsi" w:cstheme="minorHAnsi"/>
          <w:szCs w:val="24"/>
        </w:rPr>
        <w:t>Ensuring a gender-sensitive approach in applying HR policies and practices including in recruitment and staff development;</w:t>
      </w:r>
    </w:p>
    <w:p w14:paraId="12476734" w14:textId="06CF6BB4" w:rsidR="00D0150B" w:rsidRPr="00085A79" w:rsidRDefault="00D0150B" w:rsidP="00303A7B">
      <w:pPr>
        <w:numPr>
          <w:ilvl w:val="0"/>
          <w:numId w:val="9"/>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after="120"/>
        <w:jc w:val="both"/>
        <w:textAlignment w:val="auto"/>
        <w:rPr>
          <w:rFonts w:asciiTheme="minorHAnsi" w:hAnsiTheme="minorHAnsi" w:cstheme="minorHAnsi"/>
          <w:szCs w:val="24"/>
        </w:rPr>
      </w:pPr>
      <w:r w:rsidRPr="00085A79">
        <w:rPr>
          <w:rFonts w:asciiTheme="minorHAnsi" w:hAnsiTheme="minorHAnsi" w:cstheme="minorHAnsi"/>
          <w:szCs w:val="24"/>
        </w:rPr>
        <w:t>Implementing a capacity development plan for gender equality and the empowerment of women for all staff, including senior managers tailored training, and the assessment of capacities of all staff;</w:t>
      </w:r>
    </w:p>
    <w:p w14:paraId="4D8E9859" w14:textId="72776924" w:rsidR="00A0797C" w:rsidRPr="00085A79" w:rsidRDefault="00887DBE" w:rsidP="00303A7B">
      <w:pPr>
        <w:numPr>
          <w:ilvl w:val="0"/>
          <w:numId w:val="10"/>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after="120"/>
        <w:textAlignment w:val="auto"/>
        <w:rPr>
          <w:rFonts w:asciiTheme="minorHAnsi" w:hAnsiTheme="minorHAnsi" w:cstheme="minorHAnsi"/>
          <w:szCs w:val="24"/>
        </w:rPr>
      </w:pPr>
      <w:r w:rsidRPr="00085A79">
        <w:rPr>
          <w:rFonts w:asciiTheme="minorHAnsi" w:hAnsiTheme="minorHAnsi" w:cstheme="minorHAnsi"/>
          <w:szCs w:val="24"/>
        </w:rPr>
        <w:t xml:space="preserve">Implementing measures aimed at significantly improving gender parity at all levels and in each sector, including </w:t>
      </w:r>
      <w:r w:rsidR="006856AD" w:rsidRPr="00085A79">
        <w:rPr>
          <w:rFonts w:asciiTheme="minorHAnsi" w:hAnsiTheme="minorHAnsi" w:cstheme="minorHAnsi"/>
          <w:szCs w:val="24"/>
        </w:rPr>
        <w:t>specific senior level accountability mechanism in place for ensuring the promotion of gender equality and the empowerment of women</w:t>
      </w:r>
      <w:r w:rsidRPr="00085A79">
        <w:rPr>
          <w:rFonts w:asciiTheme="minorHAnsi" w:hAnsiTheme="minorHAnsi" w:cstheme="minorHAnsi"/>
          <w:szCs w:val="24"/>
        </w:rPr>
        <w:t>;</w:t>
      </w:r>
    </w:p>
    <w:p w14:paraId="73519F66" w14:textId="2FE05E4E" w:rsidR="00136ED5" w:rsidRPr="00085A79" w:rsidRDefault="00136ED5" w:rsidP="00303A7B">
      <w:pPr>
        <w:numPr>
          <w:ilvl w:val="0"/>
          <w:numId w:val="10"/>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after="120"/>
        <w:textAlignment w:val="auto"/>
        <w:rPr>
          <w:rFonts w:asciiTheme="minorHAnsi" w:hAnsiTheme="minorHAnsi" w:cstheme="minorHAnsi"/>
          <w:szCs w:val="24"/>
        </w:rPr>
      </w:pPr>
      <w:r w:rsidRPr="00085A79">
        <w:rPr>
          <w:rFonts w:asciiTheme="minorHAnsi" w:hAnsiTheme="minorHAnsi" w:cstheme="minorHAnsi"/>
          <w:szCs w:val="24"/>
        </w:rPr>
        <w:t xml:space="preserve">Enhancing flexible work arrangements and </w:t>
      </w:r>
      <w:r w:rsidR="00376C03" w:rsidRPr="00085A79">
        <w:rPr>
          <w:rFonts w:asciiTheme="minorHAnsi" w:hAnsiTheme="minorHAnsi" w:cstheme="minorHAnsi"/>
          <w:szCs w:val="24"/>
        </w:rPr>
        <w:t>implementing policies on parental leave and entitlements, adoption, family and emergency leave and breastfeeding</w:t>
      </w:r>
      <w:r w:rsidRPr="00085A79">
        <w:rPr>
          <w:rFonts w:asciiTheme="minorHAnsi" w:hAnsiTheme="minorHAnsi" w:cstheme="minorHAnsi"/>
          <w:szCs w:val="24"/>
        </w:rPr>
        <w:t>.</w:t>
      </w:r>
    </w:p>
    <w:p w14:paraId="74003214" w14:textId="0A6E91AA" w:rsidR="00A0797C" w:rsidRPr="00085A79" w:rsidRDefault="00887DBE" w:rsidP="00303A7B">
      <w:pPr>
        <w:numPr>
          <w:ilvl w:val="0"/>
          <w:numId w:val="10"/>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after="120"/>
        <w:textAlignment w:val="auto"/>
        <w:rPr>
          <w:rFonts w:asciiTheme="minorHAnsi" w:hAnsiTheme="minorHAnsi" w:cstheme="minorHAnsi"/>
          <w:szCs w:val="24"/>
        </w:rPr>
      </w:pPr>
      <w:r w:rsidRPr="00085A79" w:rsidDel="004C2889">
        <w:rPr>
          <w:rFonts w:asciiTheme="minorHAnsi" w:hAnsiTheme="minorHAnsi" w:cstheme="minorHAnsi"/>
          <w:szCs w:val="24"/>
        </w:rPr>
        <w:t>Taking appropriate measures to enhance respect for diversity;</w:t>
      </w:r>
    </w:p>
    <w:p w14:paraId="6539D19C" w14:textId="37DB52B1" w:rsidR="0021461C" w:rsidRPr="00085A79" w:rsidRDefault="0021461C" w:rsidP="00303A7B">
      <w:pPr>
        <w:numPr>
          <w:ilvl w:val="0"/>
          <w:numId w:val="10"/>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after="120"/>
        <w:textAlignment w:val="auto"/>
        <w:rPr>
          <w:rFonts w:asciiTheme="minorHAnsi" w:hAnsiTheme="minorHAnsi" w:cstheme="minorHAnsi"/>
          <w:szCs w:val="24"/>
        </w:rPr>
      </w:pPr>
      <w:r w:rsidRPr="00085A79">
        <w:rPr>
          <w:rFonts w:asciiTheme="minorHAnsi" w:hAnsiTheme="minorHAnsi" w:cstheme="minorHAnsi"/>
          <w:szCs w:val="24"/>
        </w:rPr>
        <w:t>Supporting the work of the Senior Gender Affairs Officer and the Gender Task Force, to add efforts towards gender parity in ITU;</w:t>
      </w:r>
      <w:r w:rsidRPr="00085A79" w:rsidDel="00722E3C">
        <w:rPr>
          <w:rFonts w:asciiTheme="minorHAnsi" w:hAnsiTheme="minorHAnsi" w:cstheme="minorHAnsi"/>
          <w:szCs w:val="24"/>
        </w:rPr>
        <w:t xml:space="preserve"> </w:t>
      </w:r>
      <w:r w:rsidRPr="00085A79">
        <w:rPr>
          <w:rFonts w:asciiTheme="minorHAnsi" w:hAnsiTheme="minorHAnsi" w:cstheme="minorHAnsi"/>
          <w:szCs w:val="24"/>
        </w:rPr>
        <w:t>and</w:t>
      </w:r>
    </w:p>
    <w:p w14:paraId="762B47E0" w14:textId="77777777" w:rsidR="0021461C" w:rsidRPr="00085A79" w:rsidRDefault="0021461C" w:rsidP="00303A7B">
      <w:pPr>
        <w:pStyle w:val="ListParagraph"/>
        <w:numPr>
          <w:ilvl w:val="0"/>
          <w:numId w:val="10"/>
        </w:numPr>
        <w:tabs>
          <w:tab w:val="clear" w:pos="567"/>
          <w:tab w:val="clear" w:pos="1134"/>
          <w:tab w:val="clear" w:pos="1701"/>
          <w:tab w:val="clear" w:pos="2268"/>
          <w:tab w:val="clear" w:pos="2835"/>
          <w:tab w:val="left" w:pos="794"/>
          <w:tab w:val="left" w:pos="1191"/>
          <w:tab w:val="left" w:pos="1588"/>
          <w:tab w:val="left" w:pos="1985"/>
        </w:tabs>
        <w:spacing w:after="120"/>
        <w:contextualSpacing w:val="0"/>
        <w:rPr>
          <w:rFonts w:asciiTheme="minorHAnsi" w:hAnsiTheme="minorHAnsi" w:cstheme="minorHAnsi"/>
          <w:szCs w:val="24"/>
        </w:rPr>
      </w:pPr>
      <w:r w:rsidRPr="00085A79">
        <w:rPr>
          <w:rFonts w:asciiTheme="minorHAnsi" w:hAnsiTheme="minorHAnsi" w:cstheme="minorHAnsi"/>
          <w:szCs w:val="24"/>
        </w:rPr>
        <w:t>Ensuring an active involvement in an inter-agency community of practice on gender equality and the empowerment of women, including all levels of entity staff at headquarters, and field offices.</w:t>
      </w:r>
    </w:p>
    <w:p w14:paraId="2CCC27B7" w14:textId="13E550B5" w:rsidR="00887DBE" w:rsidRPr="00085A79" w:rsidRDefault="000C62BA" w:rsidP="0037276C">
      <w:pPr>
        <w:keepNext/>
        <w:keepLines/>
        <w:numPr>
          <w:ilvl w:val="0"/>
          <w:numId w:val="7"/>
        </w:numPr>
        <w:tabs>
          <w:tab w:val="clear" w:pos="567"/>
          <w:tab w:val="clear" w:pos="1134"/>
          <w:tab w:val="clear" w:pos="1701"/>
          <w:tab w:val="clear" w:pos="2268"/>
          <w:tab w:val="clear" w:pos="2835"/>
          <w:tab w:val="left" w:pos="360"/>
          <w:tab w:val="left" w:pos="794"/>
          <w:tab w:val="left" w:pos="1191"/>
          <w:tab w:val="left" w:pos="1588"/>
          <w:tab w:val="left" w:pos="1985"/>
        </w:tabs>
        <w:overflowPunct/>
        <w:autoSpaceDE/>
        <w:autoSpaceDN/>
        <w:adjustRightInd/>
        <w:spacing w:after="120"/>
        <w:ind w:left="714" w:hanging="357"/>
        <w:textAlignment w:val="auto"/>
        <w:rPr>
          <w:rFonts w:asciiTheme="minorHAnsi" w:hAnsiTheme="minorHAnsi" w:cstheme="minorHAnsi"/>
          <w:b/>
          <w:i/>
          <w:iCs/>
          <w:szCs w:val="24"/>
        </w:rPr>
      </w:pPr>
      <w:r w:rsidRPr="00085A79">
        <w:rPr>
          <w:rFonts w:asciiTheme="minorHAnsi" w:hAnsiTheme="minorHAnsi" w:cstheme="minorHAnsi"/>
          <w:b/>
          <w:i/>
          <w:iCs/>
          <w:szCs w:val="24"/>
        </w:rPr>
        <w:lastRenderedPageBreak/>
        <w:t xml:space="preserve">Plans, </w:t>
      </w:r>
      <w:r w:rsidR="00887DBE" w:rsidRPr="00085A79">
        <w:rPr>
          <w:rFonts w:asciiTheme="minorHAnsi" w:hAnsiTheme="minorHAnsi" w:cstheme="minorHAnsi"/>
          <w:b/>
          <w:i/>
          <w:iCs/>
          <w:szCs w:val="24"/>
        </w:rPr>
        <w:t>Programmes</w:t>
      </w:r>
      <w:r w:rsidR="00FE593D" w:rsidRPr="00085A79">
        <w:rPr>
          <w:rFonts w:asciiTheme="minorHAnsi" w:hAnsiTheme="minorHAnsi" w:cstheme="minorHAnsi"/>
          <w:b/>
          <w:i/>
          <w:iCs/>
          <w:szCs w:val="24"/>
        </w:rPr>
        <w:t xml:space="preserve"> and </w:t>
      </w:r>
      <w:r w:rsidR="00887DBE" w:rsidRPr="00085A79">
        <w:rPr>
          <w:rFonts w:asciiTheme="minorHAnsi" w:hAnsiTheme="minorHAnsi" w:cstheme="minorHAnsi"/>
          <w:b/>
          <w:i/>
          <w:iCs/>
          <w:szCs w:val="24"/>
        </w:rPr>
        <w:t>Activities</w:t>
      </w:r>
    </w:p>
    <w:p w14:paraId="2F1C63FC" w14:textId="396770BD" w:rsidR="00887DBE" w:rsidRPr="00085A79" w:rsidRDefault="00887DBE" w:rsidP="0037276C">
      <w:pPr>
        <w:keepNext/>
        <w:keepLines/>
        <w:tabs>
          <w:tab w:val="clear" w:pos="567"/>
          <w:tab w:val="clear" w:pos="1134"/>
          <w:tab w:val="clear" w:pos="1701"/>
          <w:tab w:val="clear" w:pos="2268"/>
          <w:tab w:val="clear" w:pos="2835"/>
        </w:tabs>
        <w:overflowPunct/>
        <w:autoSpaceDE/>
        <w:autoSpaceDN/>
        <w:adjustRightInd/>
        <w:spacing w:after="120"/>
        <w:ind w:left="709"/>
        <w:jc w:val="both"/>
        <w:textAlignment w:val="auto"/>
        <w:rPr>
          <w:rFonts w:asciiTheme="minorHAnsi" w:hAnsiTheme="minorHAnsi" w:cstheme="minorHAnsi"/>
          <w:szCs w:val="24"/>
        </w:rPr>
      </w:pPr>
      <w:r w:rsidRPr="00085A79">
        <w:rPr>
          <w:rFonts w:asciiTheme="minorHAnsi" w:hAnsiTheme="minorHAnsi" w:cstheme="minorHAnsi"/>
          <w:szCs w:val="24"/>
        </w:rPr>
        <w:t xml:space="preserve">ITU will ensure that </w:t>
      </w:r>
      <w:bookmarkStart w:id="17" w:name="_Hlk89016423"/>
      <w:r w:rsidR="00273545" w:rsidRPr="00085A79">
        <w:rPr>
          <w:rStyle w:val="Emphasis"/>
          <w:rFonts w:asciiTheme="minorHAnsi" w:hAnsiTheme="minorHAnsi" w:cstheme="minorHAnsi"/>
          <w:i w:val="0"/>
          <w:iCs w:val="0"/>
          <w:szCs w:val="24"/>
        </w:rPr>
        <w:t xml:space="preserve">gender equality and the </w:t>
      </w:r>
      <w:bookmarkEnd w:id="17"/>
      <w:r w:rsidR="00273545" w:rsidRPr="00085A79">
        <w:rPr>
          <w:rStyle w:val="Emphasis"/>
          <w:rFonts w:asciiTheme="minorHAnsi" w:hAnsiTheme="minorHAnsi" w:cstheme="minorHAnsi"/>
          <w:i w:val="0"/>
          <w:iCs w:val="0"/>
          <w:szCs w:val="24"/>
        </w:rPr>
        <w:t>empowerment of women</w:t>
      </w:r>
      <w:r w:rsidRPr="00085A79">
        <w:rPr>
          <w:rFonts w:asciiTheme="minorHAnsi" w:hAnsiTheme="minorHAnsi" w:cstheme="minorHAnsi"/>
          <w:szCs w:val="24"/>
        </w:rPr>
        <w:t xml:space="preserve"> becomes standard practice in all its </w:t>
      </w:r>
      <w:r w:rsidR="00273545" w:rsidRPr="00085A79">
        <w:rPr>
          <w:rFonts w:asciiTheme="minorHAnsi" w:hAnsiTheme="minorHAnsi" w:cstheme="minorHAnsi"/>
          <w:szCs w:val="24"/>
        </w:rPr>
        <w:t xml:space="preserve">plans, </w:t>
      </w:r>
      <w:r w:rsidRPr="00085A79">
        <w:rPr>
          <w:rFonts w:asciiTheme="minorHAnsi" w:hAnsiTheme="minorHAnsi" w:cstheme="minorHAnsi"/>
          <w:szCs w:val="24"/>
        </w:rPr>
        <w:t xml:space="preserve">programmes, activities, projects and services. </w:t>
      </w:r>
      <w:r w:rsidR="00273409" w:rsidRPr="00085A79">
        <w:rPr>
          <w:rFonts w:asciiTheme="minorHAnsi" w:hAnsiTheme="minorHAnsi" w:cstheme="minorHAnsi"/>
          <w:szCs w:val="24"/>
        </w:rPr>
        <w:t xml:space="preserve">In order </w:t>
      </w:r>
      <w:r w:rsidR="00A629CF" w:rsidRPr="00085A79">
        <w:rPr>
          <w:rFonts w:asciiTheme="minorHAnsi" w:hAnsiTheme="minorHAnsi" w:cstheme="minorHAnsi"/>
          <w:szCs w:val="24"/>
        </w:rPr>
        <w:t>for</w:t>
      </w:r>
      <w:r w:rsidR="00273409" w:rsidRPr="00085A79">
        <w:rPr>
          <w:rFonts w:asciiTheme="minorHAnsi" w:hAnsiTheme="minorHAnsi" w:cstheme="minorHAnsi"/>
          <w:szCs w:val="24"/>
        </w:rPr>
        <w:t xml:space="preserve"> women and men benefit equally from ICTs</w:t>
      </w:r>
      <w:r w:rsidR="00150112" w:rsidRPr="00085A79">
        <w:rPr>
          <w:rFonts w:asciiTheme="minorHAnsi" w:hAnsiTheme="minorHAnsi" w:cstheme="minorHAnsi"/>
          <w:szCs w:val="24"/>
        </w:rPr>
        <w:t>,</w:t>
      </w:r>
      <w:r w:rsidR="00273409" w:rsidRPr="00085A79">
        <w:rPr>
          <w:rFonts w:asciiTheme="minorHAnsi" w:hAnsiTheme="minorHAnsi" w:cstheme="minorHAnsi"/>
          <w:szCs w:val="24"/>
        </w:rPr>
        <w:t xml:space="preserve"> </w:t>
      </w:r>
      <w:r w:rsidRPr="00085A79">
        <w:rPr>
          <w:rFonts w:asciiTheme="minorHAnsi" w:hAnsiTheme="minorHAnsi" w:cstheme="minorHAnsi"/>
          <w:szCs w:val="24"/>
        </w:rPr>
        <w:t xml:space="preserve">ITU’s work will systematically consider and address women’s as well as men’s needs, priorities and experiences as part of the development of policies, programmes, projects and </w:t>
      </w:r>
      <w:r w:rsidR="00FC73E0" w:rsidRPr="00085A79">
        <w:rPr>
          <w:rFonts w:asciiTheme="minorHAnsi" w:hAnsiTheme="minorHAnsi" w:cstheme="minorHAnsi"/>
          <w:szCs w:val="24"/>
        </w:rPr>
        <w:t>capacity development</w:t>
      </w:r>
      <w:r w:rsidRPr="00085A79">
        <w:rPr>
          <w:rFonts w:asciiTheme="minorHAnsi" w:hAnsiTheme="minorHAnsi" w:cstheme="minorHAnsi"/>
          <w:szCs w:val="24"/>
        </w:rPr>
        <w:t xml:space="preserve"> activities so by:</w:t>
      </w:r>
    </w:p>
    <w:p w14:paraId="361AC48F" w14:textId="445ABCA1" w:rsidR="00025225" w:rsidRPr="00085A79" w:rsidRDefault="00025225" w:rsidP="00085A79">
      <w:pPr>
        <w:numPr>
          <w:ilvl w:val="0"/>
          <w:numId w:val="6"/>
        </w:numPr>
        <w:tabs>
          <w:tab w:val="clear" w:pos="567"/>
          <w:tab w:val="clear" w:pos="1134"/>
          <w:tab w:val="clear" w:pos="1701"/>
          <w:tab w:val="clear" w:pos="2268"/>
          <w:tab w:val="clear" w:pos="2835"/>
          <w:tab w:val="left" w:pos="1191"/>
          <w:tab w:val="left" w:pos="1588"/>
          <w:tab w:val="left" w:pos="1985"/>
        </w:tabs>
        <w:overflowPunct/>
        <w:autoSpaceDE/>
        <w:autoSpaceDN/>
        <w:adjustRightInd/>
        <w:spacing w:after="120"/>
        <w:ind w:left="1145" w:hanging="425"/>
        <w:textAlignment w:val="auto"/>
        <w:rPr>
          <w:rFonts w:asciiTheme="minorHAnsi" w:hAnsiTheme="minorHAnsi" w:cstheme="minorHAnsi"/>
          <w:szCs w:val="24"/>
        </w:rPr>
      </w:pPr>
      <w:r w:rsidRPr="00085A79">
        <w:rPr>
          <w:rFonts w:asciiTheme="minorHAnsi" w:hAnsiTheme="minorHAnsi" w:cstheme="minorHAnsi"/>
          <w:szCs w:val="24"/>
        </w:rPr>
        <w:t xml:space="preserve">Integrating a gender perspective in processes and activity planning including strategic and </w:t>
      </w:r>
      <w:r w:rsidR="006C60BF" w:rsidRPr="00085A79">
        <w:rPr>
          <w:rFonts w:asciiTheme="minorHAnsi" w:hAnsiTheme="minorHAnsi" w:cstheme="minorHAnsi"/>
          <w:szCs w:val="24"/>
        </w:rPr>
        <w:t xml:space="preserve">financial </w:t>
      </w:r>
      <w:r w:rsidRPr="00085A79">
        <w:rPr>
          <w:rFonts w:asciiTheme="minorHAnsi" w:hAnsiTheme="minorHAnsi" w:cstheme="minorHAnsi"/>
          <w:szCs w:val="24"/>
        </w:rPr>
        <w:t>planning;</w:t>
      </w:r>
    </w:p>
    <w:p w14:paraId="6F347F7A" w14:textId="3E6C117E" w:rsidR="00887DBE" w:rsidRPr="00085A79" w:rsidRDefault="00887DBE" w:rsidP="00085A79">
      <w:pPr>
        <w:numPr>
          <w:ilvl w:val="0"/>
          <w:numId w:val="6"/>
        </w:numPr>
        <w:tabs>
          <w:tab w:val="clear" w:pos="567"/>
          <w:tab w:val="clear" w:pos="1134"/>
          <w:tab w:val="clear" w:pos="1701"/>
          <w:tab w:val="clear" w:pos="2268"/>
          <w:tab w:val="clear" w:pos="2835"/>
          <w:tab w:val="left" w:pos="1191"/>
          <w:tab w:val="left" w:pos="1588"/>
          <w:tab w:val="left" w:pos="1985"/>
        </w:tabs>
        <w:overflowPunct/>
        <w:autoSpaceDE/>
        <w:autoSpaceDN/>
        <w:adjustRightInd/>
        <w:spacing w:after="120"/>
        <w:ind w:left="1145" w:hanging="425"/>
        <w:textAlignment w:val="auto"/>
        <w:rPr>
          <w:rFonts w:asciiTheme="minorHAnsi" w:hAnsiTheme="minorHAnsi" w:cstheme="minorHAnsi"/>
          <w:szCs w:val="24"/>
        </w:rPr>
      </w:pPr>
      <w:r w:rsidRPr="00085A79">
        <w:rPr>
          <w:rFonts w:asciiTheme="minorHAnsi" w:hAnsiTheme="minorHAnsi" w:cstheme="minorHAnsi"/>
          <w:szCs w:val="24"/>
        </w:rPr>
        <w:t xml:space="preserve">Including gender assessment in </w:t>
      </w:r>
      <w:r w:rsidR="00DB3188" w:rsidRPr="00085A79">
        <w:rPr>
          <w:rFonts w:asciiTheme="minorHAnsi" w:hAnsiTheme="minorHAnsi" w:cstheme="minorHAnsi"/>
          <w:szCs w:val="24"/>
        </w:rPr>
        <w:t xml:space="preserve">plans, </w:t>
      </w:r>
      <w:r w:rsidRPr="00085A79">
        <w:rPr>
          <w:rFonts w:asciiTheme="minorHAnsi" w:hAnsiTheme="minorHAnsi" w:cstheme="minorHAnsi"/>
          <w:szCs w:val="24"/>
        </w:rPr>
        <w:t>programmes, activities</w:t>
      </w:r>
      <w:r w:rsidR="00262B2E" w:rsidRPr="00085A79">
        <w:rPr>
          <w:rFonts w:asciiTheme="minorHAnsi" w:hAnsiTheme="minorHAnsi" w:cstheme="minorHAnsi"/>
          <w:szCs w:val="24"/>
        </w:rPr>
        <w:t xml:space="preserve">, </w:t>
      </w:r>
      <w:r w:rsidRPr="00085A79">
        <w:rPr>
          <w:rFonts w:asciiTheme="minorHAnsi" w:hAnsiTheme="minorHAnsi" w:cstheme="minorHAnsi"/>
          <w:szCs w:val="24"/>
        </w:rPr>
        <w:t>service</w:t>
      </w:r>
      <w:r w:rsidR="00262B2E" w:rsidRPr="00085A79">
        <w:rPr>
          <w:rFonts w:asciiTheme="minorHAnsi" w:hAnsiTheme="minorHAnsi" w:cstheme="minorHAnsi"/>
          <w:szCs w:val="24"/>
        </w:rPr>
        <w:t>s and procedures</w:t>
      </w:r>
      <w:r w:rsidRPr="00085A79">
        <w:rPr>
          <w:rFonts w:asciiTheme="minorHAnsi" w:hAnsiTheme="minorHAnsi" w:cstheme="minorHAnsi"/>
          <w:szCs w:val="24"/>
        </w:rPr>
        <w:t xml:space="preserve">;  </w:t>
      </w:r>
    </w:p>
    <w:p w14:paraId="0AEE07FC" w14:textId="2541074E" w:rsidR="00250835" w:rsidRPr="00085A79" w:rsidRDefault="00887DBE" w:rsidP="00085A79">
      <w:pPr>
        <w:numPr>
          <w:ilvl w:val="0"/>
          <w:numId w:val="6"/>
        </w:numPr>
        <w:tabs>
          <w:tab w:val="clear" w:pos="567"/>
          <w:tab w:val="clear" w:pos="1134"/>
          <w:tab w:val="clear" w:pos="1701"/>
          <w:tab w:val="clear" w:pos="2268"/>
          <w:tab w:val="clear" w:pos="2835"/>
          <w:tab w:val="left" w:pos="1191"/>
          <w:tab w:val="left" w:pos="1588"/>
          <w:tab w:val="left" w:pos="1985"/>
        </w:tabs>
        <w:overflowPunct/>
        <w:autoSpaceDE/>
        <w:autoSpaceDN/>
        <w:adjustRightInd/>
        <w:spacing w:after="120"/>
        <w:ind w:left="1145" w:hanging="425"/>
        <w:textAlignment w:val="auto"/>
        <w:rPr>
          <w:rFonts w:asciiTheme="minorHAnsi" w:hAnsiTheme="minorHAnsi" w:cstheme="minorHAnsi"/>
          <w:szCs w:val="24"/>
        </w:rPr>
      </w:pPr>
      <w:r w:rsidRPr="00085A79">
        <w:rPr>
          <w:rFonts w:asciiTheme="minorHAnsi" w:hAnsiTheme="minorHAnsi" w:cstheme="minorHAnsi"/>
          <w:szCs w:val="24"/>
        </w:rPr>
        <w:t>Promoting and showcasing good practices in the use</w:t>
      </w:r>
      <w:r w:rsidR="000E6296" w:rsidRPr="00085A79">
        <w:rPr>
          <w:rFonts w:asciiTheme="minorHAnsi" w:hAnsiTheme="minorHAnsi" w:cstheme="minorHAnsi"/>
          <w:szCs w:val="24"/>
        </w:rPr>
        <w:t xml:space="preserve"> and adoption</w:t>
      </w:r>
      <w:r w:rsidRPr="00085A79">
        <w:rPr>
          <w:rFonts w:asciiTheme="minorHAnsi" w:hAnsiTheme="minorHAnsi" w:cstheme="minorHAnsi"/>
          <w:szCs w:val="24"/>
        </w:rPr>
        <w:t xml:space="preserve"> of ICTs for </w:t>
      </w:r>
      <w:r w:rsidR="009D6220" w:rsidRPr="00085A79">
        <w:rPr>
          <w:rFonts w:asciiTheme="minorHAnsi" w:hAnsiTheme="minorHAnsi" w:cstheme="minorHAnsi"/>
          <w:szCs w:val="24"/>
        </w:rPr>
        <w:t xml:space="preserve">gender equality and </w:t>
      </w:r>
      <w:r w:rsidRPr="00085A79">
        <w:rPr>
          <w:rFonts w:asciiTheme="minorHAnsi" w:hAnsiTheme="minorHAnsi" w:cstheme="minorHAnsi"/>
          <w:szCs w:val="24"/>
        </w:rPr>
        <w:t>the empowerment of women</w:t>
      </w:r>
      <w:r w:rsidR="00250835" w:rsidRPr="00085A79">
        <w:rPr>
          <w:rFonts w:asciiTheme="minorHAnsi" w:hAnsiTheme="minorHAnsi" w:cstheme="minorHAnsi"/>
          <w:szCs w:val="24"/>
        </w:rPr>
        <w:t>;</w:t>
      </w:r>
    </w:p>
    <w:p w14:paraId="4931A4E1" w14:textId="77777777" w:rsidR="00FC4124" w:rsidRPr="00085A79" w:rsidRDefault="00FC4124" w:rsidP="00085A79">
      <w:pPr>
        <w:numPr>
          <w:ilvl w:val="0"/>
          <w:numId w:val="6"/>
        </w:numPr>
        <w:tabs>
          <w:tab w:val="clear" w:pos="567"/>
          <w:tab w:val="clear" w:pos="1134"/>
          <w:tab w:val="clear" w:pos="1701"/>
          <w:tab w:val="clear" w:pos="2268"/>
          <w:tab w:val="clear" w:pos="2835"/>
          <w:tab w:val="left" w:pos="1191"/>
          <w:tab w:val="left" w:pos="1588"/>
          <w:tab w:val="left" w:pos="1985"/>
        </w:tabs>
        <w:overflowPunct/>
        <w:autoSpaceDE/>
        <w:autoSpaceDN/>
        <w:adjustRightInd/>
        <w:spacing w:after="120"/>
        <w:ind w:left="1145" w:hanging="425"/>
        <w:textAlignment w:val="auto"/>
        <w:rPr>
          <w:rFonts w:asciiTheme="minorHAnsi" w:hAnsiTheme="minorHAnsi" w:cstheme="minorHAnsi"/>
          <w:szCs w:val="24"/>
        </w:rPr>
      </w:pPr>
      <w:r w:rsidRPr="00085A79">
        <w:rPr>
          <w:rFonts w:asciiTheme="minorHAnsi" w:hAnsiTheme="minorHAnsi" w:cstheme="minorHAnsi"/>
          <w:szCs w:val="24"/>
        </w:rPr>
        <w:t>Conducting evaluations to assess corporate performance on gender mainstreaming or evaluation of the GEM policy;</w:t>
      </w:r>
    </w:p>
    <w:p w14:paraId="108F2522" w14:textId="4ED6CBD9" w:rsidR="00FC4124" w:rsidRPr="00085A79" w:rsidRDefault="00FC4124" w:rsidP="00085A79">
      <w:pPr>
        <w:numPr>
          <w:ilvl w:val="0"/>
          <w:numId w:val="13"/>
        </w:numPr>
        <w:tabs>
          <w:tab w:val="clear" w:pos="567"/>
          <w:tab w:val="clear" w:pos="1134"/>
          <w:tab w:val="clear" w:pos="1701"/>
          <w:tab w:val="clear" w:pos="2268"/>
          <w:tab w:val="clear" w:pos="2835"/>
          <w:tab w:val="left" w:pos="1191"/>
          <w:tab w:val="left" w:pos="1588"/>
          <w:tab w:val="left" w:pos="1985"/>
        </w:tabs>
        <w:spacing w:after="120"/>
        <w:ind w:hanging="425"/>
        <w:rPr>
          <w:rFonts w:asciiTheme="minorHAnsi" w:hAnsiTheme="minorHAnsi" w:cstheme="minorHAnsi"/>
          <w:szCs w:val="24"/>
        </w:rPr>
      </w:pPr>
      <w:r w:rsidRPr="00085A79">
        <w:rPr>
          <w:rFonts w:asciiTheme="minorHAnsi" w:hAnsiTheme="minorHAnsi" w:cstheme="minorHAnsi"/>
          <w:szCs w:val="24"/>
        </w:rPr>
        <w:t>Implementing resolutions aimed at increasing the participation of women in ICTs;</w:t>
      </w:r>
    </w:p>
    <w:p w14:paraId="5E903136" w14:textId="21571A4D" w:rsidR="00FC4124" w:rsidRPr="00085A79" w:rsidRDefault="00FC4124" w:rsidP="00085A79">
      <w:pPr>
        <w:numPr>
          <w:ilvl w:val="0"/>
          <w:numId w:val="6"/>
        </w:numPr>
        <w:tabs>
          <w:tab w:val="clear" w:pos="567"/>
          <w:tab w:val="clear" w:pos="1134"/>
          <w:tab w:val="clear" w:pos="1701"/>
          <w:tab w:val="clear" w:pos="2268"/>
          <w:tab w:val="clear" w:pos="2835"/>
          <w:tab w:val="left" w:pos="1191"/>
          <w:tab w:val="left" w:pos="1588"/>
          <w:tab w:val="left" w:pos="1985"/>
        </w:tabs>
        <w:overflowPunct/>
        <w:autoSpaceDE/>
        <w:autoSpaceDN/>
        <w:adjustRightInd/>
        <w:spacing w:after="120"/>
        <w:ind w:left="1145" w:hanging="425"/>
        <w:textAlignment w:val="auto"/>
        <w:rPr>
          <w:rFonts w:asciiTheme="minorHAnsi" w:hAnsiTheme="minorHAnsi" w:cstheme="minorHAnsi"/>
          <w:szCs w:val="24"/>
        </w:rPr>
      </w:pPr>
      <w:r w:rsidRPr="00085A79">
        <w:rPr>
          <w:rFonts w:asciiTheme="minorHAnsi" w:hAnsiTheme="minorHAnsi" w:cstheme="minorHAnsi"/>
          <w:szCs w:val="24"/>
        </w:rPr>
        <w:t xml:space="preserve">Providing sex-disaggregated data on the participation of the membership in the work of the Union, and </w:t>
      </w:r>
      <w:r w:rsidR="00C934C4" w:rsidRPr="00085A79">
        <w:rPr>
          <w:rFonts w:asciiTheme="minorHAnsi" w:hAnsiTheme="minorHAnsi" w:cstheme="minorHAnsi"/>
          <w:szCs w:val="24"/>
        </w:rPr>
        <w:t>advocating for gender balance in decision-making bodies, statutory committees and study groups;</w:t>
      </w:r>
    </w:p>
    <w:p w14:paraId="5CBCD6BB" w14:textId="4B86494C" w:rsidR="00FC4124" w:rsidRPr="00085A79" w:rsidRDefault="00FC4124" w:rsidP="00085A79">
      <w:pPr>
        <w:numPr>
          <w:ilvl w:val="0"/>
          <w:numId w:val="11"/>
        </w:numPr>
        <w:tabs>
          <w:tab w:val="clear" w:pos="567"/>
          <w:tab w:val="clear" w:pos="1134"/>
          <w:tab w:val="clear" w:pos="1701"/>
          <w:tab w:val="clear" w:pos="2268"/>
          <w:tab w:val="clear" w:pos="2835"/>
          <w:tab w:val="left" w:pos="1191"/>
          <w:tab w:val="left" w:pos="1588"/>
          <w:tab w:val="left" w:pos="1985"/>
        </w:tabs>
        <w:overflowPunct/>
        <w:autoSpaceDE/>
        <w:autoSpaceDN/>
        <w:adjustRightInd/>
        <w:spacing w:after="120"/>
        <w:ind w:hanging="425"/>
        <w:textAlignment w:val="auto"/>
        <w:rPr>
          <w:rFonts w:asciiTheme="minorHAnsi" w:hAnsiTheme="minorHAnsi" w:cstheme="minorHAnsi"/>
          <w:szCs w:val="24"/>
        </w:rPr>
      </w:pPr>
      <w:r w:rsidRPr="00085A79">
        <w:rPr>
          <w:rFonts w:asciiTheme="minorHAnsi" w:hAnsiTheme="minorHAnsi" w:cstheme="minorHAnsi"/>
          <w:szCs w:val="24"/>
        </w:rPr>
        <w:t>Developing a financial resource tracking mechanism to quantify disbursement of funds;</w:t>
      </w:r>
    </w:p>
    <w:p w14:paraId="1DF717E4" w14:textId="77777777" w:rsidR="00085A79" w:rsidRPr="00085A79" w:rsidRDefault="00FC4124" w:rsidP="00085A79">
      <w:pPr>
        <w:numPr>
          <w:ilvl w:val="0"/>
          <w:numId w:val="12"/>
        </w:numPr>
        <w:tabs>
          <w:tab w:val="clear" w:pos="567"/>
          <w:tab w:val="clear" w:pos="1134"/>
          <w:tab w:val="clear" w:pos="1701"/>
          <w:tab w:val="clear" w:pos="2268"/>
          <w:tab w:val="clear" w:pos="2835"/>
          <w:tab w:val="left" w:pos="1191"/>
          <w:tab w:val="left" w:pos="1588"/>
          <w:tab w:val="left" w:pos="1985"/>
        </w:tabs>
        <w:spacing w:after="120"/>
        <w:ind w:hanging="425"/>
        <w:rPr>
          <w:rFonts w:asciiTheme="minorHAnsi" w:hAnsiTheme="minorHAnsi" w:cstheme="minorHAnsi"/>
          <w:szCs w:val="24"/>
        </w:rPr>
      </w:pPr>
      <w:r w:rsidRPr="00085A79">
        <w:rPr>
          <w:rFonts w:asciiTheme="minorHAnsi" w:hAnsiTheme="minorHAnsi" w:cstheme="minorHAnsi"/>
          <w:szCs w:val="24"/>
        </w:rPr>
        <w:t xml:space="preserve">Enhancing gender equality and the empowerment of women in ITU’s communication plan; and </w:t>
      </w:r>
    </w:p>
    <w:p w14:paraId="4C0B6FB8" w14:textId="46B16185" w:rsidR="00887DBE" w:rsidRPr="00085A79" w:rsidRDefault="00FB41C4" w:rsidP="00085A79">
      <w:pPr>
        <w:numPr>
          <w:ilvl w:val="0"/>
          <w:numId w:val="12"/>
        </w:numPr>
        <w:tabs>
          <w:tab w:val="clear" w:pos="567"/>
          <w:tab w:val="clear" w:pos="1134"/>
          <w:tab w:val="clear" w:pos="1701"/>
          <w:tab w:val="clear" w:pos="2268"/>
          <w:tab w:val="clear" w:pos="2835"/>
          <w:tab w:val="left" w:pos="1191"/>
          <w:tab w:val="left" w:pos="1588"/>
          <w:tab w:val="left" w:pos="1985"/>
        </w:tabs>
        <w:spacing w:after="120"/>
        <w:ind w:hanging="425"/>
        <w:rPr>
          <w:rFonts w:asciiTheme="minorHAnsi" w:hAnsiTheme="minorHAnsi" w:cstheme="minorHAnsi"/>
          <w:szCs w:val="24"/>
        </w:rPr>
      </w:pPr>
      <w:r w:rsidRPr="00085A79">
        <w:rPr>
          <w:rFonts w:asciiTheme="minorHAnsi" w:hAnsiTheme="minorHAnsi" w:cstheme="minorHAnsi"/>
          <w:szCs w:val="24"/>
        </w:rPr>
        <w:t>Using gender-sensitive language in all ITU documents including pictograms and non-text representation.</w:t>
      </w:r>
    </w:p>
    <w:p w14:paraId="69333201" w14:textId="77777777" w:rsidR="00D065D3" w:rsidRPr="00085A79" w:rsidRDefault="00887DBE" w:rsidP="00116602">
      <w:pPr>
        <w:tabs>
          <w:tab w:val="clear" w:pos="567"/>
          <w:tab w:val="clear" w:pos="1134"/>
          <w:tab w:val="clear" w:pos="1701"/>
          <w:tab w:val="clear" w:pos="2268"/>
          <w:tab w:val="clear" w:pos="2835"/>
        </w:tabs>
        <w:overflowPunct/>
        <w:autoSpaceDE/>
        <w:autoSpaceDN/>
        <w:adjustRightInd/>
        <w:spacing w:before="360" w:after="120"/>
        <w:textAlignment w:val="auto"/>
        <w:rPr>
          <w:rFonts w:asciiTheme="minorHAnsi" w:hAnsiTheme="minorHAnsi" w:cstheme="minorHAnsi"/>
          <w:b/>
          <w:bCs/>
          <w:i/>
          <w:iCs/>
          <w:szCs w:val="24"/>
        </w:rPr>
      </w:pPr>
      <w:r w:rsidRPr="00085A79">
        <w:rPr>
          <w:rFonts w:asciiTheme="minorHAnsi" w:hAnsiTheme="minorHAnsi" w:cstheme="minorHAnsi"/>
          <w:b/>
          <w:bCs/>
          <w:szCs w:val="24"/>
        </w:rPr>
        <w:t>6</w:t>
      </w:r>
      <w:r w:rsidRPr="00085A79">
        <w:rPr>
          <w:rFonts w:asciiTheme="minorHAnsi" w:hAnsiTheme="minorHAnsi" w:cstheme="minorHAnsi"/>
          <w:b/>
          <w:bCs/>
          <w:szCs w:val="24"/>
        </w:rPr>
        <w:tab/>
      </w:r>
      <w:r w:rsidR="00D065D3" w:rsidRPr="00085A79">
        <w:rPr>
          <w:rFonts w:asciiTheme="minorHAnsi" w:hAnsiTheme="minorHAnsi" w:cstheme="minorHAnsi"/>
          <w:b/>
          <w:bCs/>
          <w:i/>
          <w:iCs/>
          <w:szCs w:val="24"/>
        </w:rPr>
        <w:t>Operationalization</w:t>
      </w:r>
    </w:p>
    <w:p w14:paraId="2EBABE2F" w14:textId="516BB730" w:rsidR="00887DBE" w:rsidRPr="00085A79" w:rsidRDefault="00887DBE" w:rsidP="00303A7B">
      <w:pPr>
        <w:pStyle w:val="ListParagraph"/>
        <w:keepNext/>
        <w:keepLines/>
        <w:numPr>
          <w:ilvl w:val="0"/>
          <w:numId w:val="15"/>
        </w:numPr>
        <w:tabs>
          <w:tab w:val="clear" w:pos="567"/>
          <w:tab w:val="clear" w:pos="1134"/>
          <w:tab w:val="clear" w:pos="1701"/>
          <w:tab w:val="clear" w:pos="2268"/>
          <w:tab w:val="clear" w:pos="2835"/>
          <w:tab w:val="left" w:pos="794"/>
          <w:tab w:val="left" w:pos="1191"/>
          <w:tab w:val="left" w:pos="1588"/>
          <w:tab w:val="left" w:pos="1985"/>
        </w:tabs>
        <w:spacing w:after="120"/>
        <w:contextualSpacing w:val="0"/>
        <w:rPr>
          <w:rFonts w:asciiTheme="minorHAnsi" w:hAnsiTheme="minorHAnsi" w:cstheme="minorHAnsi"/>
          <w:b/>
          <w:bCs/>
          <w:szCs w:val="24"/>
        </w:rPr>
      </w:pPr>
      <w:r w:rsidRPr="00085A79">
        <w:rPr>
          <w:rFonts w:asciiTheme="minorHAnsi" w:hAnsiTheme="minorHAnsi" w:cstheme="minorHAnsi"/>
          <w:b/>
          <w:bCs/>
          <w:szCs w:val="24"/>
        </w:rPr>
        <w:t>Responsibility for Implementation</w:t>
      </w:r>
    </w:p>
    <w:p w14:paraId="5F272CFF" w14:textId="77777777" w:rsidR="00155183" w:rsidRPr="00085A79" w:rsidRDefault="00887DBE" w:rsidP="00303A7B">
      <w:pPr>
        <w:tabs>
          <w:tab w:val="clear" w:pos="567"/>
          <w:tab w:val="clear" w:pos="1134"/>
          <w:tab w:val="clear" w:pos="1701"/>
          <w:tab w:val="clear" w:pos="2268"/>
          <w:tab w:val="clear" w:pos="2835"/>
          <w:tab w:val="left" w:pos="360"/>
        </w:tabs>
        <w:overflowPunct/>
        <w:autoSpaceDE/>
        <w:autoSpaceDN/>
        <w:adjustRightInd/>
        <w:spacing w:after="120"/>
        <w:jc w:val="both"/>
        <w:textAlignment w:val="auto"/>
        <w:rPr>
          <w:rFonts w:asciiTheme="minorHAnsi" w:hAnsiTheme="minorHAnsi" w:cstheme="minorHAnsi"/>
          <w:szCs w:val="24"/>
          <w:lang w:val="en-US" w:bidi="ar-KW"/>
        </w:rPr>
      </w:pPr>
      <w:r w:rsidRPr="00085A79">
        <w:rPr>
          <w:rFonts w:asciiTheme="minorHAnsi" w:hAnsiTheme="minorHAnsi" w:cstheme="minorHAnsi"/>
          <w:szCs w:val="24"/>
        </w:rPr>
        <w:t xml:space="preserve">The implementation of this policy requires the commitment, participation and contribution of each staff member. </w:t>
      </w:r>
      <w:r w:rsidR="00155183" w:rsidRPr="00085A79">
        <w:rPr>
          <w:rFonts w:asciiTheme="minorHAnsi" w:hAnsiTheme="minorHAnsi" w:cstheme="minorHAnsi"/>
          <w:szCs w:val="24"/>
          <w:lang w:val="en-US"/>
        </w:rPr>
        <w:t>All staff members are required to give their full support and sustained efforts in carrying it out</w:t>
      </w:r>
      <w:r w:rsidR="00155183" w:rsidRPr="00085A79">
        <w:rPr>
          <w:rFonts w:asciiTheme="minorHAnsi" w:hAnsiTheme="minorHAnsi" w:cstheme="minorHAnsi"/>
          <w:szCs w:val="24"/>
          <w:lang w:val="en-US" w:bidi="ar-KW"/>
        </w:rPr>
        <w:t>.</w:t>
      </w:r>
    </w:p>
    <w:p w14:paraId="4D1EEC43" w14:textId="7CF62653" w:rsidR="00887DBE" w:rsidRPr="00085A79" w:rsidRDefault="00887DBE" w:rsidP="00303A7B">
      <w:pPr>
        <w:keepNext/>
        <w:keepLines/>
        <w:tabs>
          <w:tab w:val="clear" w:pos="567"/>
          <w:tab w:val="clear" w:pos="1134"/>
          <w:tab w:val="clear" w:pos="1701"/>
          <w:tab w:val="clear" w:pos="2268"/>
          <w:tab w:val="clear" w:pos="2835"/>
          <w:tab w:val="left" w:pos="360"/>
        </w:tabs>
        <w:overflowPunct/>
        <w:autoSpaceDE/>
        <w:autoSpaceDN/>
        <w:adjustRightInd/>
        <w:spacing w:after="120"/>
        <w:jc w:val="both"/>
        <w:textAlignment w:val="auto"/>
        <w:rPr>
          <w:rFonts w:asciiTheme="minorHAnsi" w:hAnsiTheme="minorHAnsi" w:cstheme="minorHAnsi"/>
          <w:szCs w:val="24"/>
        </w:rPr>
      </w:pPr>
      <w:r w:rsidRPr="00085A79">
        <w:rPr>
          <w:rFonts w:asciiTheme="minorHAnsi" w:hAnsiTheme="minorHAnsi" w:cstheme="minorHAnsi"/>
          <w:szCs w:val="24"/>
        </w:rPr>
        <w:t>The responsibility and the accountability for its successful implementation rest with senior management and elected officials. ITU’s governing bodies are responsible for ensuring that adequate resources are allocated for the implementation of this policy.</w:t>
      </w:r>
    </w:p>
    <w:p w14:paraId="6B00118A" w14:textId="6357CEA7" w:rsidR="009E7792" w:rsidRPr="00085A79" w:rsidRDefault="00190664" w:rsidP="00303A7B">
      <w:pPr>
        <w:keepNext/>
        <w:keepLines/>
        <w:tabs>
          <w:tab w:val="clear" w:pos="567"/>
          <w:tab w:val="clear" w:pos="1134"/>
          <w:tab w:val="clear" w:pos="1701"/>
          <w:tab w:val="clear" w:pos="2268"/>
          <w:tab w:val="clear" w:pos="2835"/>
          <w:tab w:val="left" w:pos="360"/>
        </w:tabs>
        <w:overflowPunct/>
        <w:autoSpaceDE/>
        <w:autoSpaceDN/>
        <w:adjustRightInd/>
        <w:spacing w:after="120"/>
        <w:jc w:val="both"/>
        <w:textAlignment w:val="auto"/>
        <w:rPr>
          <w:rFonts w:asciiTheme="minorHAnsi" w:hAnsiTheme="minorHAnsi" w:cstheme="minorHAnsi"/>
          <w:szCs w:val="24"/>
        </w:rPr>
      </w:pPr>
      <w:r w:rsidRPr="00085A79">
        <w:rPr>
          <w:rFonts w:asciiTheme="minorHAnsi" w:hAnsiTheme="minorHAnsi" w:cstheme="minorHAnsi"/>
          <w:szCs w:val="24"/>
        </w:rPr>
        <w:t>The Secretary-General of ITU will continue to implement his commitments as an International Gender Champion and will continue to encourage Member States and other stakeholders to increase the participation of women in ITU’s activities. The Elected Official will continue to publicly advocate gender equality.</w:t>
      </w:r>
    </w:p>
    <w:p w14:paraId="365AA25A" w14:textId="0199D056" w:rsidR="00887DBE" w:rsidRPr="00085A79" w:rsidRDefault="00C367B5" w:rsidP="00303A7B">
      <w:pPr>
        <w:tabs>
          <w:tab w:val="clear" w:pos="567"/>
          <w:tab w:val="clear" w:pos="1134"/>
          <w:tab w:val="clear" w:pos="1701"/>
          <w:tab w:val="clear" w:pos="2268"/>
          <w:tab w:val="clear" w:pos="2835"/>
          <w:tab w:val="left" w:pos="360"/>
        </w:tabs>
        <w:overflowPunct/>
        <w:autoSpaceDE/>
        <w:autoSpaceDN/>
        <w:adjustRightInd/>
        <w:spacing w:after="120"/>
        <w:jc w:val="both"/>
        <w:textAlignment w:val="auto"/>
        <w:rPr>
          <w:rFonts w:asciiTheme="minorHAnsi" w:hAnsiTheme="minorHAnsi" w:cstheme="minorHAnsi"/>
          <w:szCs w:val="24"/>
        </w:rPr>
      </w:pPr>
      <w:r w:rsidRPr="00085A79">
        <w:rPr>
          <w:rFonts w:asciiTheme="minorHAnsi" w:hAnsiTheme="minorHAnsi" w:cstheme="minorHAnsi"/>
          <w:szCs w:val="24"/>
        </w:rPr>
        <w:t xml:space="preserve">The Gender Task Force, </w:t>
      </w:r>
      <w:r w:rsidR="00AE22ED" w:rsidRPr="00085A79">
        <w:rPr>
          <w:rFonts w:asciiTheme="minorHAnsi" w:hAnsiTheme="minorHAnsi" w:cstheme="minorHAnsi"/>
          <w:szCs w:val="24"/>
        </w:rPr>
        <w:t xml:space="preserve">composed of </w:t>
      </w:r>
      <w:r w:rsidR="00887DBE" w:rsidRPr="00085A79">
        <w:rPr>
          <w:rFonts w:asciiTheme="minorHAnsi" w:hAnsiTheme="minorHAnsi" w:cstheme="minorHAnsi"/>
          <w:szCs w:val="24"/>
        </w:rPr>
        <w:t xml:space="preserve">Gender Focal Points representing the General Secretariat </w:t>
      </w:r>
      <w:r w:rsidR="008F0C7A" w:rsidRPr="00085A79">
        <w:rPr>
          <w:rFonts w:asciiTheme="minorHAnsi" w:hAnsiTheme="minorHAnsi" w:cstheme="minorHAnsi"/>
          <w:szCs w:val="24"/>
        </w:rPr>
        <w:t xml:space="preserve">units, </w:t>
      </w:r>
      <w:r w:rsidR="00887DBE" w:rsidRPr="00085A79">
        <w:rPr>
          <w:rFonts w:asciiTheme="minorHAnsi" w:hAnsiTheme="minorHAnsi" w:cstheme="minorHAnsi"/>
          <w:szCs w:val="24"/>
        </w:rPr>
        <w:t>Bureaux, including field offices</w:t>
      </w:r>
      <w:r w:rsidR="007A0D20" w:rsidRPr="00085A79">
        <w:rPr>
          <w:rFonts w:asciiTheme="minorHAnsi" w:hAnsiTheme="minorHAnsi" w:cstheme="minorHAnsi"/>
          <w:szCs w:val="24"/>
        </w:rPr>
        <w:t>, and Staff Council,</w:t>
      </w:r>
      <w:r w:rsidR="00865C34" w:rsidRPr="00085A79">
        <w:rPr>
          <w:rFonts w:asciiTheme="minorHAnsi" w:hAnsiTheme="minorHAnsi" w:cstheme="minorHAnsi"/>
          <w:szCs w:val="24"/>
        </w:rPr>
        <w:t xml:space="preserve"> will continue</w:t>
      </w:r>
      <w:r w:rsidR="00887DBE" w:rsidRPr="00085A79">
        <w:rPr>
          <w:rFonts w:asciiTheme="minorHAnsi" w:hAnsiTheme="minorHAnsi" w:cstheme="minorHAnsi"/>
          <w:szCs w:val="24"/>
        </w:rPr>
        <w:t xml:space="preserve"> to support the implementation of the policy.</w:t>
      </w:r>
      <w:r w:rsidR="0049235D" w:rsidRPr="00085A79">
        <w:rPr>
          <w:rFonts w:asciiTheme="minorHAnsi" w:hAnsiTheme="minorHAnsi" w:cstheme="minorHAnsi"/>
          <w:szCs w:val="24"/>
        </w:rPr>
        <w:t xml:space="preserve"> Each Gender Focal Point will be appointed by a formal delegation and authorization from the respective hierarchy.</w:t>
      </w:r>
      <w:r w:rsidR="00887DBE" w:rsidRPr="00085A79">
        <w:rPr>
          <w:rFonts w:asciiTheme="minorHAnsi" w:hAnsiTheme="minorHAnsi" w:cstheme="minorHAnsi"/>
          <w:szCs w:val="24"/>
        </w:rPr>
        <w:t xml:space="preserve"> </w:t>
      </w:r>
      <w:r w:rsidR="00387E59" w:rsidRPr="00085A79">
        <w:rPr>
          <w:rFonts w:asciiTheme="minorHAnsi" w:hAnsiTheme="minorHAnsi" w:cstheme="minorHAnsi"/>
          <w:szCs w:val="24"/>
        </w:rPr>
        <w:t>W</w:t>
      </w:r>
      <w:r w:rsidR="00887DBE" w:rsidRPr="00085A79">
        <w:rPr>
          <w:rFonts w:asciiTheme="minorHAnsi" w:hAnsiTheme="minorHAnsi" w:cstheme="minorHAnsi"/>
          <w:szCs w:val="24"/>
        </w:rPr>
        <w:t xml:space="preserve">ritten terms of reference </w:t>
      </w:r>
      <w:r w:rsidR="00C36D41" w:rsidRPr="00085A79">
        <w:rPr>
          <w:rFonts w:asciiTheme="minorHAnsi" w:hAnsiTheme="minorHAnsi" w:cstheme="minorHAnsi"/>
          <w:szCs w:val="24"/>
        </w:rPr>
        <w:t xml:space="preserve">will be established detailing the </w:t>
      </w:r>
      <w:r w:rsidR="00887DBE" w:rsidRPr="00085A79">
        <w:rPr>
          <w:rFonts w:asciiTheme="minorHAnsi" w:hAnsiTheme="minorHAnsi" w:cstheme="minorHAnsi"/>
          <w:szCs w:val="24"/>
        </w:rPr>
        <w:t>roles and responsibilities</w:t>
      </w:r>
      <w:r w:rsidR="007526AA" w:rsidRPr="00085A79">
        <w:rPr>
          <w:rFonts w:asciiTheme="minorHAnsi" w:hAnsiTheme="minorHAnsi" w:cstheme="minorHAnsi"/>
          <w:szCs w:val="24"/>
        </w:rPr>
        <w:t xml:space="preserve"> of the Task Force and Gender Focal Points</w:t>
      </w:r>
      <w:r w:rsidR="00887DBE" w:rsidRPr="00085A79">
        <w:rPr>
          <w:rFonts w:asciiTheme="minorHAnsi" w:hAnsiTheme="minorHAnsi" w:cstheme="minorHAnsi"/>
          <w:szCs w:val="24"/>
        </w:rPr>
        <w:t>.</w:t>
      </w:r>
    </w:p>
    <w:p w14:paraId="4E1332A2" w14:textId="04DA1EDB" w:rsidR="00887DBE" w:rsidRPr="00085A79" w:rsidRDefault="00887DBE" w:rsidP="00303A7B">
      <w:pPr>
        <w:tabs>
          <w:tab w:val="clear" w:pos="567"/>
          <w:tab w:val="clear" w:pos="1134"/>
          <w:tab w:val="clear" w:pos="1701"/>
          <w:tab w:val="clear" w:pos="2268"/>
          <w:tab w:val="clear" w:pos="2835"/>
          <w:tab w:val="left" w:pos="360"/>
        </w:tabs>
        <w:overflowPunct/>
        <w:autoSpaceDE/>
        <w:autoSpaceDN/>
        <w:adjustRightInd/>
        <w:spacing w:after="120"/>
        <w:jc w:val="both"/>
        <w:textAlignment w:val="auto"/>
        <w:rPr>
          <w:rFonts w:asciiTheme="minorHAnsi" w:hAnsiTheme="minorHAnsi" w:cstheme="minorHAnsi"/>
          <w:szCs w:val="24"/>
        </w:rPr>
      </w:pPr>
      <w:r w:rsidRPr="00085A79">
        <w:rPr>
          <w:rFonts w:asciiTheme="minorHAnsi" w:hAnsiTheme="minorHAnsi" w:cstheme="minorHAnsi"/>
          <w:szCs w:val="24"/>
        </w:rPr>
        <w:lastRenderedPageBreak/>
        <w:t xml:space="preserve">The </w:t>
      </w:r>
      <w:r w:rsidR="00D96300" w:rsidRPr="00085A79">
        <w:rPr>
          <w:rFonts w:asciiTheme="minorHAnsi" w:hAnsiTheme="minorHAnsi" w:cstheme="minorHAnsi"/>
          <w:szCs w:val="24"/>
        </w:rPr>
        <w:t xml:space="preserve">Task Force </w:t>
      </w:r>
      <w:r w:rsidRPr="00085A79">
        <w:rPr>
          <w:rFonts w:asciiTheme="minorHAnsi" w:hAnsiTheme="minorHAnsi" w:cstheme="minorHAnsi"/>
          <w:szCs w:val="24"/>
        </w:rPr>
        <w:t xml:space="preserve">will prepare a Union-wide action plan </w:t>
      </w:r>
      <w:r w:rsidRPr="00085A79">
        <w:rPr>
          <w:rFonts w:asciiTheme="minorHAnsi" w:hAnsiTheme="minorHAnsi" w:cstheme="minorHAnsi"/>
          <w:szCs w:val="24"/>
          <w:lang w:val="en-US"/>
        </w:rPr>
        <w:t>with</w:t>
      </w:r>
      <w:r w:rsidRPr="00085A79">
        <w:rPr>
          <w:rFonts w:asciiTheme="minorHAnsi" w:hAnsiTheme="minorHAnsi" w:cstheme="minorHAnsi"/>
          <w:szCs w:val="24"/>
        </w:rPr>
        <w:t xml:space="preserve"> delivery dates, roles and responsibilities.</w:t>
      </w:r>
    </w:p>
    <w:p w14:paraId="40A56261" w14:textId="253641CA" w:rsidR="00887DBE" w:rsidRPr="00085A79" w:rsidRDefault="00887DBE" w:rsidP="00303A7B">
      <w:pPr>
        <w:tabs>
          <w:tab w:val="clear" w:pos="567"/>
          <w:tab w:val="clear" w:pos="1134"/>
          <w:tab w:val="clear" w:pos="1701"/>
          <w:tab w:val="clear" w:pos="2268"/>
          <w:tab w:val="clear" w:pos="2835"/>
          <w:tab w:val="left" w:pos="794"/>
          <w:tab w:val="left" w:pos="1191"/>
          <w:tab w:val="left" w:pos="1588"/>
          <w:tab w:val="left" w:pos="1985"/>
        </w:tabs>
        <w:spacing w:after="120"/>
        <w:jc w:val="both"/>
        <w:rPr>
          <w:rFonts w:asciiTheme="minorHAnsi" w:hAnsiTheme="minorHAnsi" w:cstheme="minorHAnsi"/>
          <w:szCs w:val="24"/>
        </w:rPr>
      </w:pPr>
      <w:r w:rsidRPr="00085A79">
        <w:rPr>
          <w:rFonts w:asciiTheme="minorHAnsi" w:hAnsiTheme="minorHAnsi" w:cstheme="minorHAnsi"/>
          <w:szCs w:val="24"/>
        </w:rPr>
        <w:t xml:space="preserve">The </w:t>
      </w:r>
      <w:r w:rsidR="00117B99" w:rsidRPr="00085A79">
        <w:rPr>
          <w:rFonts w:asciiTheme="minorHAnsi" w:hAnsiTheme="minorHAnsi" w:cstheme="minorHAnsi"/>
          <w:szCs w:val="24"/>
        </w:rPr>
        <w:t xml:space="preserve">Task Force </w:t>
      </w:r>
      <w:r w:rsidRPr="00085A79">
        <w:rPr>
          <w:rFonts w:asciiTheme="minorHAnsi" w:hAnsiTheme="minorHAnsi" w:cstheme="minorHAnsi"/>
          <w:szCs w:val="24"/>
        </w:rPr>
        <w:t>will also coordinate reporting on gender equality activities as required by the Council and the UN-SWAP.</w:t>
      </w:r>
      <w:r w:rsidR="001D2D91" w:rsidRPr="00085A79">
        <w:rPr>
          <w:rFonts w:asciiTheme="minorHAnsi" w:hAnsiTheme="minorHAnsi" w:cstheme="minorHAnsi"/>
          <w:szCs w:val="24"/>
        </w:rPr>
        <w:t xml:space="preserve"> Senior managers will proactively promote improvements in UN-SWAP Performance Indicators where requirements are not met/exceeded.</w:t>
      </w:r>
    </w:p>
    <w:p w14:paraId="070C769A" w14:textId="3EDE6019" w:rsidR="000B1C14" w:rsidRPr="00085A79" w:rsidRDefault="000B1C14" w:rsidP="00303A7B">
      <w:pPr>
        <w:tabs>
          <w:tab w:val="clear" w:pos="567"/>
          <w:tab w:val="clear" w:pos="1134"/>
          <w:tab w:val="clear" w:pos="1701"/>
          <w:tab w:val="clear" w:pos="2268"/>
          <w:tab w:val="clear" w:pos="2835"/>
          <w:tab w:val="left" w:pos="360"/>
        </w:tabs>
        <w:overflowPunct/>
        <w:autoSpaceDE/>
        <w:autoSpaceDN/>
        <w:adjustRightInd/>
        <w:spacing w:after="120"/>
        <w:jc w:val="both"/>
        <w:textAlignment w:val="auto"/>
        <w:rPr>
          <w:rFonts w:asciiTheme="minorHAnsi" w:hAnsiTheme="minorHAnsi" w:cstheme="minorHAnsi"/>
          <w:szCs w:val="24"/>
        </w:rPr>
      </w:pPr>
      <w:r w:rsidRPr="00085A79">
        <w:rPr>
          <w:rFonts w:asciiTheme="minorHAnsi" w:hAnsiTheme="minorHAnsi" w:cstheme="minorHAnsi"/>
          <w:szCs w:val="24"/>
        </w:rPr>
        <w:t xml:space="preserve">The Gender Focal Points will act as catalysts in implementing the action </w:t>
      </w:r>
      <w:r w:rsidR="004417F4" w:rsidRPr="00085A79">
        <w:rPr>
          <w:rFonts w:asciiTheme="minorHAnsi" w:hAnsiTheme="minorHAnsi" w:cstheme="minorHAnsi"/>
          <w:szCs w:val="24"/>
        </w:rPr>
        <w:t>plan and</w:t>
      </w:r>
      <w:r w:rsidRPr="00085A79">
        <w:rPr>
          <w:rFonts w:asciiTheme="minorHAnsi" w:hAnsiTheme="minorHAnsi" w:cstheme="minorHAnsi"/>
          <w:szCs w:val="24"/>
        </w:rPr>
        <w:t xml:space="preserve"> will assist all staff in their Bureaux/General Secretariat</w:t>
      </w:r>
      <w:r w:rsidR="00180477" w:rsidRPr="00085A79">
        <w:rPr>
          <w:rFonts w:asciiTheme="minorHAnsi" w:hAnsiTheme="minorHAnsi" w:cstheme="minorHAnsi"/>
          <w:szCs w:val="24"/>
        </w:rPr>
        <w:t xml:space="preserve"> units</w:t>
      </w:r>
      <w:r w:rsidRPr="00085A79">
        <w:rPr>
          <w:rFonts w:asciiTheme="minorHAnsi" w:hAnsiTheme="minorHAnsi" w:cstheme="minorHAnsi"/>
          <w:szCs w:val="24"/>
        </w:rPr>
        <w:t xml:space="preserve"> both at headquarters and in the field </w:t>
      </w:r>
      <w:r w:rsidRPr="00085A79">
        <w:rPr>
          <w:rFonts w:asciiTheme="minorHAnsi" w:hAnsiTheme="minorHAnsi" w:cstheme="minorHAnsi"/>
          <w:szCs w:val="24"/>
          <w:lang w:val="en-US"/>
        </w:rPr>
        <w:t>offices</w:t>
      </w:r>
      <w:r w:rsidRPr="00085A79">
        <w:rPr>
          <w:rFonts w:asciiTheme="minorHAnsi" w:hAnsiTheme="minorHAnsi" w:cstheme="minorHAnsi"/>
          <w:szCs w:val="24"/>
        </w:rPr>
        <w:t xml:space="preserve"> in evaluating and monitoring activities towards the achievement of the objectives of the GEM policy.</w:t>
      </w:r>
    </w:p>
    <w:p w14:paraId="5B481982" w14:textId="77777777" w:rsidR="00307D27" w:rsidRPr="00085A79" w:rsidRDefault="00307D27" w:rsidP="00303A7B">
      <w:pPr>
        <w:pStyle w:val="ListParagraph"/>
        <w:numPr>
          <w:ilvl w:val="0"/>
          <w:numId w:val="15"/>
        </w:numPr>
        <w:tabs>
          <w:tab w:val="clear" w:pos="567"/>
          <w:tab w:val="clear" w:pos="1134"/>
          <w:tab w:val="clear" w:pos="1701"/>
          <w:tab w:val="clear" w:pos="2268"/>
          <w:tab w:val="clear" w:pos="2835"/>
          <w:tab w:val="left" w:pos="360"/>
        </w:tabs>
        <w:overflowPunct/>
        <w:autoSpaceDE/>
        <w:autoSpaceDN/>
        <w:adjustRightInd/>
        <w:spacing w:after="120"/>
        <w:contextualSpacing w:val="0"/>
        <w:jc w:val="both"/>
        <w:textAlignment w:val="auto"/>
        <w:rPr>
          <w:rFonts w:asciiTheme="minorHAnsi" w:hAnsiTheme="minorHAnsi" w:cstheme="minorHAnsi"/>
          <w:b/>
          <w:bCs/>
          <w:szCs w:val="24"/>
        </w:rPr>
      </w:pPr>
      <w:r w:rsidRPr="00085A79">
        <w:rPr>
          <w:rFonts w:asciiTheme="minorHAnsi" w:hAnsiTheme="minorHAnsi" w:cstheme="minorHAnsi"/>
          <w:b/>
          <w:bCs/>
          <w:i/>
          <w:iCs/>
          <w:szCs w:val="24"/>
        </w:rPr>
        <w:t>Governance</w:t>
      </w:r>
    </w:p>
    <w:p w14:paraId="2F252672" w14:textId="74196851" w:rsidR="00BD1B17" w:rsidRPr="00085A79" w:rsidRDefault="00BD1B17" w:rsidP="00303A7B">
      <w:pPr>
        <w:tabs>
          <w:tab w:val="clear" w:pos="567"/>
          <w:tab w:val="clear" w:pos="1134"/>
          <w:tab w:val="clear" w:pos="1701"/>
          <w:tab w:val="clear" w:pos="2268"/>
          <w:tab w:val="clear" w:pos="2835"/>
          <w:tab w:val="left" w:pos="794"/>
          <w:tab w:val="left" w:pos="1191"/>
          <w:tab w:val="left" w:pos="1588"/>
          <w:tab w:val="left" w:pos="1985"/>
        </w:tabs>
        <w:spacing w:after="120"/>
        <w:jc w:val="both"/>
        <w:rPr>
          <w:rFonts w:asciiTheme="minorHAnsi" w:hAnsiTheme="minorHAnsi" w:cstheme="minorHAnsi"/>
          <w:szCs w:val="24"/>
        </w:rPr>
      </w:pPr>
      <w:r w:rsidRPr="00085A79">
        <w:rPr>
          <w:rFonts w:asciiTheme="minorHAnsi" w:hAnsiTheme="minorHAnsi" w:cstheme="minorHAnsi"/>
          <w:szCs w:val="24"/>
        </w:rPr>
        <w:t>In order to strengthen accountability and exchange of experience among managers, the progress and difficulties encountered in their areas of responsibility shall be reported to the Management Coordination Group (MCG) periodically, at least biannually.</w:t>
      </w:r>
    </w:p>
    <w:p w14:paraId="3F40C233" w14:textId="76ED4161" w:rsidR="00BD1B17" w:rsidRPr="00085A79" w:rsidRDefault="00BD1B17" w:rsidP="00303A7B">
      <w:pPr>
        <w:tabs>
          <w:tab w:val="clear" w:pos="567"/>
          <w:tab w:val="clear" w:pos="1134"/>
          <w:tab w:val="clear" w:pos="1701"/>
          <w:tab w:val="clear" w:pos="2268"/>
          <w:tab w:val="clear" w:pos="2835"/>
          <w:tab w:val="left" w:pos="794"/>
          <w:tab w:val="left" w:pos="1191"/>
          <w:tab w:val="left" w:pos="1588"/>
          <w:tab w:val="left" w:pos="1985"/>
        </w:tabs>
        <w:spacing w:after="120"/>
        <w:jc w:val="both"/>
        <w:rPr>
          <w:rFonts w:asciiTheme="minorHAnsi" w:hAnsiTheme="minorHAnsi" w:cstheme="minorHAnsi"/>
          <w:szCs w:val="24"/>
        </w:rPr>
      </w:pPr>
      <w:r w:rsidRPr="00085A79">
        <w:rPr>
          <w:rFonts w:asciiTheme="minorHAnsi" w:hAnsiTheme="minorHAnsi" w:cstheme="minorHAnsi"/>
          <w:szCs w:val="24"/>
        </w:rPr>
        <w:t>The gender-related activities for the achievement of the organization’s objectives shall be reported to Member States annually.</w:t>
      </w:r>
    </w:p>
    <w:p w14:paraId="5449D2B4" w14:textId="2F5E9ACE" w:rsidR="00BD1B17" w:rsidRPr="00085A79" w:rsidRDefault="00BD1B17" w:rsidP="00303A7B">
      <w:pPr>
        <w:spacing w:after="120"/>
        <w:jc w:val="both"/>
        <w:rPr>
          <w:rFonts w:asciiTheme="minorHAnsi" w:hAnsiTheme="minorHAnsi" w:cstheme="minorHAnsi"/>
          <w:szCs w:val="24"/>
        </w:rPr>
      </w:pPr>
      <w:r w:rsidRPr="00085A79">
        <w:rPr>
          <w:rFonts w:asciiTheme="minorHAnsi" w:hAnsiTheme="minorHAnsi" w:cstheme="minorHAnsi"/>
          <w:szCs w:val="24"/>
        </w:rPr>
        <w:t>ITU shall ensure a targeted audit engagement that includes gender as part of the risk-based audit planning and refer to it in relevant reports.</w:t>
      </w:r>
    </w:p>
    <w:p w14:paraId="7809A502" w14:textId="397439B7" w:rsidR="004A1B8B" w:rsidRPr="00085A79" w:rsidRDefault="00571D26" w:rsidP="00303A7B">
      <w:pPr>
        <w:spacing w:after="120"/>
        <w:jc w:val="both"/>
        <w:rPr>
          <w:rFonts w:asciiTheme="minorHAnsi" w:hAnsiTheme="minorHAnsi" w:cstheme="minorHAnsi"/>
          <w:szCs w:val="24"/>
        </w:rPr>
      </w:pPr>
      <w:r w:rsidRPr="00085A79">
        <w:rPr>
          <w:rFonts w:asciiTheme="minorHAnsi" w:hAnsiTheme="minorHAnsi" w:cstheme="minorHAnsi"/>
          <w:szCs w:val="24"/>
          <w:lang w:val="en-US"/>
        </w:rPr>
        <w:t xml:space="preserve">The GEM policy is a living document that will be reviewed </w:t>
      </w:r>
      <w:r w:rsidR="00137E0F" w:rsidRPr="00085A79">
        <w:rPr>
          <w:rFonts w:asciiTheme="minorHAnsi" w:hAnsiTheme="minorHAnsi" w:cstheme="minorHAnsi"/>
          <w:szCs w:val="24"/>
          <w:lang w:val="en-US"/>
        </w:rPr>
        <w:t xml:space="preserve">and if needed updated </w:t>
      </w:r>
      <w:r w:rsidR="00C93841" w:rsidRPr="00085A79">
        <w:rPr>
          <w:rFonts w:asciiTheme="minorHAnsi" w:hAnsiTheme="minorHAnsi" w:cstheme="minorHAnsi"/>
          <w:szCs w:val="24"/>
          <w:lang w:val="en-US"/>
        </w:rPr>
        <w:t xml:space="preserve">at least </w:t>
      </w:r>
      <w:r w:rsidRPr="00085A79">
        <w:rPr>
          <w:rFonts w:asciiTheme="minorHAnsi" w:hAnsiTheme="minorHAnsi" w:cstheme="minorHAnsi"/>
          <w:szCs w:val="24"/>
          <w:lang w:val="en-US"/>
        </w:rPr>
        <w:t xml:space="preserve">every </w:t>
      </w:r>
      <w:r w:rsidR="00C93841" w:rsidRPr="00085A79">
        <w:rPr>
          <w:rFonts w:asciiTheme="minorHAnsi" w:hAnsiTheme="minorHAnsi" w:cstheme="minorHAnsi"/>
          <w:szCs w:val="24"/>
          <w:lang w:val="en-US"/>
        </w:rPr>
        <w:t>five</w:t>
      </w:r>
      <w:r w:rsidRPr="00085A79">
        <w:rPr>
          <w:rFonts w:asciiTheme="minorHAnsi" w:hAnsiTheme="minorHAnsi" w:cstheme="minorHAnsi"/>
          <w:szCs w:val="24"/>
          <w:lang w:val="en-US"/>
        </w:rPr>
        <w:t xml:space="preserve"> years</w:t>
      </w:r>
      <w:r w:rsidR="00F74A1B" w:rsidRPr="00085A79">
        <w:rPr>
          <w:rFonts w:asciiTheme="minorHAnsi" w:hAnsiTheme="minorHAnsi" w:cstheme="minorHAnsi"/>
          <w:szCs w:val="24"/>
          <w:lang w:val="en-US"/>
        </w:rPr>
        <w:t>, in line with UN-SWAP recommendations</w:t>
      </w:r>
      <w:r w:rsidRPr="00085A79">
        <w:rPr>
          <w:rFonts w:asciiTheme="minorHAnsi" w:hAnsiTheme="minorHAnsi" w:cstheme="minorHAnsi"/>
          <w:szCs w:val="24"/>
          <w:lang w:val="en-US"/>
        </w:rPr>
        <w:t xml:space="preserve">. </w:t>
      </w:r>
      <w:r w:rsidR="00923B1B" w:rsidRPr="00085A79">
        <w:rPr>
          <w:rFonts w:asciiTheme="minorHAnsi" w:hAnsiTheme="minorHAnsi" w:cstheme="minorHAnsi"/>
          <w:szCs w:val="24"/>
        </w:rPr>
        <w:t xml:space="preserve">The action plans will be monitored </w:t>
      </w:r>
      <w:r w:rsidR="005646B1" w:rsidRPr="00085A79">
        <w:rPr>
          <w:rFonts w:asciiTheme="minorHAnsi" w:hAnsiTheme="minorHAnsi" w:cstheme="minorHAnsi"/>
          <w:szCs w:val="24"/>
        </w:rPr>
        <w:t xml:space="preserve">and, if needed, </w:t>
      </w:r>
      <w:r w:rsidR="00A1499C" w:rsidRPr="00085A79">
        <w:rPr>
          <w:rFonts w:asciiTheme="minorHAnsi" w:hAnsiTheme="minorHAnsi" w:cstheme="minorHAnsi"/>
          <w:szCs w:val="24"/>
        </w:rPr>
        <w:t xml:space="preserve">updated at least </w:t>
      </w:r>
      <w:r w:rsidR="00923B1B" w:rsidRPr="00085A79">
        <w:rPr>
          <w:rFonts w:asciiTheme="minorHAnsi" w:hAnsiTheme="minorHAnsi" w:cstheme="minorHAnsi"/>
          <w:szCs w:val="24"/>
        </w:rPr>
        <w:t xml:space="preserve">every two years as an integral part of the policy’s implementation to ensure that </w:t>
      </w:r>
      <w:r w:rsidR="00A81758" w:rsidRPr="00085A79">
        <w:rPr>
          <w:rFonts w:asciiTheme="minorHAnsi" w:hAnsiTheme="minorHAnsi" w:cstheme="minorHAnsi"/>
          <w:szCs w:val="24"/>
        </w:rPr>
        <w:t xml:space="preserve">gender equality and the empowerment of women are </w:t>
      </w:r>
      <w:r w:rsidR="00923B1B" w:rsidRPr="00085A79">
        <w:rPr>
          <w:rFonts w:asciiTheme="minorHAnsi" w:hAnsiTheme="minorHAnsi" w:cstheme="minorHAnsi"/>
          <w:szCs w:val="24"/>
        </w:rPr>
        <w:t>incorporated into the</w:t>
      </w:r>
      <w:r w:rsidR="000808E5" w:rsidRPr="00085A79">
        <w:rPr>
          <w:rFonts w:asciiTheme="minorHAnsi" w:hAnsiTheme="minorHAnsi" w:cstheme="minorHAnsi"/>
          <w:szCs w:val="24"/>
        </w:rPr>
        <w:t xml:space="preserve"> plans,</w:t>
      </w:r>
      <w:r w:rsidR="00923B1B" w:rsidRPr="00085A79">
        <w:rPr>
          <w:rFonts w:asciiTheme="minorHAnsi" w:hAnsiTheme="minorHAnsi" w:cstheme="minorHAnsi"/>
          <w:szCs w:val="24"/>
        </w:rPr>
        <w:t xml:space="preserve"> programmes, activities and procedures of the Union.</w:t>
      </w:r>
    </w:p>
    <w:p w14:paraId="4768F7C1" w14:textId="77777777" w:rsidR="000B4B0D" w:rsidRPr="00085A79" w:rsidRDefault="000B4B0D" w:rsidP="000B4B0D">
      <w:pPr>
        <w:spacing w:before="840"/>
        <w:jc w:val="center"/>
        <w:rPr>
          <w:rFonts w:asciiTheme="minorHAnsi" w:hAnsiTheme="minorHAnsi" w:cstheme="minorHAnsi"/>
          <w:szCs w:val="24"/>
          <w:lang w:val="en-US"/>
        </w:rPr>
      </w:pPr>
      <w:r w:rsidRPr="00085A79">
        <w:rPr>
          <w:rFonts w:asciiTheme="minorHAnsi" w:hAnsiTheme="minorHAnsi" w:cstheme="minorHAnsi"/>
          <w:szCs w:val="24"/>
          <w:lang w:val="en-US"/>
        </w:rPr>
        <w:t>_____________________</w:t>
      </w:r>
    </w:p>
    <w:sectPr w:rsidR="000B4B0D" w:rsidRPr="00085A79" w:rsidSect="004D1851">
      <w:headerReference w:type="default" r:id="rId56"/>
      <w:footerReference w:type="default" r:id="rId57"/>
      <w:footerReference w:type="first" r:id="rId5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7A42F" w14:textId="77777777" w:rsidR="00A50452" w:rsidRDefault="00A50452">
      <w:r>
        <w:separator/>
      </w:r>
    </w:p>
  </w:endnote>
  <w:endnote w:type="continuationSeparator" w:id="0">
    <w:p w14:paraId="513999C6" w14:textId="77777777" w:rsidR="00A50452" w:rsidRDefault="00A50452">
      <w:r>
        <w:continuationSeparator/>
      </w:r>
    </w:p>
  </w:endnote>
  <w:endnote w:type="continuationNotice" w:id="1">
    <w:p w14:paraId="3DE49997" w14:textId="77777777" w:rsidR="00A50452" w:rsidRDefault="00A5045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B42F" w14:textId="06F0FFDA" w:rsidR="00CB18FF" w:rsidRPr="0036403E" w:rsidRDefault="00725BAE">
    <w:pPr>
      <w:pStyle w:val="Footer"/>
      <w:rPr>
        <w:color w:val="F2F2F2" w:themeColor="background1" w:themeShade="F2"/>
      </w:rPr>
    </w:pPr>
    <w:r w:rsidRPr="0036403E">
      <w:rPr>
        <w:color w:val="F2F2F2" w:themeColor="background1" w:themeShade="F2"/>
      </w:rPr>
      <w:fldChar w:fldCharType="begin"/>
    </w:r>
    <w:r w:rsidRPr="0036403E">
      <w:rPr>
        <w:color w:val="F2F2F2" w:themeColor="background1" w:themeShade="F2"/>
      </w:rPr>
      <w:instrText xml:space="preserve"> FILENAME \p  \* MERGEFORMAT </w:instrText>
    </w:r>
    <w:r w:rsidRPr="0036403E">
      <w:rPr>
        <w:color w:val="F2F2F2" w:themeColor="background1" w:themeShade="F2"/>
      </w:rPr>
      <w:fldChar w:fldCharType="separate"/>
    </w:r>
    <w:r w:rsidR="0014634F" w:rsidRPr="0036403E">
      <w:rPr>
        <w:color w:val="F2F2F2" w:themeColor="background1" w:themeShade="F2"/>
      </w:rPr>
      <w:t>Document1</w:t>
    </w:r>
    <w:r w:rsidRPr="0036403E">
      <w:rPr>
        <w:color w:val="F2F2F2" w:themeColor="background1" w:themeShade="F2"/>
      </w:rPr>
      <w:fldChar w:fldCharType="end"/>
    </w:r>
    <w:r w:rsidR="00CB18FF" w:rsidRPr="0036403E">
      <w:rPr>
        <w:color w:val="F2F2F2" w:themeColor="background1" w:themeShade="F2"/>
      </w:rPr>
      <w:tab/>
    </w:r>
    <w:r w:rsidR="00864AFF" w:rsidRPr="0036403E">
      <w:rPr>
        <w:color w:val="F2F2F2" w:themeColor="background1" w:themeShade="F2"/>
      </w:rPr>
      <w:fldChar w:fldCharType="begin"/>
    </w:r>
    <w:r w:rsidR="00CB18FF" w:rsidRPr="0036403E">
      <w:rPr>
        <w:color w:val="F2F2F2" w:themeColor="background1" w:themeShade="F2"/>
      </w:rPr>
      <w:instrText xml:space="preserve"> SAVEDATE \@ DD.MM.YY </w:instrText>
    </w:r>
    <w:r w:rsidR="00864AFF" w:rsidRPr="0036403E">
      <w:rPr>
        <w:color w:val="F2F2F2" w:themeColor="background1" w:themeShade="F2"/>
      </w:rPr>
      <w:fldChar w:fldCharType="separate"/>
    </w:r>
    <w:r w:rsidR="00FE165F">
      <w:rPr>
        <w:color w:val="F2F2F2" w:themeColor="background1" w:themeShade="F2"/>
      </w:rPr>
      <w:t>08.12.21</w:t>
    </w:r>
    <w:r w:rsidR="00864AFF" w:rsidRPr="0036403E">
      <w:rPr>
        <w:color w:val="F2F2F2" w:themeColor="background1" w:themeShade="F2"/>
      </w:rPr>
      <w:fldChar w:fldCharType="end"/>
    </w:r>
    <w:r w:rsidR="00CB18FF" w:rsidRPr="0036403E">
      <w:rPr>
        <w:color w:val="F2F2F2" w:themeColor="background1" w:themeShade="F2"/>
      </w:rPr>
      <w:tab/>
    </w:r>
    <w:r w:rsidR="00864AFF" w:rsidRPr="0036403E">
      <w:rPr>
        <w:color w:val="F2F2F2" w:themeColor="background1" w:themeShade="F2"/>
      </w:rPr>
      <w:fldChar w:fldCharType="begin"/>
    </w:r>
    <w:r w:rsidR="00CB18FF" w:rsidRPr="0036403E">
      <w:rPr>
        <w:color w:val="F2F2F2" w:themeColor="background1" w:themeShade="F2"/>
      </w:rPr>
      <w:instrText xml:space="preserve"> PRINTDATE \@ DD.MM.YY </w:instrText>
    </w:r>
    <w:r w:rsidR="00864AFF" w:rsidRPr="0036403E">
      <w:rPr>
        <w:color w:val="F2F2F2" w:themeColor="background1" w:themeShade="F2"/>
      </w:rPr>
      <w:fldChar w:fldCharType="separate"/>
    </w:r>
    <w:r w:rsidR="0014634F" w:rsidRPr="0036403E">
      <w:rPr>
        <w:color w:val="F2F2F2" w:themeColor="background1" w:themeShade="F2"/>
      </w:rPr>
      <w:t>18.07.00</w:t>
    </w:r>
    <w:r w:rsidR="00864AFF" w:rsidRPr="0036403E">
      <w:rPr>
        <w:color w:val="F2F2F2" w:themeColor="background1" w:themeShade="F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2761F" w14:textId="77777777" w:rsidR="00A50452" w:rsidRDefault="00A50452">
      <w:r>
        <w:t>____________________</w:t>
      </w:r>
    </w:p>
  </w:footnote>
  <w:footnote w:type="continuationSeparator" w:id="0">
    <w:p w14:paraId="5D6493D6" w14:textId="77777777" w:rsidR="00A50452" w:rsidRDefault="00A50452">
      <w:r>
        <w:continuationSeparator/>
      </w:r>
    </w:p>
  </w:footnote>
  <w:footnote w:type="continuationNotice" w:id="1">
    <w:p w14:paraId="6B4E6C3A" w14:textId="77777777" w:rsidR="00A50452" w:rsidRDefault="00A5045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341E180" w:rsidR="00322D0D" w:rsidRDefault="006535F1" w:rsidP="00CE433C">
    <w:pPr>
      <w:pStyle w:val="Header"/>
    </w:pPr>
    <w:r>
      <w:fldChar w:fldCharType="begin"/>
    </w:r>
    <w:r>
      <w:instrText>PAGE</w:instrText>
    </w:r>
    <w:r>
      <w:fldChar w:fldCharType="separate"/>
    </w:r>
    <w:r w:rsidR="00C30BAB">
      <w:rPr>
        <w:noProof/>
      </w:rPr>
      <w:t>12</w:t>
    </w:r>
    <w:r>
      <w:rPr>
        <w:noProof/>
      </w:rPr>
      <w:fldChar w:fldCharType="end"/>
    </w:r>
    <w:r w:rsidR="0037276C">
      <w:rPr>
        <w:noProof/>
      </w:rPr>
      <w:t>/</w:t>
    </w:r>
    <w:r w:rsidR="0037276C">
      <w:rPr>
        <w:noProof/>
      </w:rPr>
      <w:fldChar w:fldCharType="begin"/>
    </w:r>
    <w:r w:rsidR="0037276C">
      <w:rPr>
        <w:noProof/>
      </w:rPr>
      <w:instrText xml:space="preserve"> NUMPAGES   \* MERGEFORMAT </w:instrText>
    </w:r>
    <w:r w:rsidR="0037276C">
      <w:rPr>
        <w:noProof/>
      </w:rPr>
      <w:fldChar w:fldCharType="separate"/>
    </w:r>
    <w:r w:rsidR="00C30BAB">
      <w:rPr>
        <w:noProof/>
      </w:rPr>
      <w:t>12</w:t>
    </w:r>
    <w:r w:rsidR="0037276C">
      <w:rPr>
        <w:noProof/>
      </w:rPr>
      <w:fldChar w:fldCharType="end"/>
    </w:r>
  </w:p>
  <w:p w14:paraId="4948958C" w14:textId="4A8875A3" w:rsidR="00322D0D" w:rsidRPr="00623AE3" w:rsidRDefault="00623AE3" w:rsidP="00FB1279">
    <w:pPr>
      <w:pStyle w:val="Header"/>
      <w:rPr>
        <w:bCs/>
      </w:rPr>
    </w:pPr>
    <w:r w:rsidRPr="00623AE3">
      <w:rPr>
        <w:bCs/>
      </w:rPr>
      <w:t>C</w:t>
    </w:r>
    <w:r w:rsidR="004A1B8B">
      <w:rPr>
        <w:bCs/>
      </w:rPr>
      <w:t>2</w:t>
    </w:r>
    <w:r w:rsidR="0014634F">
      <w:rPr>
        <w:bCs/>
      </w:rPr>
      <w:t>2</w:t>
    </w:r>
    <w:r w:rsidRPr="00623AE3">
      <w:rPr>
        <w:bCs/>
      </w:rPr>
      <w:t>/</w:t>
    </w:r>
    <w:r w:rsidR="0036403E">
      <w:rPr>
        <w:bCs/>
      </w:rPr>
      <w:t>6</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A40F52"/>
    <w:multiLevelType w:val="hybridMultilevel"/>
    <w:tmpl w:val="3DE4B8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766F91"/>
    <w:multiLevelType w:val="hybridMultilevel"/>
    <w:tmpl w:val="241EE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D5C4E"/>
    <w:multiLevelType w:val="hybridMultilevel"/>
    <w:tmpl w:val="B7ACE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7782C"/>
    <w:multiLevelType w:val="hybridMultilevel"/>
    <w:tmpl w:val="C32CFF46"/>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5" w15:restartNumberingAfterBreak="0">
    <w:nsid w:val="2DCE78FE"/>
    <w:multiLevelType w:val="hybridMultilevel"/>
    <w:tmpl w:val="0658A008"/>
    <w:lvl w:ilvl="0" w:tplc="08090001">
      <w:start w:val="1"/>
      <w:numFmt w:val="bullet"/>
      <w:lvlText w:val=""/>
      <w:lvlJc w:val="left"/>
      <w:pPr>
        <w:ind w:left="567" w:hanging="360"/>
      </w:pPr>
      <w:rPr>
        <w:rFonts w:ascii="Symbol" w:hAnsi="Symbol"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6" w15:restartNumberingAfterBreak="0">
    <w:nsid w:val="30346648"/>
    <w:multiLevelType w:val="hybridMultilevel"/>
    <w:tmpl w:val="6222215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E27F53"/>
    <w:multiLevelType w:val="hybridMultilevel"/>
    <w:tmpl w:val="BEC40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0166797"/>
    <w:multiLevelType w:val="hybridMultilevel"/>
    <w:tmpl w:val="1C8A58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612302"/>
    <w:multiLevelType w:val="hybridMultilevel"/>
    <w:tmpl w:val="58C05246"/>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0" w15:restartNumberingAfterBreak="0">
    <w:nsid w:val="683E5107"/>
    <w:multiLevelType w:val="hybridMultilevel"/>
    <w:tmpl w:val="95380256"/>
    <w:lvl w:ilvl="0" w:tplc="1C986F04">
      <w:start w:val="1"/>
      <w:numFmt w:val="bullet"/>
      <w:lvlText w:val=""/>
      <w:lvlJc w:val="left"/>
      <w:pPr>
        <w:tabs>
          <w:tab w:val="num" w:pos="720"/>
        </w:tabs>
        <w:ind w:left="720" w:hanging="360"/>
      </w:pPr>
      <w:rPr>
        <w:rFonts w:ascii="Wingdings" w:hAnsi="Wingdings" w:hint="default"/>
      </w:rPr>
    </w:lvl>
    <w:lvl w:ilvl="1" w:tplc="64C097EA" w:tentative="1">
      <w:start w:val="1"/>
      <w:numFmt w:val="bullet"/>
      <w:lvlText w:val=""/>
      <w:lvlJc w:val="left"/>
      <w:pPr>
        <w:tabs>
          <w:tab w:val="num" w:pos="1440"/>
        </w:tabs>
        <w:ind w:left="1440" w:hanging="360"/>
      </w:pPr>
      <w:rPr>
        <w:rFonts w:ascii="Wingdings" w:hAnsi="Wingdings" w:hint="default"/>
      </w:rPr>
    </w:lvl>
    <w:lvl w:ilvl="2" w:tplc="910ABBD8" w:tentative="1">
      <w:start w:val="1"/>
      <w:numFmt w:val="bullet"/>
      <w:lvlText w:val=""/>
      <w:lvlJc w:val="left"/>
      <w:pPr>
        <w:tabs>
          <w:tab w:val="num" w:pos="2160"/>
        </w:tabs>
        <w:ind w:left="2160" w:hanging="360"/>
      </w:pPr>
      <w:rPr>
        <w:rFonts w:ascii="Wingdings" w:hAnsi="Wingdings" w:hint="default"/>
      </w:rPr>
    </w:lvl>
    <w:lvl w:ilvl="3" w:tplc="CC80FEC4" w:tentative="1">
      <w:start w:val="1"/>
      <w:numFmt w:val="bullet"/>
      <w:lvlText w:val=""/>
      <w:lvlJc w:val="left"/>
      <w:pPr>
        <w:tabs>
          <w:tab w:val="num" w:pos="2880"/>
        </w:tabs>
        <w:ind w:left="2880" w:hanging="360"/>
      </w:pPr>
      <w:rPr>
        <w:rFonts w:ascii="Wingdings" w:hAnsi="Wingdings" w:hint="default"/>
      </w:rPr>
    </w:lvl>
    <w:lvl w:ilvl="4" w:tplc="3056C116" w:tentative="1">
      <w:start w:val="1"/>
      <w:numFmt w:val="bullet"/>
      <w:lvlText w:val=""/>
      <w:lvlJc w:val="left"/>
      <w:pPr>
        <w:tabs>
          <w:tab w:val="num" w:pos="3600"/>
        </w:tabs>
        <w:ind w:left="3600" w:hanging="360"/>
      </w:pPr>
      <w:rPr>
        <w:rFonts w:ascii="Wingdings" w:hAnsi="Wingdings" w:hint="default"/>
      </w:rPr>
    </w:lvl>
    <w:lvl w:ilvl="5" w:tplc="E24C4382" w:tentative="1">
      <w:start w:val="1"/>
      <w:numFmt w:val="bullet"/>
      <w:lvlText w:val=""/>
      <w:lvlJc w:val="left"/>
      <w:pPr>
        <w:tabs>
          <w:tab w:val="num" w:pos="4320"/>
        </w:tabs>
        <w:ind w:left="4320" w:hanging="360"/>
      </w:pPr>
      <w:rPr>
        <w:rFonts w:ascii="Wingdings" w:hAnsi="Wingdings" w:hint="default"/>
      </w:rPr>
    </w:lvl>
    <w:lvl w:ilvl="6" w:tplc="4132AA90" w:tentative="1">
      <w:start w:val="1"/>
      <w:numFmt w:val="bullet"/>
      <w:lvlText w:val=""/>
      <w:lvlJc w:val="left"/>
      <w:pPr>
        <w:tabs>
          <w:tab w:val="num" w:pos="5040"/>
        </w:tabs>
        <w:ind w:left="5040" w:hanging="360"/>
      </w:pPr>
      <w:rPr>
        <w:rFonts w:ascii="Wingdings" w:hAnsi="Wingdings" w:hint="default"/>
      </w:rPr>
    </w:lvl>
    <w:lvl w:ilvl="7" w:tplc="DF94C608" w:tentative="1">
      <w:start w:val="1"/>
      <w:numFmt w:val="bullet"/>
      <w:lvlText w:val=""/>
      <w:lvlJc w:val="left"/>
      <w:pPr>
        <w:tabs>
          <w:tab w:val="num" w:pos="5760"/>
        </w:tabs>
        <w:ind w:left="5760" w:hanging="360"/>
      </w:pPr>
      <w:rPr>
        <w:rFonts w:ascii="Wingdings" w:hAnsi="Wingdings" w:hint="default"/>
      </w:rPr>
    </w:lvl>
    <w:lvl w:ilvl="8" w:tplc="A3DEF78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C9753C"/>
    <w:multiLevelType w:val="hybridMultilevel"/>
    <w:tmpl w:val="864EE6F2"/>
    <w:lvl w:ilvl="0" w:tplc="688405C4">
      <w:start w:val="1"/>
      <w:numFmt w:val="bullet"/>
      <w:lvlText w:val=""/>
      <w:lvlJc w:val="left"/>
      <w:pPr>
        <w:ind w:left="900" w:hanging="360"/>
      </w:pPr>
      <w:rPr>
        <w:rFonts w:ascii="Symbol" w:hAnsi="Symbol" w:hint="default"/>
        <w:color w:val="000000" w:themeColor="text1"/>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6B056191"/>
    <w:multiLevelType w:val="hybridMultilevel"/>
    <w:tmpl w:val="F1D87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A075B7"/>
    <w:multiLevelType w:val="hybridMultilevel"/>
    <w:tmpl w:val="647C5AB4"/>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4" w15:restartNumberingAfterBreak="0">
    <w:nsid w:val="71534960"/>
    <w:multiLevelType w:val="hybridMultilevel"/>
    <w:tmpl w:val="6B7853B8"/>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5" w15:restartNumberingAfterBreak="0">
    <w:nsid w:val="71BE579D"/>
    <w:multiLevelType w:val="hybridMultilevel"/>
    <w:tmpl w:val="964A0FEC"/>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6" w15:restartNumberingAfterBreak="0">
    <w:nsid w:val="780650C6"/>
    <w:multiLevelType w:val="hybridMultilevel"/>
    <w:tmpl w:val="CABE7F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1"/>
  </w:num>
  <w:num w:numId="3">
    <w:abstractNumId w:val="10"/>
  </w:num>
  <w:num w:numId="4">
    <w:abstractNumId w:val="3"/>
  </w:num>
  <w:num w:numId="5">
    <w:abstractNumId w:val="12"/>
  </w:num>
  <w:num w:numId="6">
    <w:abstractNumId w:val="6"/>
  </w:num>
  <w:num w:numId="7">
    <w:abstractNumId w:val="8"/>
  </w:num>
  <w:num w:numId="8">
    <w:abstractNumId w:val="4"/>
  </w:num>
  <w:num w:numId="9">
    <w:abstractNumId w:val="13"/>
  </w:num>
  <w:num w:numId="10">
    <w:abstractNumId w:val="7"/>
  </w:num>
  <w:num w:numId="11">
    <w:abstractNumId w:val="14"/>
  </w:num>
  <w:num w:numId="12">
    <w:abstractNumId w:val="15"/>
  </w:num>
  <w:num w:numId="13">
    <w:abstractNumId w:val="9"/>
  </w:num>
  <w:num w:numId="14">
    <w:abstractNumId w:val="16"/>
  </w:num>
  <w:num w:numId="15">
    <w:abstractNumId w:val="1"/>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34F"/>
    <w:rsid w:val="00003F6A"/>
    <w:rsid w:val="000210D4"/>
    <w:rsid w:val="00025225"/>
    <w:rsid w:val="00033A58"/>
    <w:rsid w:val="0003505D"/>
    <w:rsid w:val="00040078"/>
    <w:rsid w:val="0004043C"/>
    <w:rsid w:val="00047E42"/>
    <w:rsid w:val="00063016"/>
    <w:rsid w:val="00066795"/>
    <w:rsid w:val="00072DBF"/>
    <w:rsid w:val="00073452"/>
    <w:rsid w:val="00076493"/>
    <w:rsid w:val="00076AF6"/>
    <w:rsid w:val="000808E5"/>
    <w:rsid w:val="00085A79"/>
    <w:rsid w:val="00085CF2"/>
    <w:rsid w:val="000A03BD"/>
    <w:rsid w:val="000B1705"/>
    <w:rsid w:val="000B1C14"/>
    <w:rsid w:val="000B4852"/>
    <w:rsid w:val="000B4B0D"/>
    <w:rsid w:val="000C62BA"/>
    <w:rsid w:val="000D02CE"/>
    <w:rsid w:val="000D3FC6"/>
    <w:rsid w:val="000D3FEF"/>
    <w:rsid w:val="000D75B2"/>
    <w:rsid w:val="000E5BAE"/>
    <w:rsid w:val="000E6296"/>
    <w:rsid w:val="000E7E36"/>
    <w:rsid w:val="000F4F33"/>
    <w:rsid w:val="001039F4"/>
    <w:rsid w:val="00111E47"/>
    <w:rsid w:val="001120CA"/>
    <w:rsid w:val="001121F5"/>
    <w:rsid w:val="00116602"/>
    <w:rsid w:val="00117B99"/>
    <w:rsid w:val="00124AC8"/>
    <w:rsid w:val="00136ED5"/>
    <w:rsid w:val="00137E0F"/>
    <w:rsid w:val="00137E9F"/>
    <w:rsid w:val="001400DC"/>
    <w:rsid w:val="00140CE1"/>
    <w:rsid w:val="0014634F"/>
    <w:rsid w:val="00150112"/>
    <w:rsid w:val="00155183"/>
    <w:rsid w:val="00161ECD"/>
    <w:rsid w:val="001717C9"/>
    <w:rsid w:val="001745D9"/>
    <w:rsid w:val="0017539C"/>
    <w:rsid w:val="00175AC2"/>
    <w:rsid w:val="0017609F"/>
    <w:rsid w:val="00180477"/>
    <w:rsid w:val="0018479E"/>
    <w:rsid w:val="00190664"/>
    <w:rsid w:val="00191AF3"/>
    <w:rsid w:val="001A42F0"/>
    <w:rsid w:val="001A6A79"/>
    <w:rsid w:val="001B0C28"/>
    <w:rsid w:val="001B2762"/>
    <w:rsid w:val="001B43E5"/>
    <w:rsid w:val="001C2261"/>
    <w:rsid w:val="001C628E"/>
    <w:rsid w:val="001D2D91"/>
    <w:rsid w:val="001D5DAF"/>
    <w:rsid w:val="001E0F7B"/>
    <w:rsid w:val="001F260B"/>
    <w:rsid w:val="002119FD"/>
    <w:rsid w:val="002130E0"/>
    <w:rsid w:val="002145B1"/>
    <w:rsid w:val="0021461C"/>
    <w:rsid w:val="00216C42"/>
    <w:rsid w:val="00217942"/>
    <w:rsid w:val="00224B77"/>
    <w:rsid w:val="0022712E"/>
    <w:rsid w:val="00227DA6"/>
    <w:rsid w:val="00233980"/>
    <w:rsid w:val="00242F9F"/>
    <w:rsid w:val="00250835"/>
    <w:rsid w:val="00257883"/>
    <w:rsid w:val="00262B2E"/>
    <w:rsid w:val="00264425"/>
    <w:rsid w:val="00265875"/>
    <w:rsid w:val="0027303B"/>
    <w:rsid w:val="00273409"/>
    <w:rsid w:val="00273545"/>
    <w:rsid w:val="0028109B"/>
    <w:rsid w:val="00287477"/>
    <w:rsid w:val="002950F6"/>
    <w:rsid w:val="002A2188"/>
    <w:rsid w:val="002A481E"/>
    <w:rsid w:val="002B1F58"/>
    <w:rsid w:val="002B7682"/>
    <w:rsid w:val="002C1C7A"/>
    <w:rsid w:val="002C6238"/>
    <w:rsid w:val="002D2A2B"/>
    <w:rsid w:val="0030160F"/>
    <w:rsid w:val="0030204B"/>
    <w:rsid w:val="00303A7B"/>
    <w:rsid w:val="003060BD"/>
    <w:rsid w:val="00307D27"/>
    <w:rsid w:val="00320223"/>
    <w:rsid w:val="003221A3"/>
    <w:rsid w:val="00322D0D"/>
    <w:rsid w:val="00323DC8"/>
    <w:rsid w:val="0033760D"/>
    <w:rsid w:val="003426D6"/>
    <w:rsid w:val="00342C2F"/>
    <w:rsid w:val="00344FD0"/>
    <w:rsid w:val="00363FC6"/>
    <w:rsid w:val="0036403E"/>
    <w:rsid w:val="0037276C"/>
    <w:rsid w:val="00376C03"/>
    <w:rsid w:val="00377779"/>
    <w:rsid w:val="003818C0"/>
    <w:rsid w:val="0038199E"/>
    <w:rsid w:val="0038455A"/>
    <w:rsid w:val="00387E59"/>
    <w:rsid w:val="0039008A"/>
    <w:rsid w:val="003942D4"/>
    <w:rsid w:val="003958A8"/>
    <w:rsid w:val="003A64A3"/>
    <w:rsid w:val="003B0B2C"/>
    <w:rsid w:val="003B0E18"/>
    <w:rsid w:val="003B55CE"/>
    <w:rsid w:val="003C0E8D"/>
    <w:rsid w:val="003C2533"/>
    <w:rsid w:val="003E46E4"/>
    <w:rsid w:val="00400F56"/>
    <w:rsid w:val="0040435A"/>
    <w:rsid w:val="0040550C"/>
    <w:rsid w:val="00405C58"/>
    <w:rsid w:val="00416A24"/>
    <w:rsid w:val="00417627"/>
    <w:rsid w:val="004202C6"/>
    <w:rsid w:val="00421067"/>
    <w:rsid w:val="00431D9E"/>
    <w:rsid w:val="00433CE8"/>
    <w:rsid w:val="00434A00"/>
    <w:rsid w:val="00434A5C"/>
    <w:rsid w:val="004417F4"/>
    <w:rsid w:val="0044229B"/>
    <w:rsid w:val="00453544"/>
    <w:rsid w:val="004544D9"/>
    <w:rsid w:val="004558B1"/>
    <w:rsid w:val="004559E0"/>
    <w:rsid w:val="00456088"/>
    <w:rsid w:val="00475AA9"/>
    <w:rsid w:val="00483489"/>
    <w:rsid w:val="00490E72"/>
    <w:rsid w:val="00491157"/>
    <w:rsid w:val="004921C8"/>
    <w:rsid w:val="0049235D"/>
    <w:rsid w:val="004924E9"/>
    <w:rsid w:val="00495929"/>
    <w:rsid w:val="004A1B8B"/>
    <w:rsid w:val="004B3B71"/>
    <w:rsid w:val="004D1851"/>
    <w:rsid w:val="004D2EB9"/>
    <w:rsid w:val="004D599D"/>
    <w:rsid w:val="004E2EA5"/>
    <w:rsid w:val="004E3AEB"/>
    <w:rsid w:val="004E5659"/>
    <w:rsid w:val="004F23CC"/>
    <w:rsid w:val="0050223C"/>
    <w:rsid w:val="00510D78"/>
    <w:rsid w:val="0051423F"/>
    <w:rsid w:val="005243FF"/>
    <w:rsid w:val="00525C2F"/>
    <w:rsid w:val="00527433"/>
    <w:rsid w:val="0053185D"/>
    <w:rsid w:val="005336B8"/>
    <w:rsid w:val="00533D4E"/>
    <w:rsid w:val="005357EC"/>
    <w:rsid w:val="00550C1F"/>
    <w:rsid w:val="00555720"/>
    <w:rsid w:val="005646B1"/>
    <w:rsid w:val="00564FBC"/>
    <w:rsid w:val="0057176A"/>
    <w:rsid w:val="00571D26"/>
    <w:rsid w:val="00573672"/>
    <w:rsid w:val="00582442"/>
    <w:rsid w:val="0058356F"/>
    <w:rsid w:val="005838D4"/>
    <w:rsid w:val="00591BA2"/>
    <w:rsid w:val="005945B1"/>
    <w:rsid w:val="00594E67"/>
    <w:rsid w:val="005950E8"/>
    <w:rsid w:val="005A6782"/>
    <w:rsid w:val="005B16FB"/>
    <w:rsid w:val="005D6B94"/>
    <w:rsid w:val="005E682D"/>
    <w:rsid w:val="005F3269"/>
    <w:rsid w:val="00601BBE"/>
    <w:rsid w:val="00623AE3"/>
    <w:rsid w:val="00626B69"/>
    <w:rsid w:val="00645506"/>
    <w:rsid w:val="0064737F"/>
    <w:rsid w:val="006506ED"/>
    <w:rsid w:val="006535F1"/>
    <w:rsid w:val="0065557D"/>
    <w:rsid w:val="00662984"/>
    <w:rsid w:val="00667EE5"/>
    <w:rsid w:val="006716BB"/>
    <w:rsid w:val="0067241E"/>
    <w:rsid w:val="00683563"/>
    <w:rsid w:val="006856AD"/>
    <w:rsid w:val="00685F55"/>
    <w:rsid w:val="00687984"/>
    <w:rsid w:val="006961D7"/>
    <w:rsid w:val="006B3B7F"/>
    <w:rsid w:val="006B6680"/>
    <w:rsid w:val="006B6DCC"/>
    <w:rsid w:val="006C60BF"/>
    <w:rsid w:val="006D18D0"/>
    <w:rsid w:val="006D51D1"/>
    <w:rsid w:val="0070096A"/>
    <w:rsid w:val="00702DEF"/>
    <w:rsid w:val="007050D2"/>
    <w:rsid w:val="00706861"/>
    <w:rsid w:val="007103C4"/>
    <w:rsid w:val="00725BAE"/>
    <w:rsid w:val="00731CEE"/>
    <w:rsid w:val="00740E5E"/>
    <w:rsid w:val="00741A9A"/>
    <w:rsid w:val="0075051B"/>
    <w:rsid w:val="007526AA"/>
    <w:rsid w:val="00771F66"/>
    <w:rsid w:val="00775ED3"/>
    <w:rsid w:val="00782C08"/>
    <w:rsid w:val="0078418B"/>
    <w:rsid w:val="007854B4"/>
    <w:rsid w:val="00791F72"/>
    <w:rsid w:val="007923F2"/>
    <w:rsid w:val="00793188"/>
    <w:rsid w:val="00794D34"/>
    <w:rsid w:val="007970E6"/>
    <w:rsid w:val="007A0D20"/>
    <w:rsid w:val="007A21EF"/>
    <w:rsid w:val="007A625C"/>
    <w:rsid w:val="007C6915"/>
    <w:rsid w:val="007D5580"/>
    <w:rsid w:val="007E06E0"/>
    <w:rsid w:val="007E2457"/>
    <w:rsid w:val="007E2872"/>
    <w:rsid w:val="007F0832"/>
    <w:rsid w:val="007F1E02"/>
    <w:rsid w:val="007F3260"/>
    <w:rsid w:val="007F5370"/>
    <w:rsid w:val="008074E2"/>
    <w:rsid w:val="00813E5E"/>
    <w:rsid w:val="0083581B"/>
    <w:rsid w:val="00840FAB"/>
    <w:rsid w:val="00846582"/>
    <w:rsid w:val="00850E25"/>
    <w:rsid w:val="00856299"/>
    <w:rsid w:val="008565C5"/>
    <w:rsid w:val="00857B9A"/>
    <w:rsid w:val="00860CB6"/>
    <w:rsid w:val="00864AFF"/>
    <w:rsid w:val="00865C34"/>
    <w:rsid w:val="00867477"/>
    <w:rsid w:val="00873F2F"/>
    <w:rsid w:val="008835B2"/>
    <w:rsid w:val="00887DBE"/>
    <w:rsid w:val="00893F6A"/>
    <w:rsid w:val="008A119B"/>
    <w:rsid w:val="008B2444"/>
    <w:rsid w:val="008B4A6A"/>
    <w:rsid w:val="008C1C22"/>
    <w:rsid w:val="008C70A4"/>
    <w:rsid w:val="008C7E27"/>
    <w:rsid w:val="008D0B96"/>
    <w:rsid w:val="008D6887"/>
    <w:rsid w:val="008E0CEE"/>
    <w:rsid w:val="008F0C7A"/>
    <w:rsid w:val="008F155C"/>
    <w:rsid w:val="008F4AA2"/>
    <w:rsid w:val="00907879"/>
    <w:rsid w:val="009173EF"/>
    <w:rsid w:val="00923B1B"/>
    <w:rsid w:val="00932906"/>
    <w:rsid w:val="00940D0A"/>
    <w:rsid w:val="00941A68"/>
    <w:rsid w:val="00952D44"/>
    <w:rsid w:val="00954FE0"/>
    <w:rsid w:val="00956117"/>
    <w:rsid w:val="00961B0B"/>
    <w:rsid w:val="00961CFF"/>
    <w:rsid w:val="00965FC4"/>
    <w:rsid w:val="00972A93"/>
    <w:rsid w:val="00972BA4"/>
    <w:rsid w:val="00980187"/>
    <w:rsid w:val="009967E9"/>
    <w:rsid w:val="009A65B1"/>
    <w:rsid w:val="009B38C3"/>
    <w:rsid w:val="009C0A3F"/>
    <w:rsid w:val="009D2816"/>
    <w:rsid w:val="009D2BE1"/>
    <w:rsid w:val="009D4AFC"/>
    <w:rsid w:val="009D537F"/>
    <w:rsid w:val="009D6220"/>
    <w:rsid w:val="009D6D4E"/>
    <w:rsid w:val="009E17BD"/>
    <w:rsid w:val="009E485A"/>
    <w:rsid w:val="009E7792"/>
    <w:rsid w:val="009F4AA3"/>
    <w:rsid w:val="009F4DDF"/>
    <w:rsid w:val="00A04CEC"/>
    <w:rsid w:val="00A06F07"/>
    <w:rsid w:val="00A0797C"/>
    <w:rsid w:val="00A1499C"/>
    <w:rsid w:val="00A22008"/>
    <w:rsid w:val="00A27F92"/>
    <w:rsid w:val="00A32257"/>
    <w:rsid w:val="00A32893"/>
    <w:rsid w:val="00A36D20"/>
    <w:rsid w:val="00A40273"/>
    <w:rsid w:val="00A50452"/>
    <w:rsid w:val="00A51A46"/>
    <w:rsid w:val="00A55622"/>
    <w:rsid w:val="00A629CF"/>
    <w:rsid w:val="00A72EFD"/>
    <w:rsid w:val="00A774D2"/>
    <w:rsid w:val="00A80383"/>
    <w:rsid w:val="00A81758"/>
    <w:rsid w:val="00A83502"/>
    <w:rsid w:val="00A87AE9"/>
    <w:rsid w:val="00A905CA"/>
    <w:rsid w:val="00A94E3A"/>
    <w:rsid w:val="00AA2F54"/>
    <w:rsid w:val="00AA364D"/>
    <w:rsid w:val="00AA5941"/>
    <w:rsid w:val="00AC1CF2"/>
    <w:rsid w:val="00AC2047"/>
    <w:rsid w:val="00AD15B3"/>
    <w:rsid w:val="00AD246D"/>
    <w:rsid w:val="00AE068F"/>
    <w:rsid w:val="00AE22ED"/>
    <w:rsid w:val="00AE3041"/>
    <w:rsid w:val="00AF3962"/>
    <w:rsid w:val="00AF4ABD"/>
    <w:rsid w:val="00AF6E49"/>
    <w:rsid w:val="00B04A67"/>
    <w:rsid w:val="00B0583C"/>
    <w:rsid w:val="00B226D6"/>
    <w:rsid w:val="00B32D8F"/>
    <w:rsid w:val="00B32F32"/>
    <w:rsid w:val="00B3457F"/>
    <w:rsid w:val="00B37E25"/>
    <w:rsid w:val="00B40A81"/>
    <w:rsid w:val="00B44910"/>
    <w:rsid w:val="00B45FA0"/>
    <w:rsid w:val="00B477A9"/>
    <w:rsid w:val="00B61186"/>
    <w:rsid w:val="00B72267"/>
    <w:rsid w:val="00B76EB6"/>
    <w:rsid w:val="00B7737B"/>
    <w:rsid w:val="00B824C8"/>
    <w:rsid w:val="00B84B9D"/>
    <w:rsid w:val="00B919DC"/>
    <w:rsid w:val="00BA274D"/>
    <w:rsid w:val="00BB0B86"/>
    <w:rsid w:val="00BB7C67"/>
    <w:rsid w:val="00BC251A"/>
    <w:rsid w:val="00BD032B"/>
    <w:rsid w:val="00BD0D3C"/>
    <w:rsid w:val="00BD1539"/>
    <w:rsid w:val="00BD1B17"/>
    <w:rsid w:val="00BD2129"/>
    <w:rsid w:val="00BD29FE"/>
    <w:rsid w:val="00BD764F"/>
    <w:rsid w:val="00BE2640"/>
    <w:rsid w:val="00BF0B73"/>
    <w:rsid w:val="00BF178F"/>
    <w:rsid w:val="00C01065"/>
    <w:rsid w:val="00C01189"/>
    <w:rsid w:val="00C03F0E"/>
    <w:rsid w:val="00C04128"/>
    <w:rsid w:val="00C241E6"/>
    <w:rsid w:val="00C30936"/>
    <w:rsid w:val="00C30BAB"/>
    <w:rsid w:val="00C367B5"/>
    <w:rsid w:val="00C36D41"/>
    <w:rsid w:val="00C374DE"/>
    <w:rsid w:val="00C42FD2"/>
    <w:rsid w:val="00C46EBF"/>
    <w:rsid w:val="00C47AB7"/>
    <w:rsid w:val="00C47AD4"/>
    <w:rsid w:val="00C52D81"/>
    <w:rsid w:val="00C55198"/>
    <w:rsid w:val="00C634B4"/>
    <w:rsid w:val="00C774E3"/>
    <w:rsid w:val="00C8145D"/>
    <w:rsid w:val="00C85403"/>
    <w:rsid w:val="00C91199"/>
    <w:rsid w:val="00C925C6"/>
    <w:rsid w:val="00C934C4"/>
    <w:rsid w:val="00C93841"/>
    <w:rsid w:val="00C972ED"/>
    <w:rsid w:val="00CA4BF3"/>
    <w:rsid w:val="00CA55CB"/>
    <w:rsid w:val="00CA6393"/>
    <w:rsid w:val="00CB1473"/>
    <w:rsid w:val="00CB18FF"/>
    <w:rsid w:val="00CB3DFE"/>
    <w:rsid w:val="00CC5C81"/>
    <w:rsid w:val="00CD0C08"/>
    <w:rsid w:val="00CD60F6"/>
    <w:rsid w:val="00CE03FB"/>
    <w:rsid w:val="00CE433C"/>
    <w:rsid w:val="00CF0B20"/>
    <w:rsid w:val="00CF33F3"/>
    <w:rsid w:val="00CF634B"/>
    <w:rsid w:val="00D0150B"/>
    <w:rsid w:val="00D06183"/>
    <w:rsid w:val="00D065D3"/>
    <w:rsid w:val="00D06ACE"/>
    <w:rsid w:val="00D12F9C"/>
    <w:rsid w:val="00D21096"/>
    <w:rsid w:val="00D22C42"/>
    <w:rsid w:val="00D36E77"/>
    <w:rsid w:val="00D45432"/>
    <w:rsid w:val="00D457A2"/>
    <w:rsid w:val="00D65041"/>
    <w:rsid w:val="00D845D7"/>
    <w:rsid w:val="00D87D81"/>
    <w:rsid w:val="00D9019F"/>
    <w:rsid w:val="00D92EF4"/>
    <w:rsid w:val="00D954C9"/>
    <w:rsid w:val="00D96300"/>
    <w:rsid w:val="00DA0482"/>
    <w:rsid w:val="00DA3820"/>
    <w:rsid w:val="00DB23AF"/>
    <w:rsid w:val="00DB3188"/>
    <w:rsid w:val="00DB384B"/>
    <w:rsid w:val="00DB7BFE"/>
    <w:rsid w:val="00DC0A90"/>
    <w:rsid w:val="00DC7A3D"/>
    <w:rsid w:val="00DD45FA"/>
    <w:rsid w:val="00DE1BA5"/>
    <w:rsid w:val="00DE79ED"/>
    <w:rsid w:val="00E10E80"/>
    <w:rsid w:val="00E124F0"/>
    <w:rsid w:val="00E138B0"/>
    <w:rsid w:val="00E14272"/>
    <w:rsid w:val="00E33EA3"/>
    <w:rsid w:val="00E47DE6"/>
    <w:rsid w:val="00E50435"/>
    <w:rsid w:val="00E5225E"/>
    <w:rsid w:val="00E60F04"/>
    <w:rsid w:val="00E63C09"/>
    <w:rsid w:val="00E71DD1"/>
    <w:rsid w:val="00E728E7"/>
    <w:rsid w:val="00E76B52"/>
    <w:rsid w:val="00E85154"/>
    <w:rsid w:val="00E854E4"/>
    <w:rsid w:val="00E9006A"/>
    <w:rsid w:val="00E95CF6"/>
    <w:rsid w:val="00EB0D6F"/>
    <w:rsid w:val="00EB2232"/>
    <w:rsid w:val="00EC5337"/>
    <w:rsid w:val="00ED0854"/>
    <w:rsid w:val="00ED24D5"/>
    <w:rsid w:val="00ED7403"/>
    <w:rsid w:val="00EE1477"/>
    <w:rsid w:val="00EE3A37"/>
    <w:rsid w:val="00EE79BF"/>
    <w:rsid w:val="00EF23E4"/>
    <w:rsid w:val="00EF24BC"/>
    <w:rsid w:val="00EF63EE"/>
    <w:rsid w:val="00F04711"/>
    <w:rsid w:val="00F2150A"/>
    <w:rsid w:val="00F231D8"/>
    <w:rsid w:val="00F23352"/>
    <w:rsid w:val="00F27224"/>
    <w:rsid w:val="00F30A7E"/>
    <w:rsid w:val="00F37CAA"/>
    <w:rsid w:val="00F408CF"/>
    <w:rsid w:val="00F42E29"/>
    <w:rsid w:val="00F46C5F"/>
    <w:rsid w:val="00F55B2D"/>
    <w:rsid w:val="00F6393E"/>
    <w:rsid w:val="00F73731"/>
    <w:rsid w:val="00F74A1B"/>
    <w:rsid w:val="00F835CC"/>
    <w:rsid w:val="00F83B8A"/>
    <w:rsid w:val="00F94A63"/>
    <w:rsid w:val="00FA019A"/>
    <w:rsid w:val="00FA1C28"/>
    <w:rsid w:val="00FA3450"/>
    <w:rsid w:val="00FB1279"/>
    <w:rsid w:val="00FB41C4"/>
    <w:rsid w:val="00FB430E"/>
    <w:rsid w:val="00FB7596"/>
    <w:rsid w:val="00FB7E03"/>
    <w:rsid w:val="00FC016B"/>
    <w:rsid w:val="00FC2CB4"/>
    <w:rsid w:val="00FC4124"/>
    <w:rsid w:val="00FC73E0"/>
    <w:rsid w:val="00FC7BB8"/>
    <w:rsid w:val="00FD7E5E"/>
    <w:rsid w:val="00FE165F"/>
    <w:rsid w:val="00FE4077"/>
    <w:rsid w:val="00FE593D"/>
    <w:rsid w:val="00FE77D2"/>
    <w:rsid w:val="00FF07E8"/>
    <w:rsid w:val="0149C7C2"/>
    <w:rsid w:val="074DB8F5"/>
    <w:rsid w:val="08344C03"/>
    <w:rsid w:val="0DAA0918"/>
    <w:rsid w:val="17B8FA0B"/>
    <w:rsid w:val="17FCC20A"/>
    <w:rsid w:val="1865FFA7"/>
    <w:rsid w:val="19F9D41B"/>
    <w:rsid w:val="1AB01F56"/>
    <w:rsid w:val="231AA233"/>
    <w:rsid w:val="2BE1592D"/>
    <w:rsid w:val="2BF9EA12"/>
    <w:rsid w:val="2DE75E67"/>
    <w:rsid w:val="2E5E66DC"/>
    <w:rsid w:val="2EB9672F"/>
    <w:rsid w:val="32DC4EF7"/>
    <w:rsid w:val="3600F5E2"/>
    <w:rsid w:val="36152521"/>
    <w:rsid w:val="36E00339"/>
    <w:rsid w:val="3BFC7525"/>
    <w:rsid w:val="3DAA5E58"/>
    <w:rsid w:val="400A4F0F"/>
    <w:rsid w:val="48AA194C"/>
    <w:rsid w:val="49C52635"/>
    <w:rsid w:val="4A6BBF56"/>
    <w:rsid w:val="4ACF78E1"/>
    <w:rsid w:val="4CA98E9B"/>
    <w:rsid w:val="4D819E9F"/>
    <w:rsid w:val="52B524AC"/>
    <w:rsid w:val="5B6A7C46"/>
    <w:rsid w:val="61CBBF3A"/>
    <w:rsid w:val="67A1EBA6"/>
    <w:rsid w:val="6C1DC0AA"/>
    <w:rsid w:val="6D571C02"/>
    <w:rsid w:val="6EBD3900"/>
    <w:rsid w:val="70590961"/>
    <w:rsid w:val="71E13F09"/>
    <w:rsid w:val="7204DC01"/>
    <w:rsid w:val="747EDD70"/>
    <w:rsid w:val="75C9FE18"/>
    <w:rsid w:val="76021CEC"/>
    <w:rsid w:val="7620180E"/>
    <w:rsid w:val="7DFF3041"/>
    <w:rsid w:val="7F714C35"/>
    <w:rsid w:val="7FADF7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UnresolvedMention1">
    <w:name w:val="Unresolved Mention1"/>
    <w:basedOn w:val="DefaultParagraphFont"/>
    <w:uiPriority w:val="99"/>
    <w:semiHidden/>
    <w:unhideWhenUsed/>
    <w:rsid w:val="005B16FB"/>
    <w:rPr>
      <w:color w:val="605E5C"/>
      <w:shd w:val="clear" w:color="auto" w:fill="E1DFDD"/>
    </w:rPr>
  </w:style>
  <w:style w:type="character" w:styleId="CommentReference">
    <w:name w:val="annotation reference"/>
    <w:basedOn w:val="DefaultParagraphFont"/>
    <w:unhideWhenUsed/>
    <w:rsid w:val="00731CEE"/>
    <w:rPr>
      <w:sz w:val="16"/>
      <w:szCs w:val="16"/>
    </w:rPr>
  </w:style>
  <w:style w:type="paragraph" w:styleId="CommentText">
    <w:name w:val="annotation text"/>
    <w:basedOn w:val="Normal"/>
    <w:link w:val="CommentTextChar"/>
    <w:unhideWhenUsed/>
    <w:rsid w:val="00731CEE"/>
    <w:rPr>
      <w:sz w:val="20"/>
    </w:rPr>
  </w:style>
  <w:style w:type="character" w:customStyle="1" w:styleId="CommentTextChar">
    <w:name w:val="Comment Text Char"/>
    <w:basedOn w:val="DefaultParagraphFont"/>
    <w:link w:val="CommentText"/>
    <w:rsid w:val="00731CEE"/>
    <w:rPr>
      <w:rFonts w:ascii="Calibri" w:hAnsi="Calibri"/>
      <w:lang w:val="en-GB" w:eastAsia="en-US"/>
    </w:rPr>
  </w:style>
  <w:style w:type="paragraph" w:styleId="CommentSubject">
    <w:name w:val="annotation subject"/>
    <w:basedOn w:val="CommentText"/>
    <w:next w:val="CommentText"/>
    <w:link w:val="CommentSubjectChar"/>
    <w:semiHidden/>
    <w:unhideWhenUsed/>
    <w:rsid w:val="00731CEE"/>
    <w:rPr>
      <w:b/>
      <w:bCs/>
    </w:rPr>
  </w:style>
  <w:style w:type="character" w:customStyle="1" w:styleId="CommentSubjectChar">
    <w:name w:val="Comment Subject Char"/>
    <w:basedOn w:val="CommentTextChar"/>
    <w:link w:val="CommentSubject"/>
    <w:semiHidden/>
    <w:rsid w:val="00731CEE"/>
    <w:rPr>
      <w:rFonts w:ascii="Calibri" w:hAnsi="Calibri"/>
      <w:b/>
      <w:bCs/>
      <w:lang w:val="en-GB" w:eastAsia="en-US"/>
    </w:rPr>
  </w:style>
  <w:style w:type="character" w:customStyle="1" w:styleId="Heading1Char">
    <w:name w:val="Heading 1 Char"/>
    <w:basedOn w:val="DefaultParagraphFont"/>
    <w:link w:val="Heading1"/>
    <w:rsid w:val="00434A00"/>
    <w:rPr>
      <w:rFonts w:ascii="Calibri" w:hAnsi="Calibri"/>
      <w:b/>
      <w:sz w:val="28"/>
      <w:lang w:val="en-GB" w:eastAsia="en-US"/>
    </w:rPr>
  </w:style>
  <w:style w:type="character" w:customStyle="1" w:styleId="Heading3Char">
    <w:name w:val="Heading 3 Char"/>
    <w:basedOn w:val="DefaultParagraphFont"/>
    <w:link w:val="Heading3"/>
    <w:rsid w:val="00434A00"/>
    <w:rPr>
      <w:rFonts w:ascii="Calibri" w:hAnsi="Calibri"/>
      <w:b/>
      <w:sz w:val="24"/>
      <w:lang w:val="en-GB" w:eastAsia="en-US"/>
    </w:rPr>
  </w:style>
  <w:style w:type="paragraph" w:styleId="NormalWeb">
    <w:name w:val="Normal (Web)"/>
    <w:basedOn w:val="Normal"/>
    <w:uiPriority w:val="99"/>
    <w:unhideWhenUsed/>
    <w:rsid w:val="00434A00"/>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Theme="minorHAnsi" w:hAnsi="Times New Roman"/>
      <w:szCs w:val="24"/>
      <w:lang w:eastAsia="en-GB"/>
    </w:rPr>
  </w:style>
  <w:style w:type="paragraph" w:styleId="ListParagraph">
    <w:name w:val="List Paragraph"/>
    <w:basedOn w:val="Normal"/>
    <w:uiPriority w:val="34"/>
    <w:qFormat/>
    <w:rsid w:val="00A94E3A"/>
    <w:pPr>
      <w:ind w:left="720"/>
      <w:contextualSpacing/>
    </w:pPr>
  </w:style>
  <w:style w:type="character" w:styleId="Emphasis">
    <w:name w:val="Emphasis"/>
    <w:basedOn w:val="DefaultParagraphFont"/>
    <w:qFormat/>
    <w:rsid w:val="00273545"/>
    <w:rPr>
      <w:i/>
      <w:iCs/>
    </w:rPr>
  </w:style>
  <w:style w:type="paragraph" w:customStyle="1" w:styleId="font8">
    <w:name w:val="font_8"/>
    <w:basedOn w:val="Normal"/>
    <w:rsid w:val="00124AC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wixguard">
    <w:name w:val="wixguard"/>
    <w:basedOn w:val="DefaultParagraphFont"/>
    <w:rsid w:val="00124AC8"/>
  </w:style>
  <w:style w:type="character" w:customStyle="1" w:styleId="normaltextrun">
    <w:name w:val="normaltextrun"/>
    <w:basedOn w:val="DefaultParagraphFont"/>
    <w:rsid w:val="00CF634B"/>
  </w:style>
  <w:style w:type="character" w:customStyle="1" w:styleId="eop">
    <w:name w:val="eop"/>
    <w:basedOn w:val="DefaultParagraphFont"/>
    <w:rsid w:val="007F0832"/>
  </w:style>
  <w:style w:type="paragraph" w:styleId="Revision">
    <w:name w:val="Revision"/>
    <w:hidden/>
    <w:uiPriority w:val="99"/>
    <w:semiHidden/>
    <w:rsid w:val="00941A68"/>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220380">
      <w:bodyDiv w:val="1"/>
      <w:marLeft w:val="0"/>
      <w:marRight w:val="0"/>
      <w:marTop w:val="0"/>
      <w:marBottom w:val="0"/>
      <w:divBdr>
        <w:top w:val="none" w:sz="0" w:space="0" w:color="auto"/>
        <w:left w:val="none" w:sz="0" w:space="0" w:color="auto"/>
        <w:bottom w:val="none" w:sz="0" w:space="0" w:color="auto"/>
        <w:right w:val="none" w:sz="0" w:space="0" w:color="auto"/>
      </w:divBdr>
    </w:div>
    <w:div w:id="1347829412">
      <w:bodyDiv w:val="1"/>
      <w:marLeft w:val="0"/>
      <w:marRight w:val="0"/>
      <w:marTop w:val="0"/>
      <w:marBottom w:val="0"/>
      <w:divBdr>
        <w:top w:val="none" w:sz="0" w:space="0" w:color="auto"/>
        <w:left w:val="none" w:sz="0" w:space="0" w:color="auto"/>
        <w:bottom w:val="none" w:sz="0" w:space="0" w:color="auto"/>
        <w:right w:val="none" w:sz="0" w:space="0" w:color="auto"/>
      </w:divBdr>
    </w:div>
    <w:div w:id="1574048873">
      <w:bodyDiv w:val="1"/>
      <w:marLeft w:val="0"/>
      <w:marRight w:val="0"/>
      <w:marTop w:val="0"/>
      <w:marBottom w:val="0"/>
      <w:divBdr>
        <w:top w:val="none" w:sz="0" w:space="0" w:color="auto"/>
        <w:left w:val="none" w:sz="0" w:space="0" w:color="auto"/>
        <w:bottom w:val="none" w:sz="0" w:space="0" w:color="auto"/>
        <w:right w:val="none" w:sz="0" w:space="0" w:color="auto"/>
      </w:divBdr>
      <w:divsChild>
        <w:div w:id="263611571">
          <w:marLeft w:val="360"/>
          <w:marRight w:val="0"/>
          <w:marTop w:val="200"/>
          <w:marBottom w:val="0"/>
          <w:divBdr>
            <w:top w:val="none" w:sz="0" w:space="0" w:color="auto"/>
            <w:left w:val="none" w:sz="0" w:space="0" w:color="auto"/>
            <w:bottom w:val="none" w:sz="0" w:space="0" w:color="auto"/>
            <w:right w:val="none" w:sz="0" w:space="0" w:color="auto"/>
          </w:divBdr>
        </w:div>
        <w:div w:id="1303851322">
          <w:marLeft w:val="360"/>
          <w:marRight w:val="0"/>
          <w:marTop w:val="200"/>
          <w:marBottom w:val="0"/>
          <w:divBdr>
            <w:top w:val="none" w:sz="0" w:space="0" w:color="auto"/>
            <w:left w:val="none" w:sz="0" w:space="0" w:color="auto"/>
            <w:bottom w:val="none" w:sz="0" w:space="0" w:color="auto"/>
            <w:right w:val="none" w:sz="0" w:space="0" w:color="auto"/>
          </w:divBdr>
        </w:div>
        <w:div w:id="1448425255">
          <w:marLeft w:val="360"/>
          <w:marRight w:val="0"/>
          <w:marTop w:val="200"/>
          <w:marBottom w:val="0"/>
          <w:divBdr>
            <w:top w:val="none" w:sz="0" w:space="0" w:color="auto"/>
            <w:left w:val="none" w:sz="0" w:space="0" w:color="auto"/>
            <w:bottom w:val="none" w:sz="0" w:space="0" w:color="auto"/>
            <w:right w:val="none" w:sz="0" w:space="0" w:color="auto"/>
          </w:divBdr>
        </w:div>
        <w:div w:id="1611428368">
          <w:marLeft w:val="360"/>
          <w:marRight w:val="0"/>
          <w:marTop w:val="200"/>
          <w:marBottom w:val="0"/>
          <w:divBdr>
            <w:top w:val="none" w:sz="0" w:space="0" w:color="auto"/>
            <w:left w:val="none" w:sz="0" w:space="0" w:color="auto"/>
            <w:bottom w:val="none" w:sz="0" w:space="0" w:color="auto"/>
            <w:right w:val="none" w:sz="0" w:space="0" w:color="auto"/>
          </w:divBdr>
        </w:div>
        <w:div w:id="969168456">
          <w:marLeft w:val="360"/>
          <w:marRight w:val="0"/>
          <w:marTop w:val="200"/>
          <w:marBottom w:val="0"/>
          <w:divBdr>
            <w:top w:val="none" w:sz="0" w:space="0" w:color="auto"/>
            <w:left w:val="none" w:sz="0" w:space="0" w:color="auto"/>
            <w:bottom w:val="none" w:sz="0" w:space="0" w:color="auto"/>
            <w:right w:val="none" w:sz="0" w:space="0" w:color="auto"/>
          </w:divBdr>
        </w:div>
        <w:div w:id="599410458">
          <w:marLeft w:val="360"/>
          <w:marRight w:val="0"/>
          <w:marTop w:val="200"/>
          <w:marBottom w:val="0"/>
          <w:divBdr>
            <w:top w:val="none" w:sz="0" w:space="0" w:color="auto"/>
            <w:left w:val="none" w:sz="0" w:space="0" w:color="auto"/>
            <w:bottom w:val="none" w:sz="0" w:space="0" w:color="auto"/>
            <w:right w:val="none" w:sz="0" w:space="0" w:color="auto"/>
          </w:divBdr>
        </w:div>
        <w:div w:id="1443303648">
          <w:marLeft w:val="360"/>
          <w:marRight w:val="0"/>
          <w:marTop w:val="200"/>
          <w:marBottom w:val="0"/>
          <w:divBdr>
            <w:top w:val="none" w:sz="0" w:space="0" w:color="auto"/>
            <w:left w:val="none" w:sz="0" w:space="0" w:color="auto"/>
            <w:bottom w:val="none" w:sz="0" w:space="0" w:color="auto"/>
            <w:right w:val="none" w:sz="0" w:space="0" w:color="auto"/>
          </w:divBdr>
        </w:div>
      </w:divsChild>
    </w:div>
    <w:div w:id="177019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3-CL-C-0039/en" TargetMode="External"/><Relationship Id="rId18" Type="http://schemas.openxmlformats.org/officeDocument/2006/relationships/hyperlink" Target="https://www.itu.int/md/S18-CL-C-0006/en" TargetMode="External"/><Relationship Id="rId26" Type="http://schemas.openxmlformats.org/officeDocument/2006/relationships/hyperlink" Target="https://www.itu.int/md/S21-CL-INF-0004/en" TargetMode="External"/><Relationship Id="rId39" Type="http://schemas.openxmlformats.org/officeDocument/2006/relationships/hyperlink" Target="http://digitalinclusionnewslog.itu.int/2018/09/07/african-girls-can-code-initiative-2018-2022-to-bridge-the-regional-gender-divide/" TargetMode="External"/><Relationship Id="rId21" Type="http://schemas.openxmlformats.org/officeDocument/2006/relationships/hyperlink" Target="https://www.itu.int/md/S21-CL-C-0006/en" TargetMode="External"/><Relationship Id="rId34" Type="http://schemas.openxmlformats.org/officeDocument/2006/relationships/hyperlink" Target="http://www.itu.int/go/WSISGender" TargetMode="External"/><Relationship Id="rId42" Type="http://schemas.openxmlformats.org/officeDocument/2006/relationships/hyperlink" Target="https://www.itu.int/en/ITU-D/Cybersecurity/Pages/Women-in-Cyber/Women-in-Cyber-Mentorship-Programme.aspx" TargetMode="External"/><Relationship Id="rId47" Type="http://schemas.openxmlformats.org/officeDocument/2006/relationships/hyperlink" Target="https://www.itu.int/en/ITU-D/Digital-Inclusion/Women-and-Girls/Girls-in-ICT-Portal/Pages/GirlsInICTDay/2020/default.aspx" TargetMode="External"/><Relationship Id="rId50" Type="http://schemas.openxmlformats.org/officeDocument/2006/relationships/hyperlink" Target="https://www.itu.int/now4wrc23/regional-co-chairs-and-representatives/" TargetMode="External"/><Relationship Id="rId55" Type="http://schemas.openxmlformats.org/officeDocument/2006/relationships/hyperlink" Target="https://www.itu.int/md/S22-CL-INF-0004/e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16-CL-C-0006/en" TargetMode="External"/><Relationship Id="rId29" Type="http://schemas.openxmlformats.org/officeDocument/2006/relationships/hyperlink" Target="https://www.itu.int/en/ITU-D/Statistics/Documents/facts/FactsFigures2021.pdf" TargetMode="External"/><Relationship Id="rId11" Type="http://schemas.openxmlformats.org/officeDocument/2006/relationships/image" Target="media/image1.jpeg"/><Relationship Id="rId24" Type="http://schemas.openxmlformats.org/officeDocument/2006/relationships/hyperlink" Target="https://www.itu.int/md/S19-CL-INF-0002/en" TargetMode="External"/><Relationship Id="rId32" Type="http://schemas.openxmlformats.org/officeDocument/2006/relationships/hyperlink" Target="http://www.itu.int/net/wsis/documents/HLE.html" TargetMode="External"/><Relationship Id="rId37" Type="http://schemas.openxmlformats.org/officeDocument/2006/relationships/hyperlink" Target="https://www.itu.int/en/ITU-D/Digital-Inclusion/Women-and-Girls/Girls-in-ICT-Portal/Pages/GirlsInICTDay/2021/GICT-2021.aspx" TargetMode="External"/><Relationship Id="rId40" Type="http://schemas.openxmlformats.org/officeDocument/2006/relationships/hyperlink" Target="https://www.youtube.com/watch?v=gkYUlpgasoo" TargetMode="External"/><Relationship Id="rId45" Type="http://schemas.openxmlformats.org/officeDocument/2006/relationships/hyperlink" Target="https://www.itu.int/md/S21-CL-C-0013/en" TargetMode="External"/><Relationship Id="rId53" Type="http://schemas.openxmlformats.org/officeDocument/2006/relationships/hyperlink" Target="https://www.itu.int/en/ITU-D/Conferences/WTDC/WTDC21/NoW/Pages/default.aspx" TargetMode="External"/><Relationship Id="rId58" Type="http://schemas.openxmlformats.org/officeDocument/2006/relationships/footer" Target="footer2.xml"/><Relationship Id="rId5" Type="http://schemas.openxmlformats.org/officeDocument/2006/relationships/numbering" Target="numbering.xml"/><Relationship Id="rId19" Type="http://schemas.openxmlformats.org/officeDocument/2006/relationships/hyperlink" Target="https://www.itu.int/md/S19-CL-C-0006/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4-CL-C-0006/en" TargetMode="External"/><Relationship Id="rId22" Type="http://schemas.openxmlformats.org/officeDocument/2006/relationships/hyperlink" Target="https://www.itu.int/md/S13-CL-INF-0011/en" TargetMode="External"/><Relationship Id="rId27" Type="http://schemas.openxmlformats.org/officeDocument/2006/relationships/hyperlink" Target="https://www.itu.int/md/S22-CL-INF-0004/en" TargetMode="External"/><Relationship Id="rId30" Type="http://schemas.openxmlformats.org/officeDocument/2006/relationships/hyperlink" Target="https://www.itu.int/en/action/gender-equality/data/Pages/default.aspx" TargetMode="External"/><Relationship Id="rId35" Type="http://schemas.openxmlformats.org/officeDocument/2006/relationships/hyperlink" Target="https://www.itu.int/net4/wsis/forum/2022/Home/ICTsGender" TargetMode="External"/><Relationship Id="rId43" Type="http://schemas.openxmlformats.org/officeDocument/2006/relationships/hyperlink" Target="https://www.equalsintech.org/awards" TargetMode="External"/><Relationship Id="rId48" Type="http://schemas.openxmlformats.org/officeDocument/2006/relationships/hyperlink" Target="https://www.itu.int/en/ITU-R/conferences/rag/cg-gender/Documents/WRC-19%20GENDER%20DECLARATION%20-%20EN.pdf"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itu.int/now4wrc23/br-coordinators/" TargetMode="External"/><Relationship Id="rId3" Type="http://schemas.openxmlformats.org/officeDocument/2006/relationships/customXml" Target="../customXml/item3.xml"/><Relationship Id="rId12" Type="http://schemas.openxmlformats.org/officeDocument/2006/relationships/hyperlink" Target="https://www.itu.int/en/council/Documents/basic-texts/RES-070-E.pdf" TargetMode="External"/><Relationship Id="rId17" Type="http://schemas.openxmlformats.org/officeDocument/2006/relationships/hyperlink" Target="https://www.itu.int/md/S17-CL-C-0006/en" TargetMode="External"/><Relationship Id="rId25" Type="http://schemas.openxmlformats.org/officeDocument/2006/relationships/hyperlink" Target="https://www.itu.int/md/S20-CL-INF-0002/en" TargetMode="External"/><Relationship Id="rId33" Type="http://schemas.openxmlformats.org/officeDocument/2006/relationships/hyperlink" Target="https://www.itu.int/net4/wsis/forum/2020/Agenda/SpecialTrack/2" TargetMode="External"/><Relationship Id="rId38" Type="http://schemas.openxmlformats.org/officeDocument/2006/relationships/hyperlink" Target="https://www.itu.int/en/ITU-D/Digital-Inclusion/Women-and-Girls/Girls-in-ICT-Portal/Pages/GirlsInICTDay/2021/GICT-2021.aspx" TargetMode="External"/><Relationship Id="rId46" Type="http://schemas.openxmlformats.org/officeDocument/2006/relationships/hyperlink" Target="https://www.youtube.com/watch?v=iuzrGPhv2eQ" TargetMode="External"/><Relationship Id="rId59" Type="http://schemas.openxmlformats.org/officeDocument/2006/relationships/fontTable" Target="fontTable.xml"/><Relationship Id="rId20" Type="http://schemas.openxmlformats.org/officeDocument/2006/relationships/hyperlink" Target="https://www.itu.int/md/S20-CL-C-0006/en" TargetMode="External"/><Relationship Id="rId41" Type="http://schemas.openxmlformats.org/officeDocument/2006/relationships/hyperlink" Target="https://www.equalsintech.org/" TargetMode="External"/><Relationship Id="rId54" Type="http://schemas.openxmlformats.org/officeDocument/2006/relationships/hyperlink" Target="https://genderchampions.com/commitment?CommitmentSearch%5bchampion_ids%5d%5b%5d=230&amp;CommitmentSearch%5bcategory_id%5d=&amp;CommitmentSearch%5bchapter_id%5d="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S15-CL-C-0006/en" TargetMode="External"/><Relationship Id="rId23" Type="http://schemas.openxmlformats.org/officeDocument/2006/relationships/hyperlink" Target="https://www.itu.int/md/S18-CL-INF-0003/en" TargetMode="External"/><Relationship Id="rId28" Type="http://schemas.openxmlformats.org/officeDocument/2006/relationships/hyperlink" Target="https://www.itu.int/en/action/gender-equality/Pages/default.aspx" TargetMode="External"/><Relationship Id="rId36" Type="http://schemas.openxmlformats.org/officeDocument/2006/relationships/hyperlink" Target="http://www.wsis.org/forum" TargetMode="External"/><Relationship Id="rId49" Type="http://schemas.openxmlformats.org/officeDocument/2006/relationships/hyperlink" Target="https://www.itu.int/now4wrc23/"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itu.int/md/S22-CL-C-0054/en" TargetMode="External"/><Relationship Id="rId44" Type="http://schemas.openxmlformats.org/officeDocument/2006/relationships/hyperlink" Target="https://www.itu.int/en/ITU-D/Digital-Inclusion/Pages/EIF-Regional-Project-.aspx" TargetMode="External"/><Relationship Id="rId52" Type="http://schemas.openxmlformats.org/officeDocument/2006/relationships/hyperlink" Target="https://www.itu.int/en/ITU-R/conferences/rag/cg-gender/Pages/default.aspx" TargetMode="External"/><Relationship Id="rId6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2146B739B54F40B714F2E60E92A517" ma:contentTypeVersion="11" ma:contentTypeDescription="Create a new document." ma:contentTypeScope="" ma:versionID="1604cf55fee953e9b7198be3093ca619">
  <xsd:schema xmlns:xsd="http://www.w3.org/2001/XMLSchema" xmlns:xs="http://www.w3.org/2001/XMLSchema" xmlns:p="http://schemas.microsoft.com/office/2006/metadata/properties" xmlns:ns2="6524ed65-50c7-4fb3-9954-e6cb51bee540" xmlns:ns3="cb5c4e96-d2fa-4fb5-b842-8bb7a9e662f3" targetNamespace="http://schemas.microsoft.com/office/2006/metadata/properties" ma:root="true" ma:fieldsID="5f327f124a7db2e7e29bc8046be653d2" ns2:_="" ns3:_="">
    <xsd:import namespace="6524ed65-50c7-4fb3-9954-e6cb51bee540"/>
    <xsd:import namespace="cb5c4e96-d2fa-4fb5-b842-8bb7a9e662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ed65-50c7-4fb3-9954-e6cb51bee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5c4e96-d2fa-4fb5-b842-8bb7a9e662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68336-9E7B-4761-BF6C-A00136DF64F5}">
  <ds:schemaRefs>
    <ds:schemaRef ds:uri="http://schemas.microsoft.com/sharepoint/v3/contenttype/forms"/>
  </ds:schemaRefs>
</ds:datastoreItem>
</file>

<file path=customXml/itemProps2.xml><?xml version="1.0" encoding="utf-8"?>
<ds:datastoreItem xmlns:ds="http://schemas.openxmlformats.org/officeDocument/2006/customXml" ds:itemID="{70D02EEB-B3E9-481D-AE88-19422130AF7C}">
  <ds:schemaRefs>
    <ds:schemaRef ds:uri="http://schemas.openxmlformats.org/officeDocument/2006/bibliography"/>
  </ds:schemaRefs>
</ds:datastoreItem>
</file>

<file path=customXml/itemProps3.xml><?xml version="1.0" encoding="utf-8"?>
<ds:datastoreItem xmlns:ds="http://schemas.openxmlformats.org/officeDocument/2006/customXml" ds:itemID="{56B8F694-D6A2-4523-90ED-CD88B2B29AE4}">
  <ds:schemaRefs>
    <ds:schemaRef ds:uri="http://schemas.microsoft.com/office/2006/documentManagement/types"/>
    <ds:schemaRef ds:uri="http://purl.org/dc/elements/1.1/"/>
    <ds:schemaRef ds:uri="http://schemas.microsoft.com/office/2006/metadata/properties"/>
    <ds:schemaRef ds:uri="http://purl.org/dc/dcmitype/"/>
    <ds:schemaRef ds:uri="http://purl.org/dc/terms/"/>
    <ds:schemaRef ds:uri="cb5c4e96-d2fa-4fb5-b842-8bb7a9e662f3"/>
    <ds:schemaRef ds:uri="http://schemas.microsoft.com/office/infopath/2007/PartnerControls"/>
    <ds:schemaRef ds:uri="http://schemas.openxmlformats.org/package/2006/metadata/core-properties"/>
    <ds:schemaRef ds:uri="6524ed65-50c7-4fb3-9954-e6cb51bee540"/>
    <ds:schemaRef ds:uri="http://www.w3.org/XML/1998/namespace"/>
  </ds:schemaRefs>
</ds:datastoreItem>
</file>

<file path=customXml/itemProps4.xml><?xml version="1.0" encoding="utf-8"?>
<ds:datastoreItem xmlns:ds="http://schemas.openxmlformats.org/officeDocument/2006/customXml" ds:itemID="{D48910B6-AB3B-4547-A285-31C2CFE5F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ed65-50c7-4fb3-9954-e6cb51bee540"/>
    <ds:schemaRef ds:uri="cb5c4e96-d2fa-4fb5-b842-8bb7a9e66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4898</Words>
  <Characters>31361</Characters>
  <Application>Microsoft Office Word</Application>
  <DocSecurity>0</DocSecurity>
  <Lines>261</Lines>
  <Paragraphs>72</Paragraphs>
  <ScaleCrop>false</ScaleCrop>
  <HeadingPairs>
    <vt:vector size="2" baseType="variant">
      <vt:variant>
        <vt:lpstr>Title</vt:lpstr>
      </vt:variant>
      <vt:variant>
        <vt:i4>1</vt:i4>
      </vt:variant>
    </vt:vector>
  </HeadingPairs>
  <TitlesOfParts>
    <vt:vector size="1" baseType="lpstr">
      <vt:lpstr>ITU’s activities related to Resolution 70 (Rev. Dubai, 2018)</vt:lpstr>
    </vt:vector>
  </TitlesOfParts>
  <Manager>General Secretariat - Pool</Manager>
  <Company>International Telecommunication Union (ITU)</Company>
  <LinksUpToDate>false</LinksUpToDate>
  <CharactersWithSpaces>36187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ITU’s activities related to Resolution 70 (Rev. Dubai, 2018)</dc:title>
  <dc:subject>Council 2022</dc:subject>
  <dc:creator>Brouard, Ricarda</dc:creator>
  <cp:keywords>C2022, C22, Council-22</cp:keywords>
  <dc:description/>
  <cp:lastModifiedBy>Brouard, Ricarda</cp:lastModifiedBy>
  <cp:revision>3</cp:revision>
  <cp:lastPrinted>2000-07-18T13:30:00Z</cp:lastPrinted>
  <dcterms:created xsi:type="dcterms:W3CDTF">2021-12-22T12:47:00Z</dcterms:created>
  <dcterms:modified xsi:type="dcterms:W3CDTF">2021-12-22T12:48:00Z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0x0101005F2146B739B54F40B714F2E60E92A517</vt:lpwstr>
  </property>
</Properties>
</file>