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576749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576749" w:rsidRDefault="002A2188" w:rsidP="00B84B9D">
            <w:pPr>
              <w:spacing w:before="360" w:after="48" w:line="240" w:lineRule="atLeast"/>
              <w:rPr>
                <w:position w:val="6"/>
                <w:sz w:val="23"/>
                <w:szCs w:val="23"/>
              </w:rPr>
            </w:pPr>
            <w:bookmarkStart w:id="0" w:name="dc06"/>
            <w:bookmarkStart w:id="1" w:name="_Hlk66378539"/>
            <w:bookmarkEnd w:id="0"/>
            <w:r w:rsidRPr="00576749">
              <w:rPr>
                <w:b/>
                <w:bCs/>
                <w:position w:val="6"/>
                <w:sz w:val="29"/>
                <w:szCs w:val="29"/>
              </w:rPr>
              <w:t>Council 20</w:t>
            </w:r>
            <w:r w:rsidR="004A1B8B" w:rsidRPr="00576749">
              <w:rPr>
                <w:b/>
                <w:bCs/>
                <w:position w:val="6"/>
                <w:sz w:val="29"/>
                <w:szCs w:val="29"/>
              </w:rPr>
              <w:t>2</w:t>
            </w:r>
            <w:r w:rsidR="0014634F" w:rsidRPr="00576749">
              <w:rPr>
                <w:b/>
                <w:bCs/>
                <w:position w:val="6"/>
                <w:sz w:val="29"/>
                <w:szCs w:val="29"/>
              </w:rPr>
              <w:t>2</w:t>
            </w:r>
            <w:r w:rsidRPr="00576749">
              <w:rPr>
                <w:rFonts w:cs="Times"/>
                <w:b/>
                <w:position w:val="6"/>
                <w:sz w:val="25"/>
                <w:szCs w:val="25"/>
                <w:lang w:val="en-US"/>
              </w:rPr>
              <w:br/>
            </w:r>
            <w:bookmarkEnd w:id="1"/>
            <w:r w:rsidR="0014634F" w:rsidRPr="00576749">
              <w:rPr>
                <w:b/>
                <w:bCs/>
                <w:position w:val="6"/>
                <w:sz w:val="25"/>
                <w:szCs w:val="25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576749" w:rsidRDefault="004A1B8B" w:rsidP="004A1B8B">
            <w:pPr>
              <w:spacing w:before="0" w:line="240" w:lineRule="atLeast"/>
              <w:rPr>
                <w:sz w:val="23"/>
                <w:szCs w:val="23"/>
              </w:rPr>
            </w:pPr>
            <w:bookmarkStart w:id="2" w:name="ditulogo"/>
            <w:bookmarkEnd w:id="2"/>
            <w:r w:rsidRPr="00576749">
              <w:rPr>
                <w:noProof/>
                <w:sz w:val="23"/>
                <w:szCs w:val="23"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576749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576749" w:rsidRDefault="002A2188" w:rsidP="0014634F">
            <w:pPr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576749" w:rsidRDefault="002A2188" w:rsidP="0014634F">
            <w:pPr>
              <w:spacing w:before="0" w:line="240" w:lineRule="atLeast"/>
              <w:rPr>
                <w:sz w:val="23"/>
                <w:szCs w:val="23"/>
              </w:rPr>
            </w:pPr>
          </w:p>
        </w:tc>
      </w:tr>
      <w:tr w:rsidR="002A2188" w:rsidRPr="00576749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576749" w:rsidRDefault="002A2188" w:rsidP="0014634F">
            <w:pPr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576749" w:rsidRDefault="002A2188" w:rsidP="0014634F">
            <w:pPr>
              <w:spacing w:before="0" w:line="240" w:lineRule="atLeast"/>
              <w:rPr>
                <w:sz w:val="23"/>
                <w:szCs w:val="23"/>
              </w:rPr>
            </w:pPr>
          </w:p>
        </w:tc>
      </w:tr>
      <w:tr w:rsidR="002A2188" w:rsidRPr="00576749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0D76009E" w:rsidR="002A2188" w:rsidRPr="00576749" w:rsidRDefault="0014634F" w:rsidP="0014634F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  <w:bookmarkStart w:id="3" w:name="dmeeting" w:colFirst="0" w:colLast="0"/>
            <w:bookmarkStart w:id="4" w:name="dnum" w:colFirst="1" w:colLast="1"/>
            <w:r w:rsidRPr="00576749">
              <w:rPr>
                <w:b/>
                <w:sz w:val="23"/>
                <w:szCs w:val="23"/>
              </w:rPr>
              <w:t>Agenda item:</w:t>
            </w:r>
            <w:r w:rsidR="00AE49CD" w:rsidRPr="00576749">
              <w:rPr>
                <w:b/>
                <w:sz w:val="23"/>
                <w:szCs w:val="23"/>
              </w:rPr>
              <w:t xml:space="preserve"> PL 4.1</w:t>
            </w:r>
          </w:p>
        </w:tc>
        <w:tc>
          <w:tcPr>
            <w:tcW w:w="3120" w:type="dxa"/>
          </w:tcPr>
          <w:p w14:paraId="66604129" w14:textId="709BD562" w:rsidR="002A2188" w:rsidRPr="0057674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  <w:r w:rsidRPr="00576749">
              <w:rPr>
                <w:b/>
                <w:sz w:val="23"/>
                <w:szCs w:val="23"/>
              </w:rPr>
              <w:t>Document C</w:t>
            </w:r>
            <w:r w:rsidR="004A1B8B" w:rsidRPr="00576749">
              <w:rPr>
                <w:b/>
                <w:sz w:val="23"/>
                <w:szCs w:val="23"/>
              </w:rPr>
              <w:t>2</w:t>
            </w:r>
            <w:r w:rsidR="0014634F" w:rsidRPr="00576749">
              <w:rPr>
                <w:b/>
                <w:sz w:val="23"/>
                <w:szCs w:val="23"/>
              </w:rPr>
              <w:t>2</w:t>
            </w:r>
            <w:r w:rsidRPr="00576749">
              <w:rPr>
                <w:b/>
                <w:sz w:val="23"/>
                <w:szCs w:val="23"/>
              </w:rPr>
              <w:t>/</w:t>
            </w:r>
            <w:r w:rsidR="00887582" w:rsidRPr="00576749">
              <w:rPr>
                <w:b/>
                <w:sz w:val="23"/>
                <w:szCs w:val="23"/>
              </w:rPr>
              <w:t>3</w:t>
            </w:r>
            <w:r w:rsidRPr="00576749">
              <w:rPr>
                <w:b/>
                <w:sz w:val="23"/>
                <w:szCs w:val="23"/>
              </w:rPr>
              <w:t>-E</w:t>
            </w:r>
          </w:p>
        </w:tc>
      </w:tr>
      <w:tr w:rsidR="002A2188" w:rsidRPr="00576749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57674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74E84801" w:rsidR="002A2188" w:rsidRPr="00576749" w:rsidRDefault="00055561" w:rsidP="0014634F">
            <w:pPr>
              <w:tabs>
                <w:tab w:val="left" w:pos="993"/>
              </w:tabs>
              <w:spacing w:before="0"/>
              <w:rPr>
                <w:b/>
                <w:sz w:val="23"/>
                <w:szCs w:val="23"/>
              </w:rPr>
            </w:pPr>
            <w:r w:rsidRPr="00576749">
              <w:rPr>
                <w:b/>
                <w:sz w:val="23"/>
                <w:szCs w:val="23"/>
              </w:rPr>
              <w:t>9 December</w:t>
            </w:r>
            <w:r w:rsidR="002A2188" w:rsidRPr="00576749">
              <w:rPr>
                <w:b/>
                <w:sz w:val="23"/>
                <w:szCs w:val="23"/>
              </w:rPr>
              <w:t xml:space="preserve"> 20</w:t>
            </w:r>
            <w:r w:rsidR="004A1B8B" w:rsidRPr="00576749">
              <w:rPr>
                <w:b/>
                <w:sz w:val="23"/>
                <w:szCs w:val="23"/>
              </w:rPr>
              <w:t>2</w:t>
            </w:r>
            <w:r w:rsidR="0014634F" w:rsidRPr="00576749">
              <w:rPr>
                <w:b/>
                <w:sz w:val="23"/>
                <w:szCs w:val="23"/>
              </w:rPr>
              <w:t>1</w:t>
            </w:r>
          </w:p>
        </w:tc>
      </w:tr>
      <w:tr w:rsidR="002A2188" w:rsidRPr="00576749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57674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7777777" w:rsidR="002A2188" w:rsidRPr="00576749" w:rsidRDefault="002A2188" w:rsidP="0014634F">
            <w:pPr>
              <w:tabs>
                <w:tab w:val="left" w:pos="993"/>
              </w:tabs>
              <w:spacing w:before="0"/>
              <w:rPr>
                <w:b/>
                <w:sz w:val="23"/>
                <w:szCs w:val="23"/>
              </w:rPr>
            </w:pPr>
            <w:r w:rsidRPr="00576749">
              <w:rPr>
                <w:b/>
                <w:sz w:val="23"/>
                <w:szCs w:val="23"/>
              </w:rPr>
              <w:t>Original: English</w:t>
            </w:r>
          </w:p>
        </w:tc>
      </w:tr>
      <w:tr w:rsidR="002A2188" w:rsidRPr="00576749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2DEEB841" w:rsidR="002A2188" w:rsidRPr="00576749" w:rsidRDefault="0014634F" w:rsidP="00023C24">
            <w:pPr>
              <w:pStyle w:val="Source"/>
              <w:framePr w:hSpace="0" w:wrap="auto" w:hAnchor="text" w:yAlign="inline"/>
              <w:rPr>
                <w:sz w:val="27"/>
                <w:szCs w:val="27"/>
              </w:rPr>
            </w:pPr>
            <w:bookmarkStart w:id="7" w:name="dsource" w:colFirst="0" w:colLast="0"/>
            <w:bookmarkEnd w:id="6"/>
            <w:r w:rsidRPr="00576749">
              <w:rPr>
                <w:sz w:val="27"/>
                <w:szCs w:val="27"/>
              </w:rPr>
              <w:t>Report by the Secretary-General</w:t>
            </w:r>
          </w:p>
        </w:tc>
      </w:tr>
      <w:tr w:rsidR="002A2188" w:rsidRPr="00576749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07372F46" w:rsidR="002A2188" w:rsidRPr="00576749" w:rsidRDefault="00AE49CD" w:rsidP="00023C24">
            <w:pPr>
              <w:pStyle w:val="Title1"/>
              <w:framePr w:hSpace="0" w:wrap="auto" w:hAnchor="text" w:yAlign="inline"/>
              <w:spacing w:before="120"/>
              <w:rPr>
                <w:sz w:val="27"/>
                <w:szCs w:val="27"/>
              </w:rPr>
            </w:pPr>
            <w:bookmarkStart w:id="8" w:name="dtitle1" w:colFirst="0" w:colLast="0"/>
            <w:bookmarkEnd w:id="7"/>
            <w:r w:rsidRPr="00576749">
              <w:rPr>
                <w:sz w:val="27"/>
                <w:szCs w:val="27"/>
              </w:rPr>
              <w:t>OBSOLETE COUNCIL RESOLUTIONS AND DECISIONS</w:t>
            </w:r>
          </w:p>
        </w:tc>
      </w:tr>
      <w:bookmarkEnd w:id="8"/>
    </w:tbl>
    <w:p w14:paraId="554B4CB6" w14:textId="77777777" w:rsidR="002A2188" w:rsidRPr="00576749" w:rsidRDefault="002A2188" w:rsidP="002A2188">
      <w:pPr>
        <w:rPr>
          <w:sz w:val="23"/>
          <w:szCs w:val="23"/>
        </w:rPr>
      </w:pPr>
    </w:p>
    <w:tbl>
      <w:tblPr>
        <w:tblW w:w="82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0"/>
      </w:tblGrid>
      <w:tr w:rsidR="002A2188" w:rsidRPr="00576749" w14:paraId="1DF07826" w14:textId="77777777" w:rsidTr="00023C24">
        <w:trPr>
          <w:trHeight w:val="3372"/>
        </w:trPr>
        <w:tc>
          <w:tcPr>
            <w:tcW w:w="8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FA692" w14:textId="77777777" w:rsidR="00AE49CD" w:rsidRPr="00576749" w:rsidRDefault="00AE49CD" w:rsidP="00AE49CD">
            <w:pPr>
              <w:pStyle w:val="Headingb"/>
              <w:rPr>
                <w:sz w:val="23"/>
                <w:szCs w:val="23"/>
              </w:rPr>
            </w:pPr>
            <w:r w:rsidRPr="00576749">
              <w:rPr>
                <w:sz w:val="23"/>
                <w:szCs w:val="23"/>
              </w:rPr>
              <w:t>Summary</w:t>
            </w:r>
          </w:p>
          <w:p w14:paraId="3775EFDA" w14:textId="77777777" w:rsidR="00AE49CD" w:rsidRPr="00576749" w:rsidRDefault="00AE49CD" w:rsidP="00AE49CD">
            <w:pPr>
              <w:rPr>
                <w:sz w:val="23"/>
                <w:szCs w:val="23"/>
              </w:rPr>
            </w:pPr>
            <w:r w:rsidRPr="00576749">
              <w:rPr>
                <w:sz w:val="23"/>
                <w:szCs w:val="23"/>
              </w:rPr>
              <w:t xml:space="preserve">After each ordinary session of the Council, those Resolutions and Decisions which have been implemented are abrogated and, consequently, deleted from the Volume of Resolutions and Decisions of the Council. </w:t>
            </w:r>
          </w:p>
          <w:p w14:paraId="2B107B0E" w14:textId="364D1591" w:rsidR="00AE49CD" w:rsidRPr="00576749" w:rsidRDefault="00AE49CD" w:rsidP="00AE49CD">
            <w:pPr>
              <w:pStyle w:val="Headingb"/>
              <w:rPr>
                <w:sz w:val="23"/>
                <w:szCs w:val="23"/>
              </w:rPr>
            </w:pPr>
            <w:r w:rsidRPr="00576749">
              <w:rPr>
                <w:sz w:val="23"/>
                <w:szCs w:val="23"/>
              </w:rPr>
              <w:t>Action required</w:t>
            </w:r>
          </w:p>
          <w:p w14:paraId="16070148" w14:textId="3CECD5C2" w:rsidR="002A2188" w:rsidRPr="00576749" w:rsidRDefault="00AE49CD" w:rsidP="00023C24">
            <w:pPr>
              <w:spacing w:before="60" w:after="60"/>
              <w:jc w:val="both"/>
              <w:rPr>
                <w:sz w:val="23"/>
                <w:szCs w:val="23"/>
              </w:rPr>
            </w:pPr>
            <w:r w:rsidRPr="00576749">
              <w:rPr>
                <w:sz w:val="23"/>
                <w:szCs w:val="23"/>
              </w:rPr>
              <w:t xml:space="preserve">The list of such Resolutions and Decisions which should be abrogated and thus removed from the Volume is submitted to the Council for </w:t>
            </w:r>
            <w:r w:rsidRPr="00576749">
              <w:rPr>
                <w:b/>
                <w:bCs/>
                <w:sz w:val="23"/>
                <w:szCs w:val="23"/>
              </w:rPr>
              <w:t>consideration</w:t>
            </w:r>
            <w:r w:rsidRPr="00576749">
              <w:rPr>
                <w:sz w:val="23"/>
                <w:szCs w:val="23"/>
              </w:rPr>
              <w:t xml:space="preserve"> and </w:t>
            </w:r>
            <w:r w:rsidRPr="00576749">
              <w:rPr>
                <w:b/>
                <w:bCs/>
                <w:sz w:val="23"/>
                <w:szCs w:val="23"/>
              </w:rPr>
              <w:t>approval</w:t>
            </w:r>
            <w:r w:rsidRPr="00576749">
              <w:rPr>
                <w:sz w:val="23"/>
                <w:szCs w:val="23"/>
              </w:rPr>
              <w:t>.</w:t>
            </w:r>
          </w:p>
          <w:p w14:paraId="64D1497E" w14:textId="63A7EE15" w:rsidR="004342A3" w:rsidRPr="00576749" w:rsidRDefault="004342A3" w:rsidP="00023C24">
            <w:pPr>
              <w:spacing w:before="60" w:after="60"/>
              <w:jc w:val="center"/>
              <w:rPr>
                <w:sz w:val="23"/>
                <w:szCs w:val="23"/>
              </w:rPr>
            </w:pPr>
            <w:r w:rsidRPr="00576749">
              <w:rPr>
                <w:sz w:val="23"/>
                <w:szCs w:val="23"/>
              </w:rPr>
              <w:t>______________</w:t>
            </w:r>
          </w:p>
          <w:p w14:paraId="096C52E8" w14:textId="77777777" w:rsidR="004342A3" w:rsidRPr="00576749" w:rsidRDefault="004342A3" w:rsidP="00A53EC9">
            <w:pPr>
              <w:spacing w:after="120"/>
              <w:jc w:val="both"/>
              <w:rPr>
                <w:b/>
                <w:bCs/>
                <w:sz w:val="23"/>
                <w:szCs w:val="23"/>
              </w:rPr>
            </w:pPr>
            <w:r w:rsidRPr="00576749">
              <w:rPr>
                <w:b/>
                <w:bCs/>
                <w:sz w:val="23"/>
                <w:szCs w:val="23"/>
              </w:rPr>
              <w:t>Reference</w:t>
            </w:r>
          </w:p>
          <w:p w14:paraId="47763C34" w14:textId="038DAD13" w:rsidR="004342A3" w:rsidRPr="00576749" w:rsidRDefault="00AE4747" w:rsidP="00A53EC9">
            <w:pPr>
              <w:spacing w:after="120"/>
              <w:jc w:val="both"/>
              <w:rPr>
                <w:rFonts w:asciiTheme="minorHAnsi" w:hAnsiTheme="minorHAnsi"/>
                <w:sz w:val="23"/>
                <w:szCs w:val="23"/>
                <w:lang w:val="en-US"/>
              </w:rPr>
            </w:pPr>
            <w:hyperlink r:id="rId9" w:history="1">
              <w:r w:rsidR="004342A3" w:rsidRPr="00576749">
                <w:rPr>
                  <w:rStyle w:val="Hyperlink"/>
                  <w:sz w:val="23"/>
                  <w:szCs w:val="23"/>
                </w:rPr>
                <w:t>Publication of the Council Resolutions and Decisions</w:t>
              </w:r>
            </w:hyperlink>
          </w:p>
        </w:tc>
      </w:tr>
    </w:tbl>
    <w:p w14:paraId="45326D05" w14:textId="36B87250" w:rsidR="00AE49CD" w:rsidRPr="00576749" w:rsidRDefault="00AE49CD" w:rsidP="00DB384B">
      <w:pPr>
        <w:rPr>
          <w:sz w:val="23"/>
          <w:szCs w:val="23"/>
          <w:lang w:val="en-US"/>
        </w:rPr>
      </w:pPr>
      <w:bookmarkStart w:id="9" w:name="dstart"/>
      <w:bookmarkStart w:id="10" w:name="dbreak"/>
      <w:bookmarkEnd w:id="9"/>
      <w:bookmarkEnd w:id="10"/>
    </w:p>
    <w:p w14:paraId="678A9B44" w14:textId="3EBF62EE" w:rsidR="00AE49CD" w:rsidRPr="00576749" w:rsidRDefault="00AE49CD" w:rsidP="00632D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240"/>
        <w:jc w:val="center"/>
        <w:rPr>
          <w:b/>
          <w:bCs/>
          <w:sz w:val="27"/>
          <w:szCs w:val="27"/>
        </w:rPr>
      </w:pPr>
      <w:r w:rsidRPr="00576749">
        <w:rPr>
          <w:b/>
          <w:bCs/>
          <w:sz w:val="27"/>
          <w:szCs w:val="27"/>
        </w:rPr>
        <w:t>Resolutions and Decisions to be abrogated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22"/>
        <w:gridCol w:w="6804"/>
      </w:tblGrid>
      <w:tr w:rsidR="00AE49CD" w:rsidRPr="00576749" w14:paraId="34E36A0B" w14:textId="77777777" w:rsidTr="005C40DC">
        <w:trPr>
          <w:tblHeader/>
          <w:jc w:val="center"/>
        </w:trPr>
        <w:tc>
          <w:tcPr>
            <w:tcW w:w="10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7367DA" w14:textId="77777777" w:rsidR="00AE49CD" w:rsidRPr="00576749" w:rsidRDefault="00AE49CD" w:rsidP="005C40DC">
            <w:pPr>
              <w:pStyle w:val="Tablehead"/>
              <w:spacing w:before="60" w:after="60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576749">
              <w:rPr>
                <w:rFonts w:asciiTheme="minorHAnsi" w:hAnsiTheme="minorHAnsi"/>
                <w:sz w:val="23"/>
                <w:szCs w:val="23"/>
                <w:lang w:val="en-US"/>
              </w:rPr>
              <w:t>Section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640278" w14:textId="77777777" w:rsidR="00AE49CD" w:rsidRPr="00576749" w:rsidRDefault="00AE49CD" w:rsidP="005C40DC">
            <w:pPr>
              <w:pStyle w:val="Tablehead"/>
              <w:spacing w:before="60" w:after="60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576749">
              <w:rPr>
                <w:rFonts w:asciiTheme="minorHAnsi" w:hAnsiTheme="minorHAnsi"/>
                <w:sz w:val="23"/>
                <w:szCs w:val="23"/>
                <w:lang w:val="en-US"/>
              </w:rPr>
              <w:t>Res/Dec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F7B22" w14:textId="77777777" w:rsidR="00AE49CD" w:rsidRPr="00576749" w:rsidRDefault="00AE49CD" w:rsidP="005C40DC">
            <w:pPr>
              <w:pStyle w:val="Tablehead"/>
              <w:spacing w:before="60" w:after="60"/>
              <w:jc w:val="left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576749">
              <w:rPr>
                <w:rFonts w:asciiTheme="minorHAnsi" w:hAnsiTheme="minorHAnsi"/>
                <w:sz w:val="23"/>
                <w:szCs w:val="23"/>
                <w:lang w:val="en-US"/>
              </w:rPr>
              <w:t>Title</w:t>
            </w:r>
          </w:p>
        </w:tc>
      </w:tr>
      <w:tr w:rsidR="00AE49CD" w:rsidRPr="00576749" w14:paraId="2C3A6F1F" w14:textId="77777777" w:rsidTr="005C40DC">
        <w:trPr>
          <w:jc w:val="center"/>
        </w:trPr>
        <w:tc>
          <w:tcPr>
            <w:tcW w:w="1024" w:type="dxa"/>
            <w:shd w:val="clear" w:color="auto" w:fill="FFFFFF"/>
          </w:tcPr>
          <w:p w14:paraId="136805A9" w14:textId="77777777" w:rsidR="00AE49CD" w:rsidRPr="00576749" w:rsidRDefault="00AE49CD" w:rsidP="005C40DC">
            <w:pPr>
              <w:spacing w:before="40" w:after="2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76749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1422" w:type="dxa"/>
            <w:shd w:val="clear" w:color="auto" w:fill="FFFFFF"/>
          </w:tcPr>
          <w:p w14:paraId="18ADD9D2" w14:textId="4C0249BB" w:rsidR="00AE49CD" w:rsidRPr="00576749" w:rsidRDefault="00AE49CD" w:rsidP="005C40DC">
            <w:pPr>
              <w:spacing w:before="40" w:after="20"/>
              <w:jc w:val="center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576749">
              <w:rPr>
                <w:rFonts w:asciiTheme="minorHAnsi" w:hAnsiTheme="minorHAnsi"/>
                <w:sz w:val="23"/>
                <w:szCs w:val="23"/>
                <w:lang w:val="en-US"/>
              </w:rPr>
              <w:t xml:space="preserve">R </w:t>
            </w:r>
            <w:r w:rsidR="009B04E0" w:rsidRPr="00576749">
              <w:rPr>
                <w:rFonts w:asciiTheme="minorHAnsi" w:hAnsiTheme="minorHAnsi"/>
                <w:sz w:val="23"/>
                <w:szCs w:val="23"/>
                <w:lang w:val="en-US"/>
              </w:rPr>
              <w:t>1396</w:t>
            </w:r>
          </w:p>
        </w:tc>
        <w:tc>
          <w:tcPr>
            <w:tcW w:w="6804" w:type="dxa"/>
            <w:shd w:val="clear" w:color="auto" w:fill="FFFFFF"/>
          </w:tcPr>
          <w:p w14:paraId="608A1452" w14:textId="5E0A5A65" w:rsidR="00AE49CD" w:rsidRPr="00576749" w:rsidRDefault="00AE49CD" w:rsidP="005C40DC">
            <w:pPr>
              <w:spacing w:before="40" w:after="20"/>
              <w:rPr>
                <w:rFonts w:asciiTheme="minorHAnsi" w:hAnsiTheme="minorHAnsi"/>
                <w:sz w:val="23"/>
                <w:szCs w:val="23"/>
              </w:rPr>
            </w:pPr>
            <w:r w:rsidRPr="00576749">
              <w:rPr>
                <w:rFonts w:asciiTheme="minorHAnsi" w:hAnsiTheme="minorHAnsi"/>
                <w:sz w:val="23"/>
                <w:szCs w:val="23"/>
              </w:rPr>
              <w:t xml:space="preserve">Biennial Budget of the International Telecommunication Union for </w:t>
            </w:r>
            <w:r w:rsidR="009B04E0" w:rsidRPr="00576749">
              <w:rPr>
                <w:rFonts w:asciiTheme="minorHAnsi" w:hAnsiTheme="minorHAnsi"/>
                <w:sz w:val="23"/>
                <w:szCs w:val="23"/>
              </w:rPr>
              <w:t>2020-2021</w:t>
            </w:r>
          </w:p>
        </w:tc>
      </w:tr>
      <w:tr w:rsidR="00AE49CD" w:rsidRPr="00576749" w14:paraId="2F28D10A" w14:textId="77777777" w:rsidTr="005C40DC">
        <w:trPr>
          <w:jc w:val="center"/>
        </w:trPr>
        <w:tc>
          <w:tcPr>
            <w:tcW w:w="1024" w:type="dxa"/>
            <w:shd w:val="clear" w:color="auto" w:fill="FFFFFF"/>
          </w:tcPr>
          <w:p w14:paraId="58C5D03A" w14:textId="77777777" w:rsidR="00AE49CD" w:rsidRPr="00576749" w:rsidRDefault="00AE49CD" w:rsidP="005C40DC">
            <w:pPr>
              <w:spacing w:before="40" w:after="2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76749">
              <w:rPr>
                <w:rFonts w:asciiTheme="minorHAnsi" w:hAnsiTheme="minorHAnsi"/>
                <w:sz w:val="23"/>
                <w:szCs w:val="23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14:paraId="37D2245A" w14:textId="1A101CC8" w:rsidR="00AE49CD" w:rsidRPr="00576749" w:rsidRDefault="00AE49CD" w:rsidP="005C40DC">
            <w:pPr>
              <w:spacing w:before="40" w:after="20"/>
              <w:jc w:val="center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576749">
              <w:rPr>
                <w:rFonts w:asciiTheme="minorHAnsi" w:hAnsiTheme="minorHAnsi"/>
                <w:sz w:val="23"/>
                <w:szCs w:val="23"/>
                <w:lang w:val="en-US"/>
              </w:rPr>
              <w:t xml:space="preserve">D </w:t>
            </w:r>
            <w:r w:rsidR="00573580" w:rsidRPr="00576749">
              <w:rPr>
                <w:rFonts w:asciiTheme="minorHAnsi" w:hAnsiTheme="minorHAnsi"/>
                <w:sz w:val="23"/>
                <w:szCs w:val="23"/>
                <w:lang w:val="en-US"/>
              </w:rPr>
              <w:t>603</w:t>
            </w:r>
            <w:r w:rsidR="00C3458E" w:rsidRPr="00576749">
              <w:rPr>
                <w:rStyle w:val="FootnoteReference"/>
                <w:sz w:val="15"/>
                <w:szCs w:val="15"/>
                <w:lang w:val="en-US"/>
              </w:rPr>
              <w:footnoteReference w:id="1"/>
            </w:r>
          </w:p>
        </w:tc>
        <w:tc>
          <w:tcPr>
            <w:tcW w:w="6804" w:type="dxa"/>
            <w:shd w:val="clear" w:color="auto" w:fill="FFFFFF"/>
          </w:tcPr>
          <w:p w14:paraId="13C95E06" w14:textId="77777777" w:rsidR="00AE49CD" w:rsidRPr="00576749" w:rsidRDefault="00AE49CD" w:rsidP="005C40DC">
            <w:pPr>
              <w:spacing w:before="40" w:after="20"/>
              <w:rPr>
                <w:rFonts w:asciiTheme="minorHAnsi" w:hAnsiTheme="minorHAnsi"/>
                <w:sz w:val="23"/>
                <w:szCs w:val="23"/>
              </w:rPr>
            </w:pPr>
            <w:r w:rsidRPr="00576749">
              <w:rPr>
                <w:rFonts w:asciiTheme="minorHAnsi" w:hAnsiTheme="minorHAnsi"/>
                <w:sz w:val="23"/>
                <w:szCs w:val="23"/>
              </w:rPr>
              <w:t xml:space="preserve">Renewal of the mandate of the External Auditor (Corte </w:t>
            </w:r>
            <w:proofErr w:type="spellStart"/>
            <w:r w:rsidRPr="00576749">
              <w:rPr>
                <w:rFonts w:asciiTheme="minorHAnsi" w:hAnsiTheme="minorHAnsi"/>
                <w:sz w:val="23"/>
                <w:szCs w:val="23"/>
              </w:rPr>
              <w:t>dei</w:t>
            </w:r>
            <w:proofErr w:type="spellEnd"/>
            <w:r w:rsidRPr="00576749">
              <w:rPr>
                <w:rFonts w:asciiTheme="minorHAnsi" w:hAnsiTheme="minorHAnsi"/>
                <w:sz w:val="23"/>
                <w:szCs w:val="23"/>
              </w:rPr>
              <w:t xml:space="preserve"> Conti) for a period of two years</w:t>
            </w:r>
          </w:p>
        </w:tc>
      </w:tr>
      <w:tr w:rsidR="00AE49CD" w:rsidRPr="00576749" w14:paraId="43D68876" w14:textId="77777777" w:rsidTr="005C40DC">
        <w:trPr>
          <w:jc w:val="center"/>
        </w:trPr>
        <w:tc>
          <w:tcPr>
            <w:tcW w:w="1024" w:type="dxa"/>
            <w:shd w:val="clear" w:color="auto" w:fill="FFFFFF"/>
          </w:tcPr>
          <w:p w14:paraId="5CBA5E11" w14:textId="77777777" w:rsidR="00AE49CD" w:rsidRPr="00576749" w:rsidRDefault="00AE49CD" w:rsidP="005C40DC">
            <w:pPr>
              <w:spacing w:before="40" w:after="2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76749">
              <w:rPr>
                <w:rFonts w:asciiTheme="minorHAnsi" w:hAnsiTheme="minorHAnsi"/>
                <w:sz w:val="23"/>
                <w:szCs w:val="23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14:paraId="74B7A051" w14:textId="5E7BE2AB" w:rsidR="00AE49CD" w:rsidRPr="00576749" w:rsidRDefault="00AE49CD" w:rsidP="005C40DC">
            <w:pPr>
              <w:spacing w:before="40" w:after="20"/>
              <w:jc w:val="center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576749">
              <w:rPr>
                <w:rFonts w:asciiTheme="minorHAnsi" w:hAnsiTheme="minorHAnsi"/>
                <w:sz w:val="23"/>
                <w:szCs w:val="23"/>
                <w:lang w:val="en-US"/>
              </w:rPr>
              <w:t xml:space="preserve">D </w:t>
            </w:r>
            <w:r w:rsidR="009B04E0" w:rsidRPr="00576749">
              <w:rPr>
                <w:rFonts w:asciiTheme="minorHAnsi" w:hAnsiTheme="minorHAnsi"/>
                <w:sz w:val="23"/>
                <w:szCs w:val="23"/>
                <w:lang w:val="en-US"/>
              </w:rPr>
              <w:t>622</w:t>
            </w:r>
          </w:p>
        </w:tc>
        <w:tc>
          <w:tcPr>
            <w:tcW w:w="6804" w:type="dxa"/>
            <w:shd w:val="clear" w:color="auto" w:fill="FFFFFF"/>
          </w:tcPr>
          <w:p w14:paraId="438E4414" w14:textId="77777777" w:rsidR="00AE49CD" w:rsidRPr="00576749" w:rsidRDefault="00AE49CD" w:rsidP="005C40DC">
            <w:pPr>
              <w:spacing w:before="40" w:after="20"/>
              <w:rPr>
                <w:sz w:val="23"/>
                <w:szCs w:val="23"/>
              </w:rPr>
            </w:pPr>
            <w:r w:rsidRPr="00576749">
              <w:rPr>
                <w:sz w:val="23"/>
                <w:szCs w:val="23"/>
              </w:rPr>
              <w:t>Cancellation of interest on arrears and irrecoverable debts</w:t>
            </w:r>
          </w:p>
        </w:tc>
      </w:tr>
      <w:tr w:rsidR="00AE49CD" w:rsidRPr="00576749" w14:paraId="0BEE82D0" w14:textId="77777777" w:rsidTr="005C40DC">
        <w:trPr>
          <w:jc w:val="center"/>
        </w:trPr>
        <w:tc>
          <w:tcPr>
            <w:tcW w:w="1024" w:type="dxa"/>
            <w:shd w:val="clear" w:color="auto" w:fill="auto"/>
          </w:tcPr>
          <w:p w14:paraId="753236CC" w14:textId="77777777" w:rsidR="00AE49CD" w:rsidRPr="00576749" w:rsidRDefault="00AE49CD" w:rsidP="00121AA0">
            <w:pPr>
              <w:keepNext/>
              <w:spacing w:before="40" w:after="2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76749">
              <w:rPr>
                <w:rFonts w:asciiTheme="minorHAnsi" w:hAnsiTheme="minorHAnsi"/>
                <w:sz w:val="23"/>
                <w:szCs w:val="23"/>
              </w:rPr>
              <w:t>2.1</w:t>
            </w:r>
          </w:p>
        </w:tc>
        <w:tc>
          <w:tcPr>
            <w:tcW w:w="1422" w:type="dxa"/>
            <w:shd w:val="clear" w:color="auto" w:fill="auto"/>
          </w:tcPr>
          <w:p w14:paraId="226D364F" w14:textId="51B3B514" w:rsidR="00AE49CD" w:rsidRPr="00576749" w:rsidRDefault="00AE49CD" w:rsidP="00121AA0">
            <w:pPr>
              <w:keepNext/>
              <w:spacing w:before="40" w:after="20"/>
              <w:jc w:val="center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576749">
              <w:rPr>
                <w:rFonts w:asciiTheme="minorHAnsi" w:hAnsiTheme="minorHAnsi"/>
                <w:sz w:val="23"/>
                <w:szCs w:val="23"/>
                <w:lang w:val="en-US"/>
              </w:rPr>
              <w:t>R 140</w:t>
            </w:r>
            <w:r w:rsidR="009B04E0" w:rsidRPr="00576749">
              <w:rPr>
                <w:rFonts w:asciiTheme="minorHAnsi" w:hAnsiTheme="minorHAnsi"/>
                <w:sz w:val="23"/>
                <w:szCs w:val="23"/>
                <w:lang w:val="en-US"/>
              </w:rPr>
              <w:t>6</w:t>
            </w:r>
            <w:r w:rsidRPr="00576749">
              <w:rPr>
                <w:rStyle w:val="FootnoteReference"/>
                <w:sz w:val="17"/>
                <w:szCs w:val="17"/>
                <w:lang w:val="en-US"/>
              </w:rPr>
              <w:footnoteReference w:id="2"/>
            </w:r>
          </w:p>
        </w:tc>
        <w:tc>
          <w:tcPr>
            <w:tcW w:w="6804" w:type="dxa"/>
            <w:shd w:val="clear" w:color="auto" w:fill="FFFFFF"/>
          </w:tcPr>
          <w:p w14:paraId="52C93476" w14:textId="77777777" w:rsidR="00AE49CD" w:rsidRPr="00576749" w:rsidRDefault="00AE49CD" w:rsidP="00121AA0">
            <w:pPr>
              <w:keepNext/>
              <w:spacing w:before="40" w:after="20"/>
              <w:rPr>
                <w:sz w:val="23"/>
                <w:szCs w:val="23"/>
              </w:rPr>
            </w:pPr>
            <w:r w:rsidRPr="00576749">
              <w:rPr>
                <w:sz w:val="23"/>
                <w:szCs w:val="23"/>
              </w:rPr>
              <w:t>Conditions of service of ITU Elected Officials</w:t>
            </w:r>
          </w:p>
        </w:tc>
      </w:tr>
      <w:tr w:rsidR="00AE49CD" w:rsidRPr="00576749" w14:paraId="7CBD4FDF" w14:textId="77777777" w:rsidTr="005C40DC">
        <w:trPr>
          <w:jc w:val="center"/>
        </w:trPr>
        <w:tc>
          <w:tcPr>
            <w:tcW w:w="1024" w:type="dxa"/>
            <w:shd w:val="clear" w:color="auto" w:fill="FFFFFF"/>
          </w:tcPr>
          <w:p w14:paraId="2D4AC435" w14:textId="77777777" w:rsidR="00AE49CD" w:rsidRPr="00576749" w:rsidRDefault="00AE49CD" w:rsidP="005C40DC">
            <w:pPr>
              <w:spacing w:before="40" w:after="2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76749">
              <w:rPr>
                <w:rFonts w:asciiTheme="minorHAnsi" w:hAnsiTheme="minorHAnsi"/>
                <w:sz w:val="23"/>
                <w:szCs w:val="23"/>
              </w:rPr>
              <w:t>3.2</w:t>
            </w:r>
          </w:p>
        </w:tc>
        <w:tc>
          <w:tcPr>
            <w:tcW w:w="1422" w:type="dxa"/>
            <w:shd w:val="clear" w:color="auto" w:fill="FFFFFF"/>
          </w:tcPr>
          <w:p w14:paraId="2856010B" w14:textId="76369CE0" w:rsidR="00AE49CD" w:rsidRPr="00576749" w:rsidRDefault="00AE49CD" w:rsidP="005C40DC">
            <w:pPr>
              <w:spacing w:before="40" w:after="20"/>
              <w:jc w:val="center"/>
              <w:rPr>
                <w:rFonts w:asciiTheme="minorHAnsi" w:hAnsiTheme="minorHAnsi"/>
                <w:sz w:val="23"/>
                <w:szCs w:val="23"/>
                <w:lang w:val="en-US"/>
              </w:rPr>
            </w:pPr>
            <w:r w:rsidRPr="00576749">
              <w:rPr>
                <w:rFonts w:asciiTheme="minorHAnsi" w:hAnsiTheme="minorHAnsi"/>
                <w:sz w:val="23"/>
                <w:szCs w:val="23"/>
                <w:lang w:val="en-US"/>
              </w:rPr>
              <w:t>D 62</w:t>
            </w:r>
            <w:r w:rsidR="00CA087C" w:rsidRPr="00576749">
              <w:rPr>
                <w:rFonts w:asciiTheme="minorHAnsi" w:hAnsiTheme="minorHAnsi"/>
                <w:sz w:val="23"/>
                <w:szCs w:val="23"/>
                <w:lang w:val="en-US"/>
              </w:rPr>
              <w:t>5</w:t>
            </w:r>
            <w:r w:rsidRPr="00576749">
              <w:rPr>
                <w:rStyle w:val="FootnoteReference"/>
                <w:sz w:val="17"/>
                <w:szCs w:val="17"/>
                <w:lang w:val="en-US"/>
              </w:rPr>
              <w:footnoteReference w:id="3"/>
            </w:r>
          </w:p>
        </w:tc>
        <w:tc>
          <w:tcPr>
            <w:tcW w:w="6804" w:type="dxa"/>
            <w:shd w:val="clear" w:color="auto" w:fill="FFFFFF"/>
          </w:tcPr>
          <w:p w14:paraId="0672CA08" w14:textId="67CBC91A" w:rsidR="00AE49CD" w:rsidRPr="00576749" w:rsidRDefault="00AE49CD" w:rsidP="005C40DC">
            <w:pPr>
              <w:spacing w:before="40" w:after="20"/>
              <w:rPr>
                <w:sz w:val="23"/>
                <w:szCs w:val="23"/>
              </w:rPr>
            </w:pPr>
            <w:r w:rsidRPr="00576749">
              <w:rPr>
                <w:sz w:val="23"/>
                <w:szCs w:val="23"/>
              </w:rPr>
              <w:t>Dates and duration of the 2022, 2023, 2024, 2025, and 2026 sessions of the Council, along with the clusters of Council Working Groups and Expert Groups for 2022</w:t>
            </w:r>
            <w:r w:rsidR="00CA087C" w:rsidRPr="00576749">
              <w:rPr>
                <w:sz w:val="23"/>
                <w:szCs w:val="23"/>
              </w:rPr>
              <w:t>, 2023, and 2024</w:t>
            </w:r>
          </w:p>
        </w:tc>
      </w:tr>
    </w:tbl>
    <w:p w14:paraId="6A075689" w14:textId="26AEA284" w:rsidR="00576749" w:rsidRPr="00576749" w:rsidRDefault="00576749" w:rsidP="00AE4747">
      <w:pPr>
        <w:spacing w:before="480"/>
        <w:jc w:val="center"/>
        <w:rPr>
          <w:rFonts w:cstheme="minorHAnsi"/>
          <w:sz w:val="15"/>
          <w:szCs w:val="15"/>
        </w:rPr>
      </w:pPr>
      <w:r>
        <w:rPr>
          <w:rFonts w:asciiTheme="minorHAnsi" w:hAnsiTheme="minorHAnsi" w:cstheme="minorHAnsi"/>
          <w:szCs w:val="24"/>
          <w:lang w:val="en-US"/>
        </w:rPr>
        <w:lastRenderedPageBreak/>
        <w:t>____________________</w:t>
      </w:r>
    </w:p>
    <w:sectPr w:rsidR="00576749" w:rsidRPr="00576749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Pr="00576749" w:rsidRDefault="0014634F">
      <w:pPr>
        <w:rPr>
          <w:sz w:val="23"/>
          <w:szCs w:val="23"/>
        </w:rPr>
      </w:pPr>
      <w:r w:rsidRPr="00576749">
        <w:rPr>
          <w:sz w:val="23"/>
          <w:szCs w:val="23"/>
        </w:rPr>
        <w:separator/>
      </w:r>
    </w:p>
  </w:endnote>
  <w:endnote w:type="continuationSeparator" w:id="0">
    <w:p w14:paraId="724281C9" w14:textId="77777777" w:rsidR="0014634F" w:rsidRPr="00576749" w:rsidRDefault="0014634F">
      <w:pPr>
        <w:rPr>
          <w:sz w:val="23"/>
          <w:szCs w:val="23"/>
        </w:rPr>
      </w:pPr>
      <w:r w:rsidRPr="0057674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5A868416" w:rsidR="00CB18FF" w:rsidRPr="00576749" w:rsidRDefault="00121AA0">
    <w:pPr>
      <w:pStyle w:val="Footer"/>
      <w:rPr>
        <w:color w:val="EEECE1" w:themeColor="background2"/>
        <w:sz w:val="15"/>
        <w:szCs w:val="15"/>
      </w:rPr>
    </w:pPr>
    <w:r w:rsidRPr="00576749">
      <w:rPr>
        <w:color w:val="EEECE1" w:themeColor="background2"/>
        <w:sz w:val="15"/>
        <w:szCs w:val="15"/>
      </w:rPr>
      <w:fldChar w:fldCharType="begin"/>
    </w:r>
    <w:r w:rsidRPr="00576749">
      <w:rPr>
        <w:color w:val="EEECE1" w:themeColor="background2"/>
        <w:sz w:val="15"/>
        <w:szCs w:val="15"/>
      </w:rPr>
      <w:instrText xml:space="preserve"> FILENAME \p  \* MERGEFORMAT </w:instrText>
    </w:r>
    <w:r w:rsidRPr="00576749">
      <w:rPr>
        <w:color w:val="EEECE1" w:themeColor="background2"/>
        <w:sz w:val="15"/>
        <w:szCs w:val="15"/>
      </w:rPr>
      <w:fldChar w:fldCharType="separate"/>
    </w:r>
    <w:r w:rsidR="00576749" w:rsidRPr="00576749">
      <w:rPr>
        <w:color w:val="EEECE1" w:themeColor="background2"/>
        <w:sz w:val="15"/>
        <w:szCs w:val="15"/>
      </w:rPr>
      <w:t>P:\SPM\GBS\c22\doc\003e_draft-obsolete-R&amp;D.docx</w:t>
    </w:r>
    <w:r w:rsidRPr="00576749">
      <w:rPr>
        <w:color w:val="EEECE1" w:themeColor="background2"/>
        <w:sz w:val="15"/>
        <w:szCs w:val="15"/>
      </w:rPr>
      <w:fldChar w:fldCharType="end"/>
    </w:r>
    <w:r w:rsidR="00CB18FF" w:rsidRPr="00576749">
      <w:rPr>
        <w:color w:val="EEECE1" w:themeColor="background2"/>
        <w:sz w:val="15"/>
        <w:szCs w:val="15"/>
      </w:rPr>
      <w:tab/>
    </w:r>
    <w:r w:rsidR="00864AFF" w:rsidRPr="00576749">
      <w:rPr>
        <w:color w:val="EEECE1" w:themeColor="background2"/>
        <w:sz w:val="15"/>
        <w:szCs w:val="15"/>
      </w:rPr>
      <w:fldChar w:fldCharType="begin"/>
    </w:r>
    <w:r w:rsidR="00CB18FF" w:rsidRPr="00576749">
      <w:rPr>
        <w:color w:val="EEECE1" w:themeColor="background2"/>
        <w:sz w:val="15"/>
        <w:szCs w:val="15"/>
      </w:rPr>
      <w:instrText xml:space="preserve"> SAVEDATE \@ DD.MM.YY </w:instrText>
    </w:r>
    <w:r w:rsidR="00864AFF" w:rsidRPr="00576749">
      <w:rPr>
        <w:color w:val="EEECE1" w:themeColor="background2"/>
        <w:sz w:val="15"/>
        <w:szCs w:val="15"/>
      </w:rPr>
      <w:fldChar w:fldCharType="separate"/>
    </w:r>
    <w:r w:rsidR="00576749" w:rsidRPr="00576749">
      <w:rPr>
        <w:color w:val="EEECE1" w:themeColor="background2"/>
        <w:sz w:val="15"/>
        <w:szCs w:val="15"/>
      </w:rPr>
      <w:t>07.12.21</w:t>
    </w:r>
    <w:r w:rsidR="00864AFF" w:rsidRPr="00576749">
      <w:rPr>
        <w:color w:val="EEECE1" w:themeColor="background2"/>
        <w:sz w:val="15"/>
        <w:szCs w:val="15"/>
      </w:rPr>
      <w:fldChar w:fldCharType="end"/>
    </w:r>
    <w:r w:rsidR="00CB18FF" w:rsidRPr="00576749">
      <w:rPr>
        <w:color w:val="EEECE1" w:themeColor="background2"/>
        <w:sz w:val="15"/>
        <w:szCs w:val="15"/>
      </w:rPr>
      <w:tab/>
    </w:r>
    <w:r w:rsidR="00864AFF" w:rsidRPr="00576749">
      <w:rPr>
        <w:color w:val="EEECE1" w:themeColor="background2"/>
        <w:sz w:val="15"/>
        <w:szCs w:val="15"/>
      </w:rPr>
      <w:fldChar w:fldCharType="begin"/>
    </w:r>
    <w:r w:rsidR="00CB18FF" w:rsidRPr="00576749">
      <w:rPr>
        <w:color w:val="EEECE1" w:themeColor="background2"/>
        <w:sz w:val="15"/>
        <w:szCs w:val="15"/>
      </w:rPr>
      <w:instrText xml:space="preserve"> PRINTDATE \@ DD.MM.YY </w:instrText>
    </w:r>
    <w:r w:rsidR="00864AFF" w:rsidRPr="00576749">
      <w:rPr>
        <w:color w:val="EEECE1" w:themeColor="background2"/>
        <w:sz w:val="15"/>
        <w:szCs w:val="15"/>
      </w:rPr>
      <w:fldChar w:fldCharType="separate"/>
    </w:r>
    <w:r w:rsidR="00576749" w:rsidRPr="00576749">
      <w:rPr>
        <w:color w:val="EEECE1" w:themeColor="background2"/>
        <w:sz w:val="15"/>
        <w:szCs w:val="15"/>
      </w:rPr>
      <w:t>18.07.00</w:t>
    </w:r>
    <w:r w:rsidR="00864AFF" w:rsidRPr="00576749">
      <w:rPr>
        <w:color w:val="EEECE1" w:themeColor="background2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Pr="00576749" w:rsidRDefault="00322D0D">
    <w:pPr>
      <w:spacing w:after="120"/>
      <w:jc w:val="center"/>
      <w:rPr>
        <w:sz w:val="23"/>
        <w:szCs w:val="23"/>
      </w:rPr>
    </w:pPr>
    <w:r w:rsidRPr="00576749">
      <w:rPr>
        <w:sz w:val="23"/>
        <w:szCs w:val="23"/>
      </w:rPr>
      <w:t xml:space="preserve">• </w:t>
    </w:r>
    <w:hyperlink r:id="rId1" w:history="1">
      <w:r w:rsidRPr="00576749">
        <w:rPr>
          <w:rStyle w:val="Hyperlink"/>
          <w:sz w:val="23"/>
          <w:szCs w:val="23"/>
        </w:rPr>
        <w:t>http://www.itu.int/council</w:t>
      </w:r>
    </w:hyperlink>
    <w:r w:rsidRPr="00576749">
      <w:rPr>
        <w:sz w:val="23"/>
        <w:szCs w:val="23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Pr="00576749" w:rsidRDefault="0014634F">
      <w:pPr>
        <w:rPr>
          <w:sz w:val="23"/>
          <w:szCs w:val="23"/>
        </w:rPr>
      </w:pPr>
      <w:r w:rsidRPr="00576749">
        <w:rPr>
          <w:sz w:val="23"/>
          <w:szCs w:val="23"/>
        </w:rPr>
        <w:t>____________________</w:t>
      </w:r>
    </w:p>
  </w:footnote>
  <w:footnote w:type="continuationSeparator" w:id="0">
    <w:p w14:paraId="59030122" w14:textId="77777777" w:rsidR="0014634F" w:rsidRPr="00576749" w:rsidRDefault="0014634F">
      <w:pPr>
        <w:rPr>
          <w:sz w:val="23"/>
          <w:szCs w:val="23"/>
        </w:rPr>
      </w:pPr>
      <w:r w:rsidRPr="00576749">
        <w:rPr>
          <w:sz w:val="23"/>
          <w:szCs w:val="23"/>
        </w:rPr>
        <w:continuationSeparator/>
      </w:r>
    </w:p>
  </w:footnote>
  <w:footnote w:id="1">
    <w:p w14:paraId="772CED8F" w14:textId="69AEEA57" w:rsidR="00C3458E" w:rsidRPr="00576749" w:rsidRDefault="00C3458E">
      <w:pPr>
        <w:pStyle w:val="FootnoteText"/>
        <w:rPr>
          <w:i/>
          <w:iCs/>
          <w:sz w:val="19"/>
          <w:szCs w:val="19"/>
        </w:rPr>
      </w:pPr>
      <w:r w:rsidRPr="00576749">
        <w:rPr>
          <w:rStyle w:val="FootnoteReference"/>
          <w:sz w:val="15"/>
          <w:szCs w:val="15"/>
        </w:rPr>
        <w:footnoteRef/>
      </w:r>
      <w:r w:rsidRPr="00576749">
        <w:rPr>
          <w:sz w:val="23"/>
          <w:szCs w:val="23"/>
        </w:rPr>
        <w:t xml:space="preserve"> </w:t>
      </w:r>
      <w:r w:rsidRPr="00576749">
        <w:rPr>
          <w:sz w:val="23"/>
          <w:szCs w:val="23"/>
        </w:rPr>
        <w:tab/>
      </w:r>
      <w:r w:rsidRPr="00576749">
        <w:rPr>
          <w:i/>
          <w:iCs/>
          <w:sz w:val="19"/>
          <w:szCs w:val="19"/>
        </w:rPr>
        <w:t>See Decision 621</w:t>
      </w:r>
      <w:r w:rsidR="00B21424" w:rsidRPr="00576749">
        <w:rPr>
          <w:i/>
          <w:iCs/>
          <w:sz w:val="19"/>
          <w:szCs w:val="19"/>
        </w:rPr>
        <w:t xml:space="preserve"> (C20) on Appointment of the new External Auditors</w:t>
      </w:r>
    </w:p>
  </w:footnote>
  <w:footnote w:id="2">
    <w:p w14:paraId="0D2D235B" w14:textId="77777777" w:rsidR="00AE49CD" w:rsidRPr="00576749" w:rsidRDefault="00AE49CD" w:rsidP="00B21424">
      <w:pPr>
        <w:pStyle w:val="FootnoteText"/>
        <w:snapToGrid w:val="0"/>
        <w:spacing w:before="0"/>
        <w:ind w:left="255" w:hanging="255"/>
        <w:rPr>
          <w:sz w:val="23"/>
          <w:szCs w:val="23"/>
          <w:lang w:val="en-US"/>
        </w:rPr>
      </w:pPr>
      <w:r w:rsidRPr="00576749">
        <w:rPr>
          <w:rStyle w:val="FootnoteReference"/>
          <w:sz w:val="15"/>
          <w:szCs w:val="15"/>
        </w:rPr>
        <w:footnoteRef/>
      </w:r>
      <w:r w:rsidRPr="00576749">
        <w:rPr>
          <w:sz w:val="23"/>
          <w:szCs w:val="23"/>
        </w:rPr>
        <w:t xml:space="preserve"> </w:t>
      </w:r>
      <w:r w:rsidRPr="00576749">
        <w:rPr>
          <w:sz w:val="23"/>
          <w:szCs w:val="23"/>
        </w:rPr>
        <w:tab/>
      </w:r>
      <w:r w:rsidRPr="00576749">
        <w:rPr>
          <w:i/>
          <w:iCs/>
          <w:sz w:val="19"/>
          <w:szCs w:val="19"/>
        </w:rPr>
        <w:t>upon adoption of a new Resolution</w:t>
      </w:r>
    </w:p>
  </w:footnote>
  <w:footnote w:id="3">
    <w:p w14:paraId="17B21A80" w14:textId="77777777" w:rsidR="00AE49CD" w:rsidRPr="00576749" w:rsidRDefault="00AE49CD" w:rsidP="00AE49CD">
      <w:pPr>
        <w:pStyle w:val="FootnoteText"/>
        <w:snapToGrid w:val="0"/>
        <w:spacing w:before="0"/>
        <w:ind w:left="255" w:hanging="255"/>
        <w:rPr>
          <w:sz w:val="23"/>
          <w:szCs w:val="23"/>
          <w:lang w:val="en-US"/>
        </w:rPr>
      </w:pPr>
      <w:r w:rsidRPr="00576749">
        <w:rPr>
          <w:rStyle w:val="FootnoteReference"/>
          <w:sz w:val="15"/>
          <w:szCs w:val="15"/>
        </w:rPr>
        <w:footnoteRef/>
      </w:r>
      <w:r w:rsidRPr="00576749">
        <w:rPr>
          <w:sz w:val="23"/>
          <w:szCs w:val="23"/>
        </w:rPr>
        <w:t xml:space="preserve"> </w:t>
      </w:r>
      <w:r w:rsidRPr="00576749">
        <w:rPr>
          <w:sz w:val="23"/>
          <w:szCs w:val="23"/>
        </w:rPr>
        <w:tab/>
      </w:r>
      <w:r w:rsidRPr="00576749">
        <w:rPr>
          <w:i/>
          <w:iCs/>
          <w:sz w:val="19"/>
          <w:szCs w:val="19"/>
        </w:rPr>
        <w:t>upon adoption of a new Decision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Pr="00576749" w:rsidRDefault="006535F1" w:rsidP="00CE433C">
    <w:pPr>
      <w:pStyle w:val="Header"/>
      <w:rPr>
        <w:sz w:val="17"/>
        <w:szCs w:val="17"/>
      </w:rPr>
    </w:pPr>
    <w:r w:rsidRPr="00576749">
      <w:rPr>
        <w:sz w:val="17"/>
        <w:szCs w:val="17"/>
      </w:rPr>
      <w:fldChar w:fldCharType="begin"/>
    </w:r>
    <w:r w:rsidRPr="00576749">
      <w:rPr>
        <w:sz w:val="17"/>
        <w:szCs w:val="17"/>
      </w:rPr>
      <w:instrText>PAGE</w:instrText>
    </w:r>
    <w:r w:rsidRPr="00576749">
      <w:rPr>
        <w:sz w:val="17"/>
        <w:szCs w:val="17"/>
      </w:rPr>
      <w:fldChar w:fldCharType="separate"/>
    </w:r>
    <w:r w:rsidR="00FB1279" w:rsidRPr="00576749">
      <w:rPr>
        <w:noProof/>
        <w:sz w:val="17"/>
        <w:szCs w:val="17"/>
      </w:rPr>
      <w:t>2</w:t>
    </w:r>
    <w:r w:rsidRPr="00576749">
      <w:rPr>
        <w:noProof/>
        <w:sz w:val="17"/>
        <w:szCs w:val="17"/>
      </w:rPr>
      <w:fldChar w:fldCharType="end"/>
    </w:r>
  </w:p>
  <w:p w14:paraId="4948958C" w14:textId="7A64C1E2" w:rsidR="00322D0D" w:rsidRPr="00576749" w:rsidRDefault="00623AE3" w:rsidP="00FB1279">
    <w:pPr>
      <w:pStyle w:val="Header"/>
      <w:rPr>
        <w:bCs/>
        <w:sz w:val="17"/>
        <w:szCs w:val="17"/>
      </w:rPr>
    </w:pPr>
    <w:r w:rsidRPr="00576749">
      <w:rPr>
        <w:bCs/>
        <w:sz w:val="17"/>
        <w:szCs w:val="17"/>
      </w:rPr>
      <w:t>C</w:t>
    </w:r>
    <w:r w:rsidR="004A1B8B" w:rsidRPr="00576749">
      <w:rPr>
        <w:bCs/>
        <w:sz w:val="17"/>
        <w:szCs w:val="17"/>
      </w:rPr>
      <w:t>2</w:t>
    </w:r>
    <w:r w:rsidR="0014634F" w:rsidRPr="00576749">
      <w:rPr>
        <w:bCs/>
        <w:sz w:val="17"/>
        <w:szCs w:val="17"/>
      </w:rPr>
      <w:t>2</w:t>
    </w:r>
    <w:r w:rsidRPr="00576749">
      <w:rPr>
        <w:bCs/>
        <w:sz w:val="17"/>
        <w:szCs w:val="17"/>
      </w:rPr>
      <w:t>/</w:t>
    </w:r>
    <w:r w:rsidR="00AE49CD" w:rsidRPr="00576749">
      <w:rPr>
        <w:bCs/>
        <w:sz w:val="17"/>
        <w:szCs w:val="17"/>
      </w:rPr>
      <w:t>3</w:t>
    </w:r>
    <w:r w:rsidRPr="00576749">
      <w:rPr>
        <w:bCs/>
        <w:sz w:val="17"/>
        <w:szCs w:val="17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23C24"/>
    <w:rsid w:val="00055561"/>
    <w:rsid w:val="00063016"/>
    <w:rsid w:val="00066795"/>
    <w:rsid w:val="00076AF6"/>
    <w:rsid w:val="00085CF2"/>
    <w:rsid w:val="000B1705"/>
    <w:rsid w:val="000D75B2"/>
    <w:rsid w:val="001121F5"/>
    <w:rsid w:val="00121AA0"/>
    <w:rsid w:val="001400DC"/>
    <w:rsid w:val="00140CE1"/>
    <w:rsid w:val="0014634F"/>
    <w:rsid w:val="0017539C"/>
    <w:rsid w:val="00175AC2"/>
    <w:rsid w:val="0017609F"/>
    <w:rsid w:val="001C628E"/>
    <w:rsid w:val="001E0F7B"/>
    <w:rsid w:val="001E3748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0223"/>
    <w:rsid w:val="00322D0D"/>
    <w:rsid w:val="003942D4"/>
    <w:rsid w:val="003958A8"/>
    <w:rsid w:val="003A3DF5"/>
    <w:rsid w:val="003C2533"/>
    <w:rsid w:val="0040435A"/>
    <w:rsid w:val="00416A24"/>
    <w:rsid w:val="00431D9E"/>
    <w:rsid w:val="00433CE8"/>
    <w:rsid w:val="004342A3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13730"/>
    <w:rsid w:val="005243FF"/>
    <w:rsid w:val="00564FBC"/>
    <w:rsid w:val="00573580"/>
    <w:rsid w:val="00576749"/>
    <w:rsid w:val="00582442"/>
    <w:rsid w:val="005E2A5E"/>
    <w:rsid w:val="005F3269"/>
    <w:rsid w:val="00623AE3"/>
    <w:rsid w:val="00632D6A"/>
    <w:rsid w:val="0064737F"/>
    <w:rsid w:val="006535F1"/>
    <w:rsid w:val="0065557D"/>
    <w:rsid w:val="00662984"/>
    <w:rsid w:val="006716BB"/>
    <w:rsid w:val="006921A3"/>
    <w:rsid w:val="006B6680"/>
    <w:rsid w:val="006B6DCC"/>
    <w:rsid w:val="00702DEF"/>
    <w:rsid w:val="00706861"/>
    <w:rsid w:val="00713136"/>
    <w:rsid w:val="007209B4"/>
    <w:rsid w:val="0075051B"/>
    <w:rsid w:val="00793188"/>
    <w:rsid w:val="00794D34"/>
    <w:rsid w:val="00813E5E"/>
    <w:rsid w:val="0083581B"/>
    <w:rsid w:val="00864AFF"/>
    <w:rsid w:val="00887582"/>
    <w:rsid w:val="008B4A6A"/>
    <w:rsid w:val="008C7E27"/>
    <w:rsid w:val="009173EF"/>
    <w:rsid w:val="00932906"/>
    <w:rsid w:val="00961B0B"/>
    <w:rsid w:val="009B04E0"/>
    <w:rsid w:val="009B38C3"/>
    <w:rsid w:val="009E17BD"/>
    <w:rsid w:val="009E485A"/>
    <w:rsid w:val="00A04CEC"/>
    <w:rsid w:val="00A27F92"/>
    <w:rsid w:val="00A32257"/>
    <w:rsid w:val="00A36D20"/>
    <w:rsid w:val="00A53EC9"/>
    <w:rsid w:val="00A55622"/>
    <w:rsid w:val="00A83502"/>
    <w:rsid w:val="00AD15B3"/>
    <w:rsid w:val="00AE4747"/>
    <w:rsid w:val="00AE49CD"/>
    <w:rsid w:val="00AF6E49"/>
    <w:rsid w:val="00B04A67"/>
    <w:rsid w:val="00B0583C"/>
    <w:rsid w:val="00B21424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458E"/>
    <w:rsid w:val="00C374DE"/>
    <w:rsid w:val="00C47AD4"/>
    <w:rsid w:val="00C52D81"/>
    <w:rsid w:val="00C55198"/>
    <w:rsid w:val="00CA087C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23C24"/>
    <w:pPr>
      <w:framePr w:hSpace="180" w:wrap="around" w:hAnchor="margin" w:y="-675"/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49CD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E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2A5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CL-2021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PE_C21.dotx</Template>
  <TotalTime>398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Obsolete Resolutions and Decisions</vt:lpstr>
    </vt:vector>
  </TitlesOfParts>
  <Manager>General Secretariat - Pool</Manager>
  <Company>International Telecommunication Union (ITU)</Company>
  <LinksUpToDate>false</LinksUpToDate>
  <CharactersWithSpaces>1321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Resolutions and Decisions</dc:title>
  <dc:subject>Council 2022</dc:subject>
  <dc:creator>Brouard, Ricarda</dc:creator>
  <cp:keywords>C2022, C22, Council-22</cp:keywords>
  <dc:description/>
  <cp:lastModifiedBy>Xue, Kun</cp:lastModifiedBy>
  <cp:revision>13</cp:revision>
  <cp:lastPrinted>2000-07-18T13:30:00Z</cp:lastPrinted>
  <dcterms:created xsi:type="dcterms:W3CDTF">2021-11-03T12:00:00Z</dcterms:created>
  <dcterms:modified xsi:type="dcterms:W3CDTF">2021-12-13T10:04:00Z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