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FE5314" w14:paraId="7231D897" w14:textId="77777777">
        <w:trPr>
          <w:cantSplit/>
        </w:trPr>
        <w:tc>
          <w:tcPr>
            <w:tcW w:w="6912" w:type="dxa"/>
          </w:tcPr>
          <w:p w14:paraId="3AF9F76E" w14:textId="6DCD8CF8" w:rsidR="00520F36" w:rsidRPr="00FE5314" w:rsidRDefault="00520F36" w:rsidP="00CD60C0">
            <w:pPr>
              <w:spacing w:before="360"/>
            </w:pPr>
            <w:bookmarkStart w:id="0" w:name="dc06"/>
            <w:bookmarkEnd w:id="0"/>
            <w:r w:rsidRPr="00FE5314">
              <w:rPr>
                <w:b/>
                <w:bCs/>
                <w:sz w:val="30"/>
                <w:szCs w:val="30"/>
              </w:rPr>
              <w:t>Conseil 20</w:t>
            </w:r>
            <w:r w:rsidR="009C353C" w:rsidRPr="00FE5314">
              <w:rPr>
                <w:b/>
                <w:bCs/>
                <w:sz w:val="30"/>
                <w:szCs w:val="30"/>
              </w:rPr>
              <w:t>2</w:t>
            </w:r>
            <w:r w:rsidR="00752F20" w:rsidRPr="00FE5314">
              <w:rPr>
                <w:b/>
                <w:bCs/>
                <w:sz w:val="30"/>
                <w:szCs w:val="30"/>
              </w:rPr>
              <w:t>2</w:t>
            </w:r>
            <w:r w:rsidRPr="00FE5314">
              <w:rPr>
                <w:rFonts w:ascii="Verdana" w:hAnsi="Verdana"/>
                <w:b/>
                <w:bCs/>
                <w:sz w:val="26"/>
                <w:szCs w:val="26"/>
              </w:rPr>
              <w:br/>
            </w:r>
            <w:r w:rsidR="00752F20" w:rsidRPr="00FE5314">
              <w:rPr>
                <w:b/>
                <w:bCs/>
                <w:sz w:val="28"/>
                <w:szCs w:val="28"/>
              </w:rPr>
              <w:t>Genève, 21-31 mars 2022</w:t>
            </w:r>
          </w:p>
        </w:tc>
        <w:tc>
          <w:tcPr>
            <w:tcW w:w="3261" w:type="dxa"/>
          </w:tcPr>
          <w:p w14:paraId="229611B4" w14:textId="77777777" w:rsidR="00520F36" w:rsidRPr="00FE5314" w:rsidRDefault="009C353C" w:rsidP="00CD60C0">
            <w:pPr>
              <w:spacing w:before="0"/>
            </w:pPr>
            <w:bookmarkStart w:id="1" w:name="ditulogo"/>
            <w:bookmarkEnd w:id="1"/>
            <w:r w:rsidRPr="00FE5314">
              <w:rPr>
                <w:noProof/>
              </w:rPr>
              <w:drawing>
                <wp:inline distT="0" distB="0" distL="0" distR="0" wp14:anchorId="3EA3646E" wp14:editId="1D509BD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FE5314" w14:paraId="4547796F" w14:textId="77777777" w:rsidTr="00EF41DD">
        <w:trPr>
          <w:cantSplit/>
          <w:trHeight w:val="20"/>
        </w:trPr>
        <w:tc>
          <w:tcPr>
            <w:tcW w:w="6912" w:type="dxa"/>
            <w:tcBorders>
              <w:bottom w:val="single" w:sz="12" w:space="0" w:color="auto"/>
            </w:tcBorders>
            <w:vAlign w:val="center"/>
          </w:tcPr>
          <w:p w14:paraId="7D4F0D84" w14:textId="77777777" w:rsidR="00520F36" w:rsidRPr="00FE5314" w:rsidRDefault="00520F36" w:rsidP="00CD60C0">
            <w:pPr>
              <w:spacing w:before="0"/>
              <w:rPr>
                <w:b/>
                <w:bCs/>
                <w:sz w:val="26"/>
                <w:szCs w:val="26"/>
              </w:rPr>
            </w:pPr>
          </w:p>
        </w:tc>
        <w:tc>
          <w:tcPr>
            <w:tcW w:w="3261" w:type="dxa"/>
            <w:tcBorders>
              <w:bottom w:val="single" w:sz="12" w:space="0" w:color="auto"/>
            </w:tcBorders>
          </w:tcPr>
          <w:p w14:paraId="5CC67A1C" w14:textId="77777777" w:rsidR="00520F36" w:rsidRPr="00FE5314" w:rsidRDefault="00520F36" w:rsidP="00CD60C0">
            <w:pPr>
              <w:spacing w:before="0"/>
              <w:rPr>
                <w:b/>
                <w:bCs/>
              </w:rPr>
            </w:pPr>
          </w:p>
        </w:tc>
      </w:tr>
      <w:tr w:rsidR="00520F36" w:rsidRPr="00FE5314" w14:paraId="499813DF" w14:textId="77777777">
        <w:trPr>
          <w:cantSplit/>
          <w:trHeight w:val="20"/>
        </w:trPr>
        <w:tc>
          <w:tcPr>
            <w:tcW w:w="6912" w:type="dxa"/>
            <w:tcBorders>
              <w:top w:val="single" w:sz="12" w:space="0" w:color="auto"/>
            </w:tcBorders>
          </w:tcPr>
          <w:p w14:paraId="620A7B6D" w14:textId="77777777" w:rsidR="00520F36" w:rsidRPr="00FE5314" w:rsidRDefault="00520F36" w:rsidP="00CD60C0">
            <w:pPr>
              <w:spacing w:before="0"/>
              <w:rPr>
                <w:smallCaps/>
                <w:sz w:val="22"/>
              </w:rPr>
            </w:pPr>
          </w:p>
        </w:tc>
        <w:tc>
          <w:tcPr>
            <w:tcW w:w="3261" w:type="dxa"/>
            <w:tcBorders>
              <w:top w:val="single" w:sz="12" w:space="0" w:color="auto"/>
            </w:tcBorders>
          </w:tcPr>
          <w:p w14:paraId="472DF836" w14:textId="77777777" w:rsidR="00520F36" w:rsidRPr="00FE5314" w:rsidRDefault="00520F36" w:rsidP="00CD60C0">
            <w:pPr>
              <w:spacing w:before="0"/>
              <w:rPr>
                <w:b/>
                <w:bCs/>
              </w:rPr>
            </w:pPr>
          </w:p>
        </w:tc>
      </w:tr>
      <w:tr w:rsidR="00520F36" w:rsidRPr="00FE5314" w14:paraId="1F675F12" w14:textId="77777777">
        <w:trPr>
          <w:cantSplit/>
          <w:trHeight w:val="20"/>
        </w:trPr>
        <w:tc>
          <w:tcPr>
            <w:tcW w:w="6912" w:type="dxa"/>
            <w:vMerge w:val="restart"/>
          </w:tcPr>
          <w:p w14:paraId="6A3F2D32" w14:textId="0D72F512" w:rsidR="00520F36" w:rsidRPr="00FE5314" w:rsidRDefault="004A7B5A" w:rsidP="00CD60C0">
            <w:pPr>
              <w:spacing w:before="0"/>
              <w:rPr>
                <w:rFonts w:cs="Times"/>
                <w:b/>
                <w:bCs/>
                <w:szCs w:val="24"/>
              </w:rPr>
            </w:pPr>
            <w:bookmarkStart w:id="2" w:name="dnum" w:colFirst="1" w:colLast="1"/>
            <w:bookmarkStart w:id="3" w:name="dmeeting" w:colFirst="0" w:colLast="0"/>
            <w:r w:rsidRPr="00FE5314">
              <w:rPr>
                <w:rFonts w:cs="Times"/>
                <w:b/>
                <w:bCs/>
                <w:szCs w:val="24"/>
              </w:rPr>
              <w:t>Point de l'ordre du jour: PL 2.</w:t>
            </w:r>
            <w:r w:rsidR="00752F20" w:rsidRPr="00FE5314">
              <w:rPr>
                <w:rFonts w:cs="Times"/>
                <w:b/>
                <w:bCs/>
                <w:szCs w:val="24"/>
              </w:rPr>
              <w:t>3</w:t>
            </w:r>
          </w:p>
        </w:tc>
        <w:tc>
          <w:tcPr>
            <w:tcW w:w="3261" w:type="dxa"/>
          </w:tcPr>
          <w:p w14:paraId="14B5D98B" w14:textId="56BA210C" w:rsidR="00520F36" w:rsidRPr="00FE5314" w:rsidRDefault="00520F36" w:rsidP="00CD60C0">
            <w:pPr>
              <w:spacing w:before="0"/>
              <w:rPr>
                <w:b/>
                <w:bCs/>
              </w:rPr>
            </w:pPr>
            <w:r w:rsidRPr="00FE5314">
              <w:rPr>
                <w:b/>
                <w:bCs/>
              </w:rPr>
              <w:t>Document C</w:t>
            </w:r>
            <w:r w:rsidR="009C353C" w:rsidRPr="00FE5314">
              <w:rPr>
                <w:b/>
                <w:bCs/>
              </w:rPr>
              <w:t>2</w:t>
            </w:r>
            <w:r w:rsidR="00752F20" w:rsidRPr="00FE5314">
              <w:rPr>
                <w:b/>
                <w:bCs/>
              </w:rPr>
              <w:t>2</w:t>
            </w:r>
            <w:r w:rsidRPr="00FE5314">
              <w:rPr>
                <w:b/>
                <w:bCs/>
              </w:rPr>
              <w:t>/</w:t>
            </w:r>
            <w:r w:rsidR="004A7B5A" w:rsidRPr="00FE5314">
              <w:rPr>
                <w:b/>
                <w:bCs/>
              </w:rPr>
              <w:t>2</w:t>
            </w:r>
            <w:r w:rsidRPr="00FE5314">
              <w:rPr>
                <w:b/>
                <w:bCs/>
              </w:rPr>
              <w:t>-F</w:t>
            </w:r>
          </w:p>
        </w:tc>
      </w:tr>
      <w:tr w:rsidR="00520F36" w:rsidRPr="00FE5314" w14:paraId="5D685A24" w14:textId="77777777">
        <w:trPr>
          <w:cantSplit/>
          <w:trHeight w:val="20"/>
        </w:trPr>
        <w:tc>
          <w:tcPr>
            <w:tcW w:w="6912" w:type="dxa"/>
            <w:vMerge/>
          </w:tcPr>
          <w:p w14:paraId="5BB70A82" w14:textId="77777777" w:rsidR="00520F36" w:rsidRPr="00FE5314" w:rsidRDefault="00520F36" w:rsidP="00CD60C0">
            <w:pPr>
              <w:shd w:val="solid" w:color="FFFFFF" w:fill="FFFFFF"/>
              <w:spacing w:before="180"/>
              <w:rPr>
                <w:smallCaps/>
              </w:rPr>
            </w:pPr>
            <w:bookmarkStart w:id="4" w:name="ddate" w:colFirst="1" w:colLast="1"/>
            <w:bookmarkEnd w:id="2"/>
            <w:bookmarkEnd w:id="3"/>
          </w:p>
        </w:tc>
        <w:tc>
          <w:tcPr>
            <w:tcW w:w="3261" w:type="dxa"/>
          </w:tcPr>
          <w:p w14:paraId="181AF652" w14:textId="751E07C2" w:rsidR="00520F36" w:rsidRPr="00FE5314" w:rsidRDefault="00752F20" w:rsidP="00CD60C0">
            <w:pPr>
              <w:spacing w:before="0"/>
              <w:rPr>
                <w:b/>
                <w:bCs/>
              </w:rPr>
            </w:pPr>
            <w:r w:rsidRPr="00FE5314">
              <w:rPr>
                <w:b/>
                <w:bCs/>
              </w:rPr>
              <w:t>23 novembre</w:t>
            </w:r>
            <w:r w:rsidR="004A7B5A" w:rsidRPr="00FE5314">
              <w:rPr>
                <w:b/>
                <w:bCs/>
              </w:rPr>
              <w:t xml:space="preserve"> 2021</w:t>
            </w:r>
          </w:p>
        </w:tc>
      </w:tr>
      <w:tr w:rsidR="00520F36" w:rsidRPr="00FE5314" w14:paraId="681770E2" w14:textId="77777777">
        <w:trPr>
          <w:cantSplit/>
          <w:trHeight w:val="20"/>
        </w:trPr>
        <w:tc>
          <w:tcPr>
            <w:tcW w:w="6912" w:type="dxa"/>
            <w:vMerge/>
          </w:tcPr>
          <w:p w14:paraId="0756F352" w14:textId="77777777" w:rsidR="00520F36" w:rsidRPr="00FE5314" w:rsidRDefault="00520F36" w:rsidP="00CD60C0">
            <w:pPr>
              <w:shd w:val="solid" w:color="FFFFFF" w:fill="FFFFFF"/>
              <w:spacing w:before="180"/>
              <w:rPr>
                <w:smallCaps/>
              </w:rPr>
            </w:pPr>
            <w:bookmarkStart w:id="5" w:name="dorlang" w:colFirst="1" w:colLast="1"/>
            <w:bookmarkEnd w:id="4"/>
          </w:p>
        </w:tc>
        <w:tc>
          <w:tcPr>
            <w:tcW w:w="3261" w:type="dxa"/>
          </w:tcPr>
          <w:p w14:paraId="2DC134E8" w14:textId="77777777" w:rsidR="00520F36" w:rsidRPr="00FE5314" w:rsidRDefault="00520F36" w:rsidP="00CD60C0">
            <w:pPr>
              <w:spacing w:before="0"/>
              <w:rPr>
                <w:b/>
                <w:bCs/>
              </w:rPr>
            </w:pPr>
            <w:r w:rsidRPr="00FE5314">
              <w:rPr>
                <w:b/>
                <w:bCs/>
              </w:rPr>
              <w:t>Original: anglais</w:t>
            </w:r>
          </w:p>
        </w:tc>
      </w:tr>
      <w:tr w:rsidR="00520F36" w:rsidRPr="00FE5314" w14:paraId="0838775D" w14:textId="77777777">
        <w:trPr>
          <w:cantSplit/>
        </w:trPr>
        <w:tc>
          <w:tcPr>
            <w:tcW w:w="10173" w:type="dxa"/>
            <w:gridSpan w:val="2"/>
          </w:tcPr>
          <w:p w14:paraId="66528EAD" w14:textId="11815D4E" w:rsidR="00520F36" w:rsidRPr="00FE5314" w:rsidRDefault="004A7B5A" w:rsidP="00CD60C0">
            <w:pPr>
              <w:pStyle w:val="Source"/>
            </w:pPr>
            <w:bookmarkStart w:id="6" w:name="dsource" w:colFirst="0" w:colLast="0"/>
            <w:bookmarkEnd w:id="5"/>
            <w:r w:rsidRPr="00FE5314">
              <w:t>Rapport du Secrétaire général</w:t>
            </w:r>
          </w:p>
        </w:tc>
      </w:tr>
      <w:tr w:rsidR="00520F36" w:rsidRPr="00FE5314" w14:paraId="57BE8423" w14:textId="77777777">
        <w:trPr>
          <w:cantSplit/>
        </w:trPr>
        <w:tc>
          <w:tcPr>
            <w:tcW w:w="10173" w:type="dxa"/>
            <w:gridSpan w:val="2"/>
          </w:tcPr>
          <w:p w14:paraId="7A45AA9C" w14:textId="7B79A1FA" w:rsidR="004A7B5A" w:rsidRPr="00FE5314" w:rsidRDefault="004A7B5A" w:rsidP="00CD60C0">
            <w:pPr>
              <w:pStyle w:val="Title1"/>
            </w:pPr>
            <w:bookmarkStart w:id="7" w:name="dtitle1" w:colFirst="0" w:colLast="0"/>
            <w:bookmarkStart w:id="8" w:name="_Hlk90464917"/>
            <w:bookmarkEnd w:id="6"/>
            <w:r w:rsidRPr="00FE5314">
              <w:t xml:space="preserve">dates et durÉe proposÉes pour les sessions de 2023, 2024, 2025 </w:t>
            </w:r>
            <w:r w:rsidRPr="00FE5314">
              <w:br/>
              <w:t>et</w:t>
            </w:r>
            <w:r w:rsidR="00A27332">
              <w:t xml:space="preserve"> </w:t>
            </w:r>
            <w:r w:rsidRPr="00FE5314">
              <w:t>2026 du Conseil</w:t>
            </w:r>
          </w:p>
          <w:p w14:paraId="7947EF91" w14:textId="7A9FDE39" w:rsidR="00520F36" w:rsidRPr="00FE5314" w:rsidRDefault="004A7B5A" w:rsidP="00CD60C0">
            <w:pPr>
              <w:pStyle w:val="Title1"/>
            </w:pPr>
            <w:r w:rsidRPr="00FE5314">
              <w:t>ET dates proposÉes pour lES sÉrieS de rÉu</w:t>
            </w:r>
            <w:r w:rsidR="00A1343A" w:rsidRPr="00FE5314">
              <w:t xml:space="preserve">nions des groupes de travail </w:t>
            </w:r>
            <w:r w:rsidR="00A22F78" w:rsidRPr="00FE5314">
              <w:t xml:space="preserve">DU CONSEIL </w:t>
            </w:r>
            <w:r w:rsidRPr="00FE5314">
              <w:t>et des groupes d'experts DE 2023</w:t>
            </w:r>
            <w:r w:rsidR="00752F20" w:rsidRPr="00FE5314">
              <w:t>,</w:t>
            </w:r>
            <w:r w:rsidRPr="00FE5314">
              <w:t xml:space="preserve"> 2024</w:t>
            </w:r>
            <w:r w:rsidR="00752F20" w:rsidRPr="00FE5314">
              <w:t xml:space="preserve"> et 2025</w:t>
            </w:r>
            <w:bookmarkEnd w:id="8"/>
          </w:p>
        </w:tc>
      </w:tr>
      <w:bookmarkEnd w:id="7"/>
    </w:tbl>
    <w:p w14:paraId="42E0134C" w14:textId="77777777" w:rsidR="00520F36" w:rsidRPr="00FE5314" w:rsidRDefault="00520F36" w:rsidP="00CD60C0"/>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FE5314" w14:paraId="0AD8A8C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2951299F" w14:textId="77777777" w:rsidR="00520F36" w:rsidRPr="00FE5314" w:rsidRDefault="00520F36" w:rsidP="00CD60C0">
            <w:pPr>
              <w:pStyle w:val="Headingb"/>
            </w:pPr>
            <w:r w:rsidRPr="00FE5314">
              <w:t>Résumé</w:t>
            </w:r>
          </w:p>
          <w:p w14:paraId="24EE7BFC" w14:textId="76362A6D" w:rsidR="004A7B5A" w:rsidRPr="00FE5314" w:rsidRDefault="004A7B5A" w:rsidP="00CD60C0">
            <w:r w:rsidRPr="00FE5314">
              <w:t xml:space="preserve">Conformément à la Résolution 77 (Rév. Dubaï, 2018) de la Conférence de plénipotentiaires, et compte tenu de la Décision 612 (C19), le Conseil est invité </w:t>
            </w:r>
            <w:r w:rsidR="007A0918" w:rsidRPr="00FE5314">
              <w:t xml:space="preserve">chaque année </w:t>
            </w:r>
            <w:r w:rsidRPr="00FE5314">
              <w:t>à "planifier ses trois prochaines sessions ordinaires en juin-juillet, et à revoir cette planification d'une année à l'autre"</w:t>
            </w:r>
            <w:r w:rsidR="00CC2786" w:rsidRPr="00FE5314">
              <w:t>.</w:t>
            </w:r>
          </w:p>
          <w:p w14:paraId="29B67887" w14:textId="02D938EA" w:rsidR="00520F36" w:rsidRPr="00FE5314" w:rsidRDefault="004A7B5A" w:rsidP="00CD60C0">
            <w:r w:rsidRPr="00FE5314">
              <w:t xml:space="preserve">Aux termes de la </w:t>
            </w:r>
            <w:hyperlink r:id="rId7" w:history="1">
              <w:r w:rsidRPr="00FE5314">
                <w:rPr>
                  <w:rStyle w:val="Hyperlink"/>
                </w:rPr>
                <w:t>Décision 62</w:t>
              </w:r>
              <w:r w:rsidR="00752F20" w:rsidRPr="00FE5314">
                <w:rPr>
                  <w:rStyle w:val="Hyperlink"/>
                </w:rPr>
                <w:t>5</w:t>
              </w:r>
            </w:hyperlink>
            <w:r w:rsidR="000D2411" w:rsidRPr="00FE5314">
              <w:t xml:space="preserve">, </w:t>
            </w:r>
            <w:r w:rsidR="007A0918" w:rsidRPr="00FE5314">
              <w:t xml:space="preserve">qui a été </w:t>
            </w:r>
            <w:r w:rsidR="000D2411" w:rsidRPr="00FE5314">
              <w:t>approuvée par correspondance après la consultation virtuelle des Conseillers de 2021</w:t>
            </w:r>
            <w:r w:rsidRPr="00FE5314">
              <w:t>, il est proposé qu</w:t>
            </w:r>
            <w:r w:rsidR="00A22F78" w:rsidRPr="00FE5314">
              <w:t>e le Conseil</w:t>
            </w:r>
            <w:r w:rsidR="00CD60C0" w:rsidRPr="00FE5314">
              <w:t>,</w:t>
            </w:r>
            <w:r w:rsidR="00A22F78" w:rsidRPr="00FE5314">
              <w:t xml:space="preserve"> </w:t>
            </w:r>
            <w:r w:rsidR="00100668" w:rsidRPr="00FE5314">
              <w:t>à sa session de 2022,</w:t>
            </w:r>
            <w:r w:rsidRPr="00FE5314">
              <w:t xml:space="preserve"> confirme </w:t>
            </w:r>
            <w:r w:rsidR="009F1412" w:rsidRPr="00FE5314">
              <w:t xml:space="preserve">à nouveau </w:t>
            </w:r>
            <w:r w:rsidRPr="00FE5314">
              <w:t>les dates des prochaines sessions du Conseil de 202</w:t>
            </w:r>
            <w:r w:rsidR="00752F20" w:rsidRPr="00FE5314">
              <w:t>3</w:t>
            </w:r>
            <w:r w:rsidRPr="00FE5314">
              <w:t xml:space="preserve"> à 2026 </w:t>
            </w:r>
            <w:r w:rsidR="00D051A9" w:rsidRPr="00FE5314">
              <w:t>et</w:t>
            </w:r>
            <w:r w:rsidR="00CD60C0" w:rsidRPr="00FE5314">
              <w:t xml:space="preserve"> </w:t>
            </w:r>
            <w:r w:rsidR="00D051A9" w:rsidRPr="00FE5314">
              <w:t>confirme</w:t>
            </w:r>
            <w:r w:rsidRPr="00FE5314">
              <w:t xml:space="preserve"> les dates des séries de réunions des Groupes de travail du Conseil (GTC) et des Groupes d'experts (EG) de 2023</w:t>
            </w:r>
            <w:r w:rsidR="00752F20" w:rsidRPr="00FE5314">
              <w:t>,</w:t>
            </w:r>
            <w:r w:rsidRPr="00FE5314">
              <w:t xml:space="preserve"> 202</w:t>
            </w:r>
            <w:r w:rsidR="00752F20" w:rsidRPr="00FE5314">
              <w:t>4 et 2025</w:t>
            </w:r>
            <w:r w:rsidRPr="00FE5314">
              <w:t>.</w:t>
            </w:r>
          </w:p>
          <w:p w14:paraId="583A9C9F" w14:textId="77777777" w:rsidR="00520F36" w:rsidRPr="00FE5314" w:rsidRDefault="00520F36" w:rsidP="00CD60C0">
            <w:pPr>
              <w:pStyle w:val="Headingb"/>
            </w:pPr>
            <w:r w:rsidRPr="00FE5314">
              <w:t>Suite à donner</w:t>
            </w:r>
          </w:p>
          <w:p w14:paraId="5B9767D6" w14:textId="6F21403A" w:rsidR="00520F36" w:rsidRPr="00FE5314" w:rsidRDefault="004A7B5A" w:rsidP="00CD60C0">
            <w:r w:rsidRPr="00FE5314">
              <w:t xml:space="preserve">Le Conseil est invité à </w:t>
            </w:r>
            <w:r w:rsidRPr="00FE5314">
              <w:rPr>
                <w:b/>
                <w:bCs/>
              </w:rPr>
              <w:t>confirmer à nouveau</w:t>
            </w:r>
            <w:r w:rsidRPr="00FE5314">
              <w:t xml:space="preserve"> les dates de ses sessions </w:t>
            </w:r>
            <w:r w:rsidR="00A22F78" w:rsidRPr="00FE5314">
              <w:t xml:space="preserve">de </w:t>
            </w:r>
            <w:r w:rsidRPr="00FE5314">
              <w:t>2023, 2024, 2025 et 2026, ainsi que les dates des séries de réunions des GTC et des EG de 202</w:t>
            </w:r>
            <w:r w:rsidR="00752F20" w:rsidRPr="00FE5314">
              <w:t>3</w:t>
            </w:r>
            <w:r w:rsidRPr="00FE5314">
              <w:t>, 202</w:t>
            </w:r>
            <w:r w:rsidR="00752F20" w:rsidRPr="00FE5314">
              <w:t>4</w:t>
            </w:r>
            <w:r w:rsidRPr="00FE5314">
              <w:t xml:space="preserve"> et 202</w:t>
            </w:r>
            <w:r w:rsidR="00752F20" w:rsidRPr="00FE5314">
              <w:t>5</w:t>
            </w:r>
            <w:r w:rsidRPr="00FE5314">
              <w:t xml:space="preserve">, et à </w:t>
            </w:r>
            <w:r w:rsidRPr="00FE5314">
              <w:rPr>
                <w:b/>
                <w:bCs/>
              </w:rPr>
              <w:t>adopter</w:t>
            </w:r>
            <w:r w:rsidRPr="00FE5314">
              <w:t xml:space="preserve"> le projet de Décision reproduit dans l'Annexe du présent document.</w:t>
            </w:r>
          </w:p>
          <w:p w14:paraId="5A77620B" w14:textId="77777777" w:rsidR="00520F36" w:rsidRPr="00FE5314" w:rsidRDefault="00520F36" w:rsidP="00CD60C0">
            <w:pPr>
              <w:pStyle w:val="Table"/>
              <w:keepNext w:val="0"/>
              <w:spacing w:before="0" w:after="0"/>
              <w:rPr>
                <w:rFonts w:ascii="Calibri" w:hAnsi="Calibri"/>
                <w:caps w:val="0"/>
                <w:sz w:val="22"/>
                <w:lang w:val="fr-FR"/>
              </w:rPr>
            </w:pPr>
            <w:r w:rsidRPr="00FE5314">
              <w:rPr>
                <w:rFonts w:ascii="Calibri" w:hAnsi="Calibri"/>
                <w:caps w:val="0"/>
                <w:sz w:val="22"/>
                <w:lang w:val="fr-FR"/>
              </w:rPr>
              <w:t>____________</w:t>
            </w:r>
          </w:p>
          <w:p w14:paraId="30F93004" w14:textId="77777777" w:rsidR="00520F36" w:rsidRPr="00FE5314" w:rsidRDefault="00520F36" w:rsidP="00CD60C0">
            <w:pPr>
              <w:pStyle w:val="Headingb"/>
            </w:pPr>
            <w:r w:rsidRPr="00FE5314">
              <w:t>Références</w:t>
            </w:r>
          </w:p>
          <w:bookmarkStart w:id="9" w:name="lt_pId018"/>
          <w:p w14:paraId="27914389" w14:textId="2BF34548" w:rsidR="00520F36" w:rsidRPr="00FE5314" w:rsidRDefault="004A7B5A" w:rsidP="00CD60C0">
            <w:pPr>
              <w:spacing w:after="120"/>
              <w:rPr>
                <w:i/>
                <w:iCs/>
              </w:rPr>
            </w:pPr>
            <w:r w:rsidRPr="00FE5314">
              <w:rPr>
                <w:i/>
                <w:iCs/>
              </w:rPr>
              <w:fldChar w:fldCharType="begin"/>
            </w:r>
            <w:r w:rsidR="00CD60C0" w:rsidRPr="00FE5314">
              <w:rPr>
                <w:i/>
                <w:iCs/>
              </w:rPr>
              <w:instrText>HYPERLINK "https://www.itu.int/council/pd/rop-f.pdf"</w:instrText>
            </w:r>
            <w:r w:rsidRPr="00FE5314">
              <w:rPr>
                <w:i/>
                <w:iCs/>
              </w:rPr>
              <w:fldChar w:fldCharType="separate"/>
            </w:r>
            <w:r w:rsidRPr="00FE5314">
              <w:rPr>
                <w:rStyle w:val="Hyperlink"/>
                <w:i/>
                <w:iCs/>
              </w:rPr>
              <w:t>Article 1, Règlement intérieur du Conseil</w:t>
            </w:r>
            <w:r w:rsidRPr="00FE5314">
              <w:rPr>
                <w:i/>
                <w:iCs/>
              </w:rPr>
              <w:fldChar w:fldCharType="end"/>
            </w:r>
            <w:r w:rsidRPr="00FE5314">
              <w:rPr>
                <w:i/>
                <w:iCs/>
              </w:rPr>
              <w:t xml:space="preserve">; </w:t>
            </w:r>
            <w:hyperlink r:id="rId8" w:history="1">
              <w:r w:rsidRPr="00FE5314">
                <w:rPr>
                  <w:rStyle w:val="Hyperlink"/>
                  <w:i/>
                  <w:iCs/>
                </w:rPr>
                <w:t>Résolution 77 (Rév. Dubaï, 2018)</w:t>
              </w:r>
            </w:hyperlink>
            <w:r w:rsidRPr="00FE5314">
              <w:rPr>
                <w:i/>
                <w:iCs/>
              </w:rPr>
              <w:t xml:space="preserve">, </w:t>
            </w:r>
            <w:hyperlink r:id="rId9" w:history="1">
              <w:r w:rsidRPr="00FE5314">
                <w:rPr>
                  <w:rStyle w:val="Hyperlink"/>
                  <w:i/>
                  <w:iCs/>
                </w:rPr>
                <w:t>Résolution 111 (Rév. Busan, 2014)</w:t>
              </w:r>
            </w:hyperlink>
            <w:r w:rsidRPr="00FE5314">
              <w:rPr>
                <w:i/>
                <w:iCs/>
              </w:rPr>
              <w:t xml:space="preserve"> de la PP; </w:t>
            </w:r>
            <w:bookmarkEnd w:id="9"/>
            <w:r w:rsidRPr="00FE5314">
              <w:rPr>
                <w:i/>
                <w:iCs/>
              </w:rPr>
              <w:t xml:space="preserve">Documents </w:t>
            </w:r>
            <w:hyperlink r:id="rId10" w:history="1">
              <w:r w:rsidRPr="00FE5314">
                <w:rPr>
                  <w:rStyle w:val="Hyperlink"/>
                  <w:i/>
                  <w:iCs/>
                </w:rPr>
                <w:t>C19/2</w:t>
              </w:r>
            </w:hyperlink>
            <w:r w:rsidRPr="00FE5314">
              <w:rPr>
                <w:i/>
                <w:iCs/>
              </w:rPr>
              <w:t xml:space="preserve">, </w:t>
            </w:r>
            <w:hyperlink r:id="rId11" w:history="1">
              <w:r w:rsidRPr="00FE5314">
                <w:rPr>
                  <w:rStyle w:val="Hyperlink"/>
                  <w:i/>
                  <w:iCs/>
                </w:rPr>
                <w:t>C19/118</w:t>
              </w:r>
            </w:hyperlink>
            <w:r w:rsidRPr="00FE5314">
              <w:rPr>
                <w:i/>
                <w:iCs/>
              </w:rPr>
              <w:t xml:space="preserve">, </w:t>
            </w:r>
            <w:hyperlink r:id="rId12" w:history="1">
              <w:r w:rsidRPr="00FE5314">
                <w:rPr>
                  <w:rStyle w:val="Hyperlink"/>
                  <w:i/>
                  <w:iCs/>
                </w:rPr>
                <w:t>C19/37</w:t>
              </w:r>
            </w:hyperlink>
            <w:r w:rsidRPr="00FE5314">
              <w:rPr>
                <w:i/>
                <w:iCs/>
              </w:rPr>
              <w:t xml:space="preserve">, </w:t>
            </w:r>
            <w:hyperlink r:id="rId13" w:history="1">
              <w:r w:rsidRPr="00FE5314">
                <w:rPr>
                  <w:rStyle w:val="Hyperlink"/>
                  <w:i/>
                  <w:iCs/>
                </w:rPr>
                <w:t>C20/2</w:t>
              </w:r>
            </w:hyperlink>
            <w:r w:rsidRPr="00FE5314">
              <w:rPr>
                <w:i/>
                <w:iCs/>
              </w:rPr>
              <w:t xml:space="preserve">, </w:t>
            </w:r>
            <w:hyperlink r:id="rId14" w:history="1">
              <w:r w:rsidRPr="00FE5314">
                <w:rPr>
                  <w:rStyle w:val="Hyperlink"/>
                  <w:i/>
                  <w:iCs/>
                </w:rPr>
                <w:t>C20/37</w:t>
              </w:r>
            </w:hyperlink>
            <w:r w:rsidRPr="00FE5314">
              <w:rPr>
                <w:i/>
                <w:iCs/>
                <w:u w:val="single"/>
              </w:rPr>
              <w:t xml:space="preserve"> </w:t>
            </w:r>
            <w:r w:rsidRPr="00FE5314">
              <w:rPr>
                <w:i/>
                <w:iCs/>
              </w:rPr>
              <w:t xml:space="preserve">et </w:t>
            </w:r>
            <w:hyperlink r:id="rId15" w:history="1">
              <w:r w:rsidRPr="00FE5314">
                <w:rPr>
                  <w:rStyle w:val="Hyperlink"/>
                  <w:i/>
                  <w:iCs/>
                </w:rPr>
                <w:t>C21/37</w:t>
              </w:r>
            </w:hyperlink>
            <w:r w:rsidRPr="00FE5314">
              <w:rPr>
                <w:i/>
                <w:iCs/>
              </w:rPr>
              <w:t xml:space="preserve"> du Conseil; </w:t>
            </w:r>
            <w:hyperlink r:id="rId16" w:history="1">
              <w:r w:rsidRPr="00FE5314">
                <w:rPr>
                  <w:rStyle w:val="Hyperlink"/>
                  <w:i/>
                  <w:iCs/>
                </w:rPr>
                <w:t>Décision 619</w:t>
              </w:r>
            </w:hyperlink>
            <w:r w:rsidR="00752F20" w:rsidRPr="00FE5314">
              <w:t xml:space="preserve">, </w:t>
            </w:r>
            <w:hyperlink r:id="rId17" w:history="1">
              <w:r w:rsidRPr="00FE5314">
                <w:rPr>
                  <w:rStyle w:val="Hyperlink"/>
                  <w:i/>
                  <w:iCs/>
                </w:rPr>
                <w:t>Décision 620</w:t>
              </w:r>
            </w:hyperlink>
            <w:r w:rsidRPr="00FE5314">
              <w:rPr>
                <w:i/>
                <w:iCs/>
              </w:rPr>
              <w:t xml:space="preserve"> </w:t>
            </w:r>
            <w:r w:rsidR="00752F20" w:rsidRPr="00FE5314">
              <w:rPr>
                <w:i/>
                <w:iCs/>
              </w:rPr>
              <w:t xml:space="preserve">et </w:t>
            </w:r>
            <w:hyperlink r:id="rId18" w:history="1">
              <w:r w:rsidR="00752F20" w:rsidRPr="00FE5314">
                <w:rPr>
                  <w:rStyle w:val="Hyperlink"/>
                  <w:i/>
                  <w:iCs/>
                </w:rPr>
                <w:t>Décision 625</w:t>
              </w:r>
            </w:hyperlink>
            <w:r w:rsidR="00752F20" w:rsidRPr="00FE5314">
              <w:rPr>
                <w:i/>
                <w:iCs/>
              </w:rPr>
              <w:t xml:space="preserve"> </w:t>
            </w:r>
            <w:r w:rsidRPr="00FE5314">
              <w:rPr>
                <w:i/>
                <w:iCs/>
              </w:rPr>
              <w:t>du Conseil</w:t>
            </w:r>
          </w:p>
        </w:tc>
      </w:tr>
    </w:tbl>
    <w:p w14:paraId="53782C6E" w14:textId="77777777" w:rsidR="004A7B5A" w:rsidRPr="00FE5314" w:rsidRDefault="004A7B5A" w:rsidP="00CD60C0">
      <w:pPr>
        <w:pStyle w:val="Headingb"/>
      </w:pPr>
      <w:r w:rsidRPr="00FE5314">
        <w:br w:type="page"/>
      </w:r>
    </w:p>
    <w:p w14:paraId="74DFB809" w14:textId="063C543C" w:rsidR="004A7B5A" w:rsidRPr="00FE5314" w:rsidRDefault="004A7B5A" w:rsidP="00CD60C0">
      <w:pPr>
        <w:pStyle w:val="Headingb"/>
      </w:pPr>
      <w:r w:rsidRPr="00FE5314">
        <w:lastRenderedPageBreak/>
        <w:t>Rappel</w:t>
      </w:r>
    </w:p>
    <w:p w14:paraId="45A42363" w14:textId="77777777" w:rsidR="004A7B5A" w:rsidRPr="00FE5314" w:rsidRDefault="004A7B5A" w:rsidP="00CD60C0">
      <w:r w:rsidRPr="00FE5314">
        <w:t xml:space="preserve">Aux termes de la Résolution 77 (Rév. Dubaï, 2018) relative à </w:t>
      </w:r>
      <w:r w:rsidRPr="00FE5314">
        <w:rPr>
          <w:b/>
          <w:bCs/>
          <w:i/>
          <w:iCs/>
        </w:rPr>
        <w:t>la planification et à la durée des conférences, forums, assemblées et sessions du Conseil de l'Union (2019-2023)</w:t>
      </w:r>
      <w:r w:rsidRPr="00FE5314">
        <w:t>, la Conférence de plénipotentiaires a chargé le Conseil "de planifier, à chaque session ordinaire, ses trois prochaines sessions ordinaires en juin-juillet, et de revoir cette planification d'une année à l'autre".</w:t>
      </w:r>
    </w:p>
    <w:p w14:paraId="44EE5904" w14:textId="77777777" w:rsidR="004A7B5A" w:rsidRPr="00FE5314" w:rsidRDefault="004A7B5A" w:rsidP="00CD60C0">
      <w:r w:rsidRPr="00FE5314">
        <w:t xml:space="preserve">Conformément à la Résolution 111 (Rév. Busan, 2014) relative à </w:t>
      </w:r>
      <w:r w:rsidRPr="00FE5314">
        <w:rPr>
          <w:b/>
          <w:bCs/>
          <w:i/>
          <w:iCs/>
        </w:rPr>
        <w:t>la prise en compte des grandes fêtes religieuses dans la planification des conférences, des assemblées et des sessions du Conseil de l'UIT</w:t>
      </w:r>
      <w:r w:rsidRPr="00FE5314">
        <w:t>, la Conférence de plénipotentiaires a décidé que "l'Union et les États Membres du Conseil devront tout faire, dans la mesure du possible, pour éviter que la période prévue pour une session du Conseil coïncide avec la période de célébration d'une fête religieuse considérée comme importante par un État Membre du Conseil".</w:t>
      </w:r>
    </w:p>
    <w:p w14:paraId="06D9D64F" w14:textId="75FDACA4" w:rsidR="004A7B5A" w:rsidRPr="00FE5314" w:rsidRDefault="004A7B5A" w:rsidP="00CD60C0">
      <w:r w:rsidRPr="00FE5314">
        <w:rPr>
          <w:lang w:eastAsia="zh-CN"/>
        </w:rPr>
        <w:t xml:space="preserve">En vertu de la Décision 619 du Conseil relative aux </w:t>
      </w:r>
      <w:r w:rsidRPr="00FE5314">
        <w:rPr>
          <w:b/>
          <w:lang w:eastAsia="zh-CN"/>
        </w:rPr>
        <w:t>locaux du siège</w:t>
      </w:r>
      <w:r w:rsidRPr="00FE5314">
        <w:rPr>
          <w:lang w:eastAsia="zh-CN"/>
        </w:rPr>
        <w:t xml:space="preserve">, adoptée à la session additionnelle de 2019 du Conseil, le </w:t>
      </w:r>
      <w:r w:rsidRPr="00FE5314">
        <w:rPr>
          <w:i/>
          <w:iCs/>
          <w:lang w:eastAsia="zh-CN"/>
        </w:rPr>
        <w:t>Secrétaire général est chargé</w:t>
      </w:r>
      <w:r w:rsidRPr="00FE5314">
        <w:rPr>
          <w:lang w:eastAsia="zh-CN"/>
        </w:rPr>
        <w:t xml:space="preserve"> 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 En conséquence, il a été jugé important d'arrêter les dates du Conseil pendant cette période – comprise entre 2023 et 2026 –</w:t>
      </w:r>
      <w:r w:rsidR="00CD60C0" w:rsidRPr="00FE5314">
        <w:rPr>
          <w:lang w:eastAsia="zh-CN"/>
        </w:rPr>
        <w:t>,</w:t>
      </w:r>
      <w:r w:rsidRPr="00FE5314">
        <w:rPr>
          <w:lang w:eastAsia="zh-CN"/>
        </w:rPr>
        <w:t xml:space="preserve"> de poursuivre les négociations avec</w:t>
      </w:r>
      <w:r w:rsidRPr="00FE5314">
        <w:t xml:space="preserve"> la Fondation des immeubles pour les organisations internationales (FIPOI) et d'assurer une coordination avec le Centre international de Conférences de Genève (CICG).</w:t>
      </w:r>
    </w:p>
    <w:p w14:paraId="6DFF3EBB" w14:textId="71957052" w:rsidR="004A7B5A" w:rsidRPr="00FE5314" w:rsidRDefault="004A7B5A" w:rsidP="00CD60C0">
      <w:r w:rsidRPr="00FE5314">
        <w:t>Après la consultation virtuelle des Consei</w:t>
      </w:r>
      <w:r w:rsidR="00A1343A" w:rsidRPr="00FE5314">
        <w:t>llers</w:t>
      </w:r>
      <w:r w:rsidR="00387824" w:rsidRPr="00FE5314">
        <w:t xml:space="preserve"> de 2021</w:t>
      </w:r>
      <w:r w:rsidR="00A1343A" w:rsidRPr="00FE5314">
        <w:t>,</w:t>
      </w:r>
      <w:r w:rsidR="00CD60C0" w:rsidRPr="00FE5314">
        <w:t xml:space="preserve"> </w:t>
      </w:r>
      <w:r w:rsidR="00A1343A" w:rsidRPr="00FE5314">
        <w:t xml:space="preserve">tenue du </w:t>
      </w:r>
      <w:r w:rsidR="00387824" w:rsidRPr="00FE5314">
        <w:t>8 au 18 juin 2021</w:t>
      </w:r>
      <w:r w:rsidRPr="00FE5314">
        <w:t xml:space="preserve">, le Conseil a approuvé par correspondance la </w:t>
      </w:r>
      <w:hyperlink r:id="rId19" w:history="1">
        <w:r w:rsidRPr="00FE5314">
          <w:rPr>
            <w:rStyle w:val="Hyperlink"/>
          </w:rPr>
          <w:t>Décision 62</w:t>
        </w:r>
      </w:hyperlink>
      <w:r w:rsidR="00387824" w:rsidRPr="00FE5314">
        <w:rPr>
          <w:rStyle w:val="Hyperlink"/>
        </w:rPr>
        <w:t>5</w:t>
      </w:r>
      <w:r w:rsidRPr="00FE5314">
        <w:t>, dans laquelle</w:t>
      </w:r>
      <w:r w:rsidR="00CD60C0" w:rsidRPr="00FE5314">
        <w:t xml:space="preserve"> </w:t>
      </w:r>
      <w:r w:rsidR="00A22F78" w:rsidRPr="00FE5314">
        <w:t xml:space="preserve">il </w:t>
      </w:r>
      <w:r w:rsidR="000E168F" w:rsidRPr="00FE5314">
        <w:t>confirm</w:t>
      </w:r>
      <w:r w:rsidR="00A22F78" w:rsidRPr="00FE5314">
        <w:t>e</w:t>
      </w:r>
      <w:r w:rsidR="00CD60C0" w:rsidRPr="00FE5314">
        <w:t xml:space="preserve"> </w:t>
      </w:r>
      <w:r w:rsidRPr="00FE5314">
        <w:t>les dates des sessions du Conseil de l'UIT pour la période comprise entre 202</w:t>
      </w:r>
      <w:r w:rsidR="00387824" w:rsidRPr="00FE5314">
        <w:t>2</w:t>
      </w:r>
      <w:r w:rsidRPr="00FE5314">
        <w:t xml:space="preserve"> et 2026, compte tenu de la disponibilité du CICG,</w:t>
      </w:r>
      <w:r w:rsidR="00CD60C0" w:rsidRPr="00FE5314">
        <w:t xml:space="preserve"> </w:t>
      </w:r>
      <w:r w:rsidR="00A22F78" w:rsidRPr="00FE5314">
        <w:t>ainsi que</w:t>
      </w:r>
      <w:r w:rsidRPr="00FE5314">
        <w:t xml:space="preserve"> les dates proposées pour les Groupes de travail du Conseil et les Groupes d'experts pour 202</w:t>
      </w:r>
      <w:r w:rsidR="00387824" w:rsidRPr="00FE5314">
        <w:t>2</w:t>
      </w:r>
      <w:r w:rsidRPr="00FE5314">
        <w:t xml:space="preserve"> et 202</w:t>
      </w:r>
      <w:r w:rsidR="00387824" w:rsidRPr="00FE5314">
        <w:t>4</w:t>
      </w:r>
      <w:r w:rsidRPr="00FE5314">
        <w:t>.</w:t>
      </w:r>
    </w:p>
    <w:p w14:paraId="74168850" w14:textId="15721FBC" w:rsidR="004A7B5A" w:rsidRPr="00FE5314" w:rsidRDefault="004A7B5A" w:rsidP="00CD60C0">
      <w:pPr>
        <w:pStyle w:val="Heading1"/>
      </w:pPr>
      <w:r w:rsidRPr="00FE5314">
        <w:t>1</w:t>
      </w:r>
      <w:r w:rsidRPr="00FE5314">
        <w:tab/>
        <w:t xml:space="preserve">Dates </w:t>
      </w:r>
      <w:r w:rsidR="00953E50" w:rsidRPr="00FE5314">
        <w:t>à</w:t>
      </w:r>
      <w:r w:rsidR="00CD60C0" w:rsidRPr="00FE5314">
        <w:t xml:space="preserve"> </w:t>
      </w:r>
      <w:r w:rsidR="00953E50" w:rsidRPr="00FE5314">
        <w:t>confirmer</w:t>
      </w:r>
      <w:r w:rsidR="00CD60C0" w:rsidRPr="00FE5314">
        <w:t xml:space="preserve"> </w:t>
      </w:r>
      <w:r w:rsidR="00A22F78" w:rsidRPr="00FE5314">
        <w:t>à nouveau</w:t>
      </w:r>
      <w:r w:rsidR="00F53F35" w:rsidRPr="00FE5314">
        <w:t xml:space="preserve"> </w:t>
      </w:r>
      <w:r w:rsidRPr="00FE5314">
        <w:t>pour les sessions de 2023, 2024, 2025 et 2026 du Conseil de l'UIT</w:t>
      </w:r>
    </w:p>
    <w:p w14:paraId="34C135D0" w14:textId="77777777" w:rsidR="004A7B5A" w:rsidRPr="00FE5314" w:rsidRDefault="004A7B5A" w:rsidP="00CD60C0">
      <w:pPr>
        <w:pStyle w:val="enumlev1"/>
      </w:pPr>
      <w:r w:rsidRPr="00FE5314">
        <w:t>–</w:t>
      </w:r>
      <w:r w:rsidRPr="00FE5314">
        <w:tab/>
        <w:t xml:space="preserve">Session de 2023 du Conseil: du </w:t>
      </w:r>
      <w:r w:rsidRPr="00FE5314">
        <w:rPr>
          <w:b/>
        </w:rPr>
        <w:t>mardi 11 juillet au vendredi 21 juillet 2023</w:t>
      </w:r>
    </w:p>
    <w:p w14:paraId="733A4E57" w14:textId="77777777" w:rsidR="004A7B5A" w:rsidRPr="00FE5314" w:rsidRDefault="004A7B5A" w:rsidP="00CD60C0">
      <w:pPr>
        <w:pStyle w:val="enumlev1"/>
      </w:pPr>
      <w:r w:rsidRPr="00FE5314">
        <w:t>–</w:t>
      </w:r>
      <w:r w:rsidRPr="00FE5314">
        <w:tab/>
        <w:t xml:space="preserve">Session de 2024 du Conseil: du </w:t>
      </w:r>
      <w:r w:rsidRPr="00FE5314">
        <w:rPr>
          <w:b/>
        </w:rPr>
        <w:t>mardi 9 juillet au vendredi 19 juillet 2024</w:t>
      </w:r>
    </w:p>
    <w:p w14:paraId="1EDC6162" w14:textId="77777777" w:rsidR="004A7B5A" w:rsidRPr="00FE5314" w:rsidRDefault="004A7B5A" w:rsidP="00CD60C0">
      <w:pPr>
        <w:pStyle w:val="enumlev1"/>
      </w:pPr>
      <w:r w:rsidRPr="00FE5314">
        <w:t>–</w:t>
      </w:r>
      <w:r w:rsidRPr="00FE5314">
        <w:tab/>
        <w:t xml:space="preserve">Session de 2025 du Conseil: du </w:t>
      </w:r>
      <w:r w:rsidRPr="00FE5314">
        <w:rPr>
          <w:b/>
        </w:rPr>
        <w:t>mardi 1er juillet au vendredi 11 juillet 2025</w:t>
      </w:r>
    </w:p>
    <w:p w14:paraId="0790B729" w14:textId="77777777" w:rsidR="004A7B5A" w:rsidRPr="00FE5314" w:rsidRDefault="004A7B5A" w:rsidP="00CD60C0">
      <w:pPr>
        <w:pStyle w:val="enumlev1"/>
      </w:pPr>
      <w:r w:rsidRPr="00FE5314">
        <w:t>–</w:t>
      </w:r>
      <w:r w:rsidRPr="00FE5314">
        <w:tab/>
        <w:t xml:space="preserve">Session de 2026 du Conseil: du </w:t>
      </w:r>
      <w:r w:rsidRPr="00FE5314">
        <w:rPr>
          <w:b/>
        </w:rPr>
        <w:t>lundi 4 mai au jeudi 14 mai 2026</w:t>
      </w:r>
    </w:p>
    <w:p w14:paraId="55CF491B" w14:textId="0AED950A" w:rsidR="004A7B5A" w:rsidRPr="00FE5314" w:rsidRDefault="004A7B5A" w:rsidP="00CD60C0">
      <w:pPr>
        <w:pStyle w:val="Heading1"/>
      </w:pPr>
      <w:r w:rsidRPr="00FE5314">
        <w:t>2</w:t>
      </w:r>
      <w:r w:rsidRPr="00FE5314">
        <w:tab/>
      </w:r>
      <w:r w:rsidR="00DA1D16" w:rsidRPr="00FE5314">
        <w:t xml:space="preserve">Dates des séries </w:t>
      </w:r>
      <w:r w:rsidRPr="00FE5314">
        <w:t>de réunions des Groupes de travail du Conseil et des Groupes d'experts en 2023</w:t>
      </w:r>
      <w:r w:rsidR="00387824" w:rsidRPr="00FE5314">
        <w:t>, 2024</w:t>
      </w:r>
      <w:r w:rsidRPr="00FE5314">
        <w:t xml:space="preserve"> et 202</w:t>
      </w:r>
      <w:r w:rsidR="00387824" w:rsidRPr="00FE5314">
        <w:t>5</w:t>
      </w:r>
    </w:p>
    <w:p w14:paraId="6F8161FA" w14:textId="434C38E7" w:rsidR="00EC7021" w:rsidRPr="00FE5314" w:rsidRDefault="00EC7021" w:rsidP="00CD60C0">
      <w:r w:rsidRPr="00FE5314">
        <w:t>Les dates proposées ont été choisies</w:t>
      </w:r>
      <w:r w:rsidR="00CD60C0" w:rsidRPr="00FE5314">
        <w:t xml:space="preserve"> </w:t>
      </w:r>
      <w:r w:rsidR="00A12453" w:rsidRPr="00FE5314">
        <w:t>compte</w:t>
      </w:r>
      <w:r w:rsidR="00A22F78" w:rsidRPr="00FE5314">
        <w:t xml:space="preserve"> tenu</w:t>
      </w:r>
      <w:r w:rsidR="00A12453" w:rsidRPr="00FE5314">
        <w:t xml:space="preserve"> des considérations suivantes:</w:t>
      </w:r>
    </w:p>
    <w:p w14:paraId="0C3466E8" w14:textId="7FBE9F0F" w:rsidR="004A7B5A" w:rsidRPr="00FE5314" w:rsidRDefault="004023A1" w:rsidP="00CD60C0">
      <w:pPr>
        <w:pStyle w:val="enumlev1"/>
      </w:pPr>
      <w:r w:rsidRPr="00FE5314">
        <w:t>•</w:t>
      </w:r>
      <w:r w:rsidR="004A7B5A" w:rsidRPr="00FE5314">
        <w:tab/>
        <w:t>En général, les séries de réunions des Groupes de travail du Conseil (GTC) et des Groupes d'experts (EG) sont organisées aux premier et troisième trimestres de l'année, sauf l'année où se tient une Conférence de plénipotentiaires (PP), durant laquelle une seule série de réunions est planifiée en début d'année.</w:t>
      </w:r>
    </w:p>
    <w:p w14:paraId="3DE22432" w14:textId="77777777" w:rsidR="00CD60C0" w:rsidRPr="00FE5314" w:rsidRDefault="00CD60C0" w:rsidP="00CD60C0">
      <w:pPr>
        <w:pStyle w:val="enumlev1"/>
      </w:pPr>
      <w:r w:rsidRPr="00FE5314">
        <w:br w:type="page"/>
      </w:r>
    </w:p>
    <w:p w14:paraId="3838C7A8" w14:textId="662F411F" w:rsidR="004023A1" w:rsidRPr="00FE5314" w:rsidRDefault="004023A1" w:rsidP="00CD60C0">
      <w:pPr>
        <w:pStyle w:val="enumlev1"/>
      </w:pPr>
      <w:r w:rsidRPr="00FE5314">
        <w:lastRenderedPageBreak/>
        <w:t>•</w:t>
      </w:r>
      <w:r w:rsidR="004A7B5A" w:rsidRPr="00FE5314">
        <w:tab/>
        <w:t>Afin d'éviter autant que possible tout chevauchement avec d'autres réunions de l'Union</w:t>
      </w:r>
      <w:r w:rsidRPr="00FE5314">
        <w:t>.</w:t>
      </w:r>
    </w:p>
    <w:p w14:paraId="63D228AD" w14:textId="7669A68F" w:rsidR="004A7B5A" w:rsidRPr="00FE5314" w:rsidRDefault="004023A1" w:rsidP="00CD60C0">
      <w:pPr>
        <w:pStyle w:val="enumlev1"/>
      </w:pPr>
      <w:r w:rsidRPr="00FE5314">
        <w:t>•</w:t>
      </w:r>
      <w:r w:rsidRPr="00FE5314">
        <w:tab/>
      </w:r>
      <w:r w:rsidR="004A7B5A" w:rsidRPr="00FE5314">
        <w:rPr>
          <w:rFonts w:asciiTheme="minorHAnsi" w:hAnsiTheme="minorHAnsi"/>
          <w:szCs w:val="24"/>
        </w:rPr>
        <w:t>À compter de 2023, compte tenu de la Décision 619 du Conseil relative à la démolition et la phase de construction initiale du projet de nouveau bâtiment du siège, des salles adéquates ont été pré-réservées au CICG pour 2023</w:t>
      </w:r>
      <w:r w:rsidRPr="00FE5314">
        <w:rPr>
          <w:rFonts w:asciiTheme="minorHAnsi" w:hAnsiTheme="minorHAnsi"/>
          <w:szCs w:val="24"/>
        </w:rPr>
        <w:t>, 2024</w:t>
      </w:r>
      <w:r w:rsidR="004A7B5A" w:rsidRPr="00FE5314">
        <w:rPr>
          <w:rFonts w:asciiTheme="minorHAnsi" w:hAnsiTheme="minorHAnsi"/>
          <w:szCs w:val="24"/>
        </w:rPr>
        <w:t xml:space="preserve"> et 202</w:t>
      </w:r>
      <w:r w:rsidRPr="00FE5314">
        <w:rPr>
          <w:rFonts w:asciiTheme="minorHAnsi" w:hAnsiTheme="minorHAnsi"/>
          <w:szCs w:val="24"/>
        </w:rPr>
        <w:t>5</w:t>
      </w:r>
      <w:r w:rsidR="004A7B5A" w:rsidRPr="00FE5314">
        <w:rPr>
          <w:rFonts w:asciiTheme="minorHAnsi" w:hAnsiTheme="minorHAnsi"/>
          <w:szCs w:val="24"/>
        </w:rPr>
        <w:t>.</w:t>
      </w:r>
    </w:p>
    <w:p w14:paraId="106F56B5" w14:textId="77777777" w:rsidR="004A7B5A" w:rsidRPr="00FE5314" w:rsidRDefault="004A7B5A" w:rsidP="00CD60C0">
      <w:r w:rsidRPr="00FE5314">
        <w:rPr>
          <w:rFonts w:asciiTheme="minorHAnsi" w:hAnsiTheme="minorHAnsi" w:cstheme="minorHAnsi"/>
          <w:szCs w:val="24"/>
        </w:rPr>
        <w:t>Les dates proposées sont les suivantes:</w:t>
      </w:r>
    </w:p>
    <w:p w14:paraId="19C8CABC" w14:textId="77777777" w:rsidR="004A7B5A" w:rsidRPr="00FE5314" w:rsidRDefault="004A7B5A" w:rsidP="00CD60C0">
      <w:pPr>
        <w:spacing w:before="160"/>
      </w:pPr>
      <w:r w:rsidRPr="00FE5314">
        <w:rPr>
          <w:u w:val="single"/>
        </w:rPr>
        <w:t>En 2023</w:t>
      </w:r>
      <w:r w:rsidRPr="00FE5314">
        <w:rPr>
          <w:rFonts w:asciiTheme="minorHAnsi" w:hAnsiTheme="minorHAnsi"/>
          <w:spacing w:val="-2"/>
          <w:szCs w:val="24"/>
        </w:rPr>
        <w:t xml:space="preserve"> (au CICG)</w:t>
      </w:r>
      <w:r w:rsidRPr="00FE5314">
        <w:t>:</w:t>
      </w:r>
    </w:p>
    <w:p w14:paraId="471660DE" w14:textId="77777777" w:rsidR="004A7B5A" w:rsidRPr="00FE5314" w:rsidRDefault="004A7B5A" w:rsidP="00CD60C0">
      <w:pPr>
        <w:pStyle w:val="enumlev1"/>
      </w:pPr>
      <w:r w:rsidRPr="00FE5314">
        <w:t>–</w:t>
      </w:r>
      <w:r w:rsidRPr="00FE5314">
        <w:tab/>
        <w:t xml:space="preserve">Première série de réunions des GTC et des EG: </w:t>
      </w:r>
      <w:r w:rsidRPr="00FE5314">
        <w:rPr>
          <w:b/>
        </w:rPr>
        <w:t>du lundi 6 février au vendredi 17 février 2023</w:t>
      </w:r>
    </w:p>
    <w:p w14:paraId="408F04EE" w14:textId="44296294" w:rsidR="004A7B5A" w:rsidRPr="00FE5314" w:rsidRDefault="004A7B5A" w:rsidP="00CD60C0">
      <w:pPr>
        <w:pStyle w:val="enumlev1"/>
      </w:pPr>
      <w:r w:rsidRPr="00FE5314">
        <w:t>–</w:t>
      </w:r>
      <w:r w:rsidRPr="00FE5314">
        <w:tab/>
        <w:t xml:space="preserve">Seconde série de réunions des GTC et des EG: </w:t>
      </w:r>
      <w:r w:rsidRPr="00FE5314">
        <w:rPr>
          <w:b/>
        </w:rPr>
        <w:t>du lundi 18 septembre au</w:t>
      </w:r>
      <w:r w:rsidR="00A1343A" w:rsidRPr="00FE5314">
        <w:rPr>
          <w:b/>
        </w:rPr>
        <w:t> </w:t>
      </w:r>
      <w:r w:rsidRPr="00FE5314">
        <w:rPr>
          <w:b/>
        </w:rPr>
        <w:t>vendredi 29</w:t>
      </w:r>
      <w:r w:rsidR="00A97082" w:rsidRPr="00FE5314">
        <w:rPr>
          <w:b/>
        </w:rPr>
        <w:t> </w:t>
      </w:r>
      <w:r w:rsidRPr="00FE5314">
        <w:rPr>
          <w:b/>
        </w:rPr>
        <w:t>septembre 2023</w:t>
      </w:r>
    </w:p>
    <w:p w14:paraId="49BD07F6" w14:textId="77777777" w:rsidR="004A7B5A" w:rsidRPr="00FE5314" w:rsidRDefault="004A7B5A" w:rsidP="00CD60C0">
      <w:pPr>
        <w:spacing w:before="160"/>
      </w:pPr>
      <w:r w:rsidRPr="00FE5314">
        <w:rPr>
          <w:u w:val="single"/>
        </w:rPr>
        <w:t>En 2024</w:t>
      </w:r>
      <w:r w:rsidRPr="00FE5314">
        <w:rPr>
          <w:rFonts w:asciiTheme="minorHAnsi" w:hAnsiTheme="minorHAnsi"/>
          <w:spacing w:val="-2"/>
          <w:szCs w:val="24"/>
        </w:rPr>
        <w:t xml:space="preserve"> (au CICG)</w:t>
      </w:r>
      <w:r w:rsidRPr="00FE5314">
        <w:t>:</w:t>
      </w:r>
    </w:p>
    <w:p w14:paraId="73E7389D" w14:textId="3D0154FB" w:rsidR="004A7B5A" w:rsidRPr="00FE5314" w:rsidRDefault="004A7B5A" w:rsidP="00CD60C0">
      <w:pPr>
        <w:pStyle w:val="enumlev1"/>
      </w:pPr>
      <w:r w:rsidRPr="00FE5314">
        <w:t>–</w:t>
      </w:r>
      <w:r w:rsidRPr="00FE5314">
        <w:tab/>
        <w:t xml:space="preserve">Première série de réunions des GTC et des EG: </w:t>
      </w:r>
      <w:r w:rsidR="00A1343A" w:rsidRPr="00FE5314">
        <w:rPr>
          <w:b/>
        </w:rPr>
        <w:t>du lundi 19 février au </w:t>
      </w:r>
      <w:r w:rsidRPr="00FE5314">
        <w:rPr>
          <w:b/>
        </w:rPr>
        <w:t>vendredi</w:t>
      </w:r>
      <w:r w:rsidR="00A97082" w:rsidRPr="00FE5314">
        <w:rPr>
          <w:b/>
        </w:rPr>
        <w:t> </w:t>
      </w:r>
      <w:r w:rsidRPr="00FE5314">
        <w:rPr>
          <w:b/>
        </w:rPr>
        <w:t>1er</w:t>
      </w:r>
      <w:r w:rsidR="00A97082" w:rsidRPr="00FE5314">
        <w:rPr>
          <w:b/>
        </w:rPr>
        <w:t> </w:t>
      </w:r>
      <w:r w:rsidRPr="00FE5314">
        <w:rPr>
          <w:b/>
        </w:rPr>
        <w:t>mars</w:t>
      </w:r>
      <w:r w:rsidR="00A97082" w:rsidRPr="00FE5314">
        <w:rPr>
          <w:b/>
        </w:rPr>
        <w:t> </w:t>
      </w:r>
      <w:r w:rsidRPr="00FE5314">
        <w:rPr>
          <w:b/>
        </w:rPr>
        <w:t>2024</w:t>
      </w:r>
    </w:p>
    <w:p w14:paraId="0873CD7C" w14:textId="78FF1C24" w:rsidR="004A7B5A" w:rsidRPr="00FE5314" w:rsidRDefault="004A7B5A" w:rsidP="00CD60C0">
      <w:pPr>
        <w:pStyle w:val="enumlev1"/>
        <w:rPr>
          <w:b/>
        </w:rPr>
      </w:pPr>
      <w:r w:rsidRPr="00FE5314">
        <w:t>–</w:t>
      </w:r>
      <w:r w:rsidRPr="00FE5314">
        <w:tab/>
        <w:t xml:space="preserve">Seconde série de réunions des GTC et des EG: </w:t>
      </w:r>
      <w:r w:rsidRPr="00FE5314">
        <w:rPr>
          <w:b/>
        </w:rPr>
        <w:t>du lundi 30 septembre au</w:t>
      </w:r>
      <w:r w:rsidR="00A1343A" w:rsidRPr="00FE5314">
        <w:rPr>
          <w:b/>
        </w:rPr>
        <w:t> </w:t>
      </w:r>
      <w:r w:rsidRPr="00FE5314">
        <w:rPr>
          <w:b/>
        </w:rPr>
        <w:t>vendredi 11</w:t>
      </w:r>
      <w:r w:rsidR="00A97082" w:rsidRPr="00FE5314">
        <w:rPr>
          <w:b/>
        </w:rPr>
        <w:t> </w:t>
      </w:r>
      <w:r w:rsidRPr="00FE5314">
        <w:rPr>
          <w:b/>
        </w:rPr>
        <w:t>octobre 2024</w:t>
      </w:r>
    </w:p>
    <w:p w14:paraId="6DE77C00" w14:textId="3B785E64" w:rsidR="004023A1" w:rsidRPr="00FE5314" w:rsidRDefault="004023A1" w:rsidP="00CD60C0">
      <w:r w:rsidRPr="00FE5314">
        <w:rPr>
          <w:u w:val="single"/>
        </w:rPr>
        <w:t>En 2025</w:t>
      </w:r>
      <w:r w:rsidRPr="00FE5314">
        <w:t xml:space="preserve"> (au CICG):</w:t>
      </w:r>
    </w:p>
    <w:p w14:paraId="121B829D" w14:textId="188A31BE" w:rsidR="004023A1" w:rsidRPr="00FE5314" w:rsidRDefault="004023A1" w:rsidP="00CD60C0">
      <w:pPr>
        <w:pStyle w:val="enumlev1"/>
      </w:pPr>
      <w:r w:rsidRPr="00FE5314">
        <w:t>–</w:t>
      </w:r>
      <w:r w:rsidRPr="00FE5314">
        <w:tab/>
        <w:t xml:space="preserve">Première série de réunions des GTC et des EG: </w:t>
      </w:r>
      <w:r w:rsidRPr="00FE5314">
        <w:rPr>
          <w:b/>
        </w:rPr>
        <w:t>du lundi 10 février au vendredi 21 février 2025</w:t>
      </w:r>
    </w:p>
    <w:p w14:paraId="13C9F49A" w14:textId="18D74183" w:rsidR="004023A1" w:rsidRPr="00FE5314" w:rsidRDefault="004023A1" w:rsidP="00CD60C0">
      <w:pPr>
        <w:pStyle w:val="enumlev1"/>
      </w:pPr>
      <w:r w:rsidRPr="00FE5314">
        <w:t>–</w:t>
      </w:r>
      <w:r w:rsidRPr="00FE5314">
        <w:tab/>
        <w:t xml:space="preserve">Seconde série de réunions des GTC et des EG: </w:t>
      </w:r>
      <w:r w:rsidRPr="00FE5314">
        <w:rPr>
          <w:b/>
        </w:rPr>
        <w:t>du lundi 8 septembre au vendredi 19 septembre 2025</w:t>
      </w:r>
    </w:p>
    <w:p w14:paraId="2CF7946D" w14:textId="77777777" w:rsidR="004A7B5A" w:rsidRPr="00FE5314" w:rsidRDefault="004A7B5A" w:rsidP="00CD60C0">
      <w:pPr>
        <w:spacing w:before="1560"/>
        <w:rPr>
          <w:i/>
          <w:iCs/>
          <w:color w:val="000000"/>
        </w:rPr>
      </w:pPr>
      <w:r w:rsidRPr="00FE5314">
        <w:rPr>
          <w:b/>
          <w:bCs/>
          <w:i/>
          <w:iCs/>
          <w:color w:val="000000"/>
        </w:rPr>
        <w:t>Annexe</w:t>
      </w:r>
      <w:r w:rsidRPr="00FE5314">
        <w:rPr>
          <w:i/>
          <w:iCs/>
          <w:color w:val="000000"/>
        </w:rPr>
        <w:t>: 1</w:t>
      </w:r>
    </w:p>
    <w:p w14:paraId="3105D385" w14:textId="77777777" w:rsidR="004A7B5A" w:rsidRPr="00FE5314" w:rsidRDefault="004A7B5A" w:rsidP="00CD60C0">
      <w:pPr>
        <w:rPr>
          <w:color w:val="000000"/>
        </w:rPr>
      </w:pPr>
      <w:r w:rsidRPr="00FE5314">
        <w:rPr>
          <w:color w:val="000000"/>
        </w:rPr>
        <w:br w:type="page"/>
      </w:r>
    </w:p>
    <w:p w14:paraId="47905874" w14:textId="77777777" w:rsidR="004A7B5A" w:rsidRPr="00FE5314" w:rsidRDefault="004A7B5A" w:rsidP="00CD60C0">
      <w:pPr>
        <w:pStyle w:val="AnnexNo"/>
      </w:pPr>
      <w:r w:rsidRPr="00FE5314">
        <w:lastRenderedPageBreak/>
        <w:t>ANNEXE</w:t>
      </w:r>
    </w:p>
    <w:p w14:paraId="079E2A65" w14:textId="77777777" w:rsidR="004A7B5A" w:rsidRPr="00FE5314" w:rsidRDefault="004A7B5A" w:rsidP="00CD60C0">
      <w:pPr>
        <w:pStyle w:val="AnnexNo"/>
      </w:pPr>
      <w:r w:rsidRPr="00FE5314">
        <w:t>PROJET DE DÉCISION […]</w:t>
      </w:r>
    </w:p>
    <w:p w14:paraId="59CD0668" w14:textId="242B38D5" w:rsidR="004A7B5A" w:rsidRPr="00FE5314" w:rsidRDefault="004A7B5A" w:rsidP="00CD60C0">
      <w:pPr>
        <w:pStyle w:val="Annextitle"/>
      </w:pPr>
      <w:r w:rsidRPr="00FE5314">
        <w:t xml:space="preserve">Dates et durée des sessions de 2023, 2024, 2025 et 2026 du Conseil </w:t>
      </w:r>
      <w:r w:rsidRPr="00FE5314">
        <w:br/>
        <w:t>et des séries de réunions des Groupes de travail du Conseil et des</w:t>
      </w:r>
      <w:r w:rsidR="00A97082" w:rsidRPr="00FE5314">
        <w:br/>
      </w:r>
      <w:r w:rsidRPr="00FE5314">
        <w:t>Groupes d'experts de 202</w:t>
      </w:r>
      <w:r w:rsidR="00676535" w:rsidRPr="00FE5314">
        <w:t>3</w:t>
      </w:r>
      <w:r w:rsidRPr="00FE5314">
        <w:t>, 202</w:t>
      </w:r>
      <w:r w:rsidR="00676535" w:rsidRPr="00FE5314">
        <w:t>4</w:t>
      </w:r>
      <w:r w:rsidRPr="00FE5314">
        <w:t xml:space="preserve"> et 202</w:t>
      </w:r>
      <w:r w:rsidR="00676535" w:rsidRPr="00FE5314">
        <w:t>5</w:t>
      </w:r>
    </w:p>
    <w:p w14:paraId="297BB9F2" w14:textId="77777777" w:rsidR="004A7B5A" w:rsidRPr="00FE5314" w:rsidRDefault="004A7B5A" w:rsidP="00CD60C0">
      <w:pPr>
        <w:pStyle w:val="Normalaftertitle"/>
      </w:pPr>
      <w:r w:rsidRPr="00FE5314">
        <w:t>Le Conseil de l'UIT,</w:t>
      </w:r>
    </w:p>
    <w:p w14:paraId="0A993D8D" w14:textId="77777777" w:rsidR="004A7B5A" w:rsidRPr="00FE5314" w:rsidRDefault="004A7B5A" w:rsidP="00CD60C0">
      <w:pPr>
        <w:pStyle w:val="Call"/>
      </w:pPr>
      <w:r w:rsidRPr="00FE5314">
        <w:t>ayant à l'esprit</w:t>
      </w:r>
    </w:p>
    <w:p w14:paraId="33DB0C63" w14:textId="77777777" w:rsidR="004A7B5A" w:rsidRPr="00FE5314" w:rsidRDefault="004A7B5A" w:rsidP="00CD60C0">
      <w:r w:rsidRPr="00FE5314">
        <w:rPr>
          <w:i/>
          <w:iCs/>
        </w:rPr>
        <w:t>a)</w:t>
      </w:r>
      <w:r w:rsidRPr="00FE5314">
        <w:tab/>
        <w:t>la Résolution 77 (Rév. Dubaï, 2018) de la Conférence de plénipotentiaires, aux termes de laquelle le Conseil est chargé "de planifier, à chaque session ordinaire, ses trois prochaines sessions ordinaires en juin-juillet, et de revoir cette planification d'une année à l'autre";</w:t>
      </w:r>
    </w:p>
    <w:p w14:paraId="7576F459" w14:textId="77777777" w:rsidR="004A7B5A" w:rsidRPr="00FE5314" w:rsidRDefault="004A7B5A" w:rsidP="00CD60C0">
      <w:r w:rsidRPr="00FE5314">
        <w:rPr>
          <w:i/>
          <w:iCs/>
        </w:rPr>
        <w:t>b)</w:t>
      </w:r>
      <w:r w:rsidRPr="00FE5314">
        <w:rPr>
          <w:i/>
          <w:iCs/>
        </w:rPr>
        <w:tab/>
      </w:r>
      <w:r w:rsidRPr="00FE5314">
        <w:t>la Résolution 111 (Rév. Busan, 2014) de la Conférence de plénipotentiaires, aux termes de laquelle "l'Union et ses États Membres devraient tout faire, dans la mesure du possible, pour éviter que la période prévue pour une session du Conseil coïncide avec la période de célébration d'une fête religieuse considérée comme importante par un État Membre du Conseil";</w:t>
      </w:r>
    </w:p>
    <w:p w14:paraId="6F88F7FC" w14:textId="2DAC1361" w:rsidR="004A7B5A" w:rsidRPr="00FE5314" w:rsidRDefault="004A7B5A" w:rsidP="00CD60C0">
      <w:r w:rsidRPr="00FE5314">
        <w:rPr>
          <w:i/>
        </w:rPr>
        <w:t>c)</w:t>
      </w:r>
      <w:r w:rsidRPr="00FE5314">
        <w:rPr>
          <w:i/>
        </w:rPr>
        <w:tab/>
      </w:r>
      <w:r w:rsidRPr="00FE5314">
        <w:t>la Décision 619 relative aux locaux du siège adoptée à la s</w:t>
      </w:r>
      <w:r w:rsidR="00A1343A" w:rsidRPr="00FE5314">
        <w:t>ession additionnelle de 2019 du </w:t>
      </w:r>
      <w:r w:rsidRPr="00FE5314">
        <w:t>Conseil,</w:t>
      </w:r>
    </w:p>
    <w:p w14:paraId="749E6FE9" w14:textId="77777777" w:rsidR="004A7B5A" w:rsidRPr="00FE5314" w:rsidRDefault="004A7B5A" w:rsidP="00CD60C0">
      <w:pPr>
        <w:pStyle w:val="Call"/>
      </w:pPr>
      <w:r w:rsidRPr="00FE5314">
        <w:t>rappelant</w:t>
      </w:r>
    </w:p>
    <w:p w14:paraId="7D38371A" w14:textId="274B4A6D" w:rsidR="004A7B5A" w:rsidRPr="00FE5314" w:rsidRDefault="004A7B5A" w:rsidP="00CD60C0">
      <w:r w:rsidRPr="00FE5314">
        <w:t>la Décision 62</w:t>
      </w:r>
      <w:r w:rsidR="00676535" w:rsidRPr="00FE5314">
        <w:t>5</w:t>
      </w:r>
      <w:r w:rsidRPr="00FE5314">
        <w:t xml:space="preserve"> du Conseil, aux termes de laquelle les dates et la durée des sessions de 2022, 2023, 2024, 2025 et 2026 du Conseil, ainsi que de la série de réunions des Groupes de travail du Conseil et des Groupes d'experts pour 2022,</w:t>
      </w:r>
      <w:r w:rsidR="00676535" w:rsidRPr="00FE5314">
        <w:t xml:space="preserve"> 2023 et 2024,</w:t>
      </w:r>
      <w:r w:rsidRPr="00FE5314">
        <w:t xml:space="preserve"> ont été confirmées,</w:t>
      </w:r>
    </w:p>
    <w:p w14:paraId="70A6CB37" w14:textId="77777777" w:rsidR="004A7B5A" w:rsidRPr="00FE5314" w:rsidRDefault="004A7B5A" w:rsidP="00CD60C0">
      <w:pPr>
        <w:pStyle w:val="Call"/>
      </w:pPr>
      <w:r w:rsidRPr="00FE5314">
        <w:t>considérant</w:t>
      </w:r>
    </w:p>
    <w:p w14:paraId="49CEF70A" w14:textId="77777777" w:rsidR="004A7B5A" w:rsidRPr="00FE5314" w:rsidRDefault="004A7B5A" w:rsidP="00CD60C0">
      <w:r w:rsidRPr="00FE5314">
        <w:t>la nécessité de planifier, dans toute la mesure possible, les sessions ordinaires du Conseil autour des mêmes dates chaque année, afin de faciliter l'organisation des autres manifestations de l'UIT,</w:t>
      </w:r>
    </w:p>
    <w:p w14:paraId="23E8106E" w14:textId="77777777" w:rsidR="004A7B5A" w:rsidRPr="00FE5314" w:rsidRDefault="004A7B5A" w:rsidP="00CD60C0">
      <w:pPr>
        <w:pStyle w:val="Call"/>
      </w:pPr>
      <w:r w:rsidRPr="00FE5314">
        <w:t>considérant en outre</w:t>
      </w:r>
    </w:p>
    <w:p w14:paraId="18CAFE9D" w14:textId="77777777" w:rsidR="004A7B5A" w:rsidRPr="00FE5314" w:rsidRDefault="004A7B5A" w:rsidP="00CD60C0">
      <w:pPr>
        <w:rPr>
          <w:color w:val="000000"/>
        </w:rPr>
      </w:pPr>
      <w:r w:rsidRPr="00FE5314">
        <w:t>la nécessité d'organiser suffisamment tôt la session ordinaire du Conseil, l'année où se tient une Conférence de plénipotentiaires (PP), afin que les rapports du Conseil qui seront examinés plus avant lors de la PP puissent être publiés dans un délai raisonnable</w:t>
      </w:r>
      <w:r w:rsidRPr="00FE5314">
        <w:rPr>
          <w:color w:val="000000"/>
        </w:rPr>
        <w:t>,</w:t>
      </w:r>
    </w:p>
    <w:p w14:paraId="3E969EC8" w14:textId="77777777" w:rsidR="004A7B5A" w:rsidRPr="00FE5314" w:rsidRDefault="004A7B5A" w:rsidP="00CD60C0">
      <w:pPr>
        <w:pStyle w:val="call0"/>
        <w:jc w:val="both"/>
        <w:rPr>
          <w:lang w:val="fr-FR"/>
        </w:rPr>
      </w:pPr>
      <w:r w:rsidRPr="00FE5314">
        <w:rPr>
          <w:lang w:val="fr-FR"/>
        </w:rPr>
        <w:t>soulignant</w:t>
      </w:r>
    </w:p>
    <w:p w14:paraId="33563F04" w14:textId="77777777" w:rsidR="004A7B5A" w:rsidRPr="00FE5314" w:rsidRDefault="004A7B5A" w:rsidP="00CD60C0">
      <w:pPr>
        <w:tabs>
          <w:tab w:val="clear" w:pos="567"/>
          <w:tab w:val="clear" w:pos="1134"/>
          <w:tab w:val="clear" w:pos="1701"/>
          <w:tab w:val="clear" w:pos="2268"/>
          <w:tab w:val="clear" w:pos="2835"/>
        </w:tabs>
        <w:snapToGrid w:val="0"/>
      </w:pPr>
      <w:r w:rsidRPr="00FE5314">
        <w:t>que la planification des séries de réunions des Groupes de travail du Conseil (GTC) et des Groupes d'experts (EG) au cours des trois prochaines années permettrait non seulement d'améliorer la planification générale des manifestations de l'UIT, mais aussi de réduire le risque de chevauchement,</w:t>
      </w:r>
    </w:p>
    <w:p w14:paraId="0EBC468F" w14:textId="77777777" w:rsidR="004A7B5A" w:rsidRPr="00FE5314" w:rsidRDefault="004A7B5A" w:rsidP="00CD60C0">
      <w:pPr>
        <w:pStyle w:val="call0"/>
        <w:rPr>
          <w:lang w:val="fr-FR"/>
        </w:rPr>
      </w:pPr>
      <w:r w:rsidRPr="00FE5314">
        <w:rPr>
          <w:lang w:val="fr-FR"/>
        </w:rPr>
        <w:t>reconnaissant</w:t>
      </w:r>
    </w:p>
    <w:p w14:paraId="67EBA813" w14:textId="77777777" w:rsidR="004A7B5A" w:rsidRPr="00FE5314" w:rsidRDefault="004A7B5A" w:rsidP="00CD60C0">
      <w:r w:rsidRPr="00FE5314">
        <w:t xml:space="preserve">la nécessité </w:t>
      </w:r>
      <w:r w:rsidRPr="00FE5314">
        <w:rPr>
          <w:lang w:eastAsia="zh-CN"/>
        </w:rPr>
        <w:t>de répondre aux besoins en ce qui concerne les salles de conférence et de réunion provisoires pendant la démolition et la phase de construction initiale du projet, en établissant une liste des besoins et en indiquant les dates des conférences et réunions pendant cette période</w:t>
      </w:r>
      <w:r w:rsidRPr="00FE5314">
        <w:rPr>
          <w:rFonts w:asciiTheme="minorHAnsi" w:hAnsiTheme="minorHAnsi" w:cstheme="minorHAnsi"/>
          <w:szCs w:val="24"/>
        </w:rPr>
        <w:t>,</w:t>
      </w:r>
    </w:p>
    <w:p w14:paraId="569BCFB8" w14:textId="77777777" w:rsidR="004A7B5A" w:rsidRPr="00FE5314" w:rsidRDefault="004A7B5A" w:rsidP="00CD60C0">
      <w:pPr>
        <w:pStyle w:val="Call"/>
      </w:pPr>
      <w:r w:rsidRPr="00FE5314">
        <w:lastRenderedPageBreak/>
        <w:t>décide</w:t>
      </w:r>
    </w:p>
    <w:p w14:paraId="4445C522" w14:textId="1891355A" w:rsidR="004A7B5A" w:rsidRPr="00FE5314" w:rsidRDefault="004A7B5A" w:rsidP="00CD60C0">
      <w:pPr>
        <w:keepNext/>
        <w:keepLines/>
        <w:tabs>
          <w:tab w:val="clear" w:pos="567"/>
          <w:tab w:val="left" w:pos="426"/>
        </w:tabs>
        <w:rPr>
          <w:rFonts w:asciiTheme="minorHAnsi" w:hAnsiTheme="minorHAnsi"/>
        </w:rPr>
      </w:pPr>
      <w:r w:rsidRPr="00FE5314">
        <w:rPr>
          <w:snapToGrid w:val="0"/>
          <w:spacing w:val="-4"/>
          <w:szCs w:val="24"/>
        </w:rPr>
        <w:t>1</w:t>
      </w:r>
      <w:r w:rsidRPr="00FE5314">
        <w:rPr>
          <w:snapToGrid w:val="0"/>
          <w:szCs w:val="24"/>
        </w:rPr>
        <w:tab/>
        <w:t>que la session de 2023 du Conseil se tiendra à Genève pour une période de neuf jours ouvrables,</w:t>
      </w:r>
      <w:r w:rsidRPr="00FE5314">
        <w:rPr>
          <w:snapToGrid w:val="0"/>
          <w:spacing w:val="-4"/>
          <w:szCs w:val="24"/>
        </w:rPr>
        <w:t xml:space="preserve"> </w:t>
      </w:r>
      <w:r w:rsidRPr="00FE5314">
        <w:rPr>
          <w:rFonts w:asciiTheme="minorHAnsi" w:hAnsiTheme="minorHAnsi"/>
          <w:snapToGrid w:val="0"/>
          <w:szCs w:val="24"/>
        </w:rPr>
        <w:t xml:space="preserve">et que cette session et les séries de réunions des GTC et des </w:t>
      </w:r>
      <w:r w:rsidRPr="00FE5314">
        <w:rPr>
          <w:snapToGrid w:val="0"/>
        </w:rPr>
        <w:t>EG</w:t>
      </w:r>
      <w:r w:rsidRPr="00FE5314">
        <w:rPr>
          <w:rFonts w:asciiTheme="minorHAnsi" w:hAnsiTheme="minorHAnsi"/>
          <w:snapToGrid w:val="0"/>
          <w:szCs w:val="24"/>
        </w:rPr>
        <w:t xml:space="preserve"> associées auront lieu aux dates suivantes:</w:t>
      </w:r>
    </w:p>
    <w:p w14:paraId="43A88CB5" w14:textId="0C6616CF" w:rsidR="004A7B5A" w:rsidRPr="00FE5314" w:rsidRDefault="004A7B5A" w:rsidP="00CD60C0">
      <w:pPr>
        <w:pStyle w:val="enumlev1"/>
      </w:pPr>
      <w:r w:rsidRPr="00FE5314">
        <w:t>–</w:t>
      </w:r>
      <w:r w:rsidRPr="00FE5314">
        <w:tab/>
      </w:r>
      <w:r w:rsidR="00A97082" w:rsidRPr="00FE5314">
        <w:t>p</w:t>
      </w:r>
      <w:r w:rsidRPr="00FE5314">
        <w:t>remière série de réunions des GTC et des EG: du lundi 6 février au vendredi 17 février 2023</w:t>
      </w:r>
      <w:r w:rsidR="00A97082" w:rsidRPr="00FE5314">
        <w:t>;</w:t>
      </w:r>
    </w:p>
    <w:p w14:paraId="342AD00D" w14:textId="77777777" w:rsidR="004A7B5A" w:rsidRPr="00FE5314" w:rsidRDefault="004A7B5A" w:rsidP="00CD60C0">
      <w:pPr>
        <w:pStyle w:val="enumlev1"/>
        <w:rPr>
          <w:snapToGrid w:val="0"/>
        </w:rPr>
      </w:pPr>
      <w:r w:rsidRPr="00FE5314">
        <w:rPr>
          <w:snapToGrid w:val="0"/>
        </w:rPr>
        <w:t>–</w:t>
      </w:r>
      <w:r w:rsidRPr="00FE5314">
        <w:rPr>
          <w:snapToGrid w:val="0"/>
        </w:rPr>
        <w:tab/>
      </w:r>
      <w:r w:rsidRPr="00FE5314">
        <w:rPr>
          <w:b/>
          <w:bCs/>
          <w:snapToGrid w:val="0"/>
        </w:rPr>
        <w:t>session de 2023 du</w:t>
      </w:r>
      <w:r w:rsidRPr="00FE5314">
        <w:rPr>
          <w:snapToGrid w:val="0"/>
        </w:rPr>
        <w:t xml:space="preserve"> </w:t>
      </w:r>
      <w:r w:rsidRPr="00FE5314">
        <w:rPr>
          <w:b/>
          <w:bCs/>
          <w:snapToGrid w:val="0"/>
        </w:rPr>
        <w:t>Conseil:</w:t>
      </w:r>
      <w:r w:rsidRPr="00FE5314">
        <w:rPr>
          <w:b/>
          <w:snapToGrid w:val="0"/>
        </w:rPr>
        <w:t xml:space="preserve"> </w:t>
      </w:r>
      <w:r w:rsidRPr="00FE5314">
        <w:rPr>
          <w:b/>
        </w:rPr>
        <w:t>du mardi 11 juillet au vendredi 21 juillet 2023</w:t>
      </w:r>
      <w:r w:rsidRPr="00FE5314">
        <w:rPr>
          <w:snapToGrid w:val="0"/>
        </w:rPr>
        <w:t>;</w:t>
      </w:r>
    </w:p>
    <w:p w14:paraId="697C4375" w14:textId="177B47DC" w:rsidR="004A7B5A" w:rsidRPr="00FE5314" w:rsidRDefault="004A7B5A" w:rsidP="00CD60C0">
      <w:pPr>
        <w:pStyle w:val="enumlev1"/>
      </w:pPr>
      <w:r w:rsidRPr="00FE5314">
        <w:t>–</w:t>
      </w:r>
      <w:r w:rsidRPr="00FE5314">
        <w:tab/>
      </w:r>
      <w:r w:rsidR="00A97082" w:rsidRPr="00FE5314">
        <w:t>s</w:t>
      </w:r>
      <w:r w:rsidRPr="00FE5314">
        <w:t xml:space="preserve">econde série de réunions des GTC et des EG: </w:t>
      </w:r>
      <w:r w:rsidRPr="00FE5314">
        <w:rPr>
          <w:bCs/>
        </w:rPr>
        <w:t>du lundi 18 septembre au</w:t>
      </w:r>
      <w:r w:rsidR="00A1343A" w:rsidRPr="00FE5314">
        <w:rPr>
          <w:bCs/>
        </w:rPr>
        <w:t> </w:t>
      </w:r>
      <w:r w:rsidRPr="00FE5314">
        <w:rPr>
          <w:bCs/>
        </w:rPr>
        <w:t>vendredi 29</w:t>
      </w:r>
      <w:r w:rsidR="00A97082" w:rsidRPr="00FE5314">
        <w:rPr>
          <w:bCs/>
        </w:rPr>
        <w:t> </w:t>
      </w:r>
      <w:r w:rsidRPr="00FE5314">
        <w:rPr>
          <w:bCs/>
        </w:rPr>
        <w:t>septembre 2023</w:t>
      </w:r>
      <w:r w:rsidR="00A97082" w:rsidRPr="00FE5314">
        <w:rPr>
          <w:bCs/>
        </w:rPr>
        <w:t>;</w:t>
      </w:r>
    </w:p>
    <w:p w14:paraId="5F34DD4F" w14:textId="6030B2C6" w:rsidR="004A7B5A" w:rsidRPr="00FE5314" w:rsidRDefault="00676535" w:rsidP="00CD60C0">
      <w:pPr>
        <w:tabs>
          <w:tab w:val="clear" w:pos="567"/>
          <w:tab w:val="left" w:pos="426"/>
        </w:tabs>
        <w:rPr>
          <w:rFonts w:asciiTheme="minorHAnsi" w:hAnsiTheme="minorHAnsi"/>
          <w:snapToGrid w:val="0"/>
          <w:szCs w:val="24"/>
        </w:rPr>
      </w:pPr>
      <w:r w:rsidRPr="00FE5314">
        <w:t>2</w:t>
      </w:r>
      <w:r w:rsidR="004A7B5A" w:rsidRPr="00FE5314">
        <w:tab/>
      </w:r>
      <w:r w:rsidR="004A7B5A" w:rsidRPr="00FE5314">
        <w:rPr>
          <w:snapToGrid w:val="0"/>
          <w:szCs w:val="24"/>
        </w:rPr>
        <w:t>que la session de 2024 du Conseil se tiendra à Genève pour une période de neuf jours ouvrables,</w:t>
      </w:r>
      <w:r w:rsidR="004A7B5A" w:rsidRPr="00FE5314">
        <w:rPr>
          <w:snapToGrid w:val="0"/>
          <w:spacing w:val="-4"/>
          <w:szCs w:val="24"/>
        </w:rPr>
        <w:t xml:space="preserve"> </w:t>
      </w:r>
      <w:r w:rsidR="004A7B5A" w:rsidRPr="00FE5314">
        <w:rPr>
          <w:rFonts w:asciiTheme="minorHAnsi" w:hAnsiTheme="minorHAnsi"/>
          <w:snapToGrid w:val="0"/>
          <w:szCs w:val="24"/>
        </w:rPr>
        <w:t xml:space="preserve">et que cette session et les séries de réunions des GTC et des </w:t>
      </w:r>
      <w:r w:rsidR="004A7B5A" w:rsidRPr="00FE5314">
        <w:rPr>
          <w:snapToGrid w:val="0"/>
        </w:rPr>
        <w:t>EG</w:t>
      </w:r>
      <w:r w:rsidR="004A7B5A" w:rsidRPr="00FE5314">
        <w:rPr>
          <w:rFonts w:asciiTheme="minorHAnsi" w:hAnsiTheme="minorHAnsi"/>
          <w:snapToGrid w:val="0"/>
          <w:szCs w:val="24"/>
        </w:rPr>
        <w:t xml:space="preserve"> associées auront lieu aux dates suivantes:</w:t>
      </w:r>
    </w:p>
    <w:p w14:paraId="0A1AF891" w14:textId="607957B9" w:rsidR="004A7B5A" w:rsidRPr="00FE5314" w:rsidRDefault="004A7B5A" w:rsidP="00CD60C0">
      <w:pPr>
        <w:pStyle w:val="enumlev1"/>
      </w:pPr>
      <w:r w:rsidRPr="00FE5314">
        <w:t>–</w:t>
      </w:r>
      <w:r w:rsidRPr="00FE5314">
        <w:tab/>
      </w:r>
      <w:r w:rsidR="00A97082" w:rsidRPr="00FE5314">
        <w:t>p</w:t>
      </w:r>
      <w:r w:rsidRPr="00FE5314">
        <w:t xml:space="preserve">remière série de réunions des GTC et des EG: </w:t>
      </w:r>
      <w:r w:rsidR="00A1343A" w:rsidRPr="00FE5314">
        <w:rPr>
          <w:bCs/>
        </w:rPr>
        <w:t>du lundi 19 février au </w:t>
      </w:r>
      <w:r w:rsidRPr="00FE5314">
        <w:rPr>
          <w:bCs/>
        </w:rPr>
        <w:t>vendredi</w:t>
      </w:r>
      <w:r w:rsidR="00A97082" w:rsidRPr="00FE5314">
        <w:rPr>
          <w:bCs/>
        </w:rPr>
        <w:t> </w:t>
      </w:r>
      <w:r w:rsidRPr="00FE5314">
        <w:rPr>
          <w:bCs/>
        </w:rPr>
        <w:t>1er</w:t>
      </w:r>
      <w:r w:rsidR="00A97082" w:rsidRPr="00FE5314">
        <w:rPr>
          <w:bCs/>
        </w:rPr>
        <w:t> </w:t>
      </w:r>
      <w:r w:rsidRPr="00FE5314">
        <w:rPr>
          <w:bCs/>
        </w:rPr>
        <w:t>mars</w:t>
      </w:r>
      <w:r w:rsidR="00A97082" w:rsidRPr="00FE5314">
        <w:rPr>
          <w:bCs/>
        </w:rPr>
        <w:t> </w:t>
      </w:r>
      <w:r w:rsidRPr="00FE5314">
        <w:rPr>
          <w:bCs/>
        </w:rPr>
        <w:t>2024</w:t>
      </w:r>
      <w:r w:rsidR="00A97082" w:rsidRPr="00FE5314">
        <w:rPr>
          <w:bCs/>
        </w:rPr>
        <w:t>;</w:t>
      </w:r>
    </w:p>
    <w:p w14:paraId="47BE967C" w14:textId="77777777" w:rsidR="004A7B5A" w:rsidRPr="00FE5314" w:rsidRDefault="004A7B5A" w:rsidP="00CD60C0">
      <w:pPr>
        <w:pStyle w:val="enumlev1"/>
      </w:pPr>
      <w:r w:rsidRPr="00FE5314">
        <w:rPr>
          <w:snapToGrid w:val="0"/>
        </w:rPr>
        <w:t>–</w:t>
      </w:r>
      <w:r w:rsidRPr="00FE5314">
        <w:rPr>
          <w:snapToGrid w:val="0"/>
        </w:rPr>
        <w:tab/>
      </w:r>
      <w:r w:rsidRPr="00FE5314">
        <w:rPr>
          <w:b/>
          <w:bCs/>
          <w:snapToGrid w:val="0"/>
        </w:rPr>
        <w:t>session de 2024 du</w:t>
      </w:r>
      <w:r w:rsidRPr="00FE5314">
        <w:rPr>
          <w:snapToGrid w:val="0"/>
        </w:rPr>
        <w:t xml:space="preserve"> </w:t>
      </w:r>
      <w:r w:rsidRPr="00FE5314">
        <w:rPr>
          <w:b/>
          <w:bCs/>
          <w:snapToGrid w:val="0"/>
        </w:rPr>
        <w:t>Conseil:</w:t>
      </w:r>
      <w:r w:rsidRPr="00FE5314">
        <w:rPr>
          <w:b/>
        </w:rPr>
        <w:t xml:space="preserve"> du mardi 9 juillet au vendredi 19 juillet 2024</w:t>
      </w:r>
      <w:r w:rsidRPr="00FE5314">
        <w:t>;</w:t>
      </w:r>
    </w:p>
    <w:p w14:paraId="759FFBA5" w14:textId="043ADE4D" w:rsidR="004A7B5A" w:rsidRPr="00FE5314" w:rsidRDefault="004A7B5A" w:rsidP="00CD60C0">
      <w:pPr>
        <w:pStyle w:val="enumlev1"/>
      </w:pPr>
      <w:r w:rsidRPr="00FE5314">
        <w:t>–</w:t>
      </w:r>
      <w:r w:rsidRPr="00FE5314">
        <w:tab/>
      </w:r>
      <w:r w:rsidR="00A97082" w:rsidRPr="00FE5314">
        <w:t>s</w:t>
      </w:r>
      <w:r w:rsidRPr="00FE5314">
        <w:t xml:space="preserve">econde série de réunions des GTC et des EG: </w:t>
      </w:r>
      <w:r w:rsidRPr="00FE5314">
        <w:rPr>
          <w:bCs/>
        </w:rPr>
        <w:t>du lundi 30 septembre au</w:t>
      </w:r>
      <w:r w:rsidR="00A1343A" w:rsidRPr="00FE5314">
        <w:rPr>
          <w:bCs/>
        </w:rPr>
        <w:t> </w:t>
      </w:r>
      <w:r w:rsidRPr="00FE5314">
        <w:rPr>
          <w:bCs/>
        </w:rPr>
        <w:t>vendredi 11</w:t>
      </w:r>
      <w:r w:rsidR="00A97082" w:rsidRPr="00FE5314">
        <w:rPr>
          <w:bCs/>
        </w:rPr>
        <w:t> </w:t>
      </w:r>
      <w:r w:rsidRPr="00FE5314">
        <w:rPr>
          <w:bCs/>
        </w:rPr>
        <w:t>octobre</w:t>
      </w:r>
      <w:r w:rsidR="00A97082" w:rsidRPr="00FE5314">
        <w:rPr>
          <w:bCs/>
        </w:rPr>
        <w:t> </w:t>
      </w:r>
      <w:r w:rsidRPr="00FE5314">
        <w:rPr>
          <w:bCs/>
        </w:rPr>
        <w:t>2024</w:t>
      </w:r>
      <w:r w:rsidR="00C516E8" w:rsidRPr="00FE5314">
        <w:rPr>
          <w:bCs/>
        </w:rPr>
        <w:t>;</w:t>
      </w:r>
    </w:p>
    <w:p w14:paraId="1585D8AA" w14:textId="205FEA18" w:rsidR="004A7B5A" w:rsidRPr="00FE5314" w:rsidRDefault="00676535" w:rsidP="00CD60C0">
      <w:pPr>
        <w:tabs>
          <w:tab w:val="clear" w:pos="567"/>
          <w:tab w:val="left" w:pos="426"/>
        </w:tabs>
        <w:rPr>
          <w:rFonts w:asciiTheme="minorHAnsi" w:hAnsiTheme="minorHAnsi"/>
          <w:snapToGrid w:val="0"/>
          <w:szCs w:val="24"/>
        </w:rPr>
      </w:pPr>
      <w:r w:rsidRPr="00FE5314">
        <w:rPr>
          <w:snapToGrid w:val="0"/>
          <w:szCs w:val="24"/>
        </w:rPr>
        <w:t>3</w:t>
      </w:r>
      <w:r w:rsidR="004A7B5A" w:rsidRPr="00FE5314">
        <w:rPr>
          <w:snapToGrid w:val="0"/>
          <w:szCs w:val="24"/>
        </w:rPr>
        <w:tab/>
        <w:t xml:space="preserve">que la session de 2025 du Conseil se tiendra à Genève pour une période de neuf jours ouvrables, </w:t>
      </w:r>
      <w:r w:rsidR="001B2C5A" w:rsidRPr="00FE5314">
        <w:rPr>
          <w:snapToGrid w:val="0"/>
          <w:szCs w:val="24"/>
        </w:rPr>
        <w:t>et que</w:t>
      </w:r>
      <w:r w:rsidR="001C4582" w:rsidRPr="00FE5314">
        <w:rPr>
          <w:snapToGrid w:val="0"/>
          <w:szCs w:val="24"/>
        </w:rPr>
        <w:t xml:space="preserve"> cette session et</w:t>
      </w:r>
      <w:r w:rsidR="001B2C5A" w:rsidRPr="00FE5314">
        <w:rPr>
          <w:snapToGrid w:val="0"/>
          <w:szCs w:val="24"/>
        </w:rPr>
        <w:t xml:space="preserve"> l</w:t>
      </w:r>
      <w:r w:rsidR="001C4582" w:rsidRPr="00FE5314">
        <w:rPr>
          <w:snapToGrid w:val="0"/>
          <w:szCs w:val="24"/>
        </w:rPr>
        <w:t>es</w:t>
      </w:r>
      <w:r w:rsidR="001B2C5A" w:rsidRPr="00FE5314">
        <w:rPr>
          <w:snapToGrid w:val="0"/>
          <w:szCs w:val="24"/>
        </w:rPr>
        <w:t xml:space="preserve"> série</w:t>
      </w:r>
      <w:r w:rsidR="001C4582" w:rsidRPr="00FE5314">
        <w:rPr>
          <w:snapToGrid w:val="0"/>
          <w:szCs w:val="24"/>
        </w:rPr>
        <w:t>s</w:t>
      </w:r>
      <w:r w:rsidR="001B2C5A" w:rsidRPr="00FE5314">
        <w:rPr>
          <w:snapToGrid w:val="0"/>
          <w:szCs w:val="24"/>
        </w:rPr>
        <w:t xml:space="preserve"> </w:t>
      </w:r>
      <w:r w:rsidR="001C4582" w:rsidRPr="00FE5314">
        <w:rPr>
          <w:snapToGrid w:val="0"/>
          <w:szCs w:val="24"/>
        </w:rPr>
        <w:t xml:space="preserve">de réunions des GTC et des EG </w:t>
      </w:r>
      <w:r w:rsidR="00843A66" w:rsidRPr="00FE5314">
        <w:rPr>
          <w:snapToGrid w:val="0"/>
          <w:szCs w:val="24"/>
        </w:rPr>
        <w:t xml:space="preserve">associées </w:t>
      </w:r>
      <w:r w:rsidR="001C4582" w:rsidRPr="00FE5314">
        <w:rPr>
          <w:snapToGrid w:val="0"/>
          <w:szCs w:val="24"/>
        </w:rPr>
        <w:t xml:space="preserve">auront lieu </w:t>
      </w:r>
      <w:r w:rsidR="004A7B5A" w:rsidRPr="00FE5314">
        <w:rPr>
          <w:rFonts w:asciiTheme="minorHAnsi" w:hAnsiTheme="minorHAnsi"/>
          <w:snapToGrid w:val="0"/>
          <w:szCs w:val="24"/>
        </w:rPr>
        <w:t>aux dates suivantes:</w:t>
      </w:r>
    </w:p>
    <w:p w14:paraId="0C2D94AC" w14:textId="481BB573" w:rsidR="00676535" w:rsidRPr="00FE5314" w:rsidRDefault="00676535" w:rsidP="00CD60C0">
      <w:pPr>
        <w:pStyle w:val="enumlev1"/>
        <w:rPr>
          <w:rFonts w:asciiTheme="minorHAnsi" w:hAnsiTheme="minorHAnsi"/>
          <w:snapToGrid w:val="0"/>
          <w:szCs w:val="24"/>
        </w:rPr>
      </w:pPr>
      <w:r w:rsidRPr="00FE5314">
        <w:rPr>
          <w:snapToGrid w:val="0"/>
        </w:rPr>
        <w:t>–</w:t>
      </w:r>
      <w:r w:rsidRPr="00FE5314">
        <w:rPr>
          <w:snapToGrid w:val="0"/>
        </w:rPr>
        <w:tab/>
      </w:r>
      <w:r w:rsidRPr="00FE5314">
        <w:t xml:space="preserve">première série de réunions des GTC et des EG: </w:t>
      </w:r>
      <w:r w:rsidRPr="00FE5314">
        <w:rPr>
          <w:bCs/>
        </w:rPr>
        <w:t>du lundi 10 février au vendredi 21 février 2025;</w:t>
      </w:r>
    </w:p>
    <w:p w14:paraId="4AD59EA4" w14:textId="0FD84898" w:rsidR="004A7B5A" w:rsidRPr="00FE5314" w:rsidRDefault="004A7B5A" w:rsidP="00CD60C0">
      <w:pPr>
        <w:pStyle w:val="enumlev1"/>
      </w:pPr>
      <w:r w:rsidRPr="00FE5314">
        <w:rPr>
          <w:snapToGrid w:val="0"/>
        </w:rPr>
        <w:t>–</w:t>
      </w:r>
      <w:r w:rsidRPr="00FE5314">
        <w:rPr>
          <w:snapToGrid w:val="0"/>
        </w:rPr>
        <w:tab/>
      </w:r>
      <w:r w:rsidRPr="00FE5314">
        <w:rPr>
          <w:b/>
          <w:bCs/>
          <w:snapToGrid w:val="0"/>
        </w:rPr>
        <w:t>session de 2025 du</w:t>
      </w:r>
      <w:r w:rsidRPr="00FE5314">
        <w:rPr>
          <w:snapToGrid w:val="0"/>
        </w:rPr>
        <w:t xml:space="preserve"> </w:t>
      </w:r>
      <w:r w:rsidRPr="00FE5314">
        <w:rPr>
          <w:b/>
          <w:bCs/>
          <w:snapToGrid w:val="0"/>
        </w:rPr>
        <w:t>Conseil:</w:t>
      </w:r>
      <w:r w:rsidRPr="00FE5314">
        <w:rPr>
          <w:b/>
        </w:rPr>
        <w:t xml:space="preserve"> du mardi 1er juillet au vendredi 11 juillet 2025</w:t>
      </w:r>
      <w:r w:rsidRPr="00FE5314">
        <w:t>;</w:t>
      </w:r>
    </w:p>
    <w:p w14:paraId="7765AF21" w14:textId="20C50E33" w:rsidR="004E08E0" w:rsidRPr="00FE5314" w:rsidRDefault="004E08E0" w:rsidP="00CD60C0">
      <w:pPr>
        <w:pStyle w:val="enumlev1"/>
      </w:pPr>
      <w:r w:rsidRPr="00FE5314">
        <w:rPr>
          <w:snapToGrid w:val="0"/>
        </w:rPr>
        <w:t>–</w:t>
      </w:r>
      <w:r w:rsidRPr="00FE5314">
        <w:rPr>
          <w:snapToGrid w:val="0"/>
        </w:rPr>
        <w:tab/>
      </w:r>
      <w:r w:rsidRPr="00FE5314">
        <w:t xml:space="preserve">seconde série de réunions des GTC et des EG: </w:t>
      </w:r>
      <w:r w:rsidRPr="00FE5314">
        <w:rPr>
          <w:bCs/>
        </w:rPr>
        <w:t>du lundi 8 septembre au vendredi 19 septembre 2025;</w:t>
      </w:r>
    </w:p>
    <w:p w14:paraId="0033CBDB" w14:textId="3DA97009" w:rsidR="004A7B5A" w:rsidRPr="00FE5314" w:rsidRDefault="004E08E0" w:rsidP="00CD60C0">
      <w:pPr>
        <w:tabs>
          <w:tab w:val="clear" w:pos="567"/>
          <w:tab w:val="left" w:pos="426"/>
        </w:tabs>
        <w:rPr>
          <w:rFonts w:asciiTheme="minorHAnsi" w:hAnsiTheme="minorHAnsi"/>
          <w:snapToGrid w:val="0"/>
          <w:szCs w:val="24"/>
        </w:rPr>
      </w:pPr>
      <w:r w:rsidRPr="00FE5314">
        <w:rPr>
          <w:snapToGrid w:val="0"/>
          <w:szCs w:val="24"/>
        </w:rPr>
        <w:t>4</w:t>
      </w:r>
      <w:r w:rsidR="004A7B5A" w:rsidRPr="00FE5314">
        <w:rPr>
          <w:snapToGrid w:val="0"/>
          <w:szCs w:val="24"/>
        </w:rPr>
        <w:tab/>
        <w:t xml:space="preserve">que la session de 2026 du Conseil se tiendra à Genève pour une période de neuf jours ouvrables, </w:t>
      </w:r>
      <w:r w:rsidR="004A7B5A" w:rsidRPr="00FE5314">
        <w:rPr>
          <w:rFonts w:asciiTheme="minorHAnsi" w:hAnsiTheme="minorHAnsi"/>
          <w:snapToGrid w:val="0"/>
          <w:szCs w:val="24"/>
        </w:rPr>
        <w:t>aux dates suivantes:</w:t>
      </w:r>
    </w:p>
    <w:p w14:paraId="5E202E9A" w14:textId="1F2D9F71" w:rsidR="004A7B5A" w:rsidRPr="00FE5314" w:rsidRDefault="004A7B5A" w:rsidP="00CD60C0">
      <w:pPr>
        <w:pStyle w:val="enumlev1"/>
        <w:rPr>
          <w:snapToGrid w:val="0"/>
        </w:rPr>
      </w:pPr>
      <w:r w:rsidRPr="00FE5314">
        <w:rPr>
          <w:snapToGrid w:val="0"/>
        </w:rPr>
        <w:t>–</w:t>
      </w:r>
      <w:r w:rsidRPr="00FE5314">
        <w:rPr>
          <w:snapToGrid w:val="0"/>
        </w:rPr>
        <w:tab/>
      </w:r>
      <w:r w:rsidRPr="00FE5314">
        <w:rPr>
          <w:b/>
          <w:bCs/>
          <w:snapToGrid w:val="0"/>
        </w:rPr>
        <w:t>session de 2026 du</w:t>
      </w:r>
      <w:r w:rsidRPr="00FE5314">
        <w:rPr>
          <w:snapToGrid w:val="0"/>
        </w:rPr>
        <w:t xml:space="preserve"> </w:t>
      </w:r>
      <w:r w:rsidRPr="00FE5314">
        <w:rPr>
          <w:b/>
          <w:bCs/>
          <w:snapToGrid w:val="0"/>
        </w:rPr>
        <w:t xml:space="preserve">Conseil: </w:t>
      </w:r>
      <w:r w:rsidRPr="00FE5314">
        <w:rPr>
          <w:b/>
        </w:rPr>
        <w:t>du lundi 4 mai au jeudi 14 mai 2026</w:t>
      </w:r>
      <w:r w:rsidRPr="00FE5314">
        <w:rPr>
          <w:snapToGrid w:val="0"/>
        </w:rPr>
        <w:t>.</w:t>
      </w:r>
    </w:p>
    <w:p w14:paraId="3D5E9725" w14:textId="77777777" w:rsidR="00C516E8" w:rsidRPr="00FE5314" w:rsidRDefault="00C516E8" w:rsidP="00A27332">
      <w:pPr>
        <w:spacing w:before="840"/>
        <w:jc w:val="center"/>
      </w:pPr>
      <w:r w:rsidRPr="00FE5314">
        <w:t>______________</w:t>
      </w:r>
    </w:p>
    <w:sectPr w:rsidR="00C516E8" w:rsidRPr="00FE5314" w:rsidSect="005C3890">
      <w:headerReference w:type="even" r:id="rId20"/>
      <w:headerReference w:type="default" r:id="rId21"/>
      <w:footerReference w:type="even" r:id="rId22"/>
      <w:footerReference w:type="default" r:id="rId23"/>
      <w:footerReference w:type="first" r:id="rId2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3890A" w14:textId="77777777" w:rsidR="000415DF" w:rsidRDefault="000415DF">
      <w:r>
        <w:separator/>
      </w:r>
    </w:p>
  </w:endnote>
  <w:endnote w:type="continuationSeparator" w:id="0">
    <w:p w14:paraId="7AF18BDC" w14:textId="77777777" w:rsidR="000415DF" w:rsidRDefault="0004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6C36" w14:textId="6A6C192E" w:rsidR="00732045" w:rsidRDefault="00FE5314">
    <w:pPr>
      <w:pStyle w:val="Footer"/>
    </w:pPr>
    <w:fldSimple w:instr=" FILENAME \p \* MERGEFORMAT ">
      <w:r w:rsidR="00CC2786">
        <w:t>P:\FRA\SG\CONSEIL\C22\000\002F.docx</w:t>
      </w:r>
    </w:fldSimple>
    <w:r w:rsidR="00732045">
      <w:tab/>
    </w:r>
    <w:r w:rsidR="002F1B76">
      <w:fldChar w:fldCharType="begin"/>
    </w:r>
    <w:r w:rsidR="00732045">
      <w:instrText xml:space="preserve"> savedate \@ dd.MM.yy </w:instrText>
    </w:r>
    <w:r w:rsidR="002F1B76">
      <w:fldChar w:fldCharType="separate"/>
    </w:r>
    <w:r w:rsidR="00A27332">
      <w:t>15.12.21</w:t>
    </w:r>
    <w:r w:rsidR="002F1B76">
      <w:fldChar w:fldCharType="end"/>
    </w:r>
    <w:r w:rsidR="00732045">
      <w:tab/>
    </w:r>
    <w:r w:rsidR="002F1B76">
      <w:fldChar w:fldCharType="begin"/>
    </w:r>
    <w:r w:rsidR="00732045">
      <w:instrText xml:space="preserve"> printdate \@ dd.MM.yy </w:instrText>
    </w:r>
    <w:r w:rsidR="002F1B76">
      <w:fldChar w:fldCharType="separate"/>
    </w:r>
    <w:r w:rsidR="00CC2786">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981C" w14:textId="5F9173FC" w:rsidR="00732045" w:rsidRPr="00A27332" w:rsidRDefault="006748CD">
    <w:pPr>
      <w:pStyle w:val="Footer"/>
      <w:rPr>
        <w:color w:val="F2F2F2" w:themeColor="background1" w:themeShade="F2"/>
      </w:rPr>
    </w:pPr>
    <w:r w:rsidRPr="00A27332">
      <w:rPr>
        <w:color w:val="F2F2F2" w:themeColor="background1" w:themeShade="F2"/>
      </w:rPr>
      <w:fldChar w:fldCharType="begin"/>
    </w:r>
    <w:r w:rsidRPr="00A27332">
      <w:rPr>
        <w:color w:val="F2F2F2" w:themeColor="background1" w:themeShade="F2"/>
      </w:rPr>
      <w:instrText xml:space="preserve"> FILENAME \p \* MERGEFORMAT </w:instrText>
    </w:r>
    <w:r w:rsidRPr="00A27332">
      <w:rPr>
        <w:color w:val="F2F2F2" w:themeColor="background1" w:themeShade="F2"/>
      </w:rPr>
      <w:fldChar w:fldCharType="separate"/>
    </w:r>
    <w:r w:rsidR="00CC2786" w:rsidRPr="00A27332">
      <w:rPr>
        <w:color w:val="F2F2F2" w:themeColor="background1" w:themeShade="F2"/>
      </w:rPr>
      <w:t>P:\FRA\SG\CONSEIL\C22\000\002F.docx</w:t>
    </w:r>
    <w:r w:rsidRPr="00A27332">
      <w:rPr>
        <w:color w:val="F2F2F2" w:themeColor="background1" w:themeShade="F2"/>
      </w:rPr>
      <w:fldChar w:fldCharType="end"/>
    </w:r>
    <w:r w:rsidR="00A97082" w:rsidRPr="00A27332">
      <w:rPr>
        <w:color w:val="F2F2F2" w:themeColor="background1" w:themeShade="F2"/>
      </w:rPr>
      <w:t xml:space="preserve"> (4</w:t>
    </w:r>
    <w:r w:rsidR="004023A1" w:rsidRPr="00A27332">
      <w:rPr>
        <w:color w:val="F2F2F2" w:themeColor="background1" w:themeShade="F2"/>
      </w:rPr>
      <w:t>98148</w:t>
    </w:r>
    <w:r w:rsidR="00A97082" w:rsidRPr="00A27332">
      <w:rPr>
        <w:color w:val="F2F2F2" w:themeColor="background1" w:themeShade="F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8AD0"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AFAA1" w14:textId="77777777" w:rsidR="000415DF" w:rsidRDefault="000415DF">
      <w:r>
        <w:t>____________________</w:t>
      </w:r>
    </w:p>
  </w:footnote>
  <w:footnote w:type="continuationSeparator" w:id="0">
    <w:p w14:paraId="2171A452" w14:textId="77777777" w:rsidR="000415DF" w:rsidRDefault="0004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5C16"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09CE89D1"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0BCF" w14:textId="58107D9F" w:rsidR="00732045" w:rsidRDefault="00C27A7C" w:rsidP="00475FB3">
    <w:pPr>
      <w:pStyle w:val="Header"/>
    </w:pPr>
    <w:r>
      <w:fldChar w:fldCharType="begin"/>
    </w:r>
    <w:r>
      <w:instrText>PAGE</w:instrText>
    </w:r>
    <w:r>
      <w:fldChar w:fldCharType="separate"/>
    </w:r>
    <w:r w:rsidR="00843A66">
      <w:rPr>
        <w:noProof/>
      </w:rPr>
      <w:t>6</w:t>
    </w:r>
    <w:r>
      <w:rPr>
        <w:noProof/>
      </w:rPr>
      <w:fldChar w:fldCharType="end"/>
    </w:r>
  </w:p>
  <w:p w14:paraId="36CDF711" w14:textId="56AEE0B7" w:rsidR="00732045" w:rsidRDefault="00732045" w:rsidP="00106B19">
    <w:pPr>
      <w:pStyle w:val="Header"/>
    </w:pPr>
    <w:r>
      <w:t>C</w:t>
    </w:r>
    <w:r w:rsidR="009C353C">
      <w:t>2</w:t>
    </w:r>
    <w:r w:rsidR="00752F20">
      <w:t>2</w:t>
    </w:r>
    <w:r>
      <w:t>/</w:t>
    </w:r>
    <w:r w:rsidR="00A97082">
      <w:t>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9F6F179-0A30-4C08-A3A8-69B0F5824EF8}"/>
    <w:docVar w:name="dgnword-eventsink" w:val="1658140163328"/>
  </w:docVars>
  <w:rsids>
    <w:rsidRoot w:val="004A7B5A"/>
    <w:rsid w:val="00006D44"/>
    <w:rsid w:val="00034F1B"/>
    <w:rsid w:val="000415DF"/>
    <w:rsid w:val="000D0D0A"/>
    <w:rsid w:val="000D2411"/>
    <w:rsid w:val="000E168F"/>
    <w:rsid w:val="00100668"/>
    <w:rsid w:val="00103163"/>
    <w:rsid w:val="00106B19"/>
    <w:rsid w:val="00115D93"/>
    <w:rsid w:val="001247A8"/>
    <w:rsid w:val="001378C0"/>
    <w:rsid w:val="00142B96"/>
    <w:rsid w:val="0018694A"/>
    <w:rsid w:val="001A3287"/>
    <w:rsid w:val="001A6508"/>
    <w:rsid w:val="001B2C5A"/>
    <w:rsid w:val="001C174D"/>
    <w:rsid w:val="001C4582"/>
    <w:rsid w:val="001D4C31"/>
    <w:rsid w:val="001E4D21"/>
    <w:rsid w:val="00207CD1"/>
    <w:rsid w:val="002477A2"/>
    <w:rsid w:val="00263A51"/>
    <w:rsid w:val="00267E02"/>
    <w:rsid w:val="002A5D44"/>
    <w:rsid w:val="002E0BC4"/>
    <w:rsid w:val="002F1B76"/>
    <w:rsid w:val="0033568E"/>
    <w:rsid w:val="00355FF5"/>
    <w:rsid w:val="00361350"/>
    <w:rsid w:val="00387824"/>
    <w:rsid w:val="003C3FAE"/>
    <w:rsid w:val="004023A1"/>
    <w:rsid w:val="004038CB"/>
    <w:rsid w:val="0040546F"/>
    <w:rsid w:val="0042404A"/>
    <w:rsid w:val="0044618F"/>
    <w:rsid w:val="0046769A"/>
    <w:rsid w:val="00475FB3"/>
    <w:rsid w:val="004A7B5A"/>
    <w:rsid w:val="004C37A9"/>
    <w:rsid w:val="004D1D50"/>
    <w:rsid w:val="004E08E0"/>
    <w:rsid w:val="004F259E"/>
    <w:rsid w:val="00507869"/>
    <w:rsid w:val="00511F1D"/>
    <w:rsid w:val="0051287A"/>
    <w:rsid w:val="00520F36"/>
    <w:rsid w:val="00540615"/>
    <w:rsid w:val="00540A6D"/>
    <w:rsid w:val="00571EEA"/>
    <w:rsid w:val="00575417"/>
    <w:rsid w:val="005768E1"/>
    <w:rsid w:val="005B1938"/>
    <w:rsid w:val="005C3890"/>
    <w:rsid w:val="005C71EB"/>
    <w:rsid w:val="005F7BFE"/>
    <w:rsid w:val="00600017"/>
    <w:rsid w:val="006235CA"/>
    <w:rsid w:val="006643AB"/>
    <w:rsid w:val="006748CD"/>
    <w:rsid w:val="00676535"/>
    <w:rsid w:val="006929D5"/>
    <w:rsid w:val="007210CD"/>
    <w:rsid w:val="00732045"/>
    <w:rsid w:val="007369DB"/>
    <w:rsid w:val="00752F20"/>
    <w:rsid w:val="007956C2"/>
    <w:rsid w:val="007A0918"/>
    <w:rsid w:val="007A187E"/>
    <w:rsid w:val="007C72C2"/>
    <w:rsid w:val="007D4436"/>
    <w:rsid w:val="007F257A"/>
    <w:rsid w:val="007F3665"/>
    <w:rsid w:val="00800037"/>
    <w:rsid w:val="00843A66"/>
    <w:rsid w:val="008578B1"/>
    <w:rsid w:val="00861D73"/>
    <w:rsid w:val="00897553"/>
    <w:rsid w:val="008A4E87"/>
    <w:rsid w:val="008D76E6"/>
    <w:rsid w:val="0092392D"/>
    <w:rsid w:val="0093234A"/>
    <w:rsid w:val="00953E50"/>
    <w:rsid w:val="0097363B"/>
    <w:rsid w:val="009C307F"/>
    <w:rsid w:val="009C353C"/>
    <w:rsid w:val="009F1412"/>
    <w:rsid w:val="00A12453"/>
    <w:rsid w:val="00A1343A"/>
    <w:rsid w:val="00A2113E"/>
    <w:rsid w:val="00A22F78"/>
    <w:rsid w:val="00A23A51"/>
    <w:rsid w:val="00A24607"/>
    <w:rsid w:val="00A25CD3"/>
    <w:rsid w:val="00A27332"/>
    <w:rsid w:val="00A709FE"/>
    <w:rsid w:val="00A82767"/>
    <w:rsid w:val="00A90579"/>
    <w:rsid w:val="00A97082"/>
    <w:rsid w:val="00AA332F"/>
    <w:rsid w:val="00AA7BBB"/>
    <w:rsid w:val="00AB64A8"/>
    <w:rsid w:val="00AC0266"/>
    <w:rsid w:val="00AC40FE"/>
    <w:rsid w:val="00AD24EC"/>
    <w:rsid w:val="00B062B0"/>
    <w:rsid w:val="00B2672E"/>
    <w:rsid w:val="00B309F9"/>
    <w:rsid w:val="00B32B60"/>
    <w:rsid w:val="00B516EF"/>
    <w:rsid w:val="00B61619"/>
    <w:rsid w:val="00BB4545"/>
    <w:rsid w:val="00BD499A"/>
    <w:rsid w:val="00BD5873"/>
    <w:rsid w:val="00BD7A34"/>
    <w:rsid w:val="00C04BE3"/>
    <w:rsid w:val="00C25D29"/>
    <w:rsid w:val="00C27A7C"/>
    <w:rsid w:val="00C516E8"/>
    <w:rsid w:val="00C51873"/>
    <w:rsid w:val="00CA08ED"/>
    <w:rsid w:val="00CC2786"/>
    <w:rsid w:val="00CD20DD"/>
    <w:rsid w:val="00CD60C0"/>
    <w:rsid w:val="00CF183B"/>
    <w:rsid w:val="00D051A9"/>
    <w:rsid w:val="00D25577"/>
    <w:rsid w:val="00D375CD"/>
    <w:rsid w:val="00D553A2"/>
    <w:rsid w:val="00D774D3"/>
    <w:rsid w:val="00D904E8"/>
    <w:rsid w:val="00DA08C3"/>
    <w:rsid w:val="00DA1D16"/>
    <w:rsid w:val="00DB5A3E"/>
    <w:rsid w:val="00DC22AA"/>
    <w:rsid w:val="00DF74DD"/>
    <w:rsid w:val="00E25AD0"/>
    <w:rsid w:val="00E31ACF"/>
    <w:rsid w:val="00E40350"/>
    <w:rsid w:val="00E8417C"/>
    <w:rsid w:val="00EB6350"/>
    <w:rsid w:val="00EC7021"/>
    <w:rsid w:val="00EE3532"/>
    <w:rsid w:val="00F15B57"/>
    <w:rsid w:val="00F427DB"/>
    <w:rsid w:val="00F53F35"/>
    <w:rsid w:val="00FA5EB1"/>
    <w:rsid w:val="00FA7439"/>
    <w:rsid w:val="00FC4EC0"/>
    <w:rsid w:val="00FE5314"/>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1C7DADC"/>
  <w15:docId w15:val="{47921939-3033-4318-AEA6-4CD6401A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UnresolvedMention1">
    <w:name w:val="Unresolved Mention1"/>
    <w:basedOn w:val="DefaultParagraphFont"/>
    <w:uiPriority w:val="99"/>
    <w:semiHidden/>
    <w:unhideWhenUsed/>
    <w:rsid w:val="004A7B5A"/>
    <w:rPr>
      <w:color w:val="605E5C"/>
      <w:shd w:val="clear" w:color="auto" w:fill="E1DFDD"/>
    </w:rPr>
  </w:style>
  <w:style w:type="paragraph" w:customStyle="1" w:styleId="call0">
    <w:name w:val="call"/>
    <w:basedOn w:val="Normal"/>
    <w:next w:val="Normal"/>
    <w:rsid w:val="004A7B5A"/>
    <w:pPr>
      <w:keepNext/>
      <w:keepLines/>
      <w:spacing w:before="160"/>
      <w:ind w:left="794" w:hanging="357"/>
    </w:pPr>
    <w:rPr>
      <w:i/>
      <w:lang w:val="en-GB"/>
    </w:rPr>
  </w:style>
  <w:style w:type="character" w:customStyle="1" w:styleId="UnresolvedMention2">
    <w:name w:val="Unresolved Mention2"/>
    <w:basedOn w:val="DefaultParagraphFont"/>
    <w:uiPriority w:val="99"/>
    <w:semiHidden/>
    <w:unhideWhenUsed/>
    <w:rsid w:val="00752F20"/>
    <w:rPr>
      <w:color w:val="605E5C"/>
      <w:shd w:val="clear" w:color="auto" w:fill="E1DFDD"/>
    </w:rPr>
  </w:style>
  <w:style w:type="character" w:styleId="CommentReference">
    <w:name w:val="annotation reference"/>
    <w:basedOn w:val="DefaultParagraphFont"/>
    <w:semiHidden/>
    <w:unhideWhenUsed/>
    <w:rsid w:val="0051287A"/>
    <w:rPr>
      <w:sz w:val="16"/>
      <w:szCs w:val="16"/>
    </w:rPr>
  </w:style>
  <w:style w:type="paragraph" w:styleId="CommentText">
    <w:name w:val="annotation text"/>
    <w:basedOn w:val="Normal"/>
    <w:link w:val="CommentTextChar"/>
    <w:semiHidden/>
    <w:unhideWhenUsed/>
    <w:rsid w:val="0051287A"/>
    <w:rPr>
      <w:sz w:val="20"/>
    </w:rPr>
  </w:style>
  <w:style w:type="character" w:customStyle="1" w:styleId="CommentTextChar">
    <w:name w:val="Comment Text Char"/>
    <w:basedOn w:val="DefaultParagraphFont"/>
    <w:link w:val="CommentText"/>
    <w:semiHidden/>
    <w:rsid w:val="0051287A"/>
    <w:rPr>
      <w:rFonts w:ascii="Calibri" w:hAnsi="Calibri"/>
      <w:lang w:val="fr-FR" w:eastAsia="en-US"/>
    </w:rPr>
  </w:style>
  <w:style w:type="paragraph" w:styleId="CommentSubject">
    <w:name w:val="annotation subject"/>
    <w:basedOn w:val="CommentText"/>
    <w:next w:val="CommentText"/>
    <w:link w:val="CommentSubjectChar"/>
    <w:semiHidden/>
    <w:unhideWhenUsed/>
    <w:rsid w:val="0051287A"/>
    <w:rPr>
      <w:b/>
      <w:bCs/>
    </w:rPr>
  </w:style>
  <w:style w:type="character" w:customStyle="1" w:styleId="CommentSubjectChar">
    <w:name w:val="Comment Subject Char"/>
    <w:basedOn w:val="CommentTextChar"/>
    <w:link w:val="CommentSubject"/>
    <w:semiHidden/>
    <w:rsid w:val="0051287A"/>
    <w:rPr>
      <w:rFonts w:ascii="Calibri" w:hAnsi="Calibri"/>
      <w:b/>
      <w:bCs/>
      <w:lang w:val="fr-FR" w:eastAsia="en-US"/>
    </w:rPr>
  </w:style>
  <w:style w:type="paragraph" w:styleId="Revision">
    <w:name w:val="Revision"/>
    <w:hidden/>
    <w:uiPriority w:val="99"/>
    <w:semiHidden/>
    <w:rsid w:val="0051287A"/>
    <w:rPr>
      <w:rFonts w:ascii="Calibri" w:hAnsi="Calibri"/>
      <w:sz w:val="24"/>
      <w:lang w:val="fr-FR" w:eastAsia="en-US"/>
    </w:rPr>
  </w:style>
  <w:style w:type="paragraph" w:styleId="BalloonText">
    <w:name w:val="Balloon Text"/>
    <w:basedOn w:val="Normal"/>
    <w:link w:val="BalloonTextChar"/>
    <w:semiHidden/>
    <w:unhideWhenUsed/>
    <w:rsid w:val="0051287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87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77-F.pdf" TargetMode="External"/><Relationship Id="rId13" Type="http://schemas.openxmlformats.org/officeDocument/2006/relationships/hyperlink" Target="https://www.itu.int/md/S20-CL-C-0002/en" TargetMode="External"/><Relationship Id="rId18" Type="http://schemas.openxmlformats.org/officeDocument/2006/relationships/hyperlink" Target="https://www.itu.int/md/S21-CL-C-0101/en"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www.itu.int/md/S21-CL-C-0101/en" TargetMode="External"/><Relationship Id="rId12" Type="http://schemas.openxmlformats.org/officeDocument/2006/relationships/hyperlink" Target="https://www.itu.int/md/S19-CL-C-0037/en" TargetMode="External"/><Relationship Id="rId17" Type="http://schemas.openxmlformats.org/officeDocument/2006/relationships/hyperlink" Target="https://www.itu.int/md/S20-CL-C-0071/en"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tu.int/md/S19-CLADD-C-0005/en"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itu.int/md/S19-CL-C-0118/en" TargetMode="External"/><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www.itu.int/md/S21-CL-C-0037/en" TargetMode="External"/><Relationship Id="rId23" Type="http://schemas.openxmlformats.org/officeDocument/2006/relationships/footer" Target="footer2.xml"/><Relationship Id="rId10" Type="http://schemas.openxmlformats.org/officeDocument/2006/relationships/hyperlink" Target="https://www.itu.int/md/S19-CL-C-0002/en" TargetMode="External"/><Relationship Id="rId19" Type="http://schemas.openxmlformats.org/officeDocument/2006/relationships/hyperlink" Target="https://www.itu.int/md/S21-CL-C-0101/en" TargetMode="External"/><Relationship Id="rId4" Type="http://schemas.openxmlformats.org/officeDocument/2006/relationships/footnotes" Target="footnotes.xml"/><Relationship Id="rId9" Type="http://schemas.openxmlformats.org/officeDocument/2006/relationships/hyperlink" Target="https://www.itu.int/en/council/Documents/basic-texts/RES-111-F.pdf" TargetMode="External"/><Relationship Id="rId14" Type="http://schemas.openxmlformats.org/officeDocument/2006/relationships/hyperlink" Target="https://www.itu.int/md/S20-CL-C-0037/en" TargetMode="External"/><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8883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Dates et durée proposées pour les sessions de 2022, 2023, 2024, 2025 et 2026 du Conseil et dates proposées pour les séries de réunions des Groupes de travail du Conseil et des Groupes d'experts de 2022, 2023 et 2024</vt:lpstr>
    </vt:vector>
  </TitlesOfParts>
  <Manager>Secrétariat général - Pool</Manager>
  <Company>Union internationale des télécommunications (UIT)</Company>
  <LinksUpToDate>false</LinksUpToDate>
  <CharactersWithSpaces>10491</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2023, 2024, 2025 et 2026 du Conseil et dates proposées pour les séries de réunions des Groupes de Travail du Conseil et des Groupes d'Experts de 2023, 2024 et 2025</dc:title>
  <dc:subject>Council 2022</dc:subject>
  <dc:creator>Chanavat, Emilie</dc:creator>
  <cp:keywords>C2022, C22</cp:keywords>
  <dc:description/>
  <cp:lastModifiedBy>Xue, Kun</cp:lastModifiedBy>
  <cp:revision>2</cp:revision>
  <cp:lastPrinted>2000-07-18T08:55:00Z</cp:lastPrinted>
  <dcterms:created xsi:type="dcterms:W3CDTF">2021-12-15T12:51:00Z</dcterms:created>
  <dcterms:modified xsi:type="dcterms:W3CDTF">2021-12-15T12:51:00Z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