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6C02AF" w14:paraId="2F753142" w14:textId="77777777">
        <w:trPr>
          <w:cantSplit/>
        </w:trPr>
        <w:tc>
          <w:tcPr>
            <w:tcW w:w="6912" w:type="dxa"/>
          </w:tcPr>
          <w:p w14:paraId="7DA57842" w14:textId="1037B56C" w:rsidR="00520F36" w:rsidRPr="006C02AF" w:rsidRDefault="00BF433C" w:rsidP="00E32CD7">
            <w:pPr>
              <w:spacing w:before="360"/>
            </w:pPr>
            <w:bookmarkStart w:id="0" w:name="dc06"/>
            <w:bookmarkEnd w:id="0"/>
            <w:r w:rsidRPr="006C02AF">
              <w:rPr>
                <w:b/>
                <w:bCs/>
                <w:sz w:val="30"/>
                <w:szCs w:val="30"/>
              </w:rPr>
              <w:t xml:space="preserve">Session extraordinaire du </w:t>
            </w:r>
            <w:r w:rsidR="00520F36" w:rsidRPr="006C02AF">
              <w:rPr>
                <w:b/>
                <w:bCs/>
                <w:sz w:val="30"/>
                <w:szCs w:val="30"/>
              </w:rPr>
              <w:t>Conseil</w:t>
            </w:r>
            <w:r w:rsidR="00520F36" w:rsidRPr="006C02AF">
              <w:rPr>
                <w:rFonts w:ascii="Verdana" w:hAnsi="Verdana"/>
                <w:b/>
                <w:bCs/>
                <w:sz w:val="26"/>
                <w:szCs w:val="26"/>
              </w:rPr>
              <w:br/>
            </w:r>
            <w:r w:rsidRPr="006C02AF">
              <w:rPr>
                <w:b/>
                <w:bCs/>
                <w:sz w:val="26"/>
                <w:szCs w:val="26"/>
              </w:rPr>
              <w:t>Bucarest, 14 octobre 2022</w:t>
            </w:r>
          </w:p>
        </w:tc>
        <w:tc>
          <w:tcPr>
            <w:tcW w:w="3261" w:type="dxa"/>
          </w:tcPr>
          <w:p w14:paraId="50037390" w14:textId="77777777" w:rsidR="00520F36" w:rsidRPr="006C02AF" w:rsidRDefault="009C353C" w:rsidP="00E32CD7">
            <w:pPr>
              <w:spacing w:before="0"/>
            </w:pPr>
            <w:bookmarkStart w:id="1" w:name="ditulogo"/>
            <w:bookmarkEnd w:id="1"/>
            <w:r w:rsidRPr="006C02AF">
              <w:rPr>
                <w:noProof/>
                <w:lang w:eastAsia="zh-CN"/>
              </w:rPr>
              <w:drawing>
                <wp:inline distT="0" distB="0" distL="0" distR="0" wp14:anchorId="0D3F8483" wp14:editId="58CB4F49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6C02AF" w14:paraId="4CA272D1" w14:textId="77777777" w:rsidTr="004400C9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14:paraId="3DEF7191" w14:textId="77777777" w:rsidR="00520F36" w:rsidRPr="006C02AF" w:rsidRDefault="00520F36" w:rsidP="00E32CD7">
            <w:pPr>
              <w:spacing w:befor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25E4912F" w14:textId="77777777" w:rsidR="00520F36" w:rsidRPr="006C02AF" w:rsidRDefault="00520F36" w:rsidP="00E32CD7">
            <w:pPr>
              <w:spacing w:before="0"/>
              <w:rPr>
                <w:b/>
                <w:bCs/>
              </w:rPr>
            </w:pPr>
          </w:p>
        </w:tc>
      </w:tr>
      <w:tr w:rsidR="00520F36" w:rsidRPr="006C02AF" w14:paraId="3A80E106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0F1BA55A" w14:textId="77777777" w:rsidR="00520F36" w:rsidRPr="006C02AF" w:rsidRDefault="00520F36" w:rsidP="00E32CD7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32A336FA" w14:textId="77777777" w:rsidR="00520F36" w:rsidRPr="006C02AF" w:rsidRDefault="00520F36" w:rsidP="00E32CD7">
            <w:pPr>
              <w:spacing w:before="0"/>
              <w:rPr>
                <w:b/>
                <w:bCs/>
              </w:rPr>
            </w:pPr>
          </w:p>
        </w:tc>
      </w:tr>
      <w:tr w:rsidR="00520F36" w:rsidRPr="006C02AF" w14:paraId="7E2FE812" w14:textId="77777777">
        <w:trPr>
          <w:cantSplit/>
          <w:trHeight w:val="20"/>
        </w:trPr>
        <w:tc>
          <w:tcPr>
            <w:tcW w:w="6912" w:type="dxa"/>
            <w:vMerge w:val="restart"/>
          </w:tcPr>
          <w:p w14:paraId="7D45729A" w14:textId="77777777" w:rsidR="00520F36" w:rsidRPr="006C02AF" w:rsidRDefault="00520F36" w:rsidP="00E32CD7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2" w:name="dnum" w:colFirst="1" w:colLast="1"/>
            <w:bookmarkStart w:id="3" w:name="dmeeting" w:colFirst="0" w:colLast="0"/>
          </w:p>
        </w:tc>
        <w:tc>
          <w:tcPr>
            <w:tcW w:w="3261" w:type="dxa"/>
          </w:tcPr>
          <w:p w14:paraId="6C4A6C76" w14:textId="01DEEF90" w:rsidR="00520F36" w:rsidRPr="006C02AF" w:rsidRDefault="00520F36" w:rsidP="00E32CD7">
            <w:pPr>
              <w:spacing w:before="0"/>
              <w:rPr>
                <w:b/>
                <w:bCs/>
              </w:rPr>
            </w:pPr>
            <w:r w:rsidRPr="006C02AF">
              <w:rPr>
                <w:b/>
                <w:bCs/>
              </w:rPr>
              <w:t>Document C</w:t>
            </w:r>
            <w:r w:rsidR="009C353C" w:rsidRPr="006C02AF">
              <w:rPr>
                <w:b/>
                <w:bCs/>
              </w:rPr>
              <w:t>2</w:t>
            </w:r>
            <w:r w:rsidR="00BF433C" w:rsidRPr="006C02AF">
              <w:rPr>
                <w:b/>
                <w:bCs/>
              </w:rPr>
              <w:t>3</w:t>
            </w:r>
            <w:r w:rsidRPr="006C02AF">
              <w:rPr>
                <w:b/>
                <w:bCs/>
              </w:rPr>
              <w:t>/</w:t>
            </w:r>
            <w:r w:rsidR="00BF433C" w:rsidRPr="006C02AF">
              <w:rPr>
                <w:b/>
                <w:bCs/>
              </w:rPr>
              <w:t>EXT/9</w:t>
            </w:r>
            <w:r w:rsidRPr="006C02AF">
              <w:rPr>
                <w:b/>
                <w:bCs/>
              </w:rPr>
              <w:t>-F</w:t>
            </w:r>
          </w:p>
        </w:tc>
      </w:tr>
      <w:tr w:rsidR="00520F36" w:rsidRPr="006C02AF" w14:paraId="3EF5A49A" w14:textId="77777777">
        <w:trPr>
          <w:cantSplit/>
          <w:trHeight w:val="20"/>
        </w:trPr>
        <w:tc>
          <w:tcPr>
            <w:tcW w:w="6912" w:type="dxa"/>
            <w:vMerge/>
          </w:tcPr>
          <w:p w14:paraId="0EE6E876" w14:textId="77777777" w:rsidR="00520F36" w:rsidRPr="006C02AF" w:rsidRDefault="00520F36" w:rsidP="00E32CD7">
            <w:pPr>
              <w:shd w:val="solid" w:color="FFFFFF" w:fill="FFFFFF"/>
              <w:spacing w:before="180"/>
              <w:rPr>
                <w:smallCaps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14:paraId="4B70BC53" w14:textId="71CE5A86" w:rsidR="00520F36" w:rsidRPr="006C02AF" w:rsidRDefault="00BF433C" w:rsidP="00E32CD7">
            <w:pPr>
              <w:spacing w:before="0"/>
              <w:rPr>
                <w:b/>
                <w:bCs/>
              </w:rPr>
            </w:pPr>
            <w:r w:rsidRPr="006C02AF">
              <w:rPr>
                <w:b/>
                <w:bCs/>
              </w:rPr>
              <w:t>3 novembre 2022</w:t>
            </w:r>
          </w:p>
        </w:tc>
      </w:tr>
      <w:tr w:rsidR="00520F36" w:rsidRPr="006C02AF" w14:paraId="79A2B119" w14:textId="77777777">
        <w:trPr>
          <w:cantSplit/>
          <w:trHeight w:val="20"/>
        </w:trPr>
        <w:tc>
          <w:tcPr>
            <w:tcW w:w="6912" w:type="dxa"/>
            <w:vMerge/>
          </w:tcPr>
          <w:p w14:paraId="70B889B9" w14:textId="77777777" w:rsidR="00520F36" w:rsidRPr="006C02AF" w:rsidRDefault="00520F36" w:rsidP="00E32CD7">
            <w:pPr>
              <w:shd w:val="solid" w:color="FFFFFF" w:fill="FFFFFF"/>
              <w:spacing w:before="180"/>
              <w:rPr>
                <w:smallCaps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14:paraId="72887FFB" w14:textId="77777777" w:rsidR="00520F36" w:rsidRPr="006C02AF" w:rsidRDefault="00520F36" w:rsidP="00E32CD7">
            <w:pPr>
              <w:spacing w:before="0"/>
              <w:rPr>
                <w:b/>
                <w:bCs/>
              </w:rPr>
            </w:pPr>
            <w:r w:rsidRPr="006C02AF">
              <w:rPr>
                <w:b/>
                <w:bCs/>
              </w:rPr>
              <w:t>Original: anglais</w:t>
            </w:r>
          </w:p>
        </w:tc>
      </w:tr>
      <w:tr w:rsidR="00BF433C" w:rsidRPr="006C02AF" w14:paraId="176A2FDC" w14:textId="77777777">
        <w:trPr>
          <w:cantSplit/>
        </w:trPr>
        <w:tc>
          <w:tcPr>
            <w:tcW w:w="10173" w:type="dxa"/>
            <w:gridSpan w:val="2"/>
          </w:tcPr>
          <w:p w14:paraId="4DD6A510" w14:textId="77777777" w:rsidR="00BF433C" w:rsidRPr="006C02AF" w:rsidRDefault="00BF433C" w:rsidP="00E32CD7">
            <w:pPr>
              <w:pStyle w:val="Title1"/>
              <w:spacing w:before="720"/>
              <w:rPr>
                <w:rFonts w:asciiTheme="minorHAnsi" w:hAnsiTheme="minorHAnsi"/>
              </w:rPr>
            </w:pPr>
            <w:bookmarkStart w:id="6" w:name="dsource" w:colFirst="0" w:colLast="0"/>
            <w:bookmarkEnd w:id="5"/>
            <w:r w:rsidRPr="006C02AF">
              <w:rPr>
                <w:rFonts w:asciiTheme="minorHAnsi" w:hAnsiTheme="minorHAnsi"/>
              </w:rPr>
              <w:t>COMPTE RENDU</w:t>
            </w:r>
          </w:p>
          <w:p w14:paraId="3E874662" w14:textId="77777777" w:rsidR="00BF433C" w:rsidRPr="006C02AF" w:rsidRDefault="00BF433C" w:rsidP="00E32CD7">
            <w:pPr>
              <w:pStyle w:val="Title1"/>
              <w:rPr>
                <w:rFonts w:asciiTheme="minorHAnsi" w:hAnsiTheme="minorHAnsi"/>
              </w:rPr>
            </w:pPr>
            <w:r w:rsidRPr="006C02AF">
              <w:rPr>
                <w:rFonts w:asciiTheme="minorHAnsi" w:hAnsiTheme="minorHAnsi"/>
              </w:rPr>
              <w:t>de la</w:t>
            </w:r>
          </w:p>
          <w:p w14:paraId="71710217" w14:textId="2DFCBDBD" w:rsidR="00BF433C" w:rsidRPr="006C02AF" w:rsidRDefault="00BF433C" w:rsidP="00E32CD7">
            <w:pPr>
              <w:pStyle w:val="Source"/>
              <w:spacing w:before="240"/>
              <w:rPr>
                <w:b w:val="0"/>
                <w:bCs/>
              </w:rPr>
            </w:pPr>
            <w:r w:rsidRPr="006C02AF">
              <w:rPr>
                <w:b w:val="0"/>
                <w:bCs/>
              </w:rPr>
              <w:t>SESSION EXTRAORDINAIRE DU CONSEIL</w:t>
            </w:r>
          </w:p>
        </w:tc>
      </w:tr>
      <w:tr w:rsidR="00BF433C" w:rsidRPr="006C02AF" w14:paraId="18E52F37" w14:textId="77777777">
        <w:trPr>
          <w:cantSplit/>
        </w:trPr>
        <w:tc>
          <w:tcPr>
            <w:tcW w:w="10173" w:type="dxa"/>
            <w:gridSpan w:val="2"/>
          </w:tcPr>
          <w:p w14:paraId="5FBAB601" w14:textId="29E915F3" w:rsidR="00BF433C" w:rsidRPr="006C02AF" w:rsidRDefault="00BF433C" w:rsidP="00E32CD7">
            <w:pPr>
              <w:pStyle w:val="Title1"/>
            </w:pPr>
            <w:bookmarkStart w:id="7" w:name="dtitle1" w:colFirst="0" w:colLast="0"/>
            <w:bookmarkEnd w:id="6"/>
            <w:r w:rsidRPr="006C02AF">
              <w:rPr>
                <w:rFonts w:asciiTheme="minorHAnsi" w:hAnsiTheme="minorHAnsi"/>
                <w:caps w:val="0"/>
                <w:sz w:val="24"/>
                <w:szCs w:val="24"/>
              </w:rPr>
              <w:t>Vendredi 14 octobre 2022</w:t>
            </w:r>
            <w:r w:rsidRPr="006C02AF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6C02AF">
              <w:rPr>
                <w:rFonts w:asciiTheme="minorHAnsi" w:hAnsiTheme="minorHAnsi"/>
                <w:caps w:val="0"/>
                <w:sz w:val="24"/>
                <w:szCs w:val="24"/>
              </w:rPr>
              <w:t>de 9 h 35 à 13 h 55</w:t>
            </w:r>
          </w:p>
        </w:tc>
      </w:tr>
      <w:tr w:rsidR="00BF433C" w:rsidRPr="006C02AF" w14:paraId="36B5E8CD" w14:textId="77777777">
        <w:trPr>
          <w:cantSplit/>
        </w:trPr>
        <w:tc>
          <w:tcPr>
            <w:tcW w:w="10173" w:type="dxa"/>
            <w:gridSpan w:val="2"/>
          </w:tcPr>
          <w:p w14:paraId="44BA35FC" w14:textId="610F6EFC" w:rsidR="00BF433C" w:rsidRPr="006C02AF" w:rsidRDefault="00BF433C" w:rsidP="00E32CD7">
            <w:pPr>
              <w:pStyle w:val="Title1"/>
            </w:pPr>
            <w:r w:rsidRPr="006C02AF">
              <w:rPr>
                <w:rFonts w:asciiTheme="minorHAnsi" w:hAnsiTheme="minorHAnsi"/>
                <w:b/>
                <w:caps w:val="0"/>
                <w:sz w:val="24"/>
                <w:szCs w:val="24"/>
              </w:rPr>
              <w:t>Président:</w:t>
            </w:r>
            <w:r w:rsidR="008C0CC7" w:rsidRPr="006C02AF">
              <w:rPr>
                <w:rFonts w:asciiTheme="minorHAnsi" w:hAnsiTheme="minorHAnsi"/>
                <w:caps w:val="0"/>
                <w:sz w:val="24"/>
                <w:szCs w:val="24"/>
              </w:rPr>
              <w:t xml:space="preserve"> </w:t>
            </w:r>
            <w:r w:rsidRPr="006C02AF">
              <w:rPr>
                <w:rFonts w:asciiTheme="minorHAnsi" w:hAnsiTheme="minorHAnsi"/>
                <w:caps w:val="0"/>
                <w:sz w:val="24"/>
                <w:szCs w:val="24"/>
              </w:rPr>
              <w:t>M. C. MARTINEZ (Paraguay)</w:t>
            </w:r>
          </w:p>
        </w:tc>
      </w:tr>
      <w:bookmarkEnd w:id="7"/>
    </w:tbl>
    <w:p w14:paraId="2B510535" w14:textId="3A936706" w:rsidR="00520F36" w:rsidRPr="006C02AF" w:rsidRDefault="00520F36" w:rsidP="00E32CD7"/>
    <w:tbl>
      <w:tblPr>
        <w:tblW w:w="5233" w:type="pct"/>
        <w:tblLook w:val="0000" w:firstRow="0" w:lastRow="0" w:firstColumn="0" w:lastColumn="0" w:noHBand="0" w:noVBand="0"/>
      </w:tblPr>
      <w:tblGrid>
        <w:gridCol w:w="521"/>
        <w:gridCol w:w="6795"/>
        <w:gridCol w:w="2772"/>
      </w:tblGrid>
      <w:tr w:rsidR="005539C2" w:rsidRPr="006C02AF" w14:paraId="3AC38470" w14:textId="77777777" w:rsidTr="004400C9">
        <w:tc>
          <w:tcPr>
            <w:tcW w:w="258" w:type="pct"/>
          </w:tcPr>
          <w:p w14:paraId="56C5B387" w14:textId="77777777" w:rsidR="005539C2" w:rsidRPr="006C02AF" w:rsidRDefault="005539C2" w:rsidP="00E32CD7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3368" w:type="pct"/>
          </w:tcPr>
          <w:p w14:paraId="79851450" w14:textId="77777777" w:rsidR="005539C2" w:rsidRPr="006C02AF" w:rsidRDefault="005539C2" w:rsidP="00E32CD7">
            <w:pPr>
              <w:pStyle w:val="Tablehead"/>
              <w:jc w:val="lef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Sujets traités</w:t>
            </w:r>
          </w:p>
        </w:tc>
        <w:tc>
          <w:tcPr>
            <w:tcW w:w="1374" w:type="pct"/>
          </w:tcPr>
          <w:p w14:paraId="01692BD7" w14:textId="77777777" w:rsidR="005539C2" w:rsidRPr="006C02AF" w:rsidRDefault="005539C2" w:rsidP="00E32CD7">
            <w:pPr>
              <w:pStyle w:val="Tablehead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Documents</w:t>
            </w:r>
          </w:p>
        </w:tc>
      </w:tr>
      <w:tr w:rsidR="005539C2" w:rsidRPr="006C02AF" w14:paraId="246AB25C" w14:textId="77777777" w:rsidTr="004400C9">
        <w:tc>
          <w:tcPr>
            <w:tcW w:w="258" w:type="pct"/>
          </w:tcPr>
          <w:p w14:paraId="79BC9267" w14:textId="77777777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1</w:t>
            </w:r>
          </w:p>
        </w:tc>
        <w:tc>
          <w:tcPr>
            <w:tcW w:w="3368" w:type="pct"/>
          </w:tcPr>
          <w:p w14:paraId="52497D4A" w14:textId="74E38B3A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 xml:space="preserve">Ouverture de la session </w:t>
            </w:r>
            <w:r w:rsidR="00F10EF3" w:rsidRPr="006C02AF">
              <w:rPr>
                <w:sz w:val="24"/>
                <w:szCs w:val="24"/>
              </w:rPr>
              <w:t>et allocution du Secrétaire général</w:t>
            </w:r>
          </w:p>
        </w:tc>
        <w:tc>
          <w:tcPr>
            <w:tcW w:w="1374" w:type="pct"/>
          </w:tcPr>
          <w:p w14:paraId="68587418" w14:textId="77777777" w:rsidR="005539C2" w:rsidRPr="006C02AF" w:rsidRDefault="005539C2" w:rsidP="00E32CD7">
            <w:pPr>
              <w:pStyle w:val="Tabletext"/>
              <w:jc w:val="center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–</w:t>
            </w:r>
          </w:p>
        </w:tc>
      </w:tr>
      <w:tr w:rsidR="005539C2" w:rsidRPr="006C02AF" w14:paraId="462A6552" w14:textId="77777777" w:rsidTr="004400C9">
        <w:tc>
          <w:tcPr>
            <w:tcW w:w="258" w:type="pct"/>
          </w:tcPr>
          <w:p w14:paraId="54113BC8" w14:textId="637DE602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2</w:t>
            </w:r>
          </w:p>
        </w:tc>
        <w:tc>
          <w:tcPr>
            <w:tcW w:w="3368" w:type="pct"/>
          </w:tcPr>
          <w:p w14:paraId="342F3FA0" w14:textId="1A52E37F" w:rsidR="005539C2" w:rsidRPr="006C02AF" w:rsidRDefault="00EB3778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Remise d</w:t>
            </w:r>
            <w:r w:rsidR="00E32CD7" w:rsidRPr="006C02AF">
              <w:rPr>
                <w:sz w:val="24"/>
                <w:szCs w:val="24"/>
              </w:rPr>
              <w:t>'</w:t>
            </w:r>
            <w:r w:rsidRPr="006C02AF">
              <w:rPr>
                <w:sz w:val="24"/>
                <w:szCs w:val="24"/>
              </w:rPr>
              <w:t>un certificat à la Présidente</w:t>
            </w:r>
            <w:r w:rsidR="008C0CC7" w:rsidRPr="006C02AF">
              <w:rPr>
                <w:sz w:val="24"/>
                <w:szCs w:val="24"/>
              </w:rPr>
              <w:t xml:space="preserve"> </w:t>
            </w:r>
            <w:r w:rsidR="00D5383B" w:rsidRPr="006C02AF">
              <w:rPr>
                <w:sz w:val="24"/>
                <w:szCs w:val="24"/>
              </w:rPr>
              <w:t xml:space="preserve">sortante </w:t>
            </w:r>
            <w:r w:rsidR="00710F82" w:rsidRPr="006C02AF">
              <w:rPr>
                <w:sz w:val="24"/>
                <w:szCs w:val="24"/>
              </w:rPr>
              <w:t>de la Commission permanente de l</w:t>
            </w:r>
            <w:r w:rsidR="00E32CD7" w:rsidRPr="006C02AF">
              <w:rPr>
                <w:sz w:val="24"/>
                <w:szCs w:val="24"/>
              </w:rPr>
              <w:t>'</w:t>
            </w:r>
            <w:r w:rsidR="00710F82" w:rsidRPr="006C02AF">
              <w:rPr>
                <w:sz w:val="24"/>
                <w:szCs w:val="24"/>
              </w:rPr>
              <w:t>administration et de</w:t>
            </w:r>
            <w:r w:rsidR="008C0CC7" w:rsidRPr="006C02AF">
              <w:rPr>
                <w:sz w:val="24"/>
                <w:szCs w:val="24"/>
              </w:rPr>
              <w:t xml:space="preserve"> </w:t>
            </w:r>
            <w:r w:rsidR="00710F82" w:rsidRPr="006C02AF">
              <w:rPr>
                <w:sz w:val="24"/>
                <w:szCs w:val="24"/>
              </w:rPr>
              <w:t>la gestion</w:t>
            </w:r>
          </w:p>
        </w:tc>
        <w:tc>
          <w:tcPr>
            <w:tcW w:w="1374" w:type="pct"/>
          </w:tcPr>
          <w:p w14:paraId="13A89A0B" w14:textId="43F70FA3" w:rsidR="005539C2" w:rsidRPr="006C02AF" w:rsidRDefault="005539C2" w:rsidP="00E32CD7">
            <w:pPr>
              <w:pStyle w:val="Tabletext"/>
              <w:jc w:val="center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–</w:t>
            </w:r>
          </w:p>
        </w:tc>
      </w:tr>
      <w:tr w:rsidR="005539C2" w:rsidRPr="006C02AF" w14:paraId="5A64E057" w14:textId="77777777" w:rsidTr="004400C9">
        <w:tc>
          <w:tcPr>
            <w:tcW w:w="258" w:type="pct"/>
          </w:tcPr>
          <w:p w14:paraId="2C492DA5" w14:textId="38F41432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3</w:t>
            </w:r>
          </w:p>
        </w:tc>
        <w:tc>
          <w:tcPr>
            <w:tcW w:w="3368" w:type="pct"/>
          </w:tcPr>
          <w:p w14:paraId="0E68CB97" w14:textId="79A91869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Élection du Président et du Vice-Président de la session extraordinaire et de la session de 2023 du Conseil</w:t>
            </w:r>
          </w:p>
        </w:tc>
        <w:tc>
          <w:tcPr>
            <w:tcW w:w="1374" w:type="pct"/>
          </w:tcPr>
          <w:p w14:paraId="65571F9E" w14:textId="77777777" w:rsidR="005539C2" w:rsidRPr="006C02AF" w:rsidRDefault="005539C2" w:rsidP="00E32CD7">
            <w:pPr>
              <w:pStyle w:val="Tabletext"/>
              <w:jc w:val="center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–</w:t>
            </w:r>
          </w:p>
        </w:tc>
      </w:tr>
      <w:tr w:rsidR="005539C2" w:rsidRPr="006C02AF" w14:paraId="17533B26" w14:textId="77777777" w:rsidTr="004400C9">
        <w:tc>
          <w:tcPr>
            <w:tcW w:w="258" w:type="pct"/>
          </w:tcPr>
          <w:p w14:paraId="717D14E0" w14:textId="4C75B4AC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4</w:t>
            </w:r>
          </w:p>
        </w:tc>
        <w:tc>
          <w:tcPr>
            <w:tcW w:w="3368" w:type="pct"/>
          </w:tcPr>
          <w:p w14:paraId="6696C5C4" w14:textId="77777777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Allocution du Président</w:t>
            </w:r>
          </w:p>
        </w:tc>
        <w:tc>
          <w:tcPr>
            <w:tcW w:w="1374" w:type="pct"/>
          </w:tcPr>
          <w:p w14:paraId="412DDBBA" w14:textId="77777777" w:rsidR="005539C2" w:rsidRPr="006C02AF" w:rsidRDefault="005539C2" w:rsidP="00E32CD7">
            <w:pPr>
              <w:pStyle w:val="Tabletext"/>
              <w:jc w:val="center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–</w:t>
            </w:r>
          </w:p>
        </w:tc>
      </w:tr>
      <w:tr w:rsidR="005539C2" w:rsidRPr="006C02AF" w14:paraId="31DFC32F" w14:textId="77777777" w:rsidTr="004400C9">
        <w:tc>
          <w:tcPr>
            <w:tcW w:w="258" w:type="pct"/>
          </w:tcPr>
          <w:p w14:paraId="6F10ECB4" w14:textId="6E9FD0C7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5</w:t>
            </w:r>
          </w:p>
        </w:tc>
        <w:tc>
          <w:tcPr>
            <w:tcW w:w="3368" w:type="pct"/>
          </w:tcPr>
          <w:p w14:paraId="7755B5AA" w14:textId="4EF6B28D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Élection du Président et des Vice</w:t>
            </w:r>
            <w:r w:rsidRPr="006C02AF">
              <w:rPr>
                <w:sz w:val="24"/>
                <w:szCs w:val="24"/>
              </w:rPr>
              <w:noBreakHyphen/>
              <w:t>Présidents de la Commission permanente de l'administration et de la gestion</w:t>
            </w:r>
          </w:p>
        </w:tc>
        <w:tc>
          <w:tcPr>
            <w:tcW w:w="1374" w:type="pct"/>
          </w:tcPr>
          <w:p w14:paraId="2E2739C3" w14:textId="77777777" w:rsidR="005539C2" w:rsidRPr="006C02AF" w:rsidRDefault="005539C2" w:rsidP="00E32CD7">
            <w:pPr>
              <w:pStyle w:val="Tabletext"/>
              <w:jc w:val="center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–</w:t>
            </w:r>
          </w:p>
        </w:tc>
      </w:tr>
      <w:tr w:rsidR="005539C2" w:rsidRPr="006C02AF" w14:paraId="5BB319DF" w14:textId="77777777" w:rsidTr="004400C9">
        <w:tc>
          <w:tcPr>
            <w:tcW w:w="258" w:type="pct"/>
          </w:tcPr>
          <w:p w14:paraId="4606A799" w14:textId="04195AC8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6</w:t>
            </w:r>
          </w:p>
        </w:tc>
        <w:tc>
          <w:tcPr>
            <w:tcW w:w="3368" w:type="pct"/>
          </w:tcPr>
          <w:p w14:paraId="08586CCE" w14:textId="7CB414CB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Déficit prévisible dans l'exécution du budget 2022</w:t>
            </w:r>
          </w:p>
        </w:tc>
        <w:tc>
          <w:tcPr>
            <w:tcW w:w="1374" w:type="pct"/>
          </w:tcPr>
          <w:p w14:paraId="4352D49B" w14:textId="7968D9F7" w:rsidR="005539C2" w:rsidRPr="006C02AF" w:rsidRDefault="00996539" w:rsidP="00E32CD7">
            <w:pPr>
              <w:pStyle w:val="Tabletext"/>
              <w:jc w:val="center"/>
              <w:rPr>
                <w:rStyle w:val="Hyperlink"/>
                <w:sz w:val="24"/>
                <w:szCs w:val="24"/>
              </w:rPr>
            </w:pPr>
            <w:hyperlink r:id="rId7" w:history="1">
              <w:r w:rsidR="005539C2" w:rsidRPr="006C02AF">
                <w:rPr>
                  <w:rStyle w:val="Hyperlink"/>
                  <w:sz w:val="24"/>
                  <w:szCs w:val="24"/>
                </w:rPr>
                <w:t>C23/EXT/4</w:t>
              </w:r>
            </w:hyperlink>
          </w:p>
        </w:tc>
      </w:tr>
      <w:tr w:rsidR="005539C2" w:rsidRPr="006C02AF" w14:paraId="706DBB7B" w14:textId="77777777" w:rsidTr="004400C9">
        <w:tc>
          <w:tcPr>
            <w:tcW w:w="258" w:type="pct"/>
          </w:tcPr>
          <w:p w14:paraId="704FB7A4" w14:textId="6ED99E99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7</w:t>
            </w:r>
          </w:p>
        </w:tc>
        <w:tc>
          <w:tcPr>
            <w:tcW w:w="3368" w:type="pct"/>
          </w:tcPr>
          <w:p w14:paraId="3D44F90D" w14:textId="7F8CA1DE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Décisions de la Conférence de plénipotentiaires appelant des mesures de la part du Conseil à sa session extraordinaire</w:t>
            </w:r>
          </w:p>
        </w:tc>
        <w:tc>
          <w:tcPr>
            <w:tcW w:w="1374" w:type="pct"/>
          </w:tcPr>
          <w:p w14:paraId="1A1345E9" w14:textId="087DDB5E" w:rsidR="005539C2" w:rsidRPr="006C02AF" w:rsidRDefault="00996539" w:rsidP="00E32CD7">
            <w:pPr>
              <w:pStyle w:val="Tabletext"/>
              <w:jc w:val="center"/>
              <w:rPr>
                <w:rStyle w:val="Hyperlink"/>
                <w:sz w:val="24"/>
                <w:szCs w:val="24"/>
              </w:rPr>
            </w:pPr>
            <w:hyperlink r:id="rId8" w:history="1">
              <w:r w:rsidR="005539C2" w:rsidRPr="006C02AF">
                <w:rPr>
                  <w:rStyle w:val="Hyperlink"/>
                  <w:sz w:val="24"/>
                  <w:szCs w:val="24"/>
                </w:rPr>
                <w:t>C23/EXT/3</w:t>
              </w:r>
            </w:hyperlink>
          </w:p>
        </w:tc>
      </w:tr>
      <w:tr w:rsidR="005539C2" w:rsidRPr="006C02AF" w14:paraId="1064990A" w14:textId="77777777" w:rsidTr="004400C9">
        <w:tc>
          <w:tcPr>
            <w:tcW w:w="258" w:type="pct"/>
          </w:tcPr>
          <w:p w14:paraId="591BDD3A" w14:textId="781FBD1F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8</w:t>
            </w:r>
          </w:p>
        </w:tc>
        <w:tc>
          <w:tcPr>
            <w:tcW w:w="3368" w:type="pct"/>
          </w:tcPr>
          <w:p w14:paraId="1D02D88F" w14:textId="2D9C664D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Création d'un groupe d'experts du conseil chargé de réviser le barème des droits de traitement – Décision 482</w:t>
            </w:r>
          </w:p>
        </w:tc>
        <w:tc>
          <w:tcPr>
            <w:tcW w:w="1374" w:type="pct"/>
          </w:tcPr>
          <w:p w14:paraId="113A9B4D" w14:textId="5F556CEE" w:rsidR="005539C2" w:rsidRPr="006C02AF" w:rsidRDefault="00996539" w:rsidP="00E32CD7">
            <w:pPr>
              <w:pStyle w:val="Tabletext"/>
              <w:jc w:val="center"/>
              <w:rPr>
                <w:rStyle w:val="Hyperlink"/>
                <w:sz w:val="24"/>
                <w:szCs w:val="24"/>
              </w:rPr>
            </w:pPr>
            <w:hyperlink r:id="rId9" w:history="1">
              <w:r w:rsidR="005539C2" w:rsidRPr="006C02AF">
                <w:rPr>
                  <w:rStyle w:val="Hyperlink"/>
                  <w:sz w:val="24"/>
                  <w:szCs w:val="24"/>
                </w:rPr>
                <w:t>C23/EXT/5</w:t>
              </w:r>
            </w:hyperlink>
          </w:p>
        </w:tc>
      </w:tr>
      <w:tr w:rsidR="005539C2" w:rsidRPr="006C02AF" w14:paraId="26F18271" w14:textId="77777777" w:rsidTr="004400C9">
        <w:tc>
          <w:tcPr>
            <w:tcW w:w="258" w:type="pct"/>
          </w:tcPr>
          <w:p w14:paraId="605D7372" w14:textId="74A75774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9</w:t>
            </w:r>
          </w:p>
        </w:tc>
        <w:tc>
          <w:tcPr>
            <w:tcW w:w="3368" w:type="pct"/>
          </w:tcPr>
          <w:p w14:paraId="7C22C1A4" w14:textId="6C32503E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Désignation des représentants des États Membres du Conseil au Comité des pensions du personnel de l'UIT</w:t>
            </w:r>
          </w:p>
        </w:tc>
        <w:tc>
          <w:tcPr>
            <w:tcW w:w="1374" w:type="pct"/>
          </w:tcPr>
          <w:p w14:paraId="5C6B99A0" w14:textId="6B40C0BF" w:rsidR="005539C2" w:rsidRPr="006C02AF" w:rsidRDefault="00996539" w:rsidP="00E32CD7">
            <w:pPr>
              <w:pStyle w:val="Tabletext"/>
              <w:jc w:val="center"/>
              <w:rPr>
                <w:rStyle w:val="Hyperlink"/>
                <w:sz w:val="24"/>
                <w:szCs w:val="24"/>
              </w:rPr>
            </w:pPr>
            <w:hyperlink r:id="rId10" w:history="1">
              <w:r w:rsidR="005539C2" w:rsidRPr="006C02AF">
                <w:rPr>
                  <w:rStyle w:val="Hyperlink"/>
                  <w:sz w:val="24"/>
                  <w:szCs w:val="24"/>
                </w:rPr>
                <w:t>C23/EXT/2</w:t>
              </w:r>
            </w:hyperlink>
          </w:p>
        </w:tc>
      </w:tr>
      <w:tr w:rsidR="005539C2" w:rsidRPr="006C02AF" w14:paraId="1AA6F9EF" w14:textId="77777777" w:rsidTr="004400C9">
        <w:tc>
          <w:tcPr>
            <w:tcW w:w="258" w:type="pct"/>
          </w:tcPr>
          <w:p w14:paraId="3CBE5498" w14:textId="3653D89D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10</w:t>
            </w:r>
          </w:p>
        </w:tc>
        <w:tc>
          <w:tcPr>
            <w:tcW w:w="3368" w:type="pct"/>
          </w:tcPr>
          <w:p w14:paraId="6CC02F3F" w14:textId="77777777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Désignation des Présidents et des Vice-Présidents des groupes de travail du Conseil et des groupes d'experts</w:t>
            </w:r>
          </w:p>
        </w:tc>
        <w:tc>
          <w:tcPr>
            <w:tcW w:w="1374" w:type="pct"/>
          </w:tcPr>
          <w:p w14:paraId="23E17089" w14:textId="77777777" w:rsidR="005539C2" w:rsidRPr="006C02AF" w:rsidRDefault="005539C2" w:rsidP="00E32CD7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r w:rsidRPr="006C02AF">
              <w:rPr>
                <w:sz w:val="24"/>
                <w:szCs w:val="24"/>
              </w:rPr>
              <w:t>–</w:t>
            </w:r>
          </w:p>
        </w:tc>
      </w:tr>
      <w:tr w:rsidR="005539C2" w:rsidRPr="006C02AF" w14:paraId="188BAF4B" w14:textId="77777777" w:rsidTr="004400C9">
        <w:tc>
          <w:tcPr>
            <w:tcW w:w="258" w:type="pct"/>
          </w:tcPr>
          <w:p w14:paraId="70C33BFD" w14:textId="13779437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11</w:t>
            </w:r>
          </w:p>
        </w:tc>
        <w:tc>
          <w:tcPr>
            <w:tcW w:w="3368" w:type="pct"/>
          </w:tcPr>
          <w:p w14:paraId="0CE14FAD" w14:textId="77777777" w:rsidR="005539C2" w:rsidRPr="006C02AF" w:rsidRDefault="005539C2" w:rsidP="00E32CD7">
            <w:pPr>
              <w:pStyle w:val="Tabletext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Clôture</w:t>
            </w:r>
          </w:p>
        </w:tc>
        <w:tc>
          <w:tcPr>
            <w:tcW w:w="1374" w:type="pct"/>
          </w:tcPr>
          <w:p w14:paraId="3ABA4F94" w14:textId="77777777" w:rsidR="005539C2" w:rsidRPr="006C02AF" w:rsidRDefault="005539C2" w:rsidP="00E32CD7">
            <w:pPr>
              <w:pStyle w:val="Tabletext"/>
              <w:jc w:val="center"/>
              <w:rPr>
                <w:sz w:val="24"/>
                <w:szCs w:val="24"/>
              </w:rPr>
            </w:pPr>
            <w:r w:rsidRPr="006C02AF">
              <w:rPr>
                <w:sz w:val="24"/>
                <w:szCs w:val="24"/>
              </w:rPr>
              <w:t>–</w:t>
            </w:r>
          </w:p>
        </w:tc>
      </w:tr>
    </w:tbl>
    <w:p w14:paraId="0A6ABDE5" w14:textId="296DB191" w:rsidR="005539C2" w:rsidRPr="006C02AF" w:rsidRDefault="005539C2" w:rsidP="00E32CD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6C02AF">
        <w:br w:type="page"/>
      </w:r>
    </w:p>
    <w:p w14:paraId="2F7961C3" w14:textId="265FAC4A" w:rsidR="006D5C47" w:rsidRPr="006C02AF" w:rsidRDefault="006D5C47" w:rsidP="00E32CD7">
      <w:pPr>
        <w:pStyle w:val="Heading1"/>
      </w:pPr>
      <w:bookmarkStart w:id="8" w:name="_Toc407020587"/>
      <w:r w:rsidRPr="006C02AF">
        <w:lastRenderedPageBreak/>
        <w:t>1</w:t>
      </w:r>
      <w:r w:rsidRPr="006C02AF">
        <w:tab/>
        <w:t xml:space="preserve">Ouverture de la session </w:t>
      </w:r>
      <w:bookmarkEnd w:id="8"/>
      <w:r w:rsidR="00B672A9" w:rsidRPr="006C02AF">
        <w:t>et allocution du Secrétaire général</w:t>
      </w:r>
    </w:p>
    <w:p w14:paraId="5EA83753" w14:textId="3F614A8E" w:rsidR="006D5C47" w:rsidRPr="006C02AF" w:rsidRDefault="006D5C47" w:rsidP="00E32CD7">
      <w:r w:rsidRPr="006C02AF">
        <w:t>1.1</w:t>
      </w:r>
      <w:r w:rsidRPr="006C02AF">
        <w:tab/>
        <w:t>Le Secrétaire général souhaite la bienvenue aux participants et déclare ouverte la session extraordinaire du Conseil.</w:t>
      </w:r>
      <w:r w:rsidR="00CD5D24" w:rsidRPr="006C02AF">
        <w:t xml:space="preserve"> Le texte de son allocution est disponible à l</w:t>
      </w:r>
      <w:r w:rsidR="00E32CD7" w:rsidRPr="006C02AF">
        <w:t>'</w:t>
      </w:r>
      <w:r w:rsidR="00CD5D24" w:rsidRPr="006C02AF">
        <w:t xml:space="preserve">adresse suivante: </w:t>
      </w:r>
      <w:hyperlink r:id="rId11" w:history="1">
        <w:r w:rsidR="00557A38" w:rsidRPr="006C02AF">
          <w:rPr>
            <w:rStyle w:val="Hyperlink"/>
          </w:rPr>
          <w:t>https://www.itu.int/en/council/2023/Documents/SG_Opening_Remarks_C23_Ext.docx</w:t>
        </w:r>
      </w:hyperlink>
      <w:r w:rsidR="00557A38" w:rsidRPr="006C02AF">
        <w:t>.</w:t>
      </w:r>
    </w:p>
    <w:p w14:paraId="3C86BBD9" w14:textId="74EAE691" w:rsidR="006D5C47" w:rsidRPr="006C02AF" w:rsidRDefault="006D5C47" w:rsidP="00E32CD7">
      <w:pPr>
        <w:pStyle w:val="Heading1"/>
      </w:pPr>
      <w:r w:rsidRPr="006C02AF">
        <w:t>2</w:t>
      </w:r>
      <w:r w:rsidRPr="006C02AF">
        <w:tab/>
      </w:r>
      <w:r w:rsidR="00EB3778" w:rsidRPr="006C02AF">
        <w:t>Remise d</w:t>
      </w:r>
      <w:r w:rsidR="00E32CD7" w:rsidRPr="006C02AF">
        <w:t>'</w:t>
      </w:r>
      <w:r w:rsidR="00EB3778" w:rsidRPr="006C02AF">
        <w:t>un certificat à la Présidente</w:t>
      </w:r>
      <w:r w:rsidR="008C0CC7" w:rsidRPr="006C02AF">
        <w:t xml:space="preserve"> </w:t>
      </w:r>
      <w:r w:rsidR="00D5383B" w:rsidRPr="006C02AF">
        <w:t xml:space="preserve">sortante </w:t>
      </w:r>
      <w:r w:rsidR="00710F82" w:rsidRPr="006C02AF">
        <w:t>de la Commission permanente de l</w:t>
      </w:r>
      <w:r w:rsidR="00E32CD7" w:rsidRPr="006C02AF">
        <w:t>'</w:t>
      </w:r>
      <w:r w:rsidR="00710F82" w:rsidRPr="006C02AF">
        <w:t>administration et de la gestion</w:t>
      </w:r>
    </w:p>
    <w:p w14:paraId="4FD657D3" w14:textId="1D54B90E" w:rsidR="006D5C47" w:rsidRPr="006C02AF" w:rsidRDefault="006D5C47" w:rsidP="00E32CD7">
      <w:r w:rsidRPr="006C02AF">
        <w:t>2.1</w:t>
      </w:r>
      <w:r w:rsidRPr="006C02AF">
        <w:tab/>
      </w:r>
      <w:r w:rsidR="00EB3778" w:rsidRPr="006C02AF">
        <w:t xml:space="preserve">Le Secrétaire général </w:t>
      </w:r>
      <w:r w:rsidR="00355C17" w:rsidRPr="006C02AF">
        <w:t>remet</w:t>
      </w:r>
      <w:r w:rsidR="00E54DD8" w:rsidRPr="006C02AF">
        <w:t xml:space="preserve"> un certificat de </w:t>
      </w:r>
      <w:r w:rsidR="00912E91" w:rsidRPr="006C02AF">
        <w:t>remerciement</w:t>
      </w:r>
      <w:r w:rsidR="00E54DD8" w:rsidRPr="006C02AF">
        <w:t xml:space="preserve"> à</w:t>
      </w:r>
      <w:r w:rsidRPr="006C02AF">
        <w:t xml:space="preserve"> </w:t>
      </w:r>
      <w:r w:rsidR="00EB3778" w:rsidRPr="006C02AF">
        <w:t>Mme</w:t>
      </w:r>
      <w:r w:rsidR="008C0CC7" w:rsidRPr="006C02AF">
        <w:t xml:space="preserve"> </w:t>
      </w:r>
      <w:r w:rsidRPr="006C02AF">
        <w:t>Stella Erebor,</w:t>
      </w:r>
      <w:r w:rsidR="008C0CC7" w:rsidRPr="006C02AF">
        <w:t xml:space="preserve"> </w:t>
      </w:r>
      <w:r w:rsidR="00710F82" w:rsidRPr="006C02AF">
        <w:t>Président</w:t>
      </w:r>
      <w:r w:rsidR="004A02E3" w:rsidRPr="006C02AF">
        <w:t>e sortante</w:t>
      </w:r>
      <w:r w:rsidR="00710F82" w:rsidRPr="006C02AF">
        <w:t xml:space="preserve"> de la Commission permanente de l</w:t>
      </w:r>
      <w:r w:rsidR="00E32CD7" w:rsidRPr="006C02AF">
        <w:t>'</w:t>
      </w:r>
      <w:r w:rsidR="00710F82" w:rsidRPr="006C02AF">
        <w:t>administration et de la gestion</w:t>
      </w:r>
      <w:r w:rsidRPr="006C02AF">
        <w:t>.</w:t>
      </w:r>
    </w:p>
    <w:p w14:paraId="765F61E9" w14:textId="1E8C546E" w:rsidR="006D5C47" w:rsidRPr="006C02AF" w:rsidRDefault="006D5C47" w:rsidP="00E32CD7">
      <w:pPr>
        <w:pStyle w:val="Heading1"/>
      </w:pPr>
      <w:bookmarkStart w:id="9" w:name="_Toc407020588"/>
      <w:r w:rsidRPr="006C02AF">
        <w:t>3</w:t>
      </w:r>
      <w:r w:rsidRPr="006C02AF">
        <w:tab/>
      </w:r>
      <w:bookmarkEnd w:id="9"/>
      <w:r w:rsidR="00691CD2" w:rsidRPr="006C02AF">
        <w:rPr>
          <w:rFonts w:asciiTheme="minorHAnsi" w:hAnsiTheme="minorHAnsi"/>
          <w:szCs w:val="24"/>
        </w:rPr>
        <w:t>Élection</w:t>
      </w:r>
      <w:r w:rsidRPr="006C02AF">
        <w:rPr>
          <w:rFonts w:asciiTheme="minorHAnsi" w:hAnsiTheme="minorHAnsi"/>
          <w:szCs w:val="24"/>
        </w:rPr>
        <w:t xml:space="preserve"> du Président et du Vice-Président de la session extraordinaire et de la session de 2023 du Conseil</w:t>
      </w:r>
    </w:p>
    <w:p w14:paraId="443C2407" w14:textId="48A2502D" w:rsidR="006D5C47" w:rsidRPr="006C02AF" w:rsidRDefault="006D5C47" w:rsidP="00E32CD7">
      <w:r w:rsidRPr="006C02AF">
        <w:t>3.1</w:t>
      </w:r>
      <w:r w:rsidRPr="006C02AF">
        <w:tab/>
        <w:t>Le Secrétaire général rappelle que le Vice-Président du Conseil assure traditionnellement la présidence l'année suivante et suggère que le Conseil élise M. C. Martinez (Paraguay) à la présidence de la session extraordinaire et de la session de 2023 du Conseil.</w:t>
      </w:r>
    </w:p>
    <w:p w14:paraId="523EE819" w14:textId="67C719A6" w:rsidR="006D5C47" w:rsidRPr="006C02AF" w:rsidRDefault="006D5C47" w:rsidP="00E32CD7">
      <w:r w:rsidRPr="006C02AF">
        <w:t>3.2</w:t>
      </w:r>
      <w:r w:rsidRPr="006C02AF">
        <w:tab/>
      </w:r>
      <w:r w:rsidRPr="006C02AF">
        <w:rPr>
          <w:b/>
          <w:bCs/>
        </w:rPr>
        <w:t>M. C. Martinez est élu par acclamation et prend la présidence</w:t>
      </w:r>
      <w:r w:rsidRPr="006C02AF">
        <w:t>.</w:t>
      </w:r>
    </w:p>
    <w:p w14:paraId="525AF2D4" w14:textId="7A804926" w:rsidR="006D5C47" w:rsidRPr="006C02AF" w:rsidRDefault="006D5C47" w:rsidP="00E32CD7">
      <w:r w:rsidRPr="006C02AF">
        <w:t>3.3</w:t>
      </w:r>
      <w:r w:rsidRPr="006C02AF">
        <w:tab/>
        <w:t>Le Secrétaire général indique que, conformément au principe de la rotation géographique, la vice-présidence de la session de 2023 du Conseil devrait être assurée par un pays de la Région B (Europe</w:t>
      </w:r>
      <w:r w:rsidR="00AA51A3" w:rsidRPr="006C02AF">
        <w:t xml:space="preserve"> occidentale</w:t>
      </w:r>
      <w:r w:rsidRPr="006C02AF">
        <w:t xml:space="preserve">). À la suite de consultations, le Secrétaire général propose que M. F. Sauvage (France) occupe le poste de </w:t>
      </w:r>
      <w:r w:rsidR="00D22C3A" w:rsidRPr="006C02AF">
        <w:t>V</w:t>
      </w:r>
      <w:r w:rsidRPr="006C02AF">
        <w:t>ice-</w:t>
      </w:r>
      <w:r w:rsidR="00D22C3A" w:rsidRPr="006C02AF">
        <w:t>P</w:t>
      </w:r>
      <w:r w:rsidRPr="006C02AF">
        <w:t>résident de la session de 2023 du Conseil.</w:t>
      </w:r>
    </w:p>
    <w:p w14:paraId="06229080" w14:textId="058D5D5D" w:rsidR="006D5C47" w:rsidRPr="006C02AF" w:rsidRDefault="006D5C47" w:rsidP="00E32CD7">
      <w:pPr>
        <w:rPr>
          <w:b/>
          <w:bCs/>
        </w:rPr>
      </w:pPr>
      <w:r w:rsidRPr="006C02AF">
        <w:t>3.4</w:t>
      </w:r>
      <w:r w:rsidRPr="006C02AF">
        <w:tab/>
      </w:r>
      <w:r w:rsidRPr="006C02AF">
        <w:rPr>
          <w:b/>
          <w:bCs/>
        </w:rPr>
        <w:t>M. F. Sauvage est élu par acclamation</w:t>
      </w:r>
      <w:r w:rsidRPr="006C02AF">
        <w:t>.</w:t>
      </w:r>
    </w:p>
    <w:p w14:paraId="770E3E09" w14:textId="4864BA98" w:rsidR="006D5C47" w:rsidRPr="006C02AF" w:rsidRDefault="006D5C47" w:rsidP="00E32CD7">
      <w:r w:rsidRPr="006C02AF">
        <w:t>3.5</w:t>
      </w:r>
      <w:r w:rsidRPr="006C02AF">
        <w:tab/>
        <w:t>De nombreux conseillers adressent leurs félicitations au Président et au Vice-Président pour leur élection</w:t>
      </w:r>
      <w:r w:rsidR="00473857" w:rsidRPr="006C02AF">
        <w:t xml:space="preserve"> et souhaitent la bienvenue aux nouveaux membres du Conseil</w:t>
      </w:r>
      <w:r w:rsidRPr="006C02AF">
        <w:t>.</w:t>
      </w:r>
    </w:p>
    <w:p w14:paraId="3C8ED613" w14:textId="77777777" w:rsidR="006D5C47" w:rsidRPr="006C02AF" w:rsidRDefault="006D5C47" w:rsidP="00E32CD7">
      <w:pPr>
        <w:pStyle w:val="Heading1"/>
      </w:pPr>
      <w:bookmarkStart w:id="10" w:name="_Toc407020590"/>
      <w:r w:rsidRPr="006C02AF">
        <w:t>4</w:t>
      </w:r>
      <w:r w:rsidRPr="006C02AF">
        <w:tab/>
        <w:t>Allocution du Président</w:t>
      </w:r>
      <w:bookmarkEnd w:id="10"/>
    </w:p>
    <w:p w14:paraId="6E029F7A" w14:textId="7AE84400" w:rsidR="006D5C47" w:rsidRPr="006C02AF" w:rsidRDefault="006D5C47" w:rsidP="00E32CD7">
      <w:r w:rsidRPr="006C02AF">
        <w:t>4.1</w:t>
      </w:r>
      <w:r w:rsidRPr="006C02AF">
        <w:tab/>
        <w:t>Le Président prononce une allocution, disponible à l'adresse suivante</w:t>
      </w:r>
      <w:r w:rsidR="00E32CD7" w:rsidRPr="006C02AF">
        <w:t>:</w:t>
      </w:r>
      <w:r w:rsidRPr="006C02AF">
        <w:t xml:space="preserve"> </w:t>
      </w:r>
      <w:hyperlink r:id="rId12" w:history="1">
        <w:r w:rsidR="00A83B30" w:rsidRPr="006C02AF">
          <w:rPr>
            <w:rStyle w:val="Hyperlink"/>
          </w:rPr>
          <w:t>https://www.itu.int/en/council/2023/Documents/Chair_Opening_speech_C23-Ext-e.docx</w:t>
        </w:r>
      </w:hyperlink>
      <w:r w:rsidR="00A83B30" w:rsidRPr="006C02AF">
        <w:rPr>
          <w:rFonts w:eastAsia="ヒラギノ角ゴ Pro W3"/>
        </w:rPr>
        <w:t>.</w:t>
      </w:r>
    </w:p>
    <w:p w14:paraId="75AD0A19" w14:textId="3F4EE44D" w:rsidR="006D5C47" w:rsidRPr="006C02AF" w:rsidRDefault="006D5C47" w:rsidP="00E32CD7">
      <w:pPr>
        <w:pStyle w:val="Heading1"/>
      </w:pPr>
      <w:bookmarkStart w:id="11" w:name="_Toc407020591"/>
      <w:r w:rsidRPr="006C02AF">
        <w:t>5</w:t>
      </w:r>
      <w:r w:rsidRPr="006C02AF">
        <w:tab/>
      </w:r>
      <w:bookmarkEnd w:id="11"/>
      <w:r w:rsidR="00691CD2" w:rsidRPr="006C02AF">
        <w:t>Élection</w:t>
      </w:r>
      <w:r w:rsidRPr="006C02AF">
        <w:t xml:space="preserve"> du Président et des Vice-Présidents de la Commission permanente de l'administration et de la gestion</w:t>
      </w:r>
    </w:p>
    <w:p w14:paraId="0A6947D0" w14:textId="1BE292BB" w:rsidR="006D5C47" w:rsidRPr="006C02AF" w:rsidRDefault="006D5C47" w:rsidP="00E32CD7">
      <w:r w:rsidRPr="006C02AF">
        <w:t>5.1</w:t>
      </w:r>
      <w:r w:rsidRPr="006C02AF">
        <w:tab/>
        <w:t xml:space="preserve">Le Secrétaire général rappelle que le Président et les deux Vice-Présidents de la Commission permanente de l'administration et de la gestion sont élus pour un mandat de deux ans, de façon à assurer une certaine continuité tout en respectant les principes de la rotation et de la représentation géographique. À la suite de consultations, le Secrétaire général propose que </w:t>
      </w:r>
      <w:r w:rsidRPr="006C02AF">
        <w:rPr>
          <w:rFonts w:eastAsia="ヒラギノ角ゴ Pro W3"/>
        </w:rPr>
        <w:t>M. D.</w:t>
      </w:r>
      <w:r w:rsidRPr="006C02AF">
        <w:rPr>
          <w:rFonts w:eastAsia="ヒラギノ角ゴ Pro W3"/>
        </w:rPr>
        <w:noBreakHyphen/>
        <w:t>O. von der Emden (Suisse)</w:t>
      </w:r>
      <w:r w:rsidRPr="006C02AF">
        <w:t xml:space="preserve"> soit élu Président, que Mme A. Sharrma (Inde) continue d'exercer la fonction de Vice-Présidente et que M. V. Vesely (République tchèque), de la Région C, soit élu Vice-Président.</w:t>
      </w:r>
    </w:p>
    <w:p w14:paraId="03F4AB3E" w14:textId="268324CD" w:rsidR="006D5C47" w:rsidRPr="006C02AF" w:rsidRDefault="006D5C47" w:rsidP="00E32CD7">
      <w:r w:rsidRPr="006C02AF">
        <w:t>5.2</w:t>
      </w:r>
      <w:r w:rsidRPr="006C02AF">
        <w:tab/>
        <w:t xml:space="preserve">Il en est ainsi </w:t>
      </w:r>
      <w:r w:rsidRPr="006C02AF">
        <w:rPr>
          <w:b/>
          <w:bCs/>
        </w:rPr>
        <w:t>décidé</w:t>
      </w:r>
      <w:r w:rsidRPr="006C02AF">
        <w:t>.</w:t>
      </w:r>
    </w:p>
    <w:p w14:paraId="5C5A113C" w14:textId="479A3B6A" w:rsidR="006D5C47" w:rsidRPr="006C02AF" w:rsidRDefault="006D5C47" w:rsidP="00E32CD7">
      <w:pPr>
        <w:pStyle w:val="Heading1"/>
      </w:pPr>
      <w:bookmarkStart w:id="12" w:name="_Toc407020592"/>
      <w:r w:rsidRPr="006C02AF">
        <w:lastRenderedPageBreak/>
        <w:t>6</w:t>
      </w:r>
      <w:r w:rsidRPr="006C02AF">
        <w:tab/>
      </w:r>
      <w:bookmarkEnd w:id="12"/>
      <w:r w:rsidRPr="006C02AF">
        <w:t xml:space="preserve">Déficit prévisible dans l'exécution du budget 2022 </w:t>
      </w:r>
      <w:r w:rsidR="00586C83" w:rsidRPr="006C02AF">
        <w:t>(Document </w:t>
      </w:r>
      <w:hyperlink r:id="rId13" w:history="1">
        <w:r w:rsidR="00586C83" w:rsidRPr="006C02AF">
          <w:rPr>
            <w:rStyle w:val="Hyperlink"/>
          </w:rPr>
          <w:t>C23-EXT/4</w:t>
        </w:r>
      </w:hyperlink>
      <w:r w:rsidR="00586C83" w:rsidRPr="006C02AF">
        <w:t>)</w:t>
      </w:r>
    </w:p>
    <w:p w14:paraId="18487DBF" w14:textId="6F326E26" w:rsidR="006D5C47" w:rsidRPr="006C02AF" w:rsidRDefault="006D5C47" w:rsidP="00E32CD7">
      <w:r w:rsidRPr="006C02AF">
        <w:t>6.1</w:t>
      </w:r>
      <w:r w:rsidRPr="006C02AF">
        <w:tab/>
      </w:r>
      <w:bookmarkStart w:id="13" w:name="lt_pId084"/>
      <w:r w:rsidR="00C6331B" w:rsidRPr="006C02AF">
        <w:t>Le Chef du Département de la gestion des ressources financières</w:t>
      </w:r>
      <w:r w:rsidRPr="006C02AF">
        <w:t xml:space="preserve"> (FRMD), </w:t>
      </w:r>
      <w:r w:rsidR="003B46BB" w:rsidRPr="006C02AF">
        <w:t xml:space="preserve">présentant le </w:t>
      </w:r>
      <w:r w:rsidR="003214E4" w:rsidRPr="006C02AF">
        <w:t>D</w:t>
      </w:r>
      <w:r w:rsidRPr="006C02AF">
        <w:t xml:space="preserve">ocument C23-EXT/4, </w:t>
      </w:r>
      <w:r w:rsidR="009668C8" w:rsidRPr="006C02AF">
        <w:t>dit que le déficit prévisible dans l'exécution du budget 2022</w:t>
      </w:r>
      <w:r w:rsidR="00EF7FF0" w:rsidRPr="006C02AF">
        <w:t>,</w:t>
      </w:r>
      <w:r w:rsidR="009668C8" w:rsidRPr="006C02AF">
        <w:t xml:space="preserve"> qui se chiffrerait à </w:t>
      </w:r>
      <w:r w:rsidRPr="006C02AF">
        <w:t>1</w:t>
      </w:r>
      <w:r w:rsidR="00D73F54" w:rsidRPr="006C02AF">
        <w:t>,</w:t>
      </w:r>
      <w:r w:rsidRPr="006C02AF">
        <w:t>4 million</w:t>
      </w:r>
      <w:r w:rsidR="00D73F54" w:rsidRPr="006C02AF">
        <w:t xml:space="preserve"> CHF</w:t>
      </w:r>
      <w:r w:rsidR="005F763B" w:rsidRPr="006C02AF">
        <w:t>,</w:t>
      </w:r>
      <w:r w:rsidRPr="006C02AF">
        <w:t xml:space="preserve"> </w:t>
      </w:r>
      <w:r w:rsidR="00AF1E23" w:rsidRPr="006C02AF">
        <w:t xml:space="preserve">est principalement dû à </w:t>
      </w:r>
      <w:r w:rsidR="00F7427B" w:rsidRPr="006C02AF">
        <w:t>un</w:t>
      </w:r>
      <w:r w:rsidRPr="006C02AF">
        <w:t xml:space="preserve"> </w:t>
      </w:r>
      <w:r w:rsidR="00F7427B" w:rsidRPr="006C02AF">
        <w:t>écart négatif des recettes par rapport aux</w:t>
      </w:r>
      <w:r w:rsidR="008C0CC7" w:rsidRPr="006C02AF">
        <w:t xml:space="preserve"> </w:t>
      </w:r>
      <w:r w:rsidR="00F7427B" w:rsidRPr="006C02AF">
        <w:t>attentes, lequel a été provoqué par</w:t>
      </w:r>
      <w:r w:rsidR="008C0CC7" w:rsidRPr="006C02AF">
        <w:t xml:space="preserve"> </w:t>
      </w:r>
      <w:r w:rsidR="00F7427B" w:rsidRPr="006C02AF">
        <w:t xml:space="preserve">une chute des </w:t>
      </w:r>
      <w:r w:rsidR="00801E9B" w:rsidRPr="006C02AF">
        <w:t xml:space="preserve">montants facturés au titre du recouvrement des coûts </w:t>
      </w:r>
      <w:r w:rsidRPr="006C02AF">
        <w:t>(</w:t>
      </w:r>
      <w:r w:rsidR="00501ECB" w:rsidRPr="006C02AF">
        <w:t>en raison de la pandémie de COVID-19,</w:t>
      </w:r>
      <w:r w:rsidR="00D4265D" w:rsidRPr="006C02AF">
        <w:t xml:space="preserve"> </w:t>
      </w:r>
      <w:r w:rsidR="00501ECB" w:rsidRPr="006C02AF">
        <w:t>organiser les</w:t>
      </w:r>
      <w:r w:rsidR="00F76257" w:rsidRPr="006C02AF">
        <w:t xml:space="preserve"> manifestations ITU Telecom</w:t>
      </w:r>
      <w:r w:rsidR="00D4265D" w:rsidRPr="006C02AF">
        <w:t xml:space="preserve"> a été impossible </w:t>
      </w:r>
      <w:r w:rsidR="00501ECB" w:rsidRPr="006C02AF">
        <w:t>et la d</w:t>
      </w:r>
      <w:r w:rsidRPr="006C02AF">
        <w:t>emand</w:t>
      </w:r>
      <w:r w:rsidR="00501ECB" w:rsidRPr="006C02AF">
        <w:t xml:space="preserve">e </w:t>
      </w:r>
      <w:r w:rsidR="0018279F" w:rsidRPr="006C02AF">
        <w:t>de notification des réseaux à satellite</w:t>
      </w:r>
      <w:r w:rsidR="00501ECB" w:rsidRPr="006C02AF">
        <w:t xml:space="preserve"> a baissé</w:t>
      </w:r>
      <w:r w:rsidRPr="006C02AF">
        <w:t>).</w:t>
      </w:r>
      <w:bookmarkEnd w:id="13"/>
      <w:r w:rsidRPr="006C02AF">
        <w:t xml:space="preserve"> </w:t>
      </w:r>
      <w:bookmarkStart w:id="14" w:name="lt_pId085"/>
      <w:r w:rsidR="00813A79" w:rsidRPr="006C02AF">
        <w:t>Dès qu</w:t>
      </w:r>
      <w:r w:rsidR="00E32CD7" w:rsidRPr="006C02AF">
        <w:t>'</w:t>
      </w:r>
      <w:r w:rsidR="00813A79" w:rsidRPr="006C02AF">
        <w:t>il a pris connaissance de la</w:t>
      </w:r>
      <w:r w:rsidRPr="006C02AF">
        <w:t xml:space="preserve"> situation, </w:t>
      </w:r>
      <w:r w:rsidR="00813A79" w:rsidRPr="006C02AF">
        <w:t>le secrétariat</w:t>
      </w:r>
      <w:r w:rsidRPr="006C02AF">
        <w:t xml:space="preserve"> </w:t>
      </w:r>
      <w:r w:rsidR="00E81948" w:rsidRPr="006C02AF">
        <w:t>a pris des mesures pour réduire les dépenses et a gelé</w:t>
      </w:r>
      <w:r w:rsidRPr="006C02AF">
        <w:t xml:space="preserve"> certain</w:t>
      </w:r>
      <w:r w:rsidR="00680133" w:rsidRPr="006C02AF">
        <w:t>es</w:t>
      </w:r>
      <w:r w:rsidRPr="006C02AF">
        <w:t xml:space="preserve"> missions</w:t>
      </w:r>
      <w:r w:rsidR="00680133" w:rsidRPr="006C02AF">
        <w:t xml:space="preserve"> et </w:t>
      </w:r>
      <w:r w:rsidRPr="006C02AF">
        <w:t>recrut</w:t>
      </w:r>
      <w:r w:rsidR="00680133" w:rsidRPr="006C02AF">
        <w:t>e</w:t>
      </w:r>
      <w:r w:rsidRPr="006C02AF">
        <w:t>ments.</w:t>
      </w:r>
      <w:bookmarkEnd w:id="14"/>
      <w:r w:rsidRPr="006C02AF">
        <w:t xml:space="preserve"> </w:t>
      </w:r>
      <w:bookmarkStart w:id="15" w:name="lt_pId086"/>
      <w:r w:rsidR="00680133" w:rsidRPr="006C02AF">
        <w:t>Ces mesures, qui ont d</w:t>
      </w:r>
      <w:r w:rsidR="00E32CD7" w:rsidRPr="006C02AF">
        <w:t>'</w:t>
      </w:r>
      <w:r w:rsidR="00680133" w:rsidRPr="006C02AF">
        <w:t>importantes répercussions sur les</w:t>
      </w:r>
      <w:r w:rsidR="00825CB2" w:rsidRPr="006C02AF">
        <w:t xml:space="preserve"> activités</w:t>
      </w:r>
      <w:r w:rsidR="00680133" w:rsidRPr="006C02AF">
        <w:t xml:space="preserve"> </w:t>
      </w:r>
      <w:r w:rsidR="00825CB2" w:rsidRPr="006C02AF">
        <w:t>de l</w:t>
      </w:r>
      <w:r w:rsidR="00E32CD7" w:rsidRPr="006C02AF">
        <w:t>'</w:t>
      </w:r>
      <w:r w:rsidRPr="006C02AF">
        <w:t>Union</w:t>
      </w:r>
      <w:r w:rsidR="00825CB2" w:rsidRPr="006C02AF">
        <w:t xml:space="preserve">, ont néanmoins permis de </w:t>
      </w:r>
      <w:r w:rsidR="00531462" w:rsidRPr="006C02AF">
        <w:t>ramener</w:t>
      </w:r>
      <w:r w:rsidR="00825CB2" w:rsidRPr="006C02AF">
        <w:t xml:space="preserve"> le </w:t>
      </w:r>
      <w:r w:rsidR="006207DC" w:rsidRPr="006C02AF">
        <w:t xml:space="preserve">montant du </w:t>
      </w:r>
      <w:r w:rsidR="00825CB2" w:rsidRPr="006C02AF">
        <w:t>déficit potentiel</w:t>
      </w:r>
      <w:r w:rsidR="006207DC" w:rsidRPr="006C02AF">
        <w:t>,</w:t>
      </w:r>
      <w:r w:rsidR="008C0CC7" w:rsidRPr="006C02AF">
        <w:t xml:space="preserve"> </w:t>
      </w:r>
      <w:r w:rsidR="006207DC" w:rsidRPr="006C02AF">
        <w:t xml:space="preserve">initialement </w:t>
      </w:r>
      <w:r w:rsidR="00531462" w:rsidRPr="006C02AF">
        <w:t xml:space="preserve">chiffré à </w:t>
      </w:r>
      <w:r w:rsidR="00825CB2" w:rsidRPr="006C02AF">
        <w:t>environ</w:t>
      </w:r>
      <w:r w:rsidR="006207DC" w:rsidRPr="006C02AF">
        <w:t xml:space="preserve"> </w:t>
      </w:r>
      <w:r w:rsidRPr="006C02AF">
        <w:t>7 million</w:t>
      </w:r>
      <w:r w:rsidR="00825CB2" w:rsidRPr="006C02AF">
        <w:t>s CHF</w:t>
      </w:r>
      <w:r w:rsidR="006207DC" w:rsidRPr="006C02AF">
        <w:t>,</w:t>
      </w:r>
      <w:r w:rsidRPr="006C02AF">
        <w:t xml:space="preserve"> </w:t>
      </w:r>
      <w:r w:rsidR="00DA1FCF" w:rsidRPr="006C02AF">
        <w:t>au montant</w:t>
      </w:r>
      <w:r w:rsidR="00531462" w:rsidRPr="006C02AF">
        <w:t xml:space="preserve"> actuelle</w:t>
      </w:r>
      <w:r w:rsidR="00DA1FCF" w:rsidRPr="006C02AF">
        <w:t>ment prévu</w:t>
      </w:r>
      <w:r w:rsidRPr="006C02AF">
        <w:t>.</w:t>
      </w:r>
      <w:bookmarkEnd w:id="15"/>
      <w:r w:rsidRPr="006C02AF">
        <w:t xml:space="preserve"> </w:t>
      </w:r>
      <w:bookmarkStart w:id="16" w:name="lt_pId087"/>
      <w:r w:rsidR="00531462" w:rsidRPr="006C02AF">
        <w:t>Le Conseil</w:t>
      </w:r>
      <w:r w:rsidR="008C0CC7" w:rsidRPr="006C02AF">
        <w:t xml:space="preserve"> </w:t>
      </w:r>
      <w:r w:rsidR="00DA1FCF" w:rsidRPr="006C02AF">
        <w:t>est prié d</w:t>
      </w:r>
      <w:r w:rsidR="00E32CD7" w:rsidRPr="006C02AF">
        <w:t>'</w:t>
      </w:r>
      <w:r w:rsidRPr="006C02AF">
        <w:t>adopt</w:t>
      </w:r>
      <w:r w:rsidR="00DA1FCF" w:rsidRPr="006C02AF">
        <w:t>er</w:t>
      </w:r>
      <w:r w:rsidRPr="006C02AF">
        <w:t xml:space="preserve"> </w:t>
      </w:r>
      <w:r w:rsidR="00DA1FCF" w:rsidRPr="006C02AF">
        <w:t xml:space="preserve">le projet de </w:t>
      </w:r>
      <w:r w:rsidRPr="006C02AF">
        <w:t>r</w:t>
      </w:r>
      <w:r w:rsidR="00CB3368" w:rsidRPr="006C02AF">
        <w:t>é</w:t>
      </w:r>
      <w:r w:rsidRPr="006C02AF">
        <w:t xml:space="preserve">solution </w:t>
      </w:r>
      <w:r w:rsidR="00CB3368" w:rsidRPr="006C02AF">
        <w:t>qui figure dans l</w:t>
      </w:r>
      <w:r w:rsidR="00E32CD7" w:rsidRPr="006C02AF">
        <w:t>'</w:t>
      </w:r>
      <w:r w:rsidRPr="006C02AF">
        <w:t>annex</w:t>
      </w:r>
      <w:r w:rsidR="00CB3368" w:rsidRPr="006C02AF">
        <w:t>e</w:t>
      </w:r>
      <w:r w:rsidRPr="006C02AF">
        <w:t xml:space="preserve"> </w:t>
      </w:r>
      <w:r w:rsidR="00CB3368" w:rsidRPr="006C02AF">
        <w:t>au</w:t>
      </w:r>
      <w:r w:rsidRPr="006C02AF">
        <w:t xml:space="preserve"> document, </w:t>
      </w:r>
      <w:r w:rsidR="00CB3368" w:rsidRPr="006C02AF">
        <w:t xml:space="preserve">par lequel </w:t>
      </w:r>
      <w:r w:rsidR="00AE01A9" w:rsidRPr="006C02AF">
        <w:t>le Secrétaire</w:t>
      </w:r>
      <w:r w:rsidR="00EB2329" w:rsidRPr="006C02AF">
        <w:t> </w:t>
      </w:r>
      <w:r w:rsidR="00AE01A9" w:rsidRPr="006C02AF">
        <w:t xml:space="preserve">général </w:t>
      </w:r>
      <w:r w:rsidR="00CB3368" w:rsidRPr="006C02AF">
        <w:t>est autorisé à retirer</w:t>
      </w:r>
      <w:r w:rsidR="00EF7FF0" w:rsidRPr="006C02AF">
        <w:t>,</w:t>
      </w:r>
      <w:r w:rsidRPr="006C02AF">
        <w:t xml:space="preserve"> </w:t>
      </w:r>
      <w:r w:rsidR="00CE3C3C" w:rsidRPr="006C02AF">
        <w:t>faute</w:t>
      </w:r>
      <w:r w:rsidR="008C0CC7" w:rsidRPr="006C02AF">
        <w:t xml:space="preserve"> </w:t>
      </w:r>
      <w:r w:rsidR="00CE3C3C" w:rsidRPr="006C02AF">
        <w:t>d</w:t>
      </w:r>
      <w:r w:rsidR="00E32CD7" w:rsidRPr="006C02AF">
        <w:t>'</w:t>
      </w:r>
      <w:r w:rsidR="00CE3C3C" w:rsidRPr="006C02AF">
        <w:t>une autre solution</w:t>
      </w:r>
      <w:r w:rsidR="00EF7FF0" w:rsidRPr="006C02AF">
        <w:t>,</w:t>
      </w:r>
      <w:r w:rsidRPr="006C02AF">
        <w:t xml:space="preserve"> </w:t>
      </w:r>
      <w:r w:rsidR="00CE3C3C" w:rsidRPr="006C02AF">
        <w:t xml:space="preserve">un montant ne dépassant pas </w:t>
      </w:r>
      <w:r w:rsidRPr="006C02AF">
        <w:t>1</w:t>
      </w:r>
      <w:r w:rsidR="00B65BFB" w:rsidRPr="006C02AF">
        <w:t>,</w:t>
      </w:r>
      <w:r w:rsidRPr="006C02AF">
        <w:t>4 million</w:t>
      </w:r>
      <w:r w:rsidR="00B65BFB" w:rsidRPr="006C02AF">
        <w:t xml:space="preserve"> CHF </w:t>
      </w:r>
      <w:r w:rsidR="00CE3C3C" w:rsidRPr="006C02AF">
        <w:t>du</w:t>
      </w:r>
      <w:r w:rsidRPr="006C02AF">
        <w:t xml:space="preserve"> </w:t>
      </w:r>
      <w:r w:rsidR="005F0C1A" w:rsidRPr="006C02AF">
        <w:t>fonds de réserve</w:t>
      </w:r>
      <w:r w:rsidR="008C0CC7" w:rsidRPr="006C02AF">
        <w:t xml:space="preserve"> </w:t>
      </w:r>
      <w:r w:rsidR="00284125" w:rsidRPr="006C02AF">
        <w:t>afin d</w:t>
      </w:r>
      <w:r w:rsidR="00E32CD7" w:rsidRPr="006C02AF">
        <w:t>'</w:t>
      </w:r>
      <w:r w:rsidR="00284125" w:rsidRPr="006C02AF">
        <w:t>équilibrer le budget pour l</w:t>
      </w:r>
      <w:r w:rsidR="00E32CD7" w:rsidRPr="006C02AF">
        <w:t>'</w:t>
      </w:r>
      <w:r w:rsidR="00284125" w:rsidRPr="006C02AF">
        <w:t>exercice</w:t>
      </w:r>
      <w:r w:rsidR="003432D7" w:rsidRPr="006C02AF">
        <w:t xml:space="preserve"> </w:t>
      </w:r>
      <w:r w:rsidRPr="006C02AF">
        <w:t xml:space="preserve">2022, </w:t>
      </w:r>
      <w:r w:rsidR="00284125" w:rsidRPr="006C02AF">
        <w:t>conformément aux dispositions d</w:t>
      </w:r>
      <w:r w:rsidR="00C60ABF" w:rsidRPr="006C02AF">
        <w:t>u paragraphe 3 d</w:t>
      </w:r>
      <w:r w:rsidR="00284125" w:rsidRPr="006C02AF">
        <w:t xml:space="preserve">e </w:t>
      </w:r>
      <w:r w:rsidR="003432D7" w:rsidRPr="006C02AF">
        <w:t>l</w:t>
      </w:r>
      <w:r w:rsidR="00E32CD7" w:rsidRPr="006C02AF">
        <w:t>'</w:t>
      </w:r>
      <w:r w:rsidR="003432D7" w:rsidRPr="006C02AF">
        <w:t>article</w:t>
      </w:r>
      <w:r w:rsidR="008C0CC7" w:rsidRPr="006C02AF">
        <w:t xml:space="preserve"> </w:t>
      </w:r>
      <w:r w:rsidRPr="006C02AF">
        <w:t>27</w:t>
      </w:r>
      <w:r w:rsidR="00AE2DD4" w:rsidRPr="006C02AF">
        <w:t xml:space="preserve"> du Règlement financier et des Règles financières</w:t>
      </w:r>
      <w:r w:rsidRPr="006C02AF">
        <w:t>.</w:t>
      </w:r>
      <w:bookmarkEnd w:id="16"/>
    </w:p>
    <w:p w14:paraId="300CCD8C" w14:textId="0ECB493F" w:rsidR="006D5C47" w:rsidRPr="006C02AF" w:rsidRDefault="006D5C47" w:rsidP="00E32CD7">
      <w:r w:rsidRPr="006C02AF">
        <w:t>6.2</w:t>
      </w:r>
      <w:r w:rsidRPr="006C02AF">
        <w:tab/>
      </w:r>
      <w:bookmarkStart w:id="17" w:name="lt_pId089"/>
      <w:r w:rsidR="009107D9" w:rsidRPr="006C02AF">
        <w:t>Une</w:t>
      </w:r>
      <w:r w:rsidRPr="006C02AF">
        <w:t xml:space="preserve"> </w:t>
      </w:r>
      <w:r w:rsidR="00774F8B" w:rsidRPr="006C02AF">
        <w:t xml:space="preserve">conseillère </w:t>
      </w:r>
      <w:r w:rsidR="009107D9" w:rsidRPr="006C02AF">
        <w:t xml:space="preserve">se déclare en désaccord avec le projet de </w:t>
      </w:r>
      <w:r w:rsidRPr="006C02AF">
        <w:t>r</w:t>
      </w:r>
      <w:r w:rsidR="009107D9" w:rsidRPr="006C02AF">
        <w:t>é</w:t>
      </w:r>
      <w:r w:rsidRPr="006C02AF">
        <w:t xml:space="preserve">solution, </w:t>
      </w:r>
      <w:r w:rsidR="00C60ABF" w:rsidRPr="006C02AF">
        <w:t xml:space="preserve">car il </w:t>
      </w:r>
      <w:r w:rsidR="002C0F0B" w:rsidRPr="006C02AF">
        <w:t xml:space="preserve">semble </w:t>
      </w:r>
      <w:r w:rsidR="00236375" w:rsidRPr="006C02AF">
        <w:t>donner un</w:t>
      </w:r>
      <w:r w:rsidR="008C0CC7" w:rsidRPr="006C02AF">
        <w:t xml:space="preserve"> </w:t>
      </w:r>
      <w:r w:rsidR="00236375" w:rsidRPr="006C02AF">
        <w:t>accord préalable</w:t>
      </w:r>
      <w:r w:rsidRPr="006C02AF">
        <w:t xml:space="preserve"> </w:t>
      </w:r>
      <w:r w:rsidR="00236375" w:rsidRPr="006C02AF">
        <w:t xml:space="preserve">à des dépenses </w:t>
      </w:r>
      <w:r w:rsidR="00300D46" w:rsidRPr="006C02AF">
        <w:t>en</w:t>
      </w:r>
      <w:r w:rsidR="008C0CC7" w:rsidRPr="006C02AF">
        <w:t xml:space="preserve"> </w:t>
      </w:r>
      <w:r w:rsidR="00300D46" w:rsidRPr="006C02AF">
        <w:t>situation de</w:t>
      </w:r>
      <w:r w:rsidR="008C0CC7" w:rsidRPr="006C02AF">
        <w:t xml:space="preserve"> </w:t>
      </w:r>
      <w:bookmarkEnd w:id="17"/>
      <w:r w:rsidR="00F14C53" w:rsidRPr="006C02AF">
        <w:t>déficit.</w:t>
      </w:r>
      <w:r w:rsidRPr="006C02AF">
        <w:t xml:space="preserve"> </w:t>
      </w:r>
      <w:bookmarkStart w:id="18" w:name="lt_pId090"/>
      <w:r w:rsidR="00813A79" w:rsidRPr="006C02AF">
        <w:t>Le secrétariat</w:t>
      </w:r>
      <w:r w:rsidRPr="006C02AF">
        <w:t xml:space="preserve"> </w:t>
      </w:r>
      <w:r w:rsidR="00300D46" w:rsidRPr="006C02AF">
        <w:t>devrait</w:t>
      </w:r>
      <w:r w:rsidRPr="006C02AF">
        <w:t xml:space="preserve"> continue</w:t>
      </w:r>
      <w:r w:rsidR="00300D46" w:rsidRPr="006C02AF">
        <w:t xml:space="preserve">r de prendre des mesures </w:t>
      </w:r>
      <w:r w:rsidR="00D26942" w:rsidRPr="006C02AF">
        <w:t>de nature à</w:t>
      </w:r>
      <w:r w:rsidR="00300D46" w:rsidRPr="006C02AF">
        <w:t xml:space="preserve"> réduire les dépenses jusqu</w:t>
      </w:r>
      <w:r w:rsidR="00E32CD7" w:rsidRPr="006C02AF">
        <w:t>'</w:t>
      </w:r>
      <w:r w:rsidR="00300D46" w:rsidRPr="006C02AF">
        <w:t xml:space="preserve">à la fin </w:t>
      </w:r>
      <w:r w:rsidRPr="006C02AF">
        <w:t xml:space="preserve">2022 </w:t>
      </w:r>
      <w:r w:rsidR="0089707C" w:rsidRPr="006C02AF">
        <w:t xml:space="preserve">et </w:t>
      </w:r>
      <w:r w:rsidR="000067C7" w:rsidRPr="006C02AF">
        <w:t>l</w:t>
      </w:r>
      <w:r w:rsidR="00E32CD7" w:rsidRPr="006C02AF">
        <w:t>'</w:t>
      </w:r>
      <w:r w:rsidR="000067C7" w:rsidRPr="006C02AF">
        <w:t>adoption de la r</w:t>
      </w:r>
      <w:r w:rsidR="0089707C" w:rsidRPr="006C02AF">
        <w:t xml:space="preserve">ésolution </w:t>
      </w:r>
      <w:r w:rsidR="000067C7" w:rsidRPr="006C02AF">
        <w:t xml:space="preserve">devrait intervenir </w:t>
      </w:r>
      <w:r w:rsidR="00D26942" w:rsidRPr="006C02AF">
        <w:t>une fois que</w:t>
      </w:r>
      <w:r w:rsidR="0089707C" w:rsidRPr="006C02AF">
        <w:t xml:space="preserve"> le montant </w:t>
      </w:r>
      <w:r w:rsidRPr="006C02AF">
        <w:t xml:space="preserve">exact </w:t>
      </w:r>
      <w:r w:rsidR="0089707C" w:rsidRPr="006C02AF">
        <w:t>du</w:t>
      </w:r>
      <w:r w:rsidRPr="006C02AF">
        <w:t xml:space="preserve"> d</w:t>
      </w:r>
      <w:r w:rsidR="0089707C" w:rsidRPr="006C02AF">
        <w:t>é</w:t>
      </w:r>
      <w:r w:rsidRPr="006C02AF">
        <w:t xml:space="preserve">ficit </w:t>
      </w:r>
      <w:r w:rsidR="0089707C" w:rsidRPr="006C02AF">
        <w:t>sera connu</w:t>
      </w:r>
      <w:r w:rsidRPr="006C02AF">
        <w:t>.</w:t>
      </w:r>
      <w:bookmarkEnd w:id="18"/>
    </w:p>
    <w:p w14:paraId="7636406F" w14:textId="24542387" w:rsidR="006D5C47" w:rsidRPr="006C02AF" w:rsidRDefault="006D5C47" w:rsidP="00E32CD7">
      <w:r w:rsidRPr="006C02AF">
        <w:t>6.3</w:t>
      </w:r>
      <w:r w:rsidRPr="006C02AF">
        <w:tab/>
      </w:r>
      <w:bookmarkStart w:id="19" w:name="lt_pId092"/>
      <w:r w:rsidR="003E6942" w:rsidRPr="006C02AF">
        <w:t>Un</w:t>
      </w:r>
      <w:r w:rsidR="008C0CC7" w:rsidRPr="006C02AF">
        <w:t xml:space="preserve"> </w:t>
      </w:r>
      <w:r w:rsidR="00774F8B" w:rsidRPr="006C02AF">
        <w:t>conseiller</w:t>
      </w:r>
      <w:r w:rsidR="003E6942" w:rsidRPr="006C02AF">
        <w:t xml:space="preserve"> ayant demandé quelle</w:t>
      </w:r>
      <w:r w:rsidR="00A8251F" w:rsidRPr="006C02AF">
        <w:t>s</w:t>
      </w:r>
      <w:r w:rsidR="000079AE" w:rsidRPr="006C02AF">
        <w:t xml:space="preserve"> seraient les</w:t>
      </w:r>
      <w:r w:rsidR="00A8251F" w:rsidRPr="006C02AF">
        <w:t xml:space="preserve"> </w:t>
      </w:r>
      <w:r w:rsidR="003E6942" w:rsidRPr="006C02AF">
        <w:t>conséquences</w:t>
      </w:r>
      <w:r w:rsidR="00A8251F" w:rsidRPr="006C02AF">
        <w:t xml:space="preserve"> </w:t>
      </w:r>
      <w:r w:rsidR="000079AE" w:rsidRPr="006C02AF">
        <w:t>d</w:t>
      </w:r>
      <w:r w:rsidR="00E32CD7" w:rsidRPr="006C02AF">
        <w:t>'</w:t>
      </w:r>
      <w:r w:rsidR="000079AE" w:rsidRPr="006C02AF">
        <w:t>un rejet de la</w:t>
      </w:r>
      <w:r w:rsidR="00A8251F" w:rsidRPr="006C02AF">
        <w:t xml:space="preserve"> résolution sur le plan financier,</w:t>
      </w:r>
      <w:r w:rsidR="008C0CC7" w:rsidRPr="006C02AF">
        <w:t xml:space="preserve"> </w:t>
      </w:r>
      <w:r w:rsidR="00BA1339" w:rsidRPr="006C02AF">
        <w:t>le Vice-Secrétaire général</w:t>
      </w:r>
      <w:r w:rsidR="008C0CC7" w:rsidRPr="006C02AF">
        <w:t xml:space="preserve"> </w:t>
      </w:r>
      <w:r w:rsidR="00A8251F" w:rsidRPr="006C02AF">
        <w:t>dit qu</w:t>
      </w:r>
      <w:r w:rsidR="00E32CD7" w:rsidRPr="006C02AF">
        <w:t>'</w:t>
      </w:r>
      <w:r w:rsidR="00A8251F" w:rsidRPr="006C02AF">
        <w:t>un groupe de travail</w:t>
      </w:r>
      <w:r w:rsidR="00746172" w:rsidRPr="006C02AF">
        <w:t xml:space="preserve"> créé</w:t>
      </w:r>
      <w:r w:rsidR="00A8251F" w:rsidRPr="006C02AF">
        <w:t xml:space="preserve"> en </w:t>
      </w:r>
      <w:r w:rsidR="00AE28DD" w:rsidRPr="006C02AF">
        <w:t>août</w:t>
      </w:r>
      <w:r w:rsidRPr="006C02AF">
        <w:t xml:space="preserve"> 2022 </w:t>
      </w:r>
      <w:r w:rsidR="00746172" w:rsidRPr="006C02AF">
        <w:t>et constitué</w:t>
      </w:r>
      <w:r w:rsidRPr="006C02AF">
        <w:t xml:space="preserve"> </w:t>
      </w:r>
      <w:r w:rsidR="00746172" w:rsidRPr="006C02AF">
        <w:t>des</w:t>
      </w:r>
      <w:r w:rsidRPr="006C02AF">
        <w:t xml:space="preserve"> </w:t>
      </w:r>
      <w:r w:rsidR="0006199E" w:rsidRPr="006C02AF">
        <w:t>adjoints des</w:t>
      </w:r>
      <w:r w:rsidR="008C0CC7" w:rsidRPr="006C02AF">
        <w:t xml:space="preserve"> </w:t>
      </w:r>
      <w:r w:rsidR="0006199E" w:rsidRPr="006C02AF">
        <w:t>directeurs des trois Bureaux et</w:t>
      </w:r>
      <w:r w:rsidR="008C0CC7" w:rsidRPr="006C02AF">
        <w:t xml:space="preserve"> </w:t>
      </w:r>
      <w:r w:rsidR="0006199E" w:rsidRPr="006C02AF">
        <w:t>des</w:t>
      </w:r>
      <w:r w:rsidR="008C0CC7" w:rsidRPr="006C02AF">
        <w:t xml:space="preserve"> </w:t>
      </w:r>
      <w:r w:rsidR="0006199E" w:rsidRPr="006C02AF">
        <w:t>chefs des départements du</w:t>
      </w:r>
      <w:r w:rsidR="008C0CC7" w:rsidRPr="006C02AF">
        <w:t xml:space="preserve"> </w:t>
      </w:r>
      <w:r w:rsidR="009663CA" w:rsidRPr="006C02AF">
        <w:t>Secrétariat général</w:t>
      </w:r>
      <w:r w:rsidR="008C0CC7" w:rsidRPr="006C02AF">
        <w:t xml:space="preserve"> </w:t>
      </w:r>
      <w:r w:rsidR="00746172" w:rsidRPr="006C02AF">
        <w:t>a ramené le montant initialement prévu du</w:t>
      </w:r>
      <w:r w:rsidR="008C0CC7" w:rsidRPr="006C02AF">
        <w:t xml:space="preserve"> </w:t>
      </w:r>
      <w:r w:rsidRPr="006C02AF">
        <w:t>d</w:t>
      </w:r>
      <w:r w:rsidR="00746172" w:rsidRPr="006C02AF">
        <w:t>é</w:t>
      </w:r>
      <w:r w:rsidRPr="006C02AF">
        <w:t xml:space="preserve">ficit </w:t>
      </w:r>
      <w:r w:rsidR="00746172" w:rsidRPr="006C02AF">
        <w:t>légèrement en-deçà de</w:t>
      </w:r>
      <w:r w:rsidRPr="006C02AF">
        <w:t xml:space="preserve"> 1</w:t>
      </w:r>
      <w:r w:rsidR="00B65BFB" w:rsidRPr="006C02AF">
        <w:t>,</w:t>
      </w:r>
      <w:r w:rsidRPr="006C02AF">
        <w:t>4</w:t>
      </w:r>
      <w:r w:rsidR="00B65BFB" w:rsidRPr="006C02AF">
        <w:t> </w:t>
      </w:r>
      <w:r w:rsidRPr="006C02AF">
        <w:t>million</w:t>
      </w:r>
      <w:r w:rsidR="00B65BFB" w:rsidRPr="006C02AF">
        <w:t xml:space="preserve"> CHF </w:t>
      </w:r>
      <w:r w:rsidR="00746172" w:rsidRPr="006C02AF">
        <w:t>en</w:t>
      </w:r>
      <w:r w:rsidRPr="006C02AF">
        <w:t xml:space="preserve"> </w:t>
      </w:r>
      <w:r w:rsidR="00746172" w:rsidRPr="006C02AF">
        <w:t xml:space="preserve">annulant ou reportant </w:t>
      </w:r>
      <w:r w:rsidR="00B7178F" w:rsidRPr="006C02AF">
        <w:t>des</w:t>
      </w:r>
      <w:r w:rsidR="00746172" w:rsidRPr="006C02AF">
        <w:t xml:space="preserve"> recrutement</w:t>
      </w:r>
      <w:r w:rsidR="00E54134" w:rsidRPr="006C02AF">
        <w:t>s</w:t>
      </w:r>
      <w:r w:rsidR="00746172" w:rsidRPr="006C02AF">
        <w:t xml:space="preserve"> de</w:t>
      </w:r>
      <w:r w:rsidR="008C0CC7" w:rsidRPr="006C02AF">
        <w:t xml:space="preserve"> </w:t>
      </w:r>
      <w:r w:rsidR="00E54134" w:rsidRPr="006C02AF">
        <w:t xml:space="preserve">consultants </w:t>
      </w:r>
      <w:r w:rsidR="000F213C" w:rsidRPr="006C02AF">
        <w:t xml:space="preserve">et </w:t>
      </w:r>
      <w:r w:rsidR="00B7178F" w:rsidRPr="006C02AF">
        <w:t>des</w:t>
      </w:r>
      <w:r w:rsidRPr="006C02AF">
        <w:t xml:space="preserve"> missions</w:t>
      </w:r>
      <w:r w:rsidR="000F213C" w:rsidRPr="006C02AF">
        <w:t xml:space="preserve"> non essentiels</w:t>
      </w:r>
      <w:r w:rsidRPr="006C02AF">
        <w:t>.</w:t>
      </w:r>
      <w:bookmarkEnd w:id="19"/>
      <w:r w:rsidRPr="006C02AF">
        <w:t xml:space="preserve"> </w:t>
      </w:r>
      <w:bookmarkStart w:id="20" w:name="lt_pId093"/>
      <w:r w:rsidR="003D2C29" w:rsidRPr="006C02AF">
        <w:t>Des réductions supplémentaires des dépenses entraîneraient l</w:t>
      </w:r>
      <w:r w:rsidR="00E32CD7" w:rsidRPr="006C02AF">
        <w:t>'</w:t>
      </w:r>
      <w:r w:rsidR="003D2C29" w:rsidRPr="006C02AF">
        <w:t>annulation de</w:t>
      </w:r>
      <w:r w:rsidR="008C0CC7" w:rsidRPr="006C02AF">
        <w:t xml:space="preserve"> </w:t>
      </w:r>
      <w:r w:rsidRPr="006C02AF">
        <w:t>missions</w:t>
      </w:r>
      <w:r w:rsidR="00B7178F" w:rsidRPr="006C02AF">
        <w:t xml:space="preserve"> ou de </w:t>
      </w:r>
      <w:r w:rsidRPr="006C02AF">
        <w:t>recrut</w:t>
      </w:r>
      <w:r w:rsidR="00B7178F" w:rsidRPr="006C02AF">
        <w:t>e</w:t>
      </w:r>
      <w:r w:rsidRPr="006C02AF">
        <w:t xml:space="preserve">ments </w:t>
      </w:r>
      <w:r w:rsidR="00B7178F" w:rsidRPr="006C02AF">
        <w:t xml:space="preserve">considérés comme essentiels à la mise en </w:t>
      </w:r>
      <w:r w:rsidR="00F14C53" w:rsidRPr="006C02AF">
        <w:t>œuvre</w:t>
      </w:r>
      <w:r w:rsidR="00B7178F" w:rsidRPr="006C02AF">
        <w:t xml:space="preserve"> de la mission de l</w:t>
      </w:r>
      <w:r w:rsidR="00E32CD7" w:rsidRPr="006C02AF">
        <w:t>'</w:t>
      </w:r>
      <w:r w:rsidR="00B7178F" w:rsidRPr="006C02AF">
        <w:t>UIT.</w:t>
      </w:r>
      <w:bookmarkEnd w:id="20"/>
    </w:p>
    <w:p w14:paraId="1A52D498" w14:textId="558ECE8B" w:rsidR="006D5C47" w:rsidRPr="006C02AF" w:rsidRDefault="006D5C47" w:rsidP="00E32CD7">
      <w:r w:rsidRPr="006C02AF">
        <w:t>6.4</w:t>
      </w:r>
      <w:r w:rsidRPr="006C02AF">
        <w:tab/>
      </w:r>
      <w:bookmarkStart w:id="21" w:name="lt_pId095"/>
      <w:r w:rsidR="00E169C4" w:rsidRPr="006C02AF">
        <w:t>P</w:t>
      </w:r>
      <w:r w:rsidR="00ED14BA" w:rsidRPr="006C02AF">
        <w:t>l</w:t>
      </w:r>
      <w:r w:rsidR="002003C4" w:rsidRPr="006C02AF">
        <w:t>usieurs</w:t>
      </w:r>
      <w:r w:rsidRPr="006C02AF">
        <w:t xml:space="preserve"> </w:t>
      </w:r>
      <w:r w:rsidR="00774F8B" w:rsidRPr="006C02AF">
        <w:t>conseiller</w:t>
      </w:r>
      <w:r w:rsidRPr="006C02AF">
        <w:t>s</w:t>
      </w:r>
      <w:r w:rsidR="00E169C4" w:rsidRPr="006C02AF">
        <w:t xml:space="preserve"> demand</w:t>
      </w:r>
      <w:r w:rsidR="00DA0EFF" w:rsidRPr="006C02AF">
        <w:t>ent</w:t>
      </w:r>
      <w:r w:rsidR="00E32CD7" w:rsidRPr="006C02AF">
        <w:t>:</w:t>
      </w:r>
      <w:r w:rsidRPr="006C02AF">
        <w:t xml:space="preserve"> </w:t>
      </w:r>
      <w:r w:rsidR="00E169C4" w:rsidRPr="006C02AF">
        <w:t xml:space="preserve">où la liste des </w:t>
      </w:r>
      <w:r w:rsidRPr="006C02AF">
        <w:t>missions</w:t>
      </w:r>
      <w:r w:rsidR="00E169C4" w:rsidRPr="006C02AF">
        <w:t xml:space="preserve"> et </w:t>
      </w:r>
      <w:r w:rsidRPr="006C02AF">
        <w:t>recrut</w:t>
      </w:r>
      <w:r w:rsidR="00E169C4" w:rsidRPr="006C02AF">
        <w:t>e</w:t>
      </w:r>
      <w:r w:rsidRPr="006C02AF">
        <w:t xml:space="preserve">ments </w:t>
      </w:r>
      <w:r w:rsidR="00E169C4" w:rsidRPr="006C02AF">
        <w:t xml:space="preserve">essentiels </w:t>
      </w:r>
      <w:r w:rsidR="00DA0EFF" w:rsidRPr="006C02AF">
        <w:t>peut</w:t>
      </w:r>
      <w:r w:rsidR="00E169C4" w:rsidRPr="006C02AF">
        <w:t xml:space="preserve"> être con</w:t>
      </w:r>
      <w:r w:rsidR="0018783C" w:rsidRPr="006C02AF">
        <w:t xml:space="preserve">sultée et selon quels critères ces missions et recrutements </w:t>
      </w:r>
      <w:r w:rsidR="00DF42C8" w:rsidRPr="006C02AF">
        <w:t>sont</w:t>
      </w:r>
      <w:r w:rsidR="0018783C" w:rsidRPr="006C02AF">
        <w:t xml:space="preserve"> considérés comme essentiels</w:t>
      </w:r>
      <w:r w:rsidR="00E32CD7" w:rsidRPr="006C02AF">
        <w:t>;</w:t>
      </w:r>
      <w:r w:rsidRPr="006C02AF">
        <w:t xml:space="preserve"> </w:t>
      </w:r>
      <w:r w:rsidR="0018783C" w:rsidRPr="006C02AF">
        <w:t>si les fonds nécessaires pour compenser</w:t>
      </w:r>
      <w:r w:rsidR="008C0CC7" w:rsidRPr="006C02AF">
        <w:t xml:space="preserve"> </w:t>
      </w:r>
      <w:r w:rsidR="0018783C" w:rsidRPr="006C02AF">
        <w:t>l</w:t>
      </w:r>
      <w:r w:rsidR="00E32CD7" w:rsidRPr="006C02AF">
        <w:t>'</w:t>
      </w:r>
      <w:r w:rsidR="0018783C" w:rsidRPr="006C02AF">
        <w:t xml:space="preserve">écart négatif pourraient </w:t>
      </w:r>
      <w:r w:rsidR="004400C9" w:rsidRPr="006C02AF">
        <w:t>provenir d</w:t>
      </w:r>
      <w:r w:rsidR="00E32CD7" w:rsidRPr="006C02AF">
        <w:t>'</w:t>
      </w:r>
      <w:r w:rsidR="004400C9" w:rsidRPr="006C02AF">
        <w:t>autres sources que</w:t>
      </w:r>
      <w:r w:rsidR="008C0CC7" w:rsidRPr="006C02AF">
        <w:t xml:space="preserve"> </w:t>
      </w:r>
      <w:r w:rsidR="00CE2A6F" w:rsidRPr="006C02AF">
        <w:t>le</w:t>
      </w:r>
      <w:r w:rsidRPr="006C02AF">
        <w:t xml:space="preserve"> </w:t>
      </w:r>
      <w:r w:rsidR="005F0C1A" w:rsidRPr="006C02AF">
        <w:t>fonds de réserve</w:t>
      </w:r>
      <w:r w:rsidR="00E32CD7" w:rsidRPr="006C02AF">
        <w:t>;</w:t>
      </w:r>
      <w:r w:rsidRPr="006C02AF">
        <w:t xml:space="preserve"> </w:t>
      </w:r>
      <w:r w:rsidR="004400C9" w:rsidRPr="006C02AF">
        <w:t xml:space="preserve">si le fait </w:t>
      </w:r>
      <w:r w:rsidR="004563AD" w:rsidRPr="006C02AF">
        <w:t>que</w:t>
      </w:r>
      <w:r w:rsidR="004400C9" w:rsidRPr="006C02AF">
        <w:t xml:space="preserve"> </w:t>
      </w:r>
      <w:r w:rsidRPr="006C02AF">
        <w:t>certain</w:t>
      </w:r>
      <w:r w:rsidR="004400C9" w:rsidRPr="006C02AF">
        <w:t>s</w:t>
      </w:r>
      <w:r w:rsidRPr="006C02AF">
        <w:t xml:space="preserve"> recru</w:t>
      </w:r>
      <w:r w:rsidR="004400C9" w:rsidRPr="006C02AF">
        <w:t>te</w:t>
      </w:r>
      <w:r w:rsidRPr="006C02AF">
        <w:t>ments</w:t>
      </w:r>
      <w:r w:rsidR="004563AD" w:rsidRPr="006C02AF">
        <w:t xml:space="preserve"> aient été gelés</w:t>
      </w:r>
      <w:r w:rsidRPr="006C02AF">
        <w:t xml:space="preserve"> </w:t>
      </w:r>
      <w:r w:rsidR="004400C9" w:rsidRPr="006C02AF">
        <w:t>signifi</w:t>
      </w:r>
      <w:r w:rsidR="00DA0EFF" w:rsidRPr="006C02AF">
        <w:t>e</w:t>
      </w:r>
      <w:r w:rsidR="004400C9" w:rsidRPr="006C02AF">
        <w:t xml:space="preserve"> que certains membres du personnel ne travaillent plus à l</w:t>
      </w:r>
      <w:r w:rsidR="00E32CD7" w:rsidRPr="006C02AF">
        <w:t>'</w:t>
      </w:r>
      <w:r w:rsidR="004400C9" w:rsidRPr="006C02AF">
        <w:t xml:space="preserve">UIT et </w:t>
      </w:r>
      <w:r w:rsidR="00DA0EFF" w:rsidRPr="006C02AF">
        <w:t>quelles en sont les répercussions</w:t>
      </w:r>
      <w:r w:rsidR="00E32CD7" w:rsidRPr="006C02AF">
        <w:t>;</w:t>
      </w:r>
      <w:r w:rsidRPr="006C02AF">
        <w:t xml:space="preserve"> </w:t>
      </w:r>
      <w:r w:rsidR="00CE2A6F" w:rsidRPr="006C02AF">
        <w:t xml:space="preserve">et </w:t>
      </w:r>
      <w:r w:rsidR="00C240A1" w:rsidRPr="006C02AF">
        <w:t xml:space="preserve">quelles mesures sont prévues pour reconstituer </w:t>
      </w:r>
      <w:r w:rsidR="00CE2A6F" w:rsidRPr="006C02AF">
        <w:t>le</w:t>
      </w:r>
      <w:r w:rsidRPr="006C02AF">
        <w:t xml:space="preserve"> </w:t>
      </w:r>
      <w:r w:rsidR="005F0C1A" w:rsidRPr="006C02AF">
        <w:t>fonds de réserve</w:t>
      </w:r>
      <w:r w:rsidR="00CE2A6F" w:rsidRPr="006C02AF">
        <w:t>.</w:t>
      </w:r>
      <w:bookmarkEnd w:id="21"/>
    </w:p>
    <w:p w14:paraId="76B27ED7" w14:textId="7F29DCB1" w:rsidR="006D5C47" w:rsidRPr="006C02AF" w:rsidRDefault="006D5C47" w:rsidP="00E32CD7">
      <w:r w:rsidRPr="006C02AF">
        <w:t>6.5</w:t>
      </w:r>
      <w:r w:rsidRPr="006C02AF">
        <w:tab/>
      </w:r>
      <w:bookmarkStart w:id="22" w:name="lt_pId097"/>
      <w:r w:rsidR="00DE5DBD" w:rsidRPr="006C02AF">
        <w:t xml:space="preserve">Le </w:t>
      </w:r>
      <w:r w:rsidR="00BA1339" w:rsidRPr="006C02AF">
        <w:t>Vice-Secrétaire général</w:t>
      </w:r>
      <w:r w:rsidR="008C0CC7" w:rsidRPr="006C02AF">
        <w:t xml:space="preserve"> </w:t>
      </w:r>
      <w:r w:rsidR="00AE2DD4" w:rsidRPr="006C02AF">
        <w:t>répond que</w:t>
      </w:r>
      <w:r w:rsidRPr="006C02AF">
        <w:t xml:space="preserve"> </w:t>
      </w:r>
      <w:r w:rsidR="00D420FA" w:rsidRPr="006C02AF">
        <w:t>le groupe de travail</w:t>
      </w:r>
      <w:r w:rsidR="008C0CC7" w:rsidRPr="006C02AF">
        <w:t xml:space="preserve"> </w:t>
      </w:r>
      <w:r w:rsidR="00CE2A6F" w:rsidRPr="006C02AF">
        <w:t>a examiné la liste des</w:t>
      </w:r>
      <w:r w:rsidR="008C0CC7" w:rsidRPr="006C02AF">
        <w:t xml:space="preserve"> </w:t>
      </w:r>
      <w:r w:rsidR="007D1A49" w:rsidRPr="006C02AF">
        <w:t xml:space="preserve">missions et recrutements essentiels </w:t>
      </w:r>
      <w:r w:rsidR="00CE2A6F" w:rsidRPr="006C02AF">
        <w:t>au moyen du logiciel S</w:t>
      </w:r>
      <w:r w:rsidRPr="006C02AF">
        <w:t xml:space="preserve">harepoint </w:t>
      </w:r>
      <w:r w:rsidR="00CE2A6F" w:rsidRPr="006C02AF">
        <w:t>et</w:t>
      </w:r>
      <w:r w:rsidRPr="006C02AF">
        <w:t xml:space="preserve"> </w:t>
      </w:r>
      <w:r w:rsidR="006F06A0" w:rsidRPr="006C02AF">
        <w:t>en a déplacé certains du budget ordinaire vers le</w:t>
      </w:r>
      <w:r w:rsidR="008C0CC7" w:rsidRPr="006C02AF">
        <w:t xml:space="preserve"> </w:t>
      </w:r>
      <w:r w:rsidR="006F06A0" w:rsidRPr="006C02AF">
        <w:t xml:space="preserve">financement de projets </w:t>
      </w:r>
      <w:r w:rsidR="00A61400" w:rsidRPr="006C02AF">
        <w:t>et d</w:t>
      </w:r>
      <w:r w:rsidR="00E32CD7" w:rsidRPr="006C02AF">
        <w:t>'</w:t>
      </w:r>
      <w:r w:rsidR="00A61400" w:rsidRPr="006C02AF">
        <w:t>autres vers le</w:t>
      </w:r>
      <w:r w:rsidR="00AE2DD4" w:rsidRPr="006C02AF">
        <w:t xml:space="preserve"> Fonds pour le développement des TIC, </w:t>
      </w:r>
      <w:r w:rsidRPr="006C02AF">
        <w:t>(</w:t>
      </w:r>
      <w:r w:rsidR="00A61400" w:rsidRPr="006C02AF">
        <w:t>dans le cas du Département des services informatiques</w:t>
      </w:r>
      <w:r w:rsidRPr="006C02AF">
        <w:t>).</w:t>
      </w:r>
      <w:bookmarkEnd w:id="22"/>
      <w:r w:rsidRPr="006C02AF">
        <w:t xml:space="preserve"> </w:t>
      </w:r>
      <w:bookmarkStart w:id="23" w:name="lt_pId098"/>
      <w:r w:rsidR="001D619B" w:rsidRPr="006C02AF">
        <w:t>Seuls des</w:t>
      </w:r>
      <w:r w:rsidRPr="006C02AF">
        <w:t xml:space="preserve"> </w:t>
      </w:r>
      <w:r w:rsidR="001D619B" w:rsidRPr="006C02AF">
        <w:t>contrats au titre</w:t>
      </w:r>
      <w:r w:rsidR="008C0CC7" w:rsidRPr="006C02AF">
        <w:t xml:space="preserve"> </w:t>
      </w:r>
      <w:r w:rsidR="001D619B" w:rsidRPr="006C02AF">
        <w:t>de services externes</w:t>
      </w:r>
      <w:r w:rsidRPr="006C02AF">
        <w:t xml:space="preserve">, </w:t>
      </w:r>
      <w:r w:rsidR="001D619B" w:rsidRPr="006C02AF">
        <w:t>et non des engagements</w:t>
      </w:r>
      <w:r w:rsidR="008C0CC7" w:rsidRPr="006C02AF">
        <w:t xml:space="preserve"> </w:t>
      </w:r>
      <w:r w:rsidR="001D619B" w:rsidRPr="006C02AF">
        <w:t>conférant</w:t>
      </w:r>
      <w:r w:rsidR="008C0CC7" w:rsidRPr="006C02AF">
        <w:t xml:space="preserve"> </w:t>
      </w:r>
      <w:r w:rsidR="001D619B" w:rsidRPr="006C02AF">
        <w:t>la qualité de fonctionnaire de l</w:t>
      </w:r>
      <w:r w:rsidR="00E32CD7" w:rsidRPr="006C02AF">
        <w:t>'</w:t>
      </w:r>
      <w:r w:rsidR="001D619B" w:rsidRPr="006C02AF">
        <w:t>UIT avaient été gelés</w:t>
      </w:r>
      <w:r w:rsidRPr="006C02AF">
        <w:t>.</w:t>
      </w:r>
      <w:bookmarkEnd w:id="23"/>
    </w:p>
    <w:p w14:paraId="38B90414" w14:textId="27CF99E4" w:rsidR="006D5C47" w:rsidRPr="006C02AF" w:rsidRDefault="006D5C47" w:rsidP="00E32CD7">
      <w:r w:rsidRPr="006C02AF">
        <w:t>6.6</w:t>
      </w:r>
      <w:r w:rsidRPr="006C02AF">
        <w:tab/>
      </w:r>
      <w:bookmarkStart w:id="24" w:name="lt_pId100"/>
      <w:r w:rsidR="007E7276" w:rsidRPr="006C02AF">
        <w:t>Un</w:t>
      </w:r>
      <w:r w:rsidR="002C023E" w:rsidRPr="006C02AF">
        <w:t>e</w:t>
      </w:r>
      <w:r w:rsidRPr="006C02AF">
        <w:t xml:space="preserve"> </w:t>
      </w:r>
      <w:r w:rsidR="00774F8B" w:rsidRPr="006C02AF">
        <w:t>conseillère</w:t>
      </w:r>
      <w:r w:rsidR="008C0CC7" w:rsidRPr="006C02AF">
        <w:t xml:space="preserve"> </w:t>
      </w:r>
      <w:r w:rsidR="007E7276" w:rsidRPr="006C02AF">
        <w:t>approuv</w:t>
      </w:r>
      <w:r w:rsidR="00F60960" w:rsidRPr="006C02AF">
        <w:t>e</w:t>
      </w:r>
      <w:r w:rsidR="007E7276" w:rsidRPr="006C02AF">
        <w:t xml:space="preserve"> les</w:t>
      </w:r>
      <w:r w:rsidRPr="006C02AF">
        <w:t xml:space="preserve"> questions </w:t>
      </w:r>
      <w:r w:rsidR="007E7276" w:rsidRPr="006C02AF">
        <w:t xml:space="preserve">posées par les </w:t>
      </w:r>
      <w:r w:rsidR="00F14C53" w:rsidRPr="006C02AF">
        <w:t>précédents</w:t>
      </w:r>
      <w:r w:rsidR="007E7276" w:rsidRPr="006C02AF">
        <w:t xml:space="preserve"> intervenants. </w:t>
      </w:r>
      <w:r w:rsidR="00FA4B3E" w:rsidRPr="006C02AF">
        <w:t>L</w:t>
      </w:r>
      <w:r w:rsidR="00F60960" w:rsidRPr="006C02AF">
        <w:t>a consternation face au</w:t>
      </w:r>
      <w:r w:rsidR="00FA4B3E" w:rsidRPr="006C02AF">
        <w:t xml:space="preserve"> déficit croissant de l</w:t>
      </w:r>
      <w:r w:rsidR="00E32CD7" w:rsidRPr="006C02AF">
        <w:t>'</w:t>
      </w:r>
      <w:r w:rsidR="00FA4B3E" w:rsidRPr="006C02AF">
        <w:t xml:space="preserve">UIT </w:t>
      </w:r>
      <w:r w:rsidR="00F60960" w:rsidRPr="006C02AF">
        <w:t xml:space="preserve">est </w:t>
      </w:r>
      <w:r w:rsidR="00FA4B3E" w:rsidRPr="006C02AF">
        <w:t xml:space="preserve">de plus en plus </w:t>
      </w:r>
      <w:r w:rsidR="00945E6D" w:rsidRPr="006C02AF">
        <w:t>profonde</w:t>
      </w:r>
      <w:r w:rsidR="00FA4B3E" w:rsidRPr="006C02AF">
        <w:t xml:space="preserve"> et ce déficit </w:t>
      </w:r>
      <w:bookmarkStart w:id="25" w:name="lt_pId101"/>
      <w:bookmarkEnd w:id="24"/>
      <w:r w:rsidR="00F60960" w:rsidRPr="006C02AF">
        <w:t xml:space="preserve">ne devrait pas être creusé en puisant dans des réserves </w:t>
      </w:r>
      <w:r w:rsidR="00AD70EA" w:rsidRPr="006C02AF">
        <w:t>dont l</w:t>
      </w:r>
      <w:r w:rsidR="00E32CD7" w:rsidRPr="006C02AF">
        <w:t>'</w:t>
      </w:r>
      <w:r w:rsidR="00AD70EA" w:rsidRPr="006C02AF">
        <w:t xml:space="preserve">organisation pourrait avoir besoin </w:t>
      </w:r>
      <w:r w:rsidR="00546B5A" w:rsidRPr="006C02AF">
        <w:t>à l</w:t>
      </w:r>
      <w:r w:rsidR="00E32CD7" w:rsidRPr="006C02AF">
        <w:t>'</w:t>
      </w:r>
      <w:r w:rsidR="00546B5A" w:rsidRPr="006C02AF">
        <w:t>avenir</w:t>
      </w:r>
      <w:r w:rsidRPr="006C02AF">
        <w:t>.</w:t>
      </w:r>
      <w:bookmarkEnd w:id="25"/>
      <w:r w:rsidRPr="006C02AF">
        <w:t xml:space="preserve"> </w:t>
      </w:r>
      <w:bookmarkStart w:id="26" w:name="lt_pId102"/>
      <w:r w:rsidR="00546B5A" w:rsidRPr="006C02AF">
        <w:t xml:space="preserve">Les </w:t>
      </w:r>
      <w:r w:rsidR="00F14C53" w:rsidRPr="006C02AF">
        <w:t>États</w:t>
      </w:r>
      <w:r w:rsidR="00546B5A" w:rsidRPr="006C02AF">
        <w:t xml:space="preserve"> Membres</w:t>
      </w:r>
      <w:r w:rsidRPr="006C02AF">
        <w:t xml:space="preserve"> </w:t>
      </w:r>
      <w:r w:rsidR="00546B5A" w:rsidRPr="006C02AF">
        <w:t xml:space="preserve">veulent apporter leur soutien à la direction mais ne veulent pas </w:t>
      </w:r>
      <w:r w:rsidR="008F18E3" w:rsidRPr="006C02AF">
        <w:t>se contenter d</w:t>
      </w:r>
      <w:r w:rsidR="00E32CD7" w:rsidRPr="006C02AF">
        <w:t>'</w:t>
      </w:r>
      <w:r w:rsidR="007E7276" w:rsidRPr="006C02AF">
        <w:t>approuver sans</w:t>
      </w:r>
      <w:r w:rsidR="008C0CC7" w:rsidRPr="006C02AF">
        <w:t xml:space="preserve"> </w:t>
      </w:r>
      <w:r w:rsidR="008F18E3" w:rsidRPr="006C02AF">
        <w:t>les avoir examinées</w:t>
      </w:r>
      <w:r w:rsidR="007E7276" w:rsidRPr="006C02AF">
        <w:t xml:space="preserve"> </w:t>
      </w:r>
      <w:r w:rsidR="00190125" w:rsidRPr="006C02AF">
        <w:t>les demandes de dépenses en situation de déficit</w:t>
      </w:r>
      <w:r w:rsidRPr="006C02AF">
        <w:t>.</w:t>
      </w:r>
      <w:bookmarkEnd w:id="26"/>
      <w:r w:rsidRPr="006C02AF">
        <w:t xml:space="preserve"> </w:t>
      </w:r>
      <w:bookmarkStart w:id="27" w:name="lt_pId103"/>
      <w:r w:rsidR="00190125" w:rsidRPr="006C02AF">
        <w:t xml:space="preserve">La proposition soumise au </w:t>
      </w:r>
      <w:r w:rsidR="00531462" w:rsidRPr="006C02AF">
        <w:t>Conseil</w:t>
      </w:r>
      <w:r w:rsidR="008C0CC7" w:rsidRPr="006C02AF">
        <w:t xml:space="preserve"> </w:t>
      </w:r>
      <w:r w:rsidR="00190125" w:rsidRPr="006C02AF">
        <w:t>appelle des co</w:t>
      </w:r>
      <w:r w:rsidRPr="006C02AF">
        <w:t xml:space="preserve">nsultations </w:t>
      </w:r>
      <w:r w:rsidR="00190125" w:rsidRPr="006C02AF">
        <w:t>plus approfondies dans les meilleurs délais</w:t>
      </w:r>
      <w:r w:rsidRPr="006C02AF">
        <w:t>.</w:t>
      </w:r>
      <w:bookmarkEnd w:id="27"/>
    </w:p>
    <w:p w14:paraId="2CDE446A" w14:textId="5F471F11" w:rsidR="006D5C47" w:rsidRPr="006C02AF" w:rsidRDefault="006D5C47" w:rsidP="00E32CD7">
      <w:r w:rsidRPr="006C02AF">
        <w:lastRenderedPageBreak/>
        <w:t>6.7</w:t>
      </w:r>
      <w:r w:rsidRPr="006C02AF">
        <w:tab/>
      </w:r>
      <w:bookmarkStart w:id="28" w:name="lt_pId105"/>
      <w:r w:rsidR="00070139" w:rsidRPr="006C02AF">
        <w:t>Un</w:t>
      </w:r>
      <w:r w:rsidRPr="006C02AF">
        <w:t xml:space="preserve"> </w:t>
      </w:r>
      <w:r w:rsidR="00774F8B" w:rsidRPr="006C02AF">
        <w:t>conseiller</w:t>
      </w:r>
      <w:r w:rsidRPr="006C02AF">
        <w:t xml:space="preserve"> </w:t>
      </w:r>
      <w:r w:rsidR="00070139" w:rsidRPr="006C02AF">
        <w:t>apprécierait un complément d</w:t>
      </w:r>
      <w:r w:rsidR="00E32CD7" w:rsidRPr="006C02AF">
        <w:t>'</w:t>
      </w:r>
      <w:r w:rsidR="00070139" w:rsidRPr="006C02AF">
        <w:t xml:space="preserve">information. </w:t>
      </w:r>
      <w:r w:rsidR="00F14C53" w:rsidRPr="006C02AF">
        <w:t>Étant</w:t>
      </w:r>
      <w:r w:rsidR="00070139" w:rsidRPr="006C02AF">
        <w:t xml:space="preserve"> donné que le déficit s</w:t>
      </w:r>
      <w:r w:rsidR="00E32CD7" w:rsidRPr="006C02AF">
        <w:t>'</w:t>
      </w:r>
      <w:r w:rsidR="00070139" w:rsidRPr="006C02AF">
        <w:t>aggravera au cours des années à venir,</w:t>
      </w:r>
      <w:bookmarkEnd w:id="28"/>
      <w:r w:rsidR="008C0CC7" w:rsidRPr="006C02AF">
        <w:t xml:space="preserve"> </w:t>
      </w:r>
      <w:bookmarkStart w:id="29" w:name="lt_pId106"/>
      <w:r w:rsidR="00D03C60" w:rsidRPr="006C02AF">
        <w:t>l</w:t>
      </w:r>
      <w:r w:rsidR="00531462" w:rsidRPr="006C02AF">
        <w:t>e Conseil</w:t>
      </w:r>
      <w:r w:rsidR="008C0CC7" w:rsidRPr="006C02AF">
        <w:t xml:space="preserve"> </w:t>
      </w:r>
      <w:r w:rsidR="00D03C60" w:rsidRPr="006C02AF">
        <w:t>devrait demander au</w:t>
      </w:r>
      <w:r w:rsidR="008C0CC7" w:rsidRPr="006C02AF">
        <w:t xml:space="preserve"> </w:t>
      </w:r>
      <w:r w:rsidR="00855DDC" w:rsidRPr="006C02AF">
        <w:t>Groupe de travail du Conseil sur les ressources financières et les ressources humaines</w:t>
      </w:r>
      <w:r w:rsidR="008C0CC7" w:rsidRPr="006C02AF">
        <w:t xml:space="preserve"> </w:t>
      </w:r>
      <w:r w:rsidR="00D03C60" w:rsidRPr="006C02AF">
        <w:t>d</w:t>
      </w:r>
      <w:r w:rsidR="00E32CD7" w:rsidRPr="006C02AF">
        <w:t>'</w:t>
      </w:r>
      <w:r w:rsidR="00D03C60" w:rsidRPr="006C02AF">
        <w:t>examiner le processus d</w:t>
      </w:r>
      <w:r w:rsidR="00E32CD7" w:rsidRPr="006C02AF">
        <w:t>'</w:t>
      </w:r>
      <w:r w:rsidR="00D03C60" w:rsidRPr="006C02AF">
        <w:t>élaboration du</w:t>
      </w:r>
      <w:r w:rsidR="008C0CC7" w:rsidRPr="006C02AF">
        <w:t xml:space="preserve"> </w:t>
      </w:r>
      <w:r w:rsidRPr="006C02AF">
        <w:t xml:space="preserve">budget </w:t>
      </w:r>
      <w:r w:rsidR="00D03C60" w:rsidRPr="006C02AF">
        <w:t>pour s</w:t>
      </w:r>
      <w:r w:rsidR="00E32CD7" w:rsidRPr="006C02AF">
        <w:t>'</w:t>
      </w:r>
      <w:r w:rsidR="00D03C60" w:rsidRPr="006C02AF">
        <w:t xml:space="preserve">assurer que ce </w:t>
      </w:r>
      <w:r w:rsidR="00DA2FE7" w:rsidRPr="006C02AF">
        <w:t>document</w:t>
      </w:r>
      <w:r w:rsidR="00D03C60" w:rsidRPr="006C02AF">
        <w:t xml:space="preserve"> est non seulement équilibré mais réaliste. </w:t>
      </w:r>
      <w:r w:rsidR="00C00E74" w:rsidRPr="006C02AF">
        <w:t xml:space="preserve">Il devrait aussi </w:t>
      </w:r>
      <w:bookmarkStart w:id="30" w:name="lt_pId107"/>
      <w:bookmarkEnd w:id="29"/>
      <w:r w:rsidR="00C00E74" w:rsidRPr="006C02AF">
        <w:t xml:space="preserve">demander au </w:t>
      </w:r>
      <w:r w:rsidR="00855DDC" w:rsidRPr="006C02AF">
        <w:t xml:space="preserve">Groupe de travail </w:t>
      </w:r>
      <w:r w:rsidR="00F06635" w:rsidRPr="006C02AF">
        <w:t>de réfléchir à</w:t>
      </w:r>
      <w:r w:rsidR="00C00E74" w:rsidRPr="006C02AF">
        <w:t xml:space="preserve"> la manière dont l</w:t>
      </w:r>
      <w:r w:rsidR="00E07CFC" w:rsidRPr="006C02AF">
        <w:t>es activités demandées mais non budgétées</w:t>
      </w:r>
      <w:r w:rsidR="008C0CC7" w:rsidRPr="006C02AF">
        <w:t xml:space="preserve"> </w:t>
      </w:r>
      <w:r w:rsidRPr="006C02AF">
        <w:t>(</w:t>
      </w:r>
      <w:r w:rsidR="00E07CFC" w:rsidRPr="006C02AF">
        <w:t>UMAC</w:t>
      </w:r>
      <w:r w:rsidRPr="006C02AF">
        <w:t xml:space="preserve">), </w:t>
      </w:r>
      <w:r w:rsidR="00C00E74" w:rsidRPr="006C02AF">
        <w:t xml:space="preserve">qui </w:t>
      </w:r>
      <w:r w:rsidR="00C421C2" w:rsidRPr="006C02AF">
        <w:t>constituent</w:t>
      </w:r>
      <w:r w:rsidR="00C00E74" w:rsidRPr="006C02AF">
        <w:t xml:space="preserve"> déjà une sorte d</w:t>
      </w:r>
      <w:r w:rsidR="00E32CD7" w:rsidRPr="006C02AF">
        <w:t>'</w:t>
      </w:r>
      <w:r w:rsidR="00215519" w:rsidRPr="006C02AF">
        <w:t>"</w:t>
      </w:r>
      <w:r w:rsidR="00C00E74" w:rsidRPr="006C02AF">
        <w:t>activité gelée</w:t>
      </w:r>
      <w:r w:rsidR="00215519" w:rsidRPr="006C02AF">
        <w:t>"</w:t>
      </w:r>
      <w:r w:rsidR="00C00E74" w:rsidRPr="006C02AF">
        <w:t xml:space="preserve">, </w:t>
      </w:r>
      <w:r w:rsidR="00C421C2" w:rsidRPr="006C02AF">
        <w:t xml:space="preserve">pourraient être incorporées dans le </w:t>
      </w:r>
      <w:r w:rsidRPr="006C02AF">
        <w:t>budget</w:t>
      </w:r>
      <w:r w:rsidR="00E32CD7" w:rsidRPr="006C02AF">
        <w:t>;</w:t>
      </w:r>
      <w:r w:rsidR="008C0CC7" w:rsidRPr="006C02AF">
        <w:t xml:space="preserve"> </w:t>
      </w:r>
      <w:r w:rsidR="006C5827" w:rsidRPr="006C02AF">
        <w:t>il y</w:t>
      </w:r>
      <w:r w:rsidR="0029620D" w:rsidRPr="006C02AF">
        <w:t xml:space="preserve"> a</w:t>
      </w:r>
      <w:r w:rsidR="006C5827" w:rsidRPr="006C02AF">
        <w:t xml:space="preserve"> tout lieu de croire que cela représenterait </w:t>
      </w:r>
      <w:r w:rsidR="0029620D" w:rsidRPr="006C02AF">
        <w:t>un travail difficile mais pas</w:t>
      </w:r>
      <w:r w:rsidRPr="006C02AF">
        <w:t xml:space="preserve"> impossible.</w:t>
      </w:r>
      <w:bookmarkEnd w:id="30"/>
    </w:p>
    <w:p w14:paraId="65F3657B" w14:textId="6771E481" w:rsidR="006D5C47" w:rsidRPr="006C02AF" w:rsidRDefault="006D5C47" w:rsidP="00E32CD7">
      <w:r w:rsidRPr="006C02AF">
        <w:t>6.8</w:t>
      </w:r>
      <w:r w:rsidRPr="006C02AF">
        <w:tab/>
      </w:r>
      <w:bookmarkStart w:id="31" w:name="lt_pId109"/>
      <w:r w:rsidR="00150BC1" w:rsidRPr="006C02AF">
        <w:t xml:space="preserve">Le </w:t>
      </w:r>
      <w:r w:rsidR="00C6331B" w:rsidRPr="006C02AF">
        <w:t>Chef du Département de la gestion des ressources financières</w:t>
      </w:r>
      <w:r w:rsidRPr="006C02AF">
        <w:t xml:space="preserve">, </w:t>
      </w:r>
      <w:r w:rsidR="00150BC1" w:rsidRPr="006C02AF">
        <w:t xml:space="preserve">répondant aux </w:t>
      </w:r>
      <w:r w:rsidRPr="006C02AF">
        <w:t xml:space="preserve">questions </w:t>
      </w:r>
      <w:r w:rsidR="00150BC1" w:rsidRPr="006C02AF">
        <w:t>et aux observations</w:t>
      </w:r>
      <w:r w:rsidR="0091474C" w:rsidRPr="006C02AF">
        <w:t xml:space="preserve"> formulées</w:t>
      </w:r>
      <w:r w:rsidRPr="006C02AF">
        <w:t xml:space="preserve">, </w:t>
      </w:r>
      <w:r w:rsidR="00150BC1" w:rsidRPr="006C02AF">
        <w:t>rappelle que selon le</w:t>
      </w:r>
      <w:r w:rsidRPr="006C02AF">
        <w:t xml:space="preserve"> </w:t>
      </w:r>
      <w:r w:rsidR="00A32ACC" w:rsidRPr="006C02AF">
        <w:t>Règlement financier et les Règles financières</w:t>
      </w:r>
      <w:r w:rsidRPr="006C02AF">
        <w:t xml:space="preserve">, </w:t>
      </w:r>
      <w:r w:rsidR="00684338" w:rsidRPr="006C02AF">
        <w:t>l</w:t>
      </w:r>
      <w:r w:rsidR="00E32CD7" w:rsidRPr="006C02AF">
        <w:t>'</w:t>
      </w:r>
      <w:r w:rsidR="00684338" w:rsidRPr="006C02AF">
        <w:t>année ne peut pas s</w:t>
      </w:r>
      <w:r w:rsidR="00E32CD7" w:rsidRPr="006C02AF">
        <w:t>'</w:t>
      </w:r>
      <w:r w:rsidR="00684338" w:rsidRPr="006C02AF">
        <w:t>achever sur un déficit</w:t>
      </w:r>
      <w:r w:rsidRPr="006C02AF">
        <w:t>.</w:t>
      </w:r>
      <w:bookmarkEnd w:id="31"/>
      <w:r w:rsidRPr="006C02AF">
        <w:t xml:space="preserve"> </w:t>
      </w:r>
      <w:bookmarkStart w:id="32" w:name="lt_pId110"/>
      <w:r w:rsidR="00D420FA" w:rsidRPr="006C02AF">
        <w:t>Le groupe de travail</w:t>
      </w:r>
      <w:r w:rsidR="008C0CC7" w:rsidRPr="006C02AF">
        <w:t xml:space="preserve"> </w:t>
      </w:r>
      <w:r w:rsidR="00D420FA" w:rsidRPr="006C02AF">
        <w:t>cité par</w:t>
      </w:r>
      <w:r w:rsidRPr="006C02AF">
        <w:t xml:space="preserve"> </w:t>
      </w:r>
      <w:r w:rsidR="00BA1339" w:rsidRPr="006C02AF">
        <w:t>le Vice-Secrétaire général</w:t>
      </w:r>
      <w:r w:rsidR="008C0CC7" w:rsidRPr="006C02AF">
        <w:t xml:space="preserve"> </w:t>
      </w:r>
      <w:r w:rsidR="00D420FA" w:rsidRPr="006C02AF">
        <w:t>a examiné</w:t>
      </w:r>
      <w:r w:rsidRPr="006C02AF">
        <w:t xml:space="preserve"> </w:t>
      </w:r>
      <w:r w:rsidR="00700817" w:rsidRPr="006C02AF">
        <w:t>toutes les mesures qui peuvent être prises pour réduire les dépenses</w:t>
      </w:r>
      <w:r w:rsidR="00D33E20" w:rsidRPr="006C02AF">
        <w:t>, et continue de le faire chaque semaine</w:t>
      </w:r>
      <w:r w:rsidR="00700817" w:rsidRPr="006C02AF">
        <w:t xml:space="preserve">. En outre, </w:t>
      </w:r>
      <w:bookmarkStart w:id="33" w:name="lt_pId111"/>
      <w:bookmarkEnd w:id="32"/>
      <w:r w:rsidR="00A5406A" w:rsidRPr="006C02AF">
        <w:t>certains espèrent que les recettes vont augmenter avant la fin de l</w:t>
      </w:r>
      <w:r w:rsidR="00E32CD7" w:rsidRPr="006C02AF">
        <w:t>'</w:t>
      </w:r>
      <w:r w:rsidR="00A5406A" w:rsidRPr="006C02AF">
        <w:t xml:space="preserve">année, </w:t>
      </w:r>
      <w:r w:rsidR="00320D53" w:rsidRPr="006C02AF">
        <w:t>surtout grâce au recouvrement des coûts.</w:t>
      </w:r>
      <w:r w:rsidR="008C0CC7" w:rsidRPr="006C02AF">
        <w:t xml:space="preserve"> </w:t>
      </w:r>
      <w:r w:rsidR="00E234A4" w:rsidRPr="006C02AF">
        <w:t xml:space="preserve">Il </w:t>
      </w:r>
      <w:r w:rsidR="00BA7779" w:rsidRPr="006C02AF">
        <w:t xml:space="preserve">est exact que </w:t>
      </w:r>
      <w:r w:rsidR="00E234A4" w:rsidRPr="006C02AF">
        <w:t>les</w:t>
      </w:r>
      <w:r w:rsidR="008C0CC7" w:rsidRPr="006C02AF">
        <w:t xml:space="preserve"> </w:t>
      </w:r>
      <w:r w:rsidR="00320D53" w:rsidRPr="006C02AF">
        <w:t xml:space="preserve">futurs </w:t>
      </w:r>
      <w:bookmarkStart w:id="34" w:name="lt_pId112"/>
      <w:bookmarkEnd w:id="33"/>
      <w:r w:rsidRPr="006C02AF">
        <w:t>budgets</w:t>
      </w:r>
      <w:r w:rsidR="008C0CC7" w:rsidRPr="006C02AF">
        <w:t xml:space="preserve"> </w:t>
      </w:r>
      <w:r w:rsidR="00BA7779" w:rsidRPr="006C02AF">
        <w:t>devront être</w:t>
      </w:r>
      <w:r w:rsidR="00850667" w:rsidRPr="006C02AF">
        <w:t xml:space="preserve"> représentatifs des revenus et dépenses effectifs</w:t>
      </w:r>
      <w:r w:rsidR="00E32CD7" w:rsidRPr="006C02AF">
        <w:t>;</w:t>
      </w:r>
      <w:r w:rsidR="00850667" w:rsidRPr="006C02AF">
        <w:t xml:space="preserve"> toutefois, il ne faut pas oublier que le budget pour l</w:t>
      </w:r>
      <w:r w:rsidR="00E32CD7" w:rsidRPr="006C02AF">
        <w:t>'</w:t>
      </w:r>
      <w:r w:rsidR="00850667" w:rsidRPr="006C02AF">
        <w:t>exercice</w:t>
      </w:r>
      <w:r w:rsidRPr="006C02AF">
        <w:t xml:space="preserve"> 2021-2022 </w:t>
      </w:r>
      <w:r w:rsidR="00A97F7F" w:rsidRPr="006C02AF">
        <w:t>avait été approuvé e</w:t>
      </w:r>
      <w:r w:rsidRPr="006C02AF">
        <w:t xml:space="preserve">n 2019, </w:t>
      </w:r>
      <w:r w:rsidR="00A97F7F" w:rsidRPr="006C02AF">
        <w:t xml:space="preserve">soit bien avant </w:t>
      </w:r>
      <w:r w:rsidR="00E54371" w:rsidRPr="006C02AF">
        <w:t>l</w:t>
      </w:r>
      <w:r w:rsidR="00E32CD7" w:rsidRPr="006C02AF">
        <w:t>'</w:t>
      </w:r>
      <w:r w:rsidR="00E54371" w:rsidRPr="006C02AF">
        <w:t>évènement extraordinaire qu</w:t>
      </w:r>
      <w:r w:rsidR="00E32CD7" w:rsidRPr="006C02AF">
        <w:t>'</w:t>
      </w:r>
      <w:r w:rsidR="00E54371" w:rsidRPr="006C02AF">
        <w:t xml:space="preserve">a </w:t>
      </w:r>
      <w:r w:rsidR="00A96BDC" w:rsidRPr="006C02AF">
        <w:t>été</w:t>
      </w:r>
      <w:r w:rsidR="00E54371" w:rsidRPr="006C02AF">
        <w:t xml:space="preserve"> la </w:t>
      </w:r>
      <w:r w:rsidR="00A97F7F" w:rsidRPr="006C02AF">
        <w:t>pandémie de COVID-19</w:t>
      </w:r>
      <w:r w:rsidR="00E54371" w:rsidRPr="006C02AF">
        <w:t xml:space="preserve">. </w:t>
      </w:r>
      <w:r w:rsidR="004A7E2F" w:rsidRPr="006C02AF">
        <w:t>Le Chef du Département de la gestion des ressources financières dit qu</w:t>
      </w:r>
      <w:r w:rsidR="00E32CD7" w:rsidRPr="006C02AF">
        <w:t>'</w:t>
      </w:r>
      <w:r w:rsidR="004A7E2F" w:rsidRPr="006C02AF">
        <w:t xml:space="preserve">il </w:t>
      </w:r>
      <w:r w:rsidR="00E54371" w:rsidRPr="006C02AF">
        <w:t>serait difficile d</w:t>
      </w:r>
      <w:r w:rsidR="00E32CD7" w:rsidRPr="006C02AF">
        <w:t>'</w:t>
      </w:r>
      <w:r w:rsidR="00E54371" w:rsidRPr="006C02AF">
        <w:t>établir la liste des</w:t>
      </w:r>
      <w:bookmarkEnd w:id="34"/>
      <w:r w:rsidR="008C0CC7" w:rsidRPr="006C02AF">
        <w:t xml:space="preserve"> </w:t>
      </w:r>
      <w:bookmarkStart w:id="35" w:name="lt_pId113"/>
      <w:r w:rsidRPr="006C02AF">
        <w:t>missions</w:t>
      </w:r>
      <w:r w:rsidR="00E54371" w:rsidRPr="006C02AF">
        <w:t xml:space="preserve"> et </w:t>
      </w:r>
      <w:r w:rsidRPr="006C02AF">
        <w:t>recrut</w:t>
      </w:r>
      <w:r w:rsidR="00E54371" w:rsidRPr="006C02AF">
        <w:t>e</w:t>
      </w:r>
      <w:r w:rsidRPr="006C02AF">
        <w:t xml:space="preserve">ments </w:t>
      </w:r>
      <w:r w:rsidR="00E54371" w:rsidRPr="006C02AF">
        <w:t>qui ont été gelés</w:t>
      </w:r>
      <w:r w:rsidR="00E32CD7" w:rsidRPr="006C02AF">
        <w:t>;</w:t>
      </w:r>
      <w:r w:rsidR="00E05CA2" w:rsidRPr="006C02AF">
        <w:t xml:space="preserve"> toutefois, il</w:t>
      </w:r>
      <w:r w:rsidR="004A7E2F" w:rsidRPr="006C02AF">
        <w:t xml:space="preserve"> </w:t>
      </w:r>
      <w:r w:rsidR="00175686" w:rsidRPr="006C02AF">
        <w:t>donne aux</w:t>
      </w:r>
      <w:r w:rsidR="00546B5A" w:rsidRPr="006C02AF">
        <w:t xml:space="preserve"> </w:t>
      </w:r>
      <w:r w:rsidR="00A96BDC" w:rsidRPr="006C02AF">
        <w:t>États</w:t>
      </w:r>
      <w:r w:rsidR="00546B5A" w:rsidRPr="006C02AF">
        <w:t xml:space="preserve"> Membres</w:t>
      </w:r>
      <w:r w:rsidRPr="006C02AF">
        <w:t xml:space="preserve"> </w:t>
      </w:r>
      <w:r w:rsidR="00175686" w:rsidRPr="006C02AF">
        <w:t>l</w:t>
      </w:r>
      <w:r w:rsidR="00E32CD7" w:rsidRPr="006C02AF">
        <w:t>'</w:t>
      </w:r>
      <w:r w:rsidR="00175686" w:rsidRPr="006C02AF">
        <w:t>assurance que</w:t>
      </w:r>
      <w:r w:rsidRPr="006C02AF">
        <w:t xml:space="preserve"> </w:t>
      </w:r>
      <w:r w:rsidR="00813A79" w:rsidRPr="006C02AF">
        <w:t>le secrétariat</w:t>
      </w:r>
      <w:r w:rsidRPr="006C02AF">
        <w:t xml:space="preserve"> </w:t>
      </w:r>
      <w:r w:rsidR="00175686" w:rsidRPr="006C02AF">
        <w:t>s</w:t>
      </w:r>
      <w:r w:rsidR="00E32CD7" w:rsidRPr="006C02AF">
        <w:t>'</w:t>
      </w:r>
      <w:r w:rsidR="00175686" w:rsidRPr="006C02AF">
        <w:t xml:space="preserve">emploie avec toutes les parties concernées à résorber le </w:t>
      </w:r>
      <w:r w:rsidR="00684338" w:rsidRPr="006C02AF">
        <w:t>déficit</w:t>
      </w:r>
      <w:r w:rsidRPr="006C02AF">
        <w:t>.</w:t>
      </w:r>
      <w:bookmarkEnd w:id="35"/>
      <w:r w:rsidRPr="006C02AF">
        <w:t xml:space="preserve"> </w:t>
      </w:r>
      <w:bookmarkStart w:id="36" w:name="lt_pId114"/>
      <w:r w:rsidR="00175686" w:rsidRPr="006C02AF">
        <w:t xml:space="preserve">Répondant aux observations relatives aux </w:t>
      </w:r>
      <w:r w:rsidR="00E07CFC" w:rsidRPr="006C02AF">
        <w:t>UMAC</w:t>
      </w:r>
      <w:r w:rsidRPr="006C02AF">
        <w:t xml:space="preserve">, </w:t>
      </w:r>
      <w:r w:rsidR="008E6221" w:rsidRPr="006C02AF">
        <w:t>le Chef du Département de la gestion des ressources financières</w:t>
      </w:r>
      <w:r w:rsidR="008C0CC7" w:rsidRPr="006C02AF">
        <w:t xml:space="preserve"> </w:t>
      </w:r>
      <w:r w:rsidR="00CF6EBD" w:rsidRPr="006C02AF">
        <w:t>précise que les montants évoqués correspondent à des demandes supplémentaires qui ne figurent pas dans le plan financier en cours.</w:t>
      </w:r>
      <w:bookmarkStart w:id="37" w:name="lt_pId115"/>
      <w:bookmarkEnd w:id="36"/>
      <w:r w:rsidR="00595499" w:rsidRPr="006C02AF">
        <w:t xml:space="preserve"> L</w:t>
      </w:r>
      <w:r w:rsidR="00E07CFC" w:rsidRPr="006C02AF">
        <w:t>es UMAC</w:t>
      </w:r>
      <w:r w:rsidRPr="006C02AF">
        <w:t xml:space="preserve"> </w:t>
      </w:r>
      <w:r w:rsidR="00CF6EBD" w:rsidRPr="006C02AF">
        <w:t>et</w:t>
      </w:r>
      <w:r w:rsidRPr="006C02AF">
        <w:t xml:space="preserve"> </w:t>
      </w:r>
      <w:r w:rsidR="008C32A9" w:rsidRPr="006C02AF">
        <w:t>le</w:t>
      </w:r>
      <w:r w:rsidRPr="006C02AF">
        <w:t xml:space="preserve"> </w:t>
      </w:r>
      <w:r w:rsidR="00684338" w:rsidRPr="006C02AF">
        <w:t>déficit</w:t>
      </w:r>
      <w:r w:rsidRPr="006C02AF">
        <w:t xml:space="preserve"> </w:t>
      </w:r>
      <w:r w:rsidR="008C32A9" w:rsidRPr="006C02AF">
        <w:t>potentiel dans</w:t>
      </w:r>
      <w:r w:rsidR="00595499" w:rsidRPr="006C02AF">
        <w:t xml:space="preserve"> l</w:t>
      </w:r>
      <w:r w:rsidR="00E32CD7" w:rsidRPr="006C02AF">
        <w:t>'</w:t>
      </w:r>
      <w:r w:rsidR="00595499" w:rsidRPr="006C02AF">
        <w:t xml:space="preserve">utilisation des </w:t>
      </w:r>
      <w:r w:rsidR="00A96BDC" w:rsidRPr="006C02AF">
        <w:t>crédits ouverts</w:t>
      </w:r>
      <w:r w:rsidR="00595499" w:rsidRPr="006C02AF">
        <w:t xml:space="preserve"> </w:t>
      </w:r>
      <w:r w:rsidR="008C32A9" w:rsidRPr="006C02AF">
        <w:t>sont deux questions distinctes</w:t>
      </w:r>
      <w:r w:rsidRPr="006C02AF">
        <w:t>.</w:t>
      </w:r>
      <w:bookmarkEnd w:id="37"/>
    </w:p>
    <w:p w14:paraId="45890AC2" w14:textId="69FE0A6A" w:rsidR="006D5C47" w:rsidRPr="006C02AF" w:rsidRDefault="006D5C47" w:rsidP="00E32CD7">
      <w:r w:rsidRPr="006C02AF">
        <w:t>6.9</w:t>
      </w:r>
      <w:r w:rsidRPr="006C02AF">
        <w:tab/>
      </w:r>
      <w:bookmarkStart w:id="38" w:name="lt_pId117"/>
      <w:r w:rsidR="001E17F2" w:rsidRPr="006C02AF">
        <w:t>En outre, le</w:t>
      </w:r>
      <w:r w:rsidR="00F003C9" w:rsidRPr="006C02AF">
        <w:t xml:space="preserve"> Chef du Département de la gestion des ressources financières</w:t>
      </w:r>
      <w:r w:rsidR="001E17F2" w:rsidRPr="006C02AF">
        <w:t xml:space="preserve"> dit que</w:t>
      </w:r>
      <w:r w:rsidRPr="006C02AF">
        <w:t xml:space="preserve"> </w:t>
      </w:r>
      <w:r w:rsidR="00531462" w:rsidRPr="006C02AF">
        <w:t>le Conseil</w:t>
      </w:r>
      <w:r w:rsidR="008C0CC7" w:rsidRPr="006C02AF">
        <w:t xml:space="preserve"> </w:t>
      </w:r>
      <w:r w:rsidR="001E17F2" w:rsidRPr="006C02AF">
        <w:t>pourrait aussi envisager d</w:t>
      </w:r>
      <w:r w:rsidR="00E32CD7" w:rsidRPr="006C02AF">
        <w:t>'</w:t>
      </w:r>
      <w:r w:rsidR="001E17F2" w:rsidRPr="006C02AF">
        <w:t xml:space="preserve">autoriser </w:t>
      </w:r>
      <w:r w:rsidR="00BA1339" w:rsidRPr="006C02AF">
        <w:t xml:space="preserve">le Secrétaire général </w:t>
      </w:r>
      <w:r w:rsidR="00011B21" w:rsidRPr="006C02AF">
        <w:t xml:space="preserve">à utiliser les soldes </w:t>
      </w:r>
      <w:r w:rsidR="00595499" w:rsidRPr="006C02AF">
        <w:t>non u</w:t>
      </w:r>
      <w:r w:rsidR="00011B21" w:rsidRPr="006C02AF">
        <w:t>tilisés</w:t>
      </w:r>
      <w:r w:rsidRPr="006C02AF">
        <w:t xml:space="preserve"> </w:t>
      </w:r>
      <w:r w:rsidR="00011B21" w:rsidRPr="006C02AF">
        <w:t xml:space="preserve">des montants </w:t>
      </w:r>
      <w:r w:rsidR="00590AF4" w:rsidRPr="006C02AF">
        <w:t>verrouillés pour</w:t>
      </w:r>
      <w:r w:rsidR="00011B21" w:rsidRPr="006C02AF">
        <w:t xml:space="preserve"> d</w:t>
      </w:r>
      <w:r w:rsidR="00E32CD7" w:rsidRPr="006C02AF">
        <w:t>'</w:t>
      </w:r>
      <w:r w:rsidR="00011B21" w:rsidRPr="006C02AF">
        <w:t>autres</w:t>
      </w:r>
      <w:r w:rsidR="008C0CC7" w:rsidRPr="006C02AF">
        <w:t xml:space="preserve"> </w:t>
      </w:r>
      <w:r w:rsidR="00680133" w:rsidRPr="006C02AF">
        <w:t>activités</w:t>
      </w:r>
      <w:r w:rsidRPr="006C02AF">
        <w:t xml:space="preserve">, </w:t>
      </w:r>
      <w:r w:rsidR="00011B21" w:rsidRPr="006C02AF">
        <w:t>telles que l</w:t>
      </w:r>
      <w:r w:rsidRPr="006C02AF">
        <w:t>e</w:t>
      </w:r>
      <w:r w:rsidR="008C0CC7" w:rsidRPr="006C02AF">
        <w:t xml:space="preserve"> </w:t>
      </w:r>
      <w:r w:rsidR="00723375" w:rsidRPr="006C02AF">
        <w:t>la vérification juricomptable</w:t>
      </w:r>
      <w:r w:rsidR="00EF7FF0" w:rsidRPr="006C02AF">
        <w:t>,</w:t>
      </w:r>
      <w:r w:rsidRPr="006C02AF">
        <w:t xml:space="preserve"> </w:t>
      </w:r>
      <w:r w:rsidR="00011B21" w:rsidRPr="006C02AF">
        <w:t>pour combler</w:t>
      </w:r>
      <w:r w:rsidRPr="006C02AF">
        <w:t xml:space="preserve"> </w:t>
      </w:r>
      <w:r w:rsidR="00011B21" w:rsidRPr="006C02AF">
        <w:t>l</w:t>
      </w:r>
      <w:r w:rsidR="00E32CD7" w:rsidRPr="006C02AF">
        <w:t>'</w:t>
      </w:r>
      <w:r w:rsidR="00011B21" w:rsidRPr="006C02AF">
        <w:t>écart négatif</w:t>
      </w:r>
      <w:r w:rsidRPr="006C02AF">
        <w:t>.</w:t>
      </w:r>
      <w:bookmarkEnd w:id="38"/>
    </w:p>
    <w:p w14:paraId="356E7D9C" w14:textId="17580CD2" w:rsidR="006D5C47" w:rsidRPr="006C02AF" w:rsidRDefault="006D5C47" w:rsidP="00E32CD7">
      <w:r w:rsidRPr="006C02AF">
        <w:t>6.10</w:t>
      </w:r>
      <w:r w:rsidRPr="006C02AF">
        <w:tab/>
      </w:r>
      <w:bookmarkStart w:id="39" w:name="lt_pId119"/>
      <w:r w:rsidR="00011B21" w:rsidRPr="006C02AF">
        <w:t>Plusieurs</w:t>
      </w:r>
      <w:r w:rsidRPr="006C02AF">
        <w:t xml:space="preserve"> </w:t>
      </w:r>
      <w:r w:rsidR="00774F8B" w:rsidRPr="006C02AF">
        <w:t>conseiller</w:t>
      </w:r>
      <w:r w:rsidRPr="006C02AF">
        <w:t xml:space="preserve">s </w:t>
      </w:r>
      <w:r w:rsidR="0019736F" w:rsidRPr="006C02AF">
        <w:t>accueillent avec intérêt la proposition de réaffecter</w:t>
      </w:r>
      <w:r w:rsidRPr="006C02AF">
        <w:t xml:space="preserve"> </w:t>
      </w:r>
      <w:r w:rsidR="007F60B6" w:rsidRPr="006C02AF">
        <w:t>les parties non utilisées des fonds</w:t>
      </w:r>
      <w:r w:rsidRPr="006C02AF">
        <w:t xml:space="preserve"> </w:t>
      </w:r>
      <w:r w:rsidR="0019736F" w:rsidRPr="006C02AF">
        <w:t>et</w:t>
      </w:r>
      <w:r w:rsidRPr="006C02AF">
        <w:t xml:space="preserve"> </w:t>
      </w:r>
      <w:r w:rsidR="0019736F" w:rsidRPr="006C02AF">
        <w:t xml:space="preserve">demandent si les chiffres pourraient </w:t>
      </w:r>
      <w:r w:rsidR="008A1D90" w:rsidRPr="006C02AF">
        <w:t>leur être communiqués avant la fin de la réunion.</w:t>
      </w:r>
      <w:bookmarkEnd w:id="39"/>
    </w:p>
    <w:p w14:paraId="6AD587EF" w14:textId="673E4ECF" w:rsidR="006D5C47" w:rsidRPr="006C02AF" w:rsidRDefault="006D5C47" w:rsidP="00E32CD7">
      <w:r w:rsidRPr="006C02AF">
        <w:t>6.11</w:t>
      </w:r>
      <w:r w:rsidRPr="006C02AF">
        <w:tab/>
      </w:r>
      <w:bookmarkStart w:id="40" w:name="lt_pId121"/>
      <w:r w:rsidR="00B21973" w:rsidRPr="006C02AF">
        <w:t>La Directrice du</w:t>
      </w:r>
      <w:r w:rsidR="008C0CC7" w:rsidRPr="006C02AF">
        <w:t xml:space="preserve"> </w:t>
      </w:r>
      <w:bookmarkStart w:id="41" w:name="_Hlk120101284"/>
      <w:r w:rsidR="00AE01A9" w:rsidRPr="006C02AF">
        <w:t>Bureau de développement des télécommunications (BDT)</w:t>
      </w:r>
      <w:bookmarkEnd w:id="41"/>
      <w:r w:rsidRPr="006C02AF">
        <w:t xml:space="preserve"> </w:t>
      </w:r>
      <w:r w:rsidR="00B21973" w:rsidRPr="006C02AF">
        <w:t>souligne qu</w:t>
      </w:r>
      <w:r w:rsidR="00E32CD7" w:rsidRPr="006C02AF">
        <w:t>'</w:t>
      </w:r>
      <w:r w:rsidR="00B21973" w:rsidRPr="006C02AF">
        <w:t xml:space="preserve">aucun </w:t>
      </w:r>
      <w:r w:rsidRPr="006C02AF">
        <w:t xml:space="preserve">effort </w:t>
      </w:r>
      <w:r w:rsidR="00486AF9" w:rsidRPr="006C02AF">
        <w:t>n</w:t>
      </w:r>
      <w:r w:rsidR="00E32CD7" w:rsidRPr="006C02AF">
        <w:t>'</w:t>
      </w:r>
      <w:r w:rsidR="00486AF9" w:rsidRPr="006C02AF">
        <w:t>a été ménagé pour réduire les dépenses tout en assurant la continuité des opérations et que le</w:t>
      </w:r>
      <w:r w:rsidR="008C0CC7" w:rsidRPr="006C02AF">
        <w:t xml:space="preserve"> </w:t>
      </w:r>
      <w:r w:rsidR="00684338" w:rsidRPr="006C02AF">
        <w:t>déficit</w:t>
      </w:r>
      <w:r w:rsidRPr="006C02AF">
        <w:t xml:space="preserve"> </w:t>
      </w:r>
      <w:r w:rsidR="00486AF9" w:rsidRPr="006C02AF">
        <w:t>découle d</w:t>
      </w:r>
      <w:r w:rsidR="00E32CD7" w:rsidRPr="006C02AF">
        <w:t>'</w:t>
      </w:r>
      <w:r w:rsidR="00486AF9" w:rsidRPr="006C02AF">
        <w:t>un</w:t>
      </w:r>
      <w:r w:rsidR="008C0CC7" w:rsidRPr="006C02AF">
        <w:t xml:space="preserve"> </w:t>
      </w:r>
      <w:r w:rsidR="00011B21" w:rsidRPr="006C02AF">
        <w:t xml:space="preserve">écart </w:t>
      </w:r>
      <w:r w:rsidR="00231116" w:rsidRPr="006C02AF">
        <w:t>par rapport aux recettes pr</w:t>
      </w:r>
      <w:r w:rsidR="00FD1C3C" w:rsidRPr="006C02AF">
        <w:t>évues et non d</w:t>
      </w:r>
      <w:r w:rsidR="00E32CD7" w:rsidRPr="006C02AF">
        <w:t>'</w:t>
      </w:r>
      <w:r w:rsidR="00FD1C3C" w:rsidRPr="006C02AF">
        <w:t>un dépassement de b</w:t>
      </w:r>
      <w:bookmarkStart w:id="42" w:name="lt_pId122"/>
      <w:bookmarkEnd w:id="40"/>
      <w:r w:rsidR="00FD1C3C" w:rsidRPr="006C02AF">
        <w:t>udget.</w:t>
      </w:r>
      <w:r w:rsidR="008C0CC7" w:rsidRPr="006C02AF">
        <w:t xml:space="preserve"> </w:t>
      </w:r>
      <w:r w:rsidR="008407A3" w:rsidRPr="006C02AF">
        <w:t>Les interventions essentielles peuvent être définies comme celles qui sont menées pour répondre aux besoins des membres de l</w:t>
      </w:r>
      <w:r w:rsidR="00E32CD7" w:rsidRPr="006C02AF">
        <w:t>'</w:t>
      </w:r>
      <w:r w:rsidR="008407A3" w:rsidRPr="006C02AF">
        <w:t>organisation. En ce qui concerne</w:t>
      </w:r>
      <w:bookmarkEnd w:id="42"/>
      <w:r w:rsidR="008C0CC7" w:rsidRPr="006C02AF">
        <w:t xml:space="preserve"> </w:t>
      </w:r>
      <w:bookmarkStart w:id="43" w:name="lt_pId123"/>
      <w:r w:rsidR="0066222E" w:rsidRPr="006C02AF">
        <w:t>l'UIT-D</w:t>
      </w:r>
      <w:r w:rsidRPr="006C02AF">
        <w:t xml:space="preserve">, </w:t>
      </w:r>
      <w:r w:rsidR="000269A3" w:rsidRPr="006C02AF">
        <w:t xml:space="preserve">si le </w:t>
      </w:r>
      <w:r w:rsidR="00684338" w:rsidRPr="006C02AF">
        <w:t>déficit</w:t>
      </w:r>
      <w:r w:rsidRPr="006C02AF">
        <w:t xml:space="preserve"> </w:t>
      </w:r>
      <w:r w:rsidR="000269A3" w:rsidRPr="006C02AF">
        <w:t>n</w:t>
      </w:r>
      <w:r w:rsidR="00E32CD7" w:rsidRPr="006C02AF">
        <w:t>'</w:t>
      </w:r>
      <w:r w:rsidR="000269A3" w:rsidRPr="006C02AF">
        <w:t xml:space="preserve">est pas </w:t>
      </w:r>
      <w:r w:rsidR="00CC74AF" w:rsidRPr="006C02AF">
        <w:t>comblé</w:t>
      </w:r>
      <w:r w:rsidR="000269A3" w:rsidRPr="006C02AF">
        <w:t>,</w:t>
      </w:r>
      <w:r w:rsidR="008C0CC7" w:rsidRPr="006C02AF">
        <w:t xml:space="preserve"> </w:t>
      </w:r>
      <w:r w:rsidRPr="006C02AF">
        <w:t>certain</w:t>
      </w:r>
      <w:r w:rsidR="000269A3" w:rsidRPr="006C02AF">
        <w:t>s</w:t>
      </w:r>
      <w:r w:rsidR="008D1333" w:rsidRPr="006C02AF">
        <w:t xml:space="preserve"> </w:t>
      </w:r>
      <w:r w:rsidRPr="006C02AF">
        <w:t xml:space="preserve">programmes </w:t>
      </w:r>
      <w:r w:rsidR="00A96E62" w:rsidRPr="006C02AF">
        <w:t>d</w:t>
      </w:r>
      <w:r w:rsidR="00E32CD7" w:rsidRPr="006C02AF">
        <w:t>'</w:t>
      </w:r>
      <w:r w:rsidR="00A96E62" w:rsidRPr="006C02AF">
        <w:t xml:space="preserve">assistance </w:t>
      </w:r>
      <w:r w:rsidR="00B65BFB" w:rsidRPr="006C02AF">
        <w:t>techni</w:t>
      </w:r>
      <w:r w:rsidR="00A96E62" w:rsidRPr="006C02AF">
        <w:t>que</w:t>
      </w:r>
      <w:r w:rsidR="00B65BFB" w:rsidRPr="006C02AF">
        <w:t xml:space="preserve"> du BDT </w:t>
      </w:r>
      <w:r w:rsidR="00A96E62" w:rsidRPr="006C02AF">
        <w:t>devront être interrompus</w:t>
      </w:r>
      <w:r w:rsidR="009A395B" w:rsidRPr="006C02AF">
        <w:t>, certaines des activités de renforcement des capacités décidées par</w:t>
      </w:r>
      <w:r w:rsidRPr="006C02AF">
        <w:t xml:space="preserve"> </w:t>
      </w:r>
      <w:bookmarkStart w:id="44" w:name="_Hlk120101273"/>
      <w:r w:rsidR="00AA06EF" w:rsidRPr="006C02AF">
        <w:t>la vingt-deuxième Conférence mondiale de développement des télécommunications (CMDT</w:t>
      </w:r>
      <w:r w:rsidRPr="006C02AF">
        <w:t>-22</w:t>
      </w:r>
      <w:bookmarkEnd w:id="44"/>
      <w:r w:rsidR="00AA06EF" w:rsidRPr="006C02AF">
        <w:t>)</w:t>
      </w:r>
      <w:r w:rsidRPr="006C02AF">
        <w:t xml:space="preserve"> </w:t>
      </w:r>
      <w:r w:rsidR="009A395B" w:rsidRPr="006C02AF">
        <w:t xml:space="preserve">devront être annulées et </w:t>
      </w:r>
      <w:r w:rsidR="00492F15" w:rsidRPr="006C02AF">
        <w:t xml:space="preserve">la mise en </w:t>
      </w:r>
      <w:r w:rsidR="00F14C53" w:rsidRPr="006C02AF">
        <w:t>œuvre</w:t>
      </w:r>
      <w:r w:rsidR="009A395B" w:rsidRPr="006C02AF">
        <w:t xml:space="preserve"> </w:t>
      </w:r>
      <w:r w:rsidR="0017560E" w:rsidRPr="006C02AF">
        <w:t xml:space="preserve">du </w:t>
      </w:r>
      <w:r w:rsidR="009A395B" w:rsidRPr="006C02AF">
        <w:t xml:space="preserve">plan opérationnel du quatrième trimestre </w:t>
      </w:r>
      <w:r w:rsidR="00EC43B0" w:rsidRPr="006C02AF">
        <w:t>sera touchée</w:t>
      </w:r>
      <w:r w:rsidRPr="006C02AF">
        <w:t>.</w:t>
      </w:r>
      <w:bookmarkEnd w:id="43"/>
    </w:p>
    <w:p w14:paraId="1CCCD9DB" w14:textId="5417EE2A" w:rsidR="006D5C47" w:rsidRPr="006C02AF" w:rsidRDefault="006D5C47" w:rsidP="00E32CD7">
      <w:r w:rsidRPr="006C02AF">
        <w:t>6.12</w:t>
      </w:r>
      <w:r w:rsidRPr="006C02AF">
        <w:tab/>
      </w:r>
      <w:bookmarkStart w:id="45" w:name="lt_pId125"/>
      <w:r w:rsidR="0012786F" w:rsidRPr="006C02AF">
        <w:t>Le Directeur du Bureau des radiocommunications</w:t>
      </w:r>
      <w:r w:rsidRPr="006C02AF">
        <w:t xml:space="preserve"> </w:t>
      </w:r>
      <w:r w:rsidR="001B0B81" w:rsidRPr="006C02AF">
        <w:t>dit que si le déficit n</w:t>
      </w:r>
      <w:r w:rsidR="00E32CD7" w:rsidRPr="006C02AF">
        <w:t>'</w:t>
      </w:r>
      <w:r w:rsidR="001B0B81" w:rsidRPr="006C02AF">
        <w:t>est pas com</w:t>
      </w:r>
      <w:r w:rsidR="00D8295D" w:rsidRPr="006C02AF">
        <w:t>bl</w:t>
      </w:r>
      <w:r w:rsidR="001B0B81" w:rsidRPr="006C02AF">
        <w:t>é,</w:t>
      </w:r>
      <w:r w:rsidRPr="006C02AF">
        <w:t xml:space="preserve"> </w:t>
      </w:r>
      <w:r w:rsidR="001B0B81" w:rsidRPr="006C02AF">
        <w:t>l</w:t>
      </w:r>
      <w:r w:rsidRPr="006C02AF">
        <w:t xml:space="preserve">e Bureau </w:t>
      </w:r>
      <w:r w:rsidR="001B0B81" w:rsidRPr="006C02AF">
        <w:t>sera notamment obligé d</w:t>
      </w:r>
      <w:r w:rsidR="00E32CD7" w:rsidRPr="006C02AF">
        <w:t>'</w:t>
      </w:r>
      <w:r w:rsidR="001B0B81" w:rsidRPr="006C02AF">
        <w:t xml:space="preserve">annuler des </w:t>
      </w:r>
      <w:r w:rsidRPr="006C02AF">
        <w:t xml:space="preserve">missions </w:t>
      </w:r>
      <w:r w:rsidR="001B0B81" w:rsidRPr="006C02AF">
        <w:t>d</w:t>
      </w:r>
      <w:r w:rsidR="00E32CD7" w:rsidRPr="006C02AF">
        <w:t>'</w:t>
      </w:r>
      <w:r w:rsidR="001B0B81" w:rsidRPr="006C02AF">
        <w:t xml:space="preserve">appui aux </w:t>
      </w:r>
      <w:r w:rsidR="00C53F5D" w:rsidRPr="006C02AF">
        <w:t xml:space="preserve">groupes régionaux dans le cadre des </w:t>
      </w:r>
      <w:r w:rsidR="001B0B81" w:rsidRPr="006C02AF">
        <w:t>préparatifs de</w:t>
      </w:r>
      <w:r w:rsidR="008C0CC7" w:rsidRPr="006C02AF">
        <w:t xml:space="preserve"> </w:t>
      </w:r>
      <w:r w:rsidR="001B0B81" w:rsidRPr="006C02AF">
        <w:t>la vingt-troisième Conférence mondiale des radiocommunications (CMR</w:t>
      </w:r>
      <w:r w:rsidR="00215519" w:rsidRPr="006C02AF">
        <w:noBreakHyphen/>
      </w:r>
      <w:r w:rsidR="001B0B81" w:rsidRPr="006C02AF">
        <w:t>23)</w:t>
      </w:r>
      <w:r w:rsidR="00E32CD7" w:rsidRPr="006C02AF">
        <w:t>;</w:t>
      </w:r>
      <w:r w:rsidR="00247A80" w:rsidRPr="006C02AF">
        <w:t xml:space="preserve"> les activités</w:t>
      </w:r>
      <w:r w:rsidRPr="006C02AF">
        <w:t xml:space="preserve"> </w:t>
      </w:r>
      <w:r w:rsidR="00247A80" w:rsidRPr="006C02AF">
        <w:t xml:space="preserve">de </w:t>
      </w:r>
      <w:r w:rsidR="00C53F5D" w:rsidRPr="006C02AF">
        <w:t xml:space="preserve">renforcement des capacités des petits </w:t>
      </w:r>
      <w:r w:rsidR="00A96BDC" w:rsidRPr="006C02AF">
        <w:t>États</w:t>
      </w:r>
      <w:r w:rsidR="00C53F5D" w:rsidRPr="006C02AF">
        <w:t xml:space="preserve"> insulaires du Pacifique </w:t>
      </w:r>
      <w:r w:rsidR="007C7ED9" w:rsidRPr="006C02AF">
        <w:t>en subiront</w:t>
      </w:r>
      <w:r w:rsidR="00C53F5D" w:rsidRPr="006C02AF">
        <w:t xml:space="preserve"> aussi </w:t>
      </w:r>
      <w:r w:rsidR="007C7ED9" w:rsidRPr="006C02AF">
        <w:t>les effets</w:t>
      </w:r>
      <w:r w:rsidR="00C53F5D" w:rsidRPr="006C02AF">
        <w:t>.</w:t>
      </w:r>
      <w:bookmarkEnd w:id="45"/>
    </w:p>
    <w:p w14:paraId="79CE6E1D" w14:textId="5FAC119F" w:rsidR="006D5C47" w:rsidRPr="006C02AF" w:rsidRDefault="006D5C47" w:rsidP="00E32CD7">
      <w:r w:rsidRPr="006C02AF">
        <w:lastRenderedPageBreak/>
        <w:t>6.13</w:t>
      </w:r>
      <w:r w:rsidRPr="006C02AF">
        <w:tab/>
      </w:r>
      <w:bookmarkStart w:id="46" w:name="lt_pId127"/>
      <w:r w:rsidR="00785F32" w:rsidRPr="006C02AF">
        <w:t>L</w:t>
      </w:r>
      <w:r w:rsidRPr="006C02AF">
        <w:t>e Direct</w:t>
      </w:r>
      <w:r w:rsidR="00785F32" w:rsidRPr="006C02AF">
        <w:t>eu</w:t>
      </w:r>
      <w:r w:rsidRPr="006C02AF">
        <w:t xml:space="preserve">r </w:t>
      </w:r>
      <w:r w:rsidR="00785F32" w:rsidRPr="006C02AF">
        <w:t>du Bulletin de systèmes de télécommunication</w:t>
      </w:r>
      <w:r w:rsidRPr="006C02AF">
        <w:t xml:space="preserve"> </w:t>
      </w:r>
      <w:r w:rsidR="00785F32" w:rsidRPr="006C02AF">
        <w:t>(</w:t>
      </w:r>
      <w:r w:rsidRPr="006C02AF">
        <w:t>TSB</w:t>
      </w:r>
      <w:r w:rsidR="00785F32" w:rsidRPr="006C02AF">
        <w:t>)</w:t>
      </w:r>
      <w:r w:rsidRPr="006C02AF">
        <w:t xml:space="preserve"> </w:t>
      </w:r>
      <w:r w:rsidR="006E3390" w:rsidRPr="006C02AF">
        <w:t>dit que le Secteur de la normalisation des télécommunications de l'UIT (</w:t>
      </w:r>
      <w:r w:rsidR="00D50499" w:rsidRPr="006C02AF">
        <w:t>UIT</w:t>
      </w:r>
      <w:r w:rsidRPr="006C02AF">
        <w:t>-T</w:t>
      </w:r>
      <w:r w:rsidR="006E3390" w:rsidRPr="006C02AF">
        <w:t>)</w:t>
      </w:r>
      <w:r w:rsidRPr="006C02AF">
        <w:t xml:space="preserve"> </w:t>
      </w:r>
      <w:r w:rsidR="006E3390" w:rsidRPr="006C02AF">
        <w:t>a moins ressenti les effets des coupes budgétaires</w:t>
      </w:r>
      <w:r w:rsidR="002B51DE" w:rsidRPr="006C02AF">
        <w:t xml:space="preserve"> que les autres secteurs mais pourrait néanmoins être obligé d</w:t>
      </w:r>
      <w:r w:rsidR="00E32CD7" w:rsidRPr="006C02AF">
        <w:t>'</w:t>
      </w:r>
      <w:r w:rsidR="002B51DE" w:rsidRPr="006C02AF">
        <w:t>annuler des</w:t>
      </w:r>
      <w:r w:rsidR="008C0CC7" w:rsidRPr="006C02AF">
        <w:t xml:space="preserve"> </w:t>
      </w:r>
      <w:r w:rsidRPr="006C02AF">
        <w:t xml:space="preserve">missions </w:t>
      </w:r>
      <w:r w:rsidR="002B51DE" w:rsidRPr="006C02AF">
        <w:t>vers</w:t>
      </w:r>
      <w:r w:rsidR="008C0CC7" w:rsidRPr="006C02AF">
        <w:t xml:space="preserve"> </w:t>
      </w:r>
      <w:r w:rsidRPr="006C02AF">
        <w:t>certain</w:t>
      </w:r>
      <w:r w:rsidR="002B51DE" w:rsidRPr="006C02AF">
        <w:t>s</w:t>
      </w:r>
      <w:r w:rsidRPr="006C02AF">
        <w:t xml:space="preserve"> group</w:t>
      </w:r>
      <w:r w:rsidR="002B51DE" w:rsidRPr="006C02AF">
        <w:t>e</w:t>
      </w:r>
      <w:r w:rsidRPr="006C02AF">
        <w:t xml:space="preserve">s </w:t>
      </w:r>
      <w:r w:rsidR="002B51DE" w:rsidRPr="006C02AF">
        <w:t xml:space="preserve">régionaux </w:t>
      </w:r>
      <w:r w:rsidR="00D8058A" w:rsidRPr="006C02AF">
        <w:t>et d</w:t>
      </w:r>
      <w:r w:rsidR="00E32CD7" w:rsidRPr="006C02AF">
        <w:t>'</w:t>
      </w:r>
      <w:r w:rsidR="00D8058A" w:rsidRPr="006C02AF">
        <w:t>importantes organisations de normalisation</w:t>
      </w:r>
      <w:r w:rsidR="00E32CD7" w:rsidRPr="006C02AF">
        <w:t>;</w:t>
      </w:r>
      <w:r w:rsidRPr="006C02AF">
        <w:t xml:space="preserve"> </w:t>
      </w:r>
      <w:r w:rsidR="00D8058A" w:rsidRPr="006C02AF">
        <w:t xml:space="preserve">un certain nombre </w:t>
      </w:r>
      <w:r w:rsidR="00A96BDC" w:rsidRPr="006C02AF">
        <w:t>d</w:t>
      </w:r>
      <w:r w:rsidR="00E32CD7" w:rsidRPr="006C02AF">
        <w:t>'</w:t>
      </w:r>
      <w:r w:rsidR="00A96BDC" w:rsidRPr="006C02AF">
        <w:t>engagements</w:t>
      </w:r>
      <w:r w:rsidR="00D8058A" w:rsidRPr="006C02AF">
        <w:t xml:space="preserve"> de courte durée</w:t>
      </w:r>
      <w:r w:rsidRPr="006C02AF">
        <w:t xml:space="preserve"> </w:t>
      </w:r>
      <w:r w:rsidR="00D8058A" w:rsidRPr="006C02AF">
        <w:t>ont d</w:t>
      </w:r>
      <w:r w:rsidR="00E32CD7" w:rsidRPr="006C02AF">
        <w:t>'</w:t>
      </w:r>
      <w:r w:rsidR="00D8058A" w:rsidRPr="006C02AF">
        <w:t>ores et déjà été gelés</w:t>
      </w:r>
      <w:r w:rsidRPr="006C02AF">
        <w:t>.</w:t>
      </w:r>
      <w:bookmarkEnd w:id="46"/>
    </w:p>
    <w:p w14:paraId="7F633A47" w14:textId="672CE098" w:rsidR="006D5C47" w:rsidRPr="006C02AF" w:rsidRDefault="006D5C47" w:rsidP="00E32CD7">
      <w:r w:rsidRPr="006C02AF">
        <w:t>6.14</w:t>
      </w:r>
      <w:r w:rsidRPr="006C02AF">
        <w:tab/>
      </w:r>
      <w:bookmarkStart w:id="47" w:name="lt_pId129"/>
      <w:r w:rsidR="00C477BC" w:rsidRPr="006C02AF">
        <w:t>De nombreux</w:t>
      </w:r>
      <w:r w:rsidRPr="006C02AF">
        <w:t xml:space="preserve"> </w:t>
      </w:r>
      <w:r w:rsidR="00774F8B" w:rsidRPr="006C02AF">
        <w:t>conseiller</w:t>
      </w:r>
      <w:r w:rsidRPr="006C02AF">
        <w:t xml:space="preserve">s </w:t>
      </w:r>
      <w:r w:rsidR="00C477BC" w:rsidRPr="006C02AF">
        <w:t>estiment que les</w:t>
      </w:r>
      <w:r w:rsidR="008C0CC7" w:rsidRPr="006C02AF">
        <w:t xml:space="preserve"> </w:t>
      </w:r>
      <w:r w:rsidR="00C477BC" w:rsidRPr="006C02AF">
        <w:t>efforts faits par</w:t>
      </w:r>
      <w:r w:rsidR="008C0CC7" w:rsidRPr="006C02AF">
        <w:t xml:space="preserve"> </w:t>
      </w:r>
      <w:r w:rsidR="00813A79" w:rsidRPr="006C02AF">
        <w:t>le secrétariat</w:t>
      </w:r>
      <w:r w:rsidR="00C477BC" w:rsidRPr="006C02AF">
        <w:t xml:space="preserve"> pour réduire le</w:t>
      </w:r>
      <w:r w:rsidR="008C0CC7" w:rsidRPr="006C02AF">
        <w:t xml:space="preserve"> </w:t>
      </w:r>
      <w:r w:rsidR="00684338" w:rsidRPr="006C02AF">
        <w:t>déficit</w:t>
      </w:r>
      <w:r w:rsidRPr="006C02AF">
        <w:t xml:space="preserve"> </w:t>
      </w:r>
      <w:r w:rsidR="00C477BC" w:rsidRPr="006C02AF">
        <w:t>sont dignes d</w:t>
      </w:r>
      <w:r w:rsidR="00E32CD7" w:rsidRPr="006C02AF">
        <w:t>'</w:t>
      </w:r>
      <w:r w:rsidR="00C477BC" w:rsidRPr="006C02AF">
        <w:t xml:space="preserve">éloges, </w:t>
      </w:r>
      <w:r w:rsidR="002E5769" w:rsidRPr="006C02AF">
        <w:t>surtout pendant une année où trois grandes conférences ont eu lieu.</w:t>
      </w:r>
      <w:r w:rsidR="008C0CC7" w:rsidRPr="006C02AF">
        <w:t xml:space="preserve"> </w:t>
      </w:r>
      <w:bookmarkStart w:id="48" w:name="lt_pId130"/>
      <w:bookmarkEnd w:id="47"/>
      <w:r w:rsidR="008F2F7B" w:rsidRPr="006C02AF">
        <w:t xml:space="preserve">Les </w:t>
      </w:r>
      <w:r w:rsidR="00680133" w:rsidRPr="006C02AF">
        <w:t>activités</w:t>
      </w:r>
      <w:r w:rsidRPr="006C02AF">
        <w:t xml:space="preserve"> </w:t>
      </w:r>
      <w:r w:rsidR="00647224" w:rsidRPr="006C02AF">
        <w:t xml:space="preserve">décrites par </w:t>
      </w:r>
      <w:bookmarkStart w:id="49" w:name="_Hlk120297687"/>
      <w:r w:rsidR="00647224" w:rsidRPr="006C02AF">
        <w:t xml:space="preserve">les trois directeurs </w:t>
      </w:r>
      <w:r w:rsidR="007864B5" w:rsidRPr="006C02AF">
        <w:t>sont toutes d</w:t>
      </w:r>
      <w:r w:rsidR="00E32CD7" w:rsidRPr="006C02AF">
        <w:t>'</w:t>
      </w:r>
      <w:r w:rsidR="007864B5" w:rsidRPr="006C02AF">
        <w:t>une grande importance</w:t>
      </w:r>
      <w:r w:rsidR="00E32CD7" w:rsidRPr="006C02AF">
        <w:t>;</w:t>
      </w:r>
      <w:r w:rsidR="007864B5" w:rsidRPr="006C02AF">
        <w:t xml:space="preserve"> de ce fait, </w:t>
      </w:r>
      <w:bookmarkEnd w:id="49"/>
      <w:r w:rsidR="00531462" w:rsidRPr="006C02AF">
        <w:t>le Conseil</w:t>
      </w:r>
      <w:r w:rsidR="008C0CC7" w:rsidRPr="006C02AF">
        <w:t xml:space="preserve"> </w:t>
      </w:r>
      <w:r w:rsidR="007864B5" w:rsidRPr="006C02AF">
        <w:t xml:space="preserve">devrait approuver la résolution </w:t>
      </w:r>
      <w:r w:rsidR="00D7141C" w:rsidRPr="006C02AF">
        <w:t>sans retard afin que</w:t>
      </w:r>
      <w:bookmarkStart w:id="50" w:name="_Hlk120297837"/>
      <w:r w:rsidR="00D7141C" w:rsidRPr="006C02AF">
        <w:t xml:space="preserve"> l</w:t>
      </w:r>
      <w:r w:rsidR="00E32CD7" w:rsidRPr="006C02AF">
        <w:t>'</w:t>
      </w:r>
      <w:r w:rsidR="00D7141C" w:rsidRPr="006C02AF">
        <w:t>Union</w:t>
      </w:r>
      <w:r w:rsidR="008C0CC7" w:rsidRPr="006C02AF">
        <w:t xml:space="preserve"> </w:t>
      </w:r>
      <w:bookmarkEnd w:id="50"/>
      <w:r w:rsidR="00D7141C" w:rsidRPr="006C02AF">
        <w:t xml:space="preserve">dispose des fonds dont elle a besoin pour mener à bien les projets en cours. </w:t>
      </w:r>
      <w:bookmarkStart w:id="51" w:name="lt_pId131"/>
      <w:bookmarkEnd w:id="48"/>
      <w:r w:rsidR="00685D2B" w:rsidRPr="006C02AF">
        <w:t>Par ailleurs</w:t>
      </w:r>
      <w:r w:rsidRPr="006C02AF">
        <w:t xml:space="preserve">, </w:t>
      </w:r>
      <w:r w:rsidR="00813A79" w:rsidRPr="006C02AF">
        <w:t>le secrétariat</w:t>
      </w:r>
      <w:r w:rsidRPr="006C02AF">
        <w:t xml:space="preserve"> </w:t>
      </w:r>
      <w:r w:rsidR="00685D2B" w:rsidRPr="006C02AF">
        <w:t>devrait chercher de nouvelles manières de réduire les dépenses.</w:t>
      </w:r>
      <w:bookmarkEnd w:id="51"/>
    </w:p>
    <w:p w14:paraId="1CBFBDCA" w14:textId="6F13DC69" w:rsidR="006D5C47" w:rsidRPr="006C02AF" w:rsidRDefault="006D5C47" w:rsidP="00E32CD7">
      <w:r w:rsidRPr="006C02AF">
        <w:t>6.15</w:t>
      </w:r>
      <w:r w:rsidRPr="006C02AF">
        <w:tab/>
      </w:r>
      <w:bookmarkStart w:id="52" w:name="lt_pId133"/>
      <w:r w:rsidR="00B4757C" w:rsidRPr="006C02AF">
        <w:t>Un</w:t>
      </w:r>
      <w:r w:rsidR="008C0CC7" w:rsidRPr="006C02AF">
        <w:t xml:space="preserve"> </w:t>
      </w:r>
      <w:r w:rsidR="00774F8B" w:rsidRPr="006C02AF">
        <w:t>conseiller</w:t>
      </w:r>
      <w:r w:rsidR="00B4757C" w:rsidRPr="006C02AF">
        <w:t xml:space="preserve"> estime que l</w:t>
      </w:r>
      <w:r w:rsidRPr="006C02AF">
        <w:t xml:space="preserve">e </w:t>
      </w:r>
      <w:r w:rsidR="00684338" w:rsidRPr="006C02AF">
        <w:t>déficit</w:t>
      </w:r>
      <w:r w:rsidRPr="006C02AF">
        <w:t xml:space="preserve"> </w:t>
      </w:r>
      <w:r w:rsidR="00B4757C" w:rsidRPr="006C02AF">
        <w:t xml:space="preserve">est partiellement dû </w:t>
      </w:r>
      <w:r w:rsidR="00206017" w:rsidRPr="006C02AF">
        <w:t xml:space="preserve">au </w:t>
      </w:r>
      <w:r w:rsidR="00FF29F8" w:rsidRPr="006C02AF">
        <w:t>fait que l</w:t>
      </w:r>
      <w:r w:rsidR="00E32CD7" w:rsidRPr="006C02AF">
        <w:t>'</w:t>
      </w:r>
      <w:r w:rsidR="00FF29F8" w:rsidRPr="006C02AF">
        <w:t>attention voulue n</w:t>
      </w:r>
      <w:r w:rsidR="00E32CD7" w:rsidRPr="006C02AF">
        <w:t>'</w:t>
      </w:r>
      <w:r w:rsidR="00FF29F8" w:rsidRPr="006C02AF">
        <w:t>a pas été accordée aux</w:t>
      </w:r>
      <w:r w:rsidR="008C0CC7" w:rsidRPr="006C02AF">
        <w:t xml:space="preserve"> </w:t>
      </w:r>
      <w:r w:rsidR="006147EA" w:rsidRPr="006C02AF">
        <w:t>dispositions des</w:t>
      </w:r>
      <w:r w:rsidR="00B03D29" w:rsidRPr="006C02AF">
        <w:t xml:space="preserve"> numéros 488 et 489 de la Convention</w:t>
      </w:r>
      <w:r w:rsidRPr="006C02AF">
        <w:t xml:space="preserve">, </w:t>
      </w:r>
      <w:r w:rsidR="006147EA" w:rsidRPr="006C02AF">
        <w:t>selon lesquelles</w:t>
      </w:r>
      <w:r w:rsidR="00FF29F8" w:rsidRPr="006C02AF">
        <w:t xml:space="preserve"> toutes les décisions doivent être analysées </w:t>
      </w:r>
      <w:r w:rsidR="00151124" w:rsidRPr="006C02AF">
        <w:t>en tenant compte de leurs incidences financières.</w:t>
      </w:r>
      <w:r w:rsidRPr="006C02AF">
        <w:t xml:space="preserve"> </w:t>
      </w:r>
      <w:bookmarkStart w:id="53" w:name="lt_pId134"/>
      <w:bookmarkEnd w:id="52"/>
      <w:r w:rsidR="00151124" w:rsidRPr="006C02AF">
        <w:t>Il approuve, lui aussi, la proposition d</w:t>
      </w:r>
      <w:r w:rsidR="00E32CD7" w:rsidRPr="006C02AF">
        <w:t>'</w:t>
      </w:r>
      <w:r w:rsidR="00151124" w:rsidRPr="006C02AF">
        <w:t xml:space="preserve">utiliser le solde des montants réservés </w:t>
      </w:r>
      <w:r w:rsidR="0033641E" w:rsidRPr="006C02AF">
        <w:t>à</w:t>
      </w:r>
      <w:r w:rsidR="008C0CC7" w:rsidRPr="006C02AF">
        <w:t xml:space="preserve"> </w:t>
      </w:r>
      <w:r w:rsidR="00723375" w:rsidRPr="006C02AF">
        <w:t>la vérification juricomptable</w:t>
      </w:r>
      <w:r w:rsidR="008C0CC7" w:rsidRPr="006C02AF">
        <w:t xml:space="preserve"> </w:t>
      </w:r>
      <w:r w:rsidR="00151124" w:rsidRPr="006C02AF">
        <w:t>pour</w:t>
      </w:r>
      <w:r w:rsidRPr="006C02AF">
        <w:t xml:space="preserve"> absorb</w:t>
      </w:r>
      <w:r w:rsidR="00151124" w:rsidRPr="006C02AF">
        <w:t xml:space="preserve">er le </w:t>
      </w:r>
      <w:r w:rsidR="00684338" w:rsidRPr="006C02AF">
        <w:t>déficit</w:t>
      </w:r>
      <w:r w:rsidRPr="006C02AF">
        <w:t xml:space="preserve"> </w:t>
      </w:r>
      <w:r w:rsidR="00C635EC" w:rsidRPr="006C02AF">
        <w:t>et demande que les chiffres</w:t>
      </w:r>
      <w:r w:rsidR="008C0CC7" w:rsidRPr="006C02AF">
        <w:t xml:space="preserve"> </w:t>
      </w:r>
      <w:r w:rsidR="009B368F" w:rsidRPr="006C02AF">
        <w:t>utiles soient communiqués avant la fin de la réunion</w:t>
      </w:r>
      <w:r w:rsidRPr="006C02AF">
        <w:t>.</w:t>
      </w:r>
      <w:bookmarkEnd w:id="53"/>
    </w:p>
    <w:p w14:paraId="02E0BBF0" w14:textId="16D0231F" w:rsidR="006D5C47" w:rsidRPr="006C02AF" w:rsidRDefault="006D5C47" w:rsidP="00E32CD7">
      <w:r w:rsidRPr="006C02AF">
        <w:t>6.16</w:t>
      </w:r>
      <w:r w:rsidRPr="006C02AF">
        <w:tab/>
      </w:r>
      <w:bookmarkStart w:id="54" w:name="lt_pId136"/>
      <w:r w:rsidR="001502F3" w:rsidRPr="006C02AF">
        <w:t>Une</w:t>
      </w:r>
      <w:r w:rsidRPr="006C02AF">
        <w:t xml:space="preserve"> </w:t>
      </w:r>
      <w:r w:rsidR="00774F8B" w:rsidRPr="006C02AF">
        <w:t>conseillère</w:t>
      </w:r>
      <w:r w:rsidRPr="006C02AF">
        <w:t xml:space="preserve">, </w:t>
      </w:r>
      <w:r w:rsidR="001502F3" w:rsidRPr="006C02AF">
        <w:t>se référant à la c</w:t>
      </w:r>
      <w:r w:rsidRPr="006C02AF">
        <w:t>ontribution (Document C22/103)</w:t>
      </w:r>
      <w:r w:rsidR="004C1F70" w:rsidRPr="006C02AF">
        <w:t xml:space="preserve"> concernant un budget sain et équilibré pour l</w:t>
      </w:r>
      <w:r w:rsidR="00E32CD7" w:rsidRPr="006C02AF">
        <w:t>'</w:t>
      </w:r>
      <w:r w:rsidR="004C1F70" w:rsidRPr="006C02AF">
        <w:t>Union,</w:t>
      </w:r>
      <w:r w:rsidRPr="006C02AF">
        <w:t xml:space="preserve"> </w:t>
      </w:r>
      <w:r w:rsidR="001502F3" w:rsidRPr="006C02AF">
        <w:t>soumise par l</w:t>
      </w:r>
      <w:r w:rsidR="00E32CD7" w:rsidRPr="006C02AF">
        <w:t>'</w:t>
      </w:r>
      <w:r w:rsidRPr="006C02AF">
        <w:t xml:space="preserve">administration </w:t>
      </w:r>
      <w:r w:rsidR="001502F3" w:rsidRPr="006C02AF">
        <w:t>de son pays à la réunion finale d</w:t>
      </w:r>
      <w:r w:rsidR="00036AC7" w:rsidRPr="006C02AF">
        <w:t>e la vingt-deuxième session du Conseil</w:t>
      </w:r>
      <w:r w:rsidR="008C0CC7" w:rsidRPr="006C02AF">
        <w:t xml:space="preserve"> </w:t>
      </w:r>
      <w:r w:rsidR="00036AC7" w:rsidRPr="006C02AF">
        <w:t>et</w:t>
      </w:r>
      <w:r w:rsidRPr="006C02AF">
        <w:t xml:space="preserve"> </w:t>
      </w:r>
      <w:r w:rsidR="00036AC7" w:rsidRPr="006C02AF">
        <w:t>à</w:t>
      </w:r>
      <w:r w:rsidR="008C0CC7" w:rsidRPr="006C02AF">
        <w:t xml:space="preserve"> </w:t>
      </w:r>
      <w:r w:rsidR="00C75BA9" w:rsidRPr="006C02AF">
        <w:t>la Conférence de plénipotentiaires de 20</w:t>
      </w:r>
      <w:r w:rsidRPr="006C02AF">
        <w:t xml:space="preserve">22, </w:t>
      </w:r>
      <w:r w:rsidR="00EF6A11" w:rsidRPr="006C02AF">
        <w:t>dit que les</w:t>
      </w:r>
      <w:r w:rsidR="008C0CC7" w:rsidRPr="006C02AF">
        <w:t xml:space="preserve"> </w:t>
      </w:r>
      <w:r w:rsidR="009817CF" w:rsidRPr="006C02AF">
        <w:t>considérations relatives aux ressources humaines devraient être prioritaires et qu</w:t>
      </w:r>
      <w:r w:rsidR="00B7098E" w:rsidRPr="006C02AF">
        <w:t xml:space="preserve">e retirer des </w:t>
      </w:r>
      <w:r w:rsidR="009817CF" w:rsidRPr="006C02AF">
        <w:t>fonds du</w:t>
      </w:r>
      <w:r w:rsidR="008C0CC7" w:rsidRPr="006C02AF">
        <w:t xml:space="preserve"> </w:t>
      </w:r>
      <w:r w:rsidR="005F0C1A" w:rsidRPr="006C02AF">
        <w:t>fonds de réserve</w:t>
      </w:r>
      <w:r w:rsidR="008C0CC7" w:rsidRPr="006C02AF">
        <w:t xml:space="preserve"> </w:t>
      </w:r>
      <w:r w:rsidR="009817CF" w:rsidRPr="006C02AF">
        <w:t xml:space="preserve">ne devrait </w:t>
      </w:r>
      <w:r w:rsidR="00B7098E" w:rsidRPr="006C02AF">
        <w:t xml:space="preserve">être fait que lorsque les </w:t>
      </w:r>
      <w:r w:rsidR="007658E6" w:rsidRPr="006C02AF">
        <w:t xml:space="preserve">objectifs </w:t>
      </w:r>
      <w:r w:rsidR="00B7098E" w:rsidRPr="006C02AF">
        <w:t xml:space="preserve">sont </w:t>
      </w:r>
      <w:r w:rsidR="007658E6" w:rsidRPr="006C02AF">
        <w:t>appréciables.</w:t>
      </w:r>
      <w:bookmarkEnd w:id="54"/>
    </w:p>
    <w:p w14:paraId="02969998" w14:textId="210C5618" w:rsidR="006D5C47" w:rsidRPr="006C02AF" w:rsidRDefault="006D5C47" w:rsidP="00E32CD7">
      <w:r w:rsidRPr="006C02AF">
        <w:t>6.17</w:t>
      </w:r>
      <w:r w:rsidRPr="006C02AF">
        <w:tab/>
      </w:r>
      <w:bookmarkStart w:id="55" w:name="lt_pId138"/>
      <w:r w:rsidR="00EB3778" w:rsidRPr="006C02AF">
        <w:t>Le Secrétaire général</w:t>
      </w:r>
      <w:r w:rsidR="008C0CC7" w:rsidRPr="006C02AF">
        <w:t xml:space="preserve"> </w:t>
      </w:r>
      <w:r w:rsidR="00111223" w:rsidRPr="006C02AF">
        <w:t>souligne le caractère</w:t>
      </w:r>
      <w:r w:rsidR="008C0CC7" w:rsidRPr="006C02AF">
        <w:t xml:space="preserve"> </w:t>
      </w:r>
      <w:r w:rsidRPr="006C02AF">
        <w:t>exception</w:t>
      </w:r>
      <w:r w:rsidR="00111223" w:rsidRPr="006C02AF">
        <w:t>nel</w:t>
      </w:r>
      <w:r w:rsidR="00AF20C2" w:rsidRPr="006C02AF">
        <w:t xml:space="preserve"> de la </w:t>
      </w:r>
      <w:r w:rsidRPr="006C02AF">
        <w:t>situation.</w:t>
      </w:r>
      <w:bookmarkEnd w:id="55"/>
      <w:r w:rsidRPr="006C02AF">
        <w:t xml:space="preserve"> </w:t>
      </w:r>
      <w:bookmarkStart w:id="56" w:name="lt_pId139"/>
      <w:r w:rsidR="00F45ED6" w:rsidRPr="006C02AF">
        <w:t>Après avoir réduit le</w:t>
      </w:r>
      <w:r w:rsidR="008C0CC7" w:rsidRPr="006C02AF">
        <w:t xml:space="preserve"> </w:t>
      </w:r>
      <w:r w:rsidR="00684338" w:rsidRPr="006C02AF">
        <w:t>déficit</w:t>
      </w:r>
      <w:r w:rsidRPr="006C02AF">
        <w:t xml:space="preserve"> </w:t>
      </w:r>
      <w:r w:rsidR="00F45ED6" w:rsidRPr="006C02AF">
        <w:t>potentiel de</w:t>
      </w:r>
      <w:r w:rsidRPr="006C02AF">
        <w:t xml:space="preserve"> 7</w:t>
      </w:r>
      <w:r w:rsidR="000C3D48" w:rsidRPr="006C02AF">
        <w:t> </w:t>
      </w:r>
      <w:r w:rsidRPr="006C02AF">
        <w:t>million</w:t>
      </w:r>
      <w:r w:rsidR="00D15B4A" w:rsidRPr="006C02AF">
        <w:t>s</w:t>
      </w:r>
      <w:r w:rsidR="000C3D48" w:rsidRPr="006C02AF">
        <w:t> </w:t>
      </w:r>
      <w:r w:rsidR="00D15B4A" w:rsidRPr="006C02AF">
        <w:t xml:space="preserve">CHF </w:t>
      </w:r>
      <w:r w:rsidR="00F45ED6" w:rsidRPr="006C02AF">
        <w:t>à</w:t>
      </w:r>
      <w:r w:rsidRPr="006C02AF">
        <w:t xml:space="preserve"> 4</w:t>
      </w:r>
      <w:r w:rsidR="0099634E" w:rsidRPr="006C02AF">
        <w:t>,</w:t>
      </w:r>
      <w:r w:rsidRPr="006C02AF">
        <w:t>2</w:t>
      </w:r>
      <w:r w:rsidR="000C3D48" w:rsidRPr="006C02AF">
        <w:t> </w:t>
      </w:r>
      <w:r w:rsidRPr="006C02AF">
        <w:t>million</w:t>
      </w:r>
      <w:r w:rsidR="00D15B4A" w:rsidRPr="006C02AF">
        <w:t>s</w:t>
      </w:r>
      <w:r w:rsidR="000C3D48" w:rsidRPr="006C02AF">
        <w:t> CHF</w:t>
      </w:r>
      <w:r w:rsidR="00F45ED6" w:rsidRPr="006C02AF">
        <w:t xml:space="preserve">, puis à </w:t>
      </w:r>
      <w:r w:rsidRPr="006C02AF">
        <w:t>1</w:t>
      </w:r>
      <w:r w:rsidR="0099634E" w:rsidRPr="006C02AF">
        <w:t>,</w:t>
      </w:r>
      <w:r w:rsidRPr="006C02AF">
        <w:t>4</w:t>
      </w:r>
      <w:r w:rsidR="000C3D48" w:rsidRPr="006C02AF">
        <w:t> </w:t>
      </w:r>
      <w:r w:rsidRPr="006C02AF">
        <w:t>million</w:t>
      </w:r>
      <w:r w:rsidR="000C3D48" w:rsidRPr="006C02AF">
        <w:t> CHF</w:t>
      </w:r>
      <w:r w:rsidRPr="006C02AF">
        <w:t xml:space="preserve">, </w:t>
      </w:r>
      <w:r w:rsidR="00813A79" w:rsidRPr="006C02AF">
        <w:t>le secrétariat</w:t>
      </w:r>
      <w:r w:rsidRPr="006C02AF">
        <w:t xml:space="preserve"> </w:t>
      </w:r>
      <w:r w:rsidR="00F45ED6" w:rsidRPr="006C02AF">
        <w:t>garde l'espoir</w:t>
      </w:r>
      <w:r w:rsidR="008C0CC7" w:rsidRPr="006C02AF">
        <w:t xml:space="preserve"> </w:t>
      </w:r>
      <w:r w:rsidR="00F45ED6" w:rsidRPr="006C02AF">
        <w:t>que les</w:t>
      </w:r>
      <w:r w:rsidRPr="006C02AF">
        <w:t xml:space="preserve"> </w:t>
      </w:r>
      <w:r w:rsidR="00CC2F44" w:rsidRPr="006C02AF">
        <w:t>rentrées permises par le recouvrement des coûts augmenteront au cours des trois</w:t>
      </w:r>
      <w:r w:rsidR="00D50499" w:rsidRPr="006C02AF">
        <w:t> </w:t>
      </w:r>
      <w:r w:rsidR="00CC2F44" w:rsidRPr="006C02AF">
        <w:t>mois à venir et</w:t>
      </w:r>
      <w:r w:rsidR="0086401B" w:rsidRPr="006C02AF">
        <w:t>,</w:t>
      </w:r>
      <w:r w:rsidR="008C0CC7" w:rsidRPr="006C02AF">
        <w:t xml:space="preserve"> </w:t>
      </w:r>
      <w:r w:rsidR="0086401B" w:rsidRPr="006C02AF">
        <w:t>dans l'intervalle,</w:t>
      </w:r>
      <w:r w:rsidR="00CC2F44" w:rsidRPr="006C02AF">
        <w:t xml:space="preserve"> </w:t>
      </w:r>
      <w:r w:rsidRPr="006C02AF">
        <w:t>continue</w:t>
      </w:r>
      <w:r w:rsidR="0086401B" w:rsidRPr="006C02AF">
        <w:t>ra</w:t>
      </w:r>
      <w:r w:rsidR="00CC2F44" w:rsidRPr="006C02AF">
        <w:t xml:space="preserve"> </w:t>
      </w:r>
      <w:r w:rsidR="0086401B" w:rsidRPr="006C02AF">
        <w:t>cependant de recenser les économies possibles et de reporter les</w:t>
      </w:r>
      <w:r w:rsidR="008C0CC7" w:rsidRPr="006C02AF">
        <w:t xml:space="preserve"> </w:t>
      </w:r>
      <w:r w:rsidR="0086401B" w:rsidRPr="006C02AF">
        <w:t xml:space="preserve">dépenses non </w:t>
      </w:r>
      <w:bookmarkStart w:id="57" w:name="lt_pId140"/>
      <w:bookmarkEnd w:id="56"/>
      <w:r w:rsidR="00A96BDC" w:rsidRPr="006C02AF">
        <w:t>essentielles.</w:t>
      </w:r>
      <w:r w:rsidR="00F715E3" w:rsidRPr="006C02AF">
        <w:t xml:space="preserve"> </w:t>
      </w:r>
      <w:r w:rsidR="0008445C" w:rsidRPr="006C02AF">
        <w:t xml:space="preserve">Le Secrétaire général </w:t>
      </w:r>
      <w:r w:rsidR="00F715E3" w:rsidRPr="006C02AF">
        <w:t xml:space="preserve">a porté la </w:t>
      </w:r>
      <w:r w:rsidRPr="006C02AF">
        <w:t xml:space="preserve">situation </w:t>
      </w:r>
      <w:r w:rsidR="00F715E3" w:rsidRPr="006C02AF">
        <w:t>à l</w:t>
      </w:r>
      <w:r w:rsidR="00E32CD7" w:rsidRPr="006C02AF">
        <w:t>'</w:t>
      </w:r>
      <w:r w:rsidR="00F715E3" w:rsidRPr="006C02AF">
        <w:t xml:space="preserve">attention du </w:t>
      </w:r>
      <w:r w:rsidR="00531462" w:rsidRPr="006C02AF">
        <w:t xml:space="preserve">Conseil </w:t>
      </w:r>
      <w:r w:rsidR="00301E7D" w:rsidRPr="006C02AF">
        <w:t>car</w:t>
      </w:r>
      <w:r w:rsidR="00DC1080" w:rsidRPr="006C02AF">
        <w:t>, aux fins de la continuité des opérations, il importe</w:t>
      </w:r>
      <w:r w:rsidRPr="006C02AF">
        <w:t xml:space="preserve"> </w:t>
      </w:r>
      <w:r w:rsidR="00DC1080" w:rsidRPr="006C02AF">
        <w:t xml:space="preserve">que les activités </w:t>
      </w:r>
      <w:r w:rsidR="00572576" w:rsidRPr="006C02AF">
        <w:t>du quatrième</w:t>
      </w:r>
      <w:r w:rsidR="00D50499" w:rsidRPr="006C02AF">
        <w:t> </w:t>
      </w:r>
      <w:r w:rsidR="00572576" w:rsidRPr="006C02AF">
        <w:t xml:space="preserve">trimestre </w:t>
      </w:r>
      <w:r w:rsidR="001C2602" w:rsidRPr="006C02AF">
        <w:t>ne soient pas plus touchées que l</w:t>
      </w:r>
      <w:r w:rsidR="00572576" w:rsidRPr="006C02AF">
        <w:t>es autres</w:t>
      </w:r>
      <w:r w:rsidR="00871F46" w:rsidRPr="006C02AF">
        <w:t xml:space="preserve"> activités</w:t>
      </w:r>
      <w:r w:rsidRPr="006C02AF">
        <w:t>.</w:t>
      </w:r>
      <w:bookmarkEnd w:id="57"/>
    </w:p>
    <w:p w14:paraId="668F008F" w14:textId="13F9ABE4" w:rsidR="006D5C47" w:rsidRPr="006C02AF" w:rsidRDefault="006D5C47" w:rsidP="00E32CD7">
      <w:r w:rsidRPr="006C02AF">
        <w:t>6.18</w:t>
      </w:r>
      <w:bookmarkStart w:id="58" w:name="lt_pId142"/>
      <w:r w:rsidR="00D50499" w:rsidRPr="006C02AF">
        <w:tab/>
      </w:r>
      <w:r w:rsidR="00F437A2" w:rsidRPr="006C02AF">
        <w:t>Selon un</w:t>
      </w:r>
      <w:r w:rsidRPr="006C02AF">
        <w:t xml:space="preserve"> </w:t>
      </w:r>
      <w:r w:rsidR="00774F8B" w:rsidRPr="006C02AF">
        <w:t>conseiller</w:t>
      </w:r>
      <w:r w:rsidR="00EF7FF0" w:rsidRPr="006C02AF">
        <w:t>,</w:t>
      </w:r>
      <w:r w:rsidR="00F437A2" w:rsidRPr="006C02AF">
        <w:t xml:space="preserve"> il est </w:t>
      </w:r>
      <w:r w:rsidRPr="006C02AF">
        <w:t xml:space="preserve">important </w:t>
      </w:r>
      <w:r w:rsidR="00F437A2" w:rsidRPr="006C02AF">
        <w:t>d</w:t>
      </w:r>
      <w:r w:rsidR="00E32CD7" w:rsidRPr="006C02AF">
        <w:t>'</w:t>
      </w:r>
      <w:r w:rsidR="00F437A2" w:rsidRPr="006C02AF">
        <w:t xml:space="preserve">examiner ce problème </w:t>
      </w:r>
      <w:r w:rsidR="007A4472" w:rsidRPr="006C02AF">
        <w:t>sous l</w:t>
      </w:r>
      <w:r w:rsidR="00E32CD7" w:rsidRPr="006C02AF">
        <w:t>'</w:t>
      </w:r>
      <w:r w:rsidR="007A4472" w:rsidRPr="006C02AF">
        <w:t xml:space="preserve">angle des risques existants. Les </w:t>
      </w:r>
      <w:bookmarkStart w:id="59" w:name="lt_pId143"/>
      <w:bookmarkEnd w:id="58"/>
      <w:r w:rsidR="00774F8B" w:rsidRPr="006C02AF">
        <w:t>conseiller</w:t>
      </w:r>
      <w:r w:rsidRPr="006C02AF">
        <w:t xml:space="preserve">s </w:t>
      </w:r>
      <w:r w:rsidR="007A4472" w:rsidRPr="006C02AF">
        <w:t>doivent recevoir l</w:t>
      </w:r>
      <w:r w:rsidR="00E32CD7" w:rsidRPr="006C02AF">
        <w:t>'</w:t>
      </w:r>
      <w:r w:rsidR="007A4472" w:rsidRPr="006C02AF">
        <w:t xml:space="preserve">assurance que </w:t>
      </w:r>
      <w:r w:rsidR="00167C0E" w:rsidRPr="006C02AF">
        <w:t>retirer des fonds du</w:t>
      </w:r>
      <w:r w:rsidRPr="006C02AF">
        <w:t xml:space="preserve"> </w:t>
      </w:r>
      <w:r w:rsidR="005F0C1A" w:rsidRPr="006C02AF">
        <w:t>fonds de réserve</w:t>
      </w:r>
      <w:r w:rsidR="008C0CC7" w:rsidRPr="006C02AF">
        <w:t xml:space="preserve"> </w:t>
      </w:r>
      <w:r w:rsidR="00167C0E" w:rsidRPr="006C02AF">
        <w:t>est moins risqué qu</w:t>
      </w:r>
      <w:r w:rsidR="00E32CD7" w:rsidRPr="006C02AF">
        <w:t>'</w:t>
      </w:r>
      <w:r w:rsidR="00167C0E" w:rsidRPr="006C02AF">
        <w:t>annuler certaines</w:t>
      </w:r>
      <w:r w:rsidRPr="006C02AF">
        <w:t xml:space="preserve"> </w:t>
      </w:r>
      <w:r w:rsidR="00680133" w:rsidRPr="006C02AF">
        <w:t>activités</w:t>
      </w:r>
      <w:r w:rsidRPr="006C02AF">
        <w:t>.</w:t>
      </w:r>
      <w:bookmarkEnd w:id="59"/>
    </w:p>
    <w:p w14:paraId="17156276" w14:textId="77C48E8F" w:rsidR="006D5C47" w:rsidRPr="006C02AF" w:rsidRDefault="006D5C47" w:rsidP="00E32CD7">
      <w:r w:rsidRPr="006C02AF">
        <w:t>6.19</w:t>
      </w:r>
      <w:r w:rsidRPr="006C02AF">
        <w:tab/>
      </w:r>
      <w:bookmarkStart w:id="60" w:name="lt_pId145"/>
      <w:r w:rsidR="00695F4A" w:rsidRPr="006C02AF">
        <w:t>Une autre</w:t>
      </w:r>
      <w:r w:rsidRPr="006C02AF">
        <w:t xml:space="preserve"> </w:t>
      </w:r>
      <w:r w:rsidR="00774F8B" w:rsidRPr="006C02AF">
        <w:t>conseillère</w:t>
      </w:r>
      <w:r w:rsidRPr="006C02AF">
        <w:t xml:space="preserve"> </w:t>
      </w:r>
      <w:r w:rsidR="00345C0D" w:rsidRPr="006C02AF">
        <w:t>partage cet avis et ajoute qu</w:t>
      </w:r>
      <w:r w:rsidR="00E32CD7" w:rsidRPr="006C02AF">
        <w:t>'</w:t>
      </w:r>
      <w:r w:rsidR="00345C0D" w:rsidRPr="006C02AF">
        <w:t>au vu des débats tenus à</w:t>
      </w:r>
      <w:r w:rsidR="008C0CC7" w:rsidRPr="006C02AF">
        <w:t xml:space="preserve"> </w:t>
      </w:r>
      <w:r w:rsidR="00C75BA9" w:rsidRPr="006C02AF">
        <w:t>la Conférence de plénipotentiaires de 20</w:t>
      </w:r>
      <w:r w:rsidRPr="006C02AF">
        <w:t xml:space="preserve">22 </w:t>
      </w:r>
      <w:r w:rsidR="00345C0D" w:rsidRPr="006C02AF">
        <w:t xml:space="preserve">sur </w:t>
      </w:r>
      <w:r w:rsidR="00C75BA9" w:rsidRPr="006C02AF">
        <w:t>la façon de connecter ceux qui ne le sont pas encore et de réduire la fracture numérique</w:t>
      </w:r>
      <w:r w:rsidRPr="006C02AF">
        <w:t xml:space="preserve">, </w:t>
      </w:r>
      <w:r w:rsidR="00466E93" w:rsidRPr="006C02AF">
        <w:t>une interruption des</w:t>
      </w:r>
      <w:r w:rsidRPr="006C02AF">
        <w:t xml:space="preserve"> </w:t>
      </w:r>
      <w:r w:rsidR="00680133" w:rsidRPr="006C02AF">
        <w:t>activités</w:t>
      </w:r>
      <w:r w:rsidRPr="006C02AF">
        <w:t xml:space="preserve"> </w:t>
      </w:r>
      <w:r w:rsidR="00466E93" w:rsidRPr="006C02AF">
        <w:t xml:space="preserve">est trop risquée sur le plan politique. </w:t>
      </w:r>
      <w:r w:rsidR="009B2457" w:rsidRPr="006C02AF">
        <w:t xml:space="preserve">Bien que favorable à </w:t>
      </w:r>
      <w:r w:rsidR="00466E93" w:rsidRPr="006C02AF">
        <w:t xml:space="preserve">un retrait </w:t>
      </w:r>
      <w:bookmarkStart w:id="61" w:name="lt_pId146"/>
      <w:bookmarkEnd w:id="60"/>
      <w:r w:rsidR="00466E93" w:rsidRPr="006C02AF">
        <w:t xml:space="preserve">de fonds </w:t>
      </w:r>
      <w:r w:rsidR="00781164" w:rsidRPr="006C02AF">
        <w:t>dans le</w:t>
      </w:r>
      <w:r w:rsidR="008C0CC7" w:rsidRPr="006C02AF">
        <w:t xml:space="preserve"> </w:t>
      </w:r>
      <w:r w:rsidR="005F0C1A" w:rsidRPr="006C02AF">
        <w:t>fonds de réserve</w:t>
      </w:r>
      <w:r w:rsidR="00EF7FF0" w:rsidRPr="006C02AF">
        <w:t>,</w:t>
      </w:r>
      <w:r w:rsidR="009B2457" w:rsidRPr="006C02AF">
        <w:t xml:space="preserve"> elle demande</w:t>
      </w:r>
      <w:r w:rsidR="008C0CC7" w:rsidRPr="006C02AF">
        <w:t xml:space="preserve"> </w:t>
      </w:r>
      <w:r w:rsidR="009B2457" w:rsidRPr="006C02AF">
        <w:t>des informations</w:t>
      </w:r>
      <w:r w:rsidRPr="006C02AF">
        <w:t xml:space="preserve"> </w:t>
      </w:r>
      <w:r w:rsidR="009B2457" w:rsidRPr="006C02AF">
        <w:t>complémentaires sur la possibilité de combler le</w:t>
      </w:r>
      <w:r w:rsidR="008C0CC7" w:rsidRPr="006C02AF">
        <w:t xml:space="preserve"> </w:t>
      </w:r>
      <w:r w:rsidR="00684338" w:rsidRPr="006C02AF">
        <w:t>déficit</w:t>
      </w:r>
      <w:r w:rsidRPr="006C02AF">
        <w:t xml:space="preserve"> </w:t>
      </w:r>
      <w:r w:rsidR="009B2457" w:rsidRPr="006C02AF">
        <w:t>au moyen d</w:t>
      </w:r>
      <w:r w:rsidR="00E32CD7" w:rsidRPr="006C02AF">
        <w:t>'</w:t>
      </w:r>
      <w:r w:rsidR="009B2457" w:rsidRPr="006C02AF">
        <w:t>autres fonds</w:t>
      </w:r>
      <w:r w:rsidRPr="006C02AF">
        <w:t>.</w:t>
      </w:r>
      <w:bookmarkEnd w:id="61"/>
    </w:p>
    <w:p w14:paraId="21B3F006" w14:textId="4D37DA0E" w:rsidR="00D50499" w:rsidRPr="006C02AF" w:rsidRDefault="006D5C47" w:rsidP="00E32CD7">
      <w:r w:rsidRPr="006C02AF">
        <w:t>6.20</w:t>
      </w:r>
      <w:r w:rsidRPr="006C02AF">
        <w:tab/>
      </w:r>
      <w:bookmarkStart w:id="62" w:name="lt_pId148"/>
      <w:r w:rsidR="0030627B" w:rsidRPr="006C02AF">
        <w:t xml:space="preserve">Le </w:t>
      </w:r>
      <w:r w:rsidR="00C6331B" w:rsidRPr="006C02AF">
        <w:t>Chef du Département de la gestion des ressources financières</w:t>
      </w:r>
      <w:r w:rsidRPr="006C02AF">
        <w:t xml:space="preserve"> </w:t>
      </w:r>
      <w:r w:rsidR="00B83061" w:rsidRPr="006C02AF">
        <w:t>indique qu</w:t>
      </w:r>
      <w:r w:rsidR="00E32CD7" w:rsidRPr="006C02AF">
        <w:t>'</w:t>
      </w:r>
      <w:r w:rsidR="00B83061" w:rsidRPr="006C02AF">
        <w:t xml:space="preserve">au </w:t>
      </w:r>
      <w:r w:rsidRPr="006C02AF">
        <w:t>31</w:t>
      </w:r>
      <w:r w:rsidR="00D50499" w:rsidRPr="006C02AF">
        <w:t> </w:t>
      </w:r>
      <w:r w:rsidR="00695F4A" w:rsidRPr="006C02AF">
        <w:t>décembre</w:t>
      </w:r>
      <w:r w:rsidR="00D50499" w:rsidRPr="006C02AF">
        <w:t> </w:t>
      </w:r>
      <w:r w:rsidRPr="006C02AF">
        <w:t xml:space="preserve">2021, </w:t>
      </w:r>
      <w:r w:rsidR="00B83061" w:rsidRPr="006C02AF">
        <w:t>le solde du</w:t>
      </w:r>
      <w:r w:rsidR="008C0CC7" w:rsidRPr="006C02AF">
        <w:t xml:space="preserve"> </w:t>
      </w:r>
      <w:r w:rsidR="005F0C1A" w:rsidRPr="006C02AF">
        <w:t>fonds de réserve</w:t>
      </w:r>
      <w:r w:rsidR="008C0CC7" w:rsidRPr="006C02AF">
        <w:t xml:space="preserve"> </w:t>
      </w:r>
      <w:r w:rsidR="00B83061" w:rsidRPr="006C02AF">
        <w:t>était de</w:t>
      </w:r>
      <w:r w:rsidRPr="006C02AF">
        <w:t xml:space="preserve"> 27</w:t>
      </w:r>
      <w:r w:rsidR="00745D32" w:rsidRPr="006C02AF">
        <w:t>,</w:t>
      </w:r>
      <w:r w:rsidRPr="006C02AF">
        <w:t>5 million</w:t>
      </w:r>
      <w:r w:rsidR="00745D32" w:rsidRPr="006C02AF">
        <w:t>s</w:t>
      </w:r>
      <w:r w:rsidR="00D15B4A" w:rsidRPr="006C02AF">
        <w:t> CHF</w:t>
      </w:r>
      <w:r w:rsidRPr="006C02AF">
        <w:t xml:space="preserve">, </w:t>
      </w:r>
      <w:r w:rsidR="00B83061" w:rsidRPr="006C02AF">
        <w:t>soit</w:t>
      </w:r>
      <w:r w:rsidRPr="006C02AF">
        <w:t xml:space="preserve"> 16</w:t>
      </w:r>
      <w:r w:rsidR="00AF7A37" w:rsidRPr="006C02AF">
        <w:t>,</w:t>
      </w:r>
      <w:r w:rsidRPr="006C02AF">
        <w:t>8</w:t>
      </w:r>
      <w:r w:rsidR="00DB5F33" w:rsidRPr="006C02AF">
        <w:t> pour cent</w:t>
      </w:r>
      <w:r w:rsidRPr="006C02AF">
        <w:t xml:space="preserve"> </w:t>
      </w:r>
      <w:r w:rsidR="00B83061" w:rsidRPr="006C02AF">
        <w:t xml:space="preserve">du montant </w:t>
      </w:r>
      <w:r w:rsidRPr="006C02AF">
        <w:t xml:space="preserve">total </w:t>
      </w:r>
      <w:r w:rsidR="00B83061" w:rsidRPr="006C02AF">
        <w:t xml:space="preserve">du </w:t>
      </w:r>
      <w:r w:rsidRPr="006C02AF">
        <w:t xml:space="preserve">budget, </w:t>
      </w:r>
      <w:r w:rsidR="00B83061" w:rsidRPr="006C02AF">
        <w:t xml:space="preserve">ce qui est largement supérieur au </w:t>
      </w:r>
      <w:r w:rsidRPr="006C02AF">
        <w:t xml:space="preserve">minimum </w:t>
      </w:r>
      <w:r w:rsidR="00B83061" w:rsidRPr="006C02AF">
        <w:t>de</w:t>
      </w:r>
      <w:r w:rsidRPr="006C02AF">
        <w:t xml:space="preserve"> 6</w:t>
      </w:r>
      <w:r w:rsidR="00DB5F33" w:rsidRPr="006C02AF">
        <w:t> pour cent</w:t>
      </w:r>
      <w:r w:rsidRPr="006C02AF">
        <w:t xml:space="preserve"> (</w:t>
      </w:r>
      <w:r w:rsidR="00B83061" w:rsidRPr="006C02AF">
        <w:t xml:space="preserve">qui équivaut à </w:t>
      </w:r>
      <w:r w:rsidRPr="006C02AF">
        <w:t>9</w:t>
      </w:r>
      <w:r w:rsidR="00EE1EAE" w:rsidRPr="006C02AF">
        <w:t> </w:t>
      </w:r>
      <w:r w:rsidRPr="006C02AF">
        <w:t>million</w:t>
      </w:r>
      <w:r w:rsidR="00745D32" w:rsidRPr="006C02AF">
        <w:t>s</w:t>
      </w:r>
      <w:r w:rsidR="00EE1EAE" w:rsidRPr="006C02AF">
        <w:t> CHF</w:t>
      </w:r>
      <w:r w:rsidRPr="006C02AF">
        <w:t xml:space="preserve">) </w:t>
      </w:r>
      <w:r w:rsidR="00B83061" w:rsidRPr="006C02AF">
        <w:t>prévu par la</w:t>
      </w:r>
      <w:r w:rsidRPr="006C02AF">
        <w:t xml:space="preserve"> </w:t>
      </w:r>
      <w:r w:rsidR="00006D92" w:rsidRPr="006C02AF">
        <w:t>Décision</w:t>
      </w:r>
      <w:r w:rsidR="008C0CC7" w:rsidRPr="006C02AF">
        <w:t xml:space="preserve"> </w:t>
      </w:r>
      <w:r w:rsidRPr="006C02AF">
        <w:t>5 (R</w:t>
      </w:r>
      <w:r w:rsidR="00726337" w:rsidRPr="006C02AF">
        <w:t>é</w:t>
      </w:r>
      <w:r w:rsidRPr="006C02AF">
        <w:t>v.</w:t>
      </w:r>
      <w:r w:rsidR="00F233C6" w:rsidRPr="006C02AF">
        <w:t> </w:t>
      </w:r>
      <w:r w:rsidR="00A96BDC" w:rsidRPr="006C02AF">
        <w:t>Bucarest</w:t>
      </w:r>
      <w:r w:rsidRPr="006C02AF">
        <w:t>, 2022).</w:t>
      </w:r>
      <w:bookmarkEnd w:id="62"/>
      <w:r w:rsidRPr="006C02AF">
        <w:t xml:space="preserve"> </w:t>
      </w:r>
      <w:bookmarkStart w:id="63" w:name="lt_pId149"/>
      <w:r w:rsidR="00712904" w:rsidRPr="006C02AF">
        <w:t>En outre, il appelle l</w:t>
      </w:r>
      <w:r w:rsidR="00E32CD7" w:rsidRPr="006C02AF">
        <w:t>'</w:t>
      </w:r>
      <w:r w:rsidR="00712904" w:rsidRPr="006C02AF">
        <w:t xml:space="preserve">attention des membres du Conseil sur le </w:t>
      </w:r>
      <w:r w:rsidRPr="006C02AF">
        <w:t>Document C22/102(</w:t>
      </w:r>
      <w:r w:rsidR="00A96BDC" w:rsidRPr="006C02AF">
        <w:t>R</w:t>
      </w:r>
      <w:r w:rsidR="00D50499" w:rsidRPr="006C02AF">
        <w:t>év</w:t>
      </w:r>
      <w:r w:rsidRPr="006C02AF">
        <w:t xml:space="preserve">.1), </w:t>
      </w:r>
      <w:r w:rsidR="00712904" w:rsidRPr="006C02AF">
        <w:t xml:space="preserve">soumis à la dernière réunion de </w:t>
      </w:r>
      <w:r w:rsidR="0030633B" w:rsidRPr="006C02AF">
        <w:t xml:space="preserve">la </w:t>
      </w:r>
      <w:r w:rsidR="00D50499" w:rsidRPr="006C02AF">
        <w:br w:type="page"/>
      </w:r>
    </w:p>
    <w:p w14:paraId="2A6F0603" w14:textId="1BFBB0A2" w:rsidR="006D5C47" w:rsidRPr="006C02AF" w:rsidRDefault="0030633B" w:rsidP="00E32CD7">
      <w:r w:rsidRPr="006C02AF">
        <w:lastRenderedPageBreak/>
        <w:t>vingt</w:t>
      </w:r>
      <w:r w:rsidR="00D50499" w:rsidRPr="006C02AF">
        <w:noBreakHyphen/>
      </w:r>
      <w:r w:rsidRPr="006C02AF">
        <w:t>deuxième session du Conseil</w:t>
      </w:r>
      <w:r w:rsidR="006D5C47" w:rsidRPr="006C02AF">
        <w:t xml:space="preserve">, </w:t>
      </w:r>
      <w:r w:rsidR="00712904" w:rsidRPr="006C02AF">
        <w:t>qui contient des</w:t>
      </w:r>
      <w:r w:rsidR="006D5C47" w:rsidRPr="006C02AF">
        <w:t xml:space="preserve"> information</w:t>
      </w:r>
      <w:r w:rsidR="00712904" w:rsidRPr="006C02AF">
        <w:t>s</w:t>
      </w:r>
      <w:r w:rsidR="006D5C47" w:rsidRPr="006C02AF">
        <w:t xml:space="preserve"> </w:t>
      </w:r>
      <w:r w:rsidR="00712904" w:rsidRPr="006C02AF">
        <w:t xml:space="preserve">complètes sur le taux de mise en </w:t>
      </w:r>
      <w:r w:rsidR="00F14C53" w:rsidRPr="006C02AF">
        <w:t>œuvre</w:t>
      </w:r>
      <w:r w:rsidR="00712904" w:rsidRPr="006C02AF">
        <w:t xml:space="preserve"> prévu, des explications sur la situation</w:t>
      </w:r>
      <w:r w:rsidR="008C0CC7" w:rsidRPr="006C02AF">
        <w:t xml:space="preserve"> </w:t>
      </w:r>
      <w:r w:rsidR="006D5C47" w:rsidRPr="006C02AF">
        <w:t>financi</w:t>
      </w:r>
      <w:r w:rsidR="00712904" w:rsidRPr="006C02AF">
        <w:t xml:space="preserve">ère, des </w:t>
      </w:r>
      <w:r w:rsidR="006D5C47" w:rsidRPr="006C02AF">
        <w:t xml:space="preserve">projections </w:t>
      </w:r>
      <w:r w:rsidR="00551CC6" w:rsidRPr="006C02AF">
        <w:t>jusqu</w:t>
      </w:r>
      <w:r w:rsidR="00E32CD7" w:rsidRPr="006C02AF">
        <w:t>'</w:t>
      </w:r>
      <w:r w:rsidR="00551CC6" w:rsidRPr="006C02AF">
        <w:t>à la fin de l</w:t>
      </w:r>
      <w:r w:rsidR="00E32CD7" w:rsidRPr="006C02AF">
        <w:t>'</w:t>
      </w:r>
      <w:r w:rsidR="00551CC6" w:rsidRPr="006C02AF">
        <w:t xml:space="preserve">année et une </w:t>
      </w:r>
      <w:r w:rsidR="006D5C47" w:rsidRPr="006C02AF">
        <w:t xml:space="preserve">description </w:t>
      </w:r>
      <w:r w:rsidR="00551CC6" w:rsidRPr="006C02AF">
        <w:t xml:space="preserve">des mesures prises pour équilibrer le </w:t>
      </w:r>
      <w:r w:rsidR="006D5C47" w:rsidRPr="006C02AF">
        <w:t>budget.</w:t>
      </w:r>
      <w:bookmarkEnd w:id="63"/>
    </w:p>
    <w:p w14:paraId="00465CF6" w14:textId="69D7D22E" w:rsidR="006D5C47" w:rsidRPr="006C02AF" w:rsidRDefault="006D5C47" w:rsidP="00E32CD7">
      <w:r w:rsidRPr="006C02AF">
        <w:t>6.21</w:t>
      </w:r>
      <w:r w:rsidRPr="006C02AF">
        <w:tab/>
      </w:r>
      <w:bookmarkStart w:id="64" w:name="lt_pId151"/>
      <w:r w:rsidR="00B950A3" w:rsidRPr="006C02AF">
        <w:t>Plusieurs</w:t>
      </w:r>
      <w:r w:rsidR="008C0CC7" w:rsidRPr="006C02AF">
        <w:t xml:space="preserve"> </w:t>
      </w:r>
      <w:r w:rsidR="00774F8B" w:rsidRPr="006C02AF">
        <w:t>conseiller</w:t>
      </w:r>
      <w:r w:rsidRPr="006C02AF">
        <w:t xml:space="preserve">s </w:t>
      </w:r>
      <w:r w:rsidR="00D93B54" w:rsidRPr="006C02AF">
        <w:t>disent qu</w:t>
      </w:r>
      <w:r w:rsidR="00E32CD7" w:rsidRPr="006C02AF">
        <w:t>'</w:t>
      </w:r>
      <w:r w:rsidR="00D93B54" w:rsidRPr="006C02AF">
        <w:t>il aurait été utile</w:t>
      </w:r>
      <w:r w:rsidR="00BD1021" w:rsidRPr="006C02AF">
        <w:t xml:space="preserve"> que le </w:t>
      </w:r>
      <w:r w:rsidRPr="006C02AF">
        <w:t xml:space="preserve">Document C23-EXT/4 </w:t>
      </w:r>
      <w:r w:rsidR="00BD1021" w:rsidRPr="006C02AF">
        <w:t xml:space="preserve">contienne une explication plus claire de la manière dont le chiffre de </w:t>
      </w:r>
      <w:r w:rsidRPr="006C02AF">
        <w:t>1</w:t>
      </w:r>
      <w:r w:rsidR="000F700D" w:rsidRPr="006C02AF">
        <w:t>,</w:t>
      </w:r>
      <w:r w:rsidRPr="006C02AF">
        <w:t>4</w:t>
      </w:r>
      <w:r w:rsidR="00EE1EAE" w:rsidRPr="006C02AF">
        <w:t> </w:t>
      </w:r>
      <w:r w:rsidRPr="006C02AF">
        <w:t xml:space="preserve">million </w:t>
      </w:r>
      <w:r w:rsidR="00EE1EAE" w:rsidRPr="006C02AF">
        <w:t xml:space="preserve">CHF </w:t>
      </w:r>
      <w:r w:rsidR="00BD1021" w:rsidRPr="006C02AF">
        <w:t>a été calculé</w:t>
      </w:r>
      <w:r w:rsidRPr="006C02AF">
        <w:t>.</w:t>
      </w:r>
      <w:bookmarkEnd w:id="64"/>
      <w:r w:rsidRPr="006C02AF">
        <w:t xml:space="preserve"> </w:t>
      </w:r>
      <w:bookmarkStart w:id="65" w:name="lt_pId152"/>
      <w:r w:rsidR="004E0AF1" w:rsidRPr="006C02AF">
        <w:t>Pour les membres du Conseil, il n</w:t>
      </w:r>
      <w:r w:rsidR="00E32CD7" w:rsidRPr="006C02AF">
        <w:t>'</w:t>
      </w:r>
      <w:r w:rsidR="004E0AF1" w:rsidRPr="006C02AF">
        <w:t>est pas toujours aisé d</w:t>
      </w:r>
      <w:r w:rsidR="00E32CD7" w:rsidRPr="006C02AF">
        <w:t>'</w:t>
      </w:r>
      <w:r w:rsidR="004E0AF1" w:rsidRPr="006C02AF">
        <w:t>établir une synthèse des</w:t>
      </w:r>
      <w:r w:rsidRPr="006C02AF">
        <w:t xml:space="preserve"> information</w:t>
      </w:r>
      <w:r w:rsidR="004E0AF1" w:rsidRPr="006C02AF">
        <w:t>s</w:t>
      </w:r>
      <w:r w:rsidRPr="006C02AF">
        <w:t xml:space="preserve"> </w:t>
      </w:r>
      <w:r w:rsidR="004E0AF1" w:rsidRPr="006C02AF">
        <w:t>communiquées dans les</w:t>
      </w:r>
      <w:r w:rsidR="008C0CC7" w:rsidRPr="006C02AF">
        <w:t xml:space="preserve"> </w:t>
      </w:r>
      <w:r w:rsidRPr="006C02AF">
        <w:t xml:space="preserve">documents </w:t>
      </w:r>
      <w:r w:rsidR="00311653" w:rsidRPr="006C02AF">
        <w:t xml:space="preserve">élaborés </w:t>
      </w:r>
      <w:r w:rsidR="00036195" w:rsidRPr="006C02AF">
        <w:t>pour examen dans les</w:t>
      </w:r>
      <w:r w:rsidR="00311653" w:rsidRPr="006C02AF">
        <w:t xml:space="preserve"> différentes réunions</w:t>
      </w:r>
      <w:r w:rsidRPr="006C02AF">
        <w:t>.</w:t>
      </w:r>
      <w:bookmarkEnd w:id="65"/>
    </w:p>
    <w:p w14:paraId="266901DD" w14:textId="6E94A18D" w:rsidR="006D5C47" w:rsidRPr="006C02AF" w:rsidRDefault="006D5C47" w:rsidP="00E32CD7">
      <w:r w:rsidRPr="006C02AF">
        <w:t>6.22</w:t>
      </w:r>
      <w:r w:rsidRPr="006C02AF">
        <w:tab/>
      </w:r>
      <w:bookmarkStart w:id="66" w:name="lt_pId154"/>
      <w:r w:rsidR="00AF7A37" w:rsidRPr="006C02AF">
        <w:t xml:space="preserve">Le </w:t>
      </w:r>
      <w:r w:rsidR="00C6331B" w:rsidRPr="006C02AF">
        <w:t>Chef du Département de la gestion des ressources financières</w:t>
      </w:r>
      <w:r w:rsidRPr="006C02AF">
        <w:t xml:space="preserve"> </w:t>
      </w:r>
      <w:r w:rsidR="00F7573C" w:rsidRPr="006C02AF">
        <w:t>dit qu</w:t>
      </w:r>
      <w:r w:rsidR="00E32CD7" w:rsidRPr="006C02AF">
        <w:t>'</w:t>
      </w:r>
      <w:r w:rsidR="00F7573C" w:rsidRPr="006C02AF">
        <w:t xml:space="preserve">une partie du </w:t>
      </w:r>
      <w:r w:rsidR="00684338" w:rsidRPr="006C02AF">
        <w:t>déficit</w:t>
      </w:r>
      <w:r w:rsidRPr="006C02AF">
        <w:t xml:space="preserve"> </w:t>
      </w:r>
      <w:r w:rsidR="00F7573C" w:rsidRPr="006C02AF">
        <w:t>pourrait être comblée par les soldes des montants réservés à l</w:t>
      </w:r>
      <w:r w:rsidR="00E32CD7" w:rsidRPr="006C02AF">
        <w:t>'</w:t>
      </w:r>
      <w:r w:rsidR="00F7573C" w:rsidRPr="006C02AF">
        <w:t>analyse de la présence régionale</w:t>
      </w:r>
      <w:r w:rsidR="008C0CC7" w:rsidRPr="006C02AF">
        <w:t xml:space="preserve"> </w:t>
      </w:r>
      <w:r w:rsidRPr="006C02AF">
        <w:t>(82</w:t>
      </w:r>
      <w:r w:rsidR="00EE1EAE" w:rsidRPr="006C02AF">
        <w:t> </w:t>
      </w:r>
      <w:r w:rsidRPr="006C02AF">
        <w:t>000</w:t>
      </w:r>
      <w:r w:rsidR="00EE1EAE" w:rsidRPr="006C02AF">
        <w:t xml:space="preserve"> CHF</w:t>
      </w:r>
      <w:r w:rsidRPr="006C02AF">
        <w:t xml:space="preserve">) </w:t>
      </w:r>
      <w:r w:rsidR="00AC3519" w:rsidRPr="006C02AF">
        <w:t>et</w:t>
      </w:r>
      <w:r w:rsidRPr="006C02AF">
        <w:t xml:space="preserve"> </w:t>
      </w:r>
      <w:r w:rsidR="00447E69" w:rsidRPr="006C02AF">
        <w:t>à</w:t>
      </w:r>
      <w:r w:rsidR="008C0CC7" w:rsidRPr="006C02AF">
        <w:t xml:space="preserve"> </w:t>
      </w:r>
      <w:r w:rsidR="00723375" w:rsidRPr="006C02AF">
        <w:t>la vérification juricomptable</w:t>
      </w:r>
      <w:r w:rsidR="008C0CC7" w:rsidRPr="006C02AF">
        <w:t xml:space="preserve"> </w:t>
      </w:r>
      <w:r w:rsidR="00AC3519" w:rsidRPr="006C02AF">
        <w:t>mené</w:t>
      </w:r>
      <w:r w:rsidR="00447E69" w:rsidRPr="006C02AF">
        <w:t>e</w:t>
      </w:r>
      <w:r w:rsidR="00AC3519" w:rsidRPr="006C02AF">
        <w:t xml:space="preserve"> à la suite d</w:t>
      </w:r>
      <w:r w:rsidR="00E32CD7" w:rsidRPr="006C02AF">
        <w:t>'</w:t>
      </w:r>
      <w:r w:rsidR="00AC3519" w:rsidRPr="006C02AF">
        <w:t>une opération frauduleuse</w:t>
      </w:r>
      <w:r w:rsidR="008C0CC7" w:rsidRPr="006C02AF">
        <w:t xml:space="preserve"> </w:t>
      </w:r>
      <w:r w:rsidRPr="006C02AF">
        <w:t>(650</w:t>
      </w:r>
      <w:r w:rsidR="00AC3519" w:rsidRPr="006C02AF">
        <w:t> </w:t>
      </w:r>
      <w:r w:rsidRPr="006C02AF">
        <w:t>000</w:t>
      </w:r>
      <w:r w:rsidR="00AC3519" w:rsidRPr="006C02AF">
        <w:t> </w:t>
      </w:r>
      <w:r w:rsidR="00EE1EAE" w:rsidRPr="006C02AF">
        <w:t>CHF</w:t>
      </w:r>
      <w:r w:rsidRPr="006C02AF">
        <w:t>).</w:t>
      </w:r>
      <w:bookmarkEnd w:id="66"/>
      <w:r w:rsidRPr="006C02AF">
        <w:t xml:space="preserve"> </w:t>
      </w:r>
      <w:bookmarkStart w:id="67" w:name="lt_pId155"/>
      <w:r w:rsidR="000E18AF" w:rsidRPr="006C02AF">
        <w:t>Dans cette éventualité</w:t>
      </w:r>
      <w:r w:rsidR="00EF7FF0" w:rsidRPr="006C02AF">
        <w:t>,</w:t>
      </w:r>
      <w:r w:rsidRPr="006C02AF">
        <w:t xml:space="preserve"> </w:t>
      </w:r>
      <w:r w:rsidR="00BA1339" w:rsidRPr="006C02AF">
        <w:t>le Secrétaire général</w:t>
      </w:r>
      <w:r w:rsidR="008C0CC7" w:rsidRPr="006C02AF">
        <w:t xml:space="preserve"> </w:t>
      </w:r>
      <w:r w:rsidR="000E18AF" w:rsidRPr="006C02AF">
        <w:t>pourrait demander au</w:t>
      </w:r>
      <w:r w:rsidR="008C0CC7" w:rsidRPr="006C02AF">
        <w:t xml:space="preserve"> </w:t>
      </w:r>
      <w:r w:rsidR="00531462" w:rsidRPr="006C02AF">
        <w:t>Conseil</w:t>
      </w:r>
      <w:r w:rsidR="008C0CC7" w:rsidRPr="006C02AF">
        <w:t xml:space="preserve"> </w:t>
      </w:r>
      <w:r w:rsidR="000E18AF" w:rsidRPr="006C02AF">
        <w:t>de l</w:t>
      </w:r>
      <w:r w:rsidR="00E32CD7" w:rsidRPr="006C02AF">
        <w:t>'</w:t>
      </w:r>
      <w:r w:rsidR="000E18AF" w:rsidRPr="006C02AF">
        <w:t>autoriser à</w:t>
      </w:r>
      <w:r w:rsidR="008C0CC7" w:rsidRPr="006C02AF">
        <w:t xml:space="preserve"> </w:t>
      </w:r>
      <w:r w:rsidR="00EF5C1F" w:rsidRPr="006C02AF">
        <w:t>redistribuer ces montants aux fins de</w:t>
      </w:r>
      <w:r w:rsidRPr="006C02AF">
        <w:t xml:space="preserve"> </w:t>
      </w:r>
      <w:r w:rsidR="00EF5C1F" w:rsidRPr="006C02AF">
        <w:t>l</w:t>
      </w:r>
      <w:r w:rsidR="00E32CD7" w:rsidRPr="006C02AF">
        <w:t>'</w:t>
      </w:r>
      <w:r w:rsidR="00EF5C1F" w:rsidRPr="006C02AF">
        <w:t>utilisation des crédits ouverts</w:t>
      </w:r>
      <w:r w:rsidR="00124276" w:rsidRPr="006C02AF">
        <w:t xml:space="preserve"> en 2022</w:t>
      </w:r>
      <w:r w:rsidRPr="006C02AF">
        <w:t xml:space="preserve">, </w:t>
      </w:r>
      <w:r w:rsidR="00124276" w:rsidRPr="006C02AF">
        <w:t>et à retirer</w:t>
      </w:r>
      <w:r w:rsidR="008C0CC7" w:rsidRPr="006C02AF">
        <w:t xml:space="preserve"> </w:t>
      </w:r>
      <w:r w:rsidRPr="006C02AF">
        <w:t>700</w:t>
      </w:r>
      <w:r w:rsidR="00EE1EAE" w:rsidRPr="006C02AF">
        <w:t> </w:t>
      </w:r>
      <w:r w:rsidRPr="006C02AF">
        <w:t>000</w:t>
      </w:r>
      <w:r w:rsidR="00EE1EAE" w:rsidRPr="006C02AF">
        <w:t> CHF</w:t>
      </w:r>
      <w:r w:rsidRPr="006C02AF">
        <w:t xml:space="preserve"> </w:t>
      </w:r>
      <w:r w:rsidR="00124276" w:rsidRPr="006C02AF">
        <w:t>du</w:t>
      </w:r>
      <w:r w:rsidRPr="006C02AF">
        <w:t xml:space="preserve"> </w:t>
      </w:r>
      <w:r w:rsidR="005F0C1A" w:rsidRPr="006C02AF">
        <w:t>fonds de réserve</w:t>
      </w:r>
      <w:r w:rsidR="00EF7FF0" w:rsidRPr="006C02AF">
        <w:t>,</w:t>
      </w:r>
      <w:r w:rsidR="00720720" w:rsidRPr="006C02AF">
        <w:t xml:space="preserve"> uniquement dans le cas où le</w:t>
      </w:r>
      <w:r w:rsidR="008C0CC7" w:rsidRPr="006C02AF">
        <w:t xml:space="preserve"> </w:t>
      </w:r>
      <w:r w:rsidRPr="006C02AF">
        <w:t xml:space="preserve">budget </w:t>
      </w:r>
      <w:r w:rsidR="00720720" w:rsidRPr="006C02AF">
        <w:t>accuserait toujours un</w:t>
      </w:r>
      <w:r w:rsidRPr="006C02AF">
        <w:t xml:space="preserve"> </w:t>
      </w:r>
      <w:r w:rsidR="00684338" w:rsidRPr="006C02AF">
        <w:t>déficit</w:t>
      </w:r>
      <w:r w:rsidR="00720720" w:rsidRPr="006C02AF">
        <w:t xml:space="preserve"> à la fin de l</w:t>
      </w:r>
      <w:r w:rsidR="00E32CD7" w:rsidRPr="006C02AF">
        <w:t>'</w:t>
      </w:r>
      <w:r w:rsidR="00720720" w:rsidRPr="006C02AF">
        <w:t>année</w:t>
      </w:r>
      <w:r w:rsidRPr="006C02AF">
        <w:t>.</w:t>
      </w:r>
      <w:bookmarkEnd w:id="67"/>
      <w:r w:rsidRPr="006C02AF">
        <w:t xml:space="preserve"> </w:t>
      </w:r>
      <w:bookmarkStart w:id="68" w:name="lt_pId156"/>
      <w:r w:rsidR="00720720" w:rsidRPr="006C02AF">
        <w:t>Dans cette optique</w:t>
      </w:r>
      <w:r w:rsidRPr="006C02AF">
        <w:t xml:space="preserve">, </w:t>
      </w:r>
      <w:r w:rsidR="004F591E" w:rsidRPr="006C02AF">
        <w:t xml:space="preserve">le Chef du Département de la gestion des ressources financières </w:t>
      </w:r>
      <w:r w:rsidRPr="006C02AF">
        <w:t>propose</w:t>
      </w:r>
      <w:r w:rsidR="004F591E" w:rsidRPr="006C02AF">
        <w:t xml:space="preserve"> que le</w:t>
      </w:r>
      <w:r w:rsidR="008C0CC7" w:rsidRPr="006C02AF">
        <w:t xml:space="preserve"> </w:t>
      </w:r>
      <w:r w:rsidRPr="006C02AF">
        <w:t>paragraph</w:t>
      </w:r>
      <w:r w:rsidR="004F591E" w:rsidRPr="006C02AF">
        <w:t>e qui suit</w:t>
      </w:r>
      <w:r w:rsidR="008C0CC7" w:rsidRPr="006C02AF">
        <w:t xml:space="preserve"> </w:t>
      </w:r>
      <w:r w:rsidR="00215519" w:rsidRPr="006C02AF">
        <w:t>"</w:t>
      </w:r>
      <w:r w:rsidRPr="006C02AF">
        <w:rPr>
          <w:iCs/>
        </w:rPr>
        <w:t>resolves</w:t>
      </w:r>
      <w:r w:rsidR="00215519" w:rsidRPr="006C02AF">
        <w:rPr>
          <w:iCs/>
        </w:rPr>
        <w:t>"</w:t>
      </w:r>
      <w:r w:rsidR="005A3F43" w:rsidRPr="006C02AF">
        <w:rPr>
          <w:iCs/>
        </w:rPr>
        <w:t xml:space="preserve"> (</w:t>
      </w:r>
      <w:r w:rsidR="0017560E" w:rsidRPr="006C02AF">
        <w:rPr>
          <w:iCs/>
        </w:rPr>
        <w:t>décide</w:t>
      </w:r>
      <w:r w:rsidR="005A3F43" w:rsidRPr="006C02AF">
        <w:rPr>
          <w:iCs/>
        </w:rPr>
        <w:t>)</w:t>
      </w:r>
      <w:r w:rsidRPr="006C02AF">
        <w:rPr>
          <w:iCs/>
        </w:rPr>
        <w:t xml:space="preserve"> </w:t>
      </w:r>
      <w:r w:rsidR="004F591E" w:rsidRPr="006C02AF">
        <w:t xml:space="preserve">dans </w:t>
      </w:r>
      <w:r w:rsidR="006E3E41" w:rsidRPr="006C02AF">
        <w:t>le projet de résolution</w:t>
      </w:r>
      <w:r w:rsidR="008C0CC7" w:rsidRPr="006C02AF">
        <w:t xml:space="preserve"> </w:t>
      </w:r>
      <w:r w:rsidR="004F591E" w:rsidRPr="006C02AF">
        <w:t>soit remplacé par</w:t>
      </w:r>
      <w:r w:rsidR="008C0CC7" w:rsidRPr="006C02AF">
        <w:t xml:space="preserve"> </w:t>
      </w:r>
      <w:r w:rsidR="00215519" w:rsidRPr="006C02AF">
        <w:t>"</w:t>
      </w:r>
      <w:r w:rsidR="00DA5DF2" w:rsidRPr="006C02AF">
        <w:t xml:space="preserve">that 700 000 Swiss francs may be reserved in the </w:t>
      </w:r>
      <w:r w:rsidR="005F0C1A" w:rsidRPr="006C02AF">
        <w:t>fonds de réserve</w:t>
      </w:r>
      <w:r w:rsidR="008C0CC7" w:rsidRPr="006C02AF">
        <w:t xml:space="preserve"> </w:t>
      </w:r>
      <w:r w:rsidR="00DA5DF2" w:rsidRPr="006C02AF">
        <w:t>to be used by the Secretary</w:t>
      </w:r>
      <w:r w:rsidR="00DA5DF2" w:rsidRPr="006C02AF">
        <w:noBreakHyphen/>
        <w:t xml:space="preserve">General if at the end of the year there remains a deficit in the 2022 </w:t>
      </w:r>
      <w:r w:rsidR="00EF5C1F" w:rsidRPr="006C02AF">
        <w:t>l</w:t>
      </w:r>
      <w:r w:rsidR="00E32CD7" w:rsidRPr="006C02AF">
        <w:t>'</w:t>
      </w:r>
      <w:r w:rsidR="00EF5C1F" w:rsidRPr="006C02AF">
        <w:t>utilisation des crédits ouverts</w:t>
      </w:r>
      <w:r w:rsidR="00215519" w:rsidRPr="006C02AF">
        <w:t>"</w:t>
      </w:r>
      <w:r w:rsidR="008241E8" w:rsidRPr="006C02AF">
        <w:t xml:space="preserve"> (</w:t>
      </w:r>
      <w:r w:rsidR="00DA5DF2" w:rsidRPr="006C02AF">
        <w:t>qu</w:t>
      </w:r>
      <w:r w:rsidR="00E32CD7" w:rsidRPr="006C02AF">
        <w:t>'</w:t>
      </w:r>
      <w:r w:rsidR="003E1BAD" w:rsidRPr="006C02AF">
        <w:t>une somme de</w:t>
      </w:r>
      <w:r w:rsidR="00DA5DF2" w:rsidRPr="006C02AF">
        <w:t xml:space="preserve"> 700 000 francs suisses</w:t>
      </w:r>
      <w:r w:rsidR="008C0CC7" w:rsidRPr="006C02AF">
        <w:t xml:space="preserve"> </w:t>
      </w:r>
      <w:r w:rsidR="003E1BAD" w:rsidRPr="006C02AF">
        <w:t>dans le</w:t>
      </w:r>
      <w:r w:rsidR="00DA5DF2" w:rsidRPr="006C02AF">
        <w:t xml:space="preserve"> </w:t>
      </w:r>
      <w:r w:rsidR="005F0C1A" w:rsidRPr="006C02AF">
        <w:t>fonds de réserve</w:t>
      </w:r>
      <w:r w:rsidR="008C0CC7" w:rsidRPr="006C02AF">
        <w:t xml:space="preserve"> </w:t>
      </w:r>
      <w:r w:rsidR="00DA5DF2" w:rsidRPr="006C02AF">
        <w:t>puisse</w:t>
      </w:r>
      <w:r w:rsidR="003E1BAD" w:rsidRPr="006C02AF">
        <w:t xml:space="preserve"> </w:t>
      </w:r>
      <w:r w:rsidR="00DA5DF2" w:rsidRPr="006C02AF">
        <w:t xml:space="preserve">être </w:t>
      </w:r>
      <w:r w:rsidR="003E1BAD" w:rsidRPr="006C02AF">
        <w:t>mise de côté pour être utilisée</w:t>
      </w:r>
      <w:r w:rsidR="008C0CC7" w:rsidRPr="006C02AF">
        <w:t xml:space="preserve"> </w:t>
      </w:r>
      <w:r w:rsidR="00DA5DF2" w:rsidRPr="006C02AF">
        <w:t>par</w:t>
      </w:r>
      <w:r w:rsidR="008C0CC7" w:rsidRPr="006C02AF">
        <w:t xml:space="preserve"> </w:t>
      </w:r>
      <w:r w:rsidR="00DA5DF2" w:rsidRPr="006C02AF">
        <w:t>le Secrétaire général</w:t>
      </w:r>
      <w:r w:rsidR="008C0CC7" w:rsidRPr="006C02AF">
        <w:t xml:space="preserve"> </w:t>
      </w:r>
      <w:r w:rsidR="00DA5DF2" w:rsidRPr="006C02AF">
        <w:t>si l</w:t>
      </w:r>
      <w:r w:rsidR="00E32CD7" w:rsidRPr="006C02AF">
        <w:t>'</w:t>
      </w:r>
      <w:r w:rsidR="00DA5DF2" w:rsidRPr="006C02AF">
        <w:t>utilisation des crédits</w:t>
      </w:r>
      <w:r w:rsidR="008C0CC7" w:rsidRPr="006C02AF">
        <w:t xml:space="preserve"> </w:t>
      </w:r>
      <w:r w:rsidR="00DA5DF2" w:rsidRPr="006C02AF">
        <w:t>ouverts présente toujours un déficit</w:t>
      </w:r>
      <w:r w:rsidR="007949F7" w:rsidRPr="006C02AF">
        <w:t xml:space="preserve"> à la fin de l</w:t>
      </w:r>
      <w:r w:rsidR="00E32CD7" w:rsidRPr="006C02AF">
        <w:t>'</w:t>
      </w:r>
      <w:r w:rsidR="007949F7" w:rsidRPr="006C02AF">
        <w:t>année</w:t>
      </w:r>
      <w:r w:rsidR="00DA5DF2" w:rsidRPr="006C02AF">
        <w:t>)</w:t>
      </w:r>
      <w:r w:rsidRPr="006C02AF">
        <w:t>.</w:t>
      </w:r>
      <w:bookmarkEnd w:id="68"/>
    </w:p>
    <w:p w14:paraId="2579537B" w14:textId="72C35A19" w:rsidR="006D5C47" w:rsidRPr="006C02AF" w:rsidRDefault="006D5C47" w:rsidP="00E32CD7">
      <w:r w:rsidRPr="006C02AF">
        <w:t>6.23</w:t>
      </w:r>
      <w:r w:rsidRPr="006C02AF">
        <w:tab/>
      </w:r>
      <w:bookmarkStart w:id="69" w:name="lt_pId158"/>
      <w:r w:rsidR="008134F7" w:rsidRPr="006C02AF">
        <w:t>Un</w:t>
      </w:r>
      <w:r w:rsidRPr="006C02AF">
        <w:t xml:space="preserve"> </w:t>
      </w:r>
      <w:r w:rsidR="00774F8B" w:rsidRPr="006C02AF">
        <w:t>conseiller</w:t>
      </w:r>
      <w:r w:rsidRPr="006C02AF">
        <w:t xml:space="preserve"> </w:t>
      </w:r>
      <w:r w:rsidR="005E021A" w:rsidRPr="006C02AF">
        <w:t>dit qu</w:t>
      </w:r>
      <w:r w:rsidR="00E32CD7" w:rsidRPr="006C02AF">
        <w:t>'</w:t>
      </w:r>
      <w:r w:rsidR="005E021A" w:rsidRPr="006C02AF">
        <w:t>il ne fait pas</w:t>
      </w:r>
      <w:r w:rsidR="008C0CC7" w:rsidRPr="006C02AF">
        <w:t xml:space="preserve"> </w:t>
      </w:r>
      <w:r w:rsidRPr="006C02AF">
        <w:t xml:space="preserve">objection </w:t>
      </w:r>
      <w:r w:rsidR="005E021A" w:rsidRPr="006C02AF">
        <w:t>à la</w:t>
      </w:r>
      <w:r w:rsidRPr="006C02AF">
        <w:t xml:space="preserve"> propos</w:t>
      </w:r>
      <w:r w:rsidR="005E021A" w:rsidRPr="006C02AF">
        <w:t>ition mais qu</w:t>
      </w:r>
      <w:r w:rsidR="00E32CD7" w:rsidRPr="006C02AF">
        <w:t>'</w:t>
      </w:r>
      <w:r w:rsidR="005E021A" w:rsidRPr="006C02AF">
        <w:t>au titre de</w:t>
      </w:r>
      <w:r w:rsidR="008C0CC7" w:rsidRPr="006C02AF">
        <w:t xml:space="preserve"> </w:t>
      </w:r>
      <w:r w:rsidR="005E021A" w:rsidRPr="006C02AF">
        <w:t>la</w:t>
      </w:r>
      <w:r w:rsidR="008C0CC7" w:rsidRPr="006C02AF">
        <w:t xml:space="preserve"> </w:t>
      </w:r>
      <w:r w:rsidRPr="006C02AF">
        <w:t>Convention</w:t>
      </w:r>
      <w:r w:rsidR="00A62C7B" w:rsidRPr="006C02AF">
        <w:t>, le</w:t>
      </w:r>
      <w:r w:rsidRPr="006C02AF">
        <w:t xml:space="preserve"> </w:t>
      </w:r>
      <w:r w:rsidR="005F0C1A" w:rsidRPr="006C02AF">
        <w:t>fonds de réserve</w:t>
      </w:r>
      <w:r w:rsidR="008C0CC7" w:rsidRPr="006C02AF">
        <w:t xml:space="preserve"> </w:t>
      </w:r>
      <w:r w:rsidR="00A62C7B" w:rsidRPr="006C02AF">
        <w:t xml:space="preserve">doit permettre de faire face à des dépenses indispensables et garantir que </w:t>
      </w:r>
      <w:r w:rsidR="000754C1" w:rsidRPr="006C02AF">
        <w:t>l</w:t>
      </w:r>
      <w:r w:rsidR="00E32CD7" w:rsidRPr="006C02AF">
        <w:t>'</w:t>
      </w:r>
      <w:r w:rsidRPr="006C02AF">
        <w:t xml:space="preserve">Union </w:t>
      </w:r>
      <w:r w:rsidR="000754C1" w:rsidRPr="006C02AF">
        <w:t>ne soit</w:t>
      </w:r>
      <w:r w:rsidR="008C0CC7" w:rsidRPr="006C02AF">
        <w:t xml:space="preserve"> </w:t>
      </w:r>
      <w:r w:rsidR="000754C1" w:rsidRPr="006C02AF">
        <w:t xml:space="preserve">pas obligée </w:t>
      </w:r>
      <w:r w:rsidR="00546268" w:rsidRPr="006C02AF">
        <w:t xml:space="preserve">de contracter des </w:t>
      </w:r>
      <w:r w:rsidR="000754C1" w:rsidRPr="006C02AF">
        <w:t>dettes</w:t>
      </w:r>
      <w:r w:rsidR="00E32CD7" w:rsidRPr="006C02AF">
        <w:t>.</w:t>
      </w:r>
      <w:bookmarkEnd w:id="69"/>
      <w:r w:rsidRPr="006C02AF">
        <w:t xml:space="preserve"> </w:t>
      </w:r>
      <w:bookmarkStart w:id="70" w:name="lt_pId159"/>
      <w:r w:rsidR="00546268" w:rsidRPr="006C02AF">
        <w:t>Toutefois, il est difficile pour les</w:t>
      </w:r>
      <w:r w:rsidR="00546B5A" w:rsidRPr="006C02AF">
        <w:t xml:space="preserve"> </w:t>
      </w:r>
      <w:bookmarkStart w:id="71" w:name="_Hlk120564322"/>
      <w:r w:rsidR="00A96BDC" w:rsidRPr="006C02AF">
        <w:t>États</w:t>
      </w:r>
      <w:r w:rsidR="00546B5A" w:rsidRPr="006C02AF">
        <w:t xml:space="preserve"> Membres</w:t>
      </w:r>
      <w:bookmarkEnd w:id="71"/>
      <w:r w:rsidRPr="006C02AF">
        <w:t xml:space="preserve"> </w:t>
      </w:r>
      <w:r w:rsidR="00586798" w:rsidRPr="006C02AF">
        <w:t>de</w:t>
      </w:r>
      <w:r w:rsidRPr="006C02AF">
        <w:t xml:space="preserve"> d</w:t>
      </w:r>
      <w:r w:rsidR="00586798" w:rsidRPr="006C02AF">
        <w:t>é</w:t>
      </w:r>
      <w:r w:rsidRPr="006C02AF">
        <w:t>termine</w:t>
      </w:r>
      <w:r w:rsidR="00586798" w:rsidRPr="006C02AF">
        <w:t xml:space="preserve">r si les </w:t>
      </w:r>
      <w:r w:rsidR="00680133" w:rsidRPr="006C02AF">
        <w:t>activités</w:t>
      </w:r>
      <w:r w:rsidRPr="006C02AF">
        <w:t xml:space="preserve"> </w:t>
      </w:r>
      <w:r w:rsidR="00586798" w:rsidRPr="006C02AF">
        <w:t xml:space="preserve">qui doivent être financées au titre du </w:t>
      </w:r>
      <w:r w:rsidR="006E3E41" w:rsidRPr="006C02AF">
        <w:t>projet de résolution</w:t>
      </w:r>
      <w:r w:rsidR="008C0CC7" w:rsidRPr="006C02AF">
        <w:t xml:space="preserve"> </w:t>
      </w:r>
      <w:r w:rsidR="00586798" w:rsidRPr="006C02AF">
        <w:t>sont</w:t>
      </w:r>
      <w:r w:rsidR="008C0CC7" w:rsidRPr="006C02AF">
        <w:t xml:space="preserve"> </w:t>
      </w:r>
      <w:r w:rsidRPr="006C02AF">
        <w:t>essenti</w:t>
      </w:r>
      <w:r w:rsidR="00586798" w:rsidRPr="006C02AF">
        <w:t>elles ou non</w:t>
      </w:r>
      <w:r w:rsidRPr="006C02AF">
        <w:t>.</w:t>
      </w:r>
      <w:bookmarkEnd w:id="70"/>
      <w:r w:rsidRPr="006C02AF">
        <w:t xml:space="preserve"> </w:t>
      </w:r>
      <w:bookmarkStart w:id="72" w:name="lt_pId160"/>
      <w:r w:rsidR="00586798" w:rsidRPr="006C02AF">
        <w:t>En outre,</w:t>
      </w:r>
      <w:r w:rsidR="008C0CC7" w:rsidRPr="006C02AF">
        <w:t xml:space="preserve"> </w:t>
      </w:r>
      <w:r w:rsidR="001165B5" w:rsidRPr="006C02AF">
        <w:t xml:space="preserve">le </w:t>
      </w:r>
      <w:r w:rsidR="00774F8B" w:rsidRPr="006C02AF">
        <w:t>conseiller</w:t>
      </w:r>
      <w:r w:rsidR="004B7144" w:rsidRPr="006C02AF">
        <w:t xml:space="preserve"> ne voit pas bien si le</w:t>
      </w:r>
      <w:r w:rsidR="008C0CC7" w:rsidRPr="006C02AF">
        <w:t xml:space="preserve"> </w:t>
      </w:r>
      <w:r w:rsidR="00A32ACC" w:rsidRPr="006C02AF">
        <w:t>Règlement financier et les Règles financières</w:t>
      </w:r>
      <w:r w:rsidRPr="006C02AF">
        <w:t xml:space="preserve"> </w:t>
      </w:r>
      <w:r w:rsidR="004B7144" w:rsidRPr="006C02AF">
        <w:t xml:space="preserve">autorisent ou non le transfert de fonds selon les modalités proposées. </w:t>
      </w:r>
      <w:bookmarkStart w:id="73" w:name="lt_pId161"/>
      <w:bookmarkEnd w:id="72"/>
      <w:r w:rsidR="004B7144" w:rsidRPr="006C02AF">
        <w:t xml:space="preserve">Comme </w:t>
      </w:r>
      <w:r w:rsidR="00880EA9" w:rsidRPr="006C02AF">
        <w:t>d</w:t>
      </w:r>
      <w:r w:rsidR="00E32CD7" w:rsidRPr="006C02AF">
        <w:t>'</w:t>
      </w:r>
      <w:r w:rsidR="004B7144" w:rsidRPr="006C02AF">
        <w:t>autres</w:t>
      </w:r>
      <w:r w:rsidRPr="006C02AF">
        <w:t xml:space="preserve"> organi</w:t>
      </w:r>
      <w:r w:rsidR="004B7144" w:rsidRPr="006C02AF">
        <w:t>s</w:t>
      </w:r>
      <w:r w:rsidRPr="006C02AF">
        <w:t xml:space="preserve">ations, </w:t>
      </w:r>
      <w:r w:rsidR="004B7144" w:rsidRPr="006C02AF">
        <w:t>l</w:t>
      </w:r>
      <w:r w:rsidR="00E32CD7" w:rsidRPr="006C02AF">
        <w:t>'</w:t>
      </w:r>
      <w:r w:rsidR="004B7144" w:rsidRPr="006C02AF">
        <w:t>UIT devrait envisager de mettre un terme aux activités</w:t>
      </w:r>
      <w:r w:rsidRPr="006C02AF">
        <w:t xml:space="preserve"> </w:t>
      </w:r>
      <w:r w:rsidR="004B7144" w:rsidRPr="006C02AF">
        <w:t>qui ne sont plus financées</w:t>
      </w:r>
      <w:r w:rsidRPr="006C02AF">
        <w:t>.</w:t>
      </w:r>
      <w:bookmarkEnd w:id="73"/>
    </w:p>
    <w:p w14:paraId="3A844F87" w14:textId="20C07EAA" w:rsidR="006D5C47" w:rsidRPr="006C02AF" w:rsidRDefault="006D5C47" w:rsidP="00E32CD7">
      <w:r w:rsidRPr="006C02AF">
        <w:t>6.24</w:t>
      </w:r>
      <w:r w:rsidRPr="006C02AF">
        <w:tab/>
      </w:r>
      <w:bookmarkStart w:id="74" w:name="lt_pId163"/>
      <w:r w:rsidR="002152EB" w:rsidRPr="006C02AF">
        <w:t>Un</w:t>
      </w:r>
      <w:r w:rsidR="008C0CC7" w:rsidRPr="006C02AF">
        <w:t xml:space="preserve"> </w:t>
      </w:r>
      <w:r w:rsidR="00774F8B" w:rsidRPr="006C02AF">
        <w:t>conseiller</w:t>
      </w:r>
      <w:r w:rsidRPr="006C02AF">
        <w:t xml:space="preserve"> </w:t>
      </w:r>
      <w:r w:rsidR="002152EB" w:rsidRPr="006C02AF">
        <w:t>demande au</w:t>
      </w:r>
      <w:r w:rsidR="00BA1339" w:rsidRPr="006C02AF">
        <w:t xml:space="preserve"> Secrétaire général</w:t>
      </w:r>
      <w:r w:rsidR="008C0CC7" w:rsidRPr="006C02AF">
        <w:t xml:space="preserve"> </w:t>
      </w:r>
      <w:r w:rsidR="00702ED2" w:rsidRPr="006C02AF">
        <w:t xml:space="preserve">de </w:t>
      </w:r>
      <w:r w:rsidR="001219FB" w:rsidRPr="006C02AF">
        <w:t>recenser les manières d</w:t>
      </w:r>
      <w:r w:rsidR="00E32CD7" w:rsidRPr="006C02AF">
        <w:t>'</w:t>
      </w:r>
      <w:r w:rsidR="001219FB" w:rsidRPr="006C02AF">
        <w:t>améliorer les recettes de l</w:t>
      </w:r>
      <w:r w:rsidR="00E32CD7" w:rsidRPr="006C02AF">
        <w:t>'</w:t>
      </w:r>
      <w:r w:rsidRPr="006C02AF">
        <w:t>Union</w:t>
      </w:r>
      <w:r w:rsidR="001219FB" w:rsidRPr="006C02AF">
        <w:t xml:space="preserve"> et de les faire augmenter</w:t>
      </w:r>
      <w:r w:rsidRPr="006C02AF">
        <w:t>.</w:t>
      </w:r>
      <w:bookmarkEnd w:id="74"/>
    </w:p>
    <w:p w14:paraId="00EBD094" w14:textId="201CAC0E" w:rsidR="006D5C47" w:rsidRPr="006C02AF" w:rsidRDefault="006D5C47" w:rsidP="00E32CD7">
      <w:r w:rsidRPr="006C02AF">
        <w:t>6.25</w:t>
      </w:r>
      <w:r w:rsidRPr="006C02AF">
        <w:tab/>
      </w:r>
      <w:bookmarkStart w:id="75" w:name="lt_pId165"/>
      <w:r w:rsidR="00740665" w:rsidRPr="006C02AF">
        <w:t>Une</w:t>
      </w:r>
      <w:r w:rsidRPr="006C02AF">
        <w:t xml:space="preserve"> </w:t>
      </w:r>
      <w:r w:rsidR="00774F8B" w:rsidRPr="006C02AF">
        <w:t>conseillère</w:t>
      </w:r>
      <w:r w:rsidRPr="006C02AF">
        <w:t xml:space="preserve">, </w:t>
      </w:r>
      <w:r w:rsidR="00740665" w:rsidRPr="006C02AF">
        <w:t>soulignant la nécessité d</w:t>
      </w:r>
      <w:r w:rsidR="00E32CD7" w:rsidRPr="006C02AF">
        <w:t>'</w:t>
      </w:r>
      <w:r w:rsidR="00740665" w:rsidRPr="006C02AF">
        <w:t>éviter que cette situation se reproduise, propose les deux amendements ci-après au</w:t>
      </w:r>
      <w:r w:rsidR="008C0CC7" w:rsidRPr="006C02AF">
        <w:t xml:space="preserve"> </w:t>
      </w:r>
      <w:r w:rsidR="006E3E41" w:rsidRPr="006C02AF">
        <w:t>projet de résolution</w:t>
      </w:r>
      <w:r w:rsidR="00E32CD7" w:rsidRPr="006C02AF">
        <w:t>:</w:t>
      </w:r>
      <w:r w:rsidRPr="006C02AF">
        <w:t xml:space="preserve"> </w:t>
      </w:r>
      <w:r w:rsidR="009C3727" w:rsidRPr="006C02AF">
        <w:t>ajouter</w:t>
      </w:r>
      <w:r w:rsidR="002A1B60" w:rsidRPr="006C02AF">
        <w:t xml:space="preserve"> après</w:t>
      </w:r>
      <w:r w:rsidRPr="006C02AF">
        <w:t xml:space="preserve"> </w:t>
      </w:r>
      <w:r w:rsidR="00215519" w:rsidRPr="006C02AF">
        <w:t>"</w:t>
      </w:r>
      <w:r w:rsidRPr="006C02AF">
        <w:t>having noted</w:t>
      </w:r>
      <w:r w:rsidR="00215519" w:rsidRPr="006C02AF">
        <w:t>"</w:t>
      </w:r>
      <w:r w:rsidR="002A1B60" w:rsidRPr="006C02AF">
        <w:t xml:space="preserve"> </w:t>
      </w:r>
      <w:r w:rsidR="002A1B60" w:rsidRPr="006C02AF">
        <w:rPr>
          <w:iCs/>
        </w:rPr>
        <w:t>(ayant pris note</w:t>
      </w:r>
      <w:r w:rsidR="0067525F" w:rsidRPr="006C02AF">
        <w:rPr>
          <w:iCs/>
        </w:rPr>
        <w:t xml:space="preserve"> de</w:t>
      </w:r>
      <w:r w:rsidR="002A1B60" w:rsidRPr="006C02AF">
        <w:rPr>
          <w:iCs/>
        </w:rPr>
        <w:t>)</w:t>
      </w:r>
      <w:r w:rsidR="009B1E61" w:rsidRPr="006C02AF">
        <w:t xml:space="preserve"> un deuxième paragraphe</w:t>
      </w:r>
      <w:r w:rsidR="00066297" w:rsidRPr="006C02AF">
        <w:t xml:space="preserve"> libellé comme suit</w:t>
      </w:r>
      <w:r w:rsidR="00E32CD7" w:rsidRPr="006C02AF">
        <w:t>:</w:t>
      </w:r>
      <w:r w:rsidRPr="006C02AF">
        <w:t xml:space="preserve"> </w:t>
      </w:r>
      <w:r w:rsidR="00215519" w:rsidRPr="006C02AF">
        <w:t>"</w:t>
      </w:r>
      <w:r w:rsidRPr="006C02AF">
        <w:t>the need to improve the financial management that the situation has demonstrated</w:t>
      </w:r>
      <w:r w:rsidR="00215519" w:rsidRPr="006C02AF">
        <w:t>"</w:t>
      </w:r>
      <w:r w:rsidR="00066297" w:rsidRPr="006C02AF">
        <w:t xml:space="preserve"> (</w:t>
      </w:r>
      <w:r w:rsidR="0067525F" w:rsidRPr="006C02AF">
        <w:t>la nécessité d</w:t>
      </w:r>
      <w:r w:rsidR="00E32CD7" w:rsidRPr="006C02AF">
        <w:t>'</w:t>
      </w:r>
      <w:r w:rsidR="0067525F" w:rsidRPr="006C02AF">
        <w:t xml:space="preserve">améliorer la gestion financière qui ressort de </w:t>
      </w:r>
      <w:r w:rsidR="009C3727" w:rsidRPr="006C02AF">
        <w:t>cette</w:t>
      </w:r>
      <w:r w:rsidR="0067525F" w:rsidRPr="006C02AF">
        <w:t xml:space="preserve"> situation</w:t>
      </w:r>
      <w:r w:rsidR="00066297" w:rsidRPr="006C02AF">
        <w:t>)</w:t>
      </w:r>
      <w:r w:rsidR="00E32CD7" w:rsidRPr="006C02AF">
        <w:t>;</w:t>
      </w:r>
      <w:r w:rsidRPr="006C02AF">
        <w:t xml:space="preserve"> </w:t>
      </w:r>
      <w:r w:rsidR="009C3727" w:rsidRPr="006C02AF">
        <w:t>ajouter en regard de</w:t>
      </w:r>
      <w:r w:rsidR="00804F3D" w:rsidRPr="006C02AF">
        <w:t xml:space="preserve"> </w:t>
      </w:r>
      <w:r w:rsidR="00215519" w:rsidRPr="006C02AF">
        <w:t>"</w:t>
      </w:r>
      <w:r w:rsidR="009C3727" w:rsidRPr="006C02AF">
        <w:t>resolves</w:t>
      </w:r>
      <w:r w:rsidR="00215519" w:rsidRPr="006C02AF">
        <w:t>"</w:t>
      </w:r>
      <w:r w:rsidR="008C0CC7" w:rsidRPr="006C02AF">
        <w:t xml:space="preserve"> </w:t>
      </w:r>
      <w:r w:rsidR="000C2378" w:rsidRPr="006C02AF">
        <w:t>un deuxième paragraphe libellé comme suit</w:t>
      </w:r>
      <w:r w:rsidR="00E32CD7" w:rsidRPr="006C02AF">
        <w:t>:</w:t>
      </w:r>
      <w:r w:rsidR="000C2378" w:rsidRPr="006C02AF">
        <w:t xml:space="preserve"> </w:t>
      </w:r>
      <w:r w:rsidR="00215519" w:rsidRPr="006C02AF">
        <w:t>"</w:t>
      </w:r>
      <w:r w:rsidR="00804F3D" w:rsidRPr="006C02AF">
        <w:t>to request the Secretary-General to take measures to strengthen the financial management and report on the measures taken to the 2023 session of the Council</w:t>
      </w:r>
      <w:r w:rsidR="00215519" w:rsidRPr="006C02AF">
        <w:t>"</w:t>
      </w:r>
      <w:r w:rsidR="00E43B2B" w:rsidRPr="006C02AF">
        <w:t xml:space="preserve"> (de prier le Secrétaire général de </w:t>
      </w:r>
      <w:r w:rsidR="003A0C30" w:rsidRPr="006C02AF">
        <w:t>prendre des mesures pour renforcer la gestion financière et de rendre compte des mesures prises à la</w:t>
      </w:r>
      <w:r w:rsidR="006F34E3" w:rsidRPr="006C02AF">
        <w:t xml:space="preserve"> session de 2023 du Conseil)</w:t>
      </w:r>
      <w:r w:rsidRPr="006C02AF">
        <w:t>.</w:t>
      </w:r>
      <w:bookmarkEnd w:id="75"/>
    </w:p>
    <w:p w14:paraId="71AD6BC5" w14:textId="195CF8DF" w:rsidR="006D5C47" w:rsidRPr="006C02AF" w:rsidRDefault="006D5C47" w:rsidP="00E32CD7">
      <w:r w:rsidRPr="006C02AF">
        <w:t>6.26</w:t>
      </w:r>
      <w:r w:rsidRPr="006C02AF">
        <w:tab/>
      </w:r>
      <w:bookmarkStart w:id="76" w:name="lt_pId167"/>
      <w:r w:rsidR="00FF2F21" w:rsidRPr="006C02AF">
        <w:t>Une</w:t>
      </w:r>
      <w:r w:rsidRPr="006C02AF">
        <w:t xml:space="preserve"> </w:t>
      </w:r>
      <w:r w:rsidR="00774F8B" w:rsidRPr="006C02AF">
        <w:t>conseillère</w:t>
      </w:r>
      <w:r w:rsidRPr="006C02AF">
        <w:t xml:space="preserve"> </w:t>
      </w:r>
      <w:r w:rsidR="00804F3D" w:rsidRPr="006C02AF">
        <w:t>a approuvé la proposition d</w:t>
      </w:r>
      <w:r w:rsidR="00E32CD7" w:rsidRPr="006C02AF">
        <w:t>'</w:t>
      </w:r>
      <w:r w:rsidR="00804F3D" w:rsidRPr="006C02AF">
        <w:t>ajouter</w:t>
      </w:r>
      <w:r w:rsidRPr="006C02AF">
        <w:t xml:space="preserve"> </w:t>
      </w:r>
      <w:r w:rsidR="00804F3D" w:rsidRPr="006C02AF">
        <w:t xml:space="preserve">un deuxième paragraphe en regard de </w:t>
      </w:r>
      <w:r w:rsidR="00215519" w:rsidRPr="006C02AF">
        <w:t>"</w:t>
      </w:r>
      <w:r w:rsidR="00804F3D" w:rsidRPr="006C02AF">
        <w:t>resolves</w:t>
      </w:r>
      <w:r w:rsidR="00215519" w:rsidRPr="006C02AF">
        <w:t>"</w:t>
      </w:r>
      <w:r w:rsidRPr="006C02AF">
        <w:t>.</w:t>
      </w:r>
      <w:bookmarkEnd w:id="76"/>
    </w:p>
    <w:p w14:paraId="250C52A4" w14:textId="02D92402" w:rsidR="006D5C47" w:rsidRPr="006C02AF" w:rsidRDefault="006D5C47" w:rsidP="00745C95">
      <w:pPr>
        <w:keepNext/>
        <w:keepLines/>
      </w:pPr>
      <w:r w:rsidRPr="006C02AF">
        <w:lastRenderedPageBreak/>
        <w:t>6.27</w:t>
      </w:r>
      <w:r w:rsidRPr="006C02AF">
        <w:tab/>
      </w:r>
      <w:bookmarkStart w:id="77" w:name="lt_pId169"/>
      <w:r w:rsidR="00FF2F21" w:rsidRPr="006C02AF">
        <w:t>Une autre</w:t>
      </w:r>
      <w:r w:rsidRPr="006C02AF">
        <w:t xml:space="preserve"> </w:t>
      </w:r>
      <w:r w:rsidR="00774F8B" w:rsidRPr="006C02AF">
        <w:t>conseillère</w:t>
      </w:r>
      <w:r w:rsidRPr="006C02AF">
        <w:t xml:space="preserve"> </w:t>
      </w:r>
      <w:r w:rsidR="001B20A9" w:rsidRPr="006C02AF">
        <w:t>s</w:t>
      </w:r>
      <w:r w:rsidR="00E32CD7" w:rsidRPr="006C02AF">
        <w:t>'</w:t>
      </w:r>
      <w:r w:rsidR="001B20A9" w:rsidRPr="006C02AF">
        <w:t>est félicitée des efforts menés par</w:t>
      </w:r>
      <w:r w:rsidRPr="006C02AF">
        <w:t xml:space="preserve"> </w:t>
      </w:r>
      <w:r w:rsidR="00813A79" w:rsidRPr="006C02AF">
        <w:t>le secrétariat</w:t>
      </w:r>
      <w:r w:rsidR="001B20A9" w:rsidRPr="006C02AF">
        <w:t xml:space="preserve"> pour réduire au</w:t>
      </w:r>
      <w:r w:rsidR="00552579" w:rsidRPr="006C02AF">
        <w:t xml:space="preserve">tant que possible </w:t>
      </w:r>
      <w:r w:rsidR="001B20A9" w:rsidRPr="006C02AF">
        <w:t xml:space="preserve">les montants à retirer du </w:t>
      </w:r>
      <w:r w:rsidR="005F0C1A" w:rsidRPr="006C02AF">
        <w:t>fonds de réserve</w:t>
      </w:r>
      <w:r w:rsidR="00EF7FF0" w:rsidRPr="006C02AF">
        <w:t>,</w:t>
      </w:r>
      <w:r w:rsidR="00552579" w:rsidRPr="006C02AF">
        <w:t xml:space="preserve"> qui sont le signe d</w:t>
      </w:r>
      <w:r w:rsidR="00E32CD7" w:rsidRPr="006C02AF">
        <w:t>'</w:t>
      </w:r>
      <w:r w:rsidR="00552579" w:rsidRPr="006C02AF">
        <w:t>une gestion prudente.</w:t>
      </w:r>
      <w:bookmarkEnd w:id="77"/>
      <w:r w:rsidR="008C0CC7" w:rsidRPr="006C02AF">
        <w:t xml:space="preserve"> </w:t>
      </w:r>
      <w:bookmarkStart w:id="78" w:name="lt_pId170"/>
      <w:r w:rsidR="00FF2F21" w:rsidRPr="006C02AF">
        <w:t>Elle</w:t>
      </w:r>
      <w:r w:rsidRPr="006C02AF">
        <w:t xml:space="preserve"> </w:t>
      </w:r>
      <w:r w:rsidR="00CE3822" w:rsidRPr="006C02AF">
        <w:t>propose que</w:t>
      </w:r>
      <w:r w:rsidR="008C0CC7" w:rsidRPr="006C02AF">
        <w:t xml:space="preserve"> </w:t>
      </w:r>
      <w:r w:rsidR="00215519" w:rsidRPr="006C02AF">
        <w:t>"</w:t>
      </w:r>
      <w:r w:rsidRPr="006C02AF">
        <w:t>reserved in</w:t>
      </w:r>
      <w:r w:rsidR="00215519" w:rsidRPr="006C02AF">
        <w:t>"</w:t>
      </w:r>
      <w:r w:rsidR="00CE3822" w:rsidRPr="006C02AF">
        <w:t xml:space="preserve"> (réservé dans)</w:t>
      </w:r>
      <w:r w:rsidRPr="006C02AF">
        <w:t xml:space="preserve"> </w:t>
      </w:r>
      <w:r w:rsidR="00CE3822" w:rsidRPr="006C02AF">
        <w:t xml:space="preserve">soit remplacé par </w:t>
      </w:r>
      <w:r w:rsidR="00215519" w:rsidRPr="006C02AF">
        <w:t>"</w:t>
      </w:r>
      <w:r w:rsidRPr="006C02AF">
        <w:t>withdrawn from</w:t>
      </w:r>
      <w:r w:rsidR="00215519" w:rsidRPr="006C02AF">
        <w:t>"</w:t>
      </w:r>
      <w:r w:rsidRPr="006C02AF">
        <w:t xml:space="preserve"> </w:t>
      </w:r>
      <w:r w:rsidR="00CE3822" w:rsidRPr="006C02AF">
        <w:t>(retiré du)</w:t>
      </w:r>
      <w:r w:rsidR="00607FFE" w:rsidRPr="006C02AF">
        <w:t xml:space="preserve"> dans l</w:t>
      </w:r>
      <w:r w:rsidR="00E32CD7" w:rsidRPr="006C02AF">
        <w:t>'</w:t>
      </w:r>
      <w:r w:rsidR="00607FFE" w:rsidRPr="006C02AF">
        <w:t xml:space="preserve">amendement proposé, afin que </w:t>
      </w:r>
      <w:r w:rsidR="00813A79" w:rsidRPr="006C02AF">
        <w:t>le secrétariat</w:t>
      </w:r>
      <w:r w:rsidRPr="006C02AF">
        <w:t xml:space="preserve"> </w:t>
      </w:r>
      <w:r w:rsidR="00607FFE" w:rsidRPr="006C02AF">
        <w:t>ne doive pas à nouveau solliciter l</w:t>
      </w:r>
      <w:r w:rsidR="00E32CD7" w:rsidRPr="006C02AF">
        <w:t>'</w:t>
      </w:r>
      <w:r w:rsidR="00607FFE" w:rsidRPr="006C02AF">
        <w:t>approbation du Conseil</w:t>
      </w:r>
      <w:r w:rsidR="008C0CC7" w:rsidRPr="006C02AF">
        <w:t xml:space="preserve"> </w:t>
      </w:r>
      <w:r w:rsidR="00627F3A" w:rsidRPr="006C02AF">
        <w:t>avant de réaliser le retrait</w:t>
      </w:r>
      <w:r w:rsidRPr="006C02AF">
        <w:t>.</w:t>
      </w:r>
      <w:bookmarkEnd w:id="78"/>
    </w:p>
    <w:p w14:paraId="64CB1626" w14:textId="0C7B9BE4" w:rsidR="006D5C47" w:rsidRPr="006C02AF" w:rsidRDefault="006D5C47" w:rsidP="00E32CD7">
      <w:r w:rsidRPr="006C02AF">
        <w:t>6.28</w:t>
      </w:r>
      <w:r w:rsidRPr="006C02AF">
        <w:tab/>
      </w:r>
      <w:bookmarkStart w:id="79" w:name="lt_pId172"/>
      <w:r w:rsidR="0055327C" w:rsidRPr="006C02AF">
        <w:t>Le projet de</w:t>
      </w:r>
      <w:r w:rsidRPr="006C02AF">
        <w:t xml:space="preserve"> r</w:t>
      </w:r>
      <w:r w:rsidR="0055327C" w:rsidRPr="006C02AF">
        <w:t>é</w:t>
      </w:r>
      <w:r w:rsidRPr="006C02AF">
        <w:t xml:space="preserve">solution </w:t>
      </w:r>
      <w:r w:rsidR="0055327C" w:rsidRPr="006C02AF">
        <w:t>figurant dans le</w:t>
      </w:r>
      <w:r w:rsidRPr="006C02AF">
        <w:t xml:space="preserve"> Document C23-EXT/4 </w:t>
      </w:r>
      <w:r w:rsidR="004C7CFE" w:rsidRPr="006C02AF">
        <w:t>tel qu</w:t>
      </w:r>
      <w:r w:rsidR="00E32CD7" w:rsidRPr="006C02AF">
        <w:t>'</w:t>
      </w:r>
      <w:r w:rsidR="004C7CFE" w:rsidRPr="006C02AF">
        <w:t>amendé</w:t>
      </w:r>
      <w:r w:rsidRPr="006C02AF">
        <w:t xml:space="preserve"> </w:t>
      </w:r>
      <w:r w:rsidR="004C7CFE" w:rsidRPr="006C02AF">
        <w:t>est</w:t>
      </w:r>
      <w:r w:rsidRPr="006C02AF">
        <w:t xml:space="preserve"> </w:t>
      </w:r>
      <w:r w:rsidRPr="006C02AF">
        <w:rPr>
          <w:b/>
        </w:rPr>
        <w:t>adopt</w:t>
      </w:r>
      <w:r w:rsidR="004C7CFE" w:rsidRPr="006C02AF">
        <w:rPr>
          <w:b/>
        </w:rPr>
        <w:t>é</w:t>
      </w:r>
      <w:r w:rsidRPr="006C02AF">
        <w:t>.</w:t>
      </w:r>
      <w:bookmarkEnd w:id="79"/>
    </w:p>
    <w:p w14:paraId="5E1D8EF6" w14:textId="651C1F14" w:rsidR="006D5C47" w:rsidRPr="006C02AF" w:rsidRDefault="006D5C47" w:rsidP="00E32CD7">
      <w:r w:rsidRPr="006C02AF">
        <w:t>6.29</w:t>
      </w:r>
      <w:r w:rsidRPr="006C02AF">
        <w:tab/>
      </w:r>
      <w:bookmarkStart w:id="80" w:name="lt_pId174"/>
      <w:r w:rsidR="00FD534F" w:rsidRPr="006C02AF">
        <w:t>Le Président</w:t>
      </w:r>
      <w:r w:rsidR="008C0CC7" w:rsidRPr="006C02AF">
        <w:t xml:space="preserve"> </w:t>
      </w:r>
      <w:r w:rsidR="002A1C06" w:rsidRPr="006C02AF">
        <w:t>considère que</w:t>
      </w:r>
      <w:r w:rsidR="008C0CC7" w:rsidRPr="006C02AF">
        <w:t xml:space="preserve"> </w:t>
      </w:r>
      <w:r w:rsidR="00531462" w:rsidRPr="006C02AF">
        <w:t>le Conseil</w:t>
      </w:r>
      <w:r w:rsidR="008C0CC7" w:rsidRPr="006C02AF">
        <w:t xml:space="preserve"> </w:t>
      </w:r>
      <w:r w:rsidR="002A1C06" w:rsidRPr="006C02AF">
        <w:t>souhaite autoriser</w:t>
      </w:r>
      <w:r w:rsidRPr="006C02AF">
        <w:t xml:space="preserve"> </w:t>
      </w:r>
      <w:r w:rsidR="00BA1339" w:rsidRPr="006C02AF">
        <w:t>le Secrétaire général</w:t>
      </w:r>
      <w:r w:rsidR="008C0CC7" w:rsidRPr="006C02AF">
        <w:t xml:space="preserve"> </w:t>
      </w:r>
      <w:r w:rsidR="00BD5BC7" w:rsidRPr="006C02AF">
        <w:t xml:space="preserve">à utiliser le solde des fonds alloués </w:t>
      </w:r>
      <w:r w:rsidR="00723375" w:rsidRPr="006C02AF">
        <w:t>à</w:t>
      </w:r>
      <w:r w:rsidR="008C0CC7" w:rsidRPr="006C02AF">
        <w:t xml:space="preserve"> </w:t>
      </w:r>
      <w:r w:rsidR="00723375" w:rsidRPr="006C02AF">
        <w:t>la vérification juricomptable</w:t>
      </w:r>
      <w:r w:rsidRPr="006C02AF">
        <w:t xml:space="preserve"> </w:t>
      </w:r>
      <w:r w:rsidR="00BD5BC7" w:rsidRPr="006C02AF">
        <w:t>et à l</w:t>
      </w:r>
      <w:r w:rsidR="00E32CD7" w:rsidRPr="006C02AF">
        <w:t>'</w:t>
      </w:r>
      <w:r w:rsidR="00BD5BC7" w:rsidRPr="006C02AF">
        <w:t>analyse de la présence régionale</w:t>
      </w:r>
      <w:r w:rsidR="008C0CC7" w:rsidRPr="006C02AF">
        <w:t xml:space="preserve"> </w:t>
      </w:r>
      <w:r w:rsidR="00BD5BC7" w:rsidRPr="006C02AF">
        <w:t xml:space="preserve">pour </w:t>
      </w:r>
      <w:r w:rsidR="006E335D" w:rsidRPr="006C02AF">
        <w:t>combler le</w:t>
      </w:r>
      <w:r w:rsidR="008C0CC7" w:rsidRPr="006C02AF">
        <w:t xml:space="preserve"> </w:t>
      </w:r>
      <w:r w:rsidR="00684338" w:rsidRPr="006C02AF">
        <w:t>déficit</w:t>
      </w:r>
      <w:r w:rsidRPr="006C02AF">
        <w:t xml:space="preserve"> </w:t>
      </w:r>
      <w:r w:rsidR="006E335D" w:rsidRPr="006C02AF">
        <w:t>prévu dans l</w:t>
      </w:r>
      <w:r w:rsidR="00E32CD7" w:rsidRPr="006C02AF">
        <w:t>'</w:t>
      </w:r>
      <w:r w:rsidR="006E335D" w:rsidRPr="006C02AF">
        <w:t>utilisation des crédits ouverts en</w:t>
      </w:r>
      <w:r w:rsidRPr="006C02AF">
        <w:t xml:space="preserve"> 2022.</w:t>
      </w:r>
      <w:bookmarkEnd w:id="80"/>
    </w:p>
    <w:p w14:paraId="3E0E83D8" w14:textId="32ECFE8E" w:rsidR="006D5C47" w:rsidRPr="006C02AF" w:rsidRDefault="006D5C47" w:rsidP="00E32CD7">
      <w:r w:rsidRPr="006C02AF">
        <w:t>6.30</w:t>
      </w:r>
      <w:r w:rsidRPr="006C02AF">
        <w:tab/>
        <w:t xml:space="preserve">Il en est ainsi </w:t>
      </w:r>
      <w:r w:rsidRPr="006C02AF">
        <w:rPr>
          <w:b/>
          <w:bCs/>
        </w:rPr>
        <w:t>décidé</w:t>
      </w:r>
      <w:r w:rsidRPr="006C02AF">
        <w:t>.</w:t>
      </w:r>
    </w:p>
    <w:p w14:paraId="11D154FC" w14:textId="2E659D2D" w:rsidR="006D5C47" w:rsidRPr="006C02AF" w:rsidRDefault="006D5C47" w:rsidP="00E32CD7">
      <w:r w:rsidRPr="006C02AF">
        <w:t>6.31</w:t>
      </w:r>
      <w:r w:rsidRPr="006C02AF">
        <w:tab/>
      </w:r>
      <w:bookmarkStart w:id="81" w:name="lt_pId178"/>
      <w:r w:rsidR="00EB3778" w:rsidRPr="006C02AF">
        <w:t>Le Secrétaire général</w:t>
      </w:r>
      <w:r w:rsidR="008C0CC7" w:rsidRPr="006C02AF">
        <w:t xml:space="preserve"> </w:t>
      </w:r>
      <w:r w:rsidR="004D4385" w:rsidRPr="006C02AF">
        <w:t>remercie les</w:t>
      </w:r>
      <w:r w:rsidRPr="006C02AF">
        <w:t xml:space="preserve"> </w:t>
      </w:r>
      <w:r w:rsidR="00774F8B" w:rsidRPr="006C02AF">
        <w:t>conseiller</w:t>
      </w:r>
      <w:r w:rsidRPr="006C02AF">
        <w:t xml:space="preserve">s </w:t>
      </w:r>
      <w:r w:rsidR="004D4385" w:rsidRPr="006C02AF">
        <w:t>de leur appui et de leurs utiles propositions.</w:t>
      </w:r>
      <w:bookmarkEnd w:id="81"/>
    </w:p>
    <w:p w14:paraId="06540EFB" w14:textId="1B640ED2" w:rsidR="006D5C47" w:rsidRPr="006C02AF" w:rsidRDefault="006D5C47" w:rsidP="00E32CD7">
      <w:pPr>
        <w:pStyle w:val="Heading1"/>
      </w:pPr>
      <w:r w:rsidRPr="006C02AF">
        <w:t>7</w:t>
      </w:r>
      <w:r w:rsidRPr="006C02AF">
        <w:tab/>
        <w:t xml:space="preserve">Décisions de la Conférence de plénipotentiaires appelant des mesures de la part du Conseil à sa session extraordinaire (Document </w:t>
      </w:r>
      <w:hyperlink r:id="rId14" w:history="1">
        <w:r w:rsidRPr="006C02AF">
          <w:rPr>
            <w:rStyle w:val="Hyperlink"/>
          </w:rPr>
          <w:t>C23-EXT/3</w:t>
        </w:r>
      </w:hyperlink>
      <w:r w:rsidRPr="006C02AF">
        <w:t>)</w:t>
      </w:r>
    </w:p>
    <w:p w14:paraId="7ABCD7CB" w14:textId="259FAB52" w:rsidR="006D5C47" w:rsidRPr="006C02AF" w:rsidRDefault="006D5C47" w:rsidP="00E32CD7">
      <w:r w:rsidRPr="006C02AF">
        <w:t>7.1</w:t>
      </w:r>
      <w:r w:rsidRPr="006C02AF">
        <w:tab/>
      </w:r>
      <w:bookmarkStart w:id="82" w:name="lt_pId182"/>
      <w:r w:rsidR="00B60801" w:rsidRPr="006C02AF">
        <w:t xml:space="preserve">Le </w:t>
      </w:r>
      <w:r w:rsidR="00C6331B" w:rsidRPr="006C02AF">
        <w:t>Chef du Département de la gestion des ressources financières</w:t>
      </w:r>
      <w:r w:rsidRPr="006C02AF">
        <w:t xml:space="preserve">, </w:t>
      </w:r>
      <w:r w:rsidR="00B60801" w:rsidRPr="006C02AF">
        <w:t>présentant le</w:t>
      </w:r>
      <w:r w:rsidRPr="006C02AF">
        <w:t xml:space="preserve"> Document</w:t>
      </w:r>
      <w:r w:rsidR="00745C95" w:rsidRPr="006C02AF">
        <w:t> </w:t>
      </w:r>
      <w:r w:rsidRPr="006C02AF">
        <w:t>C23-EXT/3, r</w:t>
      </w:r>
      <w:r w:rsidR="00006D92" w:rsidRPr="006C02AF">
        <w:t xml:space="preserve">appelle que </w:t>
      </w:r>
      <w:r w:rsidR="007B3A5E" w:rsidRPr="006C02AF">
        <w:t>par</w:t>
      </w:r>
      <w:r w:rsidR="00006D92" w:rsidRPr="006C02AF">
        <w:t xml:space="preserve"> la</w:t>
      </w:r>
      <w:r w:rsidRPr="006C02AF">
        <w:t xml:space="preserve"> </w:t>
      </w:r>
      <w:r w:rsidR="00006D92" w:rsidRPr="006C02AF">
        <w:t>Décision</w:t>
      </w:r>
      <w:r w:rsidR="008C0CC7" w:rsidRPr="006C02AF">
        <w:t xml:space="preserve"> </w:t>
      </w:r>
      <w:r w:rsidRPr="006C02AF">
        <w:t>5 (R</w:t>
      </w:r>
      <w:r w:rsidR="00006D92" w:rsidRPr="006C02AF">
        <w:t>é</w:t>
      </w:r>
      <w:r w:rsidRPr="006C02AF">
        <w:t xml:space="preserve">v. Bucarest, 2022), </w:t>
      </w:r>
      <w:r w:rsidR="00006D92" w:rsidRPr="006C02AF">
        <w:t>la</w:t>
      </w:r>
      <w:r w:rsidRPr="006C02AF">
        <w:t xml:space="preserve"> </w:t>
      </w:r>
      <w:r w:rsidR="005F0C1A" w:rsidRPr="006C02AF">
        <w:t>Conférence de plénipotentiaires</w:t>
      </w:r>
      <w:r w:rsidRPr="006C02AF">
        <w:t xml:space="preserve"> </w:t>
      </w:r>
      <w:r w:rsidR="00725CCE" w:rsidRPr="006C02AF">
        <w:t>a décidé d</w:t>
      </w:r>
      <w:r w:rsidR="00E32CD7" w:rsidRPr="006C02AF">
        <w:t>'</w:t>
      </w:r>
      <w:r w:rsidR="00725CCE" w:rsidRPr="006C02AF">
        <w:t>autoriser le retrait d</w:t>
      </w:r>
      <w:r w:rsidR="00E32CD7" w:rsidRPr="006C02AF">
        <w:t>'</w:t>
      </w:r>
      <w:r w:rsidR="00725CCE" w:rsidRPr="006C02AF">
        <w:t>un montant</w:t>
      </w:r>
      <w:r w:rsidR="00C86CFE" w:rsidRPr="006C02AF">
        <w:t xml:space="preserve"> plafonné à 6 millions CHF</w:t>
      </w:r>
      <w:r w:rsidR="008C0CC7" w:rsidRPr="006C02AF">
        <w:t xml:space="preserve"> </w:t>
      </w:r>
      <w:r w:rsidR="009C6C73" w:rsidRPr="006C02AF">
        <w:t>du</w:t>
      </w:r>
      <w:r w:rsidRPr="006C02AF">
        <w:t xml:space="preserve"> </w:t>
      </w:r>
      <w:r w:rsidR="005F0C1A" w:rsidRPr="006C02AF">
        <w:t>fonds de réserve</w:t>
      </w:r>
      <w:r w:rsidR="008C0CC7" w:rsidRPr="006C02AF">
        <w:t xml:space="preserve"> </w:t>
      </w:r>
      <w:r w:rsidR="0076296C" w:rsidRPr="006C02AF">
        <w:t>pour financer un</w:t>
      </w:r>
      <w:r w:rsidR="008C0CC7" w:rsidRPr="006C02AF">
        <w:t xml:space="preserve"> </w:t>
      </w:r>
      <w:r w:rsidR="00936953" w:rsidRPr="006C02AF">
        <w:t>plan de départ volontaire/par accord mutuel et un plan de départ à la retraite anticipé</w:t>
      </w:r>
      <w:r w:rsidRPr="006C02AF">
        <w:t>.</w:t>
      </w:r>
      <w:bookmarkEnd w:id="82"/>
      <w:r w:rsidRPr="006C02AF">
        <w:t xml:space="preserve"> </w:t>
      </w:r>
      <w:bookmarkStart w:id="83" w:name="lt_pId183"/>
      <w:r w:rsidR="00A96BDC" w:rsidRPr="006C02AF">
        <w:t>Étant</w:t>
      </w:r>
      <w:r w:rsidR="003474C1" w:rsidRPr="006C02AF">
        <w:t xml:space="preserve"> donné que les</w:t>
      </w:r>
      <w:r w:rsidRPr="006C02AF">
        <w:t xml:space="preserve"> </w:t>
      </w:r>
      <w:r w:rsidR="00B60801" w:rsidRPr="006C02AF">
        <w:t>dépenses de personnel</w:t>
      </w:r>
      <w:r w:rsidRPr="006C02AF">
        <w:t xml:space="preserve"> repr</w:t>
      </w:r>
      <w:r w:rsidR="003474C1" w:rsidRPr="006C02AF">
        <w:t>é</w:t>
      </w:r>
      <w:r w:rsidRPr="006C02AF">
        <w:t>sente</w:t>
      </w:r>
      <w:r w:rsidR="003474C1" w:rsidRPr="006C02AF">
        <w:t>nt environ</w:t>
      </w:r>
      <w:r w:rsidRPr="006C02AF">
        <w:t xml:space="preserve"> 80</w:t>
      </w:r>
      <w:r w:rsidR="00DB5F33" w:rsidRPr="006C02AF">
        <w:t> pour cent</w:t>
      </w:r>
      <w:r w:rsidRPr="006C02AF">
        <w:t xml:space="preserve"> </w:t>
      </w:r>
      <w:r w:rsidR="003474C1" w:rsidRPr="006C02AF">
        <w:t>du budget de l</w:t>
      </w:r>
      <w:r w:rsidR="00E32CD7" w:rsidRPr="006C02AF">
        <w:t>'</w:t>
      </w:r>
      <w:r w:rsidRPr="006C02AF">
        <w:t>Union</w:t>
      </w:r>
      <w:r w:rsidR="00EF7FF0" w:rsidRPr="006C02AF">
        <w:t>,</w:t>
      </w:r>
      <w:r w:rsidRPr="006C02AF">
        <w:t xml:space="preserve"> </w:t>
      </w:r>
      <w:r w:rsidR="00FD3CDD" w:rsidRPr="006C02AF">
        <w:t>ce dispositif est l</w:t>
      </w:r>
      <w:r w:rsidR="00E32CD7" w:rsidRPr="006C02AF">
        <w:t>'</w:t>
      </w:r>
      <w:r w:rsidR="00FD3CDD" w:rsidRPr="006C02AF">
        <w:t>outil le plus efficace pour réduire les dépenses de l</w:t>
      </w:r>
      <w:r w:rsidR="00E32CD7" w:rsidRPr="006C02AF">
        <w:t>'</w:t>
      </w:r>
      <w:r w:rsidRPr="006C02AF">
        <w:t>Union</w:t>
      </w:r>
      <w:r w:rsidR="00BD61EB" w:rsidRPr="006C02AF">
        <w:t xml:space="preserve"> et l</w:t>
      </w:r>
      <w:r w:rsidR="00E32CD7" w:rsidRPr="006C02AF">
        <w:t>'</w:t>
      </w:r>
      <w:r w:rsidR="00BD61EB" w:rsidRPr="006C02AF">
        <w:t>aider à surmonter les difficultés budgétaires qu</w:t>
      </w:r>
      <w:r w:rsidR="00E32CD7" w:rsidRPr="006C02AF">
        <w:t>'</w:t>
      </w:r>
      <w:r w:rsidR="00BD61EB" w:rsidRPr="006C02AF">
        <w:t xml:space="preserve">elle traverse. </w:t>
      </w:r>
      <w:bookmarkStart w:id="84" w:name="lt_pId184"/>
      <w:bookmarkEnd w:id="83"/>
      <w:r w:rsidR="00531462" w:rsidRPr="006C02AF">
        <w:t>Le Conseil</w:t>
      </w:r>
      <w:r w:rsidR="008C0CC7" w:rsidRPr="006C02AF">
        <w:t xml:space="preserve"> </w:t>
      </w:r>
      <w:r w:rsidR="00BD61EB" w:rsidRPr="006C02AF">
        <w:t>est</w:t>
      </w:r>
      <w:r w:rsidRPr="006C02AF">
        <w:t xml:space="preserve"> invit</w:t>
      </w:r>
      <w:r w:rsidR="00BD61EB" w:rsidRPr="006C02AF">
        <w:t xml:space="preserve">é à </w:t>
      </w:r>
      <w:r w:rsidRPr="006C02AF">
        <w:t>adopt</w:t>
      </w:r>
      <w:r w:rsidR="00191D31" w:rsidRPr="006C02AF">
        <w:t>er</w:t>
      </w:r>
      <w:r w:rsidRPr="006C02AF">
        <w:t xml:space="preserve"> </w:t>
      </w:r>
      <w:r w:rsidR="00C94654" w:rsidRPr="006C02AF">
        <w:t xml:space="preserve">le projet de résolution figurant en annexe </w:t>
      </w:r>
      <w:r w:rsidR="00BD61EB" w:rsidRPr="006C02AF">
        <w:t>au</w:t>
      </w:r>
      <w:r w:rsidR="00C94654" w:rsidRPr="006C02AF">
        <w:t xml:space="preserve"> Document</w:t>
      </w:r>
      <w:r w:rsidRPr="006C02AF">
        <w:t xml:space="preserve"> C23-EXT/3.</w:t>
      </w:r>
      <w:bookmarkEnd w:id="84"/>
    </w:p>
    <w:p w14:paraId="39AF8347" w14:textId="797C2242" w:rsidR="006D5C47" w:rsidRPr="006C02AF" w:rsidRDefault="006D5C47" w:rsidP="00E32CD7">
      <w:r w:rsidRPr="006C02AF">
        <w:t>7.2</w:t>
      </w:r>
      <w:r w:rsidRPr="006C02AF">
        <w:tab/>
      </w:r>
      <w:bookmarkStart w:id="85" w:name="lt_pId186"/>
      <w:r w:rsidR="00AA0156" w:rsidRPr="006C02AF">
        <w:t xml:space="preserve">Les </w:t>
      </w:r>
      <w:r w:rsidR="00F501E0" w:rsidRPr="006C02AF">
        <w:t>conseiller</w:t>
      </w:r>
      <w:r w:rsidRPr="006C02AF">
        <w:t xml:space="preserve">s </w:t>
      </w:r>
      <w:r w:rsidR="00AA0156" w:rsidRPr="006C02AF">
        <w:t>se félicitent des efforts</w:t>
      </w:r>
      <w:r w:rsidRPr="006C02AF">
        <w:t xml:space="preserve"> </w:t>
      </w:r>
      <w:r w:rsidR="00AA0156" w:rsidRPr="006C02AF">
        <w:t xml:space="preserve">déployés par </w:t>
      </w:r>
      <w:r w:rsidR="00813A79" w:rsidRPr="006C02AF">
        <w:t>le secrétariat</w:t>
      </w:r>
      <w:r w:rsidR="00AA0156" w:rsidRPr="006C02AF">
        <w:t xml:space="preserve"> pour aider l</w:t>
      </w:r>
      <w:r w:rsidR="00E32CD7" w:rsidRPr="006C02AF">
        <w:t>'</w:t>
      </w:r>
      <w:r w:rsidRPr="006C02AF">
        <w:t xml:space="preserve">Union </w:t>
      </w:r>
      <w:r w:rsidR="00AA0156" w:rsidRPr="006C02AF">
        <w:t xml:space="preserve">à remédier à sa difficile situation </w:t>
      </w:r>
      <w:bookmarkEnd w:id="85"/>
      <w:r w:rsidR="00E11D0A" w:rsidRPr="006C02AF">
        <w:t>financière.</w:t>
      </w:r>
      <w:r w:rsidRPr="006C02AF">
        <w:t xml:space="preserve"> </w:t>
      </w:r>
      <w:bookmarkStart w:id="86" w:name="lt_pId187"/>
      <w:r w:rsidR="00AA0156" w:rsidRPr="006C02AF">
        <w:t>Un</w:t>
      </w:r>
      <w:r w:rsidRPr="006C02AF">
        <w:t xml:space="preserve"> </w:t>
      </w:r>
      <w:r w:rsidR="00774F8B" w:rsidRPr="006C02AF">
        <w:t>conseiller</w:t>
      </w:r>
      <w:r w:rsidRPr="006C02AF">
        <w:t xml:space="preserve"> </w:t>
      </w:r>
      <w:r w:rsidR="000526E4" w:rsidRPr="006C02AF">
        <w:t>constate qu</w:t>
      </w:r>
      <w:r w:rsidR="00E32CD7" w:rsidRPr="006C02AF">
        <w:t>'</w:t>
      </w:r>
      <w:r w:rsidR="000526E4" w:rsidRPr="006C02AF">
        <w:t>à la suite de l</w:t>
      </w:r>
      <w:r w:rsidR="00E32CD7" w:rsidRPr="006C02AF">
        <w:t>'</w:t>
      </w:r>
      <w:r w:rsidR="000526E4" w:rsidRPr="006C02AF">
        <w:t>application d</w:t>
      </w:r>
      <w:r w:rsidR="00E32CD7" w:rsidRPr="006C02AF">
        <w:t>'</w:t>
      </w:r>
      <w:r w:rsidR="000526E4" w:rsidRPr="006C02AF">
        <w:t>un tel dispositif en</w:t>
      </w:r>
      <w:r w:rsidR="008C0CC7" w:rsidRPr="006C02AF">
        <w:t xml:space="preserve"> </w:t>
      </w:r>
      <w:r w:rsidRPr="006C02AF">
        <w:t xml:space="preserve">2014, </w:t>
      </w:r>
      <w:r w:rsidR="000526E4" w:rsidRPr="006C02AF">
        <w:t xml:space="preserve">le nombre de membres du personnel a commencé par baisser mais a ensuite augmenté, ce qui permet de penser que les économies </w:t>
      </w:r>
      <w:r w:rsidR="00605F03" w:rsidRPr="006C02AF">
        <w:t>n</w:t>
      </w:r>
      <w:r w:rsidR="00E32CD7" w:rsidRPr="006C02AF">
        <w:t>'</w:t>
      </w:r>
      <w:r w:rsidR="00605F03" w:rsidRPr="006C02AF">
        <w:t>ont été réalisées qu</w:t>
      </w:r>
      <w:r w:rsidR="00E32CD7" w:rsidRPr="006C02AF">
        <w:t>'</w:t>
      </w:r>
      <w:r w:rsidR="00605F03" w:rsidRPr="006C02AF">
        <w:t xml:space="preserve">à court terme. </w:t>
      </w:r>
      <w:bookmarkStart w:id="87" w:name="lt_pId188"/>
      <w:bookmarkEnd w:id="86"/>
      <w:r w:rsidR="00605F03" w:rsidRPr="006C02AF">
        <w:t>Pour faire des économies à</w:t>
      </w:r>
      <w:r w:rsidR="008C0CC7" w:rsidRPr="006C02AF">
        <w:t xml:space="preserve"> </w:t>
      </w:r>
      <w:r w:rsidRPr="006C02AF">
        <w:t>long term</w:t>
      </w:r>
      <w:r w:rsidR="00605F03" w:rsidRPr="006C02AF">
        <w:t>e</w:t>
      </w:r>
      <w:r w:rsidRPr="006C02AF">
        <w:t xml:space="preserve">, </w:t>
      </w:r>
      <w:r w:rsidR="00531462" w:rsidRPr="006C02AF">
        <w:t>le Conseil</w:t>
      </w:r>
      <w:r w:rsidR="008C0CC7" w:rsidRPr="006C02AF">
        <w:t xml:space="preserve"> </w:t>
      </w:r>
      <w:r w:rsidR="00605F03" w:rsidRPr="006C02AF">
        <w:t>pourrait prier</w:t>
      </w:r>
      <w:r w:rsidR="008C0CC7" w:rsidRPr="006C02AF">
        <w:t xml:space="preserve"> </w:t>
      </w:r>
      <w:r w:rsidR="00BA1339" w:rsidRPr="006C02AF">
        <w:t>le Secrétaire général</w:t>
      </w:r>
      <w:r w:rsidR="008C0CC7" w:rsidRPr="006C02AF">
        <w:t xml:space="preserve"> </w:t>
      </w:r>
      <w:r w:rsidR="00605F03" w:rsidRPr="006C02AF">
        <w:t xml:space="preserve">de geler les postes libérés </w:t>
      </w:r>
      <w:r w:rsidR="00D46757" w:rsidRPr="006C02AF">
        <w:t>au moyen de ce dispositif et de définir des critères clairs</w:t>
      </w:r>
      <w:r w:rsidR="00F52C8C" w:rsidRPr="006C02AF">
        <w:t xml:space="preserve">, qui devront être remplis pour pourvoir lesdits postes, car </w:t>
      </w:r>
      <w:r w:rsidR="008C1FFF" w:rsidRPr="006C02AF">
        <w:t>engager à nouveau des membres du personnel réduirait le montant des économies réalisées.</w:t>
      </w:r>
      <w:bookmarkEnd w:id="87"/>
      <w:r w:rsidR="008C0CC7" w:rsidRPr="006C02AF">
        <w:t xml:space="preserve"> </w:t>
      </w:r>
      <w:bookmarkStart w:id="88" w:name="lt_pId189"/>
      <w:r w:rsidR="00531462" w:rsidRPr="006C02AF">
        <w:t>Le Conseil</w:t>
      </w:r>
      <w:r w:rsidR="008C0CC7" w:rsidRPr="006C02AF">
        <w:t xml:space="preserve"> </w:t>
      </w:r>
      <w:r w:rsidR="008C1FFF" w:rsidRPr="006C02AF">
        <w:t xml:space="preserve">devrait aussi prier </w:t>
      </w:r>
      <w:r w:rsidR="00BA1339" w:rsidRPr="006C02AF">
        <w:t>le Secrétaire général</w:t>
      </w:r>
      <w:r w:rsidR="008C0CC7" w:rsidRPr="006C02AF">
        <w:t xml:space="preserve"> </w:t>
      </w:r>
      <w:r w:rsidR="008C1FFF" w:rsidRPr="006C02AF">
        <w:t>d</w:t>
      </w:r>
      <w:r w:rsidR="00E32CD7" w:rsidRPr="006C02AF">
        <w:t>'</w:t>
      </w:r>
      <w:r w:rsidR="008C1FFF" w:rsidRPr="006C02AF">
        <w:t>affecter</w:t>
      </w:r>
      <w:r w:rsidR="00781700" w:rsidRPr="006C02AF">
        <w:t xml:space="preserve"> à titre prioritaire</w:t>
      </w:r>
      <w:r w:rsidR="008C1FFF" w:rsidRPr="006C02AF">
        <w:t xml:space="preserve"> les montants découlant des économies permises par </w:t>
      </w:r>
      <w:r w:rsidR="00781700" w:rsidRPr="006C02AF">
        <w:t>ce</w:t>
      </w:r>
      <w:r w:rsidR="008C1FFF" w:rsidRPr="006C02AF">
        <w:t xml:space="preserve"> dispositif</w:t>
      </w:r>
      <w:r w:rsidRPr="006C02AF">
        <w:t xml:space="preserve"> </w:t>
      </w:r>
      <w:r w:rsidR="00781700" w:rsidRPr="006C02AF">
        <w:t>aux</w:t>
      </w:r>
      <w:r w:rsidRPr="006C02AF">
        <w:t xml:space="preserve"> programmes </w:t>
      </w:r>
      <w:r w:rsidR="00781700" w:rsidRPr="006C02AF">
        <w:t>qui sont d</w:t>
      </w:r>
      <w:r w:rsidR="00E32CD7" w:rsidRPr="006C02AF">
        <w:t>'</w:t>
      </w:r>
      <w:r w:rsidR="00781700" w:rsidRPr="006C02AF">
        <w:t>une</w:t>
      </w:r>
      <w:r w:rsidRPr="006C02AF">
        <w:t xml:space="preserve"> </w:t>
      </w:r>
      <w:r w:rsidR="00781700" w:rsidRPr="006C02AF">
        <w:t xml:space="preserve">importance </w:t>
      </w:r>
      <w:r w:rsidRPr="006C02AF">
        <w:t>strat</w:t>
      </w:r>
      <w:r w:rsidR="00781700" w:rsidRPr="006C02AF">
        <w:t>é</w:t>
      </w:r>
      <w:r w:rsidRPr="006C02AF">
        <w:t>gi</w:t>
      </w:r>
      <w:r w:rsidR="00781700" w:rsidRPr="006C02AF">
        <w:t>que pour l</w:t>
      </w:r>
      <w:r w:rsidR="00E32CD7" w:rsidRPr="006C02AF">
        <w:t>'</w:t>
      </w:r>
      <w:r w:rsidRPr="006C02AF">
        <w:t xml:space="preserve">Union, </w:t>
      </w:r>
      <w:r w:rsidR="00781700" w:rsidRPr="006C02AF">
        <w:t>notamment la continuité des opérations et la gestion de l</w:t>
      </w:r>
      <w:r w:rsidR="00E32CD7" w:rsidRPr="006C02AF">
        <w:t>'</w:t>
      </w:r>
      <w:r w:rsidRPr="006C02AF">
        <w:t>information.</w:t>
      </w:r>
      <w:bookmarkEnd w:id="88"/>
    </w:p>
    <w:p w14:paraId="1D4C1070" w14:textId="0BDEDAC1" w:rsidR="006D5C47" w:rsidRPr="006C02AF" w:rsidRDefault="006D5C47" w:rsidP="00E32CD7">
      <w:r w:rsidRPr="006C02AF">
        <w:t>7.3</w:t>
      </w:r>
      <w:r w:rsidRPr="006C02AF">
        <w:tab/>
      </w:r>
      <w:bookmarkStart w:id="89" w:name="lt_pId191"/>
      <w:r w:rsidR="00F0153A" w:rsidRPr="006C02AF">
        <w:t>En réponse aux</w:t>
      </w:r>
      <w:r w:rsidRPr="006C02AF">
        <w:t xml:space="preserve"> questions </w:t>
      </w:r>
      <w:r w:rsidR="00F0153A" w:rsidRPr="006C02AF">
        <w:t>des</w:t>
      </w:r>
      <w:r w:rsidRPr="006C02AF">
        <w:t xml:space="preserve"> </w:t>
      </w:r>
      <w:r w:rsidR="00774F8B" w:rsidRPr="006C02AF">
        <w:t>conseiller</w:t>
      </w:r>
      <w:r w:rsidRPr="006C02AF">
        <w:t xml:space="preserve">s, </w:t>
      </w:r>
      <w:r w:rsidR="00070C63" w:rsidRPr="006C02AF">
        <w:t xml:space="preserve">le Chef du Département de la gestion des ressources financières </w:t>
      </w:r>
      <w:r w:rsidR="00F0153A" w:rsidRPr="006C02AF">
        <w:t>rappelle qu</w:t>
      </w:r>
      <w:r w:rsidR="00F52470" w:rsidRPr="006C02AF">
        <w:t xml:space="preserve">e la mise en </w:t>
      </w:r>
      <w:r w:rsidR="00F14C53" w:rsidRPr="006C02AF">
        <w:t>œuvre</w:t>
      </w:r>
      <w:r w:rsidR="00F52470" w:rsidRPr="006C02AF">
        <w:t xml:space="preserve"> d</w:t>
      </w:r>
      <w:r w:rsidR="00E32CD7" w:rsidRPr="006C02AF">
        <w:t>'</w:t>
      </w:r>
      <w:r w:rsidR="00F0153A" w:rsidRPr="006C02AF">
        <w:t>un dispositif semblable</w:t>
      </w:r>
      <w:r w:rsidR="008C0CC7" w:rsidRPr="006C02AF">
        <w:t xml:space="preserve"> </w:t>
      </w:r>
      <w:r w:rsidR="00F0153A" w:rsidRPr="006C02AF">
        <w:t>en</w:t>
      </w:r>
      <w:r w:rsidR="008C0CC7" w:rsidRPr="006C02AF">
        <w:t xml:space="preserve"> </w:t>
      </w:r>
      <w:r w:rsidRPr="006C02AF">
        <w:t xml:space="preserve">2019 </w:t>
      </w:r>
      <w:r w:rsidR="00F52470" w:rsidRPr="006C02AF">
        <w:t>a permis d</w:t>
      </w:r>
      <w:r w:rsidR="00E32CD7" w:rsidRPr="006C02AF">
        <w:t>'</w:t>
      </w:r>
      <w:r w:rsidR="00F52470" w:rsidRPr="006C02AF">
        <w:t>allouer l</w:t>
      </w:r>
      <w:r w:rsidR="00E32CD7" w:rsidRPr="006C02AF">
        <w:t>'</w:t>
      </w:r>
      <w:r w:rsidR="00F52470" w:rsidRPr="006C02AF">
        <w:t>équivalent de</w:t>
      </w:r>
      <w:r w:rsidR="008C0CC7" w:rsidRPr="006C02AF">
        <w:t xml:space="preserve"> </w:t>
      </w:r>
      <w:r w:rsidRPr="006C02AF">
        <w:t xml:space="preserve">12 </w:t>
      </w:r>
      <w:r w:rsidR="00F52470" w:rsidRPr="006C02AF">
        <w:t>mois de salaire par personne</w:t>
      </w:r>
      <w:r w:rsidR="00E32CD7" w:rsidRPr="006C02AF">
        <w:t>;</w:t>
      </w:r>
      <w:r w:rsidR="00F52470" w:rsidRPr="006C02AF">
        <w:t xml:space="preserve"> </w:t>
      </w:r>
      <w:r w:rsidR="004F0C1C" w:rsidRPr="006C02AF">
        <w:t>selon ce principe, le coût moyen</w:t>
      </w:r>
      <w:r w:rsidR="008C0CC7" w:rsidRPr="006C02AF">
        <w:t xml:space="preserve"> </w:t>
      </w:r>
      <w:r w:rsidR="000B197E" w:rsidRPr="006C02AF">
        <w:t>d</w:t>
      </w:r>
      <w:r w:rsidR="00E32CD7" w:rsidRPr="006C02AF">
        <w:t>'</w:t>
      </w:r>
      <w:r w:rsidR="000B197E" w:rsidRPr="006C02AF">
        <w:t>un départ anticipé serait de</w:t>
      </w:r>
      <w:r w:rsidR="008C0CC7" w:rsidRPr="006C02AF">
        <w:t xml:space="preserve"> </w:t>
      </w:r>
      <w:r w:rsidRPr="006C02AF">
        <w:t>125</w:t>
      </w:r>
      <w:r w:rsidR="000B197E" w:rsidRPr="006C02AF">
        <w:t> </w:t>
      </w:r>
      <w:r w:rsidRPr="006C02AF">
        <w:t>000</w:t>
      </w:r>
      <w:r w:rsidR="000B197E" w:rsidRPr="006C02AF">
        <w:t> </w:t>
      </w:r>
      <w:r w:rsidR="007C787F" w:rsidRPr="006C02AF">
        <w:t xml:space="preserve">CHF </w:t>
      </w:r>
      <w:r w:rsidR="000B197E" w:rsidRPr="006C02AF">
        <w:t>à</w:t>
      </w:r>
      <w:r w:rsidRPr="006C02AF">
        <w:t xml:space="preserve"> 150</w:t>
      </w:r>
      <w:r w:rsidR="000B197E" w:rsidRPr="006C02AF">
        <w:t> </w:t>
      </w:r>
      <w:r w:rsidRPr="006C02AF">
        <w:t>000</w:t>
      </w:r>
      <w:r w:rsidR="000B197E" w:rsidRPr="006C02AF">
        <w:t xml:space="preserve"> CHF </w:t>
      </w:r>
      <w:r w:rsidRPr="006C02AF">
        <w:t>p</w:t>
      </w:r>
      <w:r w:rsidR="000B197E" w:rsidRPr="006C02AF">
        <w:t>a</w:t>
      </w:r>
      <w:r w:rsidRPr="006C02AF">
        <w:t xml:space="preserve">r </w:t>
      </w:r>
      <w:r w:rsidR="000B197E" w:rsidRPr="006C02AF">
        <w:t>personne</w:t>
      </w:r>
      <w:r w:rsidRPr="006C02AF">
        <w:t>.</w:t>
      </w:r>
      <w:bookmarkEnd w:id="89"/>
      <w:r w:rsidRPr="006C02AF">
        <w:t xml:space="preserve"> </w:t>
      </w:r>
      <w:bookmarkStart w:id="90" w:name="lt_pId192"/>
      <w:r w:rsidR="00D702A6" w:rsidRPr="006C02AF">
        <w:t>Pour ce qui est de la</w:t>
      </w:r>
      <w:r w:rsidRPr="006C02AF">
        <w:t xml:space="preserve"> </w:t>
      </w:r>
      <w:r w:rsidR="00F0153A" w:rsidRPr="006C02AF">
        <w:t xml:space="preserve">situation de trésorerie </w:t>
      </w:r>
      <w:r w:rsidR="00D702A6" w:rsidRPr="006C02AF">
        <w:t>du</w:t>
      </w:r>
      <w:r w:rsidRPr="006C02AF">
        <w:t xml:space="preserve"> </w:t>
      </w:r>
      <w:r w:rsidR="005F0C1A" w:rsidRPr="006C02AF">
        <w:t>fonds de réserve</w:t>
      </w:r>
      <w:r w:rsidR="00EF7FF0" w:rsidRPr="006C02AF">
        <w:t>,</w:t>
      </w:r>
      <w:r w:rsidRPr="006C02AF">
        <w:t xml:space="preserve"> </w:t>
      </w:r>
      <w:r w:rsidR="00D702A6" w:rsidRPr="006C02AF">
        <w:t>l</w:t>
      </w:r>
      <w:r w:rsidR="00E32CD7" w:rsidRPr="006C02AF">
        <w:t>'</w:t>
      </w:r>
      <w:r w:rsidR="00D702A6" w:rsidRPr="006C02AF">
        <w:t>UIT ne fait pas de conjectures.</w:t>
      </w:r>
      <w:r w:rsidRPr="006C02AF">
        <w:t xml:space="preserve"> </w:t>
      </w:r>
      <w:bookmarkStart w:id="91" w:name="lt_pId193"/>
      <w:bookmarkEnd w:id="90"/>
      <w:r w:rsidR="00D702A6" w:rsidRPr="006C02AF">
        <w:t>Le term</w:t>
      </w:r>
      <w:r w:rsidRPr="006C02AF">
        <w:t xml:space="preserve">e maximum </w:t>
      </w:r>
      <w:r w:rsidR="00D702A6" w:rsidRPr="006C02AF">
        <w:t xml:space="preserve">de tout investissement financier est de </w:t>
      </w:r>
      <w:r w:rsidRPr="006C02AF">
        <w:t>12 mo</w:t>
      </w:r>
      <w:r w:rsidR="00D702A6" w:rsidRPr="006C02AF">
        <w:t>i</w:t>
      </w:r>
      <w:r w:rsidRPr="006C02AF">
        <w:t xml:space="preserve">s, </w:t>
      </w:r>
      <w:r w:rsidR="00370A80" w:rsidRPr="006C02AF">
        <w:t xml:space="preserve">et un rendement est </w:t>
      </w:r>
      <w:r w:rsidR="00E11D0A" w:rsidRPr="006C02AF">
        <w:t>garanti</w:t>
      </w:r>
      <w:r w:rsidRPr="006C02AF">
        <w:t>.</w:t>
      </w:r>
      <w:bookmarkEnd w:id="91"/>
      <w:r w:rsidRPr="006C02AF">
        <w:t xml:space="preserve"> </w:t>
      </w:r>
      <w:bookmarkStart w:id="92" w:name="lt_pId194"/>
      <w:r w:rsidR="00370A80" w:rsidRPr="006C02AF">
        <w:t>Compte tenu de la valeur du franc suisse, certains</w:t>
      </w:r>
      <w:r w:rsidR="008C0CC7" w:rsidRPr="006C02AF">
        <w:t xml:space="preserve"> </w:t>
      </w:r>
      <w:r w:rsidRPr="006C02AF">
        <w:t>invest</w:t>
      </w:r>
      <w:r w:rsidR="00370A80" w:rsidRPr="006C02AF">
        <w:t>isse</w:t>
      </w:r>
      <w:r w:rsidRPr="006C02AF">
        <w:t xml:space="preserve">ments </w:t>
      </w:r>
      <w:r w:rsidR="00370A80" w:rsidRPr="006C02AF">
        <w:t xml:space="preserve">ont été réalisés en </w:t>
      </w:r>
      <w:r w:rsidRPr="006C02AF">
        <w:t xml:space="preserve">dollars </w:t>
      </w:r>
      <w:r w:rsidR="00370A80" w:rsidRPr="006C02AF">
        <w:t>et en</w:t>
      </w:r>
      <w:r w:rsidRPr="006C02AF">
        <w:t xml:space="preserve"> euro</w:t>
      </w:r>
      <w:r w:rsidR="004C591A" w:rsidRPr="006C02AF">
        <w:t>s afin d</w:t>
      </w:r>
      <w:r w:rsidR="00E32CD7" w:rsidRPr="006C02AF">
        <w:t>'</w:t>
      </w:r>
      <w:r w:rsidR="004C591A" w:rsidRPr="006C02AF">
        <w:t>obtenir un rendement plus élevé et de compenser le taux d</w:t>
      </w:r>
      <w:r w:rsidR="00E32CD7" w:rsidRPr="006C02AF">
        <w:t>'</w:t>
      </w:r>
      <w:r w:rsidR="004C591A" w:rsidRPr="006C02AF">
        <w:t>intérêt négatif.</w:t>
      </w:r>
      <w:bookmarkEnd w:id="92"/>
      <w:r w:rsidR="008C0CC7" w:rsidRPr="006C02AF">
        <w:t xml:space="preserve"> </w:t>
      </w:r>
      <w:bookmarkStart w:id="93" w:name="lt_pId195"/>
      <w:r w:rsidR="004C591A" w:rsidRPr="006C02AF">
        <w:t>Une fois qu</w:t>
      </w:r>
      <w:r w:rsidR="00E32CD7" w:rsidRPr="006C02AF">
        <w:t>'</w:t>
      </w:r>
      <w:r w:rsidR="004C591A" w:rsidRPr="006C02AF">
        <w:t xml:space="preserve">un </w:t>
      </w:r>
      <w:r w:rsidR="00EC4DDD" w:rsidRPr="006C02AF">
        <w:t>plan</w:t>
      </w:r>
      <w:r w:rsidR="004C591A" w:rsidRPr="006C02AF">
        <w:t xml:space="preserve"> de</w:t>
      </w:r>
      <w:r w:rsidRPr="006C02AF">
        <w:t xml:space="preserve"> </w:t>
      </w:r>
      <w:r w:rsidR="004C591A" w:rsidRPr="006C02AF">
        <w:t>départ volontaire</w:t>
      </w:r>
      <w:r w:rsidR="008C0CC7" w:rsidRPr="006C02AF">
        <w:t xml:space="preserve"> </w:t>
      </w:r>
      <w:r w:rsidR="004C591A" w:rsidRPr="006C02AF">
        <w:t>et de</w:t>
      </w:r>
      <w:r w:rsidRPr="006C02AF">
        <w:t xml:space="preserve"> </w:t>
      </w:r>
      <w:r w:rsidR="004C591A" w:rsidRPr="006C02AF">
        <w:t>retraite anticipée</w:t>
      </w:r>
      <w:r w:rsidRPr="006C02AF">
        <w:t xml:space="preserve"> </w:t>
      </w:r>
      <w:r w:rsidR="00D87E47" w:rsidRPr="006C02AF">
        <w:t>aura été élaboré</w:t>
      </w:r>
      <w:r w:rsidRPr="006C02AF">
        <w:t xml:space="preserve">, </w:t>
      </w:r>
      <w:r w:rsidR="00E40365" w:rsidRPr="006C02AF">
        <w:t>l</w:t>
      </w:r>
      <w:r w:rsidR="00D87E47" w:rsidRPr="006C02AF">
        <w:t>es critères</w:t>
      </w:r>
      <w:r w:rsidR="00E40365" w:rsidRPr="006C02AF">
        <w:t xml:space="preserve"> à remplir pour y participer</w:t>
      </w:r>
      <w:r w:rsidR="00D87E47" w:rsidRPr="006C02AF">
        <w:t xml:space="preserve"> seront définis par</w:t>
      </w:r>
      <w:r w:rsidRPr="006C02AF">
        <w:t xml:space="preserve"> </w:t>
      </w:r>
      <w:r w:rsidR="00BA1339" w:rsidRPr="006C02AF">
        <w:t>le Secrétaire général</w:t>
      </w:r>
      <w:r w:rsidR="008C0CC7" w:rsidRPr="006C02AF">
        <w:t xml:space="preserve"> </w:t>
      </w:r>
      <w:r w:rsidR="00D87E47" w:rsidRPr="006C02AF">
        <w:t>en concertation avec le personnel de l</w:t>
      </w:r>
      <w:r w:rsidR="00E32CD7" w:rsidRPr="006C02AF">
        <w:t>'</w:t>
      </w:r>
      <w:r w:rsidR="00D87E47" w:rsidRPr="006C02AF">
        <w:t>UIT et</w:t>
      </w:r>
      <w:r w:rsidR="008C0CC7" w:rsidRPr="006C02AF">
        <w:t xml:space="preserve"> </w:t>
      </w:r>
      <w:r w:rsidR="00D87E47" w:rsidRPr="006C02AF">
        <w:t>énoncés dans un</w:t>
      </w:r>
      <w:r w:rsidR="008C0CC7" w:rsidRPr="006C02AF">
        <w:t xml:space="preserve"> </w:t>
      </w:r>
      <w:r w:rsidR="00E00B9F" w:rsidRPr="006C02AF">
        <w:lastRenderedPageBreak/>
        <w:t>ordre de service</w:t>
      </w:r>
      <w:r w:rsidRPr="006C02AF">
        <w:t>.</w:t>
      </w:r>
      <w:bookmarkEnd w:id="93"/>
      <w:r w:rsidRPr="006C02AF">
        <w:t xml:space="preserve"> </w:t>
      </w:r>
      <w:bookmarkStart w:id="94" w:name="lt_pId196"/>
      <w:r w:rsidR="00D87E47" w:rsidRPr="006C02AF">
        <w:t>Les demandes de</w:t>
      </w:r>
      <w:r w:rsidRPr="006C02AF">
        <w:t xml:space="preserve"> </w:t>
      </w:r>
      <w:r w:rsidR="004C591A" w:rsidRPr="006C02AF">
        <w:t>départ volontaire</w:t>
      </w:r>
      <w:r w:rsidR="008C0CC7" w:rsidRPr="006C02AF">
        <w:t xml:space="preserve"> </w:t>
      </w:r>
      <w:r w:rsidR="00C006C9" w:rsidRPr="006C02AF">
        <w:t>ne sont acceptées que si elles sont considérées comme conformes aux intérêts</w:t>
      </w:r>
      <w:r w:rsidRPr="006C02AF">
        <w:t xml:space="preserve"> </w:t>
      </w:r>
      <w:r w:rsidR="00C006C9" w:rsidRPr="006C02AF">
        <w:t>de l</w:t>
      </w:r>
      <w:r w:rsidR="00E32CD7" w:rsidRPr="006C02AF">
        <w:t>'</w:t>
      </w:r>
      <w:r w:rsidRPr="006C02AF">
        <w:t xml:space="preserve">Union, </w:t>
      </w:r>
      <w:r w:rsidR="00C006C9" w:rsidRPr="006C02AF">
        <w:t>c</w:t>
      </w:r>
      <w:r w:rsidR="00E32CD7" w:rsidRPr="006C02AF">
        <w:t>'</w:t>
      </w:r>
      <w:r w:rsidR="00C006C9" w:rsidRPr="006C02AF">
        <w:t>est-à-dire si le poste pourrait être gelé à long terme ou pourvu à un grade inférieur.</w:t>
      </w:r>
      <w:bookmarkEnd w:id="94"/>
      <w:r w:rsidR="008C0CC7" w:rsidRPr="006C02AF">
        <w:t xml:space="preserve"> </w:t>
      </w:r>
      <w:bookmarkStart w:id="95" w:name="lt_pId197"/>
      <w:r w:rsidR="00C006C9" w:rsidRPr="006C02AF">
        <w:t>L</w:t>
      </w:r>
      <w:r w:rsidR="00E32CD7" w:rsidRPr="006C02AF">
        <w:t>'</w:t>
      </w:r>
      <w:r w:rsidR="00C006C9" w:rsidRPr="006C02AF">
        <w:t xml:space="preserve">externalisation de </w:t>
      </w:r>
      <w:r w:rsidRPr="006C02AF">
        <w:t>certain</w:t>
      </w:r>
      <w:r w:rsidR="00C006C9" w:rsidRPr="006C02AF">
        <w:t>es</w:t>
      </w:r>
      <w:r w:rsidRPr="006C02AF">
        <w:t xml:space="preserve"> </w:t>
      </w:r>
      <w:r w:rsidR="00680133" w:rsidRPr="006C02AF">
        <w:t>activités</w:t>
      </w:r>
      <w:r w:rsidRPr="006C02AF">
        <w:t xml:space="preserve"> </w:t>
      </w:r>
      <w:r w:rsidR="00C006C9" w:rsidRPr="006C02AF">
        <w:t xml:space="preserve">pourrait aussi constituer une solution </w:t>
      </w:r>
      <w:r w:rsidR="0077287D" w:rsidRPr="006C02AF">
        <w:t>si elle permet d</w:t>
      </w:r>
      <w:r w:rsidR="00E32CD7" w:rsidRPr="006C02AF">
        <w:t>'</w:t>
      </w:r>
      <w:r w:rsidR="0077287D" w:rsidRPr="006C02AF">
        <w:t>économiser plus qu</w:t>
      </w:r>
      <w:r w:rsidR="00E32CD7" w:rsidRPr="006C02AF">
        <w:t>'</w:t>
      </w:r>
      <w:r w:rsidR="0077287D" w:rsidRPr="006C02AF">
        <w:t xml:space="preserve">elle ne coûte. </w:t>
      </w:r>
      <w:bookmarkStart w:id="96" w:name="lt_pId198"/>
      <w:bookmarkEnd w:id="95"/>
      <w:r w:rsidR="0077287D" w:rsidRPr="006C02AF">
        <w:t xml:space="preserve">La </w:t>
      </w:r>
      <w:r w:rsidRPr="006C02AF">
        <w:t xml:space="preserve">contribution </w:t>
      </w:r>
      <w:r w:rsidR="0077287D" w:rsidRPr="006C02AF">
        <w:t>de l</w:t>
      </w:r>
      <w:r w:rsidR="00E32CD7" w:rsidRPr="006C02AF">
        <w:t>'</w:t>
      </w:r>
      <w:r w:rsidR="0077287D" w:rsidRPr="006C02AF">
        <w:t xml:space="preserve">UIT au fonds de </w:t>
      </w:r>
      <w:r w:rsidRPr="006C02AF">
        <w:t xml:space="preserve">pension </w:t>
      </w:r>
      <w:r w:rsidR="007A0377" w:rsidRPr="006C02AF">
        <w:t>prendra fin au moment de la retraite de la personne, même si l</w:t>
      </w:r>
      <w:r w:rsidR="00E32CD7" w:rsidRPr="006C02AF">
        <w:t>'</w:t>
      </w:r>
      <w:r w:rsidRPr="006C02AF">
        <w:t xml:space="preserve">Union </w:t>
      </w:r>
      <w:r w:rsidR="007A0377" w:rsidRPr="006C02AF">
        <w:t>devra quand même</w:t>
      </w:r>
      <w:r w:rsidR="008C0CC7" w:rsidRPr="006C02AF">
        <w:t xml:space="preserve"> </w:t>
      </w:r>
      <w:r w:rsidR="007A0377" w:rsidRPr="006C02AF">
        <w:t xml:space="preserve">verser une </w:t>
      </w:r>
      <w:r w:rsidRPr="006C02AF">
        <w:t>contribut</w:t>
      </w:r>
      <w:r w:rsidR="007A0377" w:rsidRPr="006C02AF">
        <w:t>ion à l</w:t>
      </w:r>
      <w:r w:rsidR="00E32CD7" w:rsidRPr="006C02AF">
        <w:t>'</w:t>
      </w:r>
      <w:r w:rsidR="007A0377" w:rsidRPr="006C02AF">
        <w:t>assurance maladie après la cessation de service</w:t>
      </w:r>
      <w:r w:rsidRPr="006C02AF">
        <w:t xml:space="preserve">, </w:t>
      </w:r>
      <w:r w:rsidR="0004498D" w:rsidRPr="006C02AF">
        <w:t>dont le coût est pris en compte dans le projet de</w:t>
      </w:r>
      <w:r w:rsidR="0088516A" w:rsidRPr="006C02AF">
        <w:t xml:space="preserve"> budget</w:t>
      </w:r>
      <w:r w:rsidR="0004498D" w:rsidRPr="006C02AF">
        <w:t xml:space="preserve"> </w:t>
      </w:r>
      <w:r w:rsidR="0088516A" w:rsidRPr="006C02AF">
        <w:t>biennal</w:t>
      </w:r>
      <w:r w:rsidRPr="006C02AF">
        <w:t>.</w:t>
      </w:r>
      <w:bookmarkEnd w:id="96"/>
    </w:p>
    <w:p w14:paraId="0A1F63C5" w14:textId="2A3B2408" w:rsidR="006D5C47" w:rsidRPr="006C02AF" w:rsidRDefault="006D5C47" w:rsidP="00E32CD7">
      <w:r w:rsidRPr="006C02AF">
        <w:t>7.4</w:t>
      </w:r>
      <w:r w:rsidRPr="006C02AF">
        <w:tab/>
      </w:r>
      <w:bookmarkStart w:id="97" w:name="lt_pId200"/>
      <w:r w:rsidR="002D414F" w:rsidRPr="006C02AF">
        <w:t>Certains</w:t>
      </w:r>
      <w:r w:rsidRPr="006C02AF">
        <w:t xml:space="preserve"> </w:t>
      </w:r>
      <w:r w:rsidR="00774F8B" w:rsidRPr="006C02AF">
        <w:t>conseiller</w:t>
      </w:r>
      <w:r w:rsidRPr="006C02AF">
        <w:t xml:space="preserve">s </w:t>
      </w:r>
      <w:r w:rsidR="002D414F" w:rsidRPr="006C02AF">
        <w:t>demandent des précisions sur les incidences d</w:t>
      </w:r>
      <w:r w:rsidR="00E32CD7" w:rsidRPr="006C02AF">
        <w:t>'</w:t>
      </w:r>
      <w:r w:rsidR="002D414F" w:rsidRPr="006C02AF">
        <w:t>un gel des postes de longue durée ou d</w:t>
      </w:r>
      <w:r w:rsidR="00E32CD7" w:rsidRPr="006C02AF">
        <w:t>'</w:t>
      </w:r>
      <w:r w:rsidR="00E05C7C" w:rsidRPr="006C02AF">
        <w:t>un déclassement</w:t>
      </w:r>
      <w:r w:rsidR="00C3007A" w:rsidRPr="006C02AF">
        <w:t xml:space="preserve"> sur l</w:t>
      </w:r>
      <w:r w:rsidR="00E32CD7" w:rsidRPr="006C02AF">
        <w:t>'</w:t>
      </w:r>
      <w:r w:rsidR="00C3007A" w:rsidRPr="006C02AF">
        <w:t>efficacité et le fonctionnement de l</w:t>
      </w:r>
      <w:r w:rsidR="00E32CD7" w:rsidRPr="006C02AF">
        <w:t>'</w:t>
      </w:r>
      <w:r w:rsidRPr="006C02AF">
        <w:t>Union</w:t>
      </w:r>
      <w:r w:rsidR="00C3007A" w:rsidRPr="006C02AF">
        <w:t>, et sur les</w:t>
      </w:r>
      <w:r w:rsidR="008C0CC7" w:rsidRPr="006C02AF">
        <w:t xml:space="preserve"> </w:t>
      </w:r>
      <w:r w:rsidR="0088516A" w:rsidRPr="006C02AF">
        <w:t>conditions à remplir</w:t>
      </w:r>
      <w:r w:rsidR="00B82A7E" w:rsidRPr="006C02AF">
        <w:t xml:space="preserve"> pour participer à un tel </w:t>
      </w:r>
      <w:r w:rsidR="00EC4DDD" w:rsidRPr="006C02AF">
        <w:t>plan</w:t>
      </w:r>
      <w:r w:rsidR="00C3007A" w:rsidRPr="006C02AF">
        <w:t xml:space="preserve">, ainsi que sur le bien fondé de </w:t>
      </w:r>
      <w:r w:rsidR="00B82A7E" w:rsidRPr="006C02AF">
        <w:t xml:space="preserve">son </w:t>
      </w:r>
      <w:bookmarkEnd w:id="97"/>
      <w:r w:rsidR="00E11D0A" w:rsidRPr="006C02AF">
        <w:t>application.</w:t>
      </w:r>
      <w:r w:rsidRPr="006C02AF">
        <w:t xml:space="preserve"> </w:t>
      </w:r>
      <w:bookmarkStart w:id="98" w:name="lt_pId201"/>
      <w:r w:rsidR="00B82A7E" w:rsidRPr="006C02AF">
        <w:t xml:space="preserve">Si des membres du personnel </w:t>
      </w:r>
      <w:r w:rsidR="004A4AA9" w:rsidRPr="006C02AF">
        <w:t>sont</w:t>
      </w:r>
      <w:r w:rsidR="008C0CC7" w:rsidRPr="006C02AF">
        <w:t xml:space="preserve"> </w:t>
      </w:r>
      <w:r w:rsidR="00E13035" w:rsidRPr="006C02AF">
        <w:t>promus à un rang élevé</w:t>
      </w:r>
      <w:r w:rsidR="00A133B2" w:rsidRPr="006C02AF">
        <w:t xml:space="preserve"> en interne</w:t>
      </w:r>
      <w:r w:rsidR="00E13035" w:rsidRPr="006C02AF">
        <w:t xml:space="preserve">, les économies possibles </w:t>
      </w:r>
      <w:r w:rsidR="00A133B2" w:rsidRPr="006C02AF">
        <w:t xml:space="preserve">pourraient </w:t>
      </w:r>
      <w:r w:rsidR="006F4C75" w:rsidRPr="006C02AF">
        <w:t>s</w:t>
      </w:r>
      <w:r w:rsidR="00E32CD7" w:rsidRPr="006C02AF">
        <w:t>'</w:t>
      </w:r>
      <w:r w:rsidR="006F4C75" w:rsidRPr="006C02AF">
        <w:t>en trouver réduites</w:t>
      </w:r>
      <w:r w:rsidRPr="006C02AF">
        <w:t>.</w:t>
      </w:r>
      <w:bookmarkEnd w:id="98"/>
      <w:r w:rsidRPr="006C02AF">
        <w:t xml:space="preserve"> </w:t>
      </w:r>
      <w:bookmarkStart w:id="99" w:name="lt_pId202"/>
      <w:r w:rsidR="006F4C75" w:rsidRPr="006C02AF">
        <w:t>Une autre</w:t>
      </w:r>
      <w:r w:rsidRPr="006C02AF">
        <w:t xml:space="preserve"> </w:t>
      </w:r>
      <w:r w:rsidR="00774F8B" w:rsidRPr="006C02AF">
        <w:t>conseillère</w:t>
      </w:r>
      <w:r w:rsidRPr="006C02AF">
        <w:t xml:space="preserve"> </w:t>
      </w:r>
      <w:r w:rsidR="006F4C75" w:rsidRPr="006C02AF">
        <w:t>souligne qu</w:t>
      </w:r>
      <w:r w:rsidR="00E32CD7" w:rsidRPr="006C02AF">
        <w:t>'</w:t>
      </w:r>
      <w:r w:rsidR="006F4C75" w:rsidRPr="006C02AF">
        <w:t xml:space="preserve">il faut </w:t>
      </w:r>
      <w:r w:rsidR="009E49DE" w:rsidRPr="006C02AF">
        <w:t>veiller à ce</w:t>
      </w:r>
      <w:r w:rsidR="006F4C75" w:rsidRPr="006C02AF">
        <w:t xml:space="preserve"> que les membres du personnel</w:t>
      </w:r>
      <w:r w:rsidRPr="006C02AF">
        <w:t xml:space="preserve"> </w:t>
      </w:r>
      <w:r w:rsidR="009E49DE" w:rsidRPr="006C02AF">
        <w:t>les plus talentueux ne quittent pas l</w:t>
      </w:r>
      <w:r w:rsidR="00E32CD7" w:rsidRPr="006C02AF">
        <w:t>'</w:t>
      </w:r>
      <w:r w:rsidR="009E49DE" w:rsidRPr="006C02AF">
        <w:t>UIT dans le cadre d</w:t>
      </w:r>
      <w:r w:rsidR="00E32CD7" w:rsidRPr="006C02AF">
        <w:t>'</w:t>
      </w:r>
      <w:r w:rsidR="009E49DE" w:rsidRPr="006C02AF">
        <w:t xml:space="preserve">un tel </w:t>
      </w:r>
      <w:r w:rsidR="00EC4DDD" w:rsidRPr="006C02AF">
        <w:t>plan</w:t>
      </w:r>
      <w:r w:rsidR="009E49DE" w:rsidRPr="006C02AF">
        <w:t>.</w:t>
      </w:r>
      <w:bookmarkEnd w:id="99"/>
    </w:p>
    <w:p w14:paraId="71433030" w14:textId="3BA73DF6" w:rsidR="006D5C47" w:rsidRPr="006C02AF" w:rsidRDefault="006D5C47" w:rsidP="00E32CD7">
      <w:r w:rsidRPr="006C02AF">
        <w:t>7.5</w:t>
      </w:r>
      <w:r w:rsidRPr="006C02AF">
        <w:tab/>
      </w:r>
      <w:bookmarkStart w:id="100" w:name="lt_pId204"/>
      <w:r w:rsidR="00B80362" w:rsidRPr="006C02AF">
        <w:t>D</w:t>
      </w:r>
      <w:r w:rsidR="00E32CD7" w:rsidRPr="006C02AF">
        <w:t>'</w:t>
      </w:r>
      <w:r w:rsidR="00B80362" w:rsidRPr="006C02AF">
        <w:t>autres</w:t>
      </w:r>
      <w:r w:rsidRPr="006C02AF">
        <w:t xml:space="preserve"> </w:t>
      </w:r>
      <w:r w:rsidR="00774F8B" w:rsidRPr="006C02AF">
        <w:t>conseiller</w:t>
      </w:r>
      <w:r w:rsidRPr="006C02AF">
        <w:t xml:space="preserve">s </w:t>
      </w:r>
      <w:r w:rsidR="00BE0EEA" w:rsidRPr="006C02AF">
        <w:t>constate</w:t>
      </w:r>
      <w:r w:rsidR="00B80362" w:rsidRPr="006C02AF">
        <w:t>nt</w:t>
      </w:r>
      <w:r w:rsidR="00BE0EEA" w:rsidRPr="006C02AF">
        <w:t xml:space="preserve"> que le </w:t>
      </w:r>
      <w:r w:rsidR="00E11D0A" w:rsidRPr="006C02AF">
        <w:t>montant</w:t>
      </w:r>
      <w:r w:rsidR="00BE0EEA" w:rsidRPr="006C02AF">
        <w:t xml:space="preserve"> qu</w:t>
      </w:r>
      <w:r w:rsidR="00E32CD7" w:rsidRPr="006C02AF">
        <w:t>'</w:t>
      </w:r>
      <w:r w:rsidR="00BE0EEA" w:rsidRPr="006C02AF">
        <w:t>il est proposé de retirer du</w:t>
      </w:r>
      <w:r w:rsidR="008C0CC7" w:rsidRPr="006C02AF">
        <w:t xml:space="preserve"> </w:t>
      </w:r>
      <w:r w:rsidR="005F0C1A" w:rsidRPr="006C02AF">
        <w:t>fonds de réserve</w:t>
      </w:r>
      <w:r w:rsidR="008C0CC7" w:rsidRPr="006C02AF">
        <w:t xml:space="preserve"> </w:t>
      </w:r>
      <w:r w:rsidR="00BE0EEA" w:rsidRPr="006C02AF">
        <w:t xml:space="preserve">en application des décisions prises par </w:t>
      </w:r>
      <w:r w:rsidR="00531462" w:rsidRPr="006C02AF">
        <w:t>le Conseil</w:t>
      </w:r>
      <w:r w:rsidR="008C0CC7" w:rsidRPr="006C02AF">
        <w:t xml:space="preserve"> </w:t>
      </w:r>
      <w:r w:rsidR="00BE0EEA" w:rsidRPr="006C02AF">
        <w:t>à la présente réunion est considérable</w:t>
      </w:r>
      <w:r w:rsidR="000E0504" w:rsidRPr="006C02AF">
        <w:t xml:space="preserve"> puisqu</w:t>
      </w:r>
      <w:r w:rsidR="00E32CD7" w:rsidRPr="006C02AF">
        <w:t>'</w:t>
      </w:r>
      <w:r w:rsidR="00385752" w:rsidRPr="006C02AF">
        <w:t>il</w:t>
      </w:r>
      <w:r w:rsidR="00042C7D" w:rsidRPr="006C02AF">
        <w:t xml:space="preserve"> représente en tout environ</w:t>
      </w:r>
      <w:r w:rsidRPr="006C02AF">
        <w:t xml:space="preserve"> 24</w:t>
      </w:r>
      <w:r w:rsidR="00DB5F33" w:rsidRPr="006C02AF">
        <w:t> pour cent</w:t>
      </w:r>
      <w:r w:rsidRPr="006C02AF">
        <w:t xml:space="preserve"> </w:t>
      </w:r>
      <w:r w:rsidR="00BE0EEA" w:rsidRPr="006C02AF">
        <w:t xml:space="preserve">de </w:t>
      </w:r>
      <w:r w:rsidR="00042C7D" w:rsidRPr="006C02AF">
        <w:t>la</w:t>
      </w:r>
      <w:r w:rsidR="00BE0EEA" w:rsidRPr="006C02AF">
        <w:t xml:space="preserve"> valeur </w:t>
      </w:r>
      <w:r w:rsidR="00042C7D" w:rsidRPr="006C02AF">
        <w:t xml:space="preserve">du </w:t>
      </w:r>
      <w:r w:rsidR="005F0C1A" w:rsidRPr="006C02AF">
        <w:t>fonds de réserve</w:t>
      </w:r>
      <w:r w:rsidR="008C0CC7" w:rsidRPr="006C02AF">
        <w:t xml:space="preserve"> </w:t>
      </w:r>
      <w:r w:rsidRPr="006C02AF">
        <w:t>(700</w:t>
      </w:r>
      <w:r w:rsidR="007C787F" w:rsidRPr="006C02AF">
        <w:t> </w:t>
      </w:r>
      <w:r w:rsidRPr="006C02AF">
        <w:t>000</w:t>
      </w:r>
      <w:r w:rsidR="007C787F" w:rsidRPr="006C02AF">
        <w:t xml:space="preserve"> CHF</w:t>
      </w:r>
      <w:r w:rsidRPr="006C02AF">
        <w:t xml:space="preserve"> </w:t>
      </w:r>
      <w:r w:rsidR="00042C7D" w:rsidRPr="006C02AF">
        <w:t>au titre du précédent point de l</w:t>
      </w:r>
      <w:r w:rsidR="00E32CD7" w:rsidRPr="006C02AF">
        <w:t>'</w:t>
      </w:r>
      <w:r w:rsidR="00042C7D" w:rsidRPr="006C02AF">
        <w:t xml:space="preserve">ordre du jour et </w:t>
      </w:r>
      <w:r w:rsidRPr="006C02AF">
        <w:t>6 million</w:t>
      </w:r>
      <w:r w:rsidR="007C787F" w:rsidRPr="006C02AF">
        <w:t>s CHF</w:t>
      </w:r>
      <w:r w:rsidRPr="006C02AF">
        <w:t xml:space="preserve"> </w:t>
      </w:r>
      <w:r w:rsidR="00977386" w:rsidRPr="006C02AF">
        <w:t>au titre de ce point</w:t>
      </w:r>
      <w:r w:rsidRPr="006C02AF">
        <w:t>).</w:t>
      </w:r>
      <w:bookmarkEnd w:id="100"/>
      <w:r w:rsidRPr="006C02AF">
        <w:t xml:space="preserve"> </w:t>
      </w:r>
      <w:bookmarkStart w:id="101" w:name="lt_pId205"/>
      <w:r w:rsidR="00EA4EA3" w:rsidRPr="006C02AF">
        <w:t>Un</w:t>
      </w:r>
      <w:r w:rsidR="008C0CC7" w:rsidRPr="006C02AF">
        <w:t xml:space="preserve"> </w:t>
      </w:r>
      <w:r w:rsidR="00774F8B" w:rsidRPr="006C02AF">
        <w:t>conseiller</w:t>
      </w:r>
      <w:r w:rsidR="008C0CC7" w:rsidRPr="006C02AF">
        <w:t xml:space="preserve"> </w:t>
      </w:r>
      <w:r w:rsidR="00EA4EA3" w:rsidRPr="006C02AF">
        <w:t xml:space="preserve">déclare que </w:t>
      </w:r>
      <w:r w:rsidR="00813A79" w:rsidRPr="006C02AF">
        <w:t>le secrétariat</w:t>
      </w:r>
      <w:r w:rsidRPr="006C02AF">
        <w:t xml:space="preserve"> </w:t>
      </w:r>
      <w:r w:rsidR="00EA4EA3" w:rsidRPr="006C02AF">
        <w:t>devrait</w:t>
      </w:r>
      <w:r w:rsidR="008C0CC7" w:rsidRPr="006C02AF">
        <w:t xml:space="preserve"> </w:t>
      </w:r>
      <w:r w:rsidRPr="006C02AF">
        <w:t>inform</w:t>
      </w:r>
      <w:r w:rsidR="00EA4EA3" w:rsidRPr="006C02AF">
        <w:t>er</w:t>
      </w:r>
      <w:r w:rsidRPr="006C02AF">
        <w:t xml:space="preserve"> </w:t>
      </w:r>
      <w:r w:rsidR="00531462" w:rsidRPr="006C02AF">
        <w:t>le Conseil</w:t>
      </w:r>
      <w:r w:rsidR="008C0CC7" w:rsidRPr="006C02AF">
        <w:t xml:space="preserve"> </w:t>
      </w:r>
      <w:r w:rsidR="00247FB4" w:rsidRPr="006C02AF">
        <w:t>du</w:t>
      </w:r>
      <w:r w:rsidRPr="006C02AF">
        <w:t xml:space="preserve"> m</w:t>
      </w:r>
      <w:r w:rsidR="00247FB4" w:rsidRPr="006C02AF">
        <w:t>é</w:t>
      </w:r>
      <w:r w:rsidRPr="006C02AF">
        <w:t>canism</w:t>
      </w:r>
      <w:r w:rsidR="00247FB4" w:rsidRPr="006C02AF">
        <w:t xml:space="preserve">e à utiliser pour recouvrer le </w:t>
      </w:r>
      <w:r w:rsidR="00BE7D2E" w:rsidRPr="006C02AF">
        <w:t>versement</w:t>
      </w:r>
      <w:r w:rsidR="00247FB4" w:rsidRPr="006C02AF">
        <w:t xml:space="preserve"> et du</w:t>
      </w:r>
      <w:r w:rsidR="008C0CC7" w:rsidRPr="006C02AF">
        <w:t xml:space="preserve"> </w:t>
      </w:r>
      <w:r w:rsidR="00BE7D2E" w:rsidRPr="006C02AF">
        <w:t>montant exact qu</w:t>
      </w:r>
      <w:r w:rsidR="00E32CD7" w:rsidRPr="006C02AF">
        <w:t>'</w:t>
      </w:r>
      <w:r w:rsidR="00BE7D2E" w:rsidRPr="006C02AF">
        <w:t>il faudrait retirer à la fin de l</w:t>
      </w:r>
      <w:r w:rsidR="00E32CD7" w:rsidRPr="006C02AF">
        <w:t>'</w:t>
      </w:r>
      <w:r w:rsidR="00BE7D2E" w:rsidRPr="006C02AF">
        <w:t>année.</w:t>
      </w:r>
      <w:r w:rsidRPr="006C02AF">
        <w:t xml:space="preserve"> </w:t>
      </w:r>
      <w:bookmarkStart w:id="102" w:name="lt_pId206"/>
      <w:bookmarkEnd w:id="101"/>
      <w:r w:rsidR="00BE7D2E" w:rsidRPr="006C02AF">
        <w:t xml:space="preserve">Un autre propose que le </w:t>
      </w:r>
      <w:r w:rsidR="00EC4DDD" w:rsidRPr="006C02AF">
        <w:t>plan</w:t>
      </w:r>
      <w:r w:rsidR="00BE7D2E" w:rsidRPr="006C02AF">
        <w:t xml:space="preserve"> de </w:t>
      </w:r>
      <w:r w:rsidR="004C591A" w:rsidRPr="006C02AF">
        <w:t>départ volontaire</w:t>
      </w:r>
      <w:r w:rsidR="008C0CC7" w:rsidRPr="006C02AF">
        <w:t xml:space="preserve"> </w:t>
      </w:r>
      <w:r w:rsidR="002C675A" w:rsidRPr="006C02AF">
        <w:t>et de pré-retraite</w:t>
      </w:r>
      <w:r w:rsidRPr="006C02AF">
        <w:t xml:space="preserve"> </w:t>
      </w:r>
      <w:r w:rsidR="00C206F4" w:rsidRPr="006C02AF">
        <w:t>soit appliqué entre</w:t>
      </w:r>
      <w:r w:rsidRPr="006C02AF">
        <w:t xml:space="preserve"> 2023 </w:t>
      </w:r>
      <w:r w:rsidR="00C206F4" w:rsidRPr="006C02AF">
        <w:t>et</w:t>
      </w:r>
      <w:r w:rsidRPr="006C02AF">
        <w:t xml:space="preserve"> 2024 </w:t>
      </w:r>
      <w:r w:rsidR="00C206F4" w:rsidRPr="006C02AF">
        <w:t xml:space="preserve">pour alléger les pressions exercées sur </w:t>
      </w:r>
      <w:r w:rsidR="00466FB0" w:rsidRPr="006C02AF">
        <w:t>l</w:t>
      </w:r>
      <w:r w:rsidR="00E32CD7" w:rsidRPr="006C02AF">
        <w:t>'</w:t>
      </w:r>
      <w:r w:rsidR="00466FB0" w:rsidRPr="006C02AF">
        <w:t xml:space="preserve">utilisation des crédits ouverts </w:t>
      </w:r>
      <w:r w:rsidR="00C206F4" w:rsidRPr="006C02AF">
        <w:t>e</w:t>
      </w:r>
      <w:r w:rsidRPr="006C02AF">
        <w:t>n 2023.</w:t>
      </w:r>
      <w:bookmarkEnd w:id="102"/>
    </w:p>
    <w:p w14:paraId="399CA769" w14:textId="7D32F273" w:rsidR="006D5C47" w:rsidRPr="006C02AF" w:rsidRDefault="006D5C47" w:rsidP="00E32CD7">
      <w:r w:rsidRPr="006C02AF">
        <w:t>7.6</w:t>
      </w:r>
      <w:r w:rsidRPr="006C02AF">
        <w:tab/>
      </w:r>
      <w:bookmarkStart w:id="103" w:name="lt_pId208"/>
      <w:r w:rsidR="00C206F4" w:rsidRPr="006C02AF">
        <w:t>Un</w:t>
      </w:r>
      <w:r w:rsidRPr="006C02AF">
        <w:t xml:space="preserve"> </w:t>
      </w:r>
      <w:r w:rsidR="00774F8B" w:rsidRPr="006C02AF">
        <w:t>conseiller</w:t>
      </w:r>
      <w:r w:rsidRPr="006C02AF">
        <w:t xml:space="preserve"> </w:t>
      </w:r>
      <w:r w:rsidR="00C206F4" w:rsidRPr="006C02AF">
        <w:t xml:space="preserve">demande pourquoi, </w:t>
      </w:r>
      <w:r w:rsidR="00BD2881" w:rsidRPr="006C02AF">
        <w:t xml:space="preserve">compte tenu du </w:t>
      </w:r>
      <w:r w:rsidR="00684338" w:rsidRPr="006C02AF">
        <w:t>déficit</w:t>
      </w:r>
      <w:r w:rsidR="008C0CC7" w:rsidRPr="006C02AF">
        <w:t xml:space="preserve"> </w:t>
      </w:r>
      <w:r w:rsidR="00BD2881" w:rsidRPr="006C02AF">
        <w:t xml:space="preserve">anticipé de </w:t>
      </w:r>
      <w:r w:rsidRPr="006C02AF">
        <w:t>1</w:t>
      </w:r>
      <w:r w:rsidR="00C206F4" w:rsidRPr="006C02AF">
        <w:t>,</w:t>
      </w:r>
      <w:r w:rsidRPr="006C02AF">
        <w:t>4</w:t>
      </w:r>
      <w:r w:rsidR="00C206F4" w:rsidRPr="006C02AF">
        <w:t> </w:t>
      </w:r>
      <w:r w:rsidRPr="006C02AF">
        <w:t>million</w:t>
      </w:r>
      <w:r w:rsidR="00C206F4" w:rsidRPr="006C02AF">
        <w:t> </w:t>
      </w:r>
      <w:r w:rsidR="007C787F" w:rsidRPr="006C02AF">
        <w:t xml:space="preserve">CHF </w:t>
      </w:r>
      <w:r w:rsidR="00BD2881" w:rsidRPr="006C02AF">
        <w:t xml:space="preserve">du budget de </w:t>
      </w:r>
      <w:r w:rsidRPr="006C02AF">
        <w:t xml:space="preserve">2022, </w:t>
      </w:r>
      <w:r w:rsidR="00BD2881" w:rsidRPr="006C02AF">
        <w:t xml:space="preserve">la charge que représenterait une dépense de 6 millions CHF est prévue pour financer </w:t>
      </w:r>
      <w:r w:rsidR="002C675A" w:rsidRPr="006C02AF">
        <w:t xml:space="preserve">un </w:t>
      </w:r>
      <w:r w:rsidR="00EC4DDD" w:rsidRPr="006C02AF">
        <w:t>plan</w:t>
      </w:r>
      <w:r w:rsidR="002C675A" w:rsidRPr="006C02AF">
        <w:t xml:space="preserve"> de départ volontaire</w:t>
      </w:r>
      <w:r w:rsidR="008C0CC7" w:rsidRPr="006C02AF">
        <w:t xml:space="preserve"> </w:t>
      </w:r>
      <w:r w:rsidR="002C675A" w:rsidRPr="006C02AF">
        <w:t>et de pré-retraite</w:t>
      </w:r>
      <w:r w:rsidRPr="006C02AF">
        <w:t>.</w:t>
      </w:r>
      <w:bookmarkEnd w:id="103"/>
      <w:r w:rsidRPr="006C02AF">
        <w:t xml:space="preserve"> </w:t>
      </w:r>
      <w:bookmarkStart w:id="104" w:name="lt_pId209"/>
      <w:r w:rsidR="00077ABD" w:rsidRPr="006C02AF">
        <w:t>Bien qu</w:t>
      </w:r>
      <w:r w:rsidR="00E32CD7" w:rsidRPr="006C02AF">
        <w:t>'</w:t>
      </w:r>
      <w:r w:rsidR="00D32F21" w:rsidRPr="006C02AF">
        <w:t>il soit favorable à un tel plan</w:t>
      </w:r>
      <w:r w:rsidR="00077ABD" w:rsidRPr="006C02AF">
        <w:t xml:space="preserve"> sur le principe, </w:t>
      </w:r>
      <w:r w:rsidR="00D25EFB" w:rsidRPr="006C02AF">
        <w:t>connaître le nombre de</w:t>
      </w:r>
      <w:r w:rsidR="00F02F6B" w:rsidRPr="006C02AF">
        <w:t>s</w:t>
      </w:r>
      <w:r w:rsidR="00D25EFB" w:rsidRPr="006C02AF">
        <w:t xml:space="preserve"> membres du personnel susceptibles de participer à un tel </w:t>
      </w:r>
      <w:r w:rsidR="00EC4DDD" w:rsidRPr="006C02AF">
        <w:t>plan</w:t>
      </w:r>
      <w:r w:rsidR="00D25EFB" w:rsidRPr="006C02AF">
        <w:t xml:space="preserve"> </w:t>
      </w:r>
      <w:r w:rsidR="00F02F6B" w:rsidRPr="006C02AF">
        <w:t xml:space="preserve">dans chaque secteur </w:t>
      </w:r>
      <w:r w:rsidR="00D25EFB" w:rsidRPr="006C02AF">
        <w:t>avant d</w:t>
      </w:r>
      <w:r w:rsidR="00FE4475" w:rsidRPr="006C02AF">
        <w:t>e</w:t>
      </w:r>
      <w:r w:rsidR="008C0CC7" w:rsidRPr="006C02AF">
        <w:t xml:space="preserve"> </w:t>
      </w:r>
      <w:r w:rsidR="00FE4475" w:rsidRPr="006C02AF">
        <w:t xml:space="preserve">prévoir le montant nécessaire lui semblerait souhaitable. Il conviendrait aussi de consulter les membres du personnel au sujet du </w:t>
      </w:r>
      <w:r w:rsidR="00EC4DDD" w:rsidRPr="006C02AF">
        <w:t>plan</w:t>
      </w:r>
      <w:r w:rsidR="00FE4475" w:rsidRPr="006C02AF">
        <w:t>.</w:t>
      </w:r>
      <w:r w:rsidR="008C0CC7" w:rsidRPr="006C02AF">
        <w:t xml:space="preserve"> </w:t>
      </w:r>
      <w:bookmarkStart w:id="105" w:name="lt_pId211"/>
      <w:bookmarkEnd w:id="104"/>
      <w:r w:rsidR="00867952" w:rsidRPr="006C02AF">
        <w:t>Les détails, tels que les incidences budgétaires prévues, pourraient être examinés plus avant par le</w:t>
      </w:r>
      <w:r w:rsidR="008C0CC7" w:rsidRPr="006C02AF">
        <w:t xml:space="preserve"> </w:t>
      </w:r>
      <w:r w:rsidR="00855DDC" w:rsidRPr="006C02AF">
        <w:t>Groupe de travail du Conseil sur les ressources financières et les ressources humaines</w:t>
      </w:r>
      <w:r w:rsidRPr="006C02AF">
        <w:t>.</w:t>
      </w:r>
      <w:bookmarkEnd w:id="105"/>
    </w:p>
    <w:p w14:paraId="49CF384B" w14:textId="54850AD0" w:rsidR="006D5C47" w:rsidRPr="006C02AF" w:rsidRDefault="006D5C47" w:rsidP="00E32CD7">
      <w:r w:rsidRPr="006C02AF">
        <w:t>7.7</w:t>
      </w:r>
      <w:r w:rsidRPr="006C02AF">
        <w:tab/>
      </w:r>
      <w:bookmarkStart w:id="106" w:name="lt_pId213"/>
      <w:r w:rsidR="007E6B7C" w:rsidRPr="006C02AF">
        <w:t>Répondant à de nouvelles questions, l</w:t>
      </w:r>
      <w:r w:rsidR="00DF41A1" w:rsidRPr="006C02AF">
        <w:t xml:space="preserve">e </w:t>
      </w:r>
      <w:r w:rsidR="00C6331B" w:rsidRPr="006C02AF">
        <w:t>Chef du Département de la gestion des ressources financières</w:t>
      </w:r>
      <w:r w:rsidR="007E6B7C" w:rsidRPr="006C02AF">
        <w:t xml:space="preserve"> précise qu</w:t>
      </w:r>
      <w:r w:rsidR="00E32CD7" w:rsidRPr="006C02AF">
        <w:t>'</w:t>
      </w:r>
      <w:r w:rsidR="007E6B7C" w:rsidRPr="006C02AF">
        <w:t>une fois que</w:t>
      </w:r>
      <w:r w:rsidRPr="006C02AF">
        <w:t xml:space="preserve"> </w:t>
      </w:r>
      <w:r w:rsidR="00531462" w:rsidRPr="006C02AF">
        <w:t>le Conseil</w:t>
      </w:r>
      <w:r w:rsidR="008C0CC7" w:rsidRPr="006C02AF">
        <w:t xml:space="preserve"> </w:t>
      </w:r>
      <w:r w:rsidR="007E6B7C" w:rsidRPr="006C02AF">
        <w:t>aura approuvé le retrait du</w:t>
      </w:r>
      <w:r w:rsidR="008C0CC7" w:rsidRPr="006C02AF">
        <w:t xml:space="preserve"> </w:t>
      </w:r>
      <w:r w:rsidR="005F0C1A" w:rsidRPr="006C02AF">
        <w:t>fonds de réserve</w:t>
      </w:r>
      <w:r w:rsidR="00EF7FF0" w:rsidRPr="006C02AF">
        <w:t>,</w:t>
      </w:r>
      <w:r w:rsidRPr="006C02AF">
        <w:t xml:space="preserve"> </w:t>
      </w:r>
      <w:r w:rsidR="007E6B7C" w:rsidRPr="006C02AF">
        <w:t xml:space="preserve">la direction lancera des échanges sur le </w:t>
      </w:r>
      <w:r w:rsidR="00EC4DDD" w:rsidRPr="006C02AF">
        <w:t>plan</w:t>
      </w:r>
      <w:r w:rsidR="007E6B7C" w:rsidRPr="006C02AF">
        <w:t xml:space="preserve"> avec le</w:t>
      </w:r>
      <w:r w:rsidR="008C0CC7" w:rsidRPr="006C02AF">
        <w:t xml:space="preserve"> </w:t>
      </w:r>
      <w:r w:rsidR="00A60249" w:rsidRPr="006C02AF">
        <w:t>Conseil du personnel</w:t>
      </w:r>
      <w:r w:rsidRPr="006C02AF">
        <w:t xml:space="preserve">, </w:t>
      </w:r>
      <w:r w:rsidR="00442E01" w:rsidRPr="006C02AF">
        <w:t>les directeurs des trois</w:t>
      </w:r>
      <w:r w:rsidR="00561AC9" w:rsidRPr="006C02AF">
        <w:t> </w:t>
      </w:r>
      <w:r w:rsidRPr="006C02AF">
        <w:t xml:space="preserve">Bureaux </w:t>
      </w:r>
      <w:r w:rsidR="00442E01" w:rsidRPr="006C02AF">
        <w:t>et</w:t>
      </w:r>
      <w:r w:rsidR="008C0CC7" w:rsidRPr="006C02AF">
        <w:t xml:space="preserve"> </w:t>
      </w:r>
      <w:r w:rsidR="00442E01" w:rsidRPr="006C02AF">
        <w:t>les chefs des départements du</w:t>
      </w:r>
      <w:r w:rsidR="008C0CC7" w:rsidRPr="006C02AF">
        <w:t xml:space="preserve"> </w:t>
      </w:r>
      <w:r w:rsidR="009663CA" w:rsidRPr="006C02AF">
        <w:t>Secrétariat général</w:t>
      </w:r>
      <w:r w:rsidR="00EF7FF0" w:rsidRPr="006C02AF">
        <w:t>,</w:t>
      </w:r>
      <w:r w:rsidRPr="006C02AF">
        <w:t xml:space="preserve"> </w:t>
      </w:r>
      <w:r w:rsidR="00442E01" w:rsidRPr="006C02AF">
        <w:t>ainsi que cela a été fait à d</w:t>
      </w:r>
      <w:r w:rsidR="00E32CD7" w:rsidRPr="006C02AF">
        <w:t>'</w:t>
      </w:r>
      <w:r w:rsidR="00442E01" w:rsidRPr="006C02AF">
        <w:t>autres</w:t>
      </w:r>
      <w:r w:rsidR="008C0CC7" w:rsidRPr="006C02AF">
        <w:t xml:space="preserve"> </w:t>
      </w:r>
      <w:r w:rsidRPr="006C02AF">
        <w:t xml:space="preserve">occasions </w:t>
      </w:r>
      <w:r w:rsidR="009D4B4A" w:rsidRPr="006C02AF">
        <w:t>depuis</w:t>
      </w:r>
      <w:r w:rsidRPr="006C02AF">
        <w:t xml:space="preserve"> </w:t>
      </w:r>
      <w:r w:rsidR="00C75BA9" w:rsidRPr="006C02AF">
        <w:t>la Conférence de plénipotentiaires de 2002</w:t>
      </w:r>
      <w:r w:rsidRPr="006C02AF">
        <w:t>.</w:t>
      </w:r>
      <w:bookmarkEnd w:id="106"/>
      <w:r w:rsidRPr="006C02AF">
        <w:t xml:space="preserve"> </w:t>
      </w:r>
      <w:bookmarkStart w:id="107" w:name="lt_pId214"/>
      <w:r w:rsidR="009D4B4A" w:rsidRPr="006C02AF">
        <w:t>Les critères seraient énoncés dans un</w:t>
      </w:r>
      <w:r w:rsidRPr="006C02AF">
        <w:t xml:space="preserve"> </w:t>
      </w:r>
      <w:r w:rsidR="00E00B9F" w:rsidRPr="006C02AF">
        <w:t>ordre de service</w:t>
      </w:r>
      <w:r w:rsidRPr="006C02AF">
        <w:t>.</w:t>
      </w:r>
      <w:bookmarkEnd w:id="107"/>
      <w:r w:rsidRPr="006C02AF">
        <w:t xml:space="preserve"> </w:t>
      </w:r>
      <w:bookmarkStart w:id="108" w:name="lt_pId215"/>
      <w:r w:rsidR="009D4B4A" w:rsidRPr="006C02AF">
        <w:t>Les répercussions d</w:t>
      </w:r>
      <w:r w:rsidR="00E32CD7" w:rsidRPr="006C02AF">
        <w:t>'</w:t>
      </w:r>
      <w:r w:rsidR="009D4B4A" w:rsidRPr="006C02AF">
        <w:t xml:space="preserve">un tel </w:t>
      </w:r>
      <w:r w:rsidR="00EC4DDD" w:rsidRPr="006C02AF">
        <w:t>plan</w:t>
      </w:r>
      <w:r w:rsidR="009D4B4A" w:rsidRPr="006C02AF">
        <w:t xml:space="preserve"> sur les </w:t>
      </w:r>
      <w:r w:rsidR="00680133" w:rsidRPr="006C02AF">
        <w:t>activités</w:t>
      </w:r>
      <w:r w:rsidRPr="006C02AF">
        <w:t xml:space="preserve"> </w:t>
      </w:r>
      <w:r w:rsidR="009D4B4A" w:rsidRPr="006C02AF">
        <w:t>de l</w:t>
      </w:r>
      <w:r w:rsidR="00E32CD7" w:rsidRPr="006C02AF">
        <w:t>'</w:t>
      </w:r>
      <w:r w:rsidRPr="006C02AF">
        <w:t xml:space="preserve">Union </w:t>
      </w:r>
      <w:r w:rsidR="009D4B4A" w:rsidRPr="006C02AF">
        <w:t>ser</w:t>
      </w:r>
      <w:r w:rsidR="00C05F41" w:rsidRPr="006C02AF">
        <w:t>o</w:t>
      </w:r>
      <w:r w:rsidR="009D4B4A" w:rsidRPr="006C02AF">
        <w:t>nt examiné</w:t>
      </w:r>
      <w:r w:rsidR="00C05F41" w:rsidRPr="006C02AF">
        <w:t>e</w:t>
      </w:r>
      <w:r w:rsidR="009D4B4A" w:rsidRPr="006C02AF">
        <w:t>s et il faudra</w:t>
      </w:r>
      <w:r w:rsidR="00C05F41" w:rsidRPr="006C02AF">
        <w:t xml:space="preserve"> </w:t>
      </w:r>
      <w:r w:rsidR="009D4B4A" w:rsidRPr="006C02AF">
        <w:t xml:space="preserve">que tout départ de membre du personnel </w:t>
      </w:r>
      <w:r w:rsidR="00CB5CDA" w:rsidRPr="006C02AF">
        <w:t>serve les intérêts de l</w:t>
      </w:r>
      <w:r w:rsidR="00E32CD7" w:rsidRPr="006C02AF">
        <w:t>'</w:t>
      </w:r>
      <w:r w:rsidR="00CB5CDA" w:rsidRPr="006C02AF">
        <w:t>UIT</w:t>
      </w:r>
      <w:r w:rsidRPr="006C02AF">
        <w:t xml:space="preserve"> </w:t>
      </w:r>
      <w:r w:rsidR="00CB5CDA" w:rsidRPr="006C02AF">
        <w:t xml:space="preserve">et de la personne concernée. </w:t>
      </w:r>
      <w:bookmarkStart w:id="109" w:name="lt_pId216"/>
      <w:bookmarkEnd w:id="108"/>
      <w:r w:rsidR="00CB5CDA" w:rsidRPr="006C02AF">
        <w:t>Rappelant le projet de résolution</w:t>
      </w:r>
      <w:r w:rsidR="008C0CC7" w:rsidRPr="006C02AF">
        <w:t xml:space="preserve"> </w:t>
      </w:r>
      <w:r w:rsidRPr="006C02AF">
        <w:t>adopt</w:t>
      </w:r>
      <w:r w:rsidR="00B052A3" w:rsidRPr="006C02AF">
        <w:t>é par</w:t>
      </w:r>
      <w:r w:rsidRPr="006C02AF">
        <w:t xml:space="preserve"> </w:t>
      </w:r>
      <w:r w:rsidR="00531462" w:rsidRPr="006C02AF">
        <w:t>le Conseil</w:t>
      </w:r>
      <w:r w:rsidR="008C0CC7" w:rsidRPr="006C02AF">
        <w:t xml:space="preserve"> </w:t>
      </w:r>
      <w:r w:rsidR="00B052A3" w:rsidRPr="006C02AF">
        <w:t>au titre du précédent point de l</w:t>
      </w:r>
      <w:r w:rsidR="00E32CD7" w:rsidRPr="006C02AF">
        <w:t>'</w:t>
      </w:r>
      <w:r w:rsidR="00B052A3" w:rsidRPr="006C02AF">
        <w:t>ordre du jour</w:t>
      </w:r>
      <w:r w:rsidRPr="006C02AF">
        <w:t xml:space="preserve">, </w:t>
      </w:r>
      <w:r w:rsidR="00B052A3" w:rsidRPr="006C02AF">
        <w:t>le Chef du Département de la gestion des ressources financières dit que si</w:t>
      </w:r>
      <w:r w:rsidR="00D9795D" w:rsidRPr="006C02AF">
        <w:t xml:space="preserve"> </w:t>
      </w:r>
      <w:r w:rsidR="00EF3ED6" w:rsidRPr="006C02AF">
        <w:t>l</w:t>
      </w:r>
      <w:r w:rsidR="00E32CD7" w:rsidRPr="006C02AF">
        <w:t>'</w:t>
      </w:r>
      <w:r w:rsidR="00EF3ED6" w:rsidRPr="006C02AF">
        <w:t xml:space="preserve">utilisation des crédits ouverts </w:t>
      </w:r>
      <w:r w:rsidR="003E723B" w:rsidRPr="006C02AF">
        <w:t>en 2022</w:t>
      </w:r>
      <w:r w:rsidR="008C0CC7" w:rsidRPr="006C02AF">
        <w:t xml:space="preserve"> </w:t>
      </w:r>
      <w:r w:rsidR="00EF3ED6" w:rsidRPr="006C02AF">
        <w:t xml:space="preserve">présente toujours un </w:t>
      </w:r>
      <w:r w:rsidR="00684338" w:rsidRPr="006C02AF">
        <w:t>déficit</w:t>
      </w:r>
      <w:r w:rsidR="00D9795D" w:rsidRPr="006C02AF">
        <w:t xml:space="preserve"> à la fin</w:t>
      </w:r>
      <w:r w:rsidR="00561AC9" w:rsidRPr="006C02AF">
        <w:t> </w:t>
      </w:r>
      <w:r w:rsidR="00D9795D" w:rsidRPr="006C02AF">
        <w:t>de l</w:t>
      </w:r>
      <w:r w:rsidR="00E32CD7" w:rsidRPr="006C02AF">
        <w:t>'</w:t>
      </w:r>
      <w:r w:rsidR="00D9795D" w:rsidRPr="006C02AF">
        <w:t>année</w:t>
      </w:r>
      <w:r w:rsidR="00EF7FF0" w:rsidRPr="006C02AF">
        <w:t>,</w:t>
      </w:r>
      <w:r w:rsidRPr="006C02AF">
        <w:t xml:space="preserve"> </w:t>
      </w:r>
      <w:r w:rsidR="00BA1339" w:rsidRPr="006C02AF">
        <w:t>le Secrétaire général</w:t>
      </w:r>
      <w:r w:rsidR="008C0CC7" w:rsidRPr="006C02AF">
        <w:t xml:space="preserve"> </w:t>
      </w:r>
      <w:r w:rsidR="006E3E41" w:rsidRPr="006C02AF">
        <w:t>sera autorisé à prélever jusqu</w:t>
      </w:r>
      <w:r w:rsidR="00E32CD7" w:rsidRPr="006C02AF">
        <w:t>'</w:t>
      </w:r>
      <w:r w:rsidR="006E3E41" w:rsidRPr="006C02AF">
        <w:t>à</w:t>
      </w:r>
      <w:r w:rsidR="008C0CC7" w:rsidRPr="006C02AF">
        <w:t xml:space="preserve"> </w:t>
      </w:r>
      <w:r w:rsidRPr="006C02AF">
        <w:t>700</w:t>
      </w:r>
      <w:r w:rsidR="004F58C4" w:rsidRPr="006C02AF">
        <w:t> </w:t>
      </w:r>
      <w:r w:rsidRPr="006C02AF">
        <w:t>000</w:t>
      </w:r>
      <w:r w:rsidR="004F58C4" w:rsidRPr="006C02AF">
        <w:t> </w:t>
      </w:r>
      <w:r w:rsidR="00DF41A1" w:rsidRPr="006C02AF">
        <w:t xml:space="preserve">CHF </w:t>
      </w:r>
      <w:r w:rsidR="006E3E41" w:rsidRPr="006C02AF">
        <w:t>dans le</w:t>
      </w:r>
      <w:r w:rsidRPr="006C02AF">
        <w:t xml:space="preserve"> </w:t>
      </w:r>
      <w:r w:rsidR="005F0C1A" w:rsidRPr="006C02AF">
        <w:t xml:space="preserve">fonds de </w:t>
      </w:r>
      <w:bookmarkEnd w:id="109"/>
      <w:r w:rsidR="003E723B" w:rsidRPr="006C02AF">
        <w:t>réserve.</w:t>
      </w:r>
      <w:r w:rsidRPr="006C02AF">
        <w:t xml:space="preserve"> </w:t>
      </w:r>
      <w:bookmarkStart w:id="110" w:name="lt_pId217"/>
      <w:r w:rsidR="00FC0E32" w:rsidRPr="006C02AF">
        <w:t>Aux termes du</w:t>
      </w:r>
      <w:r w:rsidR="006E3E41" w:rsidRPr="006C02AF">
        <w:t xml:space="preserve"> projet de résolution </w:t>
      </w:r>
      <w:r w:rsidR="00F30D6F" w:rsidRPr="006C02AF">
        <w:t>actuellement</w:t>
      </w:r>
      <w:r w:rsidRPr="006C02AF">
        <w:t xml:space="preserve"> </w:t>
      </w:r>
      <w:r w:rsidR="00F30D6F" w:rsidRPr="006C02AF">
        <w:t>à l</w:t>
      </w:r>
      <w:r w:rsidR="00E32CD7" w:rsidRPr="006C02AF">
        <w:t>'</w:t>
      </w:r>
      <w:r w:rsidR="00F30D6F" w:rsidRPr="006C02AF">
        <w:t>examen</w:t>
      </w:r>
      <w:r w:rsidRPr="006C02AF">
        <w:t xml:space="preserve">, </w:t>
      </w:r>
      <w:r w:rsidR="00531462" w:rsidRPr="006C02AF">
        <w:t>le Conseil</w:t>
      </w:r>
      <w:r w:rsidR="008C0CC7" w:rsidRPr="006C02AF">
        <w:t xml:space="preserve"> </w:t>
      </w:r>
      <w:r w:rsidR="00FC0E32" w:rsidRPr="006C02AF">
        <w:t>autoriserait</w:t>
      </w:r>
      <w:r w:rsidRPr="006C02AF">
        <w:t xml:space="preserve"> </w:t>
      </w:r>
      <w:r w:rsidR="00BA1339" w:rsidRPr="006C02AF">
        <w:t>le Secrétaire général</w:t>
      </w:r>
      <w:r w:rsidR="008C0CC7" w:rsidRPr="006C02AF">
        <w:t xml:space="preserve"> </w:t>
      </w:r>
      <w:r w:rsidR="00817A3D" w:rsidRPr="006C02AF">
        <w:t>à retirer un montant plafonné à 6 millions CHF</w:t>
      </w:r>
      <w:r w:rsidR="008C0CC7" w:rsidRPr="006C02AF">
        <w:t xml:space="preserve"> </w:t>
      </w:r>
      <w:r w:rsidR="00817A3D" w:rsidRPr="006C02AF">
        <w:t xml:space="preserve">du </w:t>
      </w:r>
      <w:r w:rsidR="005F0C1A" w:rsidRPr="006C02AF">
        <w:t>fonds de réserve</w:t>
      </w:r>
      <w:r w:rsidR="008C0CC7" w:rsidRPr="006C02AF">
        <w:t xml:space="preserve"> </w:t>
      </w:r>
      <w:r w:rsidR="00817A3D" w:rsidRPr="006C02AF">
        <w:t xml:space="preserve">pour financer </w:t>
      </w:r>
      <w:r w:rsidR="00FC0E32" w:rsidRPr="006C02AF">
        <w:t xml:space="preserve">un </w:t>
      </w:r>
      <w:r w:rsidR="00EC4DDD" w:rsidRPr="006C02AF">
        <w:t>plan de départ volontaire/par accord mutuel et un plan de départ à la retraite anticipé</w:t>
      </w:r>
      <w:r w:rsidRPr="006C02AF">
        <w:t>.</w:t>
      </w:r>
      <w:bookmarkEnd w:id="110"/>
      <w:r w:rsidRPr="006C02AF">
        <w:t xml:space="preserve"> </w:t>
      </w:r>
      <w:bookmarkStart w:id="111" w:name="lt_pId218"/>
      <w:r w:rsidR="00FC0E32" w:rsidRPr="006C02AF">
        <w:t xml:space="preserve">La période visée irait de </w:t>
      </w:r>
      <w:r w:rsidRPr="006C02AF">
        <w:t>2023</w:t>
      </w:r>
      <w:r w:rsidR="00FC0E32" w:rsidRPr="006C02AF">
        <w:t xml:space="preserve"> à </w:t>
      </w:r>
      <w:r w:rsidRPr="006C02AF">
        <w:t>2027.</w:t>
      </w:r>
      <w:bookmarkEnd w:id="111"/>
    </w:p>
    <w:p w14:paraId="2DAF6439" w14:textId="0EFCB784" w:rsidR="006D5C47" w:rsidRPr="006C02AF" w:rsidRDefault="006D5C47" w:rsidP="00E32CD7">
      <w:r w:rsidRPr="006C02AF">
        <w:lastRenderedPageBreak/>
        <w:t>7.8</w:t>
      </w:r>
      <w:r w:rsidRPr="006C02AF">
        <w:tab/>
      </w:r>
      <w:bookmarkStart w:id="112" w:name="lt_pId220"/>
      <w:r w:rsidR="00501233" w:rsidRPr="006C02AF">
        <w:t>L</w:t>
      </w:r>
      <w:r w:rsidRPr="006C02AF">
        <w:t xml:space="preserve">e </w:t>
      </w:r>
      <w:r w:rsidR="00A60249" w:rsidRPr="006C02AF">
        <w:t>Chef du Département de la gestion des ressources humaines (HRMD)</w:t>
      </w:r>
      <w:r w:rsidRPr="006C02AF">
        <w:t xml:space="preserve"> </w:t>
      </w:r>
      <w:r w:rsidR="00B14EF2" w:rsidRPr="006C02AF">
        <w:t>dit que les règles appliquées pour déterminer quels membres du personnel peuvent participer au programme seront très précises et que toute décision d</w:t>
      </w:r>
      <w:r w:rsidR="006C6FD9" w:rsidRPr="006C02AF">
        <w:t>e départ devra</w:t>
      </w:r>
      <w:r w:rsidR="008C0CC7" w:rsidRPr="006C02AF">
        <w:t xml:space="preserve"> </w:t>
      </w:r>
      <w:r w:rsidR="006C6FD9" w:rsidRPr="006C02AF">
        <w:t>servir les intérêts de l</w:t>
      </w:r>
      <w:r w:rsidR="00E32CD7" w:rsidRPr="006C02AF">
        <w:t>'</w:t>
      </w:r>
      <w:r w:rsidR="006C6FD9" w:rsidRPr="006C02AF">
        <w:t>UIT</w:t>
      </w:r>
      <w:r w:rsidRPr="006C02AF">
        <w:t>.</w:t>
      </w:r>
      <w:bookmarkEnd w:id="112"/>
      <w:r w:rsidRPr="006C02AF">
        <w:t xml:space="preserve"> </w:t>
      </w:r>
      <w:bookmarkStart w:id="113" w:name="lt_pId221"/>
      <w:r w:rsidR="006C6FD9" w:rsidRPr="006C02AF">
        <w:t>Dans certains cas, l</w:t>
      </w:r>
      <w:r w:rsidR="00E32CD7" w:rsidRPr="006C02AF">
        <w:t>'</w:t>
      </w:r>
      <w:r w:rsidR="006C6FD9" w:rsidRPr="006C02AF">
        <w:t xml:space="preserve">UIT </w:t>
      </w:r>
      <w:r w:rsidR="00624873" w:rsidRPr="006C02AF">
        <w:t xml:space="preserve">pourrait effectivement </w:t>
      </w:r>
      <w:r w:rsidR="006C6FD9" w:rsidRPr="006C02AF">
        <w:t>souhaiter</w:t>
      </w:r>
      <w:r w:rsidR="00624873" w:rsidRPr="006C02AF">
        <w:t xml:space="preserve"> ne pas perdre un poste ou des compétences</w:t>
      </w:r>
      <w:r w:rsidR="00E32CD7" w:rsidRPr="006C02AF">
        <w:t>;</w:t>
      </w:r>
      <w:r w:rsidR="007E46B6" w:rsidRPr="006C02AF">
        <w:t xml:space="preserve"> l</w:t>
      </w:r>
      <w:r w:rsidR="00E32CD7" w:rsidRPr="006C02AF">
        <w:t>'</w:t>
      </w:r>
      <w:r w:rsidR="007E46B6" w:rsidRPr="006C02AF">
        <w:t xml:space="preserve">organisation veillera à </w:t>
      </w:r>
      <w:r w:rsidR="00C830DB" w:rsidRPr="006C02AF">
        <w:t>ce que son fonctionnement se maintienne au niveau voulu.</w:t>
      </w:r>
      <w:r w:rsidR="008C0CC7" w:rsidRPr="006C02AF">
        <w:t xml:space="preserve"> </w:t>
      </w:r>
      <w:bookmarkStart w:id="114" w:name="lt_pId222"/>
      <w:bookmarkEnd w:id="113"/>
      <w:r w:rsidR="00C830DB" w:rsidRPr="006C02AF">
        <w:t xml:space="preserve">Le </w:t>
      </w:r>
      <w:r w:rsidR="0002393C" w:rsidRPr="006C02AF">
        <w:t>plan</w:t>
      </w:r>
      <w:r w:rsidR="00C830DB" w:rsidRPr="006C02AF">
        <w:t xml:space="preserve"> permettra</w:t>
      </w:r>
      <w:r w:rsidR="003E2245" w:rsidRPr="006C02AF">
        <w:t xml:space="preserve"> </w:t>
      </w:r>
      <w:r w:rsidR="00C830DB" w:rsidRPr="006C02AF">
        <w:t>une certaine souplesse s</w:t>
      </w:r>
      <w:r w:rsidR="003E2245" w:rsidRPr="006C02AF">
        <w:t xml:space="preserve">i une restructuration ou une réduction du personnel </w:t>
      </w:r>
      <w:r w:rsidR="00F56088" w:rsidRPr="006C02AF">
        <w:t xml:space="preserve">spécialement </w:t>
      </w:r>
      <w:r w:rsidR="003E2245" w:rsidRPr="006C02AF">
        <w:t>adaptée devien</w:t>
      </w:r>
      <w:r w:rsidR="00512788" w:rsidRPr="006C02AF">
        <w:t>nen</w:t>
      </w:r>
      <w:r w:rsidR="003E2245" w:rsidRPr="006C02AF">
        <w:t>t</w:t>
      </w:r>
      <w:r w:rsidR="00C830DB" w:rsidRPr="006C02AF">
        <w:t xml:space="preserve"> </w:t>
      </w:r>
      <w:r w:rsidR="003E2245" w:rsidRPr="006C02AF">
        <w:t>nécessaire</w:t>
      </w:r>
      <w:r w:rsidR="00512788" w:rsidRPr="006C02AF">
        <w:t>s</w:t>
      </w:r>
      <w:r w:rsidR="003E2245" w:rsidRPr="006C02AF">
        <w:t xml:space="preserve"> </w:t>
      </w:r>
      <w:r w:rsidR="00F56088" w:rsidRPr="006C02AF">
        <w:t>et aidera à éviter des difficultés budgétaires à l</w:t>
      </w:r>
      <w:r w:rsidR="00E32CD7" w:rsidRPr="006C02AF">
        <w:t>'</w:t>
      </w:r>
      <w:r w:rsidR="00F56088" w:rsidRPr="006C02AF">
        <w:t>avenir.</w:t>
      </w:r>
      <w:bookmarkEnd w:id="114"/>
    </w:p>
    <w:p w14:paraId="3CA4A36B" w14:textId="16E15436" w:rsidR="006D5C47" w:rsidRPr="006C02AF" w:rsidRDefault="006D5C47" w:rsidP="00E32CD7">
      <w:r w:rsidRPr="006C02AF">
        <w:t>7.9</w:t>
      </w:r>
      <w:r w:rsidRPr="006C02AF">
        <w:tab/>
      </w:r>
      <w:bookmarkStart w:id="115" w:name="lt_pId224"/>
      <w:r w:rsidR="00EB3778" w:rsidRPr="006C02AF">
        <w:t>Le Secrétaire général</w:t>
      </w:r>
      <w:r w:rsidR="008C0CC7" w:rsidRPr="006C02AF">
        <w:t xml:space="preserve"> </w:t>
      </w:r>
      <w:r w:rsidR="0047674C" w:rsidRPr="006C02AF">
        <w:t>rappelle que l</w:t>
      </w:r>
      <w:r w:rsidR="00E32CD7" w:rsidRPr="006C02AF">
        <w:t>'</w:t>
      </w:r>
      <w:r w:rsidR="0047674C" w:rsidRPr="006C02AF">
        <w:t>UIT a déjà appliqué des programmes de départ anticipé</w:t>
      </w:r>
      <w:r w:rsidRPr="006C02AF">
        <w:t>.</w:t>
      </w:r>
      <w:bookmarkEnd w:id="115"/>
      <w:r w:rsidRPr="006C02AF">
        <w:t xml:space="preserve"> </w:t>
      </w:r>
      <w:bookmarkStart w:id="116" w:name="lt_pId225"/>
      <w:r w:rsidR="003D63FC" w:rsidRPr="006C02AF">
        <w:t>Bien qu</w:t>
      </w:r>
      <w:r w:rsidR="00E32CD7" w:rsidRPr="006C02AF">
        <w:t>'</w:t>
      </w:r>
      <w:r w:rsidR="003D63FC" w:rsidRPr="006C02AF">
        <w:t>ayant été autorisé par la</w:t>
      </w:r>
      <w:r w:rsidR="008C0CC7" w:rsidRPr="006C02AF">
        <w:t xml:space="preserve"> </w:t>
      </w:r>
      <w:r w:rsidR="005F0C1A" w:rsidRPr="006C02AF">
        <w:t>Conférence de plénipotentiaires</w:t>
      </w:r>
      <w:r w:rsidR="003D63FC" w:rsidRPr="006C02AF">
        <w:t xml:space="preserve"> à </w:t>
      </w:r>
      <w:r w:rsidR="0010113A" w:rsidRPr="006C02AF">
        <w:t>puiser dans le</w:t>
      </w:r>
      <w:r w:rsidR="003D63FC" w:rsidRPr="006C02AF">
        <w:t xml:space="preserve"> </w:t>
      </w:r>
      <w:r w:rsidR="005F0C1A" w:rsidRPr="006C02AF">
        <w:t>fonds de réserve</w:t>
      </w:r>
      <w:r w:rsidR="00EF7FF0" w:rsidRPr="006C02AF">
        <w:t>,</w:t>
      </w:r>
      <w:r w:rsidRPr="006C02AF">
        <w:t xml:space="preserve"> </w:t>
      </w:r>
      <w:r w:rsidR="003D63FC" w:rsidRPr="006C02AF">
        <w:t>il ne l</w:t>
      </w:r>
      <w:r w:rsidR="00E32CD7" w:rsidRPr="006C02AF">
        <w:t>'</w:t>
      </w:r>
      <w:r w:rsidR="003D63FC" w:rsidRPr="006C02AF">
        <w:t xml:space="preserve">a pas fait lors de la mise en </w:t>
      </w:r>
      <w:r w:rsidR="00F14C53" w:rsidRPr="006C02AF">
        <w:t>œuvre</w:t>
      </w:r>
      <w:r w:rsidR="003D63FC" w:rsidRPr="006C02AF">
        <w:t xml:space="preserve"> d</w:t>
      </w:r>
      <w:r w:rsidR="00E32CD7" w:rsidRPr="006C02AF">
        <w:t>'</w:t>
      </w:r>
      <w:r w:rsidR="003D63FC" w:rsidRPr="006C02AF">
        <w:t>un tel programme entre</w:t>
      </w:r>
      <w:r w:rsidR="008C0CC7" w:rsidRPr="006C02AF">
        <w:t xml:space="preserve"> </w:t>
      </w:r>
      <w:r w:rsidRPr="006C02AF">
        <w:t xml:space="preserve">2015 </w:t>
      </w:r>
      <w:r w:rsidR="003D63FC" w:rsidRPr="006C02AF">
        <w:t>et</w:t>
      </w:r>
      <w:r w:rsidRPr="006C02AF">
        <w:t xml:space="preserve"> 2018, </w:t>
      </w:r>
      <w:r w:rsidR="007125BB" w:rsidRPr="006C02AF">
        <w:t>et n</w:t>
      </w:r>
      <w:r w:rsidR="00E32CD7" w:rsidRPr="006C02AF">
        <w:t>'</w:t>
      </w:r>
      <w:r w:rsidR="007125BB" w:rsidRPr="006C02AF">
        <w:t>a retiré des fonds qu</w:t>
      </w:r>
      <w:r w:rsidR="00E32CD7" w:rsidRPr="006C02AF">
        <w:t>'</w:t>
      </w:r>
      <w:r w:rsidR="007125BB" w:rsidRPr="006C02AF">
        <w:t>e</w:t>
      </w:r>
      <w:r w:rsidRPr="006C02AF">
        <w:t>n 2019.</w:t>
      </w:r>
      <w:bookmarkEnd w:id="116"/>
      <w:r w:rsidRPr="006C02AF">
        <w:t xml:space="preserve"> </w:t>
      </w:r>
      <w:bookmarkStart w:id="117" w:name="lt_pId226"/>
      <w:r w:rsidR="00285C58" w:rsidRPr="006C02AF">
        <w:t xml:space="preserve">La direction avait défini des critères clairs en concertation avec le </w:t>
      </w:r>
      <w:r w:rsidR="00B75EEE" w:rsidRPr="006C02AF">
        <w:t>Conseil du personnel</w:t>
      </w:r>
      <w:r w:rsidR="00285C58" w:rsidRPr="006C02AF">
        <w:t>,</w:t>
      </w:r>
      <w:r w:rsidRPr="006C02AF">
        <w:t xml:space="preserve"> </w:t>
      </w:r>
      <w:r w:rsidR="00285C58" w:rsidRPr="006C02AF">
        <w:t xml:space="preserve">et le programme avait été </w:t>
      </w:r>
      <w:r w:rsidR="005C0E44" w:rsidRPr="006C02AF">
        <w:t>applicable aux fonctionnaires</w:t>
      </w:r>
      <w:r w:rsidR="008C0CC7" w:rsidRPr="006C02AF">
        <w:t xml:space="preserve"> </w:t>
      </w:r>
      <w:r w:rsidR="00E35C0C" w:rsidRPr="006C02AF">
        <w:t xml:space="preserve">ayant un </w:t>
      </w:r>
      <w:r w:rsidR="005C0E44" w:rsidRPr="006C02AF">
        <w:t>engagement à titre permanent</w:t>
      </w:r>
      <w:r w:rsidR="00E35C0C" w:rsidRPr="006C02AF">
        <w:t xml:space="preserve"> </w:t>
      </w:r>
      <w:r w:rsidR="00674C15" w:rsidRPr="006C02AF">
        <w:t>dont la durée de validité était supérieure à un an.</w:t>
      </w:r>
      <w:r w:rsidR="008C0CC7" w:rsidRPr="006C02AF">
        <w:t xml:space="preserve"> </w:t>
      </w:r>
      <w:bookmarkStart w:id="118" w:name="lt_pId227"/>
      <w:bookmarkEnd w:id="117"/>
      <w:r w:rsidR="00674C15" w:rsidRPr="006C02AF">
        <w:t>La nouvelle équipe de direction a besoin que le</w:t>
      </w:r>
      <w:r w:rsidR="008C0CC7" w:rsidRPr="006C02AF">
        <w:t xml:space="preserve"> </w:t>
      </w:r>
      <w:r w:rsidR="00531462" w:rsidRPr="006C02AF">
        <w:t>Conseil</w:t>
      </w:r>
      <w:r w:rsidR="008C0CC7" w:rsidRPr="006C02AF">
        <w:t xml:space="preserve"> </w:t>
      </w:r>
      <w:r w:rsidR="00434276" w:rsidRPr="006C02AF">
        <w:t>se prononce pour pouvoir lancer</w:t>
      </w:r>
      <w:r w:rsidR="008C0CC7" w:rsidRPr="006C02AF">
        <w:t xml:space="preserve"> </w:t>
      </w:r>
      <w:r w:rsidR="00434276" w:rsidRPr="006C02AF">
        <w:t>l</w:t>
      </w:r>
      <w:r w:rsidR="00E32CD7" w:rsidRPr="006C02AF">
        <w:t>'</w:t>
      </w:r>
      <w:r w:rsidR="00434276" w:rsidRPr="006C02AF">
        <w:t>élaboration d</w:t>
      </w:r>
      <w:r w:rsidR="00E32CD7" w:rsidRPr="006C02AF">
        <w:t>'</w:t>
      </w:r>
      <w:r w:rsidR="00434276" w:rsidRPr="006C02AF">
        <w:t>un nouveau programme e</w:t>
      </w:r>
      <w:r w:rsidRPr="006C02AF">
        <w:t>n 2023.</w:t>
      </w:r>
      <w:bookmarkEnd w:id="118"/>
      <w:r w:rsidRPr="006C02AF">
        <w:t xml:space="preserve"> </w:t>
      </w:r>
      <w:bookmarkStart w:id="119" w:name="lt_pId228"/>
      <w:r w:rsidR="00434276" w:rsidRPr="006C02AF">
        <w:t xml:space="preserve">Il sera pris note des préoccupations et des attentes des </w:t>
      </w:r>
      <w:bookmarkEnd w:id="119"/>
      <w:r w:rsidR="003E723B" w:rsidRPr="006C02AF">
        <w:t>conseillers.</w:t>
      </w:r>
      <w:r w:rsidRPr="006C02AF">
        <w:t xml:space="preserve"> </w:t>
      </w:r>
      <w:bookmarkStart w:id="120" w:name="lt_pId229"/>
      <w:r w:rsidR="00434276" w:rsidRPr="006C02AF">
        <w:t>S</w:t>
      </w:r>
      <w:r w:rsidR="00E32CD7" w:rsidRPr="006C02AF">
        <w:t>'</w:t>
      </w:r>
      <w:r w:rsidR="00434276" w:rsidRPr="006C02AF">
        <w:t>il autorise cette mesure</w:t>
      </w:r>
      <w:r w:rsidRPr="006C02AF">
        <w:t xml:space="preserve">, </w:t>
      </w:r>
      <w:r w:rsidR="00531462" w:rsidRPr="006C02AF">
        <w:t>le Conseil</w:t>
      </w:r>
      <w:r w:rsidR="008C0CC7" w:rsidRPr="006C02AF">
        <w:t xml:space="preserve"> </w:t>
      </w:r>
      <w:r w:rsidR="00434276" w:rsidRPr="006C02AF">
        <w:t>sera</w:t>
      </w:r>
      <w:r w:rsidRPr="006C02AF">
        <w:t xml:space="preserve"> inform</w:t>
      </w:r>
      <w:r w:rsidR="00434276" w:rsidRPr="006C02AF">
        <w:t xml:space="preserve">é </w:t>
      </w:r>
      <w:r w:rsidR="00561AC9" w:rsidRPr="006C02AF">
        <w:t>de</w:t>
      </w:r>
      <w:r w:rsidR="00434276" w:rsidRPr="006C02AF">
        <w:t xml:space="preserve"> la mise en </w:t>
      </w:r>
      <w:r w:rsidR="00F14C53" w:rsidRPr="006C02AF">
        <w:t>œuvre</w:t>
      </w:r>
      <w:r w:rsidR="00434276" w:rsidRPr="006C02AF">
        <w:t xml:space="preserve"> du programme et </w:t>
      </w:r>
      <w:r w:rsidR="0016022E" w:rsidRPr="006C02AF">
        <w:t xml:space="preserve">tout sera fait pour </w:t>
      </w:r>
      <w:r w:rsidR="005236C6" w:rsidRPr="006C02AF">
        <w:t>servir au mieux les intérêts de l</w:t>
      </w:r>
      <w:r w:rsidR="00E32CD7" w:rsidRPr="006C02AF">
        <w:t>'</w:t>
      </w:r>
      <w:r w:rsidR="005236C6" w:rsidRPr="006C02AF">
        <w:t>UIT</w:t>
      </w:r>
      <w:r w:rsidRPr="006C02AF">
        <w:t>.</w:t>
      </w:r>
      <w:bookmarkEnd w:id="120"/>
    </w:p>
    <w:p w14:paraId="131E0901" w14:textId="59E88F79" w:rsidR="006D5C47" w:rsidRPr="006C02AF" w:rsidRDefault="006D5C47" w:rsidP="00E32CD7">
      <w:r w:rsidRPr="006C02AF">
        <w:t>7.10</w:t>
      </w:r>
      <w:r w:rsidRPr="006C02AF">
        <w:tab/>
      </w:r>
      <w:bookmarkStart w:id="121" w:name="lt_pId231"/>
      <w:r w:rsidR="00C94654" w:rsidRPr="006C02AF">
        <w:t xml:space="preserve">Le projet de résolution figurant en annexe du Document </w:t>
      </w:r>
      <w:r w:rsidRPr="006C02AF">
        <w:t xml:space="preserve">C22-EXT/3 </w:t>
      </w:r>
      <w:r w:rsidR="00C94654" w:rsidRPr="006C02AF">
        <w:rPr>
          <w:bCs/>
        </w:rPr>
        <w:t>est</w:t>
      </w:r>
      <w:r w:rsidR="00C94654" w:rsidRPr="006C02AF">
        <w:rPr>
          <w:b/>
        </w:rPr>
        <w:t xml:space="preserve"> adopté</w:t>
      </w:r>
      <w:r w:rsidRPr="006C02AF">
        <w:t>.</w:t>
      </w:r>
      <w:bookmarkEnd w:id="121"/>
    </w:p>
    <w:p w14:paraId="024C29A2" w14:textId="1D7216B3" w:rsidR="006D5C47" w:rsidRPr="006C02AF" w:rsidRDefault="006D5C47" w:rsidP="00E32CD7">
      <w:r w:rsidRPr="006C02AF">
        <w:t>7.11</w:t>
      </w:r>
      <w:r w:rsidRPr="006C02AF">
        <w:tab/>
      </w:r>
      <w:bookmarkStart w:id="122" w:name="lt_pId233"/>
      <w:r w:rsidR="0037530C" w:rsidRPr="006C02AF">
        <w:t>Un</w:t>
      </w:r>
      <w:r w:rsidRPr="006C02AF">
        <w:t xml:space="preserve"> </w:t>
      </w:r>
      <w:r w:rsidR="00774F8B" w:rsidRPr="006C02AF">
        <w:t>conseiller</w:t>
      </w:r>
      <w:r w:rsidRPr="006C02AF">
        <w:t xml:space="preserve">, </w:t>
      </w:r>
      <w:r w:rsidR="008250C1" w:rsidRPr="006C02AF">
        <w:t>s</w:t>
      </w:r>
      <w:r w:rsidR="00E32CD7" w:rsidRPr="006C02AF">
        <w:t>'</w:t>
      </w:r>
      <w:r w:rsidR="008250C1" w:rsidRPr="006C02AF">
        <w:t>exprimant à propos de la conduite des débats, souligne qu</w:t>
      </w:r>
      <w:r w:rsidR="00904ED4" w:rsidRPr="006C02AF">
        <w:t>e</w:t>
      </w:r>
      <w:r w:rsidR="008250C1" w:rsidRPr="006C02AF">
        <w:t xml:space="preserve"> toutes les demandes de prise de parole </w:t>
      </w:r>
      <w:r w:rsidR="001169B2" w:rsidRPr="006C02AF">
        <w:t>de</w:t>
      </w:r>
      <w:r w:rsidR="008250C1" w:rsidRPr="006C02AF">
        <w:t xml:space="preserve"> membres du Conseil </w:t>
      </w:r>
      <w:r w:rsidR="00904ED4" w:rsidRPr="006C02AF">
        <w:t xml:space="preserve">doivent être traitées </w:t>
      </w:r>
      <w:r w:rsidR="001169B2" w:rsidRPr="006C02AF">
        <w:t>en toute égalité</w:t>
      </w:r>
      <w:r w:rsidRPr="006C02AF">
        <w:t>.</w:t>
      </w:r>
      <w:bookmarkEnd w:id="122"/>
    </w:p>
    <w:p w14:paraId="6D918FB7" w14:textId="1C92FC5C" w:rsidR="006D5C47" w:rsidRPr="006C02AF" w:rsidRDefault="006D5C47" w:rsidP="00E32CD7">
      <w:pPr>
        <w:pStyle w:val="Heading1"/>
      </w:pPr>
      <w:r w:rsidRPr="006C02AF">
        <w:t>8</w:t>
      </w:r>
      <w:r w:rsidRPr="006C02AF">
        <w:tab/>
        <w:t xml:space="preserve">Création d'un groupe d'experts du conseil chargé de réviser le barème des droits de traitement – Décision 482 (Document </w:t>
      </w:r>
      <w:hyperlink r:id="rId15" w:history="1">
        <w:r w:rsidRPr="006C02AF">
          <w:rPr>
            <w:rStyle w:val="Hyperlink"/>
          </w:rPr>
          <w:t>C23-EXT/5</w:t>
        </w:r>
      </w:hyperlink>
      <w:r w:rsidRPr="006C02AF">
        <w:t>)</w:t>
      </w:r>
    </w:p>
    <w:p w14:paraId="10A3E8E2" w14:textId="4BE8CB85" w:rsidR="006D5C47" w:rsidRPr="006C02AF" w:rsidRDefault="006D5C47" w:rsidP="00E32CD7">
      <w:r w:rsidRPr="006C02AF">
        <w:t>8.1</w:t>
      </w:r>
      <w:r w:rsidRPr="006C02AF">
        <w:tab/>
      </w:r>
      <w:bookmarkStart w:id="123" w:name="lt_pId237"/>
      <w:r w:rsidR="0029123E" w:rsidRPr="006C02AF">
        <w:t xml:space="preserve">Le </w:t>
      </w:r>
      <w:r w:rsidR="00C6331B" w:rsidRPr="006C02AF">
        <w:t>Chef du Département de la gestion des ressources financières</w:t>
      </w:r>
      <w:r w:rsidRPr="006C02AF">
        <w:t xml:space="preserve">, </w:t>
      </w:r>
      <w:r w:rsidR="005E5BFC" w:rsidRPr="006C02AF">
        <w:t>présentant le</w:t>
      </w:r>
      <w:r w:rsidRPr="006C02AF">
        <w:t xml:space="preserve"> Document</w:t>
      </w:r>
      <w:r w:rsidR="00561AC9" w:rsidRPr="006C02AF">
        <w:t> </w:t>
      </w:r>
      <w:r w:rsidRPr="006C02AF">
        <w:t xml:space="preserve">C23-EXT/5, </w:t>
      </w:r>
      <w:r w:rsidR="008C398C" w:rsidRPr="006C02AF">
        <w:t>signale qu</w:t>
      </w:r>
      <w:r w:rsidR="00D419CC" w:rsidRPr="006C02AF">
        <w:t>e</w:t>
      </w:r>
      <w:r w:rsidRPr="006C02AF">
        <w:t>,</w:t>
      </w:r>
      <w:r w:rsidR="00D419CC" w:rsidRPr="006C02AF">
        <w:t xml:space="preserve"> compte tenu de l</w:t>
      </w:r>
      <w:r w:rsidR="00E32CD7" w:rsidRPr="006C02AF">
        <w:t>'</w:t>
      </w:r>
      <w:r w:rsidR="00D419CC" w:rsidRPr="006C02AF">
        <w:t>importance du temps et des ressources supplémentaires nécessaires au traitement</w:t>
      </w:r>
      <w:r w:rsidR="008C0CC7" w:rsidRPr="006C02AF">
        <w:t xml:space="preserve"> </w:t>
      </w:r>
      <w:r w:rsidR="005E5BFC" w:rsidRPr="006C02AF">
        <w:t>des fiches de notification des réseaux à satellite</w:t>
      </w:r>
      <w:r w:rsidRPr="006C02AF">
        <w:t xml:space="preserve"> </w:t>
      </w:r>
      <w:r w:rsidR="00C20AC9" w:rsidRPr="006C02AF">
        <w:t>récentes</w:t>
      </w:r>
      <w:r w:rsidR="00EF7FF0" w:rsidRPr="006C02AF">
        <w:t>,</w:t>
      </w:r>
      <w:r w:rsidR="00C20AC9" w:rsidRPr="006C02AF">
        <w:t xml:space="preserve"> ainsi que </w:t>
      </w:r>
      <w:r w:rsidR="00661FC0" w:rsidRPr="006C02AF">
        <w:t>de</w:t>
      </w:r>
      <w:r w:rsidR="00C20AC9" w:rsidRPr="006C02AF">
        <w:t xml:space="preserve"> </w:t>
      </w:r>
      <w:r w:rsidR="00661FC0" w:rsidRPr="006C02AF">
        <w:t>plusieurs</w:t>
      </w:r>
      <w:r w:rsidR="00C20AC9" w:rsidRPr="006C02AF">
        <w:t xml:space="preserve"> augmentations des coûts</w:t>
      </w:r>
      <w:r w:rsidR="00EF7FF0" w:rsidRPr="006C02AF">
        <w:t>,</w:t>
      </w:r>
      <w:r w:rsidRPr="006C02AF">
        <w:t xml:space="preserve"> </w:t>
      </w:r>
      <w:r w:rsidR="00661FC0" w:rsidRPr="006C02AF">
        <w:t xml:space="preserve">les </w:t>
      </w:r>
      <w:r w:rsidR="00EE6D10" w:rsidRPr="006C02AF">
        <w:t>produits tirés du recouvrement des coûts</w:t>
      </w:r>
      <w:r w:rsidR="00661FC0" w:rsidRPr="006C02AF">
        <w:t xml:space="preserve"> ne</w:t>
      </w:r>
      <w:r w:rsidR="009D18E7" w:rsidRPr="006C02AF">
        <w:t xml:space="preserve"> remboursent plus l</w:t>
      </w:r>
      <w:r w:rsidR="00E32CD7" w:rsidRPr="006C02AF">
        <w:t>'</w:t>
      </w:r>
      <w:r w:rsidR="009D18E7" w:rsidRPr="006C02AF">
        <w:t xml:space="preserve">ensemble des </w:t>
      </w:r>
      <w:r w:rsidR="009F5579" w:rsidRPr="006C02AF">
        <w:t>frais de traitement</w:t>
      </w:r>
      <w:r w:rsidRPr="006C02AF">
        <w:t>.</w:t>
      </w:r>
      <w:bookmarkEnd w:id="123"/>
      <w:r w:rsidRPr="006C02AF">
        <w:t xml:space="preserve"> </w:t>
      </w:r>
      <w:bookmarkStart w:id="124" w:name="lt_pId238"/>
      <w:r w:rsidR="00531462" w:rsidRPr="006C02AF">
        <w:t>Le Conseil</w:t>
      </w:r>
      <w:r w:rsidR="008C0CC7" w:rsidRPr="006C02AF">
        <w:t xml:space="preserve"> </w:t>
      </w:r>
      <w:r w:rsidR="009D18E7" w:rsidRPr="006C02AF">
        <w:t>est</w:t>
      </w:r>
      <w:r w:rsidRPr="006C02AF">
        <w:t xml:space="preserve"> </w:t>
      </w:r>
      <w:r w:rsidR="009D18E7" w:rsidRPr="006C02AF">
        <w:t>donc</w:t>
      </w:r>
      <w:r w:rsidRPr="006C02AF">
        <w:t xml:space="preserve"> invit</w:t>
      </w:r>
      <w:r w:rsidR="009D18E7" w:rsidRPr="006C02AF">
        <w:t>é à créer un</w:t>
      </w:r>
      <w:r w:rsidR="008C0CC7" w:rsidRPr="006C02AF">
        <w:t xml:space="preserve"> </w:t>
      </w:r>
      <w:r w:rsidRPr="006C02AF">
        <w:t>group</w:t>
      </w:r>
      <w:r w:rsidR="0073377E" w:rsidRPr="006C02AF">
        <w:t>e</w:t>
      </w:r>
      <w:r w:rsidRPr="006C02AF">
        <w:t xml:space="preserve"> </w:t>
      </w:r>
      <w:r w:rsidR="0073377E" w:rsidRPr="006C02AF">
        <w:t>d</w:t>
      </w:r>
      <w:r w:rsidR="00E32CD7" w:rsidRPr="006C02AF">
        <w:t>'</w:t>
      </w:r>
      <w:r w:rsidR="009D18E7" w:rsidRPr="006C02AF">
        <w:t>expert</w:t>
      </w:r>
      <w:r w:rsidR="0073377E" w:rsidRPr="006C02AF">
        <w:t>s du</w:t>
      </w:r>
      <w:r w:rsidR="009D18E7" w:rsidRPr="006C02AF">
        <w:t xml:space="preserve"> Conseil</w:t>
      </w:r>
      <w:r w:rsidR="008C0CC7" w:rsidRPr="006C02AF">
        <w:t xml:space="preserve"> </w:t>
      </w:r>
      <w:r w:rsidR="0073377E" w:rsidRPr="006C02AF">
        <w:t>qui serait chargé d</w:t>
      </w:r>
      <w:r w:rsidR="00E32CD7" w:rsidRPr="006C02AF">
        <w:t>'</w:t>
      </w:r>
      <w:r w:rsidR="0073377E" w:rsidRPr="006C02AF">
        <w:t>examiner le</w:t>
      </w:r>
      <w:r w:rsidR="009C4874" w:rsidRPr="006C02AF">
        <w:t>s</w:t>
      </w:r>
      <w:r w:rsidR="0073377E" w:rsidRPr="006C02AF">
        <w:t xml:space="preserve"> </w:t>
      </w:r>
      <w:r w:rsidR="009C4874" w:rsidRPr="006C02AF">
        <w:t>échéances</w:t>
      </w:r>
      <w:r w:rsidR="0073377E" w:rsidRPr="006C02AF">
        <w:t xml:space="preserve"> des </w:t>
      </w:r>
      <w:r w:rsidR="009C4874" w:rsidRPr="006C02AF">
        <w:t>droits à acquitter pour le traitement</w:t>
      </w:r>
      <w:r w:rsidR="00084822" w:rsidRPr="006C02AF">
        <w:t xml:space="preserve"> </w:t>
      </w:r>
      <w:r w:rsidR="003541F6" w:rsidRPr="006C02AF">
        <w:t>des</w:t>
      </w:r>
      <w:r w:rsidR="005E5BFC" w:rsidRPr="006C02AF">
        <w:t xml:space="preserve"> fiches de notification des réseaux à satellite</w:t>
      </w:r>
      <w:r w:rsidRPr="006C02AF">
        <w:t>.</w:t>
      </w:r>
      <w:bookmarkEnd w:id="124"/>
      <w:r w:rsidRPr="006C02AF">
        <w:t xml:space="preserve"> </w:t>
      </w:r>
      <w:bookmarkStart w:id="125" w:name="lt_pId239"/>
      <w:r w:rsidR="000D162B" w:rsidRPr="006C02AF">
        <w:t xml:space="preserve">Un projet de </w:t>
      </w:r>
      <w:r w:rsidRPr="006C02AF">
        <w:t>d</w:t>
      </w:r>
      <w:r w:rsidR="000D162B" w:rsidRPr="006C02AF">
        <w:t>é</w:t>
      </w:r>
      <w:r w:rsidRPr="006C02AF">
        <w:t xml:space="preserve">cision </w:t>
      </w:r>
      <w:r w:rsidR="00AC0632" w:rsidRPr="006C02AF">
        <w:t xml:space="preserve">et un projet de </w:t>
      </w:r>
      <w:r w:rsidR="00627C1D" w:rsidRPr="006C02AF">
        <w:t>mandat</w:t>
      </w:r>
      <w:r w:rsidR="00AC0632" w:rsidRPr="006C02AF">
        <w:t xml:space="preserve"> figurent dans l</w:t>
      </w:r>
      <w:r w:rsidR="00E32CD7" w:rsidRPr="006C02AF">
        <w:t>'</w:t>
      </w:r>
      <w:r w:rsidRPr="006C02AF">
        <w:t>annex</w:t>
      </w:r>
      <w:r w:rsidR="00AC0632" w:rsidRPr="006C02AF">
        <w:t xml:space="preserve">e au </w:t>
      </w:r>
      <w:r w:rsidRPr="006C02AF">
        <w:t>document.</w:t>
      </w:r>
      <w:bookmarkEnd w:id="125"/>
    </w:p>
    <w:p w14:paraId="7B29ED81" w14:textId="022EDA80" w:rsidR="006D5C47" w:rsidRPr="006C02AF" w:rsidRDefault="006D5C47" w:rsidP="00E32CD7">
      <w:r w:rsidRPr="006C02AF">
        <w:t>8.2</w:t>
      </w:r>
      <w:r w:rsidRPr="006C02AF">
        <w:tab/>
      </w:r>
      <w:bookmarkStart w:id="126" w:name="lt_pId241"/>
      <w:r w:rsidR="0012786F" w:rsidRPr="006C02AF">
        <w:t>Le Directeur du Bureau des radiocommunications</w:t>
      </w:r>
      <w:r w:rsidRPr="006C02AF">
        <w:t xml:space="preserve"> </w:t>
      </w:r>
      <w:r w:rsidR="004A29AF" w:rsidRPr="006C02AF">
        <w:t>dit que de nombreux</w:t>
      </w:r>
      <w:r w:rsidRPr="006C02AF">
        <w:t xml:space="preserve"> </w:t>
      </w:r>
      <w:r w:rsidR="00774F8B" w:rsidRPr="006C02AF">
        <w:t>conseiller</w:t>
      </w:r>
      <w:r w:rsidRPr="006C02AF">
        <w:t>s</w:t>
      </w:r>
      <w:r w:rsidR="008C0CC7" w:rsidRPr="006C02AF">
        <w:t xml:space="preserve"> </w:t>
      </w:r>
      <w:r w:rsidR="00944C11" w:rsidRPr="006C02AF">
        <w:t xml:space="preserve">lui </w:t>
      </w:r>
      <w:r w:rsidR="000D5107" w:rsidRPr="006C02AF">
        <w:t>ont</w:t>
      </w:r>
      <w:r w:rsidR="00944C11" w:rsidRPr="006C02AF">
        <w:t xml:space="preserve"> demand</w:t>
      </w:r>
      <w:r w:rsidR="000D5107" w:rsidRPr="006C02AF">
        <w:t xml:space="preserve">é </w:t>
      </w:r>
      <w:r w:rsidR="00194719" w:rsidRPr="006C02AF">
        <w:t>de prévoir</w:t>
      </w:r>
      <w:r w:rsidR="000D5107" w:rsidRPr="006C02AF">
        <w:t xml:space="preserve"> </w:t>
      </w:r>
      <w:r w:rsidR="00944C11" w:rsidRPr="006C02AF">
        <w:t>plus de temps</w:t>
      </w:r>
      <w:r w:rsidR="00013FE0" w:rsidRPr="006C02AF">
        <w:t xml:space="preserve"> pour </w:t>
      </w:r>
      <w:r w:rsidR="00194719" w:rsidRPr="006C02AF">
        <w:t>qu</w:t>
      </w:r>
      <w:r w:rsidR="00E32CD7" w:rsidRPr="006C02AF">
        <w:t>'</w:t>
      </w:r>
      <w:r w:rsidR="00194719" w:rsidRPr="006C02AF">
        <w:t xml:space="preserve">il soit possible </w:t>
      </w:r>
      <w:r w:rsidR="00561AC9" w:rsidRPr="006C02AF">
        <w:t xml:space="preserve">de </w:t>
      </w:r>
      <w:r w:rsidR="00013FE0" w:rsidRPr="006C02AF">
        <w:t>mener des consultations avant l</w:t>
      </w:r>
      <w:r w:rsidR="00E32CD7" w:rsidRPr="006C02AF">
        <w:t>'</w:t>
      </w:r>
      <w:r w:rsidR="00013FE0" w:rsidRPr="006C02AF">
        <w:t>examen de cette question</w:t>
      </w:r>
      <w:r w:rsidRPr="006C02AF">
        <w:t>.</w:t>
      </w:r>
      <w:bookmarkEnd w:id="126"/>
      <w:r w:rsidRPr="006C02AF">
        <w:t xml:space="preserve"> </w:t>
      </w:r>
      <w:bookmarkStart w:id="127" w:name="lt_pId242"/>
      <w:r w:rsidR="00013FE0" w:rsidRPr="006C02AF">
        <w:t>S</w:t>
      </w:r>
      <w:r w:rsidR="00E32CD7" w:rsidRPr="006C02AF">
        <w:t>'</w:t>
      </w:r>
      <w:r w:rsidR="00013FE0" w:rsidRPr="006C02AF">
        <w:t>il est vrai qu</w:t>
      </w:r>
      <w:r w:rsidR="00E32CD7" w:rsidRPr="006C02AF">
        <w:t>'</w:t>
      </w:r>
      <w:r w:rsidR="00442B42" w:rsidRPr="006C02AF">
        <w:t>u</w:t>
      </w:r>
      <w:r w:rsidR="00013FE0" w:rsidRPr="006C02AF">
        <w:t xml:space="preserve">n </w:t>
      </w:r>
      <w:r w:rsidR="00A31F62" w:rsidRPr="006C02AF">
        <w:t>groupe d</w:t>
      </w:r>
      <w:r w:rsidR="00E32CD7" w:rsidRPr="006C02AF">
        <w:t>'</w:t>
      </w:r>
      <w:r w:rsidR="00A31F62" w:rsidRPr="006C02AF">
        <w:t xml:space="preserve">experts </w:t>
      </w:r>
      <w:r w:rsidR="004668B4" w:rsidRPr="006C02AF">
        <w:t>de cette nature</w:t>
      </w:r>
      <w:r w:rsidR="00442B42" w:rsidRPr="006C02AF">
        <w:t xml:space="preserve"> a été reconvoqué</w:t>
      </w:r>
      <w:r w:rsidR="004668B4" w:rsidRPr="006C02AF">
        <w:t xml:space="preserve"> par le passé,</w:t>
      </w:r>
      <w:r w:rsidR="00442B42" w:rsidRPr="006C02AF">
        <w:t xml:space="preserve"> à une époque où il existait une distinction claire entre les </w:t>
      </w:r>
      <w:r w:rsidR="00085B77" w:rsidRPr="006C02AF">
        <w:t>produits au titre du recouvrement des coûts</w:t>
      </w:r>
      <w:r w:rsidRPr="006C02AF">
        <w:t xml:space="preserve"> </w:t>
      </w:r>
      <w:r w:rsidR="004A2D17" w:rsidRPr="006C02AF">
        <w:t>et les coûts effectifs</w:t>
      </w:r>
      <w:r w:rsidRPr="006C02AF">
        <w:t xml:space="preserve">, </w:t>
      </w:r>
      <w:r w:rsidR="00433BF1" w:rsidRPr="006C02AF">
        <w:t>il n</w:t>
      </w:r>
      <w:r w:rsidR="00E32CD7" w:rsidRPr="006C02AF">
        <w:t>'</w:t>
      </w:r>
      <w:r w:rsidR="00433BF1" w:rsidRPr="006C02AF">
        <w:t>est pas urgent d</w:t>
      </w:r>
      <w:r w:rsidR="00E32CD7" w:rsidRPr="006C02AF">
        <w:t>'</w:t>
      </w:r>
      <w:r w:rsidR="00433BF1" w:rsidRPr="006C02AF">
        <w:t>en faire de m</w:t>
      </w:r>
      <w:r w:rsidR="008239B9" w:rsidRPr="006C02AF">
        <w:t>ême à la présente réunion. Le Directeur</w:t>
      </w:r>
      <w:bookmarkEnd w:id="127"/>
      <w:r w:rsidR="008C0CC7" w:rsidRPr="006C02AF">
        <w:t xml:space="preserve"> </w:t>
      </w:r>
      <w:bookmarkStart w:id="128" w:name="lt_pId243"/>
      <w:r w:rsidRPr="006C02AF">
        <w:t>propose</w:t>
      </w:r>
      <w:r w:rsidR="008239B9" w:rsidRPr="006C02AF">
        <w:t xml:space="preserve"> que le </w:t>
      </w:r>
      <w:r w:rsidR="001F2A76" w:rsidRPr="006C02AF">
        <w:t xml:space="preserve">Bureau des radiocommunications </w:t>
      </w:r>
      <w:r w:rsidR="008239B9" w:rsidRPr="006C02AF">
        <w:t>soit</w:t>
      </w:r>
      <w:r w:rsidRPr="006C02AF">
        <w:t xml:space="preserve"> invit</w:t>
      </w:r>
      <w:r w:rsidR="008239B9" w:rsidRPr="006C02AF">
        <w:t>é</w:t>
      </w:r>
      <w:r w:rsidRPr="006C02AF">
        <w:t xml:space="preserve"> </w:t>
      </w:r>
      <w:r w:rsidR="004B3CCF" w:rsidRPr="006C02AF">
        <w:t xml:space="preserve">à élaborer, pour la </w:t>
      </w:r>
      <w:r w:rsidRPr="006C02AF">
        <w:t xml:space="preserve">session </w:t>
      </w:r>
      <w:r w:rsidR="0086495C" w:rsidRPr="006C02AF">
        <w:t>de 2023 du Conseil</w:t>
      </w:r>
      <w:r w:rsidR="004B3CCF" w:rsidRPr="006C02AF">
        <w:t>,</w:t>
      </w:r>
      <w:r w:rsidR="0086495C" w:rsidRPr="006C02AF">
        <w:t xml:space="preserve"> </w:t>
      </w:r>
      <w:r w:rsidR="004B3CCF" w:rsidRPr="006C02AF">
        <w:t xml:space="preserve">un rapport </w:t>
      </w:r>
      <w:r w:rsidR="00BF7EBB" w:rsidRPr="006C02AF">
        <w:t xml:space="preserve">sur la </w:t>
      </w:r>
      <w:r w:rsidRPr="006C02AF">
        <w:t xml:space="preserve">situation </w:t>
      </w:r>
      <w:r w:rsidR="00BF7EBB" w:rsidRPr="006C02AF">
        <w:t>et</w:t>
      </w:r>
      <w:r w:rsidR="00F73DE0" w:rsidRPr="006C02AF">
        <w:t xml:space="preserve"> sur</w:t>
      </w:r>
      <w:r w:rsidRPr="006C02AF">
        <w:t xml:space="preserve"> </w:t>
      </w:r>
      <w:r w:rsidR="00BF7EBB" w:rsidRPr="006C02AF">
        <w:t xml:space="preserve">la nécessité de réévaluer le </w:t>
      </w:r>
      <w:r w:rsidR="00EA2C64" w:rsidRPr="006C02AF">
        <w:t>système</w:t>
      </w:r>
      <w:r w:rsidR="00BF7EBB" w:rsidRPr="006C02AF">
        <w:t xml:space="preserve"> de recouvrement des coûts</w:t>
      </w:r>
      <w:r w:rsidRPr="006C02AF">
        <w:t xml:space="preserve"> </w:t>
      </w:r>
      <w:r w:rsidR="0011502A" w:rsidRPr="006C02AF">
        <w:t>prévu</w:t>
      </w:r>
      <w:r w:rsidR="003F762F" w:rsidRPr="006C02AF">
        <w:t xml:space="preserve"> dans la</w:t>
      </w:r>
      <w:r w:rsidRPr="006C02AF">
        <w:t xml:space="preserve"> D</w:t>
      </w:r>
      <w:r w:rsidR="003F762F" w:rsidRPr="006C02AF">
        <w:t>é</w:t>
      </w:r>
      <w:r w:rsidRPr="006C02AF">
        <w:t>cision 482 (</w:t>
      </w:r>
      <w:r w:rsidR="003F762F" w:rsidRPr="006C02AF">
        <w:t>telle que m</w:t>
      </w:r>
      <w:r w:rsidRPr="006C02AF">
        <w:t>odifi</w:t>
      </w:r>
      <w:r w:rsidR="003F762F" w:rsidRPr="006C02AF">
        <w:t>ée en</w:t>
      </w:r>
      <w:r w:rsidRPr="006C02AF">
        <w:t xml:space="preserve"> 2020).</w:t>
      </w:r>
      <w:bookmarkEnd w:id="128"/>
      <w:r w:rsidRPr="006C02AF">
        <w:t xml:space="preserve"> </w:t>
      </w:r>
      <w:bookmarkStart w:id="129" w:name="lt_pId244"/>
      <w:r w:rsidR="003F762F" w:rsidRPr="006C02AF">
        <w:t>Si, à</w:t>
      </w:r>
      <w:r w:rsidR="0058275D" w:rsidRPr="006C02AF">
        <w:t xml:space="preserve"> sa session de</w:t>
      </w:r>
      <w:r w:rsidR="008C0CC7" w:rsidRPr="006C02AF">
        <w:t xml:space="preserve"> </w:t>
      </w:r>
      <w:r w:rsidRPr="006C02AF">
        <w:t>2023</w:t>
      </w:r>
      <w:r w:rsidR="003F762F" w:rsidRPr="006C02AF">
        <w:t>,</w:t>
      </w:r>
      <w:r w:rsidRPr="006C02AF">
        <w:t xml:space="preserve"> </w:t>
      </w:r>
      <w:r w:rsidR="003E57CD" w:rsidRPr="006C02AF">
        <w:t>le Conseil</w:t>
      </w:r>
      <w:r w:rsidR="008C0CC7" w:rsidRPr="006C02AF">
        <w:t xml:space="preserve"> </w:t>
      </w:r>
      <w:r w:rsidR="003F762F" w:rsidRPr="006C02AF">
        <w:t xml:space="preserve">décide </w:t>
      </w:r>
      <w:r w:rsidR="003F4128" w:rsidRPr="006C02AF">
        <w:t>de reconvoquer l</w:t>
      </w:r>
      <w:r w:rsidRPr="006C02AF">
        <w:t xml:space="preserve">e </w:t>
      </w:r>
      <w:r w:rsidR="00A31F62" w:rsidRPr="006C02AF">
        <w:t>groupe d</w:t>
      </w:r>
      <w:r w:rsidR="00E32CD7" w:rsidRPr="006C02AF">
        <w:t>'</w:t>
      </w:r>
      <w:r w:rsidR="00A31F62" w:rsidRPr="006C02AF">
        <w:t>experts</w:t>
      </w:r>
      <w:r w:rsidR="008C0CC7" w:rsidRPr="006C02AF">
        <w:t xml:space="preserve"> </w:t>
      </w:r>
      <w:r w:rsidRPr="006C02AF">
        <w:t>o</w:t>
      </w:r>
      <w:r w:rsidR="003F4128" w:rsidRPr="006C02AF">
        <w:t>u de créer un nouveau</w:t>
      </w:r>
      <w:r w:rsidRPr="006C02AF">
        <w:t xml:space="preserve"> group</w:t>
      </w:r>
      <w:r w:rsidR="003F4128" w:rsidRPr="006C02AF">
        <w:t>e</w:t>
      </w:r>
      <w:r w:rsidRPr="006C02AF">
        <w:t xml:space="preserve">, </w:t>
      </w:r>
      <w:r w:rsidR="003F4128" w:rsidRPr="006C02AF">
        <w:t>le rapport déjà établi par le</w:t>
      </w:r>
      <w:r w:rsidR="008C0CC7" w:rsidRPr="006C02AF">
        <w:t xml:space="preserve"> </w:t>
      </w:r>
      <w:r w:rsidR="003E57CD" w:rsidRPr="006C02AF">
        <w:t>Bureau des radiocommunications lui facilitera la tâche.</w:t>
      </w:r>
      <w:bookmarkEnd w:id="129"/>
    </w:p>
    <w:p w14:paraId="1289720A" w14:textId="5A811759" w:rsidR="006D5C47" w:rsidRPr="006C02AF" w:rsidRDefault="006D5C47" w:rsidP="00561AC9">
      <w:pPr>
        <w:keepNext/>
        <w:keepLines/>
      </w:pPr>
      <w:r w:rsidRPr="006C02AF">
        <w:lastRenderedPageBreak/>
        <w:t>8.3</w:t>
      </w:r>
      <w:r w:rsidRPr="006C02AF">
        <w:tab/>
      </w:r>
      <w:bookmarkStart w:id="130" w:name="lt_pId246"/>
      <w:r w:rsidR="00B950A3" w:rsidRPr="006C02AF">
        <w:t>Plusieurs</w:t>
      </w:r>
      <w:r w:rsidR="008C0CC7" w:rsidRPr="006C02AF">
        <w:t xml:space="preserve"> </w:t>
      </w:r>
      <w:r w:rsidR="00774F8B" w:rsidRPr="006C02AF">
        <w:t>conseiller</w:t>
      </w:r>
      <w:r w:rsidRPr="006C02AF">
        <w:t xml:space="preserve">s </w:t>
      </w:r>
      <w:r w:rsidR="00B950A3" w:rsidRPr="006C02AF">
        <w:t xml:space="preserve">approuvent la démarche proposée par le </w:t>
      </w:r>
      <w:r w:rsidR="001F2A76" w:rsidRPr="006C02AF">
        <w:t>Directeur du Bureau des radiocommunications</w:t>
      </w:r>
      <w:r w:rsidR="00E32CD7" w:rsidRPr="006C02AF">
        <w:t>;</w:t>
      </w:r>
      <w:r w:rsidR="008A67C2" w:rsidRPr="006C02AF">
        <w:t xml:space="preserve"> toutefois, un </w:t>
      </w:r>
      <w:r w:rsidR="00774F8B" w:rsidRPr="006C02AF">
        <w:t>conseiller</w:t>
      </w:r>
      <w:r w:rsidRPr="006C02AF">
        <w:t xml:space="preserve"> </w:t>
      </w:r>
      <w:r w:rsidR="008A67C2" w:rsidRPr="006C02AF">
        <w:t>dit que tout en étant prêt à se rallier au consensus</w:t>
      </w:r>
      <w:r w:rsidR="00D73FB3" w:rsidRPr="006C02AF">
        <w:t>, il jugerait préférable qu</w:t>
      </w:r>
      <w:r w:rsidR="00E32CD7" w:rsidRPr="006C02AF">
        <w:t>'</w:t>
      </w:r>
      <w:r w:rsidR="00D73FB3" w:rsidRPr="006C02AF">
        <w:t xml:space="preserve">un tel </w:t>
      </w:r>
      <w:r w:rsidR="007E39F3" w:rsidRPr="006C02AF">
        <w:t xml:space="preserve">groupe </w:t>
      </w:r>
      <w:r w:rsidR="00D73FB3" w:rsidRPr="006C02AF">
        <w:t>soit créé pendant la réunion en cours</w:t>
      </w:r>
      <w:r w:rsidRPr="006C02AF">
        <w:t>.</w:t>
      </w:r>
      <w:bookmarkEnd w:id="130"/>
      <w:r w:rsidRPr="006C02AF">
        <w:t xml:space="preserve"> </w:t>
      </w:r>
      <w:bookmarkStart w:id="131" w:name="lt_pId247"/>
      <w:r w:rsidR="00F64816" w:rsidRPr="006C02AF">
        <w:t xml:space="preserve">Une </w:t>
      </w:r>
      <w:r w:rsidR="00774F8B" w:rsidRPr="006C02AF">
        <w:t>conseillère</w:t>
      </w:r>
      <w:r w:rsidRPr="006C02AF">
        <w:t xml:space="preserve"> </w:t>
      </w:r>
      <w:r w:rsidR="00FB416F" w:rsidRPr="006C02AF">
        <w:t>estime</w:t>
      </w:r>
      <w:r w:rsidR="00D73FB3" w:rsidRPr="006C02AF">
        <w:t xml:space="preserve"> que le mandat d</w:t>
      </w:r>
      <w:r w:rsidR="00E32CD7" w:rsidRPr="006C02AF">
        <w:t>'</w:t>
      </w:r>
      <w:r w:rsidR="00D73FB3" w:rsidRPr="006C02AF">
        <w:t xml:space="preserve">un tel </w:t>
      </w:r>
      <w:r w:rsidR="007E39F3" w:rsidRPr="006C02AF">
        <w:t>groupe</w:t>
      </w:r>
      <w:r w:rsidR="008C0CC7" w:rsidRPr="006C02AF">
        <w:t xml:space="preserve"> </w:t>
      </w:r>
      <w:r w:rsidR="00627C1D" w:rsidRPr="006C02AF">
        <w:t xml:space="preserve">devrait préciser les principales étapes des </w:t>
      </w:r>
      <w:r w:rsidR="00680133" w:rsidRPr="006C02AF">
        <w:t>activités</w:t>
      </w:r>
      <w:r w:rsidR="00627C1D" w:rsidRPr="006C02AF">
        <w:t xml:space="preserve"> du groupe</w:t>
      </w:r>
      <w:r w:rsidRPr="006C02AF">
        <w:t>.</w:t>
      </w:r>
      <w:bookmarkEnd w:id="131"/>
    </w:p>
    <w:p w14:paraId="3DE8ACFE" w14:textId="37C6588A" w:rsidR="006D5C47" w:rsidRPr="006C02AF" w:rsidRDefault="006D5C47" w:rsidP="00E32CD7">
      <w:r w:rsidRPr="006C02AF">
        <w:t>8.4</w:t>
      </w:r>
      <w:r w:rsidRPr="006C02AF">
        <w:tab/>
      </w:r>
      <w:bookmarkStart w:id="132" w:name="lt_pId249"/>
      <w:r w:rsidR="00FD534F" w:rsidRPr="006C02AF">
        <w:t>Le Président</w:t>
      </w:r>
      <w:r w:rsidR="008C0CC7" w:rsidRPr="006C02AF">
        <w:t xml:space="preserve"> </w:t>
      </w:r>
      <w:r w:rsidR="00FD534F" w:rsidRPr="006C02AF">
        <w:t>considère que</w:t>
      </w:r>
      <w:r w:rsidRPr="006C02AF">
        <w:t xml:space="preserve"> </w:t>
      </w:r>
      <w:r w:rsidR="00531462" w:rsidRPr="006C02AF">
        <w:t>le Conseil</w:t>
      </w:r>
      <w:r w:rsidR="008C0CC7" w:rsidRPr="006C02AF">
        <w:t xml:space="preserve"> </w:t>
      </w:r>
      <w:r w:rsidR="00FD534F" w:rsidRPr="006C02AF">
        <w:t>souhaite</w:t>
      </w:r>
      <w:r w:rsidRPr="006C02AF">
        <w:t xml:space="preserve"> invite</w:t>
      </w:r>
      <w:r w:rsidR="00FD534F" w:rsidRPr="006C02AF">
        <w:t>r le</w:t>
      </w:r>
      <w:r w:rsidRPr="006C02AF">
        <w:t xml:space="preserve"> </w:t>
      </w:r>
      <w:r w:rsidR="00FD534F" w:rsidRPr="006C02AF">
        <w:t xml:space="preserve">Bureau des radiocommunications </w:t>
      </w:r>
      <w:r w:rsidR="00AC2347" w:rsidRPr="006C02AF">
        <w:t>à lui soumettre un rapport à sa session de</w:t>
      </w:r>
      <w:r w:rsidR="008C0CC7" w:rsidRPr="006C02AF">
        <w:t xml:space="preserve"> </w:t>
      </w:r>
      <w:r w:rsidRPr="006C02AF">
        <w:t xml:space="preserve">2023 </w:t>
      </w:r>
      <w:r w:rsidR="00AC2347" w:rsidRPr="006C02AF">
        <w:t>et à reporter l</w:t>
      </w:r>
      <w:r w:rsidR="00E32CD7" w:rsidRPr="006C02AF">
        <w:t>'</w:t>
      </w:r>
      <w:r w:rsidR="00AC2347" w:rsidRPr="006C02AF">
        <w:t>examen de la question</w:t>
      </w:r>
      <w:r w:rsidR="00481911" w:rsidRPr="006C02AF">
        <w:t xml:space="preserve"> visée</w:t>
      </w:r>
      <w:r w:rsidR="00B1024B" w:rsidRPr="006C02AF">
        <w:t xml:space="preserve"> jusqu</w:t>
      </w:r>
      <w:r w:rsidR="00E32CD7" w:rsidRPr="006C02AF">
        <w:t>'</w:t>
      </w:r>
      <w:r w:rsidR="00B1024B" w:rsidRPr="006C02AF">
        <w:t>à cette date.</w:t>
      </w:r>
      <w:bookmarkEnd w:id="132"/>
    </w:p>
    <w:p w14:paraId="09350023" w14:textId="2DF0FC7E" w:rsidR="006D5C47" w:rsidRPr="006C02AF" w:rsidRDefault="006D5C47" w:rsidP="00E32CD7">
      <w:r w:rsidRPr="006C02AF">
        <w:t>8.5</w:t>
      </w:r>
      <w:r w:rsidRPr="006C02AF">
        <w:tab/>
        <w:t xml:space="preserve">Il en est ainsi </w:t>
      </w:r>
      <w:r w:rsidRPr="006C02AF">
        <w:rPr>
          <w:b/>
          <w:bCs/>
        </w:rPr>
        <w:t>décidé</w:t>
      </w:r>
      <w:r w:rsidRPr="006C02AF">
        <w:t>.</w:t>
      </w:r>
    </w:p>
    <w:p w14:paraId="3D33EF0F" w14:textId="45E26870" w:rsidR="006D5C47" w:rsidRPr="006C02AF" w:rsidRDefault="006D5C47" w:rsidP="00E32CD7">
      <w:pPr>
        <w:pStyle w:val="Heading1"/>
      </w:pPr>
      <w:bookmarkStart w:id="133" w:name="_Toc407020594"/>
      <w:r w:rsidRPr="006C02AF">
        <w:t>9</w:t>
      </w:r>
      <w:r w:rsidRPr="006C02AF">
        <w:tab/>
        <w:t xml:space="preserve">Désignation des représentants des </w:t>
      </w:r>
      <w:r w:rsidR="00691CD2" w:rsidRPr="006C02AF">
        <w:t>États</w:t>
      </w:r>
      <w:r w:rsidRPr="006C02AF">
        <w:t xml:space="preserve"> Membres du Conseil au Comité des pensions du personnel de l'UIT (Document </w:t>
      </w:r>
      <w:hyperlink r:id="rId16" w:history="1">
        <w:r w:rsidRPr="006C02AF">
          <w:rPr>
            <w:rStyle w:val="Hyperlink"/>
          </w:rPr>
          <w:t>C23-EXT/2</w:t>
        </w:r>
      </w:hyperlink>
      <w:r w:rsidRPr="006C02AF">
        <w:t>)</w:t>
      </w:r>
      <w:bookmarkEnd w:id="133"/>
    </w:p>
    <w:p w14:paraId="0C66E03A" w14:textId="698312D6" w:rsidR="006D5C47" w:rsidRPr="006C02AF" w:rsidRDefault="00691CD2" w:rsidP="00E32CD7">
      <w:r w:rsidRPr="006C02AF">
        <w:t>9</w:t>
      </w:r>
      <w:r w:rsidR="006D5C47" w:rsidRPr="006C02AF">
        <w:t>.1</w:t>
      </w:r>
      <w:r w:rsidR="006D5C47" w:rsidRPr="006C02AF">
        <w:tab/>
        <w:t>Le Chef du Département de la gestion des ressources humaines présente le Document C</w:t>
      </w:r>
      <w:r w:rsidR="006C02AF" w:rsidRPr="006C02AF">
        <w:t>23</w:t>
      </w:r>
      <w:r w:rsidR="006D5C47" w:rsidRPr="006C02AF">
        <w:noBreakHyphen/>
        <w:t xml:space="preserve">EXT/2 et rappelle qu'à chaque session extraordinaire suivant une Conférence de plénipotentiaires, le Conseil est appelé à désigner trois de ses </w:t>
      </w:r>
      <w:r w:rsidRPr="006C02AF">
        <w:t>États</w:t>
      </w:r>
      <w:r w:rsidR="006D5C47" w:rsidRPr="006C02AF">
        <w:t xml:space="preserve"> Membres qui siégeront au Comité des pensions en qualité de membres et trois autres qui y siégeront en qualité de suppléants. Compte tenu des consultations qu'il a menées au nom du Secrétaire général, il propose que le Burkina Faso, les </w:t>
      </w:r>
      <w:r w:rsidR="00561AC9" w:rsidRPr="006C02AF">
        <w:t>É</w:t>
      </w:r>
      <w:r w:rsidR="006D5C47" w:rsidRPr="006C02AF">
        <w:t xml:space="preserve">tats-Unis et la République tchèque représentent les </w:t>
      </w:r>
      <w:r w:rsidRPr="006C02AF">
        <w:t>États</w:t>
      </w:r>
      <w:r w:rsidR="00561AC9" w:rsidRPr="006C02AF">
        <w:t> </w:t>
      </w:r>
      <w:r w:rsidR="006D5C47" w:rsidRPr="006C02AF">
        <w:t xml:space="preserve">Membres en qualité de membres du Comité des pensions et que le Canada, l'Inde et l'Italie en fassent de même en qualité de suppléants. Il remercie les </w:t>
      </w:r>
      <w:r w:rsidRPr="006C02AF">
        <w:t>États</w:t>
      </w:r>
      <w:r w:rsidR="006D5C47" w:rsidRPr="006C02AF">
        <w:t xml:space="preserve"> Membres sortants, à savoir la Bulgarie et le Mexique, pour leur précieuse contribution.</w:t>
      </w:r>
    </w:p>
    <w:p w14:paraId="61B4D960" w14:textId="4D138B7F" w:rsidR="006D5C47" w:rsidRPr="006C02AF" w:rsidRDefault="00691CD2" w:rsidP="00E32CD7">
      <w:r w:rsidRPr="006C02AF">
        <w:t>9</w:t>
      </w:r>
      <w:r w:rsidR="006D5C47" w:rsidRPr="006C02AF">
        <w:t>.2</w:t>
      </w:r>
      <w:r w:rsidR="006D5C47" w:rsidRPr="006C02AF">
        <w:tab/>
        <w:t xml:space="preserve">Les désignations proposées sont </w:t>
      </w:r>
      <w:r w:rsidR="006D5C47" w:rsidRPr="006C02AF">
        <w:rPr>
          <w:b/>
          <w:bCs/>
        </w:rPr>
        <w:t>approuvées</w:t>
      </w:r>
      <w:r w:rsidR="006D5C47" w:rsidRPr="006C02AF">
        <w:t>.</w:t>
      </w:r>
    </w:p>
    <w:p w14:paraId="72041C93" w14:textId="2DB3DEC7" w:rsidR="006D5C47" w:rsidRPr="006C02AF" w:rsidRDefault="00691CD2" w:rsidP="00E32CD7">
      <w:r w:rsidRPr="006C02AF">
        <w:t>9</w:t>
      </w:r>
      <w:r w:rsidR="006D5C47" w:rsidRPr="006C02AF">
        <w:t>.3</w:t>
      </w:r>
      <w:r w:rsidR="006D5C47" w:rsidRPr="006C02AF">
        <w:tab/>
        <w:t>Compte tenu des désignations approuvées, le projet de résolution figurant en annexe du Document C</w:t>
      </w:r>
      <w:r w:rsidRPr="006C02AF">
        <w:t>23</w:t>
      </w:r>
      <w:r w:rsidR="006D5C47" w:rsidRPr="006C02AF">
        <w:t xml:space="preserve">-EXT/2 est </w:t>
      </w:r>
      <w:r w:rsidR="006D5C47" w:rsidRPr="006C02AF">
        <w:rPr>
          <w:b/>
          <w:bCs/>
        </w:rPr>
        <w:t>adopté</w:t>
      </w:r>
      <w:r w:rsidR="006D5C47" w:rsidRPr="006C02AF">
        <w:t>.</w:t>
      </w:r>
    </w:p>
    <w:p w14:paraId="22C93867" w14:textId="1CE98336" w:rsidR="006D5C47" w:rsidRPr="006C02AF" w:rsidRDefault="00691CD2" w:rsidP="00E32CD7">
      <w:r w:rsidRPr="006C02AF">
        <w:t>9</w:t>
      </w:r>
      <w:r w:rsidR="006D5C47" w:rsidRPr="006C02AF">
        <w:t>.4</w:t>
      </w:r>
      <w:r w:rsidR="006D5C47" w:rsidRPr="006C02AF">
        <w:tab/>
      </w:r>
      <w:r w:rsidR="00D60E48" w:rsidRPr="006C02AF">
        <w:t>Le</w:t>
      </w:r>
      <w:r w:rsidRPr="006C02AF">
        <w:t xml:space="preserve"> </w:t>
      </w:r>
      <w:r w:rsidR="00774F8B" w:rsidRPr="006C02AF">
        <w:t>conseiller</w:t>
      </w:r>
      <w:r w:rsidRPr="006C02AF">
        <w:t xml:space="preserve"> </w:t>
      </w:r>
      <w:r w:rsidR="00D60E48" w:rsidRPr="006C02AF">
        <w:t>de la</w:t>
      </w:r>
      <w:r w:rsidR="008C0CC7" w:rsidRPr="006C02AF">
        <w:t xml:space="preserve"> </w:t>
      </w:r>
      <w:r w:rsidRPr="006C02AF">
        <w:t>R</w:t>
      </w:r>
      <w:r w:rsidR="00D60E48" w:rsidRPr="006C02AF">
        <w:t>é</w:t>
      </w:r>
      <w:r w:rsidRPr="006C02AF">
        <w:t>publi</w:t>
      </w:r>
      <w:r w:rsidR="00D60E48" w:rsidRPr="006C02AF">
        <w:t>que tchèque</w:t>
      </w:r>
      <w:r w:rsidRPr="006C02AF">
        <w:t xml:space="preserve">, </w:t>
      </w:r>
      <w:r w:rsidR="00670EEC" w:rsidRPr="006C02AF">
        <w:t>s</w:t>
      </w:r>
      <w:r w:rsidR="00E32CD7" w:rsidRPr="006C02AF">
        <w:t>'</w:t>
      </w:r>
      <w:r w:rsidR="00670EEC" w:rsidRPr="006C02AF">
        <w:t>exprimant en tant que P</w:t>
      </w:r>
      <w:r w:rsidR="00FD534F" w:rsidRPr="006C02AF">
        <w:t>résident</w:t>
      </w:r>
      <w:r w:rsidR="008C0CC7" w:rsidRPr="006C02AF">
        <w:t xml:space="preserve"> </w:t>
      </w:r>
      <w:r w:rsidR="00670EEC" w:rsidRPr="006C02AF">
        <w:t>du</w:t>
      </w:r>
      <w:r w:rsidR="008C0CC7" w:rsidRPr="006C02AF">
        <w:t xml:space="preserve"> </w:t>
      </w:r>
      <w:r w:rsidR="00C47EC1" w:rsidRPr="006C02AF">
        <w:t>Comité des pensions du personnel de l'UIT</w:t>
      </w:r>
      <w:r w:rsidRPr="006C02AF">
        <w:t xml:space="preserve">, </w:t>
      </w:r>
      <w:r w:rsidR="00670EEC" w:rsidRPr="006C02AF">
        <w:t xml:space="preserve">remercie le </w:t>
      </w:r>
      <w:r w:rsidRPr="006C02AF">
        <w:t xml:space="preserve">Burkina Faso </w:t>
      </w:r>
      <w:r w:rsidR="00670EEC" w:rsidRPr="006C02AF">
        <w:t>de</w:t>
      </w:r>
      <w:r w:rsidR="002876D8" w:rsidRPr="006C02AF">
        <w:t xml:space="preserve"> sa contribution aux</w:t>
      </w:r>
      <w:r w:rsidR="008C0CC7" w:rsidRPr="006C02AF">
        <w:t xml:space="preserve"> </w:t>
      </w:r>
      <w:r w:rsidR="00670EEC" w:rsidRPr="006C02AF">
        <w:t>travaux</w:t>
      </w:r>
      <w:r w:rsidR="008C0CC7" w:rsidRPr="006C02AF">
        <w:t xml:space="preserve"> </w:t>
      </w:r>
      <w:r w:rsidR="00670EEC" w:rsidRPr="006C02AF">
        <w:t xml:space="preserve">du Comité et souhaite la bienvenue à un nouvel </w:t>
      </w:r>
      <w:r w:rsidR="003E723B" w:rsidRPr="006C02AF">
        <w:t>État</w:t>
      </w:r>
      <w:r w:rsidR="00670EEC" w:rsidRPr="006C02AF">
        <w:t xml:space="preserve"> Membre, le Sénégal. Le</w:t>
      </w:r>
      <w:r w:rsidR="008C0CC7" w:rsidRPr="006C02AF">
        <w:t xml:space="preserve"> </w:t>
      </w:r>
      <w:r w:rsidR="002876D8" w:rsidRPr="006C02AF">
        <w:t xml:space="preserve">Comité des pensions </w:t>
      </w:r>
      <w:r w:rsidR="00F35D1C" w:rsidRPr="006C02AF">
        <w:t>devrait</w:t>
      </w:r>
      <w:r w:rsidR="008C0CC7" w:rsidRPr="006C02AF">
        <w:t xml:space="preserve"> </w:t>
      </w:r>
      <w:r w:rsidRPr="006C02AF">
        <w:t>continue</w:t>
      </w:r>
      <w:r w:rsidR="00F35D1C" w:rsidRPr="006C02AF">
        <w:t>r</w:t>
      </w:r>
      <w:r w:rsidRPr="006C02AF">
        <w:t xml:space="preserve"> </w:t>
      </w:r>
      <w:r w:rsidR="00F35D1C" w:rsidRPr="006C02AF">
        <w:t>de servir au mieux les intérêts du personnel de l</w:t>
      </w:r>
      <w:r w:rsidR="00E32CD7" w:rsidRPr="006C02AF">
        <w:t>'</w:t>
      </w:r>
      <w:r w:rsidR="00F35D1C" w:rsidRPr="006C02AF">
        <w:t>UIT.</w:t>
      </w:r>
    </w:p>
    <w:p w14:paraId="7ED3D318" w14:textId="4BF8562D" w:rsidR="00691CD2" w:rsidRPr="006C02AF" w:rsidRDefault="00691CD2" w:rsidP="00E32CD7">
      <w:pPr>
        <w:pStyle w:val="Heading1"/>
      </w:pPr>
      <w:r w:rsidRPr="006C02AF">
        <w:t>10</w:t>
      </w:r>
      <w:r w:rsidRPr="006C02AF">
        <w:tab/>
        <w:t>Désignation des Présidents et des Vice-Présidents des groupes de travail du Conseil et des groupes d'experts</w:t>
      </w:r>
    </w:p>
    <w:p w14:paraId="15E809E7" w14:textId="63C4906E" w:rsidR="00691CD2" w:rsidRPr="006C02AF" w:rsidRDefault="00691CD2" w:rsidP="00E32CD7">
      <w:r w:rsidRPr="006C02AF">
        <w:t>10.1</w:t>
      </w:r>
      <w:r w:rsidRPr="006C02AF">
        <w:tab/>
      </w:r>
      <w:bookmarkStart w:id="134" w:name="lt_pId269"/>
      <w:r w:rsidR="00EF2FF0" w:rsidRPr="006C02AF">
        <w:t>Certains</w:t>
      </w:r>
      <w:r w:rsidRPr="006C02AF">
        <w:t xml:space="preserve"> </w:t>
      </w:r>
      <w:r w:rsidR="00774F8B" w:rsidRPr="006C02AF">
        <w:t>conseiller</w:t>
      </w:r>
      <w:r w:rsidRPr="006C02AF">
        <w:t xml:space="preserve">s </w:t>
      </w:r>
      <w:r w:rsidR="00014D61" w:rsidRPr="006C02AF">
        <w:t>proposent que l</w:t>
      </w:r>
      <w:r w:rsidR="00E32CD7" w:rsidRPr="006C02AF">
        <w:t>'</w:t>
      </w:r>
      <w:r w:rsidR="00014D61" w:rsidRPr="006C02AF">
        <w:t>examen de ce point soit renvoyé à la session de 2023</w:t>
      </w:r>
      <w:r w:rsidR="008C0CC7" w:rsidRPr="006C02AF">
        <w:t xml:space="preserve"> </w:t>
      </w:r>
      <w:r w:rsidR="00014D61" w:rsidRPr="006C02AF">
        <w:t xml:space="preserve">du Conseil, afin que les </w:t>
      </w:r>
      <w:r w:rsidR="00774F8B" w:rsidRPr="006C02AF">
        <w:t>conseiller</w:t>
      </w:r>
      <w:r w:rsidRPr="006C02AF">
        <w:t xml:space="preserve">s </w:t>
      </w:r>
      <w:r w:rsidR="00014D61" w:rsidRPr="006C02AF">
        <w:t xml:space="preserve">et les groupes régionaux disposent de plus de temps pour examiner la liste des </w:t>
      </w:r>
      <w:r w:rsidR="00AD6A50" w:rsidRPr="006C02AF">
        <w:t>candidats présentés</w:t>
      </w:r>
      <w:r w:rsidRPr="006C02AF">
        <w:t>.</w:t>
      </w:r>
      <w:bookmarkEnd w:id="134"/>
      <w:r w:rsidRPr="006C02AF">
        <w:t xml:space="preserve"> </w:t>
      </w:r>
      <w:bookmarkStart w:id="135" w:name="lt_pId270"/>
      <w:r w:rsidR="00C773EF" w:rsidRPr="006C02AF">
        <w:t>Le</w:t>
      </w:r>
      <w:r w:rsidR="00BA109D" w:rsidRPr="006C02AF">
        <w:t xml:space="preserve"> temps disponible est sans doute particulièrement insuffisant pour permettre aux</w:t>
      </w:r>
      <w:r w:rsidR="00C773EF" w:rsidRPr="006C02AF">
        <w:t xml:space="preserve"> nouveaux membres du </w:t>
      </w:r>
      <w:r w:rsidRPr="006C02AF">
        <w:t>Co</w:t>
      </w:r>
      <w:r w:rsidR="00BA109D" w:rsidRPr="006C02AF">
        <w:t>nseil de</w:t>
      </w:r>
      <w:r w:rsidR="008C0CC7" w:rsidRPr="006C02AF">
        <w:t xml:space="preserve"> </w:t>
      </w:r>
      <w:r w:rsidR="00BA109D" w:rsidRPr="006C02AF">
        <w:t xml:space="preserve">prendre l'avis de leur </w:t>
      </w:r>
      <w:r w:rsidRPr="006C02AF">
        <w:t>capital</w:t>
      </w:r>
      <w:r w:rsidR="00BA109D" w:rsidRPr="006C02AF">
        <w:t>e</w:t>
      </w:r>
      <w:r w:rsidRPr="006C02AF">
        <w:t xml:space="preserve">, </w:t>
      </w:r>
      <w:r w:rsidR="00047E28" w:rsidRPr="006C02AF">
        <w:t>or</w:t>
      </w:r>
      <w:r w:rsidR="007A41FD" w:rsidRPr="006C02AF">
        <w:t xml:space="preserve"> </w:t>
      </w:r>
      <w:r w:rsidR="001456B3" w:rsidRPr="006C02AF">
        <w:t>d</w:t>
      </w:r>
      <w:r w:rsidR="00E32CD7" w:rsidRPr="006C02AF">
        <w:t>'</w:t>
      </w:r>
      <w:r w:rsidR="001456B3" w:rsidRPr="006C02AF">
        <w:t xml:space="preserve">éventuelles candidatures de ces membres devraient pouvoir être </w:t>
      </w:r>
      <w:r w:rsidR="00451DB5" w:rsidRPr="006C02AF">
        <w:t>pleinement prises en compte</w:t>
      </w:r>
      <w:r w:rsidRPr="006C02AF">
        <w:t>.</w:t>
      </w:r>
      <w:bookmarkEnd w:id="135"/>
      <w:r w:rsidRPr="006C02AF">
        <w:t xml:space="preserve"> </w:t>
      </w:r>
      <w:bookmarkStart w:id="136" w:name="lt_pId271"/>
      <w:r w:rsidR="00451DB5" w:rsidRPr="006C02AF">
        <w:t>D</w:t>
      </w:r>
      <w:r w:rsidR="00E32CD7" w:rsidRPr="006C02AF">
        <w:t>'</w:t>
      </w:r>
      <w:r w:rsidR="00451DB5" w:rsidRPr="006C02AF">
        <w:t>autres</w:t>
      </w:r>
      <w:r w:rsidRPr="006C02AF">
        <w:t xml:space="preserve"> nominations </w:t>
      </w:r>
      <w:r w:rsidR="00451DB5" w:rsidRPr="006C02AF">
        <w:t>pourraient être</w:t>
      </w:r>
      <w:r w:rsidR="00933089" w:rsidRPr="006C02AF">
        <w:t xml:space="preserve"> présentées</w:t>
      </w:r>
      <w:r w:rsidR="00451DB5" w:rsidRPr="006C02AF">
        <w:t xml:space="preserve"> </w:t>
      </w:r>
      <w:r w:rsidR="00933089" w:rsidRPr="006C02AF">
        <w:t>prochainement</w:t>
      </w:r>
      <w:r w:rsidRPr="006C02AF">
        <w:t>.</w:t>
      </w:r>
      <w:bookmarkEnd w:id="136"/>
      <w:r w:rsidRPr="006C02AF">
        <w:t xml:space="preserve"> </w:t>
      </w:r>
      <w:bookmarkStart w:id="137" w:name="lt_pId272"/>
      <w:r w:rsidR="00933089" w:rsidRPr="006C02AF">
        <w:t>En outre</w:t>
      </w:r>
      <w:r w:rsidRPr="006C02AF">
        <w:t xml:space="preserve">, </w:t>
      </w:r>
      <w:r w:rsidR="00933089" w:rsidRPr="006C02AF">
        <w:t>certaines</w:t>
      </w:r>
      <w:r w:rsidRPr="006C02AF">
        <w:t xml:space="preserve"> nominations </w:t>
      </w:r>
      <w:r w:rsidR="00933089" w:rsidRPr="006C02AF">
        <w:t xml:space="preserve">ont été reçues très tard et </w:t>
      </w:r>
      <w:r w:rsidRPr="006C02AF">
        <w:t>certain</w:t>
      </w:r>
      <w:r w:rsidR="00933089" w:rsidRPr="006C02AF">
        <w:t>es</w:t>
      </w:r>
      <w:r w:rsidRPr="006C02AF">
        <w:t xml:space="preserve"> r</w:t>
      </w:r>
      <w:r w:rsidR="00933089" w:rsidRPr="006C02AF">
        <w:t>é</w:t>
      </w:r>
      <w:r w:rsidRPr="006C02AF">
        <w:t xml:space="preserve">gions </w:t>
      </w:r>
      <w:r w:rsidR="00933089" w:rsidRPr="006C02AF">
        <w:t>souhaitent</w:t>
      </w:r>
      <w:r w:rsidR="008C0CC7" w:rsidRPr="006C02AF">
        <w:t xml:space="preserve"> </w:t>
      </w:r>
      <w:r w:rsidR="00A27818" w:rsidRPr="006C02AF">
        <w:t>présenter</w:t>
      </w:r>
      <w:r w:rsidR="008C0CC7" w:rsidRPr="006C02AF">
        <w:t xml:space="preserve"> </w:t>
      </w:r>
      <w:r w:rsidR="00A27818" w:rsidRPr="006C02AF">
        <w:t xml:space="preserve">à nouveau </w:t>
      </w:r>
      <w:r w:rsidR="003553D7" w:rsidRPr="006C02AF">
        <w:t>certains candidats à la fonction</w:t>
      </w:r>
      <w:r w:rsidR="00A82C18" w:rsidRPr="006C02AF">
        <w:t xml:space="preserve"> qu</w:t>
      </w:r>
      <w:r w:rsidR="00E32CD7" w:rsidRPr="006C02AF">
        <w:t>'</w:t>
      </w:r>
      <w:r w:rsidR="00A82C18" w:rsidRPr="006C02AF">
        <w:t>ils occupent déjà</w:t>
      </w:r>
      <w:r w:rsidRPr="006C02AF">
        <w:t>.</w:t>
      </w:r>
      <w:bookmarkEnd w:id="137"/>
      <w:r w:rsidRPr="006C02AF">
        <w:t xml:space="preserve"> </w:t>
      </w:r>
      <w:bookmarkStart w:id="138" w:name="lt_pId273"/>
      <w:r w:rsidR="003553D7" w:rsidRPr="006C02AF">
        <w:t>Un</w:t>
      </w:r>
      <w:r w:rsidRPr="006C02AF">
        <w:t xml:space="preserve"> </w:t>
      </w:r>
      <w:r w:rsidR="00774F8B" w:rsidRPr="006C02AF">
        <w:t>conseiller</w:t>
      </w:r>
      <w:r w:rsidRPr="006C02AF">
        <w:t xml:space="preserve"> </w:t>
      </w:r>
      <w:r w:rsidR="00A82C18" w:rsidRPr="006C02AF">
        <w:t xml:space="preserve">souligne que la direction de </w:t>
      </w:r>
      <w:r w:rsidR="001C3176" w:rsidRPr="006C02AF">
        <w:t>ces</w:t>
      </w:r>
      <w:r w:rsidR="008C0CC7" w:rsidRPr="006C02AF">
        <w:t xml:space="preserve"> </w:t>
      </w:r>
      <w:r w:rsidRPr="006C02AF">
        <w:t>group</w:t>
      </w:r>
      <w:r w:rsidR="00A82C18" w:rsidRPr="006C02AF">
        <w:t>e</w:t>
      </w:r>
      <w:r w:rsidRPr="006C02AF">
        <w:t>s</w:t>
      </w:r>
      <w:r w:rsidR="00A82C18" w:rsidRPr="006C02AF">
        <w:t xml:space="preserve"> d</w:t>
      </w:r>
      <w:r w:rsidR="00E32CD7" w:rsidRPr="006C02AF">
        <w:t>'</w:t>
      </w:r>
      <w:r w:rsidR="00A82C18" w:rsidRPr="006C02AF">
        <w:t>experts</w:t>
      </w:r>
      <w:r w:rsidRPr="006C02AF">
        <w:t xml:space="preserve"> </w:t>
      </w:r>
      <w:r w:rsidR="001C3176" w:rsidRPr="006C02AF">
        <w:t>doit être répartie selon le</w:t>
      </w:r>
      <w:r w:rsidR="008C0CC7" w:rsidRPr="006C02AF">
        <w:t xml:space="preserve"> </w:t>
      </w:r>
      <w:r w:rsidR="001C3176" w:rsidRPr="006C02AF">
        <w:t>principe de l'équité de la représentation géographique</w:t>
      </w:r>
      <w:r w:rsidRPr="006C02AF">
        <w:t xml:space="preserve"> </w:t>
      </w:r>
      <w:r w:rsidR="001C3176" w:rsidRPr="006C02AF">
        <w:t>et</w:t>
      </w:r>
      <w:r w:rsidRPr="006C02AF">
        <w:t xml:space="preserve"> </w:t>
      </w:r>
      <w:r w:rsidR="00B4514F" w:rsidRPr="006C02AF">
        <w:t>de la possibilité d</w:t>
      </w:r>
      <w:r w:rsidR="00E32CD7" w:rsidRPr="006C02AF">
        <w:t>'</w:t>
      </w:r>
      <w:r w:rsidR="00B4514F" w:rsidRPr="006C02AF">
        <w:t>un roulement</w:t>
      </w:r>
      <w:r w:rsidR="00E32CD7" w:rsidRPr="006C02AF">
        <w:t>;</w:t>
      </w:r>
      <w:r w:rsidR="008C0CC7" w:rsidRPr="006C02AF">
        <w:t xml:space="preserve"> </w:t>
      </w:r>
      <w:r w:rsidR="00EF2FF0" w:rsidRPr="006C02AF">
        <w:t xml:space="preserve">une </w:t>
      </w:r>
      <w:r w:rsidR="00774F8B" w:rsidRPr="006C02AF">
        <w:t>conseillère</w:t>
      </w:r>
      <w:r w:rsidR="00C459EF" w:rsidRPr="006C02AF">
        <w:t xml:space="preserve"> </w:t>
      </w:r>
      <w:r w:rsidR="00CD3143" w:rsidRPr="006C02AF">
        <w:t>propose que</w:t>
      </w:r>
      <w:r w:rsidR="008C0CC7" w:rsidRPr="006C02AF">
        <w:t xml:space="preserve"> </w:t>
      </w:r>
      <w:r w:rsidR="00CD3143" w:rsidRPr="006C02AF">
        <w:t xml:space="preserve">la nomination des </w:t>
      </w:r>
      <w:r w:rsidR="00C459EF" w:rsidRPr="006C02AF">
        <w:t xml:space="preserve">présidents et </w:t>
      </w:r>
      <w:r w:rsidR="00CD3143" w:rsidRPr="006C02AF">
        <w:t xml:space="preserve">des </w:t>
      </w:r>
      <w:r w:rsidR="00C459EF" w:rsidRPr="006C02AF">
        <w:t>vice</w:t>
      </w:r>
      <w:r w:rsidR="00561AC9" w:rsidRPr="006C02AF">
        <w:noBreakHyphen/>
      </w:r>
      <w:r w:rsidR="00C459EF" w:rsidRPr="006C02AF">
        <w:t>présidents</w:t>
      </w:r>
      <w:r w:rsidR="00883B61" w:rsidRPr="006C02AF">
        <w:t xml:space="preserve"> </w:t>
      </w:r>
      <w:r w:rsidR="00CD3143" w:rsidRPr="006C02AF">
        <w:t>se fasse en bloc</w:t>
      </w:r>
      <w:r w:rsidRPr="006C02AF">
        <w:t>.</w:t>
      </w:r>
      <w:bookmarkEnd w:id="138"/>
      <w:r w:rsidRPr="006C02AF">
        <w:t xml:space="preserve"> </w:t>
      </w:r>
      <w:bookmarkStart w:id="139" w:name="lt_pId274"/>
      <w:r w:rsidR="00CD3143" w:rsidRPr="006C02AF">
        <w:t>Un</w:t>
      </w:r>
      <w:r w:rsidRPr="006C02AF">
        <w:t xml:space="preserve"> </w:t>
      </w:r>
      <w:r w:rsidR="00774F8B" w:rsidRPr="006C02AF">
        <w:t>conseiller</w:t>
      </w:r>
      <w:r w:rsidRPr="006C02AF">
        <w:t xml:space="preserve"> </w:t>
      </w:r>
      <w:r w:rsidR="00DA4D77" w:rsidRPr="006C02AF">
        <w:t>demande</w:t>
      </w:r>
      <w:r w:rsidR="00D96060" w:rsidRPr="006C02AF">
        <w:t xml:space="preserve"> </w:t>
      </w:r>
      <w:r w:rsidR="00CD3143" w:rsidRPr="006C02AF">
        <w:t>s</w:t>
      </w:r>
      <w:r w:rsidR="00E32CD7" w:rsidRPr="006C02AF">
        <w:t>'</w:t>
      </w:r>
      <w:r w:rsidR="00CD3143" w:rsidRPr="006C02AF">
        <w:t>il ne serait pas préférable,</w:t>
      </w:r>
      <w:r w:rsidR="007B074B" w:rsidRPr="006C02AF">
        <w:t xml:space="preserve"> au vu</w:t>
      </w:r>
      <w:r w:rsidR="00CD3143" w:rsidRPr="006C02AF">
        <w:t xml:space="preserve"> des </w:t>
      </w:r>
      <w:r w:rsidR="00CD3143" w:rsidRPr="006C02AF">
        <w:lastRenderedPageBreak/>
        <w:t>débats qui ont précédé</w:t>
      </w:r>
      <w:r w:rsidR="003F10E8" w:rsidRPr="006C02AF">
        <w:t xml:space="preserve"> </w:t>
      </w:r>
      <w:r w:rsidR="007D6999" w:rsidRPr="006C02AF">
        <w:t>sur</w:t>
      </w:r>
      <w:r w:rsidR="003F10E8" w:rsidRPr="006C02AF">
        <w:t xml:space="preserve"> la stabilité financière de</w:t>
      </w:r>
      <w:r w:rsidR="008C0CC7" w:rsidRPr="006C02AF">
        <w:t xml:space="preserve"> </w:t>
      </w:r>
      <w:r w:rsidR="003F10E8" w:rsidRPr="006C02AF">
        <w:t>l</w:t>
      </w:r>
      <w:r w:rsidR="00E32CD7" w:rsidRPr="006C02AF">
        <w:t>'</w:t>
      </w:r>
      <w:r w:rsidRPr="006C02AF">
        <w:t xml:space="preserve">Union, </w:t>
      </w:r>
      <w:r w:rsidR="003F10E8" w:rsidRPr="006C02AF">
        <w:t xml:space="preserve">de </w:t>
      </w:r>
      <w:r w:rsidR="003E723B" w:rsidRPr="006C02AF">
        <w:t>nommer</w:t>
      </w:r>
      <w:r w:rsidR="003F10E8" w:rsidRPr="006C02AF">
        <w:t xml:space="preserve"> le P</w:t>
      </w:r>
      <w:r w:rsidR="00FD534F" w:rsidRPr="006C02AF">
        <w:t>résident</w:t>
      </w:r>
      <w:r w:rsidR="008C0CC7" w:rsidRPr="006C02AF">
        <w:t xml:space="preserve"> </w:t>
      </w:r>
      <w:r w:rsidR="003F10E8" w:rsidRPr="006C02AF">
        <w:t>et les vice</w:t>
      </w:r>
      <w:r w:rsidR="00561AC9" w:rsidRPr="006C02AF">
        <w:noBreakHyphen/>
      </w:r>
      <w:r w:rsidR="003F10E8" w:rsidRPr="006C02AF">
        <w:t>présidents</w:t>
      </w:r>
      <w:r w:rsidRPr="006C02AF">
        <w:t xml:space="preserve"> </w:t>
      </w:r>
      <w:r w:rsidR="003F10E8" w:rsidRPr="006C02AF">
        <w:t>du</w:t>
      </w:r>
      <w:r w:rsidRPr="006C02AF">
        <w:t xml:space="preserve"> </w:t>
      </w:r>
      <w:r w:rsidR="00855DDC" w:rsidRPr="006C02AF">
        <w:t>Groupe de travail du Conseil sur les ressources financières et les ressources humaines</w:t>
      </w:r>
      <w:r w:rsidRPr="006C02AF">
        <w:t xml:space="preserve"> </w:t>
      </w:r>
      <w:r w:rsidR="007B074B" w:rsidRPr="006C02AF">
        <w:t>pendant la réunion en cours, eu égard en particulier au fait que</w:t>
      </w:r>
      <w:r w:rsidR="008C0CC7" w:rsidRPr="006C02AF">
        <w:t xml:space="preserve"> </w:t>
      </w:r>
      <w:r w:rsidR="00EE191B" w:rsidRPr="006C02AF">
        <w:t xml:space="preserve">selon le calendrier prévu, </w:t>
      </w:r>
      <w:r w:rsidR="007B074B" w:rsidRPr="006C02AF">
        <w:t xml:space="preserve">la prochaine réunion de ce </w:t>
      </w:r>
      <w:r w:rsidRPr="006C02AF">
        <w:t>group</w:t>
      </w:r>
      <w:r w:rsidR="007B074B" w:rsidRPr="006C02AF">
        <w:t xml:space="preserve">e </w:t>
      </w:r>
      <w:r w:rsidR="00EE191B" w:rsidRPr="006C02AF">
        <w:t>se tiendra en février</w:t>
      </w:r>
      <w:r w:rsidRPr="006C02AF">
        <w:t>.</w:t>
      </w:r>
      <w:bookmarkEnd w:id="139"/>
      <w:r w:rsidRPr="006C02AF">
        <w:t xml:space="preserve"> </w:t>
      </w:r>
      <w:bookmarkStart w:id="140" w:name="lt_pId275"/>
      <w:r w:rsidR="00EE191B" w:rsidRPr="006C02AF">
        <w:t>Selon un autre</w:t>
      </w:r>
      <w:r w:rsidR="006C4F47" w:rsidRPr="006C02AF">
        <w:t>, il serait</w:t>
      </w:r>
      <w:r w:rsidR="008C0CC7" w:rsidRPr="006C02AF">
        <w:t xml:space="preserve"> </w:t>
      </w:r>
      <w:r w:rsidR="006C4F47" w:rsidRPr="006C02AF">
        <w:t xml:space="preserve">judicieux de nommer les membres du </w:t>
      </w:r>
      <w:r w:rsidR="00686AD3" w:rsidRPr="006C02AF">
        <w:t>Groupe d'experts sur le Règlement des télécommunications internationales (</w:t>
      </w:r>
      <w:bookmarkStart w:id="141" w:name="_Hlk120570034"/>
      <w:r w:rsidR="00686AD3" w:rsidRPr="006C02AF">
        <w:t>EG-RTI</w:t>
      </w:r>
      <w:bookmarkEnd w:id="141"/>
      <w:r w:rsidR="00686AD3" w:rsidRPr="006C02AF">
        <w:t>)</w:t>
      </w:r>
      <w:r w:rsidR="00E32CD7" w:rsidRPr="006C02AF">
        <w:t>;</w:t>
      </w:r>
      <w:r w:rsidRPr="006C02AF">
        <w:t xml:space="preserve"> </w:t>
      </w:r>
      <w:r w:rsidR="002A22A4" w:rsidRPr="006C02AF">
        <w:t xml:space="preserve">peut-être que le </w:t>
      </w:r>
      <w:r w:rsidR="00686AD3" w:rsidRPr="006C02AF">
        <w:t>EG-RTI</w:t>
      </w:r>
      <w:r w:rsidRPr="006C02AF">
        <w:t xml:space="preserve"> </w:t>
      </w:r>
      <w:r w:rsidR="002A22A4" w:rsidRPr="006C02AF">
        <w:t>n</w:t>
      </w:r>
      <w:r w:rsidR="00E32CD7" w:rsidRPr="006C02AF">
        <w:t>'</w:t>
      </w:r>
      <w:r w:rsidR="002A22A4" w:rsidRPr="006C02AF">
        <w:t>apparaît pas sur la liste présentée au</w:t>
      </w:r>
      <w:r w:rsidR="008C0CC7" w:rsidRPr="006C02AF">
        <w:t xml:space="preserve"> </w:t>
      </w:r>
      <w:r w:rsidR="00531462" w:rsidRPr="006C02AF">
        <w:t>Conseil</w:t>
      </w:r>
      <w:r w:rsidR="008C0CC7" w:rsidRPr="006C02AF">
        <w:t xml:space="preserve"> </w:t>
      </w:r>
      <w:r w:rsidR="00AA3DF6" w:rsidRPr="006C02AF">
        <w:t xml:space="preserve">parce que la décision tendant à </w:t>
      </w:r>
      <w:r w:rsidR="00B067BA" w:rsidRPr="006C02AF">
        <w:t>la reprise des sessions de ce groupe</w:t>
      </w:r>
      <w:r w:rsidR="008C0CC7" w:rsidRPr="006C02AF">
        <w:t xml:space="preserve"> </w:t>
      </w:r>
      <w:r w:rsidR="00B067BA" w:rsidRPr="006C02AF">
        <w:t>a été prise</w:t>
      </w:r>
      <w:r w:rsidR="008C0CC7" w:rsidRPr="006C02AF">
        <w:t xml:space="preserve"> </w:t>
      </w:r>
      <w:r w:rsidR="00B067BA" w:rsidRPr="006C02AF">
        <w:t>la veille seulement par la</w:t>
      </w:r>
      <w:r w:rsidR="008C0CC7" w:rsidRPr="006C02AF">
        <w:t xml:space="preserve"> </w:t>
      </w:r>
      <w:r w:rsidR="00E5236E" w:rsidRPr="006C02AF">
        <w:t xml:space="preserve">Conférence de </w:t>
      </w:r>
      <w:bookmarkEnd w:id="140"/>
      <w:r w:rsidR="003E723B" w:rsidRPr="006C02AF">
        <w:t>plénipotentiaires.</w:t>
      </w:r>
      <w:r w:rsidRPr="006C02AF">
        <w:t xml:space="preserve"> </w:t>
      </w:r>
      <w:bookmarkStart w:id="142" w:name="lt_pId276"/>
      <w:r w:rsidR="00A95B40" w:rsidRPr="006C02AF">
        <w:t>Un</w:t>
      </w:r>
      <w:r w:rsidRPr="006C02AF">
        <w:t xml:space="preserve"> </w:t>
      </w:r>
      <w:r w:rsidR="00774F8B" w:rsidRPr="006C02AF">
        <w:t>conseiller</w:t>
      </w:r>
      <w:r w:rsidRPr="006C02AF">
        <w:t xml:space="preserve"> </w:t>
      </w:r>
      <w:r w:rsidR="00A95B40" w:rsidRPr="006C02AF">
        <w:t xml:space="preserve">déclare que les groupes de travail du </w:t>
      </w:r>
      <w:r w:rsidR="00C773EF" w:rsidRPr="006C02AF">
        <w:t>Conseil</w:t>
      </w:r>
      <w:r w:rsidR="008C0CC7" w:rsidRPr="006C02AF">
        <w:t xml:space="preserve"> </w:t>
      </w:r>
      <w:r w:rsidR="00A95B40" w:rsidRPr="006C02AF">
        <w:t xml:space="preserve">sont tous </w:t>
      </w:r>
      <w:r w:rsidR="004B4DCC" w:rsidRPr="006C02AF">
        <w:t xml:space="preserve">aussi </w:t>
      </w:r>
      <w:r w:rsidRPr="006C02AF">
        <w:t>important</w:t>
      </w:r>
      <w:r w:rsidR="004B4DCC" w:rsidRPr="006C02AF">
        <w:t>s les uns que les autres et que les membres de leur direction devraient être nommés au même moment.</w:t>
      </w:r>
      <w:r w:rsidR="008C0CC7" w:rsidRPr="006C02AF">
        <w:t xml:space="preserve"> </w:t>
      </w:r>
      <w:bookmarkStart w:id="143" w:name="lt_pId277"/>
      <w:bookmarkEnd w:id="142"/>
      <w:r w:rsidR="008A6482" w:rsidRPr="006C02AF">
        <w:t>Certains</w:t>
      </w:r>
      <w:r w:rsidRPr="006C02AF">
        <w:t xml:space="preserve"> </w:t>
      </w:r>
      <w:r w:rsidR="00774F8B" w:rsidRPr="006C02AF">
        <w:t>conseiller</w:t>
      </w:r>
      <w:r w:rsidRPr="006C02AF">
        <w:t xml:space="preserve">s </w:t>
      </w:r>
      <w:r w:rsidR="008A6482" w:rsidRPr="006C02AF">
        <w:t xml:space="preserve">demandent comment </w:t>
      </w:r>
      <w:r w:rsidR="00836E5D" w:rsidRPr="006C02AF">
        <w:t>des</w:t>
      </w:r>
      <w:r w:rsidR="008A6482" w:rsidRPr="006C02AF">
        <w:t xml:space="preserve"> groupes de travail du </w:t>
      </w:r>
      <w:r w:rsidR="00531462" w:rsidRPr="006C02AF">
        <w:t>Conseil</w:t>
      </w:r>
      <w:r w:rsidR="008C0CC7" w:rsidRPr="006C02AF">
        <w:t xml:space="preserve"> </w:t>
      </w:r>
      <w:r w:rsidR="00836E5D" w:rsidRPr="006C02AF">
        <w:t>pourraient se réunir en février si</w:t>
      </w:r>
      <w:r w:rsidR="008C0CC7" w:rsidRPr="006C02AF">
        <w:t xml:space="preserve"> </w:t>
      </w:r>
      <w:r w:rsidR="00C459EF" w:rsidRPr="006C02AF">
        <w:t xml:space="preserve">les présidents et vice-présidents </w:t>
      </w:r>
      <w:r w:rsidR="00836E5D" w:rsidRPr="006C02AF">
        <w:t xml:space="preserve">ne sont pas désignés pendant </w:t>
      </w:r>
      <w:r w:rsidR="00456909" w:rsidRPr="006C02AF">
        <w:t>la</w:t>
      </w:r>
      <w:r w:rsidR="00836E5D" w:rsidRPr="006C02AF">
        <w:t xml:space="preserve"> réunion</w:t>
      </w:r>
      <w:r w:rsidR="00456909" w:rsidRPr="006C02AF">
        <w:t xml:space="preserve"> en cours</w:t>
      </w:r>
      <w:r w:rsidR="00836E5D" w:rsidRPr="006C02AF">
        <w:t>.</w:t>
      </w:r>
      <w:r w:rsidR="008C0CC7" w:rsidRPr="006C02AF">
        <w:t xml:space="preserve"> </w:t>
      </w:r>
      <w:bookmarkStart w:id="144" w:name="lt_pId278"/>
      <w:bookmarkEnd w:id="143"/>
      <w:r w:rsidR="00836E5D" w:rsidRPr="006C02AF">
        <w:t>D</w:t>
      </w:r>
      <w:r w:rsidR="00531542" w:rsidRPr="006C02AF">
        <w:t>e</w:t>
      </w:r>
      <w:r w:rsidR="00836E5D" w:rsidRPr="006C02AF">
        <w:t xml:space="preserve">s </w:t>
      </w:r>
      <w:r w:rsidR="00774F8B" w:rsidRPr="006C02AF">
        <w:t>conseillère</w:t>
      </w:r>
      <w:r w:rsidR="00836E5D" w:rsidRPr="006C02AF">
        <w:t>s</w:t>
      </w:r>
      <w:r w:rsidR="008C0CC7" w:rsidRPr="006C02AF">
        <w:t xml:space="preserve"> </w:t>
      </w:r>
      <w:r w:rsidR="00E5236E" w:rsidRPr="006C02AF">
        <w:t>considèrent</w:t>
      </w:r>
      <w:r w:rsidR="00164292" w:rsidRPr="006C02AF">
        <w:t xml:space="preserve"> que </w:t>
      </w:r>
      <w:r w:rsidR="00D420FA" w:rsidRPr="006C02AF">
        <w:t>le</w:t>
      </w:r>
      <w:r w:rsidR="00164292" w:rsidRPr="006C02AF">
        <w:t>s</w:t>
      </w:r>
      <w:r w:rsidR="00D420FA" w:rsidRPr="006C02AF">
        <w:t xml:space="preserve"> groupe</w:t>
      </w:r>
      <w:r w:rsidR="00164292" w:rsidRPr="006C02AF">
        <w:t>s</w:t>
      </w:r>
      <w:r w:rsidR="00D420FA" w:rsidRPr="006C02AF">
        <w:t xml:space="preserve"> de travail </w:t>
      </w:r>
      <w:r w:rsidR="00164292" w:rsidRPr="006C02AF">
        <w:t>devraient simplement se réunir après ou en marge de la</w:t>
      </w:r>
      <w:r w:rsidR="008C0CC7" w:rsidRPr="006C02AF">
        <w:t xml:space="preserve"> </w:t>
      </w:r>
      <w:r w:rsidR="00164292" w:rsidRPr="006C02AF">
        <w:t xml:space="preserve">session de </w:t>
      </w:r>
      <w:r w:rsidRPr="006C02AF">
        <w:t>2023</w:t>
      </w:r>
      <w:r w:rsidR="008C0CC7" w:rsidRPr="006C02AF">
        <w:t xml:space="preserve"> </w:t>
      </w:r>
      <w:r w:rsidR="00C773EF" w:rsidRPr="006C02AF">
        <w:t>du Conseil</w:t>
      </w:r>
      <w:r w:rsidR="00164292" w:rsidRPr="006C02AF">
        <w:t xml:space="preserve">, une fois que les </w:t>
      </w:r>
      <w:r w:rsidR="00732624" w:rsidRPr="006C02AF">
        <w:t>présidents et vice-présidents auront été désignés</w:t>
      </w:r>
      <w:r w:rsidRPr="006C02AF">
        <w:t>.</w:t>
      </w:r>
      <w:bookmarkEnd w:id="144"/>
    </w:p>
    <w:p w14:paraId="01D0ADDA" w14:textId="7C2687AD" w:rsidR="00691CD2" w:rsidRPr="006C02AF" w:rsidRDefault="00691CD2" w:rsidP="00E32CD7">
      <w:r w:rsidRPr="006C02AF">
        <w:t>10.2</w:t>
      </w:r>
      <w:r w:rsidRPr="006C02AF">
        <w:tab/>
      </w:r>
      <w:bookmarkStart w:id="145" w:name="lt_pId280"/>
      <w:r w:rsidR="00EB3778" w:rsidRPr="006C02AF">
        <w:t>Le Secrétaire général</w:t>
      </w:r>
      <w:r w:rsidR="008C0CC7" w:rsidRPr="006C02AF">
        <w:t xml:space="preserve"> </w:t>
      </w:r>
      <w:r w:rsidR="00A37877" w:rsidRPr="006C02AF">
        <w:t xml:space="preserve">convient que certaines </w:t>
      </w:r>
      <w:r w:rsidRPr="006C02AF">
        <w:t xml:space="preserve">nominations </w:t>
      </w:r>
      <w:r w:rsidR="00A37877" w:rsidRPr="006C02AF">
        <w:t xml:space="preserve">ont été reçues très tard et </w:t>
      </w:r>
      <w:r w:rsidR="00DD2DFA" w:rsidRPr="006C02AF">
        <w:t>qu</w:t>
      </w:r>
      <w:r w:rsidR="00E32CD7" w:rsidRPr="006C02AF">
        <w:t>'</w:t>
      </w:r>
      <w:r w:rsidR="00C6109A" w:rsidRPr="006C02AF">
        <w:t xml:space="preserve">il faudrait </w:t>
      </w:r>
      <w:r w:rsidR="008D793D" w:rsidRPr="006C02AF">
        <w:t>plus de temps</w:t>
      </w:r>
      <w:r w:rsidR="00C6109A" w:rsidRPr="006C02AF">
        <w:t xml:space="preserve"> </w:t>
      </w:r>
      <w:r w:rsidR="008D793D" w:rsidRPr="006C02AF">
        <w:t xml:space="preserve">pour tenir des </w:t>
      </w:r>
      <w:r w:rsidR="00DD2DFA" w:rsidRPr="006C02AF">
        <w:t>consultations</w:t>
      </w:r>
      <w:r w:rsidRPr="006C02AF">
        <w:t>.</w:t>
      </w:r>
      <w:bookmarkEnd w:id="145"/>
    </w:p>
    <w:p w14:paraId="3DAA29E2" w14:textId="06E5AC66" w:rsidR="00691CD2" w:rsidRPr="006C02AF" w:rsidRDefault="00691CD2" w:rsidP="00E32CD7">
      <w:r w:rsidRPr="006C02AF">
        <w:t>10.3</w:t>
      </w:r>
      <w:r w:rsidRPr="006C02AF">
        <w:tab/>
      </w:r>
      <w:bookmarkStart w:id="146" w:name="lt_pId282"/>
      <w:r w:rsidR="00ED71F9" w:rsidRPr="006C02AF">
        <w:t>Un</w:t>
      </w:r>
      <w:r w:rsidRPr="006C02AF">
        <w:t xml:space="preserve"> </w:t>
      </w:r>
      <w:r w:rsidR="00774F8B" w:rsidRPr="006C02AF">
        <w:t>conseiller</w:t>
      </w:r>
      <w:r w:rsidRPr="006C02AF">
        <w:t xml:space="preserve"> </w:t>
      </w:r>
      <w:r w:rsidR="00C60402" w:rsidRPr="006C02AF">
        <w:t>demande s</w:t>
      </w:r>
      <w:r w:rsidR="00E32CD7" w:rsidRPr="006C02AF">
        <w:t>'</w:t>
      </w:r>
      <w:r w:rsidR="00C60402" w:rsidRPr="006C02AF">
        <w:t xml:space="preserve">il serait </w:t>
      </w:r>
      <w:r w:rsidRPr="006C02AF">
        <w:t xml:space="preserve">possible </w:t>
      </w:r>
      <w:r w:rsidR="005B3EB7" w:rsidRPr="006C02AF">
        <w:t xml:space="preserve">de </w:t>
      </w:r>
      <w:r w:rsidR="00AF7A37" w:rsidRPr="006C02AF">
        <w:t>prendre</w:t>
      </w:r>
      <w:r w:rsidR="005B3EB7" w:rsidRPr="006C02AF">
        <w:t xml:space="preserve"> par correspondance </w:t>
      </w:r>
      <w:r w:rsidR="00AF7A37" w:rsidRPr="006C02AF">
        <w:t>les décisions concernant</w:t>
      </w:r>
      <w:r w:rsidR="005B3EB7" w:rsidRPr="006C02AF">
        <w:t xml:space="preserve"> les présidents et vice-présidents des groupes de travail, </w:t>
      </w:r>
      <w:r w:rsidR="005B4C2F" w:rsidRPr="006C02AF">
        <w:t>ainsi que</w:t>
      </w:r>
      <w:r w:rsidR="005B3EB7" w:rsidRPr="006C02AF">
        <w:t xml:space="preserve"> les groupes d</w:t>
      </w:r>
      <w:r w:rsidR="00E32CD7" w:rsidRPr="006C02AF">
        <w:t>'</w:t>
      </w:r>
      <w:r w:rsidR="005B3EB7" w:rsidRPr="006C02AF">
        <w:t>experts</w:t>
      </w:r>
      <w:r w:rsidR="005B4C2F" w:rsidRPr="006C02AF">
        <w:t>,</w:t>
      </w:r>
      <w:r w:rsidR="005B3EB7" w:rsidRPr="006C02AF">
        <w:t xml:space="preserve"> du Conseil</w:t>
      </w:r>
      <w:r w:rsidRPr="006C02AF">
        <w:t>.</w:t>
      </w:r>
      <w:bookmarkEnd w:id="146"/>
      <w:r w:rsidRPr="006C02AF">
        <w:t xml:space="preserve"> </w:t>
      </w:r>
      <w:bookmarkStart w:id="147" w:name="lt_pId283"/>
      <w:r w:rsidR="005B3EB7" w:rsidRPr="006C02AF">
        <w:t>Un observateur, qui prend la parole en tant que coordonnateur régional pour</w:t>
      </w:r>
      <w:r w:rsidR="008C0CC7" w:rsidRPr="006C02AF">
        <w:t xml:space="preserve"> </w:t>
      </w:r>
      <w:r w:rsidR="00C00DBC" w:rsidRPr="006C02AF">
        <w:t>la Communauté régionale des communications (RCC)</w:t>
      </w:r>
      <w:r w:rsidRPr="006C02AF">
        <w:t xml:space="preserve"> </w:t>
      </w:r>
      <w:r w:rsidR="003F7F69" w:rsidRPr="006C02AF">
        <w:t>et</w:t>
      </w:r>
      <w:r w:rsidRPr="006C02AF">
        <w:t xml:space="preserve"> </w:t>
      </w:r>
      <w:r w:rsidR="00A95674" w:rsidRPr="006C02AF">
        <w:t>la Communauté des États indépendants (CEI)</w:t>
      </w:r>
      <w:r w:rsidRPr="006C02AF">
        <w:t xml:space="preserve">, </w:t>
      </w:r>
      <w:r w:rsidR="003F7F69" w:rsidRPr="006C02AF">
        <w:t>estime qu</w:t>
      </w:r>
      <w:r w:rsidR="00E32CD7" w:rsidRPr="006C02AF">
        <w:t>'</w:t>
      </w:r>
      <w:r w:rsidR="003F7F69" w:rsidRPr="006C02AF">
        <w:t xml:space="preserve">il est nécessaire de poursuivre les </w:t>
      </w:r>
      <w:r w:rsidRPr="006C02AF">
        <w:t xml:space="preserve">consultations </w:t>
      </w:r>
      <w:r w:rsidR="003F7F69" w:rsidRPr="006C02AF">
        <w:t xml:space="preserve">et </w:t>
      </w:r>
      <w:r w:rsidR="008441E0" w:rsidRPr="006C02AF">
        <w:t>donne son accord à une prise de décision par correspondance</w:t>
      </w:r>
      <w:r w:rsidR="00781F95" w:rsidRPr="006C02AF">
        <w:t>, que permettrait l</w:t>
      </w:r>
      <w:r w:rsidR="00E32CD7" w:rsidRPr="006C02AF">
        <w:t>'</w:t>
      </w:r>
      <w:r w:rsidR="00781F95" w:rsidRPr="006C02AF">
        <w:t>alinéa 2 de l</w:t>
      </w:r>
      <w:r w:rsidR="00E32CD7" w:rsidRPr="006C02AF">
        <w:t>'</w:t>
      </w:r>
      <w:r w:rsidR="003432D7" w:rsidRPr="006C02AF">
        <w:t>article</w:t>
      </w:r>
      <w:r w:rsidR="008C0CC7" w:rsidRPr="006C02AF">
        <w:t xml:space="preserve"> </w:t>
      </w:r>
      <w:r w:rsidR="00781F95" w:rsidRPr="006C02AF">
        <w:t>3 du</w:t>
      </w:r>
      <w:r w:rsidRPr="006C02AF">
        <w:t xml:space="preserve"> </w:t>
      </w:r>
      <w:r w:rsidR="00F30533" w:rsidRPr="006C02AF">
        <w:t>Règlement intérieur du Conseil</w:t>
      </w:r>
      <w:r w:rsidRPr="006C02AF">
        <w:t>.</w:t>
      </w:r>
      <w:bookmarkEnd w:id="147"/>
    </w:p>
    <w:p w14:paraId="4415AAF4" w14:textId="34136FC4" w:rsidR="00691CD2" w:rsidRPr="006C02AF" w:rsidRDefault="00691CD2" w:rsidP="00E32CD7">
      <w:r w:rsidRPr="006C02AF">
        <w:t>10.4</w:t>
      </w:r>
      <w:r w:rsidRPr="006C02AF">
        <w:tab/>
      </w:r>
      <w:bookmarkStart w:id="148" w:name="lt_pId285"/>
      <w:r w:rsidR="00685155" w:rsidRPr="006C02AF">
        <w:t>Deux</w:t>
      </w:r>
      <w:r w:rsidRPr="006C02AF">
        <w:t xml:space="preserve"> </w:t>
      </w:r>
      <w:r w:rsidR="00774F8B" w:rsidRPr="006C02AF">
        <w:t>conseiller</w:t>
      </w:r>
      <w:r w:rsidRPr="006C02AF">
        <w:t>s</w:t>
      </w:r>
      <w:r w:rsidR="00F30533" w:rsidRPr="006C02AF">
        <w:t>, appelant l</w:t>
      </w:r>
      <w:r w:rsidR="00E32CD7" w:rsidRPr="006C02AF">
        <w:t>'</w:t>
      </w:r>
      <w:r w:rsidR="00F30533" w:rsidRPr="006C02AF">
        <w:t xml:space="preserve">attention </w:t>
      </w:r>
      <w:r w:rsidR="00AE1402" w:rsidRPr="006C02AF">
        <w:t xml:space="preserve">des participants </w:t>
      </w:r>
      <w:r w:rsidR="00F30533" w:rsidRPr="006C02AF">
        <w:t xml:space="preserve">sur </w:t>
      </w:r>
      <w:r w:rsidR="00262579" w:rsidRPr="006C02AF">
        <w:t>l</w:t>
      </w:r>
      <w:r w:rsidR="00E32CD7" w:rsidRPr="006C02AF">
        <w:t>'</w:t>
      </w:r>
      <w:r w:rsidR="003432D7" w:rsidRPr="006C02AF">
        <w:t>article</w:t>
      </w:r>
      <w:r w:rsidR="008C0CC7" w:rsidRPr="006C02AF">
        <w:t xml:space="preserve"> </w:t>
      </w:r>
      <w:r w:rsidR="00262579" w:rsidRPr="006C02AF">
        <w:t>12 du Règlement intérieur du Conseil,</w:t>
      </w:r>
      <w:r w:rsidRPr="006C02AF">
        <w:t xml:space="preserve"> </w:t>
      </w:r>
      <w:r w:rsidR="00685155" w:rsidRPr="006C02AF">
        <w:t>disent qu</w:t>
      </w:r>
      <w:r w:rsidR="00E32CD7" w:rsidRPr="006C02AF">
        <w:t>'</w:t>
      </w:r>
      <w:r w:rsidR="00685155" w:rsidRPr="006C02AF">
        <w:t xml:space="preserve">ils ne pourraient pas approuver </w:t>
      </w:r>
      <w:r w:rsidR="00ED71F9" w:rsidRPr="006C02AF">
        <w:t>un</w:t>
      </w:r>
      <w:r w:rsidR="00685155" w:rsidRPr="006C02AF">
        <w:t xml:space="preserve"> recours à l</w:t>
      </w:r>
      <w:r w:rsidR="00E32CD7" w:rsidRPr="006C02AF">
        <w:t>'</w:t>
      </w:r>
      <w:r w:rsidR="003432D7" w:rsidRPr="006C02AF">
        <w:t>article</w:t>
      </w:r>
      <w:r w:rsidR="008C0CC7" w:rsidRPr="006C02AF">
        <w:t xml:space="preserve"> </w:t>
      </w:r>
      <w:bookmarkStart w:id="149" w:name="_Hlk120525855"/>
      <w:r w:rsidRPr="006C02AF">
        <w:t>3</w:t>
      </w:r>
      <w:bookmarkEnd w:id="149"/>
      <w:r w:rsidRPr="006C02AF">
        <w:t>.</w:t>
      </w:r>
      <w:bookmarkEnd w:id="148"/>
      <w:r w:rsidRPr="006C02AF">
        <w:t xml:space="preserve"> </w:t>
      </w:r>
      <w:bookmarkStart w:id="150" w:name="lt_pId286"/>
      <w:r w:rsidR="00503115" w:rsidRPr="006C02AF">
        <w:t>La nomination des</w:t>
      </w:r>
      <w:r w:rsidR="008C0CC7" w:rsidRPr="006C02AF">
        <w:t xml:space="preserve"> </w:t>
      </w:r>
      <w:r w:rsidR="00503115" w:rsidRPr="006C02AF">
        <w:t>présidents et vice-présidents des groupes de travail du Conseil</w:t>
      </w:r>
      <w:r w:rsidRPr="006C02AF">
        <w:t xml:space="preserve"> </w:t>
      </w:r>
      <w:r w:rsidR="00D23631" w:rsidRPr="006C02AF">
        <w:t xml:space="preserve">se déroule en présentiel pour des raisons bien précises, </w:t>
      </w:r>
      <w:r w:rsidR="00FD70B9" w:rsidRPr="006C02AF">
        <w:t>telles que</w:t>
      </w:r>
      <w:r w:rsidR="00D23631" w:rsidRPr="006C02AF">
        <w:t xml:space="preserve"> la nécessité de tenir un débat et de parvenir à un consensus.</w:t>
      </w:r>
      <w:bookmarkEnd w:id="150"/>
    </w:p>
    <w:p w14:paraId="0E4C3A0C" w14:textId="48643273" w:rsidR="00691CD2" w:rsidRPr="006C02AF" w:rsidRDefault="00691CD2" w:rsidP="00E32CD7">
      <w:r w:rsidRPr="006C02AF">
        <w:t>10.5</w:t>
      </w:r>
      <w:r w:rsidRPr="006C02AF">
        <w:tab/>
      </w:r>
      <w:bookmarkStart w:id="151" w:name="lt_pId288"/>
      <w:r w:rsidR="00A96BDC" w:rsidRPr="006C02AF">
        <w:t>Étant</w:t>
      </w:r>
      <w:r w:rsidR="00254AFB" w:rsidRPr="006C02AF">
        <w:t xml:space="preserve"> donné la teneur des débats</w:t>
      </w:r>
      <w:r w:rsidRPr="006C02AF">
        <w:t xml:space="preserve">, </w:t>
      </w:r>
      <w:r w:rsidR="00FD534F" w:rsidRPr="006C02AF">
        <w:t xml:space="preserve">le Président </w:t>
      </w:r>
      <w:r w:rsidR="00254AFB" w:rsidRPr="006C02AF">
        <w:t xml:space="preserve">suggère </w:t>
      </w:r>
      <w:r w:rsidR="00B3135F" w:rsidRPr="006C02AF">
        <w:t>au</w:t>
      </w:r>
      <w:r w:rsidR="00254AFB" w:rsidRPr="006C02AF">
        <w:t xml:space="preserve"> </w:t>
      </w:r>
      <w:r w:rsidR="00531462" w:rsidRPr="006C02AF">
        <w:t xml:space="preserve">Conseil </w:t>
      </w:r>
      <w:r w:rsidR="00B3135F" w:rsidRPr="006C02AF">
        <w:t xml:space="preserve">de </w:t>
      </w:r>
      <w:r w:rsidR="00F950EC" w:rsidRPr="006C02AF">
        <w:t xml:space="preserve">convenir </w:t>
      </w:r>
      <w:r w:rsidR="00254AFB" w:rsidRPr="006C02AF">
        <w:t xml:space="preserve">de reporter la nomination des présidents et vice-présidents des groupes de travail du Conseil </w:t>
      </w:r>
      <w:r w:rsidR="00066678" w:rsidRPr="006C02AF">
        <w:t>à sa session de</w:t>
      </w:r>
      <w:r w:rsidR="00A32F6F" w:rsidRPr="006C02AF">
        <w:t> </w:t>
      </w:r>
      <w:r w:rsidRPr="006C02AF">
        <w:t>2023.</w:t>
      </w:r>
      <w:bookmarkEnd w:id="151"/>
    </w:p>
    <w:p w14:paraId="69F5F6FC" w14:textId="46F02E88" w:rsidR="00691CD2" w:rsidRPr="006C02AF" w:rsidRDefault="00691CD2" w:rsidP="00E32CD7">
      <w:r w:rsidRPr="006C02AF">
        <w:t>10.6</w:t>
      </w:r>
      <w:r w:rsidRPr="006C02AF">
        <w:tab/>
        <w:t xml:space="preserve">Il en est ainsi </w:t>
      </w:r>
      <w:r w:rsidRPr="006C02AF">
        <w:rPr>
          <w:b/>
          <w:bCs/>
        </w:rPr>
        <w:t>décidé</w:t>
      </w:r>
      <w:r w:rsidRPr="006C02AF">
        <w:t>.</w:t>
      </w:r>
    </w:p>
    <w:p w14:paraId="1C858AC8" w14:textId="20567E81" w:rsidR="006D5C47" w:rsidRPr="006C02AF" w:rsidRDefault="00691CD2" w:rsidP="00E32CD7">
      <w:pPr>
        <w:pStyle w:val="Heading1"/>
      </w:pPr>
      <w:r w:rsidRPr="006C02AF">
        <w:t>11</w:t>
      </w:r>
      <w:r w:rsidR="006D5C47" w:rsidRPr="006C02AF">
        <w:tab/>
        <w:t>Clôture</w:t>
      </w:r>
    </w:p>
    <w:p w14:paraId="4A29D972" w14:textId="633C9DE8" w:rsidR="006D5C47" w:rsidRPr="006C02AF" w:rsidRDefault="00691CD2" w:rsidP="00E32CD7">
      <w:r w:rsidRPr="006C02AF">
        <w:t>11</w:t>
      </w:r>
      <w:r w:rsidR="006D5C47" w:rsidRPr="006C02AF">
        <w:t>.1</w:t>
      </w:r>
      <w:r w:rsidR="006D5C47" w:rsidRPr="006C02AF">
        <w:tab/>
        <w:t>Le Président remercie tous les participants pour leur contribution et clôt la session extraordinaire.</w:t>
      </w:r>
    </w:p>
    <w:p w14:paraId="7041C4AA" w14:textId="19CD5FE4" w:rsidR="005539C2" w:rsidRDefault="006D5C47" w:rsidP="00A32F6F">
      <w:pPr>
        <w:tabs>
          <w:tab w:val="clear" w:pos="1701"/>
          <w:tab w:val="clear" w:pos="2268"/>
          <w:tab w:val="clear" w:pos="2835"/>
          <w:tab w:val="left" w:pos="7371"/>
        </w:tabs>
        <w:spacing w:before="840"/>
        <w:rPr>
          <w:rFonts w:asciiTheme="minorHAnsi" w:hAnsiTheme="minorHAnsi"/>
        </w:rPr>
      </w:pPr>
      <w:r w:rsidRPr="006C02AF">
        <w:rPr>
          <w:rFonts w:asciiTheme="minorHAnsi" w:hAnsiTheme="minorHAnsi"/>
        </w:rPr>
        <w:t xml:space="preserve">Le Secrétaire </w:t>
      </w:r>
      <w:proofErr w:type="gramStart"/>
      <w:r w:rsidRPr="006C02AF">
        <w:rPr>
          <w:rFonts w:asciiTheme="minorHAnsi" w:hAnsiTheme="minorHAnsi"/>
        </w:rPr>
        <w:t>général:</w:t>
      </w:r>
      <w:proofErr w:type="gramEnd"/>
      <w:r w:rsidRPr="006C02AF">
        <w:rPr>
          <w:rFonts w:asciiTheme="minorHAnsi" w:hAnsiTheme="minorHAnsi"/>
        </w:rPr>
        <w:tab/>
        <w:t>Le Président:</w:t>
      </w:r>
      <w:r w:rsidRPr="006C02AF">
        <w:rPr>
          <w:rFonts w:asciiTheme="minorHAnsi" w:hAnsiTheme="minorHAnsi"/>
        </w:rPr>
        <w:br/>
        <w:t>H. ZHAO</w:t>
      </w:r>
      <w:r w:rsidRPr="006C02AF">
        <w:rPr>
          <w:rFonts w:asciiTheme="minorHAnsi" w:hAnsiTheme="minorHAnsi"/>
        </w:rPr>
        <w:tab/>
      </w:r>
      <w:r w:rsidRPr="006C02AF">
        <w:rPr>
          <w:rFonts w:asciiTheme="minorHAnsi" w:hAnsiTheme="minorHAnsi"/>
        </w:rPr>
        <w:tab/>
      </w:r>
      <w:r w:rsidR="00691CD2" w:rsidRPr="006C02AF">
        <w:rPr>
          <w:rFonts w:asciiTheme="minorHAnsi" w:hAnsiTheme="minorHAnsi"/>
        </w:rPr>
        <w:t>C. MARTINEZ</w:t>
      </w:r>
    </w:p>
    <w:p w14:paraId="76E46113" w14:textId="3CF49751" w:rsidR="00996539" w:rsidRPr="006C02AF" w:rsidRDefault="00996539" w:rsidP="00996539">
      <w:pPr>
        <w:tabs>
          <w:tab w:val="clear" w:pos="1701"/>
          <w:tab w:val="clear" w:pos="2268"/>
          <w:tab w:val="clear" w:pos="2835"/>
          <w:tab w:val="left" w:pos="7371"/>
        </w:tabs>
        <w:spacing w:before="84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_________________</w:t>
      </w:r>
    </w:p>
    <w:sectPr w:rsidR="00996539" w:rsidRPr="006C02AF" w:rsidSect="005C38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69E2" w14:textId="77777777" w:rsidR="008C2690" w:rsidRDefault="008C2690">
      <w:r>
        <w:separator/>
      </w:r>
    </w:p>
  </w:endnote>
  <w:endnote w:type="continuationSeparator" w:id="0">
    <w:p w14:paraId="54516404" w14:textId="77777777" w:rsidR="008C2690" w:rsidRDefault="008C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3211" w14:textId="3287C5F1" w:rsidR="003E723B" w:rsidRDefault="00996539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9B5866">
      <w:t>P:\FRA\SG\CONSEIL\C23-EXT\000\009F.docx</w:t>
    </w:r>
    <w:r>
      <w:fldChar w:fldCharType="end"/>
    </w:r>
    <w:r w:rsidR="003E723B">
      <w:tab/>
    </w:r>
    <w:r w:rsidR="003E723B">
      <w:fldChar w:fldCharType="begin"/>
    </w:r>
    <w:r w:rsidR="003E723B">
      <w:instrText xml:space="preserve"> savedate \@ dd.MM.yy </w:instrText>
    </w:r>
    <w:r w:rsidR="003E723B">
      <w:fldChar w:fldCharType="separate"/>
    </w:r>
    <w:r>
      <w:t>29.11.22</w:t>
    </w:r>
    <w:r w:rsidR="003E723B">
      <w:fldChar w:fldCharType="end"/>
    </w:r>
    <w:r w:rsidR="003E723B">
      <w:tab/>
    </w:r>
    <w:r w:rsidR="003E723B">
      <w:fldChar w:fldCharType="begin"/>
    </w:r>
    <w:r w:rsidR="003E723B">
      <w:instrText xml:space="preserve"> printdate \@ dd.MM.yy </w:instrText>
    </w:r>
    <w:r w:rsidR="003E723B">
      <w:fldChar w:fldCharType="separate"/>
    </w:r>
    <w:r w:rsidR="009B5866">
      <w:t>18.07.00</w:t>
    </w:r>
    <w:r w:rsidR="003E723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5ABD" w14:textId="163FA112" w:rsidR="003E723B" w:rsidRDefault="00996539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9B5866">
      <w:t>P:\FRA\SG\CONSEIL\C23-EXT\000\009F.docx</w:t>
    </w:r>
    <w:r>
      <w:fldChar w:fldCharType="end"/>
    </w:r>
    <w:r w:rsidR="003E723B">
      <w:t xml:space="preserve"> (514579)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1C49" w14:textId="77777777" w:rsidR="003E723B" w:rsidRDefault="003E723B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D74A" w14:textId="77777777" w:rsidR="008C2690" w:rsidRDefault="008C2690">
      <w:r>
        <w:t>____________________</w:t>
      </w:r>
    </w:p>
  </w:footnote>
  <w:footnote w:type="continuationSeparator" w:id="0">
    <w:p w14:paraId="00CCD577" w14:textId="77777777" w:rsidR="008C2690" w:rsidRDefault="008C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3105" w14:textId="77777777" w:rsidR="003E723B" w:rsidRDefault="003E723B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14:paraId="5FD583A7" w14:textId="77777777" w:rsidR="003E723B" w:rsidRDefault="003E723B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0236" w14:textId="77777777" w:rsidR="003E723B" w:rsidRDefault="003E723B" w:rsidP="00475FB3">
    <w:pPr>
      <w:pStyle w:val="Head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2ED8F22" w14:textId="573D2069" w:rsidR="003E723B" w:rsidRDefault="003E723B" w:rsidP="00106B19">
    <w:pPr>
      <w:pStyle w:val="Header"/>
    </w:pPr>
    <w:r>
      <w:t>C23-EXT/9-F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3C"/>
    <w:rsid w:val="000067C7"/>
    <w:rsid w:val="00006D92"/>
    <w:rsid w:val="000079AE"/>
    <w:rsid w:val="00011B21"/>
    <w:rsid w:val="00013FE0"/>
    <w:rsid w:val="00014D61"/>
    <w:rsid w:val="0002393C"/>
    <w:rsid w:val="000267AD"/>
    <w:rsid w:val="000269A3"/>
    <w:rsid w:val="00036195"/>
    <w:rsid w:val="00036AC7"/>
    <w:rsid w:val="000402D0"/>
    <w:rsid w:val="00042C7D"/>
    <w:rsid w:val="0004498D"/>
    <w:rsid w:val="00047E28"/>
    <w:rsid w:val="000526E4"/>
    <w:rsid w:val="0006199E"/>
    <w:rsid w:val="00064FEC"/>
    <w:rsid w:val="00066297"/>
    <w:rsid w:val="00066678"/>
    <w:rsid w:val="00070139"/>
    <w:rsid w:val="00070C63"/>
    <w:rsid w:val="000754C1"/>
    <w:rsid w:val="00077ABD"/>
    <w:rsid w:val="0008445C"/>
    <w:rsid w:val="00084822"/>
    <w:rsid w:val="00085B77"/>
    <w:rsid w:val="000B197E"/>
    <w:rsid w:val="000C2378"/>
    <w:rsid w:val="000C3D48"/>
    <w:rsid w:val="000D0D0A"/>
    <w:rsid w:val="000D162B"/>
    <w:rsid w:val="000D5107"/>
    <w:rsid w:val="000E0504"/>
    <w:rsid w:val="000E18AF"/>
    <w:rsid w:val="000E6ABC"/>
    <w:rsid w:val="000F213C"/>
    <w:rsid w:val="000F3AAF"/>
    <w:rsid w:val="000F41D0"/>
    <w:rsid w:val="000F700D"/>
    <w:rsid w:val="0010113A"/>
    <w:rsid w:val="00103163"/>
    <w:rsid w:val="00106B19"/>
    <w:rsid w:val="00111223"/>
    <w:rsid w:val="0011502A"/>
    <w:rsid w:val="00115D93"/>
    <w:rsid w:val="001165B5"/>
    <w:rsid w:val="001169B2"/>
    <w:rsid w:val="001219FB"/>
    <w:rsid w:val="00124276"/>
    <w:rsid w:val="001247A8"/>
    <w:rsid w:val="00124C4D"/>
    <w:rsid w:val="00127140"/>
    <w:rsid w:val="0012786F"/>
    <w:rsid w:val="001378C0"/>
    <w:rsid w:val="00144615"/>
    <w:rsid w:val="001456B3"/>
    <w:rsid w:val="001502F3"/>
    <w:rsid w:val="00150BC1"/>
    <w:rsid w:val="00151124"/>
    <w:rsid w:val="0016022E"/>
    <w:rsid w:val="00164292"/>
    <w:rsid w:val="00167C0E"/>
    <w:rsid w:val="0017560E"/>
    <w:rsid w:val="00175686"/>
    <w:rsid w:val="0018279F"/>
    <w:rsid w:val="0018694A"/>
    <w:rsid w:val="0018783C"/>
    <w:rsid w:val="00190125"/>
    <w:rsid w:val="00191D31"/>
    <w:rsid w:val="00194719"/>
    <w:rsid w:val="0019736F"/>
    <w:rsid w:val="001A3287"/>
    <w:rsid w:val="001A6508"/>
    <w:rsid w:val="001B0B81"/>
    <w:rsid w:val="001B1716"/>
    <w:rsid w:val="001B20A9"/>
    <w:rsid w:val="001C2602"/>
    <w:rsid w:val="001C3176"/>
    <w:rsid w:val="001C6868"/>
    <w:rsid w:val="001D3FF3"/>
    <w:rsid w:val="001D4C31"/>
    <w:rsid w:val="001D619B"/>
    <w:rsid w:val="001E17F2"/>
    <w:rsid w:val="001E4D21"/>
    <w:rsid w:val="001F2A76"/>
    <w:rsid w:val="002003C4"/>
    <w:rsid w:val="002018D9"/>
    <w:rsid w:val="00206017"/>
    <w:rsid w:val="00207CD1"/>
    <w:rsid w:val="002152EB"/>
    <w:rsid w:val="00215519"/>
    <w:rsid w:val="00231116"/>
    <w:rsid w:val="00236375"/>
    <w:rsid w:val="002477A2"/>
    <w:rsid w:val="00247A80"/>
    <w:rsid w:val="00247FB4"/>
    <w:rsid w:val="00254AFB"/>
    <w:rsid w:val="00262579"/>
    <w:rsid w:val="00263A51"/>
    <w:rsid w:val="00267E02"/>
    <w:rsid w:val="00284125"/>
    <w:rsid w:val="00285752"/>
    <w:rsid w:val="00285C58"/>
    <w:rsid w:val="002876D8"/>
    <w:rsid w:val="0029123E"/>
    <w:rsid w:val="0029620D"/>
    <w:rsid w:val="002A1B60"/>
    <w:rsid w:val="002A1C06"/>
    <w:rsid w:val="002A22A4"/>
    <w:rsid w:val="002A5D44"/>
    <w:rsid w:val="002B51DE"/>
    <w:rsid w:val="002C023E"/>
    <w:rsid w:val="002C0F0B"/>
    <w:rsid w:val="002C1323"/>
    <w:rsid w:val="002C675A"/>
    <w:rsid w:val="002D1F37"/>
    <w:rsid w:val="002D414F"/>
    <w:rsid w:val="002E0BC4"/>
    <w:rsid w:val="002E5769"/>
    <w:rsid w:val="002F1B76"/>
    <w:rsid w:val="00300D46"/>
    <w:rsid w:val="00301E7D"/>
    <w:rsid w:val="0030627B"/>
    <w:rsid w:val="0030633B"/>
    <w:rsid w:val="00311653"/>
    <w:rsid w:val="00320D53"/>
    <w:rsid w:val="003214E4"/>
    <w:rsid w:val="0032503F"/>
    <w:rsid w:val="0033568E"/>
    <w:rsid w:val="00335E2D"/>
    <w:rsid w:val="0033641E"/>
    <w:rsid w:val="003432D7"/>
    <w:rsid w:val="00345C0D"/>
    <w:rsid w:val="003474C1"/>
    <w:rsid w:val="003531D5"/>
    <w:rsid w:val="003541F6"/>
    <w:rsid w:val="003553D7"/>
    <w:rsid w:val="00355C17"/>
    <w:rsid w:val="00355FF5"/>
    <w:rsid w:val="00361350"/>
    <w:rsid w:val="00370A80"/>
    <w:rsid w:val="00374938"/>
    <w:rsid w:val="0037530C"/>
    <w:rsid w:val="00382E50"/>
    <w:rsid w:val="00385752"/>
    <w:rsid w:val="00393BCD"/>
    <w:rsid w:val="00395A2B"/>
    <w:rsid w:val="003A0C30"/>
    <w:rsid w:val="003A2398"/>
    <w:rsid w:val="003A2D59"/>
    <w:rsid w:val="003B46BB"/>
    <w:rsid w:val="003C3FAE"/>
    <w:rsid w:val="003D2C29"/>
    <w:rsid w:val="003D63FC"/>
    <w:rsid w:val="003E0EC4"/>
    <w:rsid w:val="003E1BAD"/>
    <w:rsid w:val="003E2245"/>
    <w:rsid w:val="003E57CD"/>
    <w:rsid w:val="003E6942"/>
    <w:rsid w:val="003E723B"/>
    <w:rsid w:val="003F10E8"/>
    <w:rsid w:val="003F4128"/>
    <w:rsid w:val="003F762F"/>
    <w:rsid w:val="003F7F69"/>
    <w:rsid w:val="004038CB"/>
    <w:rsid w:val="0040546F"/>
    <w:rsid w:val="00423ECE"/>
    <w:rsid w:val="0042404A"/>
    <w:rsid w:val="00433BF1"/>
    <w:rsid w:val="00434276"/>
    <w:rsid w:val="004400C9"/>
    <w:rsid w:val="00442B42"/>
    <w:rsid w:val="00442E01"/>
    <w:rsid w:val="0044618F"/>
    <w:rsid w:val="00447E69"/>
    <w:rsid w:val="00451DB5"/>
    <w:rsid w:val="004563AD"/>
    <w:rsid w:val="00456909"/>
    <w:rsid w:val="00461531"/>
    <w:rsid w:val="004668B4"/>
    <w:rsid w:val="00466E93"/>
    <w:rsid w:val="00466FB0"/>
    <w:rsid w:val="0046769A"/>
    <w:rsid w:val="00473857"/>
    <w:rsid w:val="00475E9D"/>
    <w:rsid w:val="00475FB3"/>
    <w:rsid w:val="0047674C"/>
    <w:rsid w:val="00481911"/>
    <w:rsid w:val="00486AF9"/>
    <w:rsid w:val="00492F15"/>
    <w:rsid w:val="00494574"/>
    <w:rsid w:val="00497887"/>
    <w:rsid w:val="004A02E3"/>
    <w:rsid w:val="004A29AF"/>
    <w:rsid w:val="004A2D17"/>
    <w:rsid w:val="004A4AA9"/>
    <w:rsid w:val="004A7E2F"/>
    <w:rsid w:val="004B3CCF"/>
    <w:rsid w:val="004B4DCC"/>
    <w:rsid w:val="004B7144"/>
    <w:rsid w:val="004C1F70"/>
    <w:rsid w:val="004C37A9"/>
    <w:rsid w:val="004C591A"/>
    <w:rsid w:val="004C7CFE"/>
    <w:rsid w:val="004D1D50"/>
    <w:rsid w:val="004D4385"/>
    <w:rsid w:val="004E0AF1"/>
    <w:rsid w:val="004E4BDD"/>
    <w:rsid w:val="004E70BF"/>
    <w:rsid w:val="004F0C1C"/>
    <w:rsid w:val="004F259E"/>
    <w:rsid w:val="004F42BF"/>
    <w:rsid w:val="004F58C4"/>
    <w:rsid w:val="004F591E"/>
    <w:rsid w:val="00501233"/>
    <w:rsid w:val="00501ECB"/>
    <w:rsid w:val="00503115"/>
    <w:rsid w:val="00503FA2"/>
    <w:rsid w:val="005106B6"/>
    <w:rsid w:val="00511F1D"/>
    <w:rsid w:val="00512788"/>
    <w:rsid w:val="00520F36"/>
    <w:rsid w:val="005236C6"/>
    <w:rsid w:val="00531462"/>
    <w:rsid w:val="00531542"/>
    <w:rsid w:val="00540615"/>
    <w:rsid w:val="00540A6D"/>
    <w:rsid w:val="00546268"/>
    <w:rsid w:val="00546B5A"/>
    <w:rsid w:val="00551CC6"/>
    <w:rsid w:val="00552579"/>
    <w:rsid w:val="0055327C"/>
    <w:rsid w:val="005539C2"/>
    <w:rsid w:val="00557A38"/>
    <w:rsid w:val="00561AC9"/>
    <w:rsid w:val="00571EEA"/>
    <w:rsid w:val="00572576"/>
    <w:rsid w:val="00575417"/>
    <w:rsid w:val="005768E1"/>
    <w:rsid w:val="0058275D"/>
    <w:rsid w:val="00586798"/>
    <w:rsid w:val="00586C83"/>
    <w:rsid w:val="00590AF4"/>
    <w:rsid w:val="00591A77"/>
    <w:rsid w:val="00595499"/>
    <w:rsid w:val="005A3F43"/>
    <w:rsid w:val="005B1938"/>
    <w:rsid w:val="005B3EB7"/>
    <w:rsid w:val="005B4C2F"/>
    <w:rsid w:val="005C0E44"/>
    <w:rsid w:val="005C3890"/>
    <w:rsid w:val="005E021A"/>
    <w:rsid w:val="005E5BFC"/>
    <w:rsid w:val="005F038D"/>
    <w:rsid w:val="005F0C1A"/>
    <w:rsid w:val="005F763B"/>
    <w:rsid w:val="005F7BFE"/>
    <w:rsid w:val="00600017"/>
    <w:rsid w:val="00605F03"/>
    <w:rsid w:val="00607FFE"/>
    <w:rsid w:val="006147EA"/>
    <w:rsid w:val="00615E39"/>
    <w:rsid w:val="006207DC"/>
    <w:rsid w:val="006235CA"/>
    <w:rsid w:val="00624873"/>
    <w:rsid w:val="00627C1D"/>
    <w:rsid w:val="00627F3A"/>
    <w:rsid w:val="00647224"/>
    <w:rsid w:val="00653983"/>
    <w:rsid w:val="00661FC0"/>
    <w:rsid w:val="0066222E"/>
    <w:rsid w:val="006643AB"/>
    <w:rsid w:val="00670EEC"/>
    <w:rsid w:val="00674C15"/>
    <w:rsid w:val="0067525F"/>
    <w:rsid w:val="00680133"/>
    <w:rsid w:val="00684338"/>
    <w:rsid w:val="00685155"/>
    <w:rsid w:val="00685D2B"/>
    <w:rsid w:val="00686AD3"/>
    <w:rsid w:val="00690A33"/>
    <w:rsid w:val="00691CD2"/>
    <w:rsid w:val="00695F4A"/>
    <w:rsid w:val="006B3459"/>
    <w:rsid w:val="006C02AF"/>
    <w:rsid w:val="006C4F46"/>
    <w:rsid w:val="006C4F47"/>
    <w:rsid w:val="006C5827"/>
    <w:rsid w:val="006C6763"/>
    <w:rsid w:val="006C6BAD"/>
    <w:rsid w:val="006C6FD9"/>
    <w:rsid w:val="006D5C47"/>
    <w:rsid w:val="006D6E0B"/>
    <w:rsid w:val="006E335D"/>
    <w:rsid w:val="006E3390"/>
    <w:rsid w:val="006E3E41"/>
    <w:rsid w:val="006F06A0"/>
    <w:rsid w:val="006F0A53"/>
    <w:rsid w:val="006F34E3"/>
    <w:rsid w:val="006F4C75"/>
    <w:rsid w:val="00700817"/>
    <w:rsid w:val="00702ED2"/>
    <w:rsid w:val="00710F82"/>
    <w:rsid w:val="007125BB"/>
    <w:rsid w:val="00712904"/>
    <w:rsid w:val="00720720"/>
    <w:rsid w:val="007210CD"/>
    <w:rsid w:val="00723375"/>
    <w:rsid w:val="00725CCE"/>
    <w:rsid w:val="00726337"/>
    <w:rsid w:val="0073187B"/>
    <w:rsid w:val="00732045"/>
    <w:rsid w:val="00732624"/>
    <w:rsid w:val="0073377E"/>
    <w:rsid w:val="0073438F"/>
    <w:rsid w:val="007369DB"/>
    <w:rsid w:val="00740665"/>
    <w:rsid w:val="00745C95"/>
    <w:rsid w:val="00745D32"/>
    <w:rsid w:val="00746172"/>
    <w:rsid w:val="0076296C"/>
    <w:rsid w:val="007645CD"/>
    <w:rsid w:val="007658E6"/>
    <w:rsid w:val="0077287D"/>
    <w:rsid w:val="00774F8B"/>
    <w:rsid w:val="00781164"/>
    <w:rsid w:val="00781700"/>
    <w:rsid w:val="00781F95"/>
    <w:rsid w:val="00785F32"/>
    <w:rsid w:val="007864B5"/>
    <w:rsid w:val="00792B99"/>
    <w:rsid w:val="007949F7"/>
    <w:rsid w:val="007956C2"/>
    <w:rsid w:val="007A0377"/>
    <w:rsid w:val="007A187E"/>
    <w:rsid w:val="007A41FD"/>
    <w:rsid w:val="007A4472"/>
    <w:rsid w:val="007B074B"/>
    <w:rsid w:val="007B3A5E"/>
    <w:rsid w:val="007B74EC"/>
    <w:rsid w:val="007C72C2"/>
    <w:rsid w:val="007C7610"/>
    <w:rsid w:val="007C787F"/>
    <w:rsid w:val="007C7ED9"/>
    <w:rsid w:val="007D1A49"/>
    <w:rsid w:val="007D4436"/>
    <w:rsid w:val="007D6999"/>
    <w:rsid w:val="007E2307"/>
    <w:rsid w:val="007E39F3"/>
    <w:rsid w:val="007E46B6"/>
    <w:rsid w:val="007E6B7C"/>
    <w:rsid w:val="007E7276"/>
    <w:rsid w:val="007F257A"/>
    <w:rsid w:val="007F3665"/>
    <w:rsid w:val="007F60B6"/>
    <w:rsid w:val="00800037"/>
    <w:rsid w:val="00801E9B"/>
    <w:rsid w:val="00804F3D"/>
    <w:rsid w:val="008134F7"/>
    <w:rsid w:val="00813A79"/>
    <w:rsid w:val="00817A3D"/>
    <w:rsid w:val="008239B9"/>
    <w:rsid w:val="008241E8"/>
    <w:rsid w:val="008250C1"/>
    <w:rsid w:val="00825CB2"/>
    <w:rsid w:val="0083391C"/>
    <w:rsid w:val="00836E5D"/>
    <w:rsid w:val="008407A3"/>
    <w:rsid w:val="008441E0"/>
    <w:rsid w:val="00850667"/>
    <w:rsid w:val="00855DDC"/>
    <w:rsid w:val="00861D73"/>
    <w:rsid w:val="0086401B"/>
    <w:rsid w:val="0086495C"/>
    <w:rsid w:val="00867952"/>
    <w:rsid w:val="00871F46"/>
    <w:rsid w:val="00880EA9"/>
    <w:rsid w:val="00883B61"/>
    <w:rsid w:val="0088516A"/>
    <w:rsid w:val="0089707C"/>
    <w:rsid w:val="00897553"/>
    <w:rsid w:val="008A1D90"/>
    <w:rsid w:val="008A4E87"/>
    <w:rsid w:val="008A6482"/>
    <w:rsid w:val="008A67C2"/>
    <w:rsid w:val="008C0CC7"/>
    <w:rsid w:val="008C1FFF"/>
    <w:rsid w:val="008C2690"/>
    <w:rsid w:val="008C32A9"/>
    <w:rsid w:val="008C398C"/>
    <w:rsid w:val="008D1333"/>
    <w:rsid w:val="008D3627"/>
    <w:rsid w:val="008D76E6"/>
    <w:rsid w:val="008D793D"/>
    <w:rsid w:val="008E6221"/>
    <w:rsid w:val="008F18E3"/>
    <w:rsid w:val="008F2F7B"/>
    <w:rsid w:val="00904ED4"/>
    <w:rsid w:val="009058CE"/>
    <w:rsid w:val="009107D9"/>
    <w:rsid w:val="00912E91"/>
    <w:rsid w:val="0091474C"/>
    <w:rsid w:val="00920373"/>
    <w:rsid w:val="0092392D"/>
    <w:rsid w:val="0093234A"/>
    <w:rsid w:val="00933089"/>
    <w:rsid w:val="00936953"/>
    <w:rsid w:val="00944C11"/>
    <w:rsid w:val="00945E6D"/>
    <w:rsid w:val="0094628D"/>
    <w:rsid w:val="00956A78"/>
    <w:rsid w:val="009663CA"/>
    <w:rsid w:val="009668C8"/>
    <w:rsid w:val="0097363B"/>
    <w:rsid w:val="00977386"/>
    <w:rsid w:val="009817CF"/>
    <w:rsid w:val="0099634E"/>
    <w:rsid w:val="00996539"/>
    <w:rsid w:val="009A395B"/>
    <w:rsid w:val="009B1E61"/>
    <w:rsid w:val="009B2457"/>
    <w:rsid w:val="009B368F"/>
    <w:rsid w:val="009B5866"/>
    <w:rsid w:val="009C307F"/>
    <w:rsid w:val="009C353C"/>
    <w:rsid w:val="009C3727"/>
    <w:rsid w:val="009C4874"/>
    <w:rsid w:val="009C6C73"/>
    <w:rsid w:val="009D18E7"/>
    <w:rsid w:val="009D4B4A"/>
    <w:rsid w:val="009E49DE"/>
    <w:rsid w:val="009F5579"/>
    <w:rsid w:val="009F55AA"/>
    <w:rsid w:val="00A133B2"/>
    <w:rsid w:val="00A16AB8"/>
    <w:rsid w:val="00A2113E"/>
    <w:rsid w:val="00A23A51"/>
    <w:rsid w:val="00A24607"/>
    <w:rsid w:val="00A25CD3"/>
    <w:rsid w:val="00A27818"/>
    <w:rsid w:val="00A31F62"/>
    <w:rsid w:val="00A32ACC"/>
    <w:rsid w:val="00A32F6F"/>
    <w:rsid w:val="00A37877"/>
    <w:rsid w:val="00A5406A"/>
    <w:rsid w:val="00A60249"/>
    <w:rsid w:val="00A61400"/>
    <w:rsid w:val="00A62C7B"/>
    <w:rsid w:val="00A709FE"/>
    <w:rsid w:val="00A8251F"/>
    <w:rsid w:val="00A82767"/>
    <w:rsid w:val="00A82C18"/>
    <w:rsid w:val="00A83B30"/>
    <w:rsid w:val="00A95674"/>
    <w:rsid w:val="00A95B40"/>
    <w:rsid w:val="00A96BDC"/>
    <w:rsid w:val="00A96E62"/>
    <w:rsid w:val="00A97F7F"/>
    <w:rsid w:val="00AA0156"/>
    <w:rsid w:val="00AA06EF"/>
    <w:rsid w:val="00AA332F"/>
    <w:rsid w:val="00AA3DF6"/>
    <w:rsid w:val="00AA51A3"/>
    <w:rsid w:val="00AA7BBB"/>
    <w:rsid w:val="00AB64A8"/>
    <w:rsid w:val="00AC0266"/>
    <w:rsid w:val="00AC0632"/>
    <w:rsid w:val="00AC2347"/>
    <w:rsid w:val="00AC3519"/>
    <w:rsid w:val="00AD24EC"/>
    <w:rsid w:val="00AD465C"/>
    <w:rsid w:val="00AD6A50"/>
    <w:rsid w:val="00AD70EA"/>
    <w:rsid w:val="00AE01A9"/>
    <w:rsid w:val="00AE1402"/>
    <w:rsid w:val="00AE28DD"/>
    <w:rsid w:val="00AE2CAD"/>
    <w:rsid w:val="00AE2DD4"/>
    <w:rsid w:val="00AF1E23"/>
    <w:rsid w:val="00AF20C2"/>
    <w:rsid w:val="00AF7A37"/>
    <w:rsid w:val="00B03D29"/>
    <w:rsid w:val="00B052A3"/>
    <w:rsid w:val="00B067BA"/>
    <w:rsid w:val="00B1024B"/>
    <w:rsid w:val="00B14EF2"/>
    <w:rsid w:val="00B20D1E"/>
    <w:rsid w:val="00B21973"/>
    <w:rsid w:val="00B309F9"/>
    <w:rsid w:val="00B3135F"/>
    <w:rsid w:val="00B32B60"/>
    <w:rsid w:val="00B4514F"/>
    <w:rsid w:val="00B4757C"/>
    <w:rsid w:val="00B60801"/>
    <w:rsid w:val="00B61619"/>
    <w:rsid w:val="00B65BFB"/>
    <w:rsid w:val="00B672A9"/>
    <w:rsid w:val="00B7098E"/>
    <w:rsid w:val="00B7178F"/>
    <w:rsid w:val="00B75EEE"/>
    <w:rsid w:val="00B80362"/>
    <w:rsid w:val="00B82A7E"/>
    <w:rsid w:val="00B83061"/>
    <w:rsid w:val="00B8524A"/>
    <w:rsid w:val="00B950A3"/>
    <w:rsid w:val="00B966E6"/>
    <w:rsid w:val="00BA109D"/>
    <w:rsid w:val="00BA1339"/>
    <w:rsid w:val="00BA6D0B"/>
    <w:rsid w:val="00BA7779"/>
    <w:rsid w:val="00BB4545"/>
    <w:rsid w:val="00BB57D0"/>
    <w:rsid w:val="00BD1021"/>
    <w:rsid w:val="00BD2881"/>
    <w:rsid w:val="00BD54F9"/>
    <w:rsid w:val="00BD5873"/>
    <w:rsid w:val="00BD5A61"/>
    <w:rsid w:val="00BD5BC7"/>
    <w:rsid w:val="00BD61EB"/>
    <w:rsid w:val="00BE0EEA"/>
    <w:rsid w:val="00BE7D2E"/>
    <w:rsid w:val="00BF433C"/>
    <w:rsid w:val="00BF66A8"/>
    <w:rsid w:val="00BF7EBB"/>
    <w:rsid w:val="00C006C9"/>
    <w:rsid w:val="00C00DBC"/>
    <w:rsid w:val="00C00E74"/>
    <w:rsid w:val="00C04BE3"/>
    <w:rsid w:val="00C05F41"/>
    <w:rsid w:val="00C206F4"/>
    <w:rsid w:val="00C20AC9"/>
    <w:rsid w:val="00C240A1"/>
    <w:rsid w:val="00C25D29"/>
    <w:rsid w:val="00C27A7C"/>
    <w:rsid w:val="00C3007A"/>
    <w:rsid w:val="00C421C2"/>
    <w:rsid w:val="00C459EF"/>
    <w:rsid w:val="00C477BC"/>
    <w:rsid w:val="00C47EC1"/>
    <w:rsid w:val="00C53F5D"/>
    <w:rsid w:val="00C60402"/>
    <w:rsid w:val="00C60ABF"/>
    <w:rsid w:val="00C6109A"/>
    <w:rsid w:val="00C6331B"/>
    <w:rsid w:val="00C635EC"/>
    <w:rsid w:val="00C75BA9"/>
    <w:rsid w:val="00C773EF"/>
    <w:rsid w:val="00C830DB"/>
    <w:rsid w:val="00C86CFE"/>
    <w:rsid w:val="00C94654"/>
    <w:rsid w:val="00CA08ED"/>
    <w:rsid w:val="00CA6C70"/>
    <w:rsid w:val="00CB3368"/>
    <w:rsid w:val="00CB5CDA"/>
    <w:rsid w:val="00CC2F44"/>
    <w:rsid w:val="00CC74AF"/>
    <w:rsid w:val="00CD3143"/>
    <w:rsid w:val="00CD5D24"/>
    <w:rsid w:val="00CE2A6F"/>
    <w:rsid w:val="00CE3822"/>
    <w:rsid w:val="00CE3C3C"/>
    <w:rsid w:val="00CF183B"/>
    <w:rsid w:val="00CF6EBD"/>
    <w:rsid w:val="00D03C60"/>
    <w:rsid w:val="00D15B4A"/>
    <w:rsid w:val="00D22C3A"/>
    <w:rsid w:val="00D23631"/>
    <w:rsid w:val="00D25EFB"/>
    <w:rsid w:val="00D26942"/>
    <w:rsid w:val="00D32F21"/>
    <w:rsid w:val="00D33E20"/>
    <w:rsid w:val="00D375CD"/>
    <w:rsid w:val="00D419CC"/>
    <w:rsid w:val="00D420FA"/>
    <w:rsid w:val="00D4265D"/>
    <w:rsid w:val="00D46757"/>
    <w:rsid w:val="00D50499"/>
    <w:rsid w:val="00D521E4"/>
    <w:rsid w:val="00D5383B"/>
    <w:rsid w:val="00D553A2"/>
    <w:rsid w:val="00D60E48"/>
    <w:rsid w:val="00D60E81"/>
    <w:rsid w:val="00D702A6"/>
    <w:rsid w:val="00D7141C"/>
    <w:rsid w:val="00D73F54"/>
    <w:rsid w:val="00D73FB3"/>
    <w:rsid w:val="00D774D3"/>
    <w:rsid w:val="00D8058A"/>
    <w:rsid w:val="00D8295D"/>
    <w:rsid w:val="00D86809"/>
    <w:rsid w:val="00D87E47"/>
    <w:rsid w:val="00D904E8"/>
    <w:rsid w:val="00D9375F"/>
    <w:rsid w:val="00D93B54"/>
    <w:rsid w:val="00D96060"/>
    <w:rsid w:val="00D9795D"/>
    <w:rsid w:val="00DA08C3"/>
    <w:rsid w:val="00DA0EFF"/>
    <w:rsid w:val="00DA1FCF"/>
    <w:rsid w:val="00DA2FE7"/>
    <w:rsid w:val="00DA4D77"/>
    <w:rsid w:val="00DA5DF2"/>
    <w:rsid w:val="00DB44F0"/>
    <w:rsid w:val="00DB5A3E"/>
    <w:rsid w:val="00DB5F33"/>
    <w:rsid w:val="00DC1080"/>
    <w:rsid w:val="00DC22AA"/>
    <w:rsid w:val="00DD2DFA"/>
    <w:rsid w:val="00DD36CB"/>
    <w:rsid w:val="00DE5DBD"/>
    <w:rsid w:val="00DF41A1"/>
    <w:rsid w:val="00DF42C8"/>
    <w:rsid w:val="00DF74DD"/>
    <w:rsid w:val="00E00B9F"/>
    <w:rsid w:val="00E05C7C"/>
    <w:rsid w:val="00E05CA2"/>
    <w:rsid w:val="00E07CFC"/>
    <w:rsid w:val="00E11D0A"/>
    <w:rsid w:val="00E13035"/>
    <w:rsid w:val="00E1450D"/>
    <w:rsid w:val="00E169C4"/>
    <w:rsid w:val="00E234A4"/>
    <w:rsid w:val="00E25AD0"/>
    <w:rsid w:val="00E32CD7"/>
    <w:rsid w:val="00E35C0C"/>
    <w:rsid w:val="00E40365"/>
    <w:rsid w:val="00E43B2B"/>
    <w:rsid w:val="00E50978"/>
    <w:rsid w:val="00E5236E"/>
    <w:rsid w:val="00E535AB"/>
    <w:rsid w:val="00E54134"/>
    <w:rsid w:val="00E54371"/>
    <w:rsid w:val="00E54DD8"/>
    <w:rsid w:val="00E5614A"/>
    <w:rsid w:val="00E73FD4"/>
    <w:rsid w:val="00E81948"/>
    <w:rsid w:val="00E85F71"/>
    <w:rsid w:val="00EA2C64"/>
    <w:rsid w:val="00EA4EA3"/>
    <w:rsid w:val="00EB2329"/>
    <w:rsid w:val="00EB3778"/>
    <w:rsid w:val="00EB6350"/>
    <w:rsid w:val="00EC43B0"/>
    <w:rsid w:val="00EC4DDD"/>
    <w:rsid w:val="00EC5FD1"/>
    <w:rsid w:val="00ED14BA"/>
    <w:rsid w:val="00ED71F9"/>
    <w:rsid w:val="00EE191B"/>
    <w:rsid w:val="00EE1EAE"/>
    <w:rsid w:val="00EE6D10"/>
    <w:rsid w:val="00EF2FF0"/>
    <w:rsid w:val="00EF3ED6"/>
    <w:rsid w:val="00EF5C1F"/>
    <w:rsid w:val="00EF6A11"/>
    <w:rsid w:val="00EF7FF0"/>
    <w:rsid w:val="00F003C9"/>
    <w:rsid w:val="00F0153A"/>
    <w:rsid w:val="00F02F6B"/>
    <w:rsid w:val="00F06635"/>
    <w:rsid w:val="00F10EF3"/>
    <w:rsid w:val="00F14C53"/>
    <w:rsid w:val="00F15B57"/>
    <w:rsid w:val="00F21415"/>
    <w:rsid w:val="00F233C6"/>
    <w:rsid w:val="00F30533"/>
    <w:rsid w:val="00F30D6F"/>
    <w:rsid w:val="00F35D1C"/>
    <w:rsid w:val="00F427DB"/>
    <w:rsid w:val="00F437A2"/>
    <w:rsid w:val="00F45ED6"/>
    <w:rsid w:val="00F501E0"/>
    <w:rsid w:val="00F52470"/>
    <w:rsid w:val="00F52C8C"/>
    <w:rsid w:val="00F56088"/>
    <w:rsid w:val="00F60960"/>
    <w:rsid w:val="00F64816"/>
    <w:rsid w:val="00F715E3"/>
    <w:rsid w:val="00F73DE0"/>
    <w:rsid w:val="00F7427B"/>
    <w:rsid w:val="00F7573C"/>
    <w:rsid w:val="00F76257"/>
    <w:rsid w:val="00F85B54"/>
    <w:rsid w:val="00F950EC"/>
    <w:rsid w:val="00FA4B3E"/>
    <w:rsid w:val="00FA5EB1"/>
    <w:rsid w:val="00FA6517"/>
    <w:rsid w:val="00FA7439"/>
    <w:rsid w:val="00FB416F"/>
    <w:rsid w:val="00FC0E32"/>
    <w:rsid w:val="00FC4EC0"/>
    <w:rsid w:val="00FD1C3C"/>
    <w:rsid w:val="00FD3CDD"/>
    <w:rsid w:val="00FD534F"/>
    <w:rsid w:val="00FD70B9"/>
    <w:rsid w:val="00FE2209"/>
    <w:rsid w:val="00FE4475"/>
    <w:rsid w:val="00FF0181"/>
    <w:rsid w:val="00FF29F8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854080"/>
  <w15:docId w15:val="{3811C999-9DE0-4253-AC21-88CCECAA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39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557A3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7A38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2-CEXT23-C-0003/en" TargetMode="External"/><Relationship Id="rId13" Type="http://schemas.openxmlformats.org/officeDocument/2006/relationships/hyperlink" Target="https://www.itu.int/md/S22-CEXT23-C-0004/fr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s://www.itu.int/md/S22-CEXT23-C-0004/en" TargetMode="External"/><Relationship Id="rId12" Type="http://schemas.openxmlformats.org/officeDocument/2006/relationships/hyperlink" Target="https://www.itu.int/en/council/2023/Documents/Chair_Opening_speech_C23-Ext-e.doc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itu.int/md/S22-CEXT23-C-0002/fr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tu.int/en/council/2023/Documents/SG_Opening_Remarks_C23_Ext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tu.int/md/S22-CEXT23-C-0005/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S22-CEXT23-C-0002/e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itu.int/md/S22-CEXT23-C-0005/en" TargetMode="External"/><Relationship Id="rId14" Type="http://schemas.openxmlformats.org/officeDocument/2006/relationships/hyperlink" Target="https://www.itu.int/md/S22-CEXT23-C-0003/fr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PF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PF_C22.dotx</Template>
  <TotalTime>1</TotalTime>
  <Pages>11</Pages>
  <Words>5734</Words>
  <Characters>31528</Characters>
  <Application>Microsoft Office Word</Application>
  <DocSecurity>4</DocSecurity>
  <Lines>262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>Secrétariat général - Pool</Manager>
  <Company>Union internationale des télécommunications (UIT)</Company>
  <LinksUpToDate>false</LinksUpToDate>
  <CharactersWithSpaces>37188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SESSION EXTRAORDINAIRE DU CONSEIL</dc:title>
  <dc:subject>Conseil 2023</dc:subject>
  <dc:creator>French</dc:creator>
  <cp:keywords>C23-EXT, C23, Council-23</cp:keywords>
  <dc:description/>
  <cp:lastModifiedBy>Xue, Kun</cp:lastModifiedBy>
  <cp:revision>2</cp:revision>
  <cp:lastPrinted>2000-07-18T08:55:00Z</cp:lastPrinted>
  <dcterms:created xsi:type="dcterms:W3CDTF">2022-11-29T09:47:00Z</dcterms:created>
  <dcterms:modified xsi:type="dcterms:W3CDTF">2022-11-29T09:47:00Z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