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E219" w14:textId="52D6A0D0" w:rsidR="00D83479" w:rsidRDefault="00D83479" w:rsidP="00D8347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20" w:lineRule="atLeas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2E5E0D" w14:paraId="0ED725D8" w14:textId="77777777" w:rsidTr="00625C45">
        <w:trPr>
          <w:trHeight w:val="1460"/>
        </w:trPr>
        <w:tc>
          <w:tcPr>
            <w:tcW w:w="6487" w:type="dxa"/>
          </w:tcPr>
          <w:p w14:paraId="1E8CCA73" w14:textId="62594825" w:rsidR="002E5E0D" w:rsidRDefault="002E5E0D" w:rsidP="002E5E0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48" w:line="320" w:lineRule="atLeast"/>
              <w:rPr>
                <w:sz w:val="36"/>
                <w:szCs w:val="36"/>
                <w:vertAlign w:val="superscript"/>
              </w:rPr>
            </w:pPr>
            <w:bookmarkStart w:id="0" w:name="_gjdgxs" w:colFirst="0" w:colLast="0"/>
            <w:bookmarkEnd w:id="0"/>
            <w:r w:rsidRPr="00F73F28">
              <w:rPr>
                <w:rFonts w:cstheme="minorHAnsi"/>
                <w:b/>
                <w:sz w:val="30"/>
                <w:szCs w:val="30"/>
              </w:rPr>
              <w:t>Informal Experts Group on WTPF-21</w:t>
            </w:r>
            <w:r w:rsidRPr="00F73F28">
              <w:rPr>
                <w:rFonts w:cstheme="minorHAnsi"/>
                <w:b/>
                <w:sz w:val="30"/>
                <w:szCs w:val="30"/>
              </w:rPr>
              <w:br/>
            </w:r>
            <w:r>
              <w:rPr>
                <w:b/>
              </w:rPr>
              <w:t xml:space="preserve">Fourth meeting – </w:t>
            </w:r>
            <w:r w:rsidR="00D05193">
              <w:rPr>
                <w:b/>
              </w:rPr>
              <w:t xml:space="preserve">Virtual meeting, </w:t>
            </w:r>
            <w:r w:rsidR="000D4E57">
              <w:rPr>
                <w:b/>
              </w:rPr>
              <w:t xml:space="preserve">1-2 </w:t>
            </w:r>
            <w:r>
              <w:rPr>
                <w:b/>
              </w:rPr>
              <w:t>February 2021</w:t>
            </w:r>
          </w:p>
        </w:tc>
        <w:tc>
          <w:tcPr>
            <w:tcW w:w="3544" w:type="dxa"/>
          </w:tcPr>
          <w:p w14:paraId="1A3F70CD" w14:textId="2EF77ED6" w:rsidR="002E5E0D" w:rsidRPr="002E5E0D" w:rsidRDefault="002E5E0D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</w:pPr>
            <w:bookmarkStart w:id="1" w:name="_30j0zll" w:colFirst="0" w:colLast="0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7C99601" wp14:editId="3B8CA265">
                  <wp:extent cx="6823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79" w14:paraId="08C897A5" w14:textId="77777777" w:rsidTr="00892A0A">
        <w:tc>
          <w:tcPr>
            <w:tcW w:w="6487" w:type="dxa"/>
            <w:tcBorders>
              <w:top w:val="single" w:sz="12" w:space="0" w:color="000000"/>
            </w:tcBorders>
          </w:tcPr>
          <w:p w14:paraId="7502D1A9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  <w:rPr>
                <w:b/>
                <w:smallCaps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8323284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</w:pPr>
          </w:p>
        </w:tc>
      </w:tr>
      <w:tr w:rsidR="00D83479" w14:paraId="6626C170" w14:textId="77777777" w:rsidTr="00892A0A">
        <w:trPr>
          <w:trHeight w:val="20"/>
        </w:trPr>
        <w:tc>
          <w:tcPr>
            <w:tcW w:w="6487" w:type="dxa"/>
            <w:vMerge w:val="restart"/>
          </w:tcPr>
          <w:p w14:paraId="126E566F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0" w:line="320" w:lineRule="atLeast"/>
              <w:rPr>
                <w:b/>
              </w:rPr>
            </w:pPr>
          </w:p>
        </w:tc>
        <w:tc>
          <w:tcPr>
            <w:tcW w:w="3544" w:type="dxa"/>
          </w:tcPr>
          <w:p w14:paraId="2DF68A5C" w14:textId="2F940FBB" w:rsidR="00D83479" w:rsidRPr="000D4E57" w:rsidRDefault="00D05193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  <w:lang w:val="fr-FR"/>
              </w:rPr>
            </w:pPr>
            <w:r w:rsidRPr="00683243">
              <w:rPr>
                <w:b/>
                <w:bCs/>
                <w:lang w:val="fr-CH" w:eastAsia="en-GB"/>
              </w:rPr>
              <w:t>Document IEG-WTPF-21-</w:t>
            </w:r>
            <w:r>
              <w:rPr>
                <w:b/>
                <w:bCs/>
                <w:lang w:val="fr-CH" w:eastAsia="en-GB"/>
              </w:rPr>
              <w:t>4</w:t>
            </w:r>
            <w:r w:rsidRPr="00683243">
              <w:rPr>
                <w:b/>
                <w:bCs/>
                <w:lang w:val="fr-CH" w:eastAsia="en-GB"/>
              </w:rPr>
              <w:t>/</w:t>
            </w:r>
            <w:r w:rsidR="006F74E0">
              <w:rPr>
                <w:b/>
                <w:bCs/>
                <w:lang w:val="fr-CH" w:eastAsia="en-GB"/>
              </w:rPr>
              <w:t>3</w:t>
            </w:r>
            <w:r>
              <w:rPr>
                <w:b/>
                <w:bCs/>
                <w:lang w:val="fr-CH" w:eastAsia="en-GB"/>
              </w:rPr>
              <w:t>-</w:t>
            </w:r>
            <w:r w:rsidRPr="00683243">
              <w:rPr>
                <w:b/>
                <w:bCs/>
                <w:lang w:val="fr-CH" w:eastAsia="en-GB"/>
              </w:rPr>
              <w:t>E</w:t>
            </w:r>
          </w:p>
        </w:tc>
      </w:tr>
      <w:tr w:rsidR="00D83479" w14:paraId="311073B8" w14:textId="77777777" w:rsidTr="00892A0A">
        <w:trPr>
          <w:trHeight w:val="20"/>
        </w:trPr>
        <w:tc>
          <w:tcPr>
            <w:tcW w:w="6487" w:type="dxa"/>
            <w:vMerge/>
          </w:tcPr>
          <w:p w14:paraId="77D7D39B" w14:textId="77777777" w:rsidR="00D83479" w:rsidRPr="000D4E57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  <w:lang w:val="fr-FR"/>
              </w:rPr>
            </w:pPr>
          </w:p>
        </w:tc>
        <w:tc>
          <w:tcPr>
            <w:tcW w:w="3544" w:type="dxa"/>
          </w:tcPr>
          <w:p w14:paraId="2DDDCD0F" w14:textId="46C6AC41" w:rsidR="00D83479" w:rsidRDefault="006F74E0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0" w:line="320" w:lineRule="atLeast"/>
              <w:rPr>
                <w:b/>
              </w:rPr>
            </w:pPr>
            <w:r>
              <w:rPr>
                <w:b/>
              </w:rPr>
              <w:t>23 December 2020</w:t>
            </w:r>
          </w:p>
        </w:tc>
      </w:tr>
      <w:tr w:rsidR="00D83479" w14:paraId="07281452" w14:textId="77777777" w:rsidTr="00892A0A">
        <w:trPr>
          <w:trHeight w:val="119"/>
        </w:trPr>
        <w:tc>
          <w:tcPr>
            <w:tcW w:w="6487" w:type="dxa"/>
            <w:vMerge/>
          </w:tcPr>
          <w:p w14:paraId="5F342751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</w:rPr>
            </w:pPr>
          </w:p>
        </w:tc>
        <w:tc>
          <w:tcPr>
            <w:tcW w:w="3544" w:type="dxa"/>
          </w:tcPr>
          <w:p w14:paraId="6ED54795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0" w:line="320" w:lineRule="atLeas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D83479" w14:paraId="4A7319AF" w14:textId="77777777" w:rsidTr="00892A0A">
        <w:trPr>
          <w:trHeight w:val="824"/>
        </w:trPr>
        <w:tc>
          <w:tcPr>
            <w:tcW w:w="10031" w:type="dxa"/>
            <w:gridSpan w:val="2"/>
          </w:tcPr>
          <w:p w14:paraId="27A04490" w14:textId="1FD440CC" w:rsidR="00952807" w:rsidRPr="00952807" w:rsidRDefault="00FF4803" w:rsidP="009528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0" w:line="320" w:lineRule="atLeast"/>
              <w:jc w:val="center"/>
              <w:rPr>
                <w:b/>
                <w:sz w:val="28"/>
                <w:szCs w:val="28"/>
              </w:rPr>
            </w:pPr>
            <w:r w:rsidRPr="00FF4803">
              <w:rPr>
                <w:b/>
                <w:sz w:val="28"/>
                <w:szCs w:val="28"/>
              </w:rPr>
              <w:t>Association for Progressive Communications (APC)</w:t>
            </w:r>
          </w:p>
        </w:tc>
      </w:tr>
      <w:tr w:rsidR="00D83479" w14:paraId="4290F773" w14:textId="77777777" w:rsidTr="00892A0A">
        <w:trPr>
          <w:trHeight w:val="912"/>
        </w:trPr>
        <w:tc>
          <w:tcPr>
            <w:tcW w:w="10031" w:type="dxa"/>
            <w:gridSpan w:val="2"/>
          </w:tcPr>
          <w:p w14:paraId="5B756AD9" w14:textId="7549B430" w:rsidR="00D83479" w:rsidRDefault="00FF4803" w:rsidP="00D051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20" w:lineRule="atLeast"/>
              <w:jc w:val="center"/>
            </w:pPr>
            <w:r w:rsidRPr="00FF4803">
              <w:rPr>
                <w:sz w:val="28"/>
                <w:szCs w:val="28"/>
              </w:rPr>
              <w:t>Draft Opinions for WTPF-21</w:t>
            </w:r>
          </w:p>
        </w:tc>
      </w:tr>
    </w:tbl>
    <w:p w14:paraId="401CF3CB" w14:textId="6CD607E8" w:rsidR="00FF4803" w:rsidRPr="00FF4803" w:rsidRDefault="00FF4803" w:rsidP="00FF4803">
      <w:pPr>
        <w:spacing w:before="120" w:after="120" w:line="240" w:lineRule="auto"/>
        <w:ind w:firstLine="0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  <w:r w:rsidRPr="00FF4803">
        <w:rPr>
          <w:rFonts w:asciiTheme="minorHAnsi" w:hAnsiTheme="minorHAnsi" w:cstheme="minorHAnsi"/>
          <w:b/>
          <w:bCs/>
          <w:sz w:val="24"/>
          <w:szCs w:val="24"/>
          <w:lang w:val="fr-CH"/>
        </w:rPr>
        <w:t>Introduction</w:t>
      </w:r>
    </w:p>
    <w:p w14:paraId="02F57271" w14:textId="62429D74" w:rsidR="00FF4803" w:rsidRPr="00FF4803" w:rsidRDefault="00FF4803" w:rsidP="00FF4803">
      <w:pPr>
        <w:spacing w:before="12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  <w:lang w:val="en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This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contribution </w:t>
      </w:r>
      <w:proofErr w:type="spellStart"/>
      <w:r w:rsidRPr="00FF4803">
        <w:rPr>
          <w:rFonts w:asciiTheme="minorHAnsi" w:hAnsiTheme="minorHAnsi" w:cstheme="minorHAnsi"/>
          <w:sz w:val="22"/>
        </w:rPr>
        <w:t>does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not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offer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new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Opinion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there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already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ten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(10) </w:t>
      </w:r>
      <w:proofErr w:type="spellStart"/>
      <w:r w:rsidRPr="00FF4803">
        <w:rPr>
          <w:rFonts w:asciiTheme="minorHAnsi" w:hAnsiTheme="minorHAnsi" w:cstheme="minorHAnsi"/>
          <w:sz w:val="22"/>
        </w:rPr>
        <w:t>Opinions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a </w:t>
      </w:r>
      <w:proofErr w:type="spellStart"/>
      <w:r w:rsidRPr="00FF4803">
        <w:rPr>
          <w:rFonts w:asciiTheme="minorHAnsi" w:hAnsiTheme="minorHAnsi" w:cstheme="minorHAnsi"/>
          <w:sz w:val="22"/>
        </w:rPr>
        <w:t>situation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where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Chair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has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requested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there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only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be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six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(6). </w:t>
      </w:r>
      <w:proofErr w:type="spellStart"/>
      <w:r w:rsidRPr="00FF4803">
        <w:rPr>
          <w:rFonts w:asciiTheme="minorHAnsi" w:hAnsiTheme="minorHAnsi" w:cstheme="minorHAnsi"/>
          <w:sz w:val="22"/>
        </w:rPr>
        <w:t>Instead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recommending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statements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request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be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considered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FF4803">
        <w:rPr>
          <w:rFonts w:asciiTheme="minorHAnsi" w:hAnsiTheme="minorHAnsi" w:cstheme="minorHAnsi"/>
          <w:sz w:val="22"/>
        </w:rPr>
        <w:t>insertion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into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combined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Opinion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when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becomes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available</w:t>
      </w:r>
      <w:proofErr w:type="spellEnd"/>
      <w:r w:rsidRPr="00FF4803">
        <w:rPr>
          <w:rFonts w:asciiTheme="minorHAnsi" w:hAnsiTheme="minorHAnsi" w:cstheme="minorHAnsi"/>
          <w:sz w:val="22"/>
        </w:rPr>
        <w:t>.</w:t>
      </w:r>
    </w:p>
    <w:p w14:paraId="6FC614BE" w14:textId="4ECB2476" w:rsidR="00FF4803" w:rsidRPr="00FF4803" w:rsidRDefault="00FF4803" w:rsidP="006F74E0">
      <w:pPr>
        <w:pStyle w:val="Heading2"/>
        <w:spacing w:before="600"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  <w:bookmarkStart w:id="2" w:name="_fvuebhfrtdiz"/>
      <w:bookmarkEnd w:id="2"/>
      <w:r w:rsidRPr="00FF4803">
        <w:rPr>
          <w:rFonts w:asciiTheme="minorHAnsi" w:eastAsia="Arial" w:hAnsiTheme="minorHAnsi" w:cstheme="minorHAnsi"/>
          <w:b/>
          <w:bCs/>
          <w:sz w:val="28"/>
          <w:szCs w:val="28"/>
        </w:rPr>
        <w:t>Re: Climate change mitigation and the environment:</w:t>
      </w:r>
    </w:p>
    <w:p w14:paraId="09F947C1" w14:textId="77777777" w:rsidR="00FF4803" w:rsidRPr="00FF4803" w:rsidRDefault="00FF4803" w:rsidP="006F74E0">
      <w:pPr>
        <w:spacing w:before="36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: </w:t>
      </w:r>
      <w:r w:rsidRPr="00FF4803">
        <w:rPr>
          <w:rFonts w:asciiTheme="minorHAnsi" w:hAnsiTheme="minorHAnsi" w:cstheme="minorHAnsi"/>
          <w:i/>
          <w:sz w:val="22"/>
          <w:u w:val="single"/>
        </w:rPr>
        <w:t>Recalling</w:t>
      </w:r>
      <w:r w:rsidRPr="00FF4803">
        <w:rPr>
          <w:rFonts w:asciiTheme="minorHAnsi" w:hAnsiTheme="minorHAnsi" w:cstheme="minorHAnsi"/>
          <w:sz w:val="22"/>
        </w:rPr>
        <w:t>:</w:t>
      </w:r>
    </w:p>
    <w:p w14:paraId="0024FBD5" w14:textId="0AFA5AC0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Resolution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182 (</w:t>
      </w:r>
      <w:proofErr w:type="spellStart"/>
      <w:r w:rsidRPr="00FF4803">
        <w:rPr>
          <w:rFonts w:asciiTheme="minorHAnsi" w:hAnsiTheme="minorHAnsi" w:cstheme="minorHAnsi"/>
          <w:sz w:val="22"/>
        </w:rPr>
        <w:t>Busan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2014) The </w:t>
      </w:r>
      <w:proofErr w:type="spellStart"/>
      <w:r w:rsidRPr="00FF4803">
        <w:rPr>
          <w:rFonts w:asciiTheme="minorHAnsi" w:hAnsiTheme="minorHAnsi" w:cstheme="minorHAnsi"/>
          <w:sz w:val="22"/>
        </w:rPr>
        <w:t>role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FF4803">
        <w:rPr>
          <w:rFonts w:asciiTheme="minorHAnsi" w:hAnsiTheme="minorHAnsi" w:cstheme="minorHAnsi"/>
          <w:sz w:val="22"/>
        </w:rPr>
        <w:t>telecommunications</w:t>
      </w:r>
      <w:proofErr w:type="spellEnd"/>
      <w:r w:rsidRPr="00FF4803">
        <w:rPr>
          <w:rFonts w:asciiTheme="minorHAnsi" w:hAnsiTheme="minorHAnsi" w:cstheme="minorHAnsi"/>
          <w:sz w:val="22"/>
        </w:rPr>
        <w:t>/</w:t>
      </w:r>
      <w:proofErr w:type="spellStart"/>
      <w:r w:rsidRPr="00FF4803">
        <w:rPr>
          <w:rFonts w:asciiTheme="minorHAnsi" w:hAnsiTheme="minorHAnsi" w:cstheme="minorHAnsi"/>
          <w:sz w:val="22"/>
        </w:rPr>
        <w:t>information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communication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technologies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regard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the </w:t>
      </w:r>
      <w:proofErr w:type="spellStart"/>
      <w:r w:rsidRPr="00FF4803">
        <w:rPr>
          <w:rFonts w:asciiTheme="minorHAnsi" w:hAnsiTheme="minorHAnsi" w:cstheme="minorHAnsi"/>
          <w:sz w:val="22"/>
        </w:rPr>
        <w:t>protection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the </w:t>
      </w:r>
      <w:proofErr w:type="spellStart"/>
      <w:r w:rsidRPr="00FF4803">
        <w:rPr>
          <w:rFonts w:asciiTheme="minorHAnsi" w:hAnsiTheme="minorHAnsi" w:cstheme="minorHAnsi"/>
          <w:sz w:val="22"/>
        </w:rPr>
        <w:t>environment</w:t>
      </w:r>
      <w:proofErr w:type="spellEnd"/>
    </w:p>
    <w:p w14:paraId="46241F47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Resolution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66 (</w:t>
      </w:r>
      <w:proofErr w:type="spellStart"/>
      <w:r w:rsidRPr="00FF4803">
        <w:rPr>
          <w:rFonts w:asciiTheme="minorHAnsi" w:hAnsiTheme="minorHAnsi" w:cstheme="minorHAnsi"/>
          <w:sz w:val="22"/>
        </w:rPr>
        <w:t>Rev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FF4803">
        <w:rPr>
          <w:rFonts w:asciiTheme="minorHAnsi" w:hAnsiTheme="minorHAnsi" w:cstheme="minorHAnsi"/>
          <w:sz w:val="22"/>
        </w:rPr>
        <w:t>Dubai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2014) of WTDC, </w:t>
      </w:r>
      <w:proofErr w:type="spellStart"/>
      <w:r w:rsidRPr="00FF4803">
        <w:rPr>
          <w:rFonts w:asciiTheme="minorHAnsi" w:hAnsiTheme="minorHAnsi" w:cstheme="minorHAnsi"/>
          <w:sz w:val="22"/>
        </w:rPr>
        <w:t>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ICT and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in </w:t>
      </w:r>
      <w:proofErr w:type="spellStart"/>
      <w:r w:rsidRPr="00FF4803">
        <w:rPr>
          <w:rFonts w:asciiTheme="minorHAnsi" w:hAnsiTheme="minorHAnsi" w:cstheme="minorHAnsi"/>
          <w:sz w:val="22"/>
        </w:rPr>
        <w:t>particular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instruction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the Telecommunication </w:t>
      </w:r>
      <w:proofErr w:type="spellStart"/>
      <w:r w:rsidRPr="00FF4803">
        <w:rPr>
          <w:rFonts w:asciiTheme="minorHAnsi" w:hAnsiTheme="minorHAnsi" w:cstheme="minorHAnsi"/>
          <w:sz w:val="22"/>
        </w:rPr>
        <w:t>Development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Advisory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Group (TDAG) to </w:t>
      </w:r>
      <w:proofErr w:type="spellStart"/>
      <w:r w:rsidRPr="00FF4803">
        <w:rPr>
          <w:rFonts w:asciiTheme="minorHAnsi" w:hAnsiTheme="minorHAnsi" w:cstheme="minorHAnsi"/>
          <w:sz w:val="22"/>
        </w:rPr>
        <w:t>consider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possible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working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methods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meet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objectives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the EWM </w:t>
      </w:r>
      <w:proofErr w:type="spellStart"/>
      <w:r w:rsidRPr="00FF4803">
        <w:rPr>
          <w:rFonts w:asciiTheme="minorHAnsi" w:hAnsiTheme="minorHAnsi" w:cstheme="minorHAnsi"/>
          <w:sz w:val="22"/>
        </w:rPr>
        <w:t>initiatives</w:t>
      </w:r>
      <w:proofErr w:type="spellEnd"/>
    </w:p>
    <w:p w14:paraId="50355919" w14:textId="6C9E5AE4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Resolution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73 (</w:t>
      </w:r>
      <w:proofErr w:type="spellStart"/>
      <w:r w:rsidRPr="00FF4803">
        <w:rPr>
          <w:rFonts w:asciiTheme="minorHAnsi" w:hAnsiTheme="minorHAnsi" w:cstheme="minorHAnsi"/>
          <w:sz w:val="22"/>
        </w:rPr>
        <w:t>Rev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FF4803">
        <w:rPr>
          <w:rFonts w:asciiTheme="minorHAnsi" w:hAnsiTheme="minorHAnsi" w:cstheme="minorHAnsi"/>
          <w:sz w:val="22"/>
        </w:rPr>
        <w:t>Dubai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2012) of WTSA, </w:t>
      </w:r>
      <w:proofErr w:type="spellStart"/>
      <w:r w:rsidRPr="00FF4803">
        <w:rPr>
          <w:rFonts w:asciiTheme="minorHAnsi" w:hAnsiTheme="minorHAnsi" w:cstheme="minorHAnsi"/>
          <w:sz w:val="22"/>
        </w:rPr>
        <w:t>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ICTs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and, in </w:t>
      </w:r>
      <w:proofErr w:type="spellStart"/>
      <w:r w:rsidRPr="00FF4803">
        <w:rPr>
          <w:rFonts w:asciiTheme="minorHAnsi" w:hAnsiTheme="minorHAnsi" w:cstheme="minorHAnsi"/>
          <w:sz w:val="22"/>
        </w:rPr>
        <w:t>particular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F74E0">
        <w:rPr>
          <w:rFonts w:asciiTheme="minorHAnsi" w:hAnsiTheme="minorHAnsi" w:cstheme="minorHAnsi"/>
          <w:i/>
          <w:iCs/>
          <w:sz w:val="22"/>
        </w:rPr>
        <w:t>recognizing</w:t>
      </w:r>
      <w:proofErr w:type="spellEnd"/>
      <w:r w:rsidR="006F74E0" w:rsidRPr="006F74E0">
        <w:rPr>
          <w:rFonts w:asciiTheme="minorHAnsi" w:hAnsiTheme="minorHAnsi" w:cstheme="minorHAnsi"/>
          <w:i/>
          <w:iCs/>
          <w:sz w:val="22"/>
          <w:lang w:val="en-GB"/>
        </w:rPr>
        <w:t> </w:t>
      </w:r>
      <w:r w:rsidRPr="00FF4803">
        <w:rPr>
          <w:rFonts w:asciiTheme="minorHAnsi" w:hAnsiTheme="minorHAnsi" w:cstheme="minorHAnsi"/>
          <w:sz w:val="22"/>
        </w:rPr>
        <w:t xml:space="preserve">g) </w:t>
      </w:r>
      <w:proofErr w:type="spellStart"/>
      <w:r w:rsidRPr="00FF4803">
        <w:rPr>
          <w:rFonts w:asciiTheme="minorHAnsi" w:hAnsiTheme="minorHAnsi" w:cstheme="minorHAnsi"/>
          <w:sz w:val="22"/>
        </w:rPr>
        <w:t>thereof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concerning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energy-efficient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working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methods</w:t>
      </w:r>
      <w:proofErr w:type="spellEnd"/>
    </w:p>
    <w:p w14:paraId="28759984" w14:textId="512B7B4E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Article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11 (WCIT,2012)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Stating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that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Member States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are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encouraged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to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adopt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energy</w:t>
      </w:r>
      <w:proofErr w:type="spellEnd"/>
      <w:r w:rsidRPr="006F74E0">
        <w:rPr>
          <w:rFonts w:asciiTheme="minorHAnsi" w:hAnsiTheme="minorHAnsi" w:cstheme="minorHAnsi"/>
          <w:spacing w:val="2"/>
          <w:sz w:val="22"/>
        </w:rPr>
        <w:t xml:space="preserve"> </w:t>
      </w:r>
      <w:proofErr w:type="spellStart"/>
      <w:r w:rsidRPr="006F74E0">
        <w:rPr>
          <w:rFonts w:asciiTheme="minorHAnsi" w:hAnsiTheme="minorHAnsi" w:cstheme="minorHAnsi"/>
          <w:spacing w:val="2"/>
          <w:sz w:val="22"/>
        </w:rPr>
        <w:t>efficiency</w:t>
      </w:r>
      <w:proofErr w:type="spellEnd"/>
      <w:r w:rsidR="006F74E0" w:rsidRPr="006F74E0">
        <w:rPr>
          <w:rFonts w:asciiTheme="minorHAnsi" w:hAnsiTheme="minorHAnsi" w:cstheme="minorHAnsi"/>
          <w:spacing w:val="2"/>
          <w:sz w:val="22"/>
          <w:lang w:val="en-GB"/>
        </w:rPr>
        <w:t xml:space="preserve"> </w:t>
      </w:r>
      <w:r w:rsidRPr="006F74E0">
        <w:rPr>
          <w:rFonts w:asciiTheme="minorHAnsi" w:hAnsiTheme="minorHAnsi" w:cstheme="minorHAnsi"/>
          <w:spacing w:val="2"/>
          <w:sz w:val="22"/>
        </w:rPr>
        <w:t>and</w:t>
      </w:r>
      <w:r w:rsidRPr="00FF4803">
        <w:rPr>
          <w:rFonts w:asciiTheme="minorHAnsi" w:hAnsiTheme="minorHAnsi" w:cstheme="minorHAnsi"/>
          <w:sz w:val="22"/>
        </w:rPr>
        <w:t xml:space="preserve"> e-</w:t>
      </w:r>
      <w:proofErr w:type="spellStart"/>
      <w:r w:rsidRPr="00FF4803">
        <w:rPr>
          <w:rFonts w:asciiTheme="minorHAnsi" w:hAnsiTheme="minorHAnsi" w:cstheme="minorHAnsi"/>
          <w:sz w:val="22"/>
        </w:rPr>
        <w:t>waste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best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practices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taking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into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account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relevant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ITU-T </w:t>
      </w:r>
      <w:proofErr w:type="spellStart"/>
      <w:r w:rsidRPr="00FF4803">
        <w:rPr>
          <w:rFonts w:asciiTheme="minorHAnsi" w:hAnsiTheme="minorHAnsi" w:cstheme="minorHAnsi"/>
          <w:sz w:val="22"/>
        </w:rPr>
        <w:t>Recommendations</w:t>
      </w:r>
      <w:proofErr w:type="spellEnd"/>
      <w:r w:rsidRPr="00FF4803">
        <w:rPr>
          <w:rFonts w:asciiTheme="minorHAnsi" w:hAnsiTheme="minorHAnsi" w:cstheme="minorHAnsi"/>
          <w:sz w:val="22"/>
        </w:rPr>
        <w:t>.</w:t>
      </w:r>
    </w:p>
    <w:p w14:paraId="0636B4F9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Resolution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182 (</w:t>
      </w:r>
      <w:proofErr w:type="spellStart"/>
      <w:r w:rsidRPr="00FF4803">
        <w:rPr>
          <w:rFonts w:asciiTheme="minorHAnsi" w:hAnsiTheme="minorHAnsi" w:cstheme="minorHAnsi"/>
          <w:sz w:val="22"/>
        </w:rPr>
        <w:t>Guadalajara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2010) The </w:t>
      </w:r>
      <w:proofErr w:type="spellStart"/>
      <w:r w:rsidRPr="00FF4803">
        <w:rPr>
          <w:rFonts w:asciiTheme="minorHAnsi" w:hAnsiTheme="minorHAnsi" w:cstheme="minorHAnsi"/>
          <w:sz w:val="22"/>
        </w:rPr>
        <w:t>role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FF4803">
        <w:rPr>
          <w:rFonts w:asciiTheme="minorHAnsi" w:hAnsiTheme="minorHAnsi" w:cstheme="minorHAnsi"/>
          <w:sz w:val="22"/>
        </w:rPr>
        <w:t>telecommunications</w:t>
      </w:r>
      <w:proofErr w:type="spellEnd"/>
      <w:r w:rsidRPr="00FF4803">
        <w:rPr>
          <w:rFonts w:asciiTheme="minorHAnsi" w:hAnsiTheme="minorHAnsi" w:cstheme="minorHAnsi"/>
          <w:sz w:val="22"/>
        </w:rPr>
        <w:t>/</w:t>
      </w:r>
      <w:proofErr w:type="spellStart"/>
      <w:r w:rsidRPr="00FF4803">
        <w:rPr>
          <w:rFonts w:asciiTheme="minorHAnsi" w:hAnsiTheme="minorHAnsi" w:cstheme="minorHAnsi"/>
          <w:sz w:val="22"/>
        </w:rPr>
        <w:t>ICTs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the </w:t>
      </w:r>
      <w:proofErr w:type="spellStart"/>
      <w:r w:rsidRPr="00FF4803">
        <w:rPr>
          <w:rFonts w:asciiTheme="minorHAnsi" w:hAnsiTheme="minorHAnsi" w:cstheme="minorHAnsi"/>
          <w:sz w:val="22"/>
        </w:rPr>
        <w:t>protection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the </w:t>
      </w:r>
      <w:proofErr w:type="spellStart"/>
      <w:r w:rsidRPr="00FF4803">
        <w:rPr>
          <w:rFonts w:asciiTheme="minorHAnsi" w:hAnsiTheme="minorHAnsi" w:cstheme="minorHAnsi"/>
          <w:sz w:val="22"/>
        </w:rPr>
        <w:t>environment</w:t>
      </w:r>
      <w:proofErr w:type="spellEnd"/>
    </w:p>
    <w:p w14:paraId="5795584D" w14:textId="77777777" w:rsidR="00FF4803" w:rsidRPr="00FF4803" w:rsidRDefault="00FF4803" w:rsidP="006F74E0">
      <w:pPr>
        <w:keepNext/>
        <w:keepLines/>
        <w:spacing w:before="36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r w:rsidRPr="00FF4803">
        <w:rPr>
          <w:rFonts w:asciiTheme="minorHAnsi" w:hAnsiTheme="minorHAnsi" w:cstheme="minorHAnsi"/>
          <w:i/>
          <w:sz w:val="22"/>
          <w:u w:val="single"/>
        </w:rPr>
        <w:t>Considering</w:t>
      </w:r>
      <w:r w:rsidRPr="00FF4803">
        <w:rPr>
          <w:rFonts w:asciiTheme="minorHAnsi" w:hAnsiTheme="minorHAnsi" w:cstheme="minorHAnsi"/>
          <w:sz w:val="22"/>
        </w:rPr>
        <w:t>:</w:t>
      </w:r>
    </w:p>
    <w:p w14:paraId="3F029719" w14:textId="77777777" w:rsidR="00FF4803" w:rsidRPr="00FF4803" w:rsidRDefault="00FF4803" w:rsidP="006F74E0">
      <w:pPr>
        <w:keepNext/>
        <w:keepLines/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Opinion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3 of the 2009 </w:t>
      </w:r>
      <w:proofErr w:type="spellStart"/>
      <w:r w:rsidRPr="00FF4803">
        <w:rPr>
          <w:rFonts w:asciiTheme="minorHAnsi" w:hAnsiTheme="minorHAnsi" w:cstheme="minorHAnsi"/>
          <w:sz w:val="22"/>
        </w:rPr>
        <w:t>World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Telecommunication Policy </w:t>
      </w:r>
      <w:proofErr w:type="spellStart"/>
      <w:r w:rsidRPr="00FF4803">
        <w:rPr>
          <w:rFonts w:asciiTheme="minorHAnsi" w:hAnsiTheme="minorHAnsi" w:cstheme="minorHAnsi"/>
          <w:sz w:val="22"/>
        </w:rPr>
        <w:t>Forum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(ICT and the </w:t>
      </w:r>
      <w:proofErr w:type="spellStart"/>
      <w:r w:rsidRPr="00FF4803">
        <w:rPr>
          <w:rFonts w:asciiTheme="minorHAnsi" w:hAnsiTheme="minorHAnsi" w:cstheme="minorHAnsi"/>
          <w:sz w:val="22"/>
        </w:rPr>
        <w:t>environment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), </w:t>
      </w:r>
      <w:proofErr w:type="spellStart"/>
      <w:r w:rsidRPr="00FF4803">
        <w:rPr>
          <w:rFonts w:asciiTheme="minorHAnsi" w:hAnsiTheme="minorHAnsi" w:cstheme="minorHAnsi"/>
          <w:sz w:val="22"/>
        </w:rPr>
        <w:t>which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recognizes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telecommunications</w:t>
      </w:r>
      <w:proofErr w:type="spellEnd"/>
      <w:r w:rsidRPr="00FF4803">
        <w:rPr>
          <w:rFonts w:asciiTheme="minorHAnsi" w:hAnsiTheme="minorHAnsi" w:cstheme="minorHAnsi"/>
          <w:sz w:val="22"/>
        </w:rPr>
        <w:t>/</w:t>
      </w:r>
      <w:proofErr w:type="spellStart"/>
      <w:r w:rsidRPr="00FF4803">
        <w:rPr>
          <w:rFonts w:asciiTheme="minorHAnsi" w:hAnsiTheme="minorHAnsi" w:cstheme="minorHAnsi"/>
          <w:sz w:val="22"/>
        </w:rPr>
        <w:t>ICTs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can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make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substantial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contribution to </w:t>
      </w:r>
      <w:proofErr w:type="spellStart"/>
      <w:r w:rsidRPr="00FF4803">
        <w:rPr>
          <w:rFonts w:asciiTheme="minorHAnsi" w:hAnsiTheme="minorHAnsi" w:cstheme="minorHAnsi"/>
          <w:sz w:val="22"/>
        </w:rPr>
        <w:t>mitigating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adapting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the </w:t>
      </w:r>
      <w:proofErr w:type="spellStart"/>
      <w:r w:rsidRPr="00FF4803">
        <w:rPr>
          <w:rFonts w:asciiTheme="minorHAnsi" w:hAnsiTheme="minorHAnsi" w:cstheme="minorHAnsi"/>
          <w:sz w:val="22"/>
        </w:rPr>
        <w:t>effects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calls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FF4803">
        <w:rPr>
          <w:rFonts w:asciiTheme="minorHAnsi" w:hAnsiTheme="minorHAnsi" w:cstheme="minorHAnsi"/>
          <w:sz w:val="22"/>
        </w:rPr>
        <w:t>formulating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future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inventions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efforts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FF4803">
        <w:rPr>
          <w:rFonts w:asciiTheme="minorHAnsi" w:hAnsiTheme="minorHAnsi" w:cstheme="minorHAnsi"/>
          <w:sz w:val="22"/>
        </w:rPr>
        <w:t>effectively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addressing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it</w:t>
      </w:r>
      <w:proofErr w:type="spellEnd"/>
    </w:p>
    <w:p w14:paraId="725C35A1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FF4803">
        <w:rPr>
          <w:rFonts w:asciiTheme="minorHAnsi" w:hAnsiTheme="minorHAnsi" w:cstheme="minorHAnsi"/>
          <w:sz w:val="22"/>
        </w:rPr>
        <w:t xml:space="preserve">The </w:t>
      </w:r>
      <w:proofErr w:type="spellStart"/>
      <w:r w:rsidRPr="00FF4803">
        <w:rPr>
          <w:rFonts w:asciiTheme="minorHAnsi" w:hAnsiTheme="minorHAnsi" w:cstheme="minorHAnsi"/>
          <w:sz w:val="22"/>
        </w:rPr>
        <w:t>outcomes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the </w:t>
      </w:r>
      <w:proofErr w:type="spellStart"/>
      <w:r w:rsidRPr="00FF4803">
        <w:rPr>
          <w:rFonts w:asciiTheme="minorHAnsi" w:hAnsiTheme="minorHAnsi" w:cstheme="minorHAnsi"/>
          <w:sz w:val="22"/>
        </w:rPr>
        <w:t>annual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United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Nations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conferences</w:t>
      </w:r>
      <w:proofErr w:type="spellEnd"/>
      <w:r w:rsidRPr="00FF4803">
        <w:rPr>
          <w:rFonts w:asciiTheme="minorHAnsi" w:hAnsiTheme="minorHAnsi" w:cstheme="minorHAnsi"/>
          <w:sz w:val="22"/>
        </w:rPr>
        <w:t>;</w:t>
      </w:r>
    </w:p>
    <w:p w14:paraId="5F24C080" w14:textId="77777777" w:rsidR="00FF4803" w:rsidRPr="00FF4803" w:rsidRDefault="00FF4803" w:rsidP="006F74E0">
      <w:pPr>
        <w:spacing w:before="48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r w:rsidRPr="00FF4803">
        <w:rPr>
          <w:rFonts w:asciiTheme="minorHAnsi" w:hAnsiTheme="minorHAnsi" w:cstheme="minorHAnsi"/>
          <w:i/>
          <w:sz w:val="22"/>
          <w:u w:val="single"/>
        </w:rPr>
        <w:t>Noting</w:t>
      </w:r>
      <w:r w:rsidRPr="00FF4803">
        <w:rPr>
          <w:rFonts w:asciiTheme="minorHAnsi" w:hAnsiTheme="minorHAnsi" w:cstheme="minorHAnsi"/>
          <w:sz w:val="22"/>
        </w:rPr>
        <w:t>:</w:t>
      </w:r>
    </w:p>
    <w:p w14:paraId="4E0B91D1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acknowledged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potential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threat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all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countries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needs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global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response</w:t>
      </w:r>
      <w:proofErr w:type="spellEnd"/>
      <w:r w:rsidRPr="00FF4803">
        <w:rPr>
          <w:rFonts w:asciiTheme="minorHAnsi" w:hAnsiTheme="minorHAnsi" w:cstheme="minorHAnsi"/>
          <w:sz w:val="22"/>
        </w:rPr>
        <w:t>;</w:t>
      </w:r>
    </w:p>
    <w:p w14:paraId="0B8568AD" w14:textId="0866051C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eastAsia="Arial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ITU Secretary General </w:t>
      </w:r>
      <w:proofErr w:type="spellStart"/>
      <w:r w:rsidRPr="00FF4803">
        <w:rPr>
          <w:rFonts w:asciiTheme="minorHAnsi" w:hAnsiTheme="minorHAnsi" w:cstheme="minorHAnsi"/>
          <w:sz w:val="22"/>
        </w:rPr>
        <w:t>has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said </w:t>
      </w: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“The UN </w:t>
      </w:r>
      <w:proofErr w:type="spellStart"/>
      <w:r w:rsidRPr="00FF4803">
        <w:rPr>
          <w:rFonts w:asciiTheme="minorHAnsi" w:hAnsiTheme="minorHAnsi" w:cstheme="minorHAnsi"/>
          <w:sz w:val="22"/>
        </w:rPr>
        <w:t>family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has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key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role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play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building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global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digital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ecosystem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the </w:t>
      </w:r>
      <w:proofErr w:type="spellStart"/>
      <w:r w:rsidRPr="00FF4803">
        <w:rPr>
          <w:rFonts w:asciiTheme="minorHAnsi" w:hAnsiTheme="minorHAnsi" w:cstheme="minorHAnsi"/>
          <w:sz w:val="22"/>
        </w:rPr>
        <w:t>environment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FF4803">
        <w:rPr>
          <w:rFonts w:asciiTheme="minorHAnsi" w:hAnsiTheme="minorHAnsi" w:cstheme="minorHAnsi"/>
          <w:sz w:val="22"/>
        </w:rPr>
        <w:t>This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report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FF4803">
        <w:rPr>
          <w:rFonts w:asciiTheme="minorHAnsi" w:hAnsiTheme="minorHAnsi" w:cstheme="minorHAnsi"/>
          <w:sz w:val="22"/>
        </w:rPr>
        <w:t>call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action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F4803">
        <w:rPr>
          <w:rFonts w:asciiTheme="minorHAnsi" w:hAnsiTheme="minorHAnsi" w:cstheme="minorHAnsi"/>
          <w:sz w:val="22"/>
        </w:rPr>
        <w:t>an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open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invitation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FF4803">
        <w:rPr>
          <w:rFonts w:asciiTheme="minorHAnsi" w:hAnsiTheme="minorHAnsi" w:cstheme="minorHAnsi"/>
          <w:sz w:val="22"/>
        </w:rPr>
        <w:t>governments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F4803">
        <w:rPr>
          <w:rFonts w:asciiTheme="minorHAnsi" w:hAnsiTheme="minorHAnsi" w:cstheme="minorHAnsi"/>
          <w:sz w:val="22"/>
        </w:rPr>
        <w:t>civil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society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F4803">
        <w:rPr>
          <w:rFonts w:asciiTheme="minorHAnsi" w:hAnsiTheme="minorHAnsi" w:cstheme="minorHAnsi"/>
          <w:sz w:val="22"/>
        </w:rPr>
        <w:t>academia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, the </w:t>
      </w:r>
      <w:proofErr w:type="spellStart"/>
      <w:r w:rsidRPr="00FF4803">
        <w:rPr>
          <w:rFonts w:asciiTheme="minorHAnsi" w:hAnsiTheme="minorHAnsi" w:cstheme="minorHAnsi"/>
          <w:sz w:val="22"/>
        </w:rPr>
        <w:t>scientific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community and the </w:t>
      </w:r>
      <w:proofErr w:type="spellStart"/>
      <w:r w:rsidRPr="00FF4803">
        <w:rPr>
          <w:rFonts w:asciiTheme="minorHAnsi" w:hAnsiTheme="minorHAnsi" w:cstheme="minorHAnsi"/>
          <w:sz w:val="22"/>
        </w:rPr>
        <w:t>technology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industry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join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UN </w:t>
      </w:r>
      <w:proofErr w:type="spellStart"/>
      <w:r w:rsidRPr="00FF4803">
        <w:rPr>
          <w:rFonts w:asciiTheme="minorHAnsi" w:hAnsiTheme="minorHAnsi" w:cstheme="minorHAnsi"/>
          <w:sz w:val="22"/>
        </w:rPr>
        <w:t>agencies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their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effort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leverage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frontier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technologies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FF4803">
        <w:rPr>
          <w:rFonts w:asciiTheme="minorHAnsi" w:hAnsiTheme="minorHAnsi" w:cstheme="minorHAnsi"/>
          <w:sz w:val="22"/>
        </w:rPr>
        <w:t>tackle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one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2 the </w:t>
      </w:r>
      <w:proofErr w:type="spellStart"/>
      <w:r w:rsidRPr="00FF4803">
        <w:rPr>
          <w:rFonts w:asciiTheme="minorHAnsi" w:hAnsiTheme="minorHAnsi" w:cstheme="minorHAnsi"/>
          <w:sz w:val="22"/>
        </w:rPr>
        <w:t>defining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issues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FF4803">
        <w:rPr>
          <w:rFonts w:asciiTheme="minorHAnsi" w:hAnsiTheme="minorHAnsi" w:cstheme="minorHAnsi"/>
          <w:sz w:val="22"/>
        </w:rPr>
        <w:t>our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time</w:t>
      </w:r>
      <w:proofErr w:type="spellEnd"/>
      <w:r w:rsidRPr="00FF4803">
        <w:rPr>
          <w:rFonts w:asciiTheme="minorHAnsi" w:hAnsiTheme="minorHAnsi" w:cstheme="minorHAnsi"/>
          <w:sz w:val="22"/>
        </w:rPr>
        <w:t>.”</w:t>
      </w:r>
      <w:r w:rsidRPr="00FF4803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FF4803">
        <w:rPr>
          <w:rFonts w:asciiTheme="minorHAnsi" w:hAnsiTheme="minorHAnsi" w:cstheme="minorHAnsi"/>
          <w:sz w:val="22"/>
        </w:rPr>
        <w:t xml:space="preserve">  </w:t>
      </w:r>
    </w:p>
    <w:p w14:paraId="56C999EB" w14:textId="77777777" w:rsidR="00FF4803" w:rsidRPr="00FF4803" w:rsidRDefault="00FF4803" w:rsidP="006F74E0">
      <w:pPr>
        <w:spacing w:before="480" w:after="120" w:line="240" w:lineRule="auto"/>
        <w:ind w:firstLine="0"/>
        <w:contextualSpacing w:val="0"/>
        <w:jc w:val="left"/>
        <w:rPr>
          <w:rFonts w:asciiTheme="minorHAnsi" w:hAnsiTheme="minorHAnsi" w:cstheme="minorHAnsi"/>
          <w:i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>:</w:t>
      </w:r>
      <w:r w:rsidRPr="00FF4803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i/>
          <w:sz w:val="22"/>
        </w:rPr>
        <w:t>Is</w:t>
      </w:r>
      <w:proofErr w:type="spellEnd"/>
      <w:r w:rsidRPr="00FF4803">
        <w:rPr>
          <w:rFonts w:asciiTheme="minorHAnsi" w:hAnsiTheme="minorHAnsi" w:cstheme="minorHAnsi"/>
          <w:i/>
          <w:sz w:val="22"/>
        </w:rPr>
        <w:t xml:space="preserve"> of the </w:t>
      </w:r>
      <w:proofErr w:type="spellStart"/>
      <w:r w:rsidRPr="00FF4803">
        <w:rPr>
          <w:rFonts w:asciiTheme="minorHAnsi" w:hAnsiTheme="minorHAnsi" w:cstheme="minorHAnsi"/>
          <w:i/>
          <w:sz w:val="22"/>
        </w:rPr>
        <w:t>view</w:t>
      </w:r>
      <w:proofErr w:type="spellEnd"/>
    </w:p>
    <w:p w14:paraId="3E04A629" w14:textId="41782D8C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That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policy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work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done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Telecommunications/</w:t>
      </w:r>
      <w:proofErr w:type="spellStart"/>
      <w:r w:rsidRPr="00FF4803">
        <w:rPr>
          <w:rFonts w:asciiTheme="minorHAnsi" w:hAnsiTheme="minorHAnsi" w:cstheme="minorHAnsi"/>
          <w:sz w:val="22"/>
        </w:rPr>
        <w:t>ICTs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must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take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into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account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mitigation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policy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development</w:t>
      </w:r>
      <w:proofErr w:type="spellEnd"/>
      <w:r w:rsidRPr="00FF4803">
        <w:rPr>
          <w:rFonts w:asciiTheme="minorHAnsi" w:hAnsiTheme="minorHAnsi" w:cstheme="minorHAnsi"/>
          <w:sz w:val="22"/>
        </w:rPr>
        <w:t>;</w:t>
      </w:r>
    </w:p>
    <w:p w14:paraId="3EEEA356" w14:textId="77777777" w:rsidR="00FF4803" w:rsidRPr="00FF4803" w:rsidRDefault="00FF4803" w:rsidP="006F74E0">
      <w:pPr>
        <w:spacing w:before="600" w:after="120" w:line="240" w:lineRule="auto"/>
        <w:ind w:firstLine="0"/>
        <w:contextualSpacing w:val="0"/>
        <w:jc w:val="left"/>
        <w:rPr>
          <w:rFonts w:asciiTheme="minorHAnsi" w:eastAsia="Calibr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eastAsia="Calibri" w:hAnsiTheme="minorHAnsi" w:cstheme="minorHAnsi"/>
          <w:i/>
          <w:sz w:val="22"/>
        </w:rPr>
        <w:t>invites</w:t>
      </w:r>
      <w:proofErr w:type="spellEnd"/>
      <w:r w:rsidRPr="00FF4803">
        <w:rPr>
          <w:rFonts w:asciiTheme="minorHAnsi" w:eastAsia="Calibri" w:hAnsiTheme="minorHAnsi" w:cstheme="minorHAnsi"/>
          <w:i/>
          <w:sz w:val="22"/>
        </w:rPr>
        <w:t xml:space="preserve"> Member States</w:t>
      </w:r>
      <w:r w:rsidRPr="00FF4803">
        <w:rPr>
          <w:rFonts w:asciiTheme="minorHAnsi" w:eastAsia="Calibri" w:hAnsiTheme="minorHAnsi" w:cstheme="minorHAnsi"/>
          <w:sz w:val="22"/>
        </w:rPr>
        <w:t xml:space="preserve"> </w:t>
      </w:r>
    </w:p>
    <w:p w14:paraId="7B436EC1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FF4803">
        <w:rPr>
          <w:rFonts w:asciiTheme="minorHAnsi" w:hAnsiTheme="minorHAnsi" w:cstheme="minorHAnsi"/>
          <w:sz w:val="22"/>
        </w:rPr>
        <w:t xml:space="preserve">To </w:t>
      </w:r>
      <w:proofErr w:type="spellStart"/>
      <w:r w:rsidRPr="00FF4803">
        <w:rPr>
          <w:rFonts w:asciiTheme="minorHAnsi" w:hAnsiTheme="minorHAnsi" w:cstheme="minorHAnsi"/>
          <w:sz w:val="22"/>
        </w:rPr>
        <w:t>explore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ways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which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impact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can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be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included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future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policy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considerations</w:t>
      </w:r>
      <w:proofErr w:type="spellEnd"/>
      <w:r w:rsidRPr="00FF4803">
        <w:rPr>
          <w:rFonts w:asciiTheme="minorHAnsi" w:hAnsiTheme="minorHAnsi" w:cstheme="minorHAnsi"/>
          <w:sz w:val="22"/>
        </w:rPr>
        <w:t>.</w:t>
      </w:r>
    </w:p>
    <w:p w14:paraId="5207CBD4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FF4803">
        <w:rPr>
          <w:rFonts w:asciiTheme="minorHAnsi" w:hAnsiTheme="minorHAnsi" w:cstheme="minorHAnsi"/>
          <w:sz w:val="22"/>
        </w:rPr>
        <w:t xml:space="preserve">To </w:t>
      </w:r>
      <w:proofErr w:type="spellStart"/>
      <w:r w:rsidRPr="00FF4803">
        <w:rPr>
          <w:rFonts w:asciiTheme="minorHAnsi" w:hAnsiTheme="minorHAnsi" w:cstheme="minorHAnsi"/>
          <w:sz w:val="22"/>
        </w:rPr>
        <w:t>foster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awareness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change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FF4803">
        <w:rPr>
          <w:rFonts w:asciiTheme="minorHAnsi" w:hAnsiTheme="minorHAnsi" w:cstheme="minorHAnsi"/>
          <w:sz w:val="22"/>
        </w:rPr>
        <w:t>its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mitigation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FF4803">
        <w:rPr>
          <w:rFonts w:asciiTheme="minorHAnsi" w:hAnsiTheme="minorHAnsi" w:cstheme="minorHAnsi"/>
          <w:sz w:val="22"/>
        </w:rPr>
        <w:t>future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policy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decisions</w:t>
      </w:r>
      <w:proofErr w:type="spellEnd"/>
      <w:r w:rsidRPr="00FF4803">
        <w:rPr>
          <w:rFonts w:asciiTheme="minorHAnsi" w:hAnsiTheme="minorHAnsi" w:cstheme="minorHAnsi"/>
          <w:sz w:val="22"/>
        </w:rPr>
        <w:t>.</w:t>
      </w:r>
    </w:p>
    <w:p w14:paraId="385B8627" w14:textId="77777777" w:rsidR="00FF4803" w:rsidRP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eastAsia="Calibri" w:hAnsiTheme="minorHAnsi" w:cstheme="minorHAnsi"/>
          <w:sz w:val="22"/>
        </w:rPr>
      </w:pPr>
      <w:proofErr w:type="spellStart"/>
      <w:r w:rsidRPr="00FF4803">
        <w:rPr>
          <w:rFonts w:asciiTheme="minorHAnsi" w:hAnsiTheme="minorHAnsi" w:cstheme="minorHAnsi"/>
          <w:sz w:val="22"/>
        </w:rPr>
        <w:t>Under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the </w:t>
      </w:r>
      <w:proofErr w:type="spellStart"/>
      <w:r w:rsidRPr="00FF4803">
        <w:rPr>
          <w:rFonts w:asciiTheme="minorHAnsi" w:hAnsiTheme="minorHAnsi" w:cstheme="minorHAnsi"/>
          <w:sz w:val="22"/>
        </w:rPr>
        <w:t>clause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eastAsia="Calibri" w:hAnsiTheme="minorHAnsi" w:cstheme="minorHAnsi"/>
          <w:i/>
          <w:sz w:val="22"/>
        </w:rPr>
        <w:t>invites</w:t>
      </w:r>
      <w:proofErr w:type="spellEnd"/>
      <w:r w:rsidRPr="00FF4803">
        <w:rPr>
          <w:rFonts w:asciiTheme="minorHAnsi" w:eastAsia="Calibri" w:hAnsiTheme="minorHAnsi" w:cstheme="minorHAnsi"/>
          <w:i/>
          <w:sz w:val="22"/>
        </w:rPr>
        <w:t xml:space="preserve"> Member States and </w:t>
      </w:r>
      <w:proofErr w:type="spellStart"/>
      <w:r w:rsidRPr="00FF4803">
        <w:rPr>
          <w:rFonts w:asciiTheme="minorHAnsi" w:eastAsia="Calibri" w:hAnsiTheme="minorHAnsi" w:cstheme="minorHAnsi"/>
          <w:i/>
          <w:sz w:val="22"/>
        </w:rPr>
        <w:t>other</w:t>
      </w:r>
      <w:proofErr w:type="spellEnd"/>
      <w:r w:rsidRPr="00FF4803">
        <w:rPr>
          <w:rFonts w:asciiTheme="minorHAnsi" w:eastAsia="Calibri" w:hAnsiTheme="minorHAnsi" w:cstheme="minorHAnsi"/>
          <w:i/>
          <w:sz w:val="22"/>
        </w:rPr>
        <w:t xml:space="preserve"> </w:t>
      </w:r>
      <w:proofErr w:type="spellStart"/>
      <w:r w:rsidRPr="00FF4803">
        <w:rPr>
          <w:rFonts w:asciiTheme="minorHAnsi" w:eastAsia="Calibri" w:hAnsiTheme="minorHAnsi" w:cstheme="minorHAnsi"/>
          <w:i/>
          <w:sz w:val="22"/>
        </w:rPr>
        <w:t>stakeholders</w:t>
      </w:r>
      <w:proofErr w:type="spellEnd"/>
      <w:r w:rsidRPr="00FF4803">
        <w:rPr>
          <w:rFonts w:asciiTheme="minorHAnsi" w:eastAsia="Calibri" w:hAnsiTheme="minorHAnsi" w:cstheme="minorHAnsi"/>
          <w:sz w:val="22"/>
        </w:rPr>
        <w:t xml:space="preserve"> </w:t>
      </w:r>
    </w:p>
    <w:p w14:paraId="02B4E269" w14:textId="4CDEA7F6" w:rsidR="00FF4803" w:rsidRDefault="00FF4803" w:rsidP="00FF4803">
      <w:pPr>
        <w:spacing w:before="240" w:after="120" w:line="240" w:lineRule="auto"/>
        <w:ind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FF4803">
        <w:rPr>
          <w:rFonts w:asciiTheme="minorHAnsi" w:hAnsiTheme="minorHAnsi" w:cstheme="minorHAnsi"/>
          <w:sz w:val="22"/>
        </w:rPr>
        <w:t xml:space="preserve">To </w:t>
      </w:r>
      <w:proofErr w:type="spellStart"/>
      <w:r w:rsidRPr="00FF4803">
        <w:rPr>
          <w:rFonts w:asciiTheme="minorHAnsi" w:hAnsiTheme="minorHAnsi" w:cstheme="minorHAnsi"/>
          <w:sz w:val="22"/>
        </w:rPr>
        <w:t>take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global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climate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impact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into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account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when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developing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F4803">
        <w:rPr>
          <w:rFonts w:asciiTheme="minorHAnsi" w:hAnsiTheme="minorHAnsi" w:cstheme="minorHAnsi"/>
          <w:sz w:val="22"/>
        </w:rPr>
        <w:t>policies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FF4803">
        <w:rPr>
          <w:rFonts w:asciiTheme="minorHAnsi" w:hAnsiTheme="minorHAnsi" w:cstheme="minorHAnsi"/>
          <w:sz w:val="22"/>
        </w:rPr>
        <w:t>new</w:t>
      </w:r>
      <w:proofErr w:type="spellEnd"/>
      <w:r w:rsidRPr="00FF4803">
        <w:rPr>
          <w:rFonts w:asciiTheme="minorHAnsi" w:hAnsiTheme="minorHAnsi" w:cstheme="minorHAnsi"/>
          <w:sz w:val="22"/>
        </w:rPr>
        <w:t xml:space="preserve"> Telecommunications/</w:t>
      </w:r>
      <w:proofErr w:type="spellStart"/>
      <w:r w:rsidRPr="00FF4803">
        <w:rPr>
          <w:rFonts w:asciiTheme="minorHAnsi" w:hAnsiTheme="minorHAnsi" w:cstheme="minorHAnsi"/>
          <w:sz w:val="22"/>
        </w:rPr>
        <w:t>ICTs</w:t>
      </w:r>
      <w:proofErr w:type="spellEnd"/>
    </w:p>
    <w:p w14:paraId="14DE6954" w14:textId="27142243" w:rsidR="00FF4803" w:rsidRPr="00FF4803" w:rsidRDefault="00FF4803" w:rsidP="00FF4803">
      <w:pPr>
        <w:spacing w:before="480" w:line="240" w:lineRule="auto"/>
        <w:ind w:firstLine="0"/>
        <w:contextualSpacing w:val="0"/>
        <w:jc w:val="center"/>
        <w:rPr>
          <w:rFonts w:asciiTheme="minorHAnsi" w:eastAsia="Arial" w:hAnsiTheme="minorHAnsi" w:cstheme="minorHAnsi"/>
          <w:sz w:val="22"/>
          <w:lang w:val="fr-CH"/>
        </w:rPr>
      </w:pPr>
      <w:r>
        <w:rPr>
          <w:rFonts w:asciiTheme="minorHAnsi" w:hAnsiTheme="minorHAnsi" w:cstheme="minorHAnsi"/>
          <w:sz w:val="22"/>
          <w:lang w:val="fr-CH"/>
        </w:rPr>
        <w:t>________________</w:t>
      </w:r>
    </w:p>
    <w:sectPr w:rsidR="00FF4803" w:rsidRPr="00FF4803" w:rsidSect="00665D2D">
      <w:headerReference w:type="default" r:id="rId7"/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1792" w14:textId="77777777" w:rsidR="00665D2D" w:rsidRDefault="00665D2D">
      <w:pPr>
        <w:spacing w:line="240" w:lineRule="auto"/>
      </w:pPr>
      <w:r>
        <w:separator/>
      </w:r>
    </w:p>
  </w:endnote>
  <w:endnote w:type="continuationSeparator" w:id="0">
    <w:p w14:paraId="610FD347" w14:textId="77777777" w:rsidR="00665D2D" w:rsidRDefault="0066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A869" w14:textId="77777777" w:rsidR="00665D2D" w:rsidRDefault="00665D2D">
      <w:pPr>
        <w:spacing w:line="240" w:lineRule="auto"/>
      </w:pPr>
      <w:r>
        <w:separator/>
      </w:r>
    </w:p>
  </w:footnote>
  <w:footnote w:type="continuationSeparator" w:id="0">
    <w:p w14:paraId="5A5FAEC5" w14:textId="77777777" w:rsidR="00665D2D" w:rsidRDefault="00665D2D">
      <w:pPr>
        <w:spacing w:line="240" w:lineRule="auto"/>
      </w:pPr>
      <w:r>
        <w:continuationSeparator/>
      </w:r>
    </w:p>
  </w:footnote>
  <w:footnote w:id="1">
    <w:p w14:paraId="5B1F80E5" w14:textId="77777777" w:rsidR="00FF4803" w:rsidRPr="006F74E0" w:rsidRDefault="00FF4803" w:rsidP="00FF4803">
      <w:pPr>
        <w:spacing w:line="240" w:lineRule="auto"/>
        <w:rPr>
          <w:rFonts w:ascii="Calibri" w:hAnsi="Calibri" w:cs="Calibri"/>
          <w:sz w:val="20"/>
          <w:szCs w:val="20"/>
        </w:rPr>
      </w:pPr>
      <w:r w:rsidRPr="006F74E0">
        <w:rPr>
          <w:rFonts w:ascii="Calibri" w:hAnsi="Calibri" w:cs="Calibri"/>
          <w:vertAlign w:val="superscript"/>
        </w:rPr>
        <w:footnoteRef/>
      </w:r>
      <w:r w:rsidRPr="006F74E0">
        <w:rPr>
          <w:rFonts w:ascii="Calibri" w:hAnsi="Calibri" w:cs="Calibri"/>
          <w:sz w:val="20"/>
          <w:szCs w:val="20"/>
        </w:rPr>
        <w:t xml:space="preserve"> </w:t>
      </w:r>
      <w:hyperlink r:id="rId1" w:history="1">
        <w:r w:rsidRPr="006F74E0">
          <w:rPr>
            <w:rStyle w:val="Hyperlink"/>
            <w:rFonts w:ascii="Calibri" w:hAnsi="Calibri" w:cs="Calibri"/>
            <w:color w:val="1155CC"/>
            <w:sz w:val="20"/>
            <w:szCs w:val="20"/>
          </w:rPr>
          <w:t>https://news.itu.int/combatting-climate-change-with-frontier-technologies/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i/>
      </w:rPr>
    </w:sdtEndPr>
    <w:sdtContent>
      <w:p w14:paraId="5066D209" w14:textId="13E0D10F" w:rsidR="00665D2D" w:rsidRPr="000D4E57" w:rsidRDefault="00665D2D" w:rsidP="000D4E57">
        <w:pPr>
          <w:pStyle w:val="Header"/>
          <w:ind w:firstLine="0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D4E5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Pr="000D4E5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Pr="000D4E5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952807" w:rsidRPr="000D4E57">
          <w:rPr>
            <w:rFonts w:asciiTheme="minorHAnsi" w:hAnsiTheme="minorHAnsi" w:cstheme="minorHAnsi"/>
            <w:bCs/>
            <w:noProof/>
            <w:sz w:val="20"/>
            <w:szCs w:val="20"/>
          </w:rPr>
          <w:t>2</w:t>
        </w:r>
        <w:r w:rsidRPr="000D4E5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Pr="000D4E57">
          <w:rPr>
            <w:rFonts w:asciiTheme="minorHAnsi" w:hAnsiTheme="minorHAnsi" w:cstheme="minorHAnsi"/>
            <w:bCs/>
            <w:sz w:val="20"/>
            <w:szCs w:val="20"/>
          </w:rPr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5607" w14:textId="77777777" w:rsidR="00665D2D" w:rsidRDefault="00665D2D" w:rsidP="00665D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A"/>
    <w:rsid w:val="00060E46"/>
    <w:rsid w:val="000D4E57"/>
    <w:rsid w:val="000E4CB7"/>
    <w:rsid w:val="00157906"/>
    <w:rsid w:val="00224370"/>
    <w:rsid w:val="002E5E0D"/>
    <w:rsid w:val="00656533"/>
    <w:rsid w:val="00661AFA"/>
    <w:rsid w:val="00665D2D"/>
    <w:rsid w:val="006F74E0"/>
    <w:rsid w:val="007D5109"/>
    <w:rsid w:val="0080767D"/>
    <w:rsid w:val="008133D7"/>
    <w:rsid w:val="00922E68"/>
    <w:rsid w:val="00952807"/>
    <w:rsid w:val="009630F0"/>
    <w:rsid w:val="00A22709"/>
    <w:rsid w:val="00B04DA6"/>
    <w:rsid w:val="00B4144F"/>
    <w:rsid w:val="00BA6E55"/>
    <w:rsid w:val="00D05193"/>
    <w:rsid w:val="00D83479"/>
    <w:rsid w:val="00D850EA"/>
    <w:rsid w:val="00DB29AE"/>
    <w:rsid w:val="00E7370C"/>
    <w:rsid w:val="00EC1F46"/>
    <w:rsid w:val="00EF01DE"/>
    <w:rsid w:val="00F53703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FC992"/>
  <w15:docId w15:val="{03804FF4-DA1F-492E-960D-B03C365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E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03"/>
    <w:pPr>
      <w:keepNext/>
      <w:keepLines/>
      <w:spacing w:before="360" w:after="120" w:line="276" w:lineRule="auto"/>
      <w:ind w:firstLine="0"/>
      <w:contextualSpacing w:val="0"/>
      <w:jc w:val="left"/>
      <w:outlineLvl w:val="1"/>
    </w:pPr>
    <w:rPr>
      <w:rFonts w:ascii="Arial" w:eastAsia="Times New Roman" w:hAnsi="Arial" w:cs="Arial"/>
      <w:sz w:val="32"/>
      <w:szCs w:val="3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EA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EA"/>
    <w:rPr>
      <w:rFonts w:ascii="Times New Roman" w:hAnsi="Times New Roman"/>
      <w:sz w:val="28"/>
      <w:lang w:val="ru-RU"/>
    </w:rPr>
  </w:style>
  <w:style w:type="paragraph" w:customStyle="1" w:styleId="Normal1">
    <w:name w:val="Normal1"/>
    <w:rsid w:val="00D8347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paragraph" w:styleId="NoSpacing">
    <w:name w:val="No Spacing"/>
    <w:uiPriority w:val="1"/>
    <w:qFormat/>
    <w:rsid w:val="00D8347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0D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D05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19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D4E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57"/>
    <w:rPr>
      <w:rFonts w:ascii="Times New Roman" w:hAnsi="Times New Roman"/>
      <w:sz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03"/>
    <w:rPr>
      <w:rFonts w:ascii="Arial" w:eastAsia="Times New Roman" w:hAnsi="Arial" w:cs="Arial"/>
      <w:sz w:val="32"/>
      <w:szCs w:val="3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itu.int/combatting-climate-change-with-frontier-technolog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Brouard, Ricarda</cp:lastModifiedBy>
  <cp:revision>2</cp:revision>
  <dcterms:created xsi:type="dcterms:W3CDTF">2020-12-23T10:52:00Z</dcterms:created>
  <dcterms:modified xsi:type="dcterms:W3CDTF">2020-12-23T10:52:00Z</dcterms:modified>
</cp:coreProperties>
</file>