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0E43B4" w:rsidRPr="000E43B4" w14:paraId="5CC18402" w14:textId="77777777" w:rsidTr="00564F09">
        <w:trPr>
          <w:cantSplit/>
          <w:trHeight w:val="1276"/>
        </w:trPr>
        <w:tc>
          <w:tcPr>
            <w:tcW w:w="6911" w:type="dxa"/>
          </w:tcPr>
          <w:p w14:paraId="43F1D241" w14:textId="6C0C4CA1" w:rsidR="000E43B4" w:rsidRPr="000E43B4" w:rsidRDefault="005060A1" w:rsidP="000E43B4">
            <w:pPr>
              <w:spacing w:line="240" w:lineRule="atLeast"/>
              <w:rPr>
                <w:position w:val="6"/>
              </w:rPr>
            </w:pPr>
            <w:bookmarkStart w:id="0" w:name="lt_pId002"/>
            <w:r>
              <w:rPr>
                <w:noProof/>
                <w:lang w:val="en-US" w:eastAsia="zh-CN"/>
              </w:rPr>
              <w:drawing>
                <wp:inline distT="0" distB="0" distL="0" distR="0" wp14:anchorId="2EE4A35E" wp14:editId="145C0FC3">
                  <wp:extent cx="2404800" cy="84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4800" cy="842400"/>
                          </a:xfrm>
                          <a:prstGeom prst="rect">
                            <a:avLst/>
                          </a:prstGeom>
                          <a:noFill/>
                          <a:ln>
                            <a:noFill/>
                          </a:ln>
                        </pic:spPr>
                      </pic:pic>
                    </a:graphicData>
                  </a:graphic>
                </wp:inline>
              </w:drawing>
            </w:r>
          </w:p>
        </w:tc>
        <w:tc>
          <w:tcPr>
            <w:tcW w:w="3120" w:type="dxa"/>
            <w:vAlign w:val="center"/>
          </w:tcPr>
          <w:p w14:paraId="2F1BE8DF" w14:textId="77777777" w:rsidR="000E43B4" w:rsidRPr="000E43B4" w:rsidRDefault="000E43B4" w:rsidP="000E43B4">
            <w:pPr>
              <w:spacing w:line="240" w:lineRule="atLeast"/>
            </w:pPr>
            <w:bookmarkStart w:id="1" w:name="ditulogo"/>
            <w:bookmarkEnd w:id="1"/>
            <w:r w:rsidRPr="000E43B4">
              <w:rPr>
                <w:noProof/>
                <w:lang w:val="en-US" w:eastAsia="zh-CN"/>
              </w:rPr>
              <w:drawing>
                <wp:inline distT="0" distB="0" distL="0" distR="0" wp14:anchorId="3E76ADC4" wp14:editId="69F5138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E43B4" w:rsidRPr="000E43B4" w14:paraId="268053EF" w14:textId="77777777" w:rsidTr="00564F09">
        <w:trPr>
          <w:cantSplit/>
        </w:trPr>
        <w:tc>
          <w:tcPr>
            <w:tcW w:w="6911" w:type="dxa"/>
            <w:tcBorders>
              <w:bottom w:val="single" w:sz="12" w:space="0" w:color="auto"/>
            </w:tcBorders>
          </w:tcPr>
          <w:p w14:paraId="06F22822" w14:textId="77777777" w:rsidR="000E43B4" w:rsidRPr="000E43B4" w:rsidRDefault="000E43B4" w:rsidP="000E43B4">
            <w:pPr>
              <w:spacing w:before="0" w:line="240" w:lineRule="atLeast"/>
              <w:rPr>
                <w:b/>
                <w:smallCaps/>
                <w:szCs w:val="24"/>
              </w:rPr>
            </w:pPr>
          </w:p>
        </w:tc>
        <w:tc>
          <w:tcPr>
            <w:tcW w:w="3120" w:type="dxa"/>
            <w:tcBorders>
              <w:bottom w:val="single" w:sz="12" w:space="0" w:color="auto"/>
            </w:tcBorders>
          </w:tcPr>
          <w:p w14:paraId="12FA46F1" w14:textId="77777777" w:rsidR="000E43B4" w:rsidRPr="000E43B4" w:rsidRDefault="000E43B4" w:rsidP="000E43B4">
            <w:pPr>
              <w:spacing w:before="0" w:line="240" w:lineRule="atLeast"/>
              <w:rPr>
                <w:szCs w:val="24"/>
              </w:rPr>
            </w:pPr>
          </w:p>
        </w:tc>
      </w:tr>
      <w:tr w:rsidR="000E43B4" w:rsidRPr="000E43B4" w14:paraId="26DC5750" w14:textId="77777777" w:rsidTr="00564F09">
        <w:trPr>
          <w:cantSplit/>
        </w:trPr>
        <w:tc>
          <w:tcPr>
            <w:tcW w:w="6911" w:type="dxa"/>
            <w:tcBorders>
              <w:top w:val="single" w:sz="12" w:space="0" w:color="auto"/>
            </w:tcBorders>
          </w:tcPr>
          <w:p w14:paraId="2420BD23" w14:textId="77777777" w:rsidR="000E43B4" w:rsidRPr="000E43B4" w:rsidRDefault="000E43B4" w:rsidP="000E43B4">
            <w:pPr>
              <w:spacing w:before="0" w:line="240" w:lineRule="atLeast"/>
              <w:rPr>
                <w:b/>
                <w:smallCaps/>
                <w:szCs w:val="24"/>
              </w:rPr>
            </w:pPr>
          </w:p>
        </w:tc>
        <w:tc>
          <w:tcPr>
            <w:tcW w:w="3120" w:type="dxa"/>
            <w:tcBorders>
              <w:top w:val="single" w:sz="12" w:space="0" w:color="auto"/>
            </w:tcBorders>
          </w:tcPr>
          <w:p w14:paraId="17049BDE" w14:textId="77777777" w:rsidR="000E43B4" w:rsidRPr="000E43B4" w:rsidRDefault="000E43B4" w:rsidP="000E43B4">
            <w:pPr>
              <w:spacing w:before="0" w:line="240" w:lineRule="atLeast"/>
              <w:rPr>
                <w:szCs w:val="24"/>
              </w:rPr>
            </w:pPr>
          </w:p>
        </w:tc>
      </w:tr>
      <w:tr w:rsidR="000E43B4" w:rsidRPr="000E43B4" w14:paraId="17CF4B1A" w14:textId="77777777" w:rsidTr="00564F09">
        <w:trPr>
          <w:cantSplit/>
          <w:trHeight w:val="23"/>
        </w:trPr>
        <w:tc>
          <w:tcPr>
            <w:tcW w:w="6911" w:type="dxa"/>
            <w:vMerge w:val="restart"/>
          </w:tcPr>
          <w:p w14:paraId="6E0E4C5C" w14:textId="282EE092" w:rsidR="000E43B4" w:rsidRPr="000E43B4" w:rsidRDefault="000E43B4" w:rsidP="000E43B4">
            <w:pPr>
              <w:tabs>
                <w:tab w:val="left" w:pos="851"/>
              </w:tabs>
              <w:spacing w:before="0" w:line="240" w:lineRule="atLeast"/>
              <w:rPr>
                <w:b/>
              </w:rPr>
            </w:pPr>
            <w:bookmarkStart w:id="2" w:name="dmeeting" w:colFirst="0" w:colLast="0"/>
            <w:bookmarkStart w:id="3" w:name="dnum" w:colFirst="1" w:colLast="1"/>
          </w:p>
        </w:tc>
        <w:tc>
          <w:tcPr>
            <w:tcW w:w="3120" w:type="dxa"/>
          </w:tcPr>
          <w:p w14:paraId="35945D62" w14:textId="6F571329" w:rsidR="000E43B4" w:rsidRPr="000E43B4" w:rsidRDefault="0053001D" w:rsidP="000E43B4">
            <w:pPr>
              <w:tabs>
                <w:tab w:val="left" w:pos="851"/>
              </w:tabs>
              <w:spacing w:before="0" w:line="240" w:lineRule="atLeast"/>
              <w:rPr>
                <w:rFonts w:ascii="SimSun" w:hAnsi="SimSun"/>
                <w:b/>
              </w:rPr>
            </w:pPr>
            <w:proofErr w:type="spellStart"/>
            <w:r w:rsidRPr="00930863">
              <w:rPr>
                <w:rFonts w:ascii="SimSun" w:hAnsi="SimSun" w:cstheme="minorHAnsi" w:hint="eastAsia"/>
                <w:b/>
                <w:szCs w:val="24"/>
              </w:rPr>
              <w:t>文件</w:t>
            </w:r>
            <w:proofErr w:type="spellEnd"/>
            <w:r>
              <w:rPr>
                <w:rFonts w:ascii="SimSun" w:hAnsi="SimSun" w:cstheme="minorHAnsi" w:hint="eastAsia"/>
                <w:b/>
                <w:szCs w:val="24"/>
                <w:lang w:eastAsia="zh-CN"/>
              </w:rPr>
              <w:t xml:space="preserve"> </w:t>
            </w:r>
            <w:r w:rsidRPr="004F55C2">
              <w:rPr>
                <w:rFonts w:asciiTheme="minorHAnsi" w:hAnsiTheme="minorHAnsi" w:cstheme="minorHAnsi" w:hint="eastAsia"/>
                <w:b/>
                <w:bCs/>
                <w:szCs w:val="24"/>
              </w:rPr>
              <w:t>W</w:t>
            </w:r>
            <w:r w:rsidRPr="004F55C2">
              <w:rPr>
                <w:rFonts w:asciiTheme="minorHAnsi" w:hAnsiTheme="minorHAnsi" w:cstheme="minorHAnsi"/>
                <w:b/>
                <w:bCs/>
                <w:szCs w:val="24"/>
              </w:rPr>
              <w:t>TPF-21/</w:t>
            </w:r>
            <w:r w:rsidR="00F21210">
              <w:rPr>
                <w:rFonts w:asciiTheme="minorHAnsi" w:hAnsiTheme="minorHAnsi" w:cstheme="minorHAnsi"/>
                <w:b/>
                <w:bCs/>
                <w:szCs w:val="24"/>
              </w:rPr>
              <w:t>11</w:t>
            </w:r>
            <w:r w:rsidRPr="004F55C2">
              <w:rPr>
                <w:rFonts w:asciiTheme="minorHAnsi" w:hAnsiTheme="minorHAnsi" w:cstheme="minorHAnsi"/>
                <w:b/>
                <w:bCs/>
                <w:szCs w:val="24"/>
              </w:rPr>
              <w:t>-C</w:t>
            </w:r>
          </w:p>
        </w:tc>
      </w:tr>
      <w:tr w:rsidR="000E43B4" w:rsidRPr="000E43B4" w14:paraId="418E6BF0" w14:textId="77777777" w:rsidTr="00564F09">
        <w:trPr>
          <w:cantSplit/>
          <w:trHeight w:val="23"/>
        </w:trPr>
        <w:tc>
          <w:tcPr>
            <w:tcW w:w="6911" w:type="dxa"/>
            <w:vMerge/>
          </w:tcPr>
          <w:p w14:paraId="0680D766" w14:textId="77777777" w:rsidR="000E43B4" w:rsidRPr="000E43B4" w:rsidRDefault="000E43B4" w:rsidP="000E43B4">
            <w:pPr>
              <w:tabs>
                <w:tab w:val="left" w:pos="851"/>
              </w:tabs>
              <w:spacing w:line="240" w:lineRule="atLeast"/>
              <w:rPr>
                <w:b/>
              </w:rPr>
            </w:pPr>
            <w:bookmarkStart w:id="4" w:name="ddate" w:colFirst="1" w:colLast="1"/>
            <w:bookmarkEnd w:id="2"/>
            <w:bookmarkEnd w:id="3"/>
          </w:p>
        </w:tc>
        <w:tc>
          <w:tcPr>
            <w:tcW w:w="3120" w:type="dxa"/>
          </w:tcPr>
          <w:p w14:paraId="17D42B50" w14:textId="3E655CFA" w:rsidR="000E43B4" w:rsidRPr="000E43B4" w:rsidRDefault="000E43B4" w:rsidP="000E43B4">
            <w:pPr>
              <w:tabs>
                <w:tab w:val="left" w:pos="993"/>
              </w:tabs>
              <w:spacing w:before="0"/>
              <w:rPr>
                <w:rFonts w:ascii="SimSun" w:hAnsi="SimSun"/>
                <w:b/>
              </w:rPr>
            </w:pPr>
            <w:r w:rsidRPr="000E43B4">
              <w:rPr>
                <w:rFonts w:asciiTheme="minorHAnsi" w:hAnsiTheme="minorHAnsi" w:cstheme="minorHAnsi"/>
                <w:b/>
                <w:bCs/>
                <w:szCs w:val="24"/>
              </w:rPr>
              <w:t>2021</w:t>
            </w:r>
            <w:r w:rsidRPr="000E43B4">
              <w:rPr>
                <w:rFonts w:ascii="SimSun" w:hAnsi="SimSun" w:cstheme="minorHAnsi" w:hint="eastAsia"/>
                <w:b/>
                <w:bCs/>
                <w:szCs w:val="24"/>
              </w:rPr>
              <w:t>年</w:t>
            </w:r>
            <w:r w:rsidR="00F80E07">
              <w:rPr>
                <w:rFonts w:asciiTheme="minorHAnsi" w:hAnsiTheme="minorHAnsi" w:cstheme="minorHAnsi"/>
                <w:b/>
                <w:bCs/>
                <w:szCs w:val="24"/>
              </w:rPr>
              <w:t>1</w:t>
            </w:r>
            <w:r w:rsidR="0053001D">
              <w:rPr>
                <w:rFonts w:asciiTheme="minorHAnsi" w:hAnsiTheme="minorHAnsi" w:cstheme="minorHAnsi"/>
                <w:b/>
                <w:bCs/>
                <w:szCs w:val="24"/>
              </w:rPr>
              <w:t>2</w:t>
            </w:r>
            <w:r w:rsidRPr="000E43B4">
              <w:rPr>
                <w:rFonts w:ascii="SimSun" w:hAnsi="SimSun" w:cstheme="minorHAnsi" w:hint="eastAsia"/>
                <w:b/>
                <w:bCs/>
                <w:szCs w:val="24"/>
              </w:rPr>
              <w:t>月</w:t>
            </w:r>
            <w:r w:rsidR="0053001D">
              <w:rPr>
                <w:rFonts w:asciiTheme="minorHAnsi" w:hAnsiTheme="minorHAnsi" w:cstheme="minorHAnsi"/>
                <w:b/>
                <w:bCs/>
                <w:szCs w:val="24"/>
              </w:rPr>
              <w:t>1</w:t>
            </w:r>
            <w:r w:rsidR="00F21210">
              <w:rPr>
                <w:rFonts w:asciiTheme="minorHAnsi" w:hAnsiTheme="minorHAnsi" w:cstheme="minorHAnsi"/>
                <w:b/>
                <w:bCs/>
                <w:szCs w:val="24"/>
              </w:rPr>
              <w:t>8</w:t>
            </w:r>
            <w:r w:rsidRPr="000E43B4">
              <w:rPr>
                <w:rFonts w:ascii="SimSun" w:hAnsi="SimSun" w:cstheme="minorHAnsi" w:hint="eastAsia"/>
                <w:b/>
                <w:bCs/>
                <w:szCs w:val="24"/>
              </w:rPr>
              <w:t>日</w:t>
            </w:r>
          </w:p>
        </w:tc>
      </w:tr>
      <w:tr w:rsidR="000E43B4" w:rsidRPr="000E43B4" w14:paraId="34D15625" w14:textId="77777777" w:rsidTr="00564F09">
        <w:trPr>
          <w:cantSplit/>
          <w:trHeight w:val="23"/>
        </w:trPr>
        <w:tc>
          <w:tcPr>
            <w:tcW w:w="6911" w:type="dxa"/>
            <w:vMerge/>
          </w:tcPr>
          <w:p w14:paraId="0FCFA1CB" w14:textId="77777777" w:rsidR="000E43B4" w:rsidRPr="000E43B4" w:rsidRDefault="000E43B4" w:rsidP="000E43B4">
            <w:pPr>
              <w:tabs>
                <w:tab w:val="left" w:pos="851"/>
              </w:tabs>
              <w:spacing w:line="240" w:lineRule="atLeast"/>
              <w:rPr>
                <w:b/>
              </w:rPr>
            </w:pPr>
            <w:bookmarkStart w:id="5" w:name="dorlang" w:colFirst="1" w:colLast="1"/>
            <w:bookmarkEnd w:id="4"/>
          </w:p>
        </w:tc>
        <w:tc>
          <w:tcPr>
            <w:tcW w:w="3120" w:type="dxa"/>
          </w:tcPr>
          <w:p w14:paraId="2B7EA6CA" w14:textId="77777777" w:rsidR="000E43B4" w:rsidRPr="000E43B4" w:rsidRDefault="000E43B4" w:rsidP="000E43B4">
            <w:pPr>
              <w:tabs>
                <w:tab w:val="left" w:pos="993"/>
              </w:tabs>
              <w:spacing w:before="0"/>
              <w:rPr>
                <w:rFonts w:ascii="SimSun" w:hAnsi="SimSun"/>
                <w:b/>
              </w:rPr>
            </w:pPr>
            <w:proofErr w:type="spellStart"/>
            <w:r w:rsidRPr="000E43B4">
              <w:rPr>
                <w:rFonts w:ascii="SimSun" w:hAnsi="SimSun" w:cstheme="minorHAnsi" w:hint="eastAsia"/>
                <w:b/>
                <w:bCs/>
                <w:szCs w:val="24"/>
              </w:rPr>
              <w:t>原文：英文</w:t>
            </w:r>
            <w:proofErr w:type="spellEnd"/>
          </w:p>
        </w:tc>
      </w:tr>
    </w:tbl>
    <w:bookmarkEnd w:id="5"/>
    <w:bookmarkEnd w:id="0"/>
    <w:p w14:paraId="1291D210" w14:textId="51ACACC6" w:rsidR="00F80E07" w:rsidRPr="00AB2AB5" w:rsidRDefault="00F80E07" w:rsidP="00AB2AB5">
      <w:pPr>
        <w:pStyle w:val="Title4"/>
        <w:rPr>
          <w:lang w:eastAsia="zh-CN"/>
        </w:rPr>
      </w:pPr>
      <w:r w:rsidRPr="000B2D5E">
        <w:rPr>
          <w:rFonts w:hint="eastAsia"/>
          <w:lang w:eastAsia="zh-CN"/>
        </w:rPr>
        <w:t>意见</w:t>
      </w:r>
      <w:r w:rsidR="00033109" w:rsidRPr="000B2D5E">
        <w:rPr>
          <w:lang w:eastAsia="zh-CN"/>
        </w:rPr>
        <w:t>4</w:t>
      </w:r>
      <w:r w:rsidRPr="000B2D5E">
        <w:rPr>
          <w:rFonts w:hint="eastAsia"/>
          <w:lang w:eastAsia="zh-CN"/>
        </w:rPr>
        <w:t>：推动使用电信</w:t>
      </w:r>
      <w:r w:rsidRPr="000B2D5E">
        <w:rPr>
          <w:rFonts w:hint="eastAsia"/>
          <w:lang w:eastAsia="zh-CN"/>
        </w:rPr>
        <w:t>/</w:t>
      </w:r>
      <w:r w:rsidRPr="000B2D5E">
        <w:rPr>
          <w:rFonts w:hint="eastAsia"/>
          <w:lang w:eastAsia="zh-CN"/>
        </w:rPr>
        <w:t>信息通信技术（</w:t>
      </w:r>
      <w:r w:rsidRPr="000B2D5E">
        <w:rPr>
          <w:rFonts w:hint="eastAsia"/>
          <w:lang w:eastAsia="zh-CN"/>
        </w:rPr>
        <w:t>ICT</w:t>
      </w:r>
      <w:r w:rsidRPr="000B2D5E">
        <w:rPr>
          <w:rFonts w:hint="eastAsia"/>
          <w:lang w:eastAsia="zh-CN"/>
        </w:rPr>
        <w:t>）</w:t>
      </w:r>
      <w:r w:rsidR="00AB2AB5">
        <w:rPr>
          <w:lang w:eastAsia="zh-CN"/>
        </w:rPr>
        <w:br/>
      </w:r>
      <w:r w:rsidRPr="000B2D5E">
        <w:rPr>
          <w:rFonts w:hint="eastAsia"/>
          <w:lang w:eastAsia="zh-CN"/>
        </w:rPr>
        <w:t>促进可持续发展的新的和新兴技术及服务</w:t>
      </w:r>
    </w:p>
    <w:p w14:paraId="7D15013E" w14:textId="2AC63FFF" w:rsidR="007944A3" w:rsidRPr="0053001D" w:rsidRDefault="007944A3" w:rsidP="008E100D">
      <w:pPr>
        <w:pStyle w:val="Normalaftertitle"/>
        <w:rPr>
          <w:szCs w:val="24"/>
          <w:lang w:eastAsia="zh-CN"/>
        </w:rPr>
      </w:pPr>
      <w:r w:rsidRPr="0053001D">
        <w:rPr>
          <w:rFonts w:hint="eastAsia"/>
          <w:szCs w:val="24"/>
          <w:lang w:eastAsia="zh-CN"/>
        </w:rPr>
        <w:t>第六届世界电信</w:t>
      </w:r>
      <w:r w:rsidRPr="0053001D">
        <w:rPr>
          <w:rFonts w:hint="eastAsia"/>
          <w:szCs w:val="24"/>
          <w:lang w:eastAsia="zh-CN"/>
        </w:rPr>
        <w:t>/</w:t>
      </w:r>
      <w:r w:rsidRPr="0053001D">
        <w:rPr>
          <w:rFonts w:hint="eastAsia"/>
          <w:szCs w:val="24"/>
          <w:lang w:eastAsia="zh-CN"/>
        </w:rPr>
        <w:t>信息通信技术（</w:t>
      </w:r>
      <w:r w:rsidRPr="0053001D">
        <w:rPr>
          <w:rFonts w:hint="eastAsia"/>
          <w:szCs w:val="24"/>
          <w:lang w:eastAsia="zh-CN"/>
        </w:rPr>
        <w:t>ICT</w:t>
      </w:r>
      <w:r w:rsidRPr="0053001D">
        <w:rPr>
          <w:rFonts w:hint="eastAsia"/>
          <w:szCs w:val="24"/>
          <w:lang w:eastAsia="zh-CN"/>
        </w:rPr>
        <w:t>）政策论坛（</w:t>
      </w:r>
      <w:r w:rsidRPr="0053001D">
        <w:rPr>
          <w:rFonts w:hint="eastAsia"/>
          <w:szCs w:val="24"/>
          <w:lang w:eastAsia="zh-CN"/>
        </w:rPr>
        <w:t>2021</w:t>
      </w:r>
      <w:r w:rsidRPr="0053001D">
        <w:rPr>
          <w:rFonts w:hint="eastAsia"/>
          <w:szCs w:val="24"/>
          <w:lang w:eastAsia="zh-CN"/>
        </w:rPr>
        <w:t>年，日内瓦）</w:t>
      </w:r>
    </w:p>
    <w:p w14:paraId="29DD97FE" w14:textId="77777777" w:rsidR="007944A3" w:rsidRPr="0053001D" w:rsidRDefault="007944A3" w:rsidP="008E100D">
      <w:pPr>
        <w:pStyle w:val="Call"/>
        <w:rPr>
          <w:rFonts w:eastAsia="STKaiti"/>
          <w:i w:val="0"/>
          <w:szCs w:val="24"/>
          <w:lang w:eastAsia="zh-CN"/>
        </w:rPr>
      </w:pPr>
      <w:bookmarkStart w:id="6" w:name="lt_pId004"/>
      <w:r w:rsidRPr="0053001D">
        <w:rPr>
          <w:rFonts w:eastAsia="STKaiti" w:hint="eastAsia"/>
          <w:i w:val="0"/>
          <w:szCs w:val="24"/>
          <w:lang w:eastAsia="zh-CN"/>
        </w:rPr>
        <w:t>忆及</w:t>
      </w:r>
      <w:bookmarkEnd w:id="6"/>
    </w:p>
    <w:p w14:paraId="351CB77A" w14:textId="77777777" w:rsidR="007944A3" w:rsidRPr="0053001D" w:rsidRDefault="008E100D" w:rsidP="0053001D">
      <w:pPr>
        <w:rPr>
          <w:szCs w:val="24"/>
          <w:lang w:eastAsia="zh-CN"/>
        </w:rPr>
      </w:pPr>
      <w:r w:rsidRPr="0053001D">
        <w:rPr>
          <w:i/>
          <w:szCs w:val="24"/>
          <w:lang w:eastAsia="zh-CN"/>
        </w:rPr>
        <w:t>a)</w:t>
      </w:r>
      <w:r w:rsidRPr="0053001D">
        <w:rPr>
          <w:rFonts w:asciiTheme="minorHAnsi" w:eastAsiaTheme="minorEastAsia" w:hAnsiTheme="minorHAnsi" w:cstheme="minorBidi"/>
          <w:szCs w:val="24"/>
          <w:lang w:val="en-US" w:eastAsia="zh-CN"/>
        </w:rPr>
        <w:tab/>
      </w:r>
      <w:proofErr w:type="gramStart"/>
      <w:r w:rsidR="007944A3" w:rsidRPr="0053001D">
        <w:rPr>
          <w:szCs w:val="24"/>
          <w:lang w:eastAsia="zh-CN"/>
        </w:rPr>
        <w:t>有关</w:t>
      </w:r>
      <w:r w:rsidR="007944A3" w:rsidRPr="0053001D">
        <w:rPr>
          <w:rFonts w:ascii="SimSun" w:hAnsi="SimSun"/>
          <w:szCs w:val="24"/>
          <w:lang w:eastAsia="zh-CN"/>
        </w:rPr>
        <w:t>“</w:t>
      </w:r>
      <w:proofErr w:type="gramEnd"/>
      <w:r w:rsidR="007944A3" w:rsidRPr="0053001D">
        <w:rPr>
          <w:szCs w:val="24"/>
          <w:lang w:eastAsia="zh-CN"/>
        </w:rPr>
        <w:t>变革我们的世界：</w:t>
      </w:r>
      <w:r w:rsidR="007944A3" w:rsidRPr="0053001D">
        <w:rPr>
          <w:szCs w:val="24"/>
          <w:lang w:eastAsia="zh-CN"/>
        </w:rPr>
        <w:t>2030</w:t>
      </w:r>
      <w:r w:rsidR="007944A3" w:rsidRPr="0053001D">
        <w:rPr>
          <w:szCs w:val="24"/>
          <w:lang w:eastAsia="zh-CN"/>
        </w:rPr>
        <w:t>年可持续发展议程</w:t>
      </w:r>
      <w:r w:rsidR="007944A3" w:rsidRPr="0053001D">
        <w:rPr>
          <w:rFonts w:ascii="SimSun" w:hAnsi="SimSun"/>
          <w:bCs/>
          <w:szCs w:val="24"/>
          <w:lang w:eastAsia="zh-CN"/>
        </w:rPr>
        <w:t>”</w:t>
      </w:r>
      <w:r w:rsidR="007944A3" w:rsidRPr="0053001D">
        <w:rPr>
          <w:szCs w:val="24"/>
          <w:lang w:eastAsia="zh-CN"/>
        </w:rPr>
        <w:t>的联合国大会（</w:t>
      </w:r>
      <w:r w:rsidR="007944A3" w:rsidRPr="0053001D">
        <w:rPr>
          <w:rFonts w:hint="eastAsia"/>
          <w:szCs w:val="24"/>
          <w:lang w:eastAsia="zh-CN"/>
        </w:rPr>
        <w:t>UNGA</w:t>
      </w:r>
      <w:r w:rsidR="007944A3" w:rsidRPr="0053001D">
        <w:rPr>
          <w:szCs w:val="24"/>
          <w:lang w:eastAsia="zh-CN"/>
        </w:rPr>
        <w:t>）第</w:t>
      </w:r>
      <w:r w:rsidR="007944A3" w:rsidRPr="0053001D">
        <w:rPr>
          <w:szCs w:val="24"/>
          <w:lang w:eastAsia="zh-CN"/>
        </w:rPr>
        <w:t>70/1</w:t>
      </w:r>
      <w:r w:rsidR="007944A3" w:rsidRPr="0053001D">
        <w:rPr>
          <w:szCs w:val="24"/>
          <w:lang w:eastAsia="zh-CN"/>
        </w:rPr>
        <w:t>号决议；</w:t>
      </w:r>
    </w:p>
    <w:p w14:paraId="29B792BF" w14:textId="77777777" w:rsidR="007944A3" w:rsidRPr="0053001D" w:rsidRDefault="008E100D" w:rsidP="0053001D">
      <w:pPr>
        <w:rPr>
          <w:szCs w:val="24"/>
          <w:lang w:eastAsia="zh-CN"/>
        </w:rPr>
      </w:pPr>
      <w:bookmarkStart w:id="7" w:name="lt_pId006"/>
      <w:r w:rsidRPr="0053001D">
        <w:rPr>
          <w:i/>
          <w:szCs w:val="24"/>
          <w:lang w:eastAsia="zh-CN"/>
        </w:rPr>
        <w:t>b)</w:t>
      </w:r>
      <w:r w:rsidRPr="0053001D">
        <w:rPr>
          <w:rFonts w:asciiTheme="minorHAnsi" w:eastAsiaTheme="minorEastAsia" w:hAnsiTheme="minorHAnsi" w:cstheme="minorBidi"/>
          <w:szCs w:val="24"/>
          <w:lang w:val="en-US" w:eastAsia="zh-CN"/>
        </w:rPr>
        <w:tab/>
      </w:r>
      <w:proofErr w:type="gramStart"/>
      <w:r w:rsidR="007944A3" w:rsidRPr="0053001D">
        <w:rPr>
          <w:rFonts w:hint="eastAsia"/>
          <w:szCs w:val="24"/>
          <w:lang w:eastAsia="zh-CN"/>
        </w:rPr>
        <w:t>有关“</w:t>
      </w:r>
      <w:proofErr w:type="gramEnd"/>
      <w:r w:rsidR="007944A3" w:rsidRPr="0053001D">
        <w:rPr>
          <w:rFonts w:hint="eastAsia"/>
          <w:szCs w:val="24"/>
          <w:lang w:eastAsia="zh-CN"/>
        </w:rPr>
        <w:t>信息社会世界首脑会议成果文件执行情况全面审查的大会高级别会议成果文件</w:t>
      </w:r>
      <w:r w:rsidRPr="0053001D">
        <w:rPr>
          <w:rFonts w:ascii="SimSun" w:hAnsi="SimSun" w:cstheme="minorHAnsi"/>
          <w:bCs/>
          <w:szCs w:val="24"/>
          <w:lang w:eastAsia="zh-CN"/>
        </w:rPr>
        <w:t>”</w:t>
      </w:r>
      <w:r w:rsidR="007944A3" w:rsidRPr="0053001D">
        <w:rPr>
          <w:rFonts w:cstheme="minorHAnsi"/>
          <w:szCs w:val="24"/>
          <w:lang w:eastAsia="zh-CN"/>
        </w:rPr>
        <w:t>的联合国大会（</w:t>
      </w:r>
      <w:r w:rsidR="007944A3" w:rsidRPr="0053001D">
        <w:rPr>
          <w:rFonts w:cstheme="minorHAnsi" w:hint="eastAsia"/>
          <w:szCs w:val="24"/>
          <w:lang w:eastAsia="zh-CN"/>
        </w:rPr>
        <w:t>UNGA</w:t>
      </w:r>
      <w:r w:rsidR="007944A3" w:rsidRPr="0053001D">
        <w:rPr>
          <w:rFonts w:cstheme="minorHAnsi"/>
          <w:szCs w:val="24"/>
          <w:lang w:eastAsia="zh-CN"/>
        </w:rPr>
        <w:t>）第</w:t>
      </w:r>
      <w:r w:rsidR="007944A3" w:rsidRPr="0053001D">
        <w:rPr>
          <w:rFonts w:cstheme="minorHAnsi"/>
          <w:szCs w:val="24"/>
          <w:lang w:eastAsia="zh-CN"/>
        </w:rPr>
        <w:t>70/125</w:t>
      </w:r>
      <w:r w:rsidR="007944A3" w:rsidRPr="0053001D">
        <w:rPr>
          <w:rFonts w:cstheme="minorHAnsi"/>
          <w:szCs w:val="24"/>
          <w:lang w:eastAsia="zh-CN"/>
        </w:rPr>
        <w:t>号决议</w:t>
      </w:r>
      <w:bookmarkEnd w:id="7"/>
      <w:r w:rsidRPr="0053001D">
        <w:rPr>
          <w:rFonts w:cstheme="minorHAnsi"/>
          <w:szCs w:val="24"/>
          <w:lang w:eastAsia="zh-CN"/>
        </w:rPr>
        <w:t>；</w:t>
      </w:r>
    </w:p>
    <w:p w14:paraId="0285718C" w14:textId="54D249A4" w:rsidR="007944A3" w:rsidRPr="0053001D" w:rsidRDefault="008E100D" w:rsidP="0053001D">
      <w:pPr>
        <w:rPr>
          <w:szCs w:val="24"/>
          <w:lang w:eastAsia="zh-CN"/>
        </w:rPr>
      </w:pPr>
      <w:r w:rsidRPr="0053001D">
        <w:rPr>
          <w:i/>
          <w:szCs w:val="24"/>
          <w:lang w:eastAsia="zh-CN"/>
        </w:rPr>
        <w:t>c)</w:t>
      </w:r>
      <w:r w:rsidRPr="0053001D">
        <w:rPr>
          <w:rFonts w:asciiTheme="minorHAnsi" w:eastAsiaTheme="minorEastAsia" w:hAnsiTheme="minorHAnsi" w:cstheme="minorBidi"/>
          <w:szCs w:val="24"/>
          <w:lang w:val="en-US" w:eastAsia="zh-CN"/>
        </w:rPr>
        <w:tab/>
      </w:r>
      <w:r w:rsidR="007944A3" w:rsidRPr="0053001D">
        <w:rPr>
          <w:rFonts w:hint="eastAsia"/>
          <w:szCs w:val="24"/>
          <w:lang w:eastAsia="zh-CN"/>
        </w:rPr>
        <w:t>信息社会世界高峰会议（</w:t>
      </w:r>
      <w:r w:rsidR="007944A3" w:rsidRPr="0053001D">
        <w:rPr>
          <w:rFonts w:hint="eastAsia"/>
          <w:szCs w:val="24"/>
          <w:lang w:eastAsia="zh-CN"/>
        </w:rPr>
        <w:t>WSIS</w:t>
      </w:r>
      <w:r w:rsidR="007944A3" w:rsidRPr="0053001D">
        <w:rPr>
          <w:rFonts w:hint="eastAsia"/>
          <w:szCs w:val="24"/>
          <w:lang w:eastAsia="zh-CN"/>
        </w:rPr>
        <w:t>）相关行动方面和相关的联合国可持续发展目标（</w:t>
      </w:r>
      <w:r w:rsidR="007944A3" w:rsidRPr="0053001D">
        <w:rPr>
          <w:rFonts w:hint="eastAsia"/>
          <w:szCs w:val="24"/>
          <w:lang w:eastAsia="zh-CN"/>
        </w:rPr>
        <w:t>SDG</w:t>
      </w:r>
      <w:proofErr w:type="gramStart"/>
      <w:r w:rsidR="007944A3" w:rsidRPr="0053001D">
        <w:rPr>
          <w:rFonts w:hint="eastAsia"/>
          <w:szCs w:val="24"/>
          <w:lang w:eastAsia="zh-CN"/>
        </w:rPr>
        <w:t>）；</w:t>
      </w:r>
      <w:proofErr w:type="gramEnd"/>
    </w:p>
    <w:p w14:paraId="5461B843" w14:textId="77777777" w:rsidR="007944A3" w:rsidRPr="0053001D" w:rsidRDefault="008E100D" w:rsidP="0053001D">
      <w:pPr>
        <w:rPr>
          <w:szCs w:val="24"/>
          <w:lang w:eastAsia="zh-CN"/>
        </w:rPr>
      </w:pPr>
      <w:bookmarkStart w:id="8" w:name="lt_pId008"/>
      <w:r w:rsidRPr="0053001D">
        <w:rPr>
          <w:i/>
          <w:szCs w:val="24"/>
          <w:lang w:eastAsia="zh-CN"/>
        </w:rPr>
        <w:t>d)</w:t>
      </w:r>
      <w:r w:rsidRPr="0053001D">
        <w:rPr>
          <w:rFonts w:asciiTheme="minorHAnsi" w:eastAsiaTheme="minorEastAsia" w:hAnsiTheme="minorHAnsi" w:cstheme="minorBidi"/>
          <w:szCs w:val="24"/>
          <w:lang w:val="en-US" w:eastAsia="zh-CN"/>
        </w:rPr>
        <w:tab/>
      </w:r>
      <w:proofErr w:type="gramStart"/>
      <w:r w:rsidR="007944A3" w:rsidRPr="0053001D">
        <w:rPr>
          <w:rFonts w:hint="eastAsia"/>
          <w:szCs w:val="24"/>
          <w:lang w:eastAsia="zh-CN"/>
        </w:rPr>
        <w:t>有关</w:t>
      </w:r>
      <w:bookmarkStart w:id="9" w:name="_Toc536172352"/>
      <w:r w:rsidRPr="0053001D">
        <w:rPr>
          <w:rFonts w:hint="eastAsia"/>
          <w:szCs w:val="24"/>
          <w:lang w:eastAsia="zh-CN"/>
        </w:rPr>
        <w:t>“</w:t>
      </w:r>
      <w:proofErr w:type="gramEnd"/>
      <w:r w:rsidR="007944A3" w:rsidRPr="0053001D">
        <w:rPr>
          <w:rFonts w:hint="eastAsia"/>
          <w:szCs w:val="24"/>
          <w:lang w:eastAsia="zh-CN"/>
        </w:rPr>
        <w:t>国际电联</w:t>
      </w:r>
      <w:r w:rsidR="007944A3" w:rsidRPr="0053001D">
        <w:rPr>
          <w:szCs w:val="24"/>
          <w:lang w:eastAsia="zh-CN"/>
        </w:rPr>
        <w:t>2020-2023</w:t>
      </w:r>
      <w:r w:rsidR="007944A3" w:rsidRPr="0053001D">
        <w:rPr>
          <w:rFonts w:hint="eastAsia"/>
          <w:szCs w:val="24"/>
          <w:lang w:eastAsia="zh-CN"/>
        </w:rPr>
        <w:t>年战略规划</w:t>
      </w:r>
      <w:bookmarkEnd w:id="9"/>
      <w:r w:rsidR="007944A3" w:rsidRPr="0053001D">
        <w:rPr>
          <w:rFonts w:hint="eastAsia"/>
          <w:szCs w:val="24"/>
          <w:lang w:eastAsia="zh-CN"/>
        </w:rPr>
        <w:t>”的全权代表大会第</w:t>
      </w:r>
      <w:r w:rsidR="007944A3" w:rsidRPr="0053001D">
        <w:rPr>
          <w:rFonts w:hint="eastAsia"/>
          <w:szCs w:val="24"/>
          <w:lang w:eastAsia="zh-CN"/>
        </w:rPr>
        <w:t>7</w:t>
      </w:r>
      <w:r w:rsidR="007944A3" w:rsidRPr="0053001D">
        <w:rPr>
          <w:szCs w:val="24"/>
          <w:lang w:eastAsia="zh-CN"/>
        </w:rPr>
        <w:t>1</w:t>
      </w:r>
      <w:r w:rsidR="007944A3" w:rsidRPr="0053001D">
        <w:rPr>
          <w:rFonts w:hint="eastAsia"/>
          <w:szCs w:val="24"/>
          <w:lang w:eastAsia="zh-CN"/>
        </w:rPr>
        <w:t>号决议（</w:t>
      </w:r>
      <w:r w:rsidR="007944A3" w:rsidRPr="0053001D">
        <w:rPr>
          <w:rFonts w:hint="eastAsia"/>
          <w:szCs w:val="24"/>
          <w:lang w:eastAsia="zh-CN"/>
        </w:rPr>
        <w:t>2</w:t>
      </w:r>
      <w:r w:rsidR="007944A3" w:rsidRPr="0053001D">
        <w:rPr>
          <w:szCs w:val="24"/>
          <w:lang w:eastAsia="zh-CN"/>
        </w:rPr>
        <w:t>018</w:t>
      </w:r>
      <w:r w:rsidR="007944A3" w:rsidRPr="0053001D">
        <w:rPr>
          <w:rFonts w:hint="eastAsia"/>
          <w:szCs w:val="24"/>
          <w:lang w:eastAsia="zh-CN"/>
        </w:rPr>
        <w:t>年，迪拜，修订版）</w:t>
      </w:r>
      <w:bookmarkEnd w:id="8"/>
      <w:r w:rsidRPr="0053001D">
        <w:rPr>
          <w:rFonts w:hint="eastAsia"/>
          <w:szCs w:val="24"/>
          <w:lang w:eastAsia="zh-CN"/>
        </w:rPr>
        <w:t>；</w:t>
      </w:r>
    </w:p>
    <w:p w14:paraId="43E6C938" w14:textId="77777777" w:rsidR="007944A3" w:rsidRPr="0053001D" w:rsidRDefault="008E100D" w:rsidP="0053001D">
      <w:pPr>
        <w:rPr>
          <w:szCs w:val="24"/>
          <w:lang w:eastAsia="zh-CN"/>
        </w:rPr>
      </w:pPr>
      <w:bookmarkStart w:id="10" w:name="lt_pId009"/>
      <w:r w:rsidRPr="0053001D">
        <w:rPr>
          <w:i/>
          <w:szCs w:val="24"/>
          <w:lang w:eastAsia="zh-CN"/>
        </w:rPr>
        <w:t>e)</w:t>
      </w:r>
      <w:r w:rsidRPr="0053001D">
        <w:rPr>
          <w:rFonts w:asciiTheme="minorHAnsi" w:eastAsiaTheme="minorEastAsia" w:hAnsiTheme="minorHAnsi" w:cstheme="minorBidi"/>
          <w:szCs w:val="24"/>
          <w:lang w:val="en-US" w:eastAsia="zh-CN"/>
        </w:rPr>
        <w:tab/>
      </w:r>
      <w:proofErr w:type="gramStart"/>
      <w:r w:rsidR="007944A3" w:rsidRPr="0053001D">
        <w:rPr>
          <w:rFonts w:hint="eastAsia"/>
          <w:szCs w:val="24"/>
          <w:lang w:eastAsia="zh-CN"/>
        </w:rPr>
        <w:t>有关</w:t>
      </w:r>
      <w:bookmarkStart w:id="11" w:name="_Toc407024868"/>
      <w:bookmarkStart w:id="12" w:name="_Toc413838524"/>
      <w:bookmarkStart w:id="13" w:name="_Toc536172428"/>
      <w:r w:rsidRPr="0053001D">
        <w:rPr>
          <w:rFonts w:hint="eastAsia"/>
          <w:szCs w:val="24"/>
          <w:lang w:eastAsia="zh-CN"/>
        </w:rPr>
        <w:t>“</w:t>
      </w:r>
      <w:proofErr w:type="gramEnd"/>
      <w:r w:rsidR="007944A3" w:rsidRPr="0053001D">
        <w:rPr>
          <w:szCs w:val="24"/>
          <w:lang w:eastAsia="zh-CN"/>
        </w:rPr>
        <w:t>促进物联网与</w:t>
      </w:r>
      <w:r w:rsidR="007944A3" w:rsidRPr="0053001D">
        <w:rPr>
          <w:rFonts w:hint="eastAsia"/>
          <w:szCs w:val="24"/>
          <w:lang w:eastAsia="zh-CN"/>
        </w:rPr>
        <w:t>可持续智慧城市和社区的发展</w:t>
      </w:r>
      <w:bookmarkEnd w:id="11"/>
      <w:bookmarkEnd w:id="12"/>
      <w:bookmarkEnd w:id="13"/>
      <w:r w:rsidRPr="0053001D">
        <w:rPr>
          <w:rFonts w:hint="eastAsia"/>
          <w:szCs w:val="24"/>
          <w:lang w:eastAsia="zh-CN"/>
        </w:rPr>
        <w:t>”</w:t>
      </w:r>
      <w:r w:rsidR="007944A3" w:rsidRPr="0053001D">
        <w:rPr>
          <w:rFonts w:hint="eastAsia"/>
          <w:szCs w:val="24"/>
          <w:lang w:eastAsia="zh-CN"/>
        </w:rPr>
        <w:t>的全权代表大会第</w:t>
      </w:r>
      <w:r w:rsidR="007944A3" w:rsidRPr="0053001D">
        <w:rPr>
          <w:rFonts w:hint="eastAsia"/>
          <w:szCs w:val="24"/>
          <w:lang w:eastAsia="zh-CN"/>
        </w:rPr>
        <w:t>1</w:t>
      </w:r>
      <w:r w:rsidR="007944A3" w:rsidRPr="0053001D">
        <w:rPr>
          <w:szCs w:val="24"/>
          <w:lang w:eastAsia="zh-CN"/>
        </w:rPr>
        <w:t>9</w:t>
      </w:r>
      <w:r w:rsidR="007944A3" w:rsidRPr="0053001D">
        <w:rPr>
          <w:rFonts w:hint="eastAsia"/>
          <w:szCs w:val="24"/>
          <w:lang w:eastAsia="zh-CN"/>
        </w:rPr>
        <w:t>7</w:t>
      </w:r>
      <w:r w:rsidR="007944A3" w:rsidRPr="0053001D">
        <w:rPr>
          <w:rFonts w:hint="eastAsia"/>
          <w:szCs w:val="24"/>
          <w:lang w:eastAsia="zh-CN"/>
        </w:rPr>
        <w:t>号决议（</w:t>
      </w:r>
      <w:r w:rsidR="007944A3" w:rsidRPr="0053001D">
        <w:rPr>
          <w:rFonts w:hint="eastAsia"/>
          <w:szCs w:val="24"/>
          <w:lang w:eastAsia="zh-CN"/>
        </w:rPr>
        <w:t>2</w:t>
      </w:r>
      <w:r w:rsidR="007944A3" w:rsidRPr="0053001D">
        <w:rPr>
          <w:szCs w:val="24"/>
          <w:lang w:eastAsia="zh-CN"/>
        </w:rPr>
        <w:t>018</w:t>
      </w:r>
      <w:r w:rsidR="007944A3" w:rsidRPr="0053001D">
        <w:rPr>
          <w:rFonts w:hint="eastAsia"/>
          <w:szCs w:val="24"/>
          <w:lang w:eastAsia="zh-CN"/>
        </w:rPr>
        <w:t>年，迪拜）</w:t>
      </w:r>
      <w:bookmarkEnd w:id="10"/>
      <w:r w:rsidRPr="0053001D">
        <w:rPr>
          <w:rFonts w:hint="eastAsia"/>
          <w:szCs w:val="24"/>
          <w:lang w:eastAsia="zh-CN"/>
        </w:rPr>
        <w:t>；</w:t>
      </w:r>
    </w:p>
    <w:p w14:paraId="07C242E3" w14:textId="77777777" w:rsidR="007944A3" w:rsidRPr="0053001D" w:rsidRDefault="008E100D" w:rsidP="0053001D">
      <w:pPr>
        <w:jc w:val="both"/>
        <w:rPr>
          <w:szCs w:val="24"/>
          <w:lang w:eastAsia="zh-CN"/>
        </w:rPr>
      </w:pPr>
      <w:bookmarkStart w:id="14" w:name="lt_pId010"/>
      <w:r w:rsidRPr="0053001D">
        <w:rPr>
          <w:i/>
          <w:szCs w:val="24"/>
          <w:lang w:eastAsia="zh-CN"/>
        </w:rPr>
        <w:t>f)</w:t>
      </w:r>
      <w:r w:rsidRPr="0053001D">
        <w:rPr>
          <w:rFonts w:asciiTheme="minorHAnsi" w:eastAsiaTheme="minorEastAsia" w:hAnsiTheme="minorHAnsi" w:cstheme="minorBidi"/>
          <w:szCs w:val="24"/>
          <w:lang w:val="en-US" w:eastAsia="zh-CN"/>
        </w:rPr>
        <w:tab/>
      </w:r>
      <w:proofErr w:type="gramStart"/>
      <w:r w:rsidR="007944A3" w:rsidRPr="0053001D">
        <w:rPr>
          <w:rFonts w:hint="eastAsia"/>
          <w:szCs w:val="24"/>
          <w:lang w:eastAsia="zh-CN"/>
        </w:rPr>
        <w:t>有关</w:t>
      </w:r>
      <w:bookmarkStart w:id="15" w:name="_Toc536172442"/>
      <w:r w:rsidRPr="0053001D">
        <w:rPr>
          <w:rFonts w:hint="eastAsia"/>
          <w:szCs w:val="24"/>
          <w:lang w:eastAsia="zh-CN"/>
        </w:rPr>
        <w:t>“</w:t>
      </w:r>
      <w:proofErr w:type="gramEnd"/>
      <w:r w:rsidR="007944A3" w:rsidRPr="0053001D">
        <w:rPr>
          <w:rFonts w:hint="eastAsia"/>
          <w:szCs w:val="24"/>
          <w:lang w:eastAsia="zh-CN"/>
        </w:rPr>
        <w:t>过顶业务（</w:t>
      </w:r>
      <w:r w:rsidR="007944A3" w:rsidRPr="0053001D">
        <w:rPr>
          <w:rFonts w:hint="eastAsia"/>
          <w:szCs w:val="24"/>
          <w:lang w:eastAsia="zh-CN"/>
        </w:rPr>
        <w:t>OTT</w:t>
      </w:r>
      <w:r w:rsidR="007944A3" w:rsidRPr="0053001D">
        <w:rPr>
          <w:rFonts w:hint="eastAsia"/>
          <w:szCs w:val="24"/>
          <w:lang w:eastAsia="zh-CN"/>
        </w:rPr>
        <w:t>）</w:t>
      </w:r>
      <w:bookmarkStart w:id="16" w:name="_Hlk88034909"/>
      <w:bookmarkEnd w:id="15"/>
      <w:r w:rsidRPr="0053001D">
        <w:rPr>
          <w:rFonts w:hint="eastAsia"/>
          <w:szCs w:val="24"/>
          <w:lang w:eastAsia="zh-CN"/>
        </w:rPr>
        <w:t>”</w:t>
      </w:r>
      <w:r w:rsidR="007944A3" w:rsidRPr="0053001D">
        <w:rPr>
          <w:rFonts w:hint="eastAsia"/>
          <w:szCs w:val="24"/>
          <w:lang w:eastAsia="zh-CN"/>
        </w:rPr>
        <w:t>的全权代表大会第</w:t>
      </w:r>
      <w:r w:rsidR="007944A3" w:rsidRPr="0053001D">
        <w:rPr>
          <w:szCs w:val="24"/>
          <w:lang w:eastAsia="zh-CN"/>
        </w:rPr>
        <w:t>206</w:t>
      </w:r>
      <w:r w:rsidR="007944A3" w:rsidRPr="0053001D">
        <w:rPr>
          <w:rFonts w:hint="eastAsia"/>
          <w:szCs w:val="24"/>
          <w:lang w:eastAsia="zh-CN"/>
        </w:rPr>
        <w:t>号决议（</w:t>
      </w:r>
      <w:r w:rsidR="007944A3" w:rsidRPr="0053001D">
        <w:rPr>
          <w:rFonts w:hint="eastAsia"/>
          <w:szCs w:val="24"/>
          <w:lang w:eastAsia="zh-CN"/>
        </w:rPr>
        <w:t>2</w:t>
      </w:r>
      <w:r w:rsidR="007944A3" w:rsidRPr="0053001D">
        <w:rPr>
          <w:szCs w:val="24"/>
          <w:lang w:eastAsia="zh-CN"/>
        </w:rPr>
        <w:t>018</w:t>
      </w:r>
      <w:r w:rsidR="007944A3" w:rsidRPr="0053001D">
        <w:rPr>
          <w:rFonts w:hint="eastAsia"/>
          <w:szCs w:val="24"/>
          <w:lang w:eastAsia="zh-CN"/>
        </w:rPr>
        <w:t>年，迪拜）</w:t>
      </w:r>
      <w:bookmarkEnd w:id="16"/>
      <w:bookmarkEnd w:id="14"/>
      <w:r w:rsidRPr="0053001D">
        <w:rPr>
          <w:rFonts w:hint="eastAsia"/>
          <w:szCs w:val="24"/>
          <w:lang w:eastAsia="zh-CN"/>
        </w:rPr>
        <w:t>；</w:t>
      </w:r>
    </w:p>
    <w:p w14:paraId="428CB443" w14:textId="77777777" w:rsidR="007944A3" w:rsidRPr="0053001D" w:rsidRDefault="008E100D" w:rsidP="0053001D">
      <w:pPr>
        <w:jc w:val="both"/>
        <w:rPr>
          <w:szCs w:val="24"/>
          <w:lang w:eastAsia="zh-CN"/>
        </w:rPr>
      </w:pPr>
      <w:bookmarkStart w:id="17" w:name="lt_pId011"/>
      <w:r w:rsidRPr="0053001D">
        <w:rPr>
          <w:i/>
          <w:szCs w:val="24"/>
          <w:lang w:eastAsia="zh-CN"/>
        </w:rPr>
        <w:t>g)</w:t>
      </w:r>
      <w:r w:rsidRPr="0053001D">
        <w:rPr>
          <w:rFonts w:asciiTheme="minorHAnsi" w:eastAsiaTheme="minorEastAsia" w:hAnsiTheme="minorHAnsi" w:cstheme="minorBidi"/>
          <w:szCs w:val="24"/>
          <w:lang w:val="en-US" w:eastAsia="zh-CN"/>
        </w:rPr>
        <w:tab/>
      </w:r>
      <w:proofErr w:type="gramStart"/>
      <w:r w:rsidR="007944A3" w:rsidRPr="0053001D">
        <w:rPr>
          <w:rFonts w:hint="eastAsia"/>
          <w:szCs w:val="24"/>
          <w:lang w:eastAsia="zh-CN"/>
        </w:rPr>
        <w:t>有关</w:t>
      </w:r>
      <w:bookmarkStart w:id="18" w:name="_Toc536172440"/>
      <w:r w:rsidRPr="0053001D">
        <w:rPr>
          <w:rFonts w:hint="eastAsia"/>
          <w:szCs w:val="24"/>
          <w:lang w:eastAsia="zh-CN"/>
        </w:rPr>
        <w:t>“</w:t>
      </w:r>
      <w:proofErr w:type="gramEnd"/>
      <w:r w:rsidR="007944A3" w:rsidRPr="0053001D">
        <w:rPr>
          <w:rFonts w:hint="eastAsia"/>
          <w:szCs w:val="24"/>
          <w:lang w:eastAsia="zh-CN"/>
        </w:rPr>
        <w:t>国际电联在推动以电信</w:t>
      </w:r>
      <w:r w:rsidR="007944A3" w:rsidRPr="0053001D">
        <w:rPr>
          <w:rFonts w:hint="eastAsia"/>
          <w:szCs w:val="24"/>
          <w:lang w:eastAsia="zh-CN"/>
        </w:rPr>
        <w:t>/</w:t>
      </w:r>
      <w:r w:rsidR="007944A3" w:rsidRPr="0053001D">
        <w:rPr>
          <w:rFonts w:hint="eastAsia"/>
          <w:szCs w:val="24"/>
          <w:lang w:eastAsia="zh-CN"/>
        </w:rPr>
        <w:t>信息通信技术为中心的创新以支持数字经济和社会方面的作用</w:t>
      </w:r>
      <w:bookmarkEnd w:id="18"/>
      <w:r w:rsidRPr="0053001D">
        <w:rPr>
          <w:rFonts w:hint="eastAsia"/>
          <w:szCs w:val="24"/>
          <w:lang w:eastAsia="zh-CN"/>
        </w:rPr>
        <w:t>”</w:t>
      </w:r>
      <w:r w:rsidR="007944A3" w:rsidRPr="0053001D">
        <w:rPr>
          <w:rFonts w:hint="eastAsia"/>
          <w:szCs w:val="24"/>
          <w:lang w:eastAsia="zh-CN"/>
        </w:rPr>
        <w:t>的全权代表大会第</w:t>
      </w:r>
      <w:r w:rsidR="007944A3" w:rsidRPr="0053001D">
        <w:rPr>
          <w:szCs w:val="24"/>
          <w:lang w:eastAsia="zh-CN"/>
        </w:rPr>
        <w:t>205</w:t>
      </w:r>
      <w:r w:rsidR="007944A3" w:rsidRPr="0053001D">
        <w:rPr>
          <w:rFonts w:hint="eastAsia"/>
          <w:szCs w:val="24"/>
          <w:lang w:eastAsia="zh-CN"/>
        </w:rPr>
        <w:t>号决议（</w:t>
      </w:r>
      <w:r w:rsidR="007944A3" w:rsidRPr="0053001D">
        <w:rPr>
          <w:rFonts w:hint="eastAsia"/>
          <w:szCs w:val="24"/>
          <w:lang w:eastAsia="zh-CN"/>
        </w:rPr>
        <w:t>2</w:t>
      </w:r>
      <w:r w:rsidR="007944A3" w:rsidRPr="0053001D">
        <w:rPr>
          <w:szCs w:val="24"/>
          <w:lang w:eastAsia="zh-CN"/>
        </w:rPr>
        <w:t>018</w:t>
      </w:r>
      <w:r w:rsidR="007944A3" w:rsidRPr="0053001D">
        <w:rPr>
          <w:rFonts w:hint="eastAsia"/>
          <w:szCs w:val="24"/>
          <w:lang w:eastAsia="zh-CN"/>
        </w:rPr>
        <w:t>年，迪拜）</w:t>
      </w:r>
      <w:bookmarkEnd w:id="17"/>
      <w:r w:rsidR="007944A3" w:rsidRPr="0053001D">
        <w:rPr>
          <w:rFonts w:hint="eastAsia"/>
          <w:szCs w:val="24"/>
          <w:lang w:eastAsia="zh-CN"/>
        </w:rPr>
        <w:t>，</w:t>
      </w:r>
    </w:p>
    <w:p w14:paraId="2AEC5837" w14:textId="77777777" w:rsidR="007944A3" w:rsidRPr="0053001D" w:rsidRDefault="007944A3" w:rsidP="008E100D">
      <w:pPr>
        <w:pStyle w:val="Call"/>
        <w:rPr>
          <w:rFonts w:eastAsia="STKaiti"/>
          <w:i w:val="0"/>
          <w:szCs w:val="24"/>
          <w:lang w:eastAsia="zh-CN"/>
        </w:rPr>
      </w:pPr>
      <w:bookmarkStart w:id="19" w:name="lt_pId012"/>
      <w:r w:rsidRPr="0053001D">
        <w:rPr>
          <w:rFonts w:eastAsia="STKaiti" w:hint="eastAsia"/>
          <w:i w:val="0"/>
          <w:szCs w:val="24"/>
          <w:lang w:eastAsia="zh-CN"/>
        </w:rPr>
        <w:t>认识到</w:t>
      </w:r>
      <w:bookmarkEnd w:id="19"/>
    </w:p>
    <w:p w14:paraId="480102B5" w14:textId="77777777" w:rsidR="007944A3" w:rsidRPr="0053001D" w:rsidRDefault="008E100D" w:rsidP="0053001D">
      <w:pPr>
        <w:rPr>
          <w:szCs w:val="24"/>
          <w:lang w:eastAsia="zh-CN"/>
        </w:rPr>
      </w:pPr>
      <w:r w:rsidRPr="0053001D">
        <w:rPr>
          <w:i/>
          <w:szCs w:val="24"/>
          <w:lang w:eastAsia="zh-CN"/>
        </w:rPr>
        <w:t>a)</w:t>
      </w:r>
      <w:r w:rsidRPr="0053001D">
        <w:rPr>
          <w:rFonts w:asciiTheme="minorHAnsi" w:eastAsiaTheme="minorEastAsia" w:hAnsiTheme="minorHAnsi" w:cstheme="minorBidi"/>
          <w:szCs w:val="24"/>
          <w:lang w:val="en-US" w:eastAsia="zh-CN"/>
        </w:rPr>
        <w:tab/>
      </w:r>
      <w:r w:rsidR="007944A3" w:rsidRPr="0053001D">
        <w:rPr>
          <w:rFonts w:hint="eastAsia"/>
          <w:szCs w:val="24"/>
          <w:lang w:eastAsia="zh-CN"/>
        </w:rPr>
        <w:t>5G</w:t>
      </w:r>
      <w:r w:rsidR="007944A3" w:rsidRPr="0053001D">
        <w:rPr>
          <w:rFonts w:hint="eastAsia"/>
          <w:szCs w:val="24"/>
          <w:lang w:eastAsia="zh-CN"/>
        </w:rPr>
        <w:t>、人工智能（</w:t>
      </w:r>
      <w:r w:rsidR="007944A3" w:rsidRPr="0053001D">
        <w:rPr>
          <w:rFonts w:hint="eastAsia"/>
          <w:szCs w:val="24"/>
          <w:lang w:eastAsia="zh-CN"/>
        </w:rPr>
        <w:t>AI</w:t>
      </w:r>
      <w:r w:rsidR="007944A3" w:rsidRPr="0053001D">
        <w:rPr>
          <w:rFonts w:hint="eastAsia"/>
          <w:szCs w:val="24"/>
          <w:lang w:eastAsia="zh-CN"/>
        </w:rPr>
        <w:t>）、物联网（</w:t>
      </w:r>
      <w:r w:rsidR="007944A3" w:rsidRPr="0053001D">
        <w:rPr>
          <w:rFonts w:hint="eastAsia"/>
          <w:szCs w:val="24"/>
          <w:lang w:eastAsia="zh-CN"/>
        </w:rPr>
        <w:t>IoT</w:t>
      </w:r>
      <w:r w:rsidR="007944A3" w:rsidRPr="0053001D">
        <w:rPr>
          <w:rFonts w:hint="eastAsia"/>
          <w:szCs w:val="24"/>
          <w:lang w:eastAsia="zh-CN"/>
        </w:rPr>
        <w:t>）、大数据和过顶业务（</w:t>
      </w:r>
      <w:r w:rsidR="007944A3" w:rsidRPr="0053001D">
        <w:rPr>
          <w:rFonts w:hint="eastAsia"/>
          <w:szCs w:val="24"/>
          <w:lang w:eastAsia="zh-CN"/>
        </w:rPr>
        <w:t>OTT</w:t>
      </w:r>
      <w:r w:rsidR="007944A3" w:rsidRPr="0053001D">
        <w:rPr>
          <w:rFonts w:hint="eastAsia"/>
          <w:szCs w:val="24"/>
          <w:lang w:eastAsia="zh-CN"/>
        </w:rPr>
        <w:t>）等新的和新兴技术持续演进，可推动使用电信</w:t>
      </w:r>
      <w:r w:rsidR="007944A3" w:rsidRPr="0053001D">
        <w:rPr>
          <w:rFonts w:hint="eastAsia"/>
          <w:szCs w:val="24"/>
          <w:lang w:eastAsia="zh-CN"/>
        </w:rPr>
        <w:t>/</w:t>
      </w:r>
      <w:proofErr w:type="gramStart"/>
      <w:r w:rsidR="007944A3" w:rsidRPr="0053001D">
        <w:rPr>
          <w:rFonts w:hint="eastAsia"/>
          <w:szCs w:val="24"/>
          <w:lang w:eastAsia="zh-CN"/>
        </w:rPr>
        <w:t>信息通信技术</w:t>
      </w:r>
      <w:r w:rsidR="007944A3" w:rsidRPr="0053001D">
        <w:rPr>
          <w:rFonts w:hint="eastAsia"/>
          <w:szCs w:val="24"/>
          <w:lang w:eastAsia="zh-CN"/>
        </w:rPr>
        <w:t>(</w:t>
      </w:r>
      <w:proofErr w:type="gramEnd"/>
      <w:r w:rsidR="007944A3" w:rsidRPr="0053001D">
        <w:rPr>
          <w:rFonts w:hint="eastAsia"/>
          <w:szCs w:val="24"/>
          <w:lang w:eastAsia="zh-CN"/>
        </w:rPr>
        <w:t>ICT)</w:t>
      </w:r>
      <w:r w:rsidR="007944A3" w:rsidRPr="0053001D">
        <w:rPr>
          <w:rFonts w:hint="eastAsia"/>
          <w:szCs w:val="24"/>
          <w:lang w:eastAsia="zh-CN"/>
        </w:rPr>
        <w:t>促进可持续发展，同时考虑到整个联合国系统正在进行的、探索这些技术的不同方面以支持可持续发展的讨论和倡议；</w:t>
      </w:r>
    </w:p>
    <w:p w14:paraId="69D1B397" w14:textId="77777777" w:rsidR="007944A3" w:rsidRPr="0053001D" w:rsidRDefault="008E100D" w:rsidP="0053001D">
      <w:pPr>
        <w:rPr>
          <w:szCs w:val="24"/>
          <w:lang w:eastAsia="zh-CN"/>
        </w:rPr>
      </w:pPr>
      <w:r w:rsidRPr="0053001D">
        <w:rPr>
          <w:i/>
          <w:szCs w:val="24"/>
          <w:lang w:eastAsia="zh-CN"/>
        </w:rPr>
        <w:t>b)</w:t>
      </w:r>
      <w:r w:rsidRPr="0053001D">
        <w:rPr>
          <w:rFonts w:asciiTheme="minorHAnsi" w:eastAsiaTheme="minorEastAsia" w:hAnsiTheme="minorHAnsi" w:cstheme="minorBidi"/>
          <w:szCs w:val="24"/>
          <w:lang w:val="en-US" w:eastAsia="zh-CN"/>
        </w:rPr>
        <w:tab/>
      </w:r>
      <w:r w:rsidR="007944A3" w:rsidRPr="0053001D">
        <w:rPr>
          <w:rFonts w:hint="eastAsia"/>
          <w:szCs w:val="24"/>
          <w:lang w:eastAsia="zh-CN"/>
        </w:rPr>
        <w:t>电信</w:t>
      </w:r>
      <w:r w:rsidR="007944A3" w:rsidRPr="0053001D">
        <w:rPr>
          <w:rFonts w:hint="eastAsia"/>
          <w:szCs w:val="24"/>
          <w:lang w:eastAsia="zh-CN"/>
        </w:rPr>
        <w:t>/ICT</w:t>
      </w:r>
      <w:r w:rsidR="007944A3" w:rsidRPr="0053001D">
        <w:rPr>
          <w:rFonts w:hint="eastAsia"/>
          <w:szCs w:val="24"/>
          <w:lang w:eastAsia="zh-CN"/>
        </w:rPr>
        <w:t>是诸多新技术的促成因素，反过来，新技术亦可促进电信</w:t>
      </w:r>
      <w:r w:rsidR="007944A3" w:rsidRPr="0053001D">
        <w:rPr>
          <w:rFonts w:hint="eastAsia"/>
          <w:szCs w:val="24"/>
          <w:lang w:eastAsia="zh-CN"/>
        </w:rPr>
        <w:t>/</w:t>
      </w:r>
      <w:proofErr w:type="gramStart"/>
      <w:r w:rsidR="007944A3" w:rsidRPr="0053001D">
        <w:rPr>
          <w:rFonts w:hint="eastAsia"/>
          <w:szCs w:val="24"/>
          <w:lang w:eastAsia="zh-CN"/>
        </w:rPr>
        <w:t>ICT</w:t>
      </w:r>
      <w:r w:rsidR="007944A3" w:rsidRPr="0053001D">
        <w:rPr>
          <w:rFonts w:hint="eastAsia"/>
          <w:szCs w:val="24"/>
          <w:lang w:eastAsia="zh-CN"/>
        </w:rPr>
        <w:t>的发展和部署；</w:t>
      </w:r>
      <w:proofErr w:type="gramEnd"/>
    </w:p>
    <w:p w14:paraId="2CE39FE4" w14:textId="77777777" w:rsidR="007944A3" w:rsidRPr="0053001D" w:rsidRDefault="008E100D" w:rsidP="0053001D">
      <w:pPr>
        <w:rPr>
          <w:szCs w:val="24"/>
          <w:lang w:eastAsia="zh-CN"/>
        </w:rPr>
      </w:pPr>
      <w:r w:rsidRPr="0053001D">
        <w:rPr>
          <w:i/>
          <w:szCs w:val="24"/>
          <w:lang w:eastAsia="zh-CN"/>
        </w:rPr>
        <w:t>c)</w:t>
      </w:r>
      <w:r w:rsidRPr="0053001D">
        <w:rPr>
          <w:rFonts w:asciiTheme="minorHAnsi" w:eastAsiaTheme="minorEastAsia" w:hAnsiTheme="minorHAnsi" w:cstheme="minorBidi"/>
          <w:szCs w:val="24"/>
          <w:lang w:val="en-US" w:eastAsia="zh-CN"/>
        </w:rPr>
        <w:tab/>
      </w:r>
      <w:r w:rsidR="007944A3" w:rsidRPr="0053001D">
        <w:rPr>
          <w:rFonts w:hint="eastAsia"/>
          <w:szCs w:val="24"/>
          <w:lang w:eastAsia="zh-CN"/>
        </w:rPr>
        <w:t>通过推动使用电信</w:t>
      </w:r>
      <w:r w:rsidR="007944A3" w:rsidRPr="0053001D">
        <w:rPr>
          <w:rFonts w:hint="eastAsia"/>
          <w:szCs w:val="24"/>
          <w:lang w:eastAsia="zh-CN"/>
        </w:rPr>
        <w:t>/ICT</w:t>
      </w:r>
      <w:r w:rsidR="007944A3" w:rsidRPr="0053001D">
        <w:rPr>
          <w:rFonts w:hint="eastAsia"/>
          <w:szCs w:val="24"/>
          <w:lang w:eastAsia="zh-CN"/>
        </w:rPr>
        <w:t>以及新的和新兴技术，如人工智能、物联网、</w:t>
      </w:r>
      <w:r w:rsidR="007944A3" w:rsidRPr="0053001D">
        <w:rPr>
          <w:rFonts w:hint="eastAsia"/>
          <w:szCs w:val="24"/>
          <w:lang w:eastAsia="zh-CN"/>
        </w:rPr>
        <w:t>5G</w:t>
      </w:r>
      <w:r w:rsidR="007944A3" w:rsidRPr="0053001D">
        <w:rPr>
          <w:rFonts w:hint="eastAsia"/>
          <w:szCs w:val="24"/>
          <w:lang w:eastAsia="zh-CN"/>
        </w:rPr>
        <w:t>、大数据和</w:t>
      </w:r>
      <w:r w:rsidR="007944A3" w:rsidRPr="0053001D">
        <w:rPr>
          <w:rFonts w:hint="eastAsia"/>
          <w:szCs w:val="24"/>
          <w:lang w:eastAsia="zh-CN"/>
        </w:rPr>
        <w:t>OTT</w:t>
      </w:r>
      <w:r w:rsidR="007944A3" w:rsidRPr="0053001D">
        <w:rPr>
          <w:rFonts w:hint="eastAsia"/>
          <w:szCs w:val="24"/>
          <w:lang w:eastAsia="zh-CN"/>
        </w:rPr>
        <w:t>，可促成实现全球向数字经济的过渡，并加速不同行业数字化转型带来的效益，从而进一步推动实现我们的共同目标，</w:t>
      </w:r>
      <w:proofErr w:type="gramStart"/>
      <w:r w:rsidR="007944A3" w:rsidRPr="0053001D">
        <w:rPr>
          <w:rFonts w:hint="eastAsia"/>
          <w:szCs w:val="24"/>
          <w:lang w:eastAsia="zh-CN"/>
        </w:rPr>
        <w:t>即推进可持续发展目标；</w:t>
      </w:r>
      <w:proofErr w:type="gramEnd"/>
    </w:p>
    <w:p w14:paraId="3379C738" w14:textId="77777777" w:rsidR="007944A3" w:rsidRPr="0053001D" w:rsidRDefault="008E100D" w:rsidP="0053001D">
      <w:pPr>
        <w:rPr>
          <w:szCs w:val="24"/>
          <w:lang w:eastAsia="zh-CN"/>
        </w:rPr>
      </w:pPr>
      <w:r w:rsidRPr="0053001D">
        <w:rPr>
          <w:i/>
          <w:szCs w:val="24"/>
          <w:lang w:eastAsia="zh-CN"/>
        </w:rPr>
        <w:t>d)</w:t>
      </w:r>
      <w:r w:rsidRPr="0053001D">
        <w:rPr>
          <w:rFonts w:asciiTheme="minorHAnsi" w:eastAsiaTheme="minorEastAsia" w:hAnsiTheme="minorHAnsi" w:cstheme="minorBidi"/>
          <w:szCs w:val="24"/>
          <w:lang w:val="en-US" w:eastAsia="zh-CN"/>
        </w:rPr>
        <w:tab/>
      </w:r>
      <w:r w:rsidR="007944A3" w:rsidRPr="0053001D">
        <w:rPr>
          <w:rFonts w:hint="eastAsia"/>
          <w:szCs w:val="24"/>
          <w:lang w:eastAsia="zh-CN"/>
        </w:rPr>
        <w:t>虽然这一转型将使各国能够挖掘此类技术的潜力以推动电信</w:t>
      </w:r>
      <w:r w:rsidR="007944A3" w:rsidRPr="0053001D">
        <w:rPr>
          <w:rFonts w:hint="eastAsia"/>
          <w:szCs w:val="24"/>
          <w:lang w:eastAsia="zh-CN"/>
        </w:rPr>
        <w:t>/ICT</w:t>
      </w:r>
      <w:r w:rsidR="007944A3" w:rsidRPr="0053001D">
        <w:rPr>
          <w:rFonts w:hint="eastAsia"/>
          <w:szCs w:val="24"/>
          <w:lang w:eastAsia="zh-CN"/>
        </w:rPr>
        <w:t>的使用，并促进可持续发展，但随着各国利用这一潜力，</w:t>
      </w:r>
      <w:r w:rsidR="007944A3" w:rsidRPr="0053001D">
        <w:rPr>
          <w:szCs w:val="24"/>
          <w:lang w:eastAsia="zh-CN"/>
        </w:rPr>
        <w:t>发展中国家</w:t>
      </w:r>
      <w:r w:rsidR="007944A3" w:rsidRPr="0053001D">
        <w:rPr>
          <w:rStyle w:val="FootnoteReference"/>
          <w:sz w:val="24"/>
          <w:szCs w:val="24"/>
        </w:rPr>
        <w:footnoteReference w:id="1"/>
      </w:r>
      <w:proofErr w:type="gramStart"/>
      <w:r w:rsidR="007944A3" w:rsidRPr="0053001D">
        <w:rPr>
          <w:szCs w:val="24"/>
          <w:lang w:eastAsia="zh-CN"/>
        </w:rPr>
        <w:t>面临落后的风险最</w:t>
      </w:r>
      <w:r w:rsidR="007944A3" w:rsidRPr="0053001D">
        <w:rPr>
          <w:rFonts w:hint="eastAsia"/>
          <w:szCs w:val="24"/>
          <w:lang w:eastAsia="zh-CN"/>
        </w:rPr>
        <w:t>大</w:t>
      </w:r>
      <w:r w:rsidRPr="0053001D">
        <w:rPr>
          <w:rFonts w:hint="eastAsia"/>
          <w:szCs w:val="24"/>
          <w:lang w:eastAsia="zh-CN"/>
        </w:rPr>
        <w:t>；</w:t>
      </w:r>
      <w:proofErr w:type="gramEnd"/>
    </w:p>
    <w:p w14:paraId="61DC7D91" w14:textId="0C800E3A" w:rsidR="007944A3" w:rsidRPr="0053001D" w:rsidRDefault="008E100D" w:rsidP="0053001D">
      <w:pPr>
        <w:rPr>
          <w:szCs w:val="24"/>
          <w:lang w:eastAsia="zh-CN"/>
        </w:rPr>
      </w:pPr>
      <w:r w:rsidRPr="0053001D">
        <w:rPr>
          <w:i/>
          <w:szCs w:val="24"/>
          <w:lang w:eastAsia="zh-CN"/>
        </w:rPr>
        <w:lastRenderedPageBreak/>
        <w:t>e)</w:t>
      </w:r>
      <w:r w:rsidRPr="0053001D">
        <w:rPr>
          <w:rFonts w:asciiTheme="minorHAnsi" w:eastAsiaTheme="minorEastAsia" w:hAnsiTheme="minorHAnsi" w:cstheme="minorBidi"/>
          <w:szCs w:val="24"/>
          <w:lang w:val="en-US" w:eastAsia="zh-CN"/>
        </w:rPr>
        <w:tab/>
      </w:r>
      <w:r w:rsidR="00E314E9" w:rsidRPr="0053001D">
        <w:rPr>
          <w:rFonts w:cstheme="minorHAnsi" w:hint="eastAsia"/>
          <w:szCs w:val="24"/>
          <w:lang w:eastAsia="zh-CN"/>
        </w:rPr>
        <w:t>负责任地开发和使用此类技术，特别是人工智能，有助于增强未来的创新能力并解决相关政策问题，因此参与开发和使用此类技术的利益攸关方应参与政策讨论，</w:t>
      </w:r>
      <w:proofErr w:type="gramStart"/>
      <w:r w:rsidR="00E314E9" w:rsidRPr="0053001D">
        <w:rPr>
          <w:rFonts w:cstheme="minorHAnsi" w:hint="eastAsia"/>
          <w:szCs w:val="24"/>
          <w:lang w:eastAsia="zh-CN"/>
        </w:rPr>
        <w:t>包括关于问责制和可持续发展的讨论</w:t>
      </w:r>
      <w:r w:rsidR="007944A3" w:rsidRPr="0053001D">
        <w:rPr>
          <w:rFonts w:hint="eastAsia"/>
          <w:szCs w:val="24"/>
          <w:lang w:eastAsia="zh-CN"/>
        </w:rPr>
        <w:t>；</w:t>
      </w:r>
      <w:proofErr w:type="gramEnd"/>
    </w:p>
    <w:p w14:paraId="62CA15CA" w14:textId="77777777" w:rsidR="007944A3" w:rsidRPr="0053001D" w:rsidRDefault="008E100D" w:rsidP="0053001D">
      <w:pPr>
        <w:rPr>
          <w:szCs w:val="24"/>
          <w:lang w:eastAsia="zh-CN"/>
        </w:rPr>
      </w:pPr>
      <w:r w:rsidRPr="0053001D">
        <w:rPr>
          <w:i/>
          <w:szCs w:val="24"/>
          <w:lang w:eastAsia="zh-CN"/>
        </w:rPr>
        <w:t>f)</w:t>
      </w:r>
      <w:r w:rsidRPr="0053001D">
        <w:rPr>
          <w:rFonts w:asciiTheme="minorHAnsi" w:eastAsiaTheme="minorEastAsia" w:hAnsiTheme="minorHAnsi" w:cstheme="minorBidi"/>
          <w:szCs w:val="24"/>
          <w:lang w:val="en-US" w:eastAsia="zh-CN"/>
        </w:rPr>
        <w:tab/>
      </w:r>
      <w:r w:rsidR="007944A3" w:rsidRPr="0053001D">
        <w:rPr>
          <w:rFonts w:hint="eastAsia"/>
          <w:szCs w:val="24"/>
          <w:lang w:eastAsia="zh-CN"/>
        </w:rPr>
        <w:t>必须促进树立使用这些技术的信心，提高其安全性并实现其包容性发展，</w:t>
      </w:r>
      <w:proofErr w:type="gramStart"/>
      <w:r w:rsidR="007944A3" w:rsidRPr="0053001D">
        <w:rPr>
          <w:rFonts w:hint="eastAsia"/>
          <w:szCs w:val="24"/>
          <w:lang w:eastAsia="zh-CN"/>
        </w:rPr>
        <w:t>同时促进平等享受这些技术的惠益；</w:t>
      </w:r>
      <w:proofErr w:type="gramEnd"/>
    </w:p>
    <w:p w14:paraId="7DB2D8B8" w14:textId="77777777" w:rsidR="007944A3" w:rsidRPr="0053001D" w:rsidRDefault="008E100D" w:rsidP="0053001D">
      <w:pPr>
        <w:rPr>
          <w:szCs w:val="24"/>
          <w:lang w:eastAsia="zh-CN"/>
        </w:rPr>
      </w:pPr>
      <w:r w:rsidRPr="0053001D">
        <w:rPr>
          <w:i/>
          <w:szCs w:val="24"/>
          <w:lang w:eastAsia="zh-CN"/>
        </w:rPr>
        <w:t>g)</w:t>
      </w:r>
      <w:r w:rsidRPr="0053001D">
        <w:rPr>
          <w:rFonts w:asciiTheme="minorHAnsi" w:eastAsiaTheme="minorEastAsia" w:hAnsiTheme="minorHAnsi" w:cstheme="minorBidi"/>
          <w:szCs w:val="24"/>
          <w:lang w:val="en-US" w:eastAsia="zh-CN"/>
        </w:rPr>
        <w:tab/>
      </w:r>
      <w:r w:rsidR="007944A3" w:rsidRPr="0053001D">
        <w:rPr>
          <w:rFonts w:hint="eastAsia"/>
          <w:szCs w:val="24"/>
          <w:lang w:eastAsia="zh-CN"/>
        </w:rPr>
        <w:t>扶持性战略、政策、规则、导则或原则可能有助于最大限度地发挥新的和新兴技术的潜力，推动使用电信</w:t>
      </w:r>
      <w:r w:rsidR="007944A3" w:rsidRPr="0053001D">
        <w:rPr>
          <w:rFonts w:hint="eastAsia"/>
          <w:szCs w:val="24"/>
          <w:lang w:eastAsia="zh-CN"/>
        </w:rPr>
        <w:t>/</w:t>
      </w:r>
      <w:proofErr w:type="gramStart"/>
      <w:r w:rsidR="007944A3" w:rsidRPr="0053001D">
        <w:rPr>
          <w:rFonts w:hint="eastAsia"/>
          <w:szCs w:val="24"/>
          <w:lang w:eastAsia="zh-CN"/>
        </w:rPr>
        <w:t>ICT</w:t>
      </w:r>
      <w:r w:rsidR="007944A3" w:rsidRPr="0053001D">
        <w:rPr>
          <w:rFonts w:hint="eastAsia"/>
          <w:szCs w:val="24"/>
          <w:lang w:eastAsia="zh-CN"/>
        </w:rPr>
        <w:t>促进可持续发展；</w:t>
      </w:r>
      <w:proofErr w:type="gramEnd"/>
    </w:p>
    <w:p w14:paraId="51311217" w14:textId="77777777" w:rsidR="007944A3" w:rsidRPr="0053001D" w:rsidRDefault="008E100D" w:rsidP="0053001D">
      <w:pPr>
        <w:jc w:val="both"/>
        <w:rPr>
          <w:szCs w:val="24"/>
          <w:lang w:eastAsia="zh-CN"/>
        </w:rPr>
      </w:pPr>
      <w:r w:rsidRPr="0053001D">
        <w:rPr>
          <w:i/>
          <w:szCs w:val="24"/>
          <w:lang w:eastAsia="zh-CN"/>
        </w:rPr>
        <w:t>h)</w:t>
      </w:r>
      <w:r w:rsidRPr="0053001D">
        <w:rPr>
          <w:rFonts w:asciiTheme="minorHAnsi" w:eastAsiaTheme="minorEastAsia" w:hAnsiTheme="minorHAnsi" w:cstheme="minorBidi"/>
          <w:szCs w:val="24"/>
          <w:lang w:val="en-US" w:eastAsia="zh-CN"/>
        </w:rPr>
        <w:tab/>
      </w:r>
      <w:r w:rsidR="007944A3" w:rsidRPr="0053001D">
        <w:rPr>
          <w:rFonts w:hint="eastAsia"/>
          <w:szCs w:val="24"/>
          <w:lang w:eastAsia="zh-CN"/>
        </w:rPr>
        <w:t>国际电联作为联合国负责电信</w:t>
      </w:r>
      <w:r w:rsidR="007944A3" w:rsidRPr="0053001D">
        <w:rPr>
          <w:rFonts w:hint="eastAsia"/>
          <w:szCs w:val="24"/>
          <w:lang w:eastAsia="zh-CN"/>
        </w:rPr>
        <w:t>/ICT</w:t>
      </w:r>
      <w:r w:rsidR="007944A3" w:rsidRPr="0053001D">
        <w:rPr>
          <w:rFonts w:hint="eastAsia"/>
          <w:szCs w:val="24"/>
          <w:lang w:eastAsia="zh-CN"/>
        </w:rPr>
        <w:t>事务的专门机构，</w:t>
      </w:r>
      <w:proofErr w:type="gramStart"/>
      <w:r w:rsidR="007944A3" w:rsidRPr="0053001D">
        <w:rPr>
          <w:rFonts w:hint="eastAsia"/>
          <w:szCs w:val="24"/>
          <w:lang w:eastAsia="zh-CN"/>
        </w:rPr>
        <w:t>在落实</w:t>
      </w:r>
      <w:r w:rsidR="007944A3" w:rsidRPr="0053001D">
        <w:rPr>
          <w:rFonts w:hint="eastAsia"/>
          <w:szCs w:val="24"/>
          <w:lang w:eastAsia="zh-CN"/>
        </w:rPr>
        <w:t>WSIS</w:t>
      </w:r>
      <w:r w:rsidR="007944A3" w:rsidRPr="0053001D">
        <w:rPr>
          <w:rFonts w:hint="eastAsia"/>
          <w:szCs w:val="24"/>
          <w:lang w:eastAsia="zh-CN"/>
        </w:rPr>
        <w:t>相关行动方面及其成果以及通过这些方面实现可持续发展目标方面发挥着主导作用；</w:t>
      </w:r>
      <w:proofErr w:type="gramEnd"/>
    </w:p>
    <w:p w14:paraId="628FD0F3" w14:textId="77777777" w:rsidR="007944A3" w:rsidRPr="0053001D" w:rsidRDefault="008E100D" w:rsidP="0053001D">
      <w:pPr>
        <w:rPr>
          <w:szCs w:val="24"/>
          <w:lang w:eastAsia="zh-CN"/>
        </w:rPr>
      </w:pPr>
      <w:proofErr w:type="spellStart"/>
      <w:r w:rsidRPr="0053001D">
        <w:rPr>
          <w:i/>
          <w:szCs w:val="24"/>
          <w:lang w:eastAsia="zh-CN"/>
        </w:rPr>
        <w:t>i</w:t>
      </w:r>
      <w:proofErr w:type="spellEnd"/>
      <w:r w:rsidRPr="0053001D">
        <w:rPr>
          <w:i/>
          <w:szCs w:val="24"/>
          <w:lang w:eastAsia="zh-CN"/>
        </w:rPr>
        <w:t>)</w:t>
      </w:r>
      <w:r w:rsidRPr="0053001D">
        <w:rPr>
          <w:rFonts w:asciiTheme="minorHAnsi" w:eastAsiaTheme="minorEastAsia" w:hAnsiTheme="minorHAnsi" w:cstheme="minorBidi"/>
          <w:szCs w:val="24"/>
          <w:lang w:val="en-US" w:eastAsia="zh-CN"/>
        </w:rPr>
        <w:tab/>
      </w:r>
      <w:r w:rsidR="007944A3" w:rsidRPr="0053001D">
        <w:rPr>
          <w:rFonts w:hint="eastAsia"/>
          <w:szCs w:val="24"/>
          <w:lang w:eastAsia="zh-CN"/>
        </w:rPr>
        <w:t>国际电联（包括国际电联研究组），正在开展与新的和新兴技术有关的、旨在促进电信</w:t>
      </w:r>
      <w:r w:rsidR="007944A3" w:rsidRPr="0053001D">
        <w:rPr>
          <w:rFonts w:hint="eastAsia"/>
          <w:szCs w:val="24"/>
          <w:lang w:eastAsia="zh-CN"/>
        </w:rPr>
        <w:t>/ICT</w:t>
      </w:r>
      <w:r w:rsidR="007944A3" w:rsidRPr="0053001D">
        <w:rPr>
          <w:rFonts w:hint="eastAsia"/>
          <w:szCs w:val="24"/>
          <w:lang w:eastAsia="zh-CN"/>
        </w:rPr>
        <w:t>的发展和部署的工作，</w:t>
      </w:r>
    </w:p>
    <w:p w14:paraId="424FD6E4" w14:textId="77777777" w:rsidR="007944A3" w:rsidRPr="0053001D" w:rsidRDefault="007944A3" w:rsidP="008E100D">
      <w:pPr>
        <w:pStyle w:val="Call"/>
        <w:rPr>
          <w:rFonts w:eastAsia="STKaiti"/>
          <w:i w:val="0"/>
          <w:szCs w:val="24"/>
          <w:lang w:eastAsia="zh-CN"/>
        </w:rPr>
      </w:pPr>
      <w:bookmarkStart w:id="20" w:name="lt_pId022"/>
      <w:r w:rsidRPr="0053001D">
        <w:rPr>
          <w:rFonts w:eastAsia="STKaiti" w:hint="eastAsia"/>
          <w:i w:val="0"/>
          <w:szCs w:val="24"/>
          <w:lang w:eastAsia="zh-CN"/>
        </w:rPr>
        <w:t>认为</w:t>
      </w:r>
      <w:bookmarkEnd w:id="20"/>
    </w:p>
    <w:p w14:paraId="0BF3AFCA" w14:textId="77777777" w:rsidR="007944A3" w:rsidRPr="0053001D" w:rsidRDefault="008E100D" w:rsidP="008E100D">
      <w:pPr>
        <w:rPr>
          <w:szCs w:val="24"/>
          <w:lang w:eastAsia="zh-CN"/>
        </w:rPr>
      </w:pPr>
      <w:r w:rsidRPr="0053001D">
        <w:rPr>
          <w:szCs w:val="24"/>
          <w:lang w:eastAsia="zh-CN"/>
        </w:rPr>
        <w:t>1</w:t>
      </w:r>
      <w:r w:rsidRPr="0053001D">
        <w:rPr>
          <w:rFonts w:asciiTheme="minorHAnsi" w:eastAsiaTheme="minorEastAsia" w:hAnsiTheme="minorHAnsi" w:cstheme="minorBidi"/>
          <w:szCs w:val="24"/>
          <w:lang w:val="en-US" w:eastAsia="zh-CN"/>
        </w:rPr>
        <w:tab/>
      </w:r>
      <w:r w:rsidR="007944A3" w:rsidRPr="0053001D">
        <w:rPr>
          <w:rFonts w:hint="eastAsia"/>
          <w:szCs w:val="24"/>
          <w:lang w:eastAsia="zh-CN"/>
        </w:rPr>
        <w:t>成员国应通过与所有利益攸关方的合作，为数字创新生态系统营造有利环境，促进相关新的和新兴技术，如</w:t>
      </w:r>
      <w:r w:rsidR="007944A3" w:rsidRPr="0053001D">
        <w:rPr>
          <w:rFonts w:hint="eastAsia"/>
          <w:szCs w:val="24"/>
          <w:lang w:eastAsia="zh-CN"/>
        </w:rPr>
        <w:t>5G</w:t>
      </w:r>
      <w:r w:rsidR="007944A3" w:rsidRPr="0053001D">
        <w:rPr>
          <w:rFonts w:hint="eastAsia"/>
          <w:szCs w:val="24"/>
          <w:lang w:eastAsia="zh-CN"/>
        </w:rPr>
        <w:t>、人工智能、物联网、大数据和</w:t>
      </w:r>
      <w:r w:rsidR="007944A3" w:rsidRPr="0053001D">
        <w:rPr>
          <w:rFonts w:hint="eastAsia"/>
          <w:szCs w:val="24"/>
          <w:lang w:eastAsia="zh-CN"/>
        </w:rPr>
        <w:t>OTT</w:t>
      </w:r>
      <w:r w:rsidR="007944A3" w:rsidRPr="0053001D">
        <w:rPr>
          <w:rFonts w:hint="eastAsia"/>
          <w:szCs w:val="24"/>
          <w:lang w:eastAsia="zh-CN"/>
        </w:rPr>
        <w:t>的包容性增长和发展，以推动使用电信</w:t>
      </w:r>
      <w:r w:rsidR="007944A3" w:rsidRPr="0053001D">
        <w:rPr>
          <w:rFonts w:hint="eastAsia"/>
          <w:szCs w:val="24"/>
          <w:lang w:eastAsia="zh-CN"/>
        </w:rPr>
        <w:t>/</w:t>
      </w:r>
      <w:proofErr w:type="gramStart"/>
      <w:r w:rsidR="007944A3" w:rsidRPr="0053001D">
        <w:rPr>
          <w:rFonts w:hint="eastAsia"/>
          <w:szCs w:val="24"/>
          <w:lang w:eastAsia="zh-CN"/>
        </w:rPr>
        <w:t>ICT</w:t>
      </w:r>
      <w:r w:rsidR="007944A3" w:rsidRPr="0053001D">
        <w:rPr>
          <w:rFonts w:hint="eastAsia"/>
          <w:szCs w:val="24"/>
          <w:lang w:eastAsia="zh-CN"/>
        </w:rPr>
        <w:t>促进可持续发展；</w:t>
      </w:r>
      <w:proofErr w:type="gramEnd"/>
    </w:p>
    <w:p w14:paraId="1EAB8C63" w14:textId="77777777" w:rsidR="007944A3" w:rsidRPr="0053001D" w:rsidRDefault="008E100D" w:rsidP="008E100D">
      <w:pPr>
        <w:rPr>
          <w:szCs w:val="24"/>
          <w:lang w:eastAsia="zh-CN"/>
        </w:rPr>
      </w:pPr>
      <w:r w:rsidRPr="0053001D">
        <w:rPr>
          <w:szCs w:val="24"/>
          <w:lang w:eastAsia="zh-CN"/>
        </w:rPr>
        <w:t>2</w:t>
      </w:r>
      <w:r w:rsidRPr="0053001D">
        <w:rPr>
          <w:rFonts w:asciiTheme="minorHAnsi" w:eastAsiaTheme="minorEastAsia" w:hAnsiTheme="minorHAnsi" w:cstheme="minorBidi"/>
          <w:szCs w:val="24"/>
          <w:lang w:val="en-US" w:eastAsia="zh-CN"/>
        </w:rPr>
        <w:tab/>
      </w:r>
      <w:r w:rsidR="007944A3" w:rsidRPr="0053001D">
        <w:rPr>
          <w:rFonts w:hint="eastAsia"/>
          <w:szCs w:val="24"/>
          <w:lang w:eastAsia="zh-CN"/>
        </w:rPr>
        <w:t>需要在国家、区域和国际层面制定扶持性政策，在让各国，特别是发展中国家的利益攸关方进行充分参与的情况下，</w:t>
      </w:r>
      <w:proofErr w:type="gramStart"/>
      <w:r w:rsidR="007944A3" w:rsidRPr="0053001D">
        <w:rPr>
          <w:rFonts w:hint="eastAsia"/>
          <w:szCs w:val="24"/>
          <w:lang w:eastAsia="zh-CN"/>
        </w:rPr>
        <w:t>充分抓住此类技术带来的机会并应对相关挑战；</w:t>
      </w:r>
      <w:proofErr w:type="gramEnd"/>
    </w:p>
    <w:p w14:paraId="363567B0" w14:textId="79B9359F" w:rsidR="007944A3" w:rsidRPr="0053001D" w:rsidRDefault="008E100D" w:rsidP="008E100D">
      <w:pPr>
        <w:rPr>
          <w:szCs w:val="24"/>
          <w:lang w:eastAsia="zh-CN"/>
        </w:rPr>
      </w:pPr>
      <w:r w:rsidRPr="0053001D">
        <w:rPr>
          <w:szCs w:val="24"/>
          <w:lang w:eastAsia="zh-CN"/>
        </w:rPr>
        <w:t>3</w:t>
      </w:r>
      <w:r w:rsidRPr="0053001D">
        <w:rPr>
          <w:rFonts w:asciiTheme="minorHAnsi" w:eastAsiaTheme="minorEastAsia" w:hAnsiTheme="minorHAnsi" w:cstheme="minorBidi"/>
          <w:szCs w:val="24"/>
          <w:lang w:val="en-US" w:eastAsia="zh-CN"/>
        </w:rPr>
        <w:tab/>
      </w:r>
      <w:r w:rsidR="007944A3" w:rsidRPr="0053001D">
        <w:rPr>
          <w:rFonts w:hint="eastAsia"/>
          <w:szCs w:val="24"/>
          <w:lang w:eastAsia="zh-CN"/>
        </w:rPr>
        <w:t>所有利益攸关方均需密切合作，</w:t>
      </w:r>
      <w:proofErr w:type="gramStart"/>
      <w:r w:rsidR="007944A3" w:rsidRPr="0053001D">
        <w:rPr>
          <w:rFonts w:hint="eastAsia"/>
          <w:szCs w:val="24"/>
          <w:lang w:eastAsia="zh-CN"/>
        </w:rPr>
        <w:t>充分挖掘上述</w:t>
      </w:r>
      <w:r w:rsidR="007944A3" w:rsidRPr="0053001D">
        <w:rPr>
          <w:rFonts w:ascii="STKaiti" w:eastAsia="STKaiti" w:hAnsi="STKaiti" w:hint="eastAsia"/>
          <w:iCs/>
          <w:szCs w:val="24"/>
          <w:lang w:eastAsia="zh-CN"/>
        </w:rPr>
        <w:t>认为</w:t>
      </w:r>
      <w:r w:rsidRPr="0053001D">
        <w:rPr>
          <w:rFonts w:ascii="STKaiti" w:eastAsia="STKaiti" w:hAnsi="STKaiti" w:hint="eastAsia"/>
          <w:iCs/>
          <w:szCs w:val="24"/>
          <w:lang w:eastAsia="zh-CN"/>
        </w:rPr>
        <w:t>“</w:t>
      </w:r>
      <w:proofErr w:type="gramEnd"/>
      <w:r w:rsidR="007944A3" w:rsidRPr="0053001D">
        <w:rPr>
          <w:rFonts w:ascii="STKaiti" w:eastAsia="STKaiti" w:hAnsi="STKaiti" w:hint="eastAsia"/>
          <w:iCs/>
          <w:szCs w:val="24"/>
          <w:lang w:eastAsia="zh-CN"/>
        </w:rPr>
        <w:t>1</w:t>
      </w:r>
      <w:r w:rsidRPr="0053001D">
        <w:rPr>
          <w:rFonts w:ascii="STKaiti" w:eastAsia="STKaiti" w:hAnsi="STKaiti" w:hint="eastAsia"/>
          <w:szCs w:val="24"/>
          <w:lang w:eastAsia="zh-CN"/>
        </w:rPr>
        <w:t>”</w:t>
      </w:r>
      <w:r w:rsidR="007944A3" w:rsidRPr="0053001D">
        <w:rPr>
          <w:rFonts w:hint="eastAsia"/>
          <w:szCs w:val="24"/>
          <w:lang w:eastAsia="zh-CN"/>
        </w:rPr>
        <w:t>段所述的、可造福全人类的服务和技术的潜力，推动可持续发展，并研究解决在使用过程中可能出现的任何共同政策问题和</w:t>
      </w:r>
      <w:r w:rsidR="00C001A3" w:rsidRPr="0053001D">
        <w:rPr>
          <w:rFonts w:hint="eastAsia"/>
          <w:szCs w:val="24"/>
          <w:lang w:eastAsia="zh-CN"/>
        </w:rPr>
        <w:t>其他</w:t>
      </w:r>
      <w:r w:rsidR="007944A3" w:rsidRPr="0053001D">
        <w:rPr>
          <w:rFonts w:hint="eastAsia"/>
          <w:szCs w:val="24"/>
          <w:lang w:eastAsia="zh-CN"/>
        </w:rPr>
        <w:t>挑战，</w:t>
      </w:r>
      <w:r w:rsidR="007944A3" w:rsidRPr="0053001D">
        <w:rPr>
          <w:rFonts w:eastAsia="STKaiti" w:hint="eastAsia"/>
          <w:iCs/>
          <w:szCs w:val="24"/>
          <w:lang w:eastAsia="zh-CN"/>
        </w:rPr>
        <w:t>特别是</w:t>
      </w:r>
      <w:r w:rsidR="007944A3" w:rsidRPr="0053001D">
        <w:rPr>
          <w:rFonts w:hint="eastAsia"/>
          <w:szCs w:val="24"/>
          <w:lang w:eastAsia="zh-CN"/>
        </w:rPr>
        <w:t>与信心和安全性、可靠性、包容性、透明度和互操作性有关的问题和挑战；</w:t>
      </w:r>
    </w:p>
    <w:p w14:paraId="39D7ADD8" w14:textId="77777777" w:rsidR="007944A3" w:rsidRPr="0053001D" w:rsidRDefault="008E100D" w:rsidP="008E100D">
      <w:pPr>
        <w:rPr>
          <w:szCs w:val="24"/>
          <w:lang w:eastAsia="zh-CN"/>
        </w:rPr>
      </w:pPr>
      <w:r w:rsidRPr="0053001D">
        <w:rPr>
          <w:szCs w:val="24"/>
          <w:lang w:eastAsia="zh-CN"/>
        </w:rPr>
        <w:t>4</w:t>
      </w:r>
      <w:r w:rsidRPr="0053001D">
        <w:rPr>
          <w:rFonts w:asciiTheme="minorHAnsi" w:eastAsiaTheme="minorEastAsia" w:hAnsiTheme="minorHAnsi" w:cstheme="minorBidi"/>
          <w:szCs w:val="24"/>
          <w:lang w:val="en-US" w:eastAsia="zh-CN"/>
        </w:rPr>
        <w:tab/>
      </w:r>
      <w:r w:rsidR="007944A3" w:rsidRPr="0053001D">
        <w:rPr>
          <w:rFonts w:hint="eastAsia"/>
          <w:szCs w:val="24"/>
          <w:lang w:eastAsia="zh-CN"/>
        </w:rPr>
        <w:t>国际电联应与联合国其他机构和国际组织合作，在其职责范围内，继续促进其成员和其他利益攸关方分享信息和最佳做法，</w:t>
      </w:r>
      <w:proofErr w:type="gramStart"/>
      <w:r w:rsidR="007944A3" w:rsidRPr="0053001D">
        <w:rPr>
          <w:rFonts w:hint="eastAsia"/>
          <w:szCs w:val="24"/>
          <w:lang w:eastAsia="zh-CN"/>
        </w:rPr>
        <w:t>努力利用上述</w:t>
      </w:r>
      <w:r w:rsidR="007944A3" w:rsidRPr="0053001D">
        <w:rPr>
          <w:rFonts w:ascii="STKaiti" w:eastAsia="STKaiti" w:hAnsi="STKaiti" w:hint="eastAsia"/>
          <w:iCs/>
          <w:szCs w:val="24"/>
          <w:lang w:eastAsia="zh-CN"/>
        </w:rPr>
        <w:t>认为</w:t>
      </w:r>
      <w:r w:rsidRPr="0053001D">
        <w:rPr>
          <w:rFonts w:ascii="STKaiti" w:eastAsia="STKaiti" w:hAnsi="STKaiti" w:hint="eastAsia"/>
          <w:iCs/>
          <w:szCs w:val="24"/>
          <w:lang w:eastAsia="zh-CN"/>
        </w:rPr>
        <w:t>“</w:t>
      </w:r>
      <w:proofErr w:type="gramEnd"/>
      <w:r w:rsidRPr="0053001D">
        <w:rPr>
          <w:rFonts w:ascii="STKaiti" w:eastAsia="STKaiti" w:hAnsi="STKaiti" w:hint="eastAsia"/>
          <w:iCs/>
          <w:szCs w:val="24"/>
          <w:lang w:eastAsia="zh-CN"/>
        </w:rPr>
        <w:t>1</w:t>
      </w:r>
      <w:r w:rsidRPr="0053001D">
        <w:rPr>
          <w:rFonts w:ascii="STKaiti" w:eastAsia="STKaiti" w:hAnsi="STKaiti" w:hint="eastAsia"/>
          <w:szCs w:val="24"/>
          <w:lang w:eastAsia="zh-CN"/>
        </w:rPr>
        <w:t>”</w:t>
      </w:r>
      <w:r w:rsidR="007944A3" w:rsidRPr="0053001D">
        <w:rPr>
          <w:rFonts w:hint="eastAsia"/>
          <w:szCs w:val="24"/>
          <w:lang w:eastAsia="zh-CN"/>
        </w:rPr>
        <w:t>段所述的技术，推动电信</w:t>
      </w:r>
      <w:r w:rsidR="007944A3" w:rsidRPr="0053001D">
        <w:rPr>
          <w:rFonts w:hint="eastAsia"/>
          <w:szCs w:val="24"/>
          <w:lang w:eastAsia="zh-CN"/>
        </w:rPr>
        <w:t>/ICT</w:t>
      </w:r>
      <w:r w:rsidR="007944A3" w:rsidRPr="0053001D">
        <w:rPr>
          <w:rFonts w:hint="eastAsia"/>
          <w:szCs w:val="24"/>
          <w:lang w:eastAsia="zh-CN"/>
        </w:rPr>
        <w:t>促进可持续发展；</w:t>
      </w:r>
    </w:p>
    <w:p w14:paraId="22350852" w14:textId="77777777" w:rsidR="007944A3" w:rsidRPr="0053001D" w:rsidRDefault="008E100D" w:rsidP="008E100D">
      <w:pPr>
        <w:rPr>
          <w:szCs w:val="24"/>
          <w:lang w:eastAsia="zh-CN"/>
        </w:rPr>
      </w:pPr>
      <w:r w:rsidRPr="0053001D">
        <w:rPr>
          <w:szCs w:val="24"/>
          <w:lang w:eastAsia="zh-CN"/>
        </w:rPr>
        <w:t>5</w:t>
      </w:r>
      <w:r w:rsidRPr="0053001D">
        <w:rPr>
          <w:rFonts w:asciiTheme="minorHAnsi" w:eastAsiaTheme="minorEastAsia" w:hAnsiTheme="minorHAnsi" w:cstheme="minorBidi"/>
          <w:szCs w:val="24"/>
          <w:lang w:val="en-US" w:eastAsia="zh-CN"/>
        </w:rPr>
        <w:tab/>
      </w:r>
      <w:r w:rsidR="007944A3" w:rsidRPr="0053001D">
        <w:rPr>
          <w:rFonts w:hint="eastAsia"/>
          <w:szCs w:val="24"/>
          <w:lang w:eastAsia="zh-CN"/>
        </w:rPr>
        <w:t>应鼓励利益攸关方实施项目、方案和举措，使所有国家都能从使用此类技术实现可持续发展目标中受益，</w:t>
      </w:r>
    </w:p>
    <w:p w14:paraId="678CE4E3" w14:textId="77777777" w:rsidR="007944A3" w:rsidRPr="0053001D" w:rsidRDefault="007944A3" w:rsidP="008E100D">
      <w:pPr>
        <w:pStyle w:val="Call"/>
        <w:rPr>
          <w:i w:val="0"/>
          <w:iCs/>
          <w:szCs w:val="24"/>
          <w:lang w:eastAsia="zh-CN"/>
        </w:rPr>
      </w:pPr>
      <w:r w:rsidRPr="0053001D">
        <w:rPr>
          <w:rFonts w:eastAsia="STKaiti" w:hint="eastAsia"/>
          <w:i w:val="0"/>
          <w:szCs w:val="24"/>
          <w:lang w:eastAsia="zh-CN"/>
        </w:rPr>
        <w:t>请成员国、部门成员和其他利益攸关方共同协作</w:t>
      </w:r>
    </w:p>
    <w:p w14:paraId="2335D406" w14:textId="77777777" w:rsidR="007944A3" w:rsidRPr="0053001D" w:rsidRDefault="008E100D" w:rsidP="008E100D">
      <w:pPr>
        <w:rPr>
          <w:szCs w:val="24"/>
          <w:lang w:eastAsia="zh-CN"/>
        </w:rPr>
      </w:pPr>
      <w:r w:rsidRPr="0053001D">
        <w:rPr>
          <w:szCs w:val="24"/>
          <w:lang w:eastAsia="zh-CN"/>
        </w:rPr>
        <w:t>1</w:t>
      </w:r>
      <w:r w:rsidRPr="0053001D">
        <w:rPr>
          <w:rFonts w:asciiTheme="minorHAnsi" w:eastAsiaTheme="minorEastAsia" w:hAnsiTheme="minorHAnsi" w:cstheme="minorBidi"/>
          <w:szCs w:val="24"/>
          <w:lang w:val="en-US" w:eastAsia="zh-CN"/>
        </w:rPr>
        <w:tab/>
      </w:r>
      <w:proofErr w:type="gramStart"/>
      <w:r w:rsidR="007944A3" w:rsidRPr="0053001D">
        <w:rPr>
          <w:rFonts w:hint="eastAsia"/>
          <w:szCs w:val="24"/>
          <w:lang w:eastAsia="zh-CN"/>
        </w:rPr>
        <w:t>利用上述</w:t>
      </w:r>
      <w:r w:rsidR="007944A3" w:rsidRPr="0053001D">
        <w:rPr>
          <w:rFonts w:ascii="STKaiti" w:eastAsia="STKaiti" w:hAnsi="STKaiti" w:hint="eastAsia"/>
          <w:iCs/>
          <w:szCs w:val="24"/>
          <w:lang w:eastAsia="zh-CN"/>
        </w:rPr>
        <w:t>认为</w:t>
      </w:r>
      <w:r w:rsidRPr="0053001D">
        <w:rPr>
          <w:rFonts w:ascii="STKaiti" w:eastAsia="STKaiti" w:hAnsi="STKaiti" w:hint="eastAsia"/>
          <w:iCs/>
          <w:szCs w:val="24"/>
          <w:lang w:eastAsia="zh-CN"/>
        </w:rPr>
        <w:t>“</w:t>
      </w:r>
      <w:proofErr w:type="gramEnd"/>
      <w:r w:rsidRPr="0053001D">
        <w:rPr>
          <w:rFonts w:ascii="STKaiti" w:eastAsia="STKaiti" w:hAnsi="STKaiti" w:hint="eastAsia"/>
          <w:iCs/>
          <w:szCs w:val="24"/>
          <w:lang w:eastAsia="zh-CN"/>
        </w:rPr>
        <w:t>1</w:t>
      </w:r>
      <w:r w:rsidRPr="0053001D">
        <w:rPr>
          <w:rFonts w:ascii="STKaiti" w:eastAsia="STKaiti" w:hAnsi="STKaiti" w:hint="eastAsia"/>
          <w:szCs w:val="24"/>
          <w:lang w:eastAsia="zh-CN"/>
        </w:rPr>
        <w:t>”</w:t>
      </w:r>
      <w:r w:rsidR="007944A3" w:rsidRPr="0053001D">
        <w:rPr>
          <w:rFonts w:hint="eastAsia"/>
          <w:szCs w:val="24"/>
          <w:lang w:eastAsia="zh-CN"/>
        </w:rPr>
        <w:t>段所述的技术潜力，推动使用电信</w:t>
      </w:r>
      <w:r w:rsidR="007944A3" w:rsidRPr="0053001D">
        <w:rPr>
          <w:rFonts w:hint="eastAsia"/>
          <w:szCs w:val="24"/>
          <w:lang w:eastAsia="zh-CN"/>
        </w:rPr>
        <w:t>/ICT</w:t>
      </w:r>
      <w:r w:rsidR="007944A3" w:rsidRPr="0053001D">
        <w:rPr>
          <w:rFonts w:hint="eastAsia"/>
          <w:szCs w:val="24"/>
          <w:lang w:eastAsia="zh-CN"/>
        </w:rPr>
        <w:t>实现可持续发展目标；</w:t>
      </w:r>
    </w:p>
    <w:p w14:paraId="6313B1CF" w14:textId="77777777" w:rsidR="007944A3" w:rsidRPr="0053001D" w:rsidRDefault="008E100D" w:rsidP="008E100D">
      <w:pPr>
        <w:rPr>
          <w:szCs w:val="24"/>
          <w:lang w:eastAsia="zh-CN"/>
        </w:rPr>
      </w:pPr>
      <w:r w:rsidRPr="0053001D">
        <w:rPr>
          <w:szCs w:val="24"/>
          <w:lang w:eastAsia="zh-CN"/>
        </w:rPr>
        <w:t>2</w:t>
      </w:r>
      <w:r w:rsidRPr="0053001D">
        <w:rPr>
          <w:rFonts w:asciiTheme="minorHAnsi" w:eastAsiaTheme="minorEastAsia" w:hAnsiTheme="minorHAnsi" w:cstheme="minorBidi"/>
          <w:szCs w:val="24"/>
          <w:lang w:val="en-US" w:eastAsia="zh-CN"/>
        </w:rPr>
        <w:tab/>
      </w:r>
      <w:r w:rsidR="007944A3" w:rsidRPr="0053001D">
        <w:rPr>
          <w:rFonts w:hint="eastAsia"/>
          <w:szCs w:val="24"/>
          <w:lang w:eastAsia="zh-CN"/>
        </w:rPr>
        <w:t>促进国家、区域和国际层面的公共政策和战略，</w:t>
      </w:r>
      <w:proofErr w:type="gramStart"/>
      <w:r w:rsidR="007944A3" w:rsidRPr="0053001D">
        <w:rPr>
          <w:szCs w:val="24"/>
          <w:lang w:eastAsia="zh-CN"/>
        </w:rPr>
        <w:t>以便在使用和</w:t>
      </w:r>
      <w:r w:rsidR="007944A3" w:rsidRPr="0053001D">
        <w:rPr>
          <w:rFonts w:hint="eastAsia"/>
          <w:szCs w:val="24"/>
          <w:lang w:eastAsia="zh-CN"/>
        </w:rPr>
        <w:t>调动上述</w:t>
      </w:r>
      <w:r w:rsidR="007944A3" w:rsidRPr="0053001D">
        <w:rPr>
          <w:rFonts w:ascii="STKaiti" w:eastAsia="STKaiti" w:hAnsi="STKaiti" w:hint="eastAsia"/>
          <w:iCs/>
          <w:szCs w:val="24"/>
          <w:lang w:eastAsia="zh-CN"/>
        </w:rPr>
        <w:t>认为</w:t>
      </w:r>
      <w:r w:rsidRPr="0053001D">
        <w:rPr>
          <w:rFonts w:ascii="STKaiti" w:eastAsia="STKaiti" w:hAnsi="STKaiti" w:hint="eastAsia"/>
          <w:iCs/>
          <w:szCs w:val="24"/>
          <w:lang w:eastAsia="zh-CN"/>
        </w:rPr>
        <w:t>“</w:t>
      </w:r>
      <w:proofErr w:type="gramEnd"/>
      <w:r w:rsidRPr="0053001D">
        <w:rPr>
          <w:rFonts w:ascii="STKaiti" w:eastAsia="STKaiti" w:hAnsi="STKaiti" w:hint="eastAsia"/>
          <w:iCs/>
          <w:szCs w:val="24"/>
          <w:lang w:eastAsia="zh-CN"/>
        </w:rPr>
        <w:t>1</w:t>
      </w:r>
      <w:r w:rsidRPr="0053001D">
        <w:rPr>
          <w:rFonts w:ascii="STKaiti" w:eastAsia="STKaiti" w:hAnsi="STKaiti" w:hint="eastAsia"/>
          <w:szCs w:val="24"/>
          <w:lang w:eastAsia="zh-CN"/>
        </w:rPr>
        <w:t>”</w:t>
      </w:r>
      <w:r w:rsidR="007944A3" w:rsidRPr="0053001D">
        <w:rPr>
          <w:rFonts w:hint="eastAsia"/>
          <w:szCs w:val="24"/>
          <w:lang w:eastAsia="zh-CN"/>
        </w:rPr>
        <w:t>段所述的技术</w:t>
      </w:r>
      <w:r w:rsidR="007944A3" w:rsidRPr="0053001D">
        <w:rPr>
          <w:szCs w:val="24"/>
          <w:lang w:eastAsia="zh-CN"/>
        </w:rPr>
        <w:t>方面</w:t>
      </w:r>
      <w:r w:rsidR="007944A3" w:rsidRPr="0053001D">
        <w:rPr>
          <w:rFonts w:hint="eastAsia"/>
          <w:szCs w:val="24"/>
          <w:lang w:eastAsia="zh-CN"/>
        </w:rPr>
        <w:t>充抓住</w:t>
      </w:r>
      <w:r w:rsidR="007944A3" w:rsidRPr="0053001D">
        <w:rPr>
          <w:szCs w:val="24"/>
          <w:lang w:eastAsia="zh-CN"/>
        </w:rPr>
        <w:t>机会</w:t>
      </w:r>
      <w:r w:rsidR="007944A3" w:rsidRPr="0053001D">
        <w:rPr>
          <w:rFonts w:hint="eastAsia"/>
          <w:szCs w:val="24"/>
          <w:lang w:eastAsia="zh-CN"/>
        </w:rPr>
        <w:t>并</w:t>
      </w:r>
      <w:r w:rsidR="007944A3" w:rsidRPr="0053001D">
        <w:rPr>
          <w:szCs w:val="24"/>
          <w:lang w:eastAsia="zh-CN"/>
        </w:rPr>
        <w:t>克服</w:t>
      </w:r>
      <w:r w:rsidR="007944A3" w:rsidRPr="0053001D">
        <w:rPr>
          <w:rFonts w:hint="eastAsia"/>
          <w:szCs w:val="24"/>
          <w:lang w:eastAsia="zh-CN"/>
        </w:rPr>
        <w:t>相关</w:t>
      </w:r>
      <w:r w:rsidR="007944A3" w:rsidRPr="0053001D">
        <w:rPr>
          <w:szCs w:val="24"/>
          <w:lang w:eastAsia="zh-CN"/>
        </w:rPr>
        <w:t>挑战，促进可持续发展</w:t>
      </w:r>
      <w:r w:rsidR="007944A3" w:rsidRPr="0053001D">
        <w:rPr>
          <w:rFonts w:hint="eastAsia"/>
          <w:szCs w:val="24"/>
          <w:lang w:eastAsia="zh-CN"/>
        </w:rPr>
        <w:t>；</w:t>
      </w:r>
    </w:p>
    <w:p w14:paraId="059944EB" w14:textId="77777777" w:rsidR="007944A3" w:rsidRPr="0053001D" w:rsidRDefault="008E100D" w:rsidP="008E100D">
      <w:pPr>
        <w:rPr>
          <w:szCs w:val="24"/>
          <w:lang w:eastAsia="zh-CN"/>
        </w:rPr>
      </w:pPr>
      <w:r w:rsidRPr="0053001D">
        <w:rPr>
          <w:szCs w:val="24"/>
          <w:lang w:eastAsia="zh-CN"/>
        </w:rPr>
        <w:t>3</w:t>
      </w:r>
      <w:r w:rsidRPr="0053001D">
        <w:rPr>
          <w:rFonts w:asciiTheme="minorHAnsi" w:eastAsiaTheme="minorEastAsia" w:hAnsiTheme="minorHAnsi" w:cstheme="minorBidi"/>
          <w:szCs w:val="24"/>
          <w:lang w:val="en-US" w:eastAsia="zh-CN"/>
        </w:rPr>
        <w:tab/>
      </w:r>
      <w:r w:rsidR="007944A3" w:rsidRPr="0053001D">
        <w:rPr>
          <w:rFonts w:hint="eastAsia"/>
          <w:szCs w:val="24"/>
          <w:lang w:eastAsia="zh-CN"/>
        </w:rPr>
        <w:t>鼓励发展中国家，特别是最不发达国家（</w:t>
      </w:r>
      <w:r w:rsidR="007944A3" w:rsidRPr="0053001D">
        <w:rPr>
          <w:rFonts w:hint="eastAsia"/>
          <w:szCs w:val="24"/>
          <w:lang w:eastAsia="zh-CN"/>
        </w:rPr>
        <w:t>LDC</w:t>
      </w:r>
      <w:r w:rsidR="007944A3" w:rsidRPr="0053001D">
        <w:rPr>
          <w:rFonts w:hint="eastAsia"/>
          <w:szCs w:val="24"/>
          <w:lang w:eastAsia="zh-CN"/>
        </w:rPr>
        <w:t>）、内陆发展中国家（</w:t>
      </w:r>
      <w:r w:rsidR="007944A3" w:rsidRPr="0053001D">
        <w:rPr>
          <w:rFonts w:hint="eastAsia"/>
          <w:szCs w:val="24"/>
          <w:lang w:eastAsia="zh-CN"/>
        </w:rPr>
        <w:t>LLDC</w:t>
      </w:r>
      <w:r w:rsidR="007944A3" w:rsidRPr="0053001D">
        <w:rPr>
          <w:rFonts w:hint="eastAsia"/>
          <w:szCs w:val="24"/>
          <w:lang w:eastAsia="zh-CN"/>
        </w:rPr>
        <w:t>）和小岛屿发展中国家（</w:t>
      </w:r>
      <w:r w:rsidR="007944A3" w:rsidRPr="0053001D">
        <w:rPr>
          <w:rFonts w:hint="eastAsia"/>
          <w:szCs w:val="24"/>
          <w:lang w:eastAsia="zh-CN"/>
        </w:rPr>
        <w:t>SIDS</w:t>
      </w:r>
      <w:r w:rsidR="007944A3" w:rsidRPr="0053001D">
        <w:rPr>
          <w:rFonts w:hint="eastAsia"/>
          <w:szCs w:val="24"/>
          <w:lang w:eastAsia="zh-CN"/>
        </w:rPr>
        <w:t>）</w:t>
      </w:r>
      <w:proofErr w:type="gramStart"/>
      <w:r w:rsidR="007944A3" w:rsidRPr="0053001D">
        <w:rPr>
          <w:rFonts w:hint="eastAsia"/>
          <w:szCs w:val="24"/>
          <w:lang w:eastAsia="zh-CN"/>
        </w:rPr>
        <w:t>的所有利益攸关方参与从事本“</w:t>
      </w:r>
      <w:proofErr w:type="gramEnd"/>
      <w:r w:rsidR="007944A3" w:rsidRPr="0053001D">
        <w:rPr>
          <w:rFonts w:hint="eastAsia"/>
          <w:szCs w:val="24"/>
          <w:lang w:eastAsia="zh-CN"/>
        </w:rPr>
        <w:t>意见”所述各种政策事项的相关实体、组织、机构和倡议的活动，</w:t>
      </w:r>
    </w:p>
    <w:p w14:paraId="63F5A25E" w14:textId="77777777" w:rsidR="007944A3" w:rsidRPr="0053001D" w:rsidRDefault="007944A3" w:rsidP="008E100D">
      <w:pPr>
        <w:pStyle w:val="Call"/>
        <w:rPr>
          <w:rFonts w:ascii="STKaiti" w:eastAsia="STKaiti" w:hAnsi="STKaiti"/>
          <w:i w:val="0"/>
          <w:iCs/>
          <w:szCs w:val="24"/>
          <w:lang w:eastAsia="zh-CN"/>
        </w:rPr>
      </w:pPr>
      <w:bookmarkStart w:id="21" w:name="lt_pId032"/>
      <w:r w:rsidRPr="0053001D">
        <w:rPr>
          <w:rFonts w:eastAsia="STKaiti" w:hint="eastAsia"/>
          <w:i w:val="0"/>
          <w:szCs w:val="24"/>
          <w:lang w:eastAsia="zh-CN"/>
        </w:rPr>
        <w:lastRenderedPageBreak/>
        <w:t>请秘书长</w:t>
      </w:r>
      <w:bookmarkEnd w:id="21"/>
    </w:p>
    <w:p w14:paraId="6162D66D" w14:textId="071E6DA0" w:rsidR="007944A3" w:rsidRPr="0053001D" w:rsidRDefault="007944A3" w:rsidP="0053001D">
      <w:pPr>
        <w:keepNext/>
        <w:keepLines/>
        <w:ind w:firstLineChars="200" w:firstLine="480"/>
        <w:rPr>
          <w:szCs w:val="24"/>
          <w:lang w:eastAsia="zh-CN"/>
        </w:rPr>
      </w:pPr>
      <w:r w:rsidRPr="0053001D">
        <w:rPr>
          <w:rFonts w:hint="eastAsia"/>
          <w:szCs w:val="24"/>
          <w:lang w:eastAsia="zh-CN"/>
        </w:rPr>
        <w:t>支持国际电联在其职责范围内开展的与本“意见”所述政策事项相关的活动，包括促成国际电联成员之间分享信息和最佳做法，以充分利用与本“意见”所述政策事项的相关机遇</w:t>
      </w:r>
      <w:r w:rsidR="008E100D" w:rsidRPr="0053001D">
        <w:rPr>
          <w:rFonts w:hint="eastAsia"/>
          <w:szCs w:val="24"/>
          <w:lang w:eastAsia="zh-CN"/>
        </w:rPr>
        <w:t>，</w:t>
      </w:r>
      <w:r w:rsidRPr="0053001D">
        <w:rPr>
          <w:rFonts w:hint="eastAsia"/>
          <w:szCs w:val="24"/>
          <w:lang w:eastAsia="zh-CN"/>
        </w:rPr>
        <w:t>并应对相应挑战</w:t>
      </w:r>
      <w:r w:rsidR="00E20464" w:rsidRPr="0053001D">
        <w:rPr>
          <w:rFonts w:hint="eastAsia"/>
          <w:szCs w:val="24"/>
          <w:lang w:eastAsia="zh-CN"/>
        </w:rPr>
        <w:t>。</w:t>
      </w:r>
    </w:p>
    <w:p w14:paraId="61F0975E" w14:textId="77777777" w:rsidR="00CF134B" w:rsidRPr="0053001D" w:rsidRDefault="00ED33F8" w:rsidP="002A3509">
      <w:pPr>
        <w:spacing w:before="840"/>
        <w:jc w:val="center"/>
        <w:rPr>
          <w:szCs w:val="24"/>
        </w:rPr>
      </w:pPr>
      <w:r w:rsidRPr="0053001D">
        <w:rPr>
          <w:szCs w:val="24"/>
        </w:rPr>
        <w:t>______________</w:t>
      </w:r>
    </w:p>
    <w:sectPr w:rsidR="00CF134B" w:rsidRPr="0053001D" w:rsidSect="004D1851">
      <w:headerReference w:type="defaul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9F366" w14:textId="77777777" w:rsidR="00D875EE" w:rsidRDefault="00D875EE">
      <w:r>
        <w:separator/>
      </w:r>
    </w:p>
  </w:endnote>
  <w:endnote w:type="continuationSeparator" w:id="0">
    <w:p w14:paraId="246EC422" w14:textId="77777777" w:rsidR="00D875EE" w:rsidRDefault="00D87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Kaiti">
    <w:altName w:val="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BD733" w14:textId="77777777" w:rsidR="00D875EE" w:rsidRDefault="00D875EE">
      <w:r>
        <w:t>____________________</w:t>
      </w:r>
    </w:p>
  </w:footnote>
  <w:footnote w:type="continuationSeparator" w:id="0">
    <w:p w14:paraId="0B6C22B3" w14:textId="77777777" w:rsidR="00D875EE" w:rsidRDefault="00D875EE">
      <w:r>
        <w:continuationSeparator/>
      </w:r>
    </w:p>
  </w:footnote>
  <w:footnote w:id="1">
    <w:p w14:paraId="7B7DA7D5" w14:textId="77777777" w:rsidR="007944A3" w:rsidRPr="008810C7" w:rsidRDefault="007944A3" w:rsidP="008E100D">
      <w:pPr>
        <w:pStyle w:val="FootnoteText"/>
        <w:rPr>
          <w:lang w:eastAsia="zh-CN"/>
        </w:rPr>
      </w:pPr>
      <w:r w:rsidRPr="008E100D">
        <w:rPr>
          <w:rStyle w:val="FootnoteReference"/>
        </w:rPr>
        <w:footnoteRef/>
      </w:r>
      <w:r w:rsidR="008E100D">
        <w:rPr>
          <w:lang w:eastAsia="zh-CN"/>
        </w:rPr>
        <w:tab/>
      </w:r>
      <w:r w:rsidRPr="008E100D">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E8752" w14:textId="77777777" w:rsidR="0053001D" w:rsidRDefault="0053001D" w:rsidP="0053001D">
    <w:pPr>
      <w:pStyle w:val="Header"/>
    </w:pPr>
    <w:r>
      <w:fldChar w:fldCharType="begin"/>
    </w:r>
    <w:r>
      <w:instrText>PAGE</w:instrText>
    </w:r>
    <w:r>
      <w:fldChar w:fldCharType="separate"/>
    </w:r>
    <w:r>
      <w:t>2</w:t>
    </w:r>
    <w:r>
      <w:rPr>
        <w:noProof/>
      </w:rPr>
      <w:fldChar w:fldCharType="end"/>
    </w:r>
    <w:r>
      <w:rPr>
        <w:noProof/>
      </w:rPr>
      <w:t>/</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p w14:paraId="64EA25DC" w14:textId="0E5E2957" w:rsidR="0053001D" w:rsidRPr="00623AE3" w:rsidRDefault="0053001D" w:rsidP="0053001D">
    <w:pPr>
      <w:pStyle w:val="Header"/>
      <w:rPr>
        <w:bCs/>
      </w:rPr>
    </w:pPr>
    <w:r>
      <w:rPr>
        <w:bCs/>
      </w:rPr>
      <w:t>WTPF-21</w:t>
    </w:r>
    <w:r w:rsidR="00F21210">
      <w:rPr>
        <w:bCs/>
      </w:rPr>
      <w:t>/11</w:t>
    </w:r>
    <w:r w:rsidRPr="00F56668">
      <w:rPr>
        <w:bCs/>
      </w:rPr>
      <w:t>-</w:t>
    </w:r>
    <w:r>
      <w:rPr>
        <w:bCs/>
      </w:rPr>
      <w:t>C</w:t>
    </w:r>
  </w:p>
  <w:p w14:paraId="3628AEE2" w14:textId="56A9AE3F" w:rsidR="00322D0D" w:rsidRPr="0053001D" w:rsidRDefault="00322D0D" w:rsidP="005300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5C49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9609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388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C054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F03D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7C32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0A3A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E4AA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8CFD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0C93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8763E0"/>
    <w:multiLevelType w:val="hybridMultilevel"/>
    <w:tmpl w:val="7C8223E0"/>
    <w:lvl w:ilvl="0" w:tplc="2F9280B8">
      <w:start w:val="1"/>
      <w:numFmt w:val="decimal"/>
      <w:lvlText w:val="%1."/>
      <w:lvlJc w:val="left"/>
      <w:pPr>
        <w:ind w:left="720" w:hanging="360"/>
      </w:pPr>
      <w:rPr>
        <w:rFonts w:hint="default"/>
      </w:rPr>
    </w:lvl>
    <w:lvl w:ilvl="1" w:tplc="82322F14" w:tentative="1">
      <w:start w:val="1"/>
      <w:numFmt w:val="lowerLetter"/>
      <w:lvlText w:val="%2."/>
      <w:lvlJc w:val="left"/>
      <w:pPr>
        <w:ind w:left="1440" w:hanging="360"/>
      </w:pPr>
    </w:lvl>
    <w:lvl w:ilvl="2" w:tplc="7D00047E" w:tentative="1">
      <w:start w:val="1"/>
      <w:numFmt w:val="lowerRoman"/>
      <w:lvlText w:val="%3."/>
      <w:lvlJc w:val="right"/>
      <w:pPr>
        <w:ind w:left="2160" w:hanging="180"/>
      </w:pPr>
    </w:lvl>
    <w:lvl w:ilvl="3" w:tplc="BFC69010" w:tentative="1">
      <w:start w:val="1"/>
      <w:numFmt w:val="decimal"/>
      <w:lvlText w:val="%4."/>
      <w:lvlJc w:val="left"/>
      <w:pPr>
        <w:ind w:left="2880" w:hanging="360"/>
      </w:pPr>
    </w:lvl>
    <w:lvl w:ilvl="4" w:tplc="4CD015BE" w:tentative="1">
      <w:start w:val="1"/>
      <w:numFmt w:val="lowerLetter"/>
      <w:lvlText w:val="%5."/>
      <w:lvlJc w:val="left"/>
      <w:pPr>
        <w:ind w:left="3600" w:hanging="360"/>
      </w:pPr>
    </w:lvl>
    <w:lvl w:ilvl="5" w:tplc="A0C4212E" w:tentative="1">
      <w:start w:val="1"/>
      <w:numFmt w:val="lowerRoman"/>
      <w:lvlText w:val="%6."/>
      <w:lvlJc w:val="right"/>
      <w:pPr>
        <w:ind w:left="4320" w:hanging="180"/>
      </w:pPr>
    </w:lvl>
    <w:lvl w:ilvl="6" w:tplc="4E78BE8A" w:tentative="1">
      <w:start w:val="1"/>
      <w:numFmt w:val="decimal"/>
      <w:lvlText w:val="%7."/>
      <w:lvlJc w:val="left"/>
      <w:pPr>
        <w:ind w:left="5040" w:hanging="360"/>
      </w:pPr>
    </w:lvl>
    <w:lvl w:ilvl="7" w:tplc="4F2EF2A0" w:tentative="1">
      <w:start w:val="1"/>
      <w:numFmt w:val="lowerLetter"/>
      <w:lvlText w:val="%8."/>
      <w:lvlJc w:val="left"/>
      <w:pPr>
        <w:ind w:left="5760" w:hanging="360"/>
      </w:pPr>
    </w:lvl>
    <w:lvl w:ilvl="8" w:tplc="630C1CBC" w:tentative="1">
      <w:start w:val="1"/>
      <w:numFmt w:val="lowerRoman"/>
      <w:lvlText w:val="%9."/>
      <w:lvlJc w:val="right"/>
      <w:pPr>
        <w:ind w:left="6480" w:hanging="180"/>
      </w:pPr>
    </w:lvl>
  </w:abstractNum>
  <w:abstractNum w:abstractNumId="11" w15:restartNumberingAfterBreak="0">
    <w:nsid w:val="3DE64EDA"/>
    <w:multiLevelType w:val="hybridMultilevel"/>
    <w:tmpl w:val="9078EC8A"/>
    <w:lvl w:ilvl="0" w:tplc="809C4662">
      <w:start w:val="1"/>
      <w:numFmt w:val="decimal"/>
      <w:lvlText w:val="%1."/>
      <w:lvlJc w:val="left"/>
      <w:pPr>
        <w:ind w:left="720" w:hanging="360"/>
      </w:pPr>
      <w:rPr>
        <w:rFonts w:hint="default"/>
      </w:rPr>
    </w:lvl>
    <w:lvl w:ilvl="1" w:tplc="B18CC3DE" w:tentative="1">
      <w:start w:val="1"/>
      <w:numFmt w:val="lowerLetter"/>
      <w:lvlText w:val="%2."/>
      <w:lvlJc w:val="left"/>
      <w:pPr>
        <w:ind w:left="1440" w:hanging="360"/>
      </w:pPr>
    </w:lvl>
    <w:lvl w:ilvl="2" w:tplc="A8C875F6" w:tentative="1">
      <w:start w:val="1"/>
      <w:numFmt w:val="lowerRoman"/>
      <w:lvlText w:val="%3."/>
      <w:lvlJc w:val="right"/>
      <w:pPr>
        <w:ind w:left="2160" w:hanging="180"/>
      </w:pPr>
    </w:lvl>
    <w:lvl w:ilvl="3" w:tplc="E918E958" w:tentative="1">
      <w:start w:val="1"/>
      <w:numFmt w:val="decimal"/>
      <w:lvlText w:val="%4."/>
      <w:lvlJc w:val="left"/>
      <w:pPr>
        <w:ind w:left="2880" w:hanging="360"/>
      </w:pPr>
    </w:lvl>
    <w:lvl w:ilvl="4" w:tplc="6A06FAA8" w:tentative="1">
      <w:start w:val="1"/>
      <w:numFmt w:val="lowerLetter"/>
      <w:lvlText w:val="%5."/>
      <w:lvlJc w:val="left"/>
      <w:pPr>
        <w:ind w:left="3600" w:hanging="360"/>
      </w:pPr>
    </w:lvl>
    <w:lvl w:ilvl="5" w:tplc="BE4CE194" w:tentative="1">
      <w:start w:val="1"/>
      <w:numFmt w:val="lowerRoman"/>
      <w:lvlText w:val="%6."/>
      <w:lvlJc w:val="right"/>
      <w:pPr>
        <w:ind w:left="4320" w:hanging="180"/>
      </w:pPr>
    </w:lvl>
    <w:lvl w:ilvl="6" w:tplc="6A468988" w:tentative="1">
      <w:start w:val="1"/>
      <w:numFmt w:val="decimal"/>
      <w:lvlText w:val="%7."/>
      <w:lvlJc w:val="left"/>
      <w:pPr>
        <w:ind w:left="5040" w:hanging="360"/>
      </w:pPr>
    </w:lvl>
    <w:lvl w:ilvl="7" w:tplc="A14E9656" w:tentative="1">
      <w:start w:val="1"/>
      <w:numFmt w:val="lowerLetter"/>
      <w:lvlText w:val="%8."/>
      <w:lvlJc w:val="left"/>
      <w:pPr>
        <w:ind w:left="5760" w:hanging="360"/>
      </w:pPr>
    </w:lvl>
    <w:lvl w:ilvl="8" w:tplc="08BC6D1E" w:tentative="1">
      <w:start w:val="1"/>
      <w:numFmt w:val="lowerRoman"/>
      <w:lvlText w:val="%9."/>
      <w:lvlJc w:val="right"/>
      <w:pPr>
        <w:ind w:left="6480" w:hanging="180"/>
      </w:pPr>
    </w:lvl>
  </w:abstractNum>
  <w:abstractNum w:abstractNumId="12" w15:restartNumberingAfterBreak="0">
    <w:nsid w:val="5D205EFC"/>
    <w:multiLevelType w:val="hybridMultilevel"/>
    <w:tmpl w:val="70EA2BF2"/>
    <w:lvl w:ilvl="0" w:tplc="72B064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EF6AF6"/>
    <w:multiLevelType w:val="hybridMultilevel"/>
    <w:tmpl w:val="4FEC9E2A"/>
    <w:lvl w:ilvl="0" w:tplc="A2981200">
      <w:start w:val="1"/>
      <w:numFmt w:val="lowerLetter"/>
      <w:lvlText w:val="%1)"/>
      <w:lvlJc w:val="left"/>
      <w:pPr>
        <w:ind w:left="720" w:hanging="360"/>
      </w:pPr>
      <w:rPr>
        <w:rFonts w:hint="default"/>
      </w:rPr>
    </w:lvl>
    <w:lvl w:ilvl="1" w:tplc="D3F4D490" w:tentative="1">
      <w:start w:val="1"/>
      <w:numFmt w:val="lowerLetter"/>
      <w:lvlText w:val="%2."/>
      <w:lvlJc w:val="left"/>
      <w:pPr>
        <w:ind w:left="1440" w:hanging="360"/>
      </w:pPr>
    </w:lvl>
    <w:lvl w:ilvl="2" w:tplc="582CF164" w:tentative="1">
      <w:start w:val="1"/>
      <w:numFmt w:val="lowerRoman"/>
      <w:lvlText w:val="%3."/>
      <w:lvlJc w:val="right"/>
      <w:pPr>
        <w:ind w:left="2160" w:hanging="180"/>
      </w:pPr>
    </w:lvl>
    <w:lvl w:ilvl="3" w:tplc="18AAB784" w:tentative="1">
      <w:start w:val="1"/>
      <w:numFmt w:val="decimal"/>
      <w:lvlText w:val="%4."/>
      <w:lvlJc w:val="left"/>
      <w:pPr>
        <w:ind w:left="2880" w:hanging="360"/>
      </w:pPr>
    </w:lvl>
    <w:lvl w:ilvl="4" w:tplc="D9262C5E" w:tentative="1">
      <w:start w:val="1"/>
      <w:numFmt w:val="lowerLetter"/>
      <w:lvlText w:val="%5."/>
      <w:lvlJc w:val="left"/>
      <w:pPr>
        <w:ind w:left="3600" w:hanging="360"/>
      </w:pPr>
    </w:lvl>
    <w:lvl w:ilvl="5" w:tplc="5A84D0D0" w:tentative="1">
      <w:start w:val="1"/>
      <w:numFmt w:val="lowerRoman"/>
      <w:lvlText w:val="%6."/>
      <w:lvlJc w:val="right"/>
      <w:pPr>
        <w:ind w:left="4320" w:hanging="180"/>
      </w:pPr>
    </w:lvl>
    <w:lvl w:ilvl="6" w:tplc="3E4A193C" w:tentative="1">
      <w:start w:val="1"/>
      <w:numFmt w:val="decimal"/>
      <w:lvlText w:val="%7."/>
      <w:lvlJc w:val="left"/>
      <w:pPr>
        <w:ind w:left="5040" w:hanging="360"/>
      </w:pPr>
    </w:lvl>
    <w:lvl w:ilvl="7" w:tplc="802A5556" w:tentative="1">
      <w:start w:val="1"/>
      <w:numFmt w:val="lowerLetter"/>
      <w:lvlText w:val="%8."/>
      <w:lvlJc w:val="left"/>
      <w:pPr>
        <w:ind w:left="5760" w:hanging="360"/>
      </w:pPr>
    </w:lvl>
    <w:lvl w:ilvl="8" w:tplc="49942100" w:tentative="1">
      <w:start w:val="1"/>
      <w:numFmt w:val="lowerRoman"/>
      <w:lvlText w:val="%9."/>
      <w:lvlJc w:val="right"/>
      <w:pPr>
        <w:ind w:left="6480" w:hanging="180"/>
      </w:pPr>
    </w:lvl>
  </w:abstractNum>
  <w:abstractNum w:abstractNumId="14" w15:restartNumberingAfterBreak="0">
    <w:nsid w:val="6C565F04"/>
    <w:multiLevelType w:val="hybridMultilevel"/>
    <w:tmpl w:val="518CCAC4"/>
    <w:lvl w:ilvl="0" w:tplc="46B87B82">
      <w:start w:val="1"/>
      <w:numFmt w:val="lowerLetter"/>
      <w:lvlText w:val="%1)"/>
      <w:lvlJc w:val="left"/>
      <w:pPr>
        <w:ind w:left="720" w:hanging="360"/>
      </w:pPr>
      <w:rPr>
        <w:rFonts w:hint="default"/>
      </w:rPr>
    </w:lvl>
    <w:lvl w:ilvl="1" w:tplc="92C886D8" w:tentative="1">
      <w:start w:val="1"/>
      <w:numFmt w:val="lowerLetter"/>
      <w:lvlText w:val="%2."/>
      <w:lvlJc w:val="left"/>
      <w:pPr>
        <w:ind w:left="1440" w:hanging="360"/>
      </w:pPr>
    </w:lvl>
    <w:lvl w:ilvl="2" w:tplc="AC5024FE" w:tentative="1">
      <w:start w:val="1"/>
      <w:numFmt w:val="lowerRoman"/>
      <w:lvlText w:val="%3."/>
      <w:lvlJc w:val="right"/>
      <w:pPr>
        <w:ind w:left="2160" w:hanging="180"/>
      </w:pPr>
    </w:lvl>
    <w:lvl w:ilvl="3" w:tplc="766C8808" w:tentative="1">
      <w:start w:val="1"/>
      <w:numFmt w:val="decimal"/>
      <w:lvlText w:val="%4."/>
      <w:lvlJc w:val="left"/>
      <w:pPr>
        <w:ind w:left="2880" w:hanging="360"/>
      </w:pPr>
    </w:lvl>
    <w:lvl w:ilvl="4" w:tplc="30769B10" w:tentative="1">
      <w:start w:val="1"/>
      <w:numFmt w:val="lowerLetter"/>
      <w:lvlText w:val="%5."/>
      <w:lvlJc w:val="left"/>
      <w:pPr>
        <w:ind w:left="3600" w:hanging="360"/>
      </w:pPr>
    </w:lvl>
    <w:lvl w:ilvl="5" w:tplc="3D66F50A" w:tentative="1">
      <w:start w:val="1"/>
      <w:numFmt w:val="lowerRoman"/>
      <w:lvlText w:val="%6."/>
      <w:lvlJc w:val="right"/>
      <w:pPr>
        <w:ind w:left="4320" w:hanging="180"/>
      </w:pPr>
    </w:lvl>
    <w:lvl w:ilvl="6" w:tplc="42B8EE96" w:tentative="1">
      <w:start w:val="1"/>
      <w:numFmt w:val="decimal"/>
      <w:lvlText w:val="%7."/>
      <w:lvlJc w:val="left"/>
      <w:pPr>
        <w:ind w:left="5040" w:hanging="360"/>
      </w:pPr>
    </w:lvl>
    <w:lvl w:ilvl="7" w:tplc="731A1AB2" w:tentative="1">
      <w:start w:val="1"/>
      <w:numFmt w:val="lowerLetter"/>
      <w:lvlText w:val="%8."/>
      <w:lvlJc w:val="left"/>
      <w:pPr>
        <w:ind w:left="5760" w:hanging="360"/>
      </w:pPr>
    </w:lvl>
    <w:lvl w:ilvl="8" w:tplc="7F289F0A" w:tentative="1">
      <w:start w:val="1"/>
      <w:numFmt w:val="lowerRoman"/>
      <w:lvlText w:val="%9."/>
      <w:lvlJc w:val="right"/>
      <w:pPr>
        <w:ind w:left="6480" w:hanging="180"/>
      </w:pPr>
    </w:lvl>
  </w:abstractNum>
  <w:num w:numId="1">
    <w:abstractNumId w:val="9"/>
  </w:num>
  <w:num w:numId="2">
    <w:abstractNumId w:val="1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4"/>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33109"/>
    <w:rsid w:val="00063016"/>
    <w:rsid w:val="00066795"/>
    <w:rsid w:val="00076AF6"/>
    <w:rsid w:val="00085CF2"/>
    <w:rsid w:val="000B1705"/>
    <w:rsid w:val="000B2D5E"/>
    <w:rsid w:val="000D75B2"/>
    <w:rsid w:val="000E43B4"/>
    <w:rsid w:val="001121F5"/>
    <w:rsid w:val="001400DC"/>
    <w:rsid w:val="00140CE1"/>
    <w:rsid w:val="0017539C"/>
    <w:rsid w:val="00175AC2"/>
    <w:rsid w:val="0017609F"/>
    <w:rsid w:val="001C628E"/>
    <w:rsid w:val="001E0F7B"/>
    <w:rsid w:val="002119FD"/>
    <w:rsid w:val="002130E0"/>
    <w:rsid w:val="00264425"/>
    <w:rsid w:val="00265875"/>
    <w:rsid w:val="0027303B"/>
    <w:rsid w:val="0028109B"/>
    <w:rsid w:val="00282660"/>
    <w:rsid w:val="002A2188"/>
    <w:rsid w:val="002A24C9"/>
    <w:rsid w:val="002A3509"/>
    <w:rsid w:val="002B1F58"/>
    <w:rsid w:val="002C1C7A"/>
    <w:rsid w:val="002E7792"/>
    <w:rsid w:val="002F62DF"/>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4F55C2"/>
    <w:rsid w:val="0050223C"/>
    <w:rsid w:val="005060A1"/>
    <w:rsid w:val="005243FF"/>
    <w:rsid w:val="0053001D"/>
    <w:rsid w:val="00557268"/>
    <w:rsid w:val="00564FBC"/>
    <w:rsid w:val="00582442"/>
    <w:rsid w:val="00597C23"/>
    <w:rsid w:val="005F3269"/>
    <w:rsid w:val="00614051"/>
    <w:rsid w:val="00623AE3"/>
    <w:rsid w:val="0064737F"/>
    <w:rsid w:val="006535F1"/>
    <w:rsid w:val="0065557D"/>
    <w:rsid w:val="00662984"/>
    <w:rsid w:val="006716BB"/>
    <w:rsid w:val="006848DD"/>
    <w:rsid w:val="00687C3C"/>
    <w:rsid w:val="006B6680"/>
    <w:rsid w:val="006B6DCC"/>
    <w:rsid w:val="006D4BD5"/>
    <w:rsid w:val="00702DEF"/>
    <w:rsid w:val="00706861"/>
    <w:rsid w:val="00722181"/>
    <w:rsid w:val="00740FE3"/>
    <w:rsid w:val="0075051B"/>
    <w:rsid w:val="00766AEE"/>
    <w:rsid w:val="0078590D"/>
    <w:rsid w:val="007865CB"/>
    <w:rsid w:val="00793188"/>
    <w:rsid w:val="007944A3"/>
    <w:rsid w:val="00794D34"/>
    <w:rsid w:val="00813E5E"/>
    <w:rsid w:val="0083581B"/>
    <w:rsid w:val="00864AFF"/>
    <w:rsid w:val="008B4A6A"/>
    <w:rsid w:val="008C7E27"/>
    <w:rsid w:val="008E100D"/>
    <w:rsid w:val="009173EF"/>
    <w:rsid w:val="00930863"/>
    <w:rsid w:val="00932906"/>
    <w:rsid w:val="00961B0B"/>
    <w:rsid w:val="009B38C3"/>
    <w:rsid w:val="009E17BD"/>
    <w:rsid w:val="009E485A"/>
    <w:rsid w:val="009F66A3"/>
    <w:rsid w:val="00A04CEC"/>
    <w:rsid w:val="00A27F92"/>
    <w:rsid w:val="00A32257"/>
    <w:rsid w:val="00A36D20"/>
    <w:rsid w:val="00A55622"/>
    <w:rsid w:val="00A62893"/>
    <w:rsid w:val="00A83502"/>
    <w:rsid w:val="00A8382F"/>
    <w:rsid w:val="00A93619"/>
    <w:rsid w:val="00AB2AB5"/>
    <w:rsid w:val="00AC47C8"/>
    <w:rsid w:val="00AD15B3"/>
    <w:rsid w:val="00AD39A0"/>
    <w:rsid w:val="00AF6E49"/>
    <w:rsid w:val="00B04A67"/>
    <w:rsid w:val="00B0583C"/>
    <w:rsid w:val="00B16AD0"/>
    <w:rsid w:val="00B40A81"/>
    <w:rsid w:val="00B44910"/>
    <w:rsid w:val="00B72267"/>
    <w:rsid w:val="00B76EB6"/>
    <w:rsid w:val="00B7737B"/>
    <w:rsid w:val="00B824C8"/>
    <w:rsid w:val="00B93303"/>
    <w:rsid w:val="00BB3146"/>
    <w:rsid w:val="00BC251A"/>
    <w:rsid w:val="00BC4E6F"/>
    <w:rsid w:val="00BD032B"/>
    <w:rsid w:val="00BE2640"/>
    <w:rsid w:val="00C001A3"/>
    <w:rsid w:val="00C01189"/>
    <w:rsid w:val="00C374DE"/>
    <w:rsid w:val="00C47AD4"/>
    <w:rsid w:val="00C52D81"/>
    <w:rsid w:val="00C55198"/>
    <w:rsid w:val="00CA6393"/>
    <w:rsid w:val="00CB18FF"/>
    <w:rsid w:val="00CD0C08"/>
    <w:rsid w:val="00CE03FB"/>
    <w:rsid w:val="00CE433C"/>
    <w:rsid w:val="00CF134B"/>
    <w:rsid w:val="00CF33F3"/>
    <w:rsid w:val="00CF5A9F"/>
    <w:rsid w:val="00D06183"/>
    <w:rsid w:val="00D22C42"/>
    <w:rsid w:val="00D338E0"/>
    <w:rsid w:val="00D65041"/>
    <w:rsid w:val="00D875EE"/>
    <w:rsid w:val="00D8774A"/>
    <w:rsid w:val="00DB384B"/>
    <w:rsid w:val="00DE4373"/>
    <w:rsid w:val="00E10E80"/>
    <w:rsid w:val="00E124F0"/>
    <w:rsid w:val="00E20464"/>
    <w:rsid w:val="00E23F7D"/>
    <w:rsid w:val="00E314E9"/>
    <w:rsid w:val="00E60F04"/>
    <w:rsid w:val="00E854E4"/>
    <w:rsid w:val="00EA2120"/>
    <w:rsid w:val="00EB0D6F"/>
    <w:rsid w:val="00EB2232"/>
    <w:rsid w:val="00EC5337"/>
    <w:rsid w:val="00EC5B70"/>
    <w:rsid w:val="00ED33F8"/>
    <w:rsid w:val="00F21210"/>
    <w:rsid w:val="00F2150A"/>
    <w:rsid w:val="00F231D8"/>
    <w:rsid w:val="00F46C5F"/>
    <w:rsid w:val="00F56668"/>
    <w:rsid w:val="00F80E07"/>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3CFE0A8"/>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NECG) Footnote Reference,Appel note de bas de p,Appel note de bas de p + 11 pt,Appel note de bas de p1,Appel note de bas de p2,Appel note de bas de p3,Footnote Reference/,Footnote symbol,Italic,Ref,Style 12,Style 124,de nota al pie,o"/>
    <w:basedOn w:val="DefaultParagraphFont"/>
    <w:uiPriority w:val="99"/>
    <w:qFormat/>
    <w:rsid w:val="00813E5E"/>
    <w:rPr>
      <w:rFonts w:ascii="Calibri" w:hAnsi="Calibri"/>
      <w:position w:val="6"/>
      <w:sz w:val="16"/>
    </w:rPr>
  </w:style>
  <w:style w:type="paragraph" w:styleId="FootnoteText">
    <w:name w:val="footnote text"/>
    <w:aliases w:val="ALTS FOOTNOTE,Char1,DN,DNV,DNV-FT,Footnote Text Char Char1,Footnote Text Char Char1 Char1 Char Char,Footnote Text Char1,Footnote Text Char1 Char1 Char1 Char,Footnote Text Char1 Char1 Char1 Char Char Char1,Footnote Text Char4 Char Char,fn"/>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NoSpacing">
    <w:name w:val="No Spacing"/>
    <w:uiPriority w:val="1"/>
    <w:qFormat/>
    <w:rsid w:val="00CF5A9F"/>
    <w:rPr>
      <w:rFonts w:asciiTheme="minorHAnsi" w:eastAsiaTheme="minorHAnsi" w:hAnsiTheme="minorHAnsi" w:cstheme="minorBidi"/>
      <w:sz w:val="22"/>
      <w:szCs w:val="22"/>
      <w:lang w:eastAsia="en-US"/>
    </w:rPr>
  </w:style>
  <w:style w:type="paragraph" w:customStyle="1" w:styleId="Default">
    <w:name w:val="Default"/>
    <w:rsid w:val="00CF134B"/>
    <w:pPr>
      <w:autoSpaceDE w:val="0"/>
      <w:autoSpaceDN w:val="0"/>
      <w:adjustRightInd w:val="0"/>
    </w:pPr>
    <w:rPr>
      <w:rFonts w:ascii="Calibri" w:eastAsiaTheme="minorHAnsi" w:hAnsi="Calibri" w:cs="Calibri"/>
      <w:color w:val="000000"/>
      <w:sz w:val="24"/>
      <w:szCs w:val="24"/>
      <w:lang w:eastAsia="en-US"/>
    </w:rPr>
  </w:style>
  <w:style w:type="character" w:customStyle="1" w:styleId="FootnoteTextChar">
    <w:name w:val="Footnote Text Char"/>
    <w:aliases w:val="ALTS FOOTNOTE Char,Char1 Char,DN Char,DNV Char,DNV-FT Char,Footnote Text Char Char1 Char,Footnote Text Char Char1 Char1 Char Char Char,Footnote Text Char1 Char,Footnote Text Char1 Char1 Char1 Char Char,fn Char"/>
    <w:basedOn w:val="DefaultParagraphFont"/>
    <w:link w:val="FootnoteText"/>
    <w:uiPriority w:val="99"/>
    <w:rsid w:val="00CF134B"/>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6848DD"/>
    <w:rPr>
      <w:color w:val="605E5C"/>
      <w:shd w:val="clear" w:color="auto" w:fill="E1DFDD"/>
    </w:rPr>
  </w:style>
  <w:style w:type="character" w:customStyle="1" w:styleId="NormalaftertitleChar">
    <w:name w:val="Normal after title Char"/>
    <w:basedOn w:val="DefaultParagraphFont"/>
    <w:link w:val="Normalaftertitle"/>
    <w:rsid w:val="007944A3"/>
    <w:rPr>
      <w:rFonts w:ascii="Calibri" w:hAnsi="Calibri"/>
      <w:sz w:val="24"/>
      <w:lang w:val="en-GB" w:eastAsia="en-US"/>
    </w:rPr>
  </w:style>
  <w:style w:type="paragraph" w:styleId="ListParagraph">
    <w:name w:val="List Paragraph"/>
    <w:basedOn w:val="Normal"/>
    <w:uiPriority w:val="34"/>
    <w:qFormat/>
    <w:rsid w:val="007944A3"/>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paragraph" w:customStyle="1" w:styleId="call0">
    <w:name w:val="call"/>
    <w:basedOn w:val="Normal"/>
    <w:qFormat/>
    <w:rsid w:val="007944A3"/>
    <w:pPr>
      <w:tabs>
        <w:tab w:val="clear" w:pos="567"/>
        <w:tab w:val="clear" w:pos="1134"/>
        <w:tab w:val="clear" w:pos="1701"/>
        <w:tab w:val="clear" w:pos="2268"/>
        <w:tab w:val="clear" w:pos="2835"/>
        <w:tab w:val="left" w:pos="426"/>
        <w:tab w:val="left" w:pos="851"/>
      </w:tabs>
      <w:overflowPunct/>
      <w:autoSpaceDE/>
      <w:autoSpaceDN/>
      <w:adjustRightInd/>
      <w:spacing w:after="120"/>
      <w:ind w:firstLine="851"/>
      <w:jc w:val="both"/>
      <w:textAlignment w:val="auto"/>
    </w:pPr>
    <w:rPr>
      <w:rFonts w:asciiTheme="minorHAnsi" w:eastAsiaTheme="minorEastAsia" w:hAnsiTheme="minorHAnsi" w:cstheme="minorHAnsi"/>
      <w:i/>
      <w:iCs/>
      <w:noProof/>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7AE92-33C9-4A7C-8360-6DABF8ACF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1736</Words>
  <Characters>240</Characters>
  <Application>Microsoft Office Word</Application>
  <DocSecurity>0</DocSecurity>
  <Lines>2</Lines>
  <Paragraphs>3</Paragraphs>
  <ScaleCrop>false</ScaleCrop>
  <HeadingPairs>
    <vt:vector size="2" baseType="variant">
      <vt:variant>
        <vt:lpstr>Title</vt:lpstr>
      </vt:variant>
      <vt:variant>
        <vt:i4>1</vt:i4>
      </vt:variant>
    </vt:vector>
  </HeadingPairs>
  <TitlesOfParts>
    <vt:vector size="1" baseType="lpstr">
      <vt:lpstr>DRAFT OPINION 4: New and emerging technologies and services to facilitate the use of telecommunications/ICTs for sustainable development</vt:lpstr>
    </vt:vector>
  </TitlesOfParts>
  <Manager>General Secretariat - Pool</Manager>
  <Company>International Telecommunication Union (ITU)</Company>
  <LinksUpToDate>false</LinksUpToDate>
  <CharactersWithSpaces>1973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OPINION 4: New and emerging technologies and services to facilitate the use of telecommunications/ICTs for sustainable development</dc:title>
  <dc:subject>WTPF</dc:subject>
  <dc:creator>Tang, Ting</dc:creator>
  <cp:keywords>WTPF-21</cp:keywords>
  <dc:description/>
  <cp:lastModifiedBy>Kun Xue</cp:lastModifiedBy>
  <cp:revision>2</cp:revision>
  <cp:lastPrinted>2000-07-18T13:30:00Z</cp:lastPrinted>
  <dcterms:created xsi:type="dcterms:W3CDTF">2021-12-20T08:49:00Z</dcterms:created>
  <dcterms:modified xsi:type="dcterms:W3CDTF">2021-12-20T08:49:00Z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