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E82" w:rsidRPr="005D680E" w14:paraId="7F19FFD8" w14:textId="77777777" w:rsidTr="00C047AC">
        <w:trPr>
          <w:cantSplit/>
          <w:trHeight w:val="1276"/>
        </w:trPr>
        <w:tc>
          <w:tcPr>
            <w:tcW w:w="6911" w:type="dxa"/>
          </w:tcPr>
          <w:p w14:paraId="42F0A8CC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position w:val="6"/>
                <w:szCs w:val="20"/>
                <w:lang w:val="ru-RU"/>
              </w:rPr>
            </w:pPr>
            <w:r w:rsidRPr="005D680E">
              <w:rPr>
                <w:rFonts w:ascii="Calibri" w:eastAsia="Times New Roman" w:hAnsi="Calibri" w:cs="Times New Roman"/>
                <w:noProof/>
                <w:szCs w:val="20"/>
                <w:lang w:val="ru-RU"/>
              </w:rPr>
              <w:drawing>
                <wp:inline distT="0" distB="0" distL="0" distR="0" wp14:anchorId="3B186B37" wp14:editId="32D602E2">
                  <wp:extent cx="2279323" cy="829340"/>
                  <wp:effectExtent l="0" t="0" r="0" b="8890"/>
                  <wp:docPr id="3" name="Picture 3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258875C0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  <w:bookmarkStart w:id="0" w:name="ditulogo"/>
            <w:bookmarkEnd w:id="0"/>
            <w:r w:rsidRPr="005D680E">
              <w:rPr>
                <w:rFonts w:ascii="Calibri" w:eastAsia="Times New Roman" w:hAnsi="Calibri" w:cs="Times New Roman"/>
                <w:noProof/>
                <w:szCs w:val="20"/>
                <w:lang w:val="ru-RU" w:eastAsia="zh-CN"/>
              </w:rPr>
              <w:drawing>
                <wp:inline distT="0" distB="0" distL="0" distR="0" wp14:anchorId="57397323" wp14:editId="5202FA2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E82" w:rsidRPr="005D680E" w14:paraId="0A58CDD1" w14:textId="77777777" w:rsidTr="00C047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78EB0B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DDDC49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szCs w:val="24"/>
                <w:lang w:val="ru-RU"/>
              </w:rPr>
            </w:pPr>
          </w:p>
        </w:tc>
      </w:tr>
      <w:tr w:rsidR="00B36E82" w:rsidRPr="005D680E" w14:paraId="7E82BADC" w14:textId="77777777" w:rsidTr="00C047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DC709E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D91EE3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szCs w:val="24"/>
                <w:lang w:val="ru-RU"/>
              </w:rPr>
            </w:pPr>
          </w:p>
        </w:tc>
      </w:tr>
      <w:tr w:rsidR="00B36E82" w:rsidRPr="005D680E" w14:paraId="4CD287A6" w14:textId="77777777" w:rsidTr="00C047AC">
        <w:trPr>
          <w:cantSplit/>
          <w:trHeight w:val="23"/>
        </w:trPr>
        <w:tc>
          <w:tcPr>
            <w:tcW w:w="6911" w:type="dxa"/>
            <w:vMerge w:val="restart"/>
          </w:tcPr>
          <w:p w14:paraId="7847864D" w14:textId="7B88E537" w:rsidR="00B36E82" w:rsidRPr="005D680E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6AF825E4" w14:textId="34E4AE0C" w:rsidR="00B36E82" w:rsidRPr="005D680E" w:rsidRDefault="008F094C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5D680E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Документ</w:t>
            </w:r>
            <w:r w:rsidR="00120C6A" w:rsidRPr="005D680E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 xml:space="preserve"> WTPF-21/</w:t>
            </w:r>
            <w:r w:rsidR="009D2EF6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10</w:t>
            </w:r>
            <w:r w:rsidR="00120C6A" w:rsidRPr="005D680E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-R</w:t>
            </w:r>
          </w:p>
        </w:tc>
      </w:tr>
      <w:tr w:rsidR="00B36E82" w:rsidRPr="005D680E" w14:paraId="47F9BA7F" w14:textId="77777777" w:rsidTr="00C047AC">
        <w:trPr>
          <w:cantSplit/>
          <w:trHeight w:val="23"/>
        </w:trPr>
        <w:tc>
          <w:tcPr>
            <w:tcW w:w="6911" w:type="dxa"/>
            <w:vMerge/>
          </w:tcPr>
          <w:p w14:paraId="43AAD3D4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0B8D54C5" w14:textId="526BF56A" w:rsidR="00B36E82" w:rsidRPr="005D680E" w:rsidRDefault="00120C6A" w:rsidP="00B36E82">
            <w:pPr>
              <w:tabs>
                <w:tab w:val="clear" w:pos="794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5D680E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>17 декабря</w:t>
            </w:r>
            <w:r w:rsidR="00B36E82" w:rsidRPr="005D680E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 xml:space="preserve"> 2021 года</w:t>
            </w:r>
          </w:p>
        </w:tc>
      </w:tr>
      <w:tr w:rsidR="00B36E82" w:rsidRPr="005D680E" w14:paraId="3DACDDEC" w14:textId="77777777" w:rsidTr="00C047AC">
        <w:trPr>
          <w:cantSplit/>
          <w:trHeight w:val="23"/>
        </w:trPr>
        <w:tc>
          <w:tcPr>
            <w:tcW w:w="6911" w:type="dxa"/>
            <w:vMerge/>
          </w:tcPr>
          <w:p w14:paraId="52746510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5656093A" w14:textId="77777777" w:rsidR="00B36E82" w:rsidRPr="005D680E" w:rsidRDefault="00B36E82" w:rsidP="00B36E82">
            <w:pPr>
              <w:tabs>
                <w:tab w:val="clear" w:pos="794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5D680E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</w:tbl>
    <w:bookmarkEnd w:id="4"/>
    <w:p w14:paraId="3E3CBE1A" w14:textId="5B6B6095" w:rsidR="007E6E44" w:rsidRPr="005D680E" w:rsidRDefault="009D2EF6" w:rsidP="005D680E">
      <w:pPr>
        <w:pStyle w:val="ResNo"/>
        <w:spacing w:before="720"/>
        <w:rPr>
          <w:lang w:val="ru-RU"/>
        </w:rPr>
      </w:pPr>
      <w:r w:rsidRPr="009D2EF6">
        <w:rPr>
          <w:lang w:val="ru-RU"/>
        </w:rPr>
        <w:t xml:space="preserve">МНЕНИЕ </w:t>
      </w:r>
      <w:r w:rsidR="000454C3" w:rsidRPr="005D680E">
        <w:rPr>
          <w:lang w:val="ru-RU"/>
        </w:rPr>
        <w:t>3</w:t>
      </w:r>
    </w:p>
    <w:p w14:paraId="1B4ED1FC" w14:textId="46EAAF57" w:rsidR="007E6E44" w:rsidRPr="005D680E" w:rsidRDefault="00462907" w:rsidP="008B6DB1">
      <w:pPr>
        <w:pStyle w:val="Restitle"/>
        <w:rPr>
          <w:lang w:val="ru-RU"/>
        </w:rPr>
      </w:pPr>
      <w:r w:rsidRPr="005D680E">
        <w:rPr>
          <w:lang w:val="ru-RU"/>
        </w:rPr>
        <w:t xml:space="preserve">Цифровая </w:t>
      </w:r>
      <w:r w:rsidR="00EE7C90" w:rsidRPr="005D680E">
        <w:rPr>
          <w:lang w:val="ru-RU"/>
        </w:rPr>
        <w:t xml:space="preserve">грамотность и </w:t>
      </w:r>
      <w:r w:rsidRPr="005D680E">
        <w:rPr>
          <w:lang w:val="ru-RU"/>
        </w:rPr>
        <w:t xml:space="preserve">цифровые </w:t>
      </w:r>
      <w:r w:rsidR="00EE7C90" w:rsidRPr="005D680E">
        <w:rPr>
          <w:lang w:val="ru-RU"/>
        </w:rPr>
        <w:t>навыки</w:t>
      </w:r>
      <w:r w:rsidR="001D287F" w:rsidRPr="005D680E">
        <w:rPr>
          <w:lang w:val="ru-RU"/>
        </w:rPr>
        <w:t xml:space="preserve"> для </w:t>
      </w:r>
      <w:r w:rsidR="00891E2F" w:rsidRPr="005D680E">
        <w:rPr>
          <w:lang w:val="ru-RU"/>
        </w:rPr>
        <w:t xml:space="preserve">обеспечения </w:t>
      </w:r>
      <w:r w:rsidR="001D287F" w:rsidRPr="005D680E">
        <w:rPr>
          <w:lang w:val="ru-RU"/>
        </w:rPr>
        <w:t>всеобщего</w:t>
      </w:r>
      <w:r w:rsidR="00EE7C90" w:rsidRPr="005D680E">
        <w:rPr>
          <w:lang w:val="ru-RU"/>
        </w:rPr>
        <w:t xml:space="preserve"> </w:t>
      </w:r>
      <w:r w:rsidRPr="005D680E">
        <w:rPr>
          <w:lang w:val="ru-RU"/>
        </w:rPr>
        <w:t>доступ</w:t>
      </w:r>
      <w:r w:rsidR="001D287F" w:rsidRPr="005D680E">
        <w:rPr>
          <w:lang w:val="ru-RU"/>
        </w:rPr>
        <w:t>а</w:t>
      </w:r>
    </w:p>
    <w:p w14:paraId="23DE6627" w14:textId="4C043B30" w:rsidR="00D56C0A" w:rsidRPr="005D680E" w:rsidRDefault="00D56C0A" w:rsidP="00D56C0A">
      <w:pPr>
        <w:pStyle w:val="Normalaftertitle"/>
        <w:rPr>
          <w:lang w:val="ru-RU"/>
        </w:rPr>
      </w:pPr>
      <w:bookmarkStart w:id="5" w:name="lt_pId005"/>
      <w:r w:rsidRPr="005D680E">
        <w:rPr>
          <w:lang w:val="ru-RU"/>
        </w:rPr>
        <w:t>Шестой Всемирный форум по политике в области электросвязи/ИКТ (Женева, 2021 г.),</w:t>
      </w:r>
      <w:bookmarkEnd w:id="5"/>
    </w:p>
    <w:p w14:paraId="48BA6069" w14:textId="2D944D1C" w:rsidR="000454C3" w:rsidRPr="005D680E" w:rsidRDefault="00B36E82" w:rsidP="000454C3">
      <w:pPr>
        <w:pStyle w:val="Call"/>
        <w:rPr>
          <w:lang w:val="ru-RU"/>
        </w:rPr>
      </w:pPr>
      <w:r w:rsidRPr="005D680E">
        <w:rPr>
          <w:lang w:val="ru-RU"/>
        </w:rPr>
        <w:t>ссылаясь на</w:t>
      </w:r>
    </w:p>
    <w:p w14:paraId="311184F8" w14:textId="70E859DE" w:rsidR="000454C3" w:rsidRPr="005D680E" w:rsidRDefault="000454C3" w:rsidP="000454C3">
      <w:pPr>
        <w:rPr>
          <w:lang w:val="ru-RU"/>
        </w:rPr>
      </w:pPr>
      <w:r w:rsidRPr="00C35172">
        <w:rPr>
          <w:i/>
          <w:iCs/>
          <w:lang w:val="ru-RU"/>
        </w:rPr>
        <w:t>a)</w:t>
      </w:r>
      <w:r w:rsidRPr="00C35172">
        <w:rPr>
          <w:i/>
          <w:iCs/>
          <w:lang w:val="ru-RU"/>
        </w:rPr>
        <w:tab/>
      </w:r>
      <w:r w:rsidR="00186AE6" w:rsidRPr="005D680E">
        <w:rPr>
          <w:lang w:val="ru-RU" w:eastAsia="pt-BR"/>
        </w:rPr>
        <w:t>резолюцию 70/1 Г</w:t>
      </w:r>
      <w:r w:rsidR="005F653B" w:rsidRPr="005D680E">
        <w:rPr>
          <w:lang w:val="ru-RU" w:eastAsia="pt-BR"/>
        </w:rPr>
        <w:t xml:space="preserve">енеральной </w:t>
      </w:r>
      <w:r w:rsidR="00186AE6" w:rsidRPr="005D680E">
        <w:rPr>
          <w:lang w:val="ru-RU" w:eastAsia="pt-BR"/>
        </w:rPr>
        <w:t>А</w:t>
      </w:r>
      <w:r w:rsidR="005F653B" w:rsidRPr="005D680E">
        <w:rPr>
          <w:lang w:val="ru-RU" w:eastAsia="pt-BR"/>
        </w:rPr>
        <w:t>ссамблеи</w:t>
      </w:r>
      <w:r w:rsidR="00186AE6" w:rsidRPr="005D680E">
        <w:rPr>
          <w:lang w:val="ru-RU" w:eastAsia="pt-BR"/>
        </w:rPr>
        <w:t xml:space="preserve"> О</w:t>
      </w:r>
      <w:r w:rsidR="005F653B" w:rsidRPr="005D680E">
        <w:rPr>
          <w:lang w:val="ru-RU" w:eastAsia="pt-BR"/>
        </w:rPr>
        <w:t>рганизации Объединенных Наций (ГА О</w:t>
      </w:r>
      <w:r w:rsidR="00186AE6" w:rsidRPr="005D680E">
        <w:rPr>
          <w:lang w:val="ru-RU" w:eastAsia="pt-BR"/>
        </w:rPr>
        <w:t>ОН</w:t>
      </w:r>
      <w:r w:rsidR="005F653B" w:rsidRPr="005D680E">
        <w:rPr>
          <w:lang w:val="ru-RU" w:eastAsia="pt-BR"/>
        </w:rPr>
        <w:t>)</w:t>
      </w:r>
      <w:r w:rsidR="00186AE6" w:rsidRPr="005D680E">
        <w:rPr>
          <w:lang w:val="ru-RU" w:eastAsia="pt-BR"/>
        </w:rPr>
        <w:t xml:space="preserve"> </w:t>
      </w:r>
      <w:r w:rsidR="00462907" w:rsidRPr="005D680E">
        <w:rPr>
          <w:lang w:val="ru-RU" w:eastAsia="pt-BR"/>
        </w:rPr>
        <w:t>"Преобразование нашего мира: Повестка дня в области устойчивого развития на период до 2030</w:t>
      </w:r>
      <w:r w:rsidR="008B6DB1" w:rsidRPr="005D680E">
        <w:rPr>
          <w:lang w:val="ru-RU" w:eastAsia="pt-BR"/>
        </w:rPr>
        <w:t> </w:t>
      </w:r>
      <w:r w:rsidR="00462907" w:rsidRPr="005D680E">
        <w:rPr>
          <w:lang w:val="ru-RU" w:eastAsia="pt-BR"/>
        </w:rPr>
        <w:t>года"</w:t>
      </w:r>
      <w:r w:rsidRPr="005D680E">
        <w:rPr>
          <w:lang w:val="ru-RU"/>
        </w:rPr>
        <w:t>;</w:t>
      </w:r>
    </w:p>
    <w:p w14:paraId="1CCC97D5" w14:textId="08C56A40" w:rsidR="00D7373B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b)</w:t>
      </w:r>
      <w:r w:rsidRPr="005D680E">
        <w:rPr>
          <w:lang w:val="ru-RU"/>
        </w:rPr>
        <w:tab/>
        <w:t xml:space="preserve">резолюцию 70/186 Генеральной Ассамблеи Организации Объединенных Наций (ГА ООН) </w:t>
      </w:r>
      <w:r w:rsidR="008F094C" w:rsidRPr="005D680E">
        <w:rPr>
          <w:lang w:val="ru-RU"/>
        </w:rPr>
        <w:t>"З</w:t>
      </w:r>
      <w:r w:rsidRPr="005D680E">
        <w:rPr>
          <w:lang w:val="ru-RU"/>
        </w:rPr>
        <w:t>ащит</w:t>
      </w:r>
      <w:r w:rsidR="008F094C" w:rsidRPr="005D680E">
        <w:rPr>
          <w:lang w:val="ru-RU"/>
        </w:rPr>
        <w:t>а</w:t>
      </w:r>
      <w:r w:rsidRPr="005D680E">
        <w:rPr>
          <w:lang w:val="ru-RU"/>
        </w:rPr>
        <w:t xml:space="preserve"> интересов потребителей</w:t>
      </w:r>
      <w:r w:rsidR="008F094C" w:rsidRPr="005D680E">
        <w:rPr>
          <w:lang w:val="ru-RU"/>
        </w:rPr>
        <w:t>"</w:t>
      </w:r>
      <w:r w:rsidRPr="005D680E">
        <w:rPr>
          <w:lang w:val="ru-RU"/>
        </w:rPr>
        <w:t>;</w:t>
      </w:r>
    </w:p>
    <w:p w14:paraId="0826FC5B" w14:textId="0D4E861E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c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5F653B" w:rsidRPr="005D680E">
        <w:rPr>
          <w:lang w:val="ru-RU"/>
        </w:rPr>
        <w:t>резолюцию 72/235 ГА ООН о развитии людских ресурсов</w:t>
      </w:r>
      <w:r w:rsidR="000454C3" w:rsidRPr="005D680E">
        <w:rPr>
          <w:lang w:val="ru-RU"/>
        </w:rPr>
        <w:t>;</w:t>
      </w:r>
    </w:p>
    <w:p w14:paraId="5AABF5DD" w14:textId="187BF37C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d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5F653B" w:rsidRPr="005D680E">
        <w:rPr>
          <w:lang w:val="ru-RU"/>
        </w:rPr>
        <w:t>Женевскую Декларацию принципов, принят</w:t>
      </w:r>
      <w:r w:rsidR="00E34C3D" w:rsidRPr="005D680E">
        <w:rPr>
          <w:lang w:val="ru-RU"/>
        </w:rPr>
        <w:t>ую</w:t>
      </w:r>
      <w:r w:rsidR="005F653B" w:rsidRPr="005D680E">
        <w:rPr>
          <w:lang w:val="ru-RU"/>
        </w:rPr>
        <w:t xml:space="preserve"> на Всемирной встрече на высшем уровне по вопросам информационного общества (ВВУИО) в 2003 году</w:t>
      </w:r>
      <w:r w:rsidR="000454C3" w:rsidRPr="005D680E">
        <w:rPr>
          <w:lang w:val="ru-RU"/>
        </w:rPr>
        <w:t>;</w:t>
      </w:r>
    </w:p>
    <w:p w14:paraId="12041214" w14:textId="2382125F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e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CA580D" w:rsidRPr="005D680E">
        <w:rPr>
          <w:lang w:val="ru-RU"/>
        </w:rPr>
        <w:t>Итоговые документы ВВУИО</w:t>
      </w:r>
      <w:r w:rsidR="000454C3" w:rsidRPr="005D680E">
        <w:rPr>
          <w:lang w:val="ru-RU"/>
        </w:rPr>
        <w:t>;</w:t>
      </w:r>
    </w:p>
    <w:p w14:paraId="4136473B" w14:textId="5007812E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f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186AE6" w:rsidRPr="005D680E">
        <w:rPr>
          <w:lang w:val="ru-RU"/>
        </w:rPr>
        <w:t>Резолюцию 71 (</w:t>
      </w:r>
      <w:proofErr w:type="spellStart"/>
      <w:r w:rsidR="00186AE6" w:rsidRPr="005D680E">
        <w:rPr>
          <w:lang w:val="ru-RU"/>
        </w:rPr>
        <w:t>Пересм</w:t>
      </w:r>
      <w:proofErr w:type="spellEnd"/>
      <w:r w:rsidR="00186AE6" w:rsidRPr="005D680E">
        <w:rPr>
          <w:lang w:val="ru-RU"/>
        </w:rPr>
        <w:t>. Дубай, 2018 г.) Полномочной конференции</w:t>
      </w:r>
      <w:r w:rsidR="00BC53A7" w:rsidRPr="005D680E">
        <w:rPr>
          <w:lang w:val="ru-RU"/>
        </w:rPr>
        <w:t xml:space="preserve"> (ПП)</w:t>
      </w:r>
      <w:r w:rsidR="00186AE6" w:rsidRPr="005D680E">
        <w:rPr>
          <w:lang w:val="ru-RU"/>
        </w:rPr>
        <w:t xml:space="preserve"> о Стратегическом плане Союза на 2020–2023 годы</w:t>
      </w:r>
      <w:r w:rsidR="000454C3" w:rsidRPr="005D680E">
        <w:rPr>
          <w:lang w:val="ru-RU"/>
        </w:rPr>
        <w:t xml:space="preserve">, </w:t>
      </w:r>
      <w:r w:rsidR="00E34C3D" w:rsidRPr="005D680E">
        <w:rPr>
          <w:i/>
          <w:iCs/>
          <w:lang w:val="ru-RU"/>
        </w:rPr>
        <w:t>Цель</w:t>
      </w:r>
      <w:r w:rsidR="000454C3" w:rsidRPr="005D680E">
        <w:rPr>
          <w:i/>
          <w:iCs/>
          <w:lang w:val="ru-RU"/>
        </w:rPr>
        <w:t xml:space="preserve"> 1 – </w:t>
      </w:r>
      <w:r w:rsidR="00E34C3D" w:rsidRPr="005D680E">
        <w:rPr>
          <w:i/>
          <w:iCs/>
          <w:lang w:val="ru-RU"/>
        </w:rPr>
        <w:t>Рост: предоставить доступ к электросвязи/ИКТ, расширять его и увеличивать использование электросвязи</w:t>
      </w:r>
      <w:r w:rsidR="00E34C3D" w:rsidRPr="005D680E">
        <w:rPr>
          <w:lang w:val="ru-RU"/>
        </w:rPr>
        <w:t>/</w:t>
      </w:r>
      <w:r w:rsidR="00E34C3D" w:rsidRPr="005D680E">
        <w:rPr>
          <w:i/>
          <w:iCs/>
          <w:lang w:val="ru-RU"/>
        </w:rPr>
        <w:t>ИКТ с целью поддержки цифровой экономики и цифрового общества</w:t>
      </w:r>
      <w:r w:rsidR="000454C3" w:rsidRPr="005D680E">
        <w:rPr>
          <w:lang w:val="ru-RU"/>
        </w:rPr>
        <w:t>;</w:t>
      </w:r>
    </w:p>
    <w:p w14:paraId="5A578497" w14:textId="4AF3A42B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g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186AE6" w:rsidRPr="005D680E">
        <w:rPr>
          <w:lang w:val="ru-RU"/>
        </w:rPr>
        <w:t xml:space="preserve">Резолюцию </w:t>
      </w:r>
      <w:r w:rsidR="000454C3" w:rsidRPr="005D680E">
        <w:rPr>
          <w:lang w:val="ru-RU"/>
        </w:rPr>
        <w:t>139 (</w:t>
      </w:r>
      <w:proofErr w:type="spellStart"/>
      <w:r w:rsidR="00186AE6" w:rsidRPr="005D680E">
        <w:rPr>
          <w:lang w:val="ru-RU"/>
        </w:rPr>
        <w:t>Пересм</w:t>
      </w:r>
      <w:proofErr w:type="spellEnd"/>
      <w:r w:rsidR="00186AE6" w:rsidRPr="005D680E">
        <w:rPr>
          <w:lang w:val="ru-RU"/>
        </w:rPr>
        <w:t xml:space="preserve">. Дубай, 2018 г.) Полномочной конференции </w:t>
      </w:r>
      <w:r w:rsidR="00085B3D" w:rsidRPr="005D680E">
        <w:rPr>
          <w:lang w:val="ru-RU"/>
        </w:rPr>
        <w:t>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</w:r>
      <w:r w:rsidR="000454C3" w:rsidRPr="005D680E">
        <w:rPr>
          <w:lang w:val="ru-RU"/>
        </w:rPr>
        <w:t>;</w:t>
      </w:r>
    </w:p>
    <w:p w14:paraId="6A866CBE" w14:textId="7FEDD305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h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186AE6" w:rsidRPr="005D680E">
        <w:rPr>
          <w:lang w:val="ru-RU"/>
        </w:rPr>
        <w:t xml:space="preserve">Резолюцию </w:t>
      </w:r>
      <w:r w:rsidR="000454C3" w:rsidRPr="005D680E">
        <w:rPr>
          <w:lang w:val="ru-RU"/>
        </w:rPr>
        <w:t>198 (</w:t>
      </w:r>
      <w:proofErr w:type="spellStart"/>
      <w:r w:rsidR="00186AE6" w:rsidRPr="005D680E">
        <w:rPr>
          <w:lang w:val="ru-RU"/>
        </w:rPr>
        <w:t>Пересм</w:t>
      </w:r>
      <w:proofErr w:type="spellEnd"/>
      <w:r w:rsidR="00186AE6" w:rsidRPr="005D680E">
        <w:rPr>
          <w:lang w:val="ru-RU"/>
        </w:rPr>
        <w:t xml:space="preserve">. Дубай, 2018 г.) Полномочной конференции </w:t>
      </w:r>
      <w:r w:rsidR="00085B3D" w:rsidRPr="005D680E">
        <w:rPr>
          <w:lang w:val="ru-RU"/>
        </w:rPr>
        <w:t>о расширении прав и возможностей молодежи посредством электросвязи/‎информационно-коммуникационных технологий</w:t>
      </w:r>
      <w:r w:rsidR="000454C3" w:rsidRPr="005D680E">
        <w:rPr>
          <w:lang w:val="ru-RU"/>
        </w:rPr>
        <w:t>;</w:t>
      </w:r>
    </w:p>
    <w:p w14:paraId="4206B7B3" w14:textId="61C55901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i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186AE6" w:rsidRPr="005D680E">
        <w:rPr>
          <w:lang w:val="ru-RU"/>
        </w:rPr>
        <w:t xml:space="preserve">Резолюцию 205 (Дубай, 2018 г.) Полномочной конференции о роли МСЭ </w:t>
      </w:r>
      <w:proofErr w:type="gramStart"/>
      <w:r w:rsidR="00186AE6" w:rsidRPr="005D680E">
        <w:rPr>
          <w:lang w:val="ru-RU"/>
        </w:rPr>
        <w:t>в содействии</w:t>
      </w:r>
      <w:proofErr w:type="gramEnd"/>
      <w:r w:rsidR="00186AE6" w:rsidRPr="005D680E">
        <w:rPr>
          <w:lang w:val="ru-RU"/>
        </w:rPr>
        <w:t xml:space="preserve"> ориентированным на электросвязь/информационно-коммуникационные технологии инновациям для поддержки цифровой экономики и цифрового общества</w:t>
      </w:r>
      <w:r w:rsidR="000454C3" w:rsidRPr="005D680E">
        <w:rPr>
          <w:lang w:val="ru-RU"/>
        </w:rPr>
        <w:t>;</w:t>
      </w:r>
    </w:p>
    <w:p w14:paraId="16C21F7A" w14:textId="6AF474AB" w:rsidR="000454C3" w:rsidRPr="005D680E" w:rsidRDefault="00D7373B" w:rsidP="000454C3">
      <w:pPr>
        <w:rPr>
          <w:lang w:val="ru-RU"/>
        </w:rPr>
      </w:pPr>
      <w:r w:rsidRPr="00C35172">
        <w:rPr>
          <w:i/>
          <w:iCs/>
          <w:lang w:val="ru-RU"/>
        </w:rPr>
        <w:t>j</w:t>
      </w:r>
      <w:r w:rsidR="000454C3" w:rsidRPr="00C35172">
        <w:rPr>
          <w:i/>
          <w:iCs/>
          <w:lang w:val="ru-RU"/>
        </w:rPr>
        <w:t>)</w:t>
      </w:r>
      <w:r w:rsidR="000454C3" w:rsidRPr="005D680E">
        <w:rPr>
          <w:lang w:val="ru-RU"/>
        </w:rPr>
        <w:tab/>
      </w:r>
      <w:r w:rsidR="00186AE6" w:rsidRPr="005D680E">
        <w:rPr>
          <w:lang w:val="ru-RU"/>
        </w:rPr>
        <w:t xml:space="preserve">Резолюцию </w:t>
      </w:r>
      <w:r w:rsidR="000454C3" w:rsidRPr="005D680E">
        <w:rPr>
          <w:lang w:val="ru-RU"/>
        </w:rPr>
        <w:t>40 (</w:t>
      </w:r>
      <w:proofErr w:type="spellStart"/>
      <w:r w:rsidR="00085B3D" w:rsidRPr="005D680E">
        <w:rPr>
          <w:lang w:val="ru-RU"/>
        </w:rPr>
        <w:t>Пересм</w:t>
      </w:r>
      <w:proofErr w:type="spellEnd"/>
      <w:r w:rsidR="00085B3D" w:rsidRPr="005D680E">
        <w:rPr>
          <w:lang w:val="ru-RU"/>
        </w:rPr>
        <w:t>. Буэнос-Айрес,</w:t>
      </w:r>
      <w:r w:rsidR="000454C3" w:rsidRPr="005D680E">
        <w:rPr>
          <w:lang w:val="ru-RU"/>
        </w:rPr>
        <w:t xml:space="preserve"> 2017</w:t>
      </w:r>
      <w:r w:rsidR="00085B3D" w:rsidRPr="005D680E">
        <w:rPr>
          <w:lang w:val="ru-RU"/>
        </w:rPr>
        <w:t xml:space="preserve"> г.</w:t>
      </w:r>
      <w:r w:rsidR="000454C3" w:rsidRPr="005D680E">
        <w:rPr>
          <w:lang w:val="ru-RU"/>
        </w:rPr>
        <w:t xml:space="preserve">) </w:t>
      </w:r>
      <w:r w:rsidR="00085B3D" w:rsidRPr="005D680E">
        <w:rPr>
          <w:lang w:val="ru-RU"/>
        </w:rPr>
        <w:t>Всемирной конференции по развитию электросвязи</w:t>
      </w:r>
      <w:r w:rsidR="000454C3" w:rsidRPr="005D680E">
        <w:rPr>
          <w:lang w:val="ru-RU"/>
        </w:rPr>
        <w:t xml:space="preserve"> </w:t>
      </w:r>
      <w:r w:rsidR="00E34C3D" w:rsidRPr="005D680E">
        <w:rPr>
          <w:lang w:val="ru-RU"/>
        </w:rPr>
        <w:t>о Группе по инициативам в области создания потенциала</w:t>
      </w:r>
      <w:r w:rsidR="000454C3" w:rsidRPr="005D680E">
        <w:rPr>
          <w:lang w:val="ru-RU"/>
        </w:rPr>
        <w:t>,</w:t>
      </w:r>
    </w:p>
    <w:p w14:paraId="303E4FCE" w14:textId="30E0AC3B" w:rsidR="000454C3" w:rsidRPr="005D680E" w:rsidRDefault="00085B3D" w:rsidP="000454C3">
      <w:pPr>
        <w:pStyle w:val="Call"/>
        <w:rPr>
          <w:lang w:val="ru-RU"/>
        </w:rPr>
      </w:pPr>
      <w:r w:rsidRPr="005D680E">
        <w:rPr>
          <w:lang w:val="ru-RU"/>
        </w:rPr>
        <w:t>учитывая</w:t>
      </w:r>
      <w:r w:rsidRPr="005D680E">
        <w:rPr>
          <w:i w:val="0"/>
          <w:iCs/>
          <w:lang w:val="ru-RU"/>
        </w:rPr>
        <w:t>,</w:t>
      </w:r>
    </w:p>
    <w:p w14:paraId="3590F554" w14:textId="102BD1EF" w:rsidR="00625DA8" w:rsidRPr="005D680E" w:rsidRDefault="00625DA8" w:rsidP="00625DA8">
      <w:pPr>
        <w:rPr>
          <w:lang w:val="ru-RU"/>
        </w:rPr>
      </w:pPr>
      <w:r w:rsidRPr="00C35172">
        <w:rPr>
          <w:i/>
          <w:iCs/>
          <w:lang w:val="ru-RU"/>
        </w:rPr>
        <w:t>a)</w:t>
      </w:r>
      <w:r w:rsidR="00CA580D" w:rsidRPr="005D680E">
        <w:rPr>
          <w:lang w:val="ru-RU"/>
        </w:rPr>
        <w:tab/>
      </w:r>
      <w:r w:rsidRPr="005D680E">
        <w:rPr>
          <w:lang w:val="ru-RU"/>
        </w:rPr>
        <w:t xml:space="preserve">что отсутствие цифровых навыков является препятствием для </w:t>
      </w:r>
      <w:r w:rsidR="00CC64C1" w:rsidRPr="005D680E">
        <w:rPr>
          <w:lang w:val="ru-RU"/>
        </w:rPr>
        <w:t>внедрения</w:t>
      </w:r>
      <w:r w:rsidR="00B36E82" w:rsidRPr="005D680E">
        <w:rPr>
          <w:lang w:val="ru-RU"/>
        </w:rPr>
        <w:t xml:space="preserve"> </w:t>
      </w:r>
      <w:r w:rsidRPr="005D680E">
        <w:rPr>
          <w:lang w:val="ru-RU"/>
        </w:rPr>
        <w:t xml:space="preserve">и эффективного использования </w:t>
      </w:r>
      <w:r w:rsidR="00CC64C1" w:rsidRPr="005D680E">
        <w:rPr>
          <w:lang w:val="ru-RU"/>
        </w:rPr>
        <w:t>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>информационн</w:t>
      </w:r>
      <w:r w:rsidR="00CC64C1" w:rsidRPr="005D680E">
        <w:rPr>
          <w:lang w:val="ru-RU"/>
        </w:rPr>
        <w:t>о-</w:t>
      </w:r>
      <w:r w:rsidRPr="005D680E">
        <w:rPr>
          <w:lang w:val="ru-RU"/>
        </w:rPr>
        <w:t xml:space="preserve">коммуникационных технологий (ИКТ), включая </w:t>
      </w:r>
      <w:r w:rsidR="00CC64C1" w:rsidRPr="005D680E">
        <w:rPr>
          <w:lang w:val="ru-RU"/>
        </w:rPr>
        <w:t>и</w:t>
      </w:r>
      <w:r w:rsidRPr="005D680E">
        <w:rPr>
          <w:lang w:val="ru-RU"/>
        </w:rPr>
        <w:t>нтернет;</w:t>
      </w:r>
    </w:p>
    <w:p w14:paraId="49B45C3A" w14:textId="04687CC1" w:rsidR="000454C3" w:rsidRPr="005D680E" w:rsidRDefault="00625DA8" w:rsidP="00687BB0">
      <w:pPr>
        <w:rPr>
          <w:highlight w:val="lightGray"/>
          <w:lang w:val="ru-RU"/>
        </w:rPr>
      </w:pPr>
      <w:r w:rsidRPr="00C35172">
        <w:rPr>
          <w:i/>
          <w:iCs/>
          <w:lang w:val="ru-RU"/>
        </w:rPr>
        <w:lastRenderedPageBreak/>
        <w:t>b)</w:t>
      </w:r>
      <w:r w:rsidR="00CA580D" w:rsidRPr="005D680E">
        <w:rPr>
          <w:lang w:val="ru-RU"/>
        </w:rPr>
        <w:tab/>
      </w:r>
      <w:r w:rsidRPr="005D680E">
        <w:rPr>
          <w:lang w:val="ru-RU"/>
        </w:rPr>
        <w:t>что</w:t>
      </w:r>
      <w:r w:rsidR="00407BA9" w:rsidRPr="005D680E">
        <w:rPr>
          <w:lang w:val="ru-RU"/>
        </w:rPr>
        <w:t>,</w:t>
      </w:r>
      <w:r w:rsidRPr="005D680E">
        <w:rPr>
          <w:lang w:val="ru-RU"/>
        </w:rPr>
        <w:t xml:space="preserve"> для </w:t>
      </w:r>
      <w:r w:rsidR="00407BA9" w:rsidRPr="005D680E">
        <w:rPr>
          <w:lang w:val="ru-RU"/>
        </w:rPr>
        <w:t xml:space="preserve">того чтобы </w:t>
      </w:r>
      <w:r w:rsidR="00F040A7" w:rsidRPr="005D680E">
        <w:rPr>
          <w:lang w:val="ru-RU"/>
        </w:rPr>
        <w:t>использова</w:t>
      </w:r>
      <w:r w:rsidR="00407BA9" w:rsidRPr="005D680E">
        <w:rPr>
          <w:lang w:val="ru-RU"/>
        </w:rPr>
        <w:t>ть</w:t>
      </w:r>
      <w:r w:rsidR="00F040A7" w:rsidRPr="005D680E">
        <w:rPr>
          <w:lang w:val="ru-RU"/>
        </w:rPr>
        <w:t xml:space="preserve"> преимуществ</w:t>
      </w:r>
      <w:r w:rsidR="00407BA9" w:rsidRPr="005D680E">
        <w:rPr>
          <w:lang w:val="ru-RU"/>
        </w:rPr>
        <w:t>а</w:t>
      </w:r>
      <w:r w:rsidRPr="005D680E">
        <w:rPr>
          <w:lang w:val="ru-RU"/>
        </w:rPr>
        <w:t xml:space="preserve"> новых и появляющихся </w:t>
      </w:r>
      <w:r w:rsidR="003020C9" w:rsidRPr="005D680E">
        <w:rPr>
          <w:lang w:val="ru-RU"/>
        </w:rPr>
        <w:t>технологий</w:t>
      </w:r>
      <w:r w:rsidRPr="005D680E">
        <w:rPr>
          <w:lang w:val="ru-RU"/>
        </w:rPr>
        <w:t xml:space="preserve"> 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>ИКТ и идти в ногу с техническим прогрессом, необходимы новые навыки для цифровой экономики;</w:t>
      </w:r>
    </w:p>
    <w:p w14:paraId="2C23D6DE" w14:textId="457E65AA" w:rsidR="00625DA8" w:rsidRPr="005D680E" w:rsidRDefault="00625DA8" w:rsidP="00625DA8">
      <w:pPr>
        <w:rPr>
          <w:lang w:val="ru-RU"/>
        </w:rPr>
      </w:pPr>
      <w:r w:rsidRPr="00C35172">
        <w:rPr>
          <w:i/>
          <w:iCs/>
          <w:lang w:val="ru-RU"/>
        </w:rPr>
        <w:t>c)</w:t>
      </w:r>
      <w:r w:rsidR="00CA580D" w:rsidRPr="005D680E">
        <w:rPr>
          <w:lang w:val="ru-RU"/>
        </w:rPr>
        <w:tab/>
      </w:r>
      <w:r w:rsidRPr="005D680E">
        <w:rPr>
          <w:lang w:val="ru-RU"/>
        </w:rPr>
        <w:t xml:space="preserve">что развитие и совершенствование </w:t>
      </w:r>
      <w:r w:rsidR="00410FD4" w:rsidRPr="005D680E">
        <w:rPr>
          <w:lang w:val="ru-RU"/>
        </w:rPr>
        <w:t>процессов создания</w:t>
      </w:r>
      <w:r w:rsidRPr="005D680E">
        <w:rPr>
          <w:lang w:val="ru-RU"/>
        </w:rPr>
        <w:t xml:space="preserve"> человеческого потенциала, в том числе в области новых и появляющихся услуг и технологий 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>ИКТ, явля</w:t>
      </w:r>
      <w:r w:rsidR="00891E2F" w:rsidRPr="005D680E">
        <w:rPr>
          <w:lang w:val="ru-RU"/>
        </w:rPr>
        <w:t>е</w:t>
      </w:r>
      <w:r w:rsidRPr="005D680E">
        <w:rPr>
          <w:lang w:val="ru-RU"/>
        </w:rPr>
        <w:t xml:space="preserve">тся </w:t>
      </w:r>
      <w:r w:rsidR="00891E2F" w:rsidRPr="005D680E">
        <w:rPr>
          <w:lang w:val="ru-RU"/>
        </w:rPr>
        <w:t>одним из основополагающих элементов</w:t>
      </w:r>
      <w:r w:rsidR="00265CE6" w:rsidRPr="005D680E">
        <w:rPr>
          <w:lang w:val="ru-RU"/>
        </w:rPr>
        <w:t xml:space="preserve"> </w:t>
      </w:r>
      <w:r w:rsidRPr="005D680E">
        <w:rPr>
          <w:lang w:val="ru-RU"/>
        </w:rPr>
        <w:t xml:space="preserve">открытого </w:t>
      </w:r>
      <w:r w:rsidR="00891E2F" w:rsidRPr="005D680E">
        <w:rPr>
          <w:lang w:val="ru-RU"/>
        </w:rPr>
        <w:t xml:space="preserve">для всех </w:t>
      </w:r>
      <w:r w:rsidRPr="005D680E">
        <w:rPr>
          <w:lang w:val="ru-RU"/>
        </w:rPr>
        <w:t>информационного общества и буд</w:t>
      </w:r>
      <w:r w:rsidR="00891E2F" w:rsidRPr="005D680E">
        <w:rPr>
          <w:lang w:val="ru-RU"/>
        </w:rPr>
        <w:t>е</w:t>
      </w:r>
      <w:r w:rsidRPr="005D680E">
        <w:rPr>
          <w:lang w:val="ru-RU"/>
        </w:rPr>
        <w:t>т способствовать устойчивому развитию;</w:t>
      </w:r>
    </w:p>
    <w:p w14:paraId="3A4013A5" w14:textId="122B96C1" w:rsidR="00625DA8" w:rsidRPr="005D680E" w:rsidRDefault="00625DA8" w:rsidP="00625DA8">
      <w:pPr>
        <w:rPr>
          <w:highlight w:val="lightGray"/>
          <w:lang w:val="ru-RU"/>
        </w:rPr>
      </w:pPr>
      <w:r w:rsidRPr="00C35172">
        <w:rPr>
          <w:i/>
          <w:iCs/>
          <w:lang w:val="ru-RU"/>
        </w:rPr>
        <w:t>d)</w:t>
      </w:r>
      <w:r w:rsidR="00CA580D" w:rsidRPr="005D680E">
        <w:rPr>
          <w:lang w:val="ru-RU"/>
        </w:rPr>
        <w:tab/>
      </w:r>
      <w:r w:rsidRPr="005D680E">
        <w:rPr>
          <w:lang w:val="ru-RU"/>
        </w:rPr>
        <w:t xml:space="preserve">что МСЭ поддерживает </w:t>
      </w:r>
      <w:r w:rsidR="00103F6A" w:rsidRPr="005D680E">
        <w:rPr>
          <w:lang w:val="ru-RU"/>
        </w:rPr>
        <w:t xml:space="preserve">усилия </w:t>
      </w:r>
      <w:r w:rsidRPr="005D680E">
        <w:rPr>
          <w:lang w:val="ru-RU"/>
        </w:rPr>
        <w:t>стран по использованию 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 xml:space="preserve">ИКТ в качестве катализатора развития, </w:t>
      </w:r>
      <w:r w:rsidR="00103F6A" w:rsidRPr="005D680E">
        <w:rPr>
          <w:lang w:val="ru-RU"/>
        </w:rPr>
        <w:t>в том числе</w:t>
      </w:r>
      <w:r w:rsidRPr="005D680E">
        <w:rPr>
          <w:lang w:val="ru-RU"/>
        </w:rPr>
        <w:t xml:space="preserve"> предоставл</w:t>
      </w:r>
      <w:r w:rsidR="00103F6A" w:rsidRPr="005D680E">
        <w:rPr>
          <w:lang w:val="ru-RU"/>
        </w:rPr>
        <w:t>яет</w:t>
      </w:r>
      <w:r w:rsidRPr="005D680E">
        <w:rPr>
          <w:lang w:val="ru-RU"/>
        </w:rPr>
        <w:t xml:space="preserve"> помощ</w:t>
      </w:r>
      <w:r w:rsidR="00103F6A" w:rsidRPr="005D680E">
        <w:rPr>
          <w:lang w:val="ru-RU"/>
        </w:rPr>
        <w:t>ь</w:t>
      </w:r>
      <w:r w:rsidRPr="005D680E">
        <w:rPr>
          <w:lang w:val="ru-RU"/>
        </w:rPr>
        <w:t xml:space="preserve"> в развитии потенциала </w:t>
      </w:r>
      <w:r w:rsidR="007D7D75" w:rsidRPr="005D680E">
        <w:rPr>
          <w:lang w:val="ru-RU"/>
        </w:rPr>
        <w:t>в рамках</w:t>
      </w:r>
      <w:r w:rsidRPr="005D680E">
        <w:rPr>
          <w:lang w:val="ru-RU"/>
        </w:rPr>
        <w:t xml:space="preserve"> различных инициатив, включая Академию МСЭ;</w:t>
      </w:r>
    </w:p>
    <w:p w14:paraId="56661177" w14:textId="5A518BF1" w:rsidR="00625DA8" w:rsidRPr="005D680E" w:rsidRDefault="00625DA8" w:rsidP="00625DA8">
      <w:pPr>
        <w:rPr>
          <w:lang w:val="ru-RU"/>
        </w:rPr>
      </w:pPr>
      <w:r w:rsidRPr="00C35172">
        <w:rPr>
          <w:i/>
          <w:iCs/>
          <w:lang w:val="ru-RU"/>
        </w:rPr>
        <w:t>e)</w:t>
      </w:r>
      <w:r w:rsidR="00CA580D" w:rsidRPr="005D680E">
        <w:rPr>
          <w:lang w:val="ru-RU"/>
        </w:rPr>
        <w:tab/>
      </w:r>
      <w:r w:rsidRPr="005D680E">
        <w:rPr>
          <w:lang w:val="ru-RU"/>
        </w:rPr>
        <w:t xml:space="preserve">что МСЭ </w:t>
      </w:r>
      <w:r w:rsidR="00FA4050" w:rsidRPr="005D680E">
        <w:rPr>
          <w:lang w:val="ru-RU"/>
        </w:rPr>
        <w:t xml:space="preserve">налаживает партнерские отношения </w:t>
      </w:r>
      <w:r w:rsidRPr="005D680E">
        <w:rPr>
          <w:lang w:val="ru-RU"/>
        </w:rPr>
        <w:t xml:space="preserve">с организациями ООН, правительствами, частным сектором, международными и межправительственными организациями, гражданским обществом, техническим сообществом, </w:t>
      </w:r>
      <w:r w:rsidR="00FA4050" w:rsidRPr="005D680E">
        <w:rPr>
          <w:lang w:val="ru-RU"/>
        </w:rPr>
        <w:t>академическими организациями</w:t>
      </w:r>
      <w:r w:rsidRPr="005D680E">
        <w:rPr>
          <w:lang w:val="ru-RU"/>
        </w:rPr>
        <w:t xml:space="preserve"> и другими заинтересованными сторонами для продвижения программ и инициатив, направленных на улучшение образования в области ИКТ</w:t>
      </w:r>
      <w:r w:rsidR="00195D81" w:rsidRPr="005D680E">
        <w:rPr>
          <w:lang w:val="ru-RU"/>
        </w:rPr>
        <w:t>,</w:t>
      </w:r>
      <w:r w:rsidRPr="005D680E">
        <w:rPr>
          <w:lang w:val="ru-RU"/>
        </w:rPr>
        <w:t xml:space="preserve"> </w:t>
      </w:r>
      <w:r w:rsidR="002C320B" w:rsidRPr="005D680E">
        <w:rPr>
          <w:lang w:val="ru-RU"/>
        </w:rPr>
        <w:t>предоставление</w:t>
      </w:r>
      <w:r w:rsidRPr="005D680E">
        <w:rPr>
          <w:lang w:val="ru-RU"/>
        </w:rPr>
        <w:t xml:space="preserve"> </w:t>
      </w:r>
      <w:r w:rsidR="006A5016" w:rsidRPr="005D680E">
        <w:rPr>
          <w:lang w:val="ru-RU"/>
        </w:rPr>
        <w:t xml:space="preserve">цифровых навыков </w:t>
      </w:r>
      <w:r w:rsidRPr="005D680E">
        <w:rPr>
          <w:lang w:val="ru-RU"/>
        </w:rPr>
        <w:t>люд</w:t>
      </w:r>
      <w:r w:rsidR="002C320B" w:rsidRPr="005D680E">
        <w:rPr>
          <w:lang w:val="ru-RU"/>
        </w:rPr>
        <w:t>ям</w:t>
      </w:r>
      <w:r w:rsidRPr="005D680E">
        <w:rPr>
          <w:lang w:val="ru-RU"/>
        </w:rPr>
        <w:t xml:space="preserve">, включая молодежь, и </w:t>
      </w:r>
      <w:r w:rsidR="00195D81" w:rsidRPr="005D680E">
        <w:rPr>
          <w:lang w:val="ru-RU"/>
        </w:rPr>
        <w:t xml:space="preserve">повышение </w:t>
      </w:r>
      <w:r w:rsidR="00891E2F" w:rsidRPr="005D680E">
        <w:rPr>
          <w:lang w:val="ru-RU"/>
        </w:rPr>
        <w:t xml:space="preserve">уровня </w:t>
      </w:r>
      <w:r w:rsidRPr="005D680E">
        <w:rPr>
          <w:lang w:val="ru-RU"/>
        </w:rPr>
        <w:t>цифровой грамотности;</w:t>
      </w:r>
    </w:p>
    <w:p w14:paraId="24B8F685" w14:textId="4A8B2BB3" w:rsidR="00625DA8" w:rsidRPr="005D680E" w:rsidRDefault="00625DA8" w:rsidP="00625DA8">
      <w:pPr>
        <w:rPr>
          <w:lang w:val="ru-RU"/>
        </w:rPr>
      </w:pPr>
      <w:r w:rsidRPr="00C35172">
        <w:rPr>
          <w:i/>
          <w:iCs/>
          <w:lang w:val="ru-RU"/>
        </w:rPr>
        <w:t>f)</w:t>
      </w:r>
      <w:r w:rsidR="00CA580D" w:rsidRPr="005D680E">
        <w:rPr>
          <w:lang w:val="ru-RU"/>
        </w:rPr>
        <w:tab/>
      </w:r>
      <w:r w:rsidRPr="005D680E">
        <w:rPr>
          <w:lang w:val="ru-RU"/>
        </w:rPr>
        <w:t xml:space="preserve">что существует гендерный и возрастной разрыв в </w:t>
      </w:r>
      <w:r w:rsidR="00891E2F" w:rsidRPr="005D680E">
        <w:rPr>
          <w:lang w:val="ru-RU"/>
        </w:rPr>
        <w:t xml:space="preserve">области </w:t>
      </w:r>
      <w:r w:rsidRPr="005D680E">
        <w:rPr>
          <w:lang w:val="ru-RU"/>
        </w:rPr>
        <w:t>цифровой грамотности</w:t>
      </w:r>
      <w:r w:rsidR="00F345E1" w:rsidRPr="005D680E">
        <w:rPr>
          <w:lang w:val="ru-RU"/>
        </w:rPr>
        <w:t>, а также</w:t>
      </w:r>
      <w:r w:rsidRPr="005D680E">
        <w:rPr>
          <w:lang w:val="ru-RU"/>
        </w:rPr>
        <w:t xml:space="preserve"> образования в </w:t>
      </w:r>
      <w:r w:rsidR="00F345E1" w:rsidRPr="005D680E">
        <w:rPr>
          <w:lang w:val="ru-RU"/>
        </w:rPr>
        <w:t>сфере</w:t>
      </w:r>
      <w:r w:rsidRPr="005D680E">
        <w:rPr>
          <w:lang w:val="ru-RU"/>
        </w:rPr>
        <w:t xml:space="preserve"> </w:t>
      </w:r>
      <w:r w:rsidR="00015652" w:rsidRPr="005D680E">
        <w:rPr>
          <w:lang w:val="ru-RU"/>
        </w:rPr>
        <w:t xml:space="preserve">точных наук, техники, инженерного дела и математики </w:t>
      </w:r>
      <w:r w:rsidRPr="005D680E">
        <w:rPr>
          <w:lang w:val="ru-RU"/>
        </w:rPr>
        <w:t>(STEM);</w:t>
      </w:r>
    </w:p>
    <w:p w14:paraId="51765E0A" w14:textId="21250438" w:rsidR="00625DA8" w:rsidRPr="005D680E" w:rsidRDefault="00625DA8" w:rsidP="00625DA8">
      <w:pPr>
        <w:rPr>
          <w:highlight w:val="lightGray"/>
          <w:lang w:val="ru-RU"/>
        </w:rPr>
      </w:pPr>
      <w:r w:rsidRPr="00C35172">
        <w:rPr>
          <w:i/>
          <w:iCs/>
          <w:lang w:val="ru-RU"/>
        </w:rPr>
        <w:t>g)</w:t>
      </w:r>
      <w:r w:rsidR="00CA580D" w:rsidRPr="005D680E">
        <w:rPr>
          <w:lang w:val="ru-RU"/>
        </w:rPr>
        <w:tab/>
      </w:r>
      <w:r w:rsidRPr="005D680E">
        <w:rPr>
          <w:lang w:val="ru-RU"/>
        </w:rPr>
        <w:t>что развивающиеся страны</w:t>
      </w:r>
      <w:r w:rsidR="008B6DB1" w:rsidRPr="005D680E">
        <w:rPr>
          <w:rStyle w:val="FootnoteReference"/>
          <w:lang w:val="ru-RU"/>
        </w:rPr>
        <w:footnoteReference w:customMarkFollows="1" w:id="1"/>
        <w:t>1</w:t>
      </w:r>
      <w:r w:rsidRPr="005D680E">
        <w:rPr>
          <w:lang w:val="ru-RU"/>
        </w:rPr>
        <w:t xml:space="preserve"> сталкиваются с</w:t>
      </w:r>
      <w:r w:rsidR="006A5016" w:rsidRPr="005D680E">
        <w:rPr>
          <w:lang w:val="ru-RU"/>
        </w:rPr>
        <w:t xml:space="preserve">о специфическими </w:t>
      </w:r>
      <w:r w:rsidRPr="005D680E">
        <w:rPr>
          <w:lang w:val="ru-RU"/>
        </w:rPr>
        <w:t>проблемами развити</w:t>
      </w:r>
      <w:r w:rsidR="006342FF" w:rsidRPr="005D680E">
        <w:rPr>
          <w:lang w:val="ru-RU"/>
        </w:rPr>
        <w:t>я</w:t>
      </w:r>
      <w:r w:rsidRPr="005D680E">
        <w:rPr>
          <w:lang w:val="ru-RU"/>
        </w:rPr>
        <w:t xml:space="preserve"> цифровых навыков,</w:t>
      </w:r>
    </w:p>
    <w:p w14:paraId="6D7826D3" w14:textId="4E2404A9" w:rsidR="000454C3" w:rsidRPr="005D680E" w:rsidRDefault="00F266CC" w:rsidP="000454C3">
      <w:pPr>
        <w:pStyle w:val="Call"/>
        <w:rPr>
          <w:i w:val="0"/>
          <w:iCs/>
          <w:lang w:val="ru-RU"/>
        </w:rPr>
      </w:pPr>
      <w:r w:rsidRPr="005D680E">
        <w:rPr>
          <w:lang w:val="ru-RU"/>
        </w:rPr>
        <w:t>памятуя о том</w:t>
      </w:r>
      <w:r w:rsidR="00CA580D" w:rsidRPr="005D680E">
        <w:rPr>
          <w:i w:val="0"/>
          <w:iCs/>
          <w:lang w:val="ru-RU"/>
        </w:rPr>
        <w:t>,</w:t>
      </w:r>
    </w:p>
    <w:p w14:paraId="54A13ABD" w14:textId="0853A7F3" w:rsidR="00625DA8" w:rsidRPr="005D680E" w:rsidRDefault="00625DA8" w:rsidP="00625DA8">
      <w:pPr>
        <w:rPr>
          <w:lang w:val="ru-RU"/>
        </w:rPr>
      </w:pPr>
      <w:r w:rsidRPr="00C35172">
        <w:rPr>
          <w:i/>
          <w:iCs/>
          <w:lang w:val="ru-RU"/>
        </w:rPr>
        <w:t>a)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что быстрое развитие новых и появляющихся </w:t>
      </w:r>
      <w:r w:rsidR="00712460" w:rsidRPr="005D680E">
        <w:rPr>
          <w:lang w:val="ru-RU"/>
        </w:rPr>
        <w:t xml:space="preserve">технологий </w:t>
      </w:r>
      <w:r w:rsidRPr="005D680E">
        <w:rPr>
          <w:lang w:val="ru-RU"/>
        </w:rPr>
        <w:t>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 xml:space="preserve">ИКТ </w:t>
      </w:r>
      <w:r w:rsidR="005D4768" w:rsidRPr="005D680E">
        <w:rPr>
          <w:lang w:val="ru-RU"/>
        </w:rPr>
        <w:t>обусловливает</w:t>
      </w:r>
      <w:r w:rsidRPr="005D680E">
        <w:rPr>
          <w:lang w:val="ru-RU"/>
        </w:rPr>
        <w:t xml:space="preserve"> новые требования и ожидания к работникам;</w:t>
      </w:r>
    </w:p>
    <w:p w14:paraId="1B6E9CFB" w14:textId="7406D0A9" w:rsidR="000454C3" w:rsidRPr="005D680E" w:rsidRDefault="00625DA8" w:rsidP="00331BFF">
      <w:pPr>
        <w:rPr>
          <w:lang w:val="ru-RU"/>
        </w:rPr>
      </w:pPr>
      <w:r w:rsidRPr="00C35172">
        <w:rPr>
          <w:i/>
          <w:iCs/>
          <w:lang w:val="ru-RU"/>
        </w:rPr>
        <w:t>b)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что обеспечение цифровой грамотности и </w:t>
      </w:r>
      <w:r w:rsidR="00CF3FB4" w:rsidRPr="005D680E">
        <w:rPr>
          <w:lang w:val="ru-RU"/>
        </w:rPr>
        <w:t xml:space="preserve">цифровых </w:t>
      </w:r>
      <w:r w:rsidRPr="005D680E">
        <w:rPr>
          <w:lang w:val="ru-RU"/>
        </w:rPr>
        <w:t>навыков</w:t>
      </w:r>
      <w:r w:rsidR="00195D81" w:rsidRPr="005D680E">
        <w:rPr>
          <w:lang w:val="ru-RU"/>
        </w:rPr>
        <w:t xml:space="preserve"> для всеобщего доступа</w:t>
      </w:r>
      <w:r w:rsidRPr="005D680E">
        <w:rPr>
          <w:lang w:val="ru-RU"/>
        </w:rPr>
        <w:t xml:space="preserve"> требует гибко</w:t>
      </w:r>
      <w:r w:rsidR="003D1A95" w:rsidRPr="005D680E">
        <w:rPr>
          <w:lang w:val="ru-RU"/>
        </w:rPr>
        <w:t xml:space="preserve">сти </w:t>
      </w:r>
      <w:r w:rsidR="00F266CC" w:rsidRPr="005D680E">
        <w:rPr>
          <w:lang w:val="ru-RU"/>
        </w:rPr>
        <w:t>для</w:t>
      </w:r>
      <w:r w:rsidR="003D1A95" w:rsidRPr="005D680E">
        <w:rPr>
          <w:lang w:val="ru-RU"/>
        </w:rPr>
        <w:t xml:space="preserve"> </w:t>
      </w:r>
      <w:r w:rsidRPr="005D680E">
        <w:rPr>
          <w:lang w:val="ru-RU"/>
        </w:rPr>
        <w:t>удовлетворен</w:t>
      </w:r>
      <w:r w:rsidR="003D1A95" w:rsidRPr="005D680E">
        <w:rPr>
          <w:lang w:val="ru-RU"/>
        </w:rPr>
        <w:t>и</w:t>
      </w:r>
      <w:r w:rsidR="00F266CC" w:rsidRPr="005D680E">
        <w:rPr>
          <w:lang w:val="ru-RU"/>
        </w:rPr>
        <w:t>я</w:t>
      </w:r>
      <w:r w:rsidRPr="005D680E">
        <w:rPr>
          <w:lang w:val="ru-RU"/>
        </w:rPr>
        <w:t xml:space="preserve"> различных потребностей и условий каждой отдельной страны,</w:t>
      </w:r>
    </w:p>
    <w:p w14:paraId="7D8905B9" w14:textId="56D3AD5F" w:rsidR="000454C3" w:rsidRPr="005D680E" w:rsidRDefault="00BC53A7" w:rsidP="000454C3">
      <w:pPr>
        <w:pStyle w:val="Call"/>
        <w:rPr>
          <w:i w:val="0"/>
          <w:iCs/>
          <w:lang w:val="ru-RU"/>
        </w:rPr>
      </w:pPr>
      <w:r w:rsidRPr="005D680E">
        <w:rPr>
          <w:lang w:val="ru-RU"/>
        </w:rPr>
        <w:t>считает</w:t>
      </w:r>
      <w:r w:rsidR="00280FD7" w:rsidRPr="005D680E">
        <w:rPr>
          <w:i w:val="0"/>
          <w:iCs/>
          <w:lang w:val="ru-RU"/>
        </w:rPr>
        <w:t>,</w:t>
      </w:r>
    </w:p>
    <w:p w14:paraId="4C12B7EA" w14:textId="4A97AAC5" w:rsidR="00625DA8" w:rsidRPr="005D680E" w:rsidRDefault="00625DA8" w:rsidP="00625DA8">
      <w:pPr>
        <w:rPr>
          <w:lang w:val="ru-RU"/>
        </w:rPr>
      </w:pPr>
      <w:r w:rsidRPr="005D680E">
        <w:rPr>
          <w:lang w:val="ru-RU"/>
        </w:rPr>
        <w:t>1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что цифровые навыки в таких </w:t>
      </w:r>
      <w:r w:rsidR="00C22868" w:rsidRPr="005D680E">
        <w:rPr>
          <w:lang w:val="ru-RU"/>
        </w:rPr>
        <w:t>сферах</w:t>
      </w:r>
      <w:r w:rsidRPr="005D680E">
        <w:rPr>
          <w:lang w:val="ru-RU"/>
        </w:rPr>
        <w:t xml:space="preserve">, как </w:t>
      </w:r>
      <w:r w:rsidR="00443AF7" w:rsidRPr="005D680E">
        <w:rPr>
          <w:lang w:val="ru-RU"/>
        </w:rPr>
        <w:t>ИИ</w:t>
      </w:r>
      <w:r w:rsidRPr="005D680E">
        <w:rPr>
          <w:lang w:val="ru-RU"/>
        </w:rPr>
        <w:t xml:space="preserve">, IoT, 5G, </w:t>
      </w:r>
      <w:r w:rsidR="00443AF7" w:rsidRPr="005D680E">
        <w:rPr>
          <w:lang w:val="ru-RU"/>
        </w:rPr>
        <w:t xml:space="preserve">большие данные </w:t>
      </w:r>
      <w:r w:rsidRPr="005D680E">
        <w:rPr>
          <w:lang w:val="ru-RU"/>
        </w:rPr>
        <w:t>и OTT</w:t>
      </w:r>
      <w:r w:rsidR="00DE7477" w:rsidRPr="005D680E">
        <w:rPr>
          <w:lang w:val="ru-RU"/>
        </w:rPr>
        <w:t>,</w:t>
      </w:r>
      <w:r w:rsidRPr="005D680E">
        <w:rPr>
          <w:lang w:val="ru-RU"/>
        </w:rPr>
        <w:t xml:space="preserve"> могут помочь использовать новые и появляющиеся услуги и технологии 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 xml:space="preserve">ИКТ </w:t>
      </w:r>
      <w:r w:rsidR="002C7A10" w:rsidRPr="005D680E">
        <w:rPr>
          <w:lang w:val="ru-RU"/>
        </w:rPr>
        <w:t>в интересах устойчивого развития</w:t>
      </w:r>
      <w:r w:rsidRPr="005D680E">
        <w:rPr>
          <w:lang w:val="ru-RU"/>
        </w:rPr>
        <w:t>;</w:t>
      </w:r>
    </w:p>
    <w:p w14:paraId="774ABF68" w14:textId="5F9408CE" w:rsidR="000454C3" w:rsidRPr="005D680E" w:rsidRDefault="00625DA8" w:rsidP="00EB5D4C">
      <w:pPr>
        <w:rPr>
          <w:highlight w:val="lightGray"/>
          <w:lang w:val="ru-RU"/>
        </w:rPr>
      </w:pPr>
      <w:r w:rsidRPr="005D680E">
        <w:rPr>
          <w:lang w:val="ru-RU"/>
        </w:rPr>
        <w:t>2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что политика, способствующая цифровой грамотности, </w:t>
      </w:r>
      <w:r w:rsidR="006E3997" w:rsidRPr="005D680E">
        <w:rPr>
          <w:lang w:val="ru-RU"/>
        </w:rPr>
        <w:t>подготовке</w:t>
      </w:r>
      <w:r w:rsidRPr="005D680E">
        <w:rPr>
          <w:lang w:val="ru-RU"/>
        </w:rPr>
        <w:t xml:space="preserve"> и развитию навыков, может </w:t>
      </w:r>
      <w:r w:rsidR="000E2CB9" w:rsidRPr="005D680E">
        <w:rPr>
          <w:lang w:val="ru-RU"/>
        </w:rPr>
        <w:t xml:space="preserve">иметь решающее значение </w:t>
      </w:r>
      <w:r w:rsidR="00F266CC" w:rsidRPr="005D680E">
        <w:rPr>
          <w:lang w:val="ru-RU"/>
        </w:rPr>
        <w:t>для</w:t>
      </w:r>
      <w:r w:rsidR="000E2CB9" w:rsidRPr="005D680E">
        <w:rPr>
          <w:lang w:val="ru-RU"/>
        </w:rPr>
        <w:t xml:space="preserve"> </w:t>
      </w:r>
      <w:r w:rsidRPr="005D680E">
        <w:rPr>
          <w:lang w:val="ru-RU"/>
        </w:rPr>
        <w:t xml:space="preserve">мобилизации упомянутых </w:t>
      </w:r>
      <w:r w:rsidR="00DE7477" w:rsidRPr="005D680E">
        <w:rPr>
          <w:lang w:val="ru-RU"/>
        </w:rPr>
        <w:t xml:space="preserve">выше </w:t>
      </w:r>
      <w:r w:rsidRPr="005D680E">
        <w:rPr>
          <w:lang w:val="ru-RU"/>
        </w:rPr>
        <w:t xml:space="preserve">технологий </w:t>
      </w:r>
      <w:r w:rsidR="002C7A10" w:rsidRPr="005D680E">
        <w:rPr>
          <w:lang w:val="ru-RU"/>
        </w:rPr>
        <w:t>в интересах устойчивого развития</w:t>
      </w:r>
      <w:r w:rsidRPr="005D680E">
        <w:rPr>
          <w:lang w:val="ru-RU"/>
        </w:rPr>
        <w:t>;</w:t>
      </w:r>
    </w:p>
    <w:p w14:paraId="60444361" w14:textId="2414D510" w:rsidR="00625DA8" w:rsidRPr="005D680E" w:rsidRDefault="00625DA8" w:rsidP="00625DA8">
      <w:pPr>
        <w:rPr>
          <w:lang w:val="ru-RU"/>
        </w:rPr>
      </w:pPr>
      <w:r w:rsidRPr="005D680E">
        <w:rPr>
          <w:lang w:val="ru-RU"/>
        </w:rPr>
        <w:t>3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что образование и </w:t>
      </w:r>
      <w:r w:rsidR="006E3997" w:rsidRPr="005D680E">
        <w:rPr>
          <w:lang w:val="ru-RU"/>
        </w:rPr>
        <w:t>подготовка</w:t>
      </w:r>
      <w:r w:rsidRPr="005D680E">
        <w:rPr>
          <w:lang w:val="ru-RU"/>
        </w:rPr>
        <w:t xml:space="preserve"> в области цифровых навыков </w:t>
      </w:r>
      <w:r w:rsidR="009D09C8" w:rsidRPr="005D680E">
        <w:rPr>
          <w:lang w:val="ru-RU"/>
        </w:rPr>
        <w:t>крайне</w:t>
      </w:r>
      <w:r w:rsidRPr="005D680E">
        <w:rPr>
          <w:lang w:val="ru-RU"/>
        </w:rPr>
        <w:t xml:space="preserve"> важны для сокращения цифрового разрыва и содействия </w:t>
      </w:r>
      <w:r w:rsidR="00FD128E" w:rsidRPr="005D680E">
        <w:rPr>
          <w:lang w:val="ru-RU"/>
        </w:rPr>
        <w:t xml:space="preserve">обеспечению </w:t>
      </w:r>
      <w:r w:rsidRPr="005D680E">
        <w:rPr>
          <w:lang w:val="ru-RU"/>
        </w:rPr>
        <w:t>равны</w:t>
      </w:r>
      <w:r w:rsidR="00FD128E" w:rsidRPr="005D680E">
        <w:rPr>
          <w:lang w:val="ru-RU"/>
        </w:rPr>
        <w:t>х</w:t>
      </w:r>
      <w:r w:rsidRPr="005D680E">
        <w:rPr>
          <w:lang w:val="ru-RU"/>
        </w:rPr>
        <w:t xml:space="preserve"> возможност</w:t>
      </w:r>
      <w:r w:rsidR="00FD128E" w:rsidRPr="005D680E">
        <w:rPr>
          <w:lang w:val="ru-RU"/>
        </w:rPr>
        <w:t>ей в</w:t>
      </w:r>
      <w:r w:rsidRPr="005D680E">
        <w:rPr>
          <w:lang w:val="ru-RU"/>
        </w:rPr>
        <w:t xml:space="preserve"> страна</w:t>
      </w:r>
      <w:r w:rsidR="004C30FE" w:rsidRPr="005D680E">
        <w:rPr>
          <w:lang w:val="ru-RU"/>
        </w:rPr>
        <w:t>х</w:t>
      </w:r>
      <w:r w:rsidRPr="005D680E">
        <w:rPr>
          <w:lang w:val="ru-RU"/>
        </w:rPr>
        <w:t xml:space="preserve"> с разным уровн</w:t>
      </w:r>
      <w:r w:rsidR="007270C2" w:rsidRPr="005D680E">
        <w:rPr>
          <w:lang w:val="ru-RU"/>
        </w:rPr>
        <w:t>е</w:t>
      </w:r>
      <w:r w:rsidR="002D701B" w:rsidRPr="005D680E">
        <w:rPr>
          <w:lang w:val="ru-RU"/>
        </w:rPr>
        <w:t>м</w:t>
      </w:r>
      <w:r w:rsidRPr="005D680E">
        <w:rPr>
          <w:lang w:val="ru-RU"/>
        </w:rPr>
        <w:t xml:space="preserve"> экономического</w:t>
      </w:r>
      <w:r w:rsidR="006E3997" w:rsidRPr="005D680E">
        <w:rPr>
          <w:lang w:val="ru-RU"/>
        </w:rPr>
        <w:t xml:space="preserve"> развития</w:t>
      </w:r>
      <w:r w:rsidRPr="005D680E">
        <w:rPr>
          <w:lang w:val="ru-RU"/>
        </w:rPr>
        <w:t xml:space="preserve"> и </w:t>
      </w:r>
      <w:r w:rsidR="006E3997" w:rsidRPr="005D680E">
        <w:rPr>
          <w:lang w:val="ru-RU"/>
        </w:rPr>
        <w:t xml:space="preserve">развития </w:t>
      </w:r>
      <w:r w:rsidRPr="005D680E">
        <w:rPr>
          <w:lang w:val="ru-RU"/>
        </w:rPr>
        <w:t>технологи</w:t>
      </w:r>
      <w:r w:rsidR="006E3997" w:rsidRPr="005D680E">
        <w:rPr>
          <w:lang w:val="ru-RU"/>
        </w:rPr>
        <w:t>й</w:t>
      </w:r>
      <w:r w:rsidRPr="005D680E">
        <w:rPr>
          <w:lang w:val="ru-RU"/>
        </w:rPr>
        <w:t>;</w:t>
      </w:r>
    </w:p>
    <w:p w14:paraId="04EFA098" w14:textId="76BD56EA" w:rsidR="00D7373B" w:rsidRPr="005D680E" w:rsidRDefault="00625DA8" w:rsidP="00625DA8">
      <w:pPr>
        <w:rPr>
          <w:lang w:val="ru-RU"/>
        </w:rPr>
      </w:pPr>
      <w:r w:rsidRPr="005D680E">
        <w:rPr>
          <w:lang w:val="ru-RU"/>
        </w:rPr>
        <w:t>4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что образование и </w:t>
      </w:r>
      <w:r w:rsidR="006E3997" w:rsidRPr="005D680E">
        <w:rPr>
          <w:lang w:val="ru-RU"/>
        </w:rPr>
        <w:t xml:space="preserve">подготовка в области цифровых навыков </w:t>
      </w:r>
      <w:r w:rsidRPr="005D680E">
        <w:rPr>
          <w:lang w:val="ru-RU"/>
        </w:rPr>
        <w:t xml:space="preserve">также </w:t>
      </w:r>
      <w:r w:rsidR="009D09C8" w:rsidRPr="005D680E">
        <w:rPr>
          <w:lang w:val="ru-RU"/>
        </w:rPr>
        <w:t>крайне</w:t>
      </w:r>
      <w:r w:rsidRPr="005D680E">
        <w:rPr>
          <w:lang w:val="ru-RU"/>
        </w:rPr>
        <w:t xml:space="preserve"> важны </w:t>
      </w:r>
      <w:r w:rsidR="00485E99" w:rsidRPr="005D680E">
        <w:rPr>
          <w:lang w:val="ru-RU"/>
        </w:rPr>
        <w:t>с точки зрения</w:t>
      </w:r>
      <w:r w:rsidRPr="005D680E">
        <w:rPr>
          <w:lang w:val="ru-RU"/>
        </w:rPr>
        <w:t xml:space="preserve"> содействия</w:t>
      </w:r>
      <w:r w:rsidR="008F094C" w:rsidRPr="005D680E">
        <w:rPr>
          <w:lang w:val="ru-RU"/>
        </w:rPr>
        <w:t xml:space="preserve">, в том числе, </w:t>
      </w:r>
      <w:r w:rsidRPr="005D680E">
        <w:rPr>
          <w:lang w:val="ru-RU"/>
        </w:rPr>
        <w:t xml:space="preserve">расширению </w:t>
      </w:r>
      <w:r w:rsidR="00DD688A" w:rsidRPr="005D680E">
        <w:rPr>
          <w:lang w:val="ru-RU"/>
        </w:rPr>
        <w:t xml:space="preserve">прав и </w:t>
      </w:r>
      <w:r w:rsidRPr="005D680E">
        <w:rPr>
          <w:lang w:val="ru-RU"/>
        </w:rPr>
        <w:t>возможностей</w:t>
      </w:r>
      <w:r w:rsidR="00DD688A" w:rsidRPr="005D680E">
        <w:rPr>
          <w:lang w:val="ru-RU"/>
        </w:rPr>
        <w:t>, а также охват</w:t>
      </w:r>
      <w:r w:rsidR="00485E99" w:rsidRPr="005D680E">
        <w:rPr>
          <w:lang w:val="ru-RU"/>
        </w:rPr>
        <w:t>у</w:t>
      </w:r>
      <w:r w:rsidRPr="005D680E">
        <w:rPr>
          <w:lang w:val="ru-RU"/>
        </w:rPr>
        <w:t xml:space="preserve"> цифровы</w:t>
      </w:r>
      <w:r w:rsidR="00DD688A" w:rsidRPr="005D680E">
        <w:rPr>
          <w:lang w:val="ru-RU"/>
        </w:rPr>
        <w:t>ми</w:t>
      </w:r>
      <w:r w:rsidRPr="005D680E">
        <w:rPr>
          <w:lang w:val="ru-RU"/>
        </w:rPr>
        <w:t xml:space="preserve"> технологи</w:t>
      </w:r>
      <w:r w:rsidR="00DD688A" w:rsidRPr="005D680E">
        <w:rPr>
          <w:lang w:val="ru-RU"/>
        </w:rPr>
        <w:t>ями</w:t>
      </w:r>
      <w:r w:rsidRPr="005D680E">
        <w:rPr>
          <w:lang w:val="ru-RU"/>
        </w:rPr>
        <w:t xml:space="preserve">, особенно </w:t>
      </w:r>
      <w:r w:rsidR="00DE7477" w:rsidRPr="005D680E">
        <w:rPr>
          <w:lang w:val="ru-RU"/>
        </w:rPr>
        <w:t xml:space="preserve">для </w:t>
      </w:r>
      <w:r w:rsidRPr="005D680E">
        <w:rPr>
          <w:lang w:val="ru-RU"/>
        </w:rPr>
        <w:t xml:space="preserve">маргинализированных групп и лиц с особыми потребностями, включая женщин и </w:t>
      </w:r>
      <w:r w:rsidR="00DD688A" w:rsidRPr="005D680E">
        <w:rPr>
          <w:lang w:val="ru-RU"/>
        </w:rPr>
        <w:t>девушек</w:t>
      </w:r>
      <w:r w:rsidRPr="005D680E">
        <w:rPr>
          <w:lang w:val="ru-RU"/>
        </w:rPr>
        <w:t>, детей и молодежь, пожилых людей, лиц с ограниченными возможностями и корен</w:t>
      </w:r>
      <w:r w:rsidR="00F55067" w:rsidRPr="005D680E">
        <w:rPr>
          <w:lang w:val="ru-RU"/>
        </w:rPr>
        <w:t>н</w:t>
      </w:r>
      <w:r w:rsidR="00566091" w:rsidRPr="005D680E">
        <w:rPr>
          <w:lang w:val="ru-RU"/>
        </w:rPr>
        <w:t>о</w:t>
      </w:r>
      <w:r w:rsidR="004F171A" w:rsidRPr="005D680E">
        <w:rPr>
          <w:lang w:val="ru-RU"/>
        </w:rPr>
        <w:t>е</w:t>
      </w:r>
      <w:r w:rsidR="00566091" w:rsidRPr="005D680E">
        <w:rPr>
          <w:lang w:val="ru-RU"/>
        </w:rPr>
        <w:t xml:space="preserve"> населени</w:t>
      </w:r>
      <w:r w:rsidR="004F171A" w:rsidRPr="005D680E">
        <w:rPr>
          <w:lang w:val="ru-RU"/>
        </w:rPr>
        <w:t>е</w:t>
      </w:r>
      <w:r w:rsidR="00D7373B" w:rsidRPr="005D680E">
        <w:rPr>
          <w:lang w:val="ru-RU"/>
        </w:rPr>
        <w:t>;</w:t>
      </w:r>
    </w:p>
    <w:p w14:paraId="7A059FA8" w14:textId="5101F345" w:rsidR="00625DA8" w:rsidRPr="005D680E" w:rsidRDefault="00D7373B" w:rsidP="00625DA8">
      <w:pPr>
        <w:rPr>
          <w:highlight w:val="lightGray"/>
          <w:lang w:val="ru-RU"/>
        </w:rPr>
      </w:pPr>
      <w:r w:rsidRPr="005D680E">
        <w:rPr>
          <w:lang w:val="ru-RU"/>
        </w:rPr>
        <w:lastRenderedPageBreak/>
        <w:t>5</w:t>
      </w:r>
      <w:r w:rsidRPr="005D680E">
        <w:rPr>
          <w:lang w:val="ru-RU"/>
        </w:rPr>
        <w:tab/>
      </w:r>
      <w:r w:rsidR="008F094C" w:rsidRPr="005D680E">
        <w:rPr>
          <w:lang w:val="ru-RU"/>
        </w:rPr>
        <w:t xml:space="preserve">что </w:t>
      </w:r>
      <w:r w:rsidRPr="005D680E">
        <w:rPr>
          <w:rFonts w:eastAsia="Calibri"/>
          <w:lang w:val="ru-RU"/>
        </w:rPr>
        <w:t xml:space="preserve">цифровая грамотность </w:t>
      </w:r>
      <w:r w:rsidR="008F094C" w:rsidRPr="005D680E">
        <w:rPr>
          <w:rFonts w:eastAsia="Calibri"/>
          <w:lang w:val="ru-RU"/>
        </w:rPr>
        <w:t xml:space="preserve">и </w:t>
      </w:r>
      <w:r w:rsidR="00522604" w:rsidRPr="005D680E">
        <w:rPr>
          <w:rFonts w:eastAsia="Calibri"/>
          <w:lang w:val="ru-RU"/>
        </w:rPr>
        <w:t xml:space="preserve">цифровые </w:t>
      </w:r>
      <w:r w:rsidR="008F094C" w:rsidRPr="005D680E">
        <w:rPr>
          <w:rFonts w:eastAsia="Calibri"/>
          <w:lang w:val="ru-RU"/>
        </w:rPr>
        <w:t xml:space="preserve">навыки </w:t>
      </w:r>
      <w:r w:rsidRPr="005D680E">
        <w:rPr>
          <w:rFonts w:eastAsia="Calibri"/>
          <w:lang w:val="ru-RU"/>
        </w:rPr>
        <w:t>игра</w:t>
      </w:r>
      <w:r w:rsidR="008F094C" w:rsidRPr="005D680E">
        <w:rPr>
          <w:rFonts w:eastAsia="Calibri"/>
          <w:lang w:val="ru-RU"/>
        </w:rPr>
        <w:t>ю</w:t>
      </w:r>
      <w:r w:rsidRPr="005D680E">
        <w:rPr>
          <w:rFonts w:eastAsia="Calibri"/>
          <w:lang w:val="ru-RU"/>
        </w:rPr>
        <w:t xml:space="preserve">т решающую роль в защите и расширении прав и возможностей </w:t>
      </w:r>
      <w:r w:rsidR="00522604" w:rsidRPr="005D680E">
        <w:rPr>
          <w:rFonts w:eastAsia="Calibri"/>
          <w:lang w:val="ru-RU"/>
        </w:rPr>
        <w:t>пользователей/</w:t>
      </w:r>
      <w:r w:rsidRPr="005D680E">
        <w:rPr>
          <w:rFonts w:eastAsia="Calibri"/>
          <w:lang w:val="ru-RU"/>
        </w:rPr>
        <w:t xml:space="preserve">потребителей в онлайновой среде, так чтобы они могли безопасно использовать преимущества </w:t>
      </w:r>
      <w:r w:rsidR="008F094C" w:rsidRPr="005D680E">
        <w:rPr>
          <w:rFonts w:eastAsia="Calibri"/>
          <w:lang w:val="ru-RU"/>
        </w:rPr>
        <w:t xml:space="preserve">новых и </w:t>
      </w:r>
      <w:r w:rsidRPr="005D680E">
        <w:rPr>
          <w:rFonts w:eastAsia="Calibri"/>
          <w:lang w:val="ru-RU"/>
        </w:rPr>
        <w:t xml:space="preserve">появляющихся </w:t>
      </w:r>
      <w:r w:rsidR="008F094C" w:rsidRPr="005D680E">
        <w:rPr>
          <w:rFonts w:eastAsia="Calibri"/>
          <w:lang w:val="ru-RU"/>
        </w:rPr>
        <w:t xml:space="preserve">услуг и </w:t>
      </w:r>
      <w:r w:rsidRPr="005D680E">
        <w:rPr>
          <w:rFonts w:eastAsia="Calibri"/>
          <w:lang w:val="ru-RU"/>
        </w:rPr>
        <w:t>технологий</w:t>
      </w:r>
      <w:r w:rsidR="008F094C" w:rsidRPr="005D680E">
        <w:rPr>
          <w:rFonts w:eastAsia="Calibri"/>
          <w:lang w:val="ru-RU"/>
        </w:rPr>
        <w:t xml:space="preserve"> электросвязи/ИКТ</w:t>
      </w:r>
      <w:r w:rsidR="00DD688A" w:rsidRPr="005D680E">
        <w:rPr>
          <w:lang w:val="ru-RU"/>
        </w:rPr>
        <w:t>,</w:t>
      </w:r>
    </w:p>
    <w:p w14:paraId="21C95AA4" w14:textId="77777777" w:rsidR="00085B3D" w:rsidRPr="005D680E" w:rsidRDefault="00085B3D" w:rsidP="00085B3D">
      <w:pPr>
        <w:pStyle w:val="Call"/>
        <w:rPr>
          <w:rFonts w:ascii="Calibri" w:eastAsia="Times New Roman" w:hAnsi="Calibri" w:cs="Times New Roman"/>
          <w:szCs w:val="20"/>
          <w:lang w:val="ru-RU"/>
        </w:rPr>
      </w:pPr>
      <w:r w:rsidRPr="005D680E">
        <w:rPr>
          <w:lang w:val="ru-RU"/>
        </w:rPr>
        <w:t>предлагает Государствам-Членам</w:t>
      </w:r>
    </w:p>
    <w:p w14:paraId="660F9017" w14:textId="01D4C2BE" w:rsidR="00625DA8" w:rsidRPr="005D680E" w:rsidRDefault="00625DA8" w:rsidP="00625DA8">
      <w:pPr>
        <w:rPr>
          <w:lang w:val="ru-RU"/>
        </w:rPr>
      </w:pPr>
      <w:r w:rsidRPr="005D680E">
        <w:rPr>
          <w:lang w:val="ru-RU"/>
        </w:rPr>
        <w:t>1</w:t>
      </w:r>
      <w:r w:rsidR="00015652" w:rsidRPr="005D680E">
        <w:rPr>
          <w:lang w:val="ru-RU"/>
        </w:rPr>
        <w:tab/>
      </w:r>
      <w:r w:rsidR="00DD688A" w:rsidRPr="005D680E">
        <w:rPr>
          <w:lang w:val="ru-RU"/>
        </w:rPr>
        <w:t xml:space="preserve">осуществлять </w:t>
      </w:r>
      <w:r w:rsidRPr="005D680E">
        <w:rPr>
          <w:lang w:val="ru-RU"/>
        </w:rPr>
        <w:t xml:space="preserve">сбор и </w:t>
      </w:r>
      <w:r w:rsidR="00DD688A" w:rsidRPr="005D680E">
        <w:rPr>
          <w:lang w:val="ru-RU"/>
        </w:rPr>
        <w:t xml:space="preserve">совместное использование </w:t>
      </w:r>
      <w:r w:rsidRPr="005D680E">
        <w:rPr>
          <w:lang w:val="ru-RU"/>
        </w:rPr>
        <w:t>данны</w:t>
      </w:r>
      <w:r w:rsidR="00DD688A" w:rsidRPr="005D680E">
        <w:rPr>
          <w:lang w:val="ru-RU"/>
        </w:rPr>
        <w:t>х</w:t>
      </w:r>
      <w:r w:rsidRPr="005D680E">
        <w:rPr>
          <w:lang w:val="ru-RU"/>
        </w:rPr>
        <w:t xml:space="preserve"> о цифровой грамотности и навыках, необходимых для доступа к новым и появляющимся услугам и технологиям 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>ИКТ</w:t>
      </w:r>
      <w:r w:rsidR="00323C39" w:rsidRPr="005D680E">
        <w:rPr>
          <w:lang w:val="ru-RU"/>
        </w:rPr>
        <w:t>,</w:t>
      </w:r>
      <w:r w:rsidRPr="005D680E">
        <w:rPr>
          <w:lang w:val="ru-RU"/>
        </w:rPr>
        <w:t xml:space="preserve"> </w:t>
      </w:r>
      <w:r w:rsidR="00323C39" w:rsidRPr="005D680E">
        <w:rPr>
          <w:lang w:val="ru-RU"/>
        </w:rPr>
        <w:t>для содействия устойчивому развитию</w:t>
      </w:r>
      <w:r w:rsidRPr="005D680E">
        <w:rPr>
          <w:lang w:val="ru-RU"/>
        </w:rPr>
        <w:t>;</w:t>
      </w:r>
    </w:p>
    <w:p w14:paraId="1B0CAD47" w14:textId="42AD3C71" w:rsidR="000454C3" w:rsidRPr="005D680E" w:rsidRDefault="00625DA8" w:rsidP="000C5B67">
      <w:pPr>
        <w:rPr>
          <w:highlight w:val="lightGray"/>
          <w:lang w:val="ru-RU"/>
        </w:rPr>
      </w:pPr>
      <w:r w:rsidRPr="005D680E">
        <w:rPr>
          <w:lang w:val="ru-RU"/>
        </w:rPr>
        <w:t>2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>выявить пробелы в программах обучения цифровым навыкам в</w:t>
      </w:r>
      <w:r w:rsidR="00323C39" w:rsidRPr="005D680E">
        <w:rPr>
          <w:lang w:val="ru-RU"/>
        </w:rPr>
        <w:t xml:space="preserve"> сфере</w:t>
      </w:r>
      <w:r w:rsidRPr="005D680E">
        <w:rPr>
          <w:lang w:val="ru-RU"/>
        </w:rPr>
        <w:t xml:space="preserve"> образовани</w:t>
      </w:r>
      <w:r w:rsidR="00323C39" w:rsidRPr="005D680E">
        <w:rPr>
          <w:lang w:val="ru-RU"/>
        </w:rPr>
        <w:t>я</w:t>
      </w:r>
      <w:r w:rsidR="001C7B24" w:rsidRPr="005D680E">
        <w:rPr>
          <w:lang w:val="ru-RU"/>
        </w:rPr>
        <w:t xml:space="preserve"> и </w:t>
      </w:r>
      <w:r w:rsidRPr="005D680E">
        <w:rPr>
          <w:lang w:val="ru-RU"/>
        </w:rPr>
        <w:t>ученичеств</w:t>
      </w:r>
      <w:r w:rsidR="00894856" w:rsidRPr="005D680E">
        <w:rPr>
          <w:lang w:val="ru-RU"/>
        </w:rPr>
        <w:t>а</w:t>
      </w:r>
      <w:r w:rsidR="001C7B24" w:rsidRPr="005D680E">
        <w:rPr>
          <w:lang w:val="ru-RU"/>
        </w:rPr>
        <w:t>, а также</w:t>
      </w:r>
      <w:r w:rsidR="00C83848" w:rsidRPr="005D680E">
        <w:rPr>
          <w:lang w:val="ru-RU"/>
        </w:rPr>
        <w:t xml:space="preserve"> в</w:t>
      </w:r>
      <w:r w:rsidRPr="005D680E">
        <w:rPr>
          <w:lang w:val="ru-RU"/>
        </w:rPr>
        <w:t xml:space="preserve"> других программ</w:t>
      </w:r>
      <w:r w:rsidR="001C7B24" w:rsidRPr="005D680E">
        <w:rPr>
          <w:lang w:val="ru-RU"/>
        </w:rPr>
        <w:t>ах</w:t>
      </w:r>
      <w:r w:rsidRPr="005D680E">
        <w:rPr>
          <w:lang w:val="ru-RU"/>
        </w:rPr>
        <w:t xml:space="preserve"> развития профессиональных навыков </w:t>
      </w:r>
      <w:r w:rsidR="00B32B4B" w:rsidRPr="005D680E">
        <w:rPr>
          <w:lang w:val="ru-RU"/>
        </w:rPr>
        <w:t xml:space="preserve">для </w:t>
      </w:r>
      <w:r w:rsidRPr="005D680E">
        <w:rPr>
          <w:lang w:val="ru-RU"/>
        </w:rPr>
        <w:t>молодежи и взрослых;</w:t>
      </w:r>
    </w:p>
    <w:p w14:paraId="1BA301AA" w14:textId="6442E0D2" w:rsidR="00625DA8" w:rsidRPr="005D680E" w:rsidRDefault="00625DA8" w:rsidP="000454C3">
      <w:pPr>
        <w:rPr>
          <w:lang w:val="ru-RU"/>
        </w:rPr>
      </w:pPr>
      <w:r w:rsidRPr="005D680E">
        <w:rPr>
          <w:lang w:val="ru-RU"/>
        </w:rPr>
        <w:t>3</w:t>
      </w:r>
      <w:r w:rsidR="00015652" w:rsidRPr="005D680E">
        <w:rPr>
          <w:lang w:val="ru-RU"/>
        </w:rPr>
        <w:tab/>
      </w:r>
      <w:r w:rsidR="00B32B4B" w:rsidRPr="005D680E">
        <w:rPr>
          <w:lang w:val="ru-RU"/>
        </w:rPr>
        <w:t>выяв</w:t>
      </w:r>
      <w:r w:rsidR="001D5CC3" w:rsidRPr="005D680E">
        <w:rPr>
          <w:lang w:val="ru-RU"/>
        </w:rPr>
        <w:t>и</w:t>
      </w:r>
      <w:r w:rsidR="00B32B4B" w:rsidRPr="005D680E">
        <w:rPr>
          <w:lang w:val="ru-RU"/>
        </w:rPr>
        <w:t>ть</w:t>
      </w:r>
      <w:r w:rsidRPr="005D680E">
        <w:rPr>
          <w:lang w:val="ru-RU"/>
        </w:rPr>
        <w:t xml:space="preserve"> препятствия на пути устранения пробелов </w:t>
      </w:r>
      <w:r w:rsidR="001D5CC3" w:rsidRPr="005D680E">
        <w:rPr>
          <w:lang w:val="ru-RU"/>
        </w:rPr>
        <w:t xml:space="preserve">в программах </w:t>
      </w:r>
      <w:r w:rsidRPr="005D680E">
        <w:rPr>
          <w:lang w:val="ru-RU"/>
        </w:rPr>
        <w:t xml:space="preserve">цифровой грамотности и </w:t>
      </w:r>
      <w:r w:rsidR="00726242" w:rsidRPr="005D680E">
        <w:rPr>
          <w:lang w:val="ru-RU"/>
        </w:rPr>
        <w:t xml:space="preserve">обучения цифровым </w:t>
      </w:r>
      <w:r w:rsidRPr="005D680E">
        <w:rPr>
          <w:lang w:val="ru-RU"/>
        </w:rPr>
        <w:t>навыка</w:t>
      </w:r>
      <w:r w:rsidR="00072215" w:rsidRPr="005D680E">
        <w:rPr>
          <w:lang w:val="ru-RU"/>
        </w:rPr>
        <w:t>м, а также</w:t>
      </w:r>
      <w:r w:rsidRPr="005D680E">
        <w:rPr>
          <w:lang w:val="ru-RU"/>
        </w:rPr>
        <w:t xml:space="preserve"> </w:t>
      </w:r>
      <w:r w:rsidR="00F53342" w:rsidRPr="005D680E">
        <w:rPr>
          <w:lang w:val="ru-RU"/>
        </w:rPr>
        <w:t>содействовать проведению</w:t>
      </w:r>
      <w:r w:rsidRPr="005D680E">
        <w:rPr>
          <w:lang w:val="ru-RU"/>
        </w:rPr>
        <w:t xml:space="preserve"> политик</w:t>
      </w:r>
      <w:r w:rsidR="00E45579" w:rsidRPr="005D680E">
        <w:rPr>
          <w:lang w:val="ru-RU"/>
        </w:rPr>
        <w:t>и</w:t>
      </w:r>
      <w:r w:rsidRPr="005D680E">
        <w:rPr>
          <w:lang w:val="ru-RU"/>
        </w:rPr>
        <w:t>, направленн</w:t>
      </w:r>
      <w:r w:rsidR="00E45579" w:rsidRPr="005D680E">
        <w:rPr>
          <w:lang w:val="ru-RU"/>
        </w:rPr>
        <w:t>ой</w:t>
      </w:r>
      <w:r w:rsidRPr="005D680E">
        <w:rPr>
          <w:lang w:val="ru-RU"/>
        </w:rPr>
        <w:t xml:space="preserve"> на расширение возможностей и </w:t>
      </w:r>
      <w:r w:rsidR="00E45579" w:rsidRPr="005D680E">
        <w:rPr>
          <w:lang w:val="ru-RU"/>
        </w:rPr>
        <w:t>создание</w:t>
      </w:r>
      <w:r w:rsidRPr="005D680E">
        <w:rPr>
          <w:lang w:val="ru-RU"/>
        </w:rPr>
        <w:t xml:space="preserve"> потенциала для использования упомянутых</w:t>
      </w:r>
      <w:r w:rsidR="002058BE" w:rsidRPr="005D680E">
        <w:rPr>
          <w:lang w:val="ru-RU"/>
        </w:rPr>
        <w:t xml:space="preserve"> выше</w:t>
      </w:r>
      <w:r w:rsidRPr="005D680E">
        <w:rPr>
          <w:lang w:val="ru-RU"/>
        </w:rPr>
        <w:t xml:space="preserve"> технологий </w:t>
      </w:r>
      <w:r w:rsidR="00E45579" w:rsidRPr="005D680E">
        <w:rPr>
          <w:lang w:val="ru-RU"/>
        </w:rPr>
        <w:t>в сфере</w:t>
      </w:r>
      <w:r w:rsidRPr="005D680E">
        <w:rPr>
          <w:lang w:val="ru-RU"/>
        </w:rPr>
        <w:t xml:space="preserve"> образования, </w:t>
      </w:r>
      <w:r w:rsidR="006E3997" w:rsidRPr="005D680E">
        <w:rPr>
          <w:lang w:val="ru-RU"/>
        </w:rPr>
        <w:t xml:space="preserve">подготовки </w:t>
      </w:r>
      <w:r w:rsidRPr="005D680E">
        <w:rPr>
          <w:lang w:val="ru-RU"/>
        </w:rPr>
        <w:t>и развития навыков для всех,</w:t>
      </w:r>
    </w:p>
    <w:p w14:paraId="19C8E375" w14:textId="49036A79" w:rsidR="000454C3" w:rsidRPr="005D680E" w:rsidRDefault="00BC53A7" w:rsidP="000454C3">
      <w:pPr>
        <w:pStyle w:val="Call"/>
        <w:rPr>
          <w:lang w:val="ru-RU"/>
        </w:rPr>
      </w:pPr>
      <w:r w:rsidRPr="005D680E">
        <w:rPr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</w:p>
    <w:p w14:paraId="57134D85" w14:textId="3997D3CB" w:rsidR="00625DA8" w:rsidRPr="005D680E" w:rsidRDefault="00625DA8" w:rsidP="00625DA8">
      <w:pPr>
        <w:rPr>
          <w:lang w:val="ru-RU"/>
        </w:rPr>
      </w:pPr>
      <w:r w:rsidRPr="005D680E">
        <w:rPr>
          <w:lang w:val="ru-RU"/>
        </w:rPr>
        <w:t>1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изучить пути и средства для более тесного сотрудничества и координации между правительствами, частным сектором, международными и межправительственными организациями, гражданским обществом, техническим сообществом и </w:t>
      </w:r>
      <w:r w:rsidR="007464E1" w:rsidRPr="005D680E">
        <w:rPr>
          <w:lang w:val="ru-RU"/>
        </w:rPr>
        <w:t>академическими организациями</w:t>
      </w:r>
      <w:r w:rsidRPr="005D680E">
        <w:rPr>
          <w:lang w:val="ru-RU"/>
        </w:rPr>
        <w:t xml:space="preserve"> для </w:t>
      </w:r>
      <w:r w:rsidR="002D33B1" w:rsidRPr="005D680E">
        <w:rPr>
          <w:lang w:val="ru-RU"/>
        </w:rPr>
        <w:t xml:space="preserve">формирования </w:t>
      </w:r>
      <w:r w:rsidRPr="005D680E">
        <w:rPr>
          <w:lang w:val="ru-RU"/>
        </w:rPr>
        <w:t>цифровых навыков, особенно в развивающихся странах;</w:t>
      </w:r>
    </w:p>
    <w:p w14:paraId="1A91DCF5" w14:textId="04361E64" w:rsidR="00625DA8" w:rsidRPr="005D680E" w:rsidRDefault="00625DA8" w:rsidP="00625DA8">
      <w:pPr>
        <w:rPr>
          <w:lang w:val="ru-RU"/>
        </w:rPr>
      </w:pPr>
      <w:r w:rsidRPr="005D680E">
        <w:rPr>
          <w:lang w:val="ru-RU"/>
        </w:rPr>
        <w:t>2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>интегрировать цифровую грамотность и развитие навыков</w:t>
      </w:r>
      <w:r w:rsidR="00644959" w:rsidRPr="005D680E">
        <w:rPr>
          <w:lang w:val="ru-RU"/>
        </w:rPr>
        <w:t xml:space="preserve"> в сфере</w:t>
      </w:r>
      <w:r w:rsidRPr="005D680E">
        <w:rPr>
          <w:lang w:val="ru-RU"/>
        </w:rPr>
        <w:t xml:space="preserve"> ИКТ</w:t>
      </w:r>
      <w:r w:rsidR="00EA70CD" w:rsidRPr="005D680E">
        <w:rPr>
          <w:lang w:val="ru-RU"/>
        </w:rPr>
        <w:t>, а также</w:t>
      </w:r>
      <w:r w:rsidRPr="005D680E">
        <w:rPr>
          <w:lang w:val="ru-RU"/>
        </w:rPr>
        <w:t xml:space="preserve"> </w:t>
      </w:r>
      <w:r w:rsidR="00E45579" w:rsidRPr="005D680E">
        <w:rPr>
          <w:lang w:val="ru-RU"/>
        </w:rPr>
        <w:t xml:space="preserve">в сфере точных наук, техники, инженерного дела и математики (STEM) </w:t>
      </w:r>
      <w:r w:rsidRPr="005D680E">
        <w:rPr>
          <w:lang w:val="ru-RU"/>
        </w:rPr>
        <w:t>в общий подход к образованию и развитию людских ресурсов для всех;</w:t>
      </w:r>
    </w:p>
    <w:p w14:paraId="4042160E" w14:textId="7595A67F" w:rsidR="000454C3" w:rsidRPr="005D680E" w:rsidRDefault="00625DA8" w:rsidP="00F942FC">
      <w:pPr>
        <w:rPr>
          <w:highlight w:val="lightGray"/>
          <w:lang w:val="ru-RU"/>
        </w:rPr>
      </w:pPr>
      <w:r w:rsidRPr="005D680E">
        <w:rPr>
          <w:lang w:val="ru-RU"/>
        </w:rPr>
        <w:t>3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>способствовать доступу к возможностям электронного обучения, особенно в сельских и отдаленных районах;</w:t>
      </w:r>
    </w:p>
    <w:p w14:paraId="60BC33D3" w14:textId="78BFF7C3" w:rsidR="00625DA8" w:rsidRPr="005D680E" w:rsidRDefault="00625DA8" w:rsidP="00625DA8">
      <w:pPr>
        <w:rPr>
          <w:lang w:val="ru-RU"/>
        </w:rPr>
      </w:pPr>
      <w:r w:rsidRPr="005D680E">
        <w:rPr>
          <w:lang w:val="ru-RU"/>
        </w:rPr>
        <w:t>4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>поощрять инвестиции в качеств</w:t>
      </w:r>
      <w:r w:rsidR="00B01402" w:rsidRPr="005D680E">
        <w:rPr>
          <w:lang w:val="ru-RU"/>
        </w:rPr>
        <w:t xml:space="preserve">о </w:t>
      </w:r>
      <w:r w:rsidRPr="005D680E">
        <w:rPr>
          <w:lang w:val="ru-RU"/>
        </w:rPr>
        <w:t xml:space="preserve">преподавания, образования и </w:t>
      </w:r>
      <w:r w:rsidR="006E3997" w:rsidRPr="005D680E">
        <w:rPr>
          <w:lang w:val="ru-RU"/>
        </w:rPr>
        <w:t>подготовки в области</w:t>
      </w:r>
      <w:r w:rsidRPr="005D680E">
        <w:rPr>
          <w:lang w:val="ru-RU"/>
        </w:rPr>
        <w:t xml:space="preserve"> цифровы</w:t>
      </w:r>
      <w:r w:rsidR="006E3997" w:rsidRPr="005D680E">
        <w:rPr>
          <w:lang w:val="ru-RU"/>
        </w:rPr>
        <w:t>х</w:t>
      </w:r>
      <w:r w:rsidRPr="005D680E">
        <w:rPr>
          <w:lang w:val="ru-RU"/>
        </w:rPr>
        <w:t xml:space="preserve"> навык</w:t>
      </w:r>
      <w:r w:rsidR="006E3997" w:rsidRPr="005D680E">
        <w:rPr>
          <w:lang w:val="ru-RU"/>
        </w:rPr>
        <w:t>ов</w:t>
      </w:r>
      <w:r w:rsidRPr="005D680E">
        <w:rPr>
          <w:lang w:val="ru-RU"/>
        </w:rPr>
        <w:t xml:space="preserve">, в том числе </w:t>
      </w:r>
      <w:r w:rsidR="009D35A2" w:rsidRPr="005D680E">
        <w:rPr>
          <w:lang w:val="ru-RU"/>
        </w:rPr>
        <w:t>в</w:t>
      </w:r>
      <w:r w:rsidR="00CB5C8F" w:rsidRPr="005D680E">
        <w:rPr>
          <w:lang w:val="ru-RU"/>
        </w:rPr>
        <w:t xml:space="preserve"> таки</w:t>
      </w:r>
      <w:r w:rsidR="009D35A2" w:rsidRPr="005D680E">
        <w:rPr>
          <w:lang w:val="ru-RU"/>
        </w:rPr>
        <w:t>х</w:t>
      </w:r>
      <w:r w:rsidR="00CB5C8F" w:rsidRPr="005D680E">
        <w:rPr>
          <w:lang w:val="ru-RU"/>
        </w:rPr>
        <w:t xml:space="preserve"> сфера</w:t>
      </w:r>
      <w:r w:rsidR="009D35A2" w:rsidRPr="005D680E">
        <w:rPr>
          <w:lang w:val="ru-RU"/>
        </w:rPr>
        <w:t>х</w:t>
      </w:r>
      <w:r w:rsidRPr="005D680E">
        <w:rPr>
          <w:lang w:val="ru-RU"/>
        </w:rPr>
        <w:t xml:space="preserve">, как </w:t>
      </w:r>
      <w:r w:rsidR="00015652" w:rsidRPr="005D680E">
        <w:rPr>
          <w:lang w:val="ru-RU"/>
        </w:rPr>
        <w:t>ИИ</w:t>
      </w:r>
      <w:r w:rsidRPr="005D680E">
        <w:rPr>
          <w:lang w:val="ru-RU"/>
        </w:rPr>
        <w:t xml:space="preserve">, IoT, 5G, </w:t>
      </w:r>
      <w:r w:rsidR="00015652" w:rsidRPr="005D680E">
        <w:rPr>
          <w:lang w:val="ru-RU"/>
        </w:rPr>
        <w:t>большие данные</w:t>
      </w:r>
      <w:r w:rsidRPr="005D680E">
        <w:rPr>
          <w:lang w:val="ru-RU"/>
        </w:rPr>
        <w:t xml:space="preserve"> и OTT, </w:t>
      </w:r>
      <w:r w:rsidR="00962AF2" w:rsidRPr="005D680E">
        <w:rPr>
          <w:lang w:val="ru-RU"/>
        </w:rPr>
        <w:t>при уделении особого внимания</w:t>
      </w:r>
      <w:r w:rsidRPr="005D680E">
        <w:rPr>
          <w:lang w:val="ru-RU"/>
        </w:rPr>
        <w:t xml:space="preserve"> маргинализированны</w:t>
      </w:r>
      <w:r w:rsidR="00962AF2" w:rsidRPr="005D680E">
        <w:rPr>
          <w:lang w:val="ru-RU"/>
        </w:rPr>
        <w:t>м</w:t>
      </w:r>
      <w:r w:rsidRPr="005D680E">
        <w:rPr>
          <w:lang w:val="ru-RU"/>
        </w:rPr>
        <w:t xml:space="preserve"> групп</w:t>
      </w:r>
      <w:r w:rsidR="00962AF2" w:rsidRPr="005D680E">
        <w:rPr>
          <w:lang w:val="ru-RU"/>
        </w:rPr>
        <w:t>ам</w:t>
      </w:r>
      <w:r w:rsidRPr="005D680E">
        <w:rPr>
          <w:lang w:val="ru-RU"/>
        </w:rPr>
        <w:t xml:space="preserve"> и лиц</w:t>
      </w:r>
      <w:r w:rsidR="00962AF2" w:rsidRPr="005D680E">
        <w:rPr>
          <w:lang w:val="ru-RU"/>
        </w:rPr>
        <w:t>ам</w:t>
      </w:r>
      <w:r w:rsidRPr="005D680E">
        <w:rPr>
          <w:lang w:val="ru-RU"/>
        </w:rPr>
        <w:t xml:space="preserve"> с особыми потребностями, включая женщин и </w:t>
      </w:r>
      <w:r w:rsidR="00962AF2" w:rsidRPr="005D680E">
        <w:rPr>
          <w:lang w:val="ru-RU"/>
        </w:rPr>
        <w:t>девушек</w:t>
      </w:r>
      <w:r w:rsidRPr="005D680E">
        <w:rPr>
          <w:lang w:val="ru-RU"/>
        </w:rPr>
        <w:t>, детей и молодежь, пожилы</w:t>
      </w:r>
      <w:r w:rsidR="00962AF2" w:rsidRPr="005D680E">
        <w:rPr>
          <w:lang w:val="ru-RU"/>
        </w:rPr>
        <w:t>х</w:t>
      </w:r>
      <w:r w:rsidRPr="005D680E">
        <w:rPr>
          <w:lang w:val="ru-RU"/>
        </w:rPr>
        <w:t xml:space="preserve"> люд</w:t>
      </w:r>
      <w:r w:rsidR="00962AF2" w:rsidRPr="005D680E">
        <w:rPr>
          <w:lang w:val="ru-RU"/>
        </w:rPr>
        <w:t>ей</w:t>
      </w:r>
      <w:r w:rsidRPr="005D680E">
        <w:rPr>
          <w:lang w:val="ru-RU"/>
        </w:rPr>
        <w:t xml:space="preserve">, </w:t>
      </w:r>
      <w:r w:rsidR="00962AF2" w:rsidRPr="005D680E">
        <w:rPr>
          <w:lang w:val="ru-RU"/>
        </w:rPr>
        <w:t>лиц</w:t>
      </w:r>
      <w:r w:rsidR="00832EC4" w:rsidRPr="005D680E">
        <w:rPr>
          <w:lang w:val="ru-RU"/>
        </w:rPr>
        <w:t xml:space="preserve"> </w:t>
      </w:r>
      <w:r w:rsidRPr="005D680E">
        <w:rPr>
          <w:lang w:val="ru-RU"/>
        </w:rPr>
        <w:t xml:space="preserve">с ограниченными возможностями и </w:t>
      </w:r>
      <w:r w:rsidR="00BA57CA" w:rsidRPr="005D680E">
        <w:rPr>
          <w:lang w:val="ru-RU"/>
        </w:rPr>
        <w:t>коренно</w:t>
      </w:r>
      <w:r w:rsidR="00C14325" w:rsidRPr="005D680E">
        <w:rPr>
          <w:lang w:val="ru-RU"/>
        </w:rPr>
        <w:t>е</w:t>
      </w:r>
      <w:r w:rsidR="00BA57CA" w:rsidRPr="005D680E">
        <w:rPr>
          <w:lang w:val="ru-RU"/>
        </w:rPr>
        <w:t xml:space="preserve"> населени</w:t>
      </w:r>
      <w:r w:rsidR="00C14325" w:rsidRPr="005D680E">
        <w:rPr>
          <w:lang w:val="ru-RU"/>
        </w:rPr>
        <w:t>е</w:t>
      </w:r>
      <w:r w:rsidR="00D42280" w:rsidRPr="005D680E">
        <w:rPr>
          <w:lang w:val="ru-RU"/>
        </w:rPr>
        <w:t>,</w:t>
      </w:r>
      <w:r w:rsidR="00BA57CA" w:rsidRPr="005D680E">
        <w:rPr>
          <w:lang w:val="ru-RU"/>
        </w:rPr>
        <w:t xml:space="preserve"> </w:t>
      </w:r>
      <w:r w:rsidRPr="005D680E">
        <w:rPr>
          <w:lang w:val="ru-RU"/>
        </w:rPr>
        <w:t>в целях развития навыков использования новых и появляющихся услуг и технологий 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 xml:space="preserve">ИКТ </w:t>
      </w:r>
      <w:r w:rsidR="002C7A10" w:rsidRPr="005D680E">
        <w:rPr>
          <w:lang w:val="ru-RU"/>
        </w:rPr>
        <w:t>в интересах устойчивого развития</w:t>
      </w:r>
      <w:r w:rsidRPr="005D680E">
        <w:rPr>
          <w:lang w:val="ru-RU"/>
        </w:rPr>
        <w:t>;</w:t>
      </w:r>
    </w:p>
    <w:p w14:paraId="05747989" w14:textId="77777777" w:rsidR="00817092" w:rsidRPr="005D680E" w:rsidRDefault="00625DA8" w:rsidP="00625DA8">
      <w:pPr>
        <w:rPr>
          <w:lang w:val="ru-RU"/>
        </w:rPr>
      </w:pPr>
      <w:r w:rsidRPr="005D680E">
        <w:rPr>
          <w:lang w:val="ru-RU"/>
        </w:rPr>
        <w:t>5</w:t>
      </w:r>
      <w:r w:rsidR="00015652" w:rsidRPr="005D680E">
        <w:rPr>
          <w:lang w:val="ru-RU"/>
        </w:rPr>
        <w:tab/>
      </w:r>
      <w:r w:rsidRPr="005D680E">
        <w:rPr>
          <w:lang w:val="ru-RU"/>
        </w:rPr>
        <w:t xml:space="preserve">делиться передовым опытом в </w:t>
      </w:r>
      <w:r w:rsidR="00771816" w:rsidRPr="005D680E">
        <w:rPr>
          <w:lang w:val="ru-RU"/>
        </w:rPr>
        <w:t>отношении</w:t>
      </w:r>
      <w:r w:rsidRPr="005D680E">
        <w:rPr>
          <w:lang w:val="ru-RU"/>
        </w:rPr>
        <w:t xml:space="preserve"> программ </w:t>
      </w:r>
      <w:r w:rsidR="00771816" w:rsidRPr="005D680E">
        <w:rPr>
          <w:lang w:val="ru-RU"/>
        </w:rPr>
        <w:t xml:space="preserve">цифровой грамотности, </w:t>
      </w:r>
      <w:r w:rsidRPr="005D680E">
        <w:rPr>
          <w:lang w:val="ru-RU"/>
        </w:rPr>
        <w:t>обучения и</w:t>
      </w:r>
      <w:r w:rsidR="00EE1411" w:rsidRPr="005D680E">
        <w:rPr>
          <w:lang w:val="ru-RU"/>
        </w:rPr>
        <w:t xml:space="preserve"> подготовки в сфере</w:t>
      </w:r>
      <w:r w:rsidRPr="005D680E">
        <w:rPr>
          <w:lang w:val="ru-RU"/>
        </w:rPr>
        <w:t xml:space="preserve"> цифровы</w:t>
      </w:r>
      <w:r w:rsidR="00EE1411" w:rsidRPr="005D680E">
        <w:rPr>
          <w:lang w:val="ru-RU"/>
        </w:rPr>
        <w:t>х</w:t>
      </w:r>
      <w:r w:rsidRPr="005D680E">
        <w:rPr>
          <w:lang w:val="ru-RU"/>
        </w:rPr>
        <w:t xml:space="preserve"> навык</w:t>
      </w:r>
      <w:r w:rsidR="00EE1411" w:rsidRPr="005D680E">
        <w:rPr>
          <w:lang w:val="ru-RU"/>
        </w:rPr>
        <w:t>ов</w:t>
      </w:r>
      <w:r w:rsidRPr="005D680E">
        <w:rPr>
          <w:lang w:val="ru-RU"/>
        </w:rPr>
        <w:t xml:space="preserve"> </w:t>
      </w:r>
      <w:r w:rsidR="00BC6E71" w:rsidRPr="005D680E">
        <w:rPr>
          <w:lang w:val="ru-RU"/>
        </w:rPr>
        <w:t>с</w:t>
      </w:r>
      <w:r w:rsidRPr="005D680E">
        <w:rPr>
          <w:lang w:val="ru-RU"/>
        </w:rPr>
        <w:t xml:space="preserve"> </w:t>
      </w:r>
      <w:r w:rsidR="005A06A2" w:rsidRPr="005D680E">
        <w:rPr>
          <w:lang w:val="ru-RU"/>
        </w:rPr>
        <w:t>ч</w:t>
      </w:r>
      <w:r w:rsidRPr="005D680E">
        <w:rPr>
          <w:lang w:val="ru-RU"/>
        </w:rPr>
        <w:t>лен</w:t>
      </w:r>
      <w:r w:rsidR="00BC6E71" w:rsidRPr="005D680E">
        <w:rPr>
          <w:lang w:val="ru-RU"/>
        </w:rPr>
        <w:t>ами</w:t>
      </w:r>
      <w:r w:rsidRPr="005D680E">
        <w:rPr>
          <w:lang w:val="ru-RU"/>
        </w:rPr>
        <w:t xml:space="preserve"> МСЭ</w:t>
      </w:r>
      <w:r w:rsidR="00817092" w:rsidRPr="005D680E">
        <w:rPr>
          <w:lang w:val="ru-RU"/>
        </w:rPr>
        <w:t>;</w:t>
      </w:r>
    </w:p>
    <w:p w14:paraId="157D7C9C" w14:textId="61762C59" w:rsidR="00625DA8" w:rsidRPr="005D680E" w:rsidRDefault="00817092" w:rsidP="00625DA8">
      <w:pPr>
        <w:rPr>
          <w:highlight w:val="lightGray"/>
          <w:lang w:val="ru-RU"/>
        </w:rPr>
      </w:pPr>
      <w:r w:rsidRPr="005D680E">
        <w:rPr>
          <w:lang w:val="ru-RU"/>
        </w:rPr>
        <w:t>6</w:t>
      </w:r>
      <w:r w:rsidRPr="005D680E">
        <w:rPr>
          <w:lang w:val="ru-RU"/>
        </w:rPr>
        <w:tab/>
      </w:r>
      <w:r w:rsidRPr="005D680E">
        <w:rPr>
          <w:rFonts w:eastAsia="Calibri"/>
          <w:bCs/>
          <w:lang w:val="ru-RU"/>
        </w:rPr>
        <w:t xml:space="preserve">разработать и провести специально направленные на расширение прав и возможностей </w:t>
      </w:r>
      <w:r w:rsidR="008F094C" w:rsidRPr="005D680E">
        <w:rPr>
          <w:rFonts w:eastAsia="Calibri"/>
          <w:bCs/>
          <w:lang w:val="ru-RU"/>
        </w:rPr>
        <w:t>пользователей/</w:t>
      </w:r>
      <w:r w:rsidRPr="005D680E">
        <w:rPr>
          <w:rFonts w:eastAsia="Calibri"/>
          <w:bCs/>
          <w:lang w:val="ru-RU"/>
        </w:rPr>
        <w:t xml:space="preserve">потребителей кампании по цифровой грамотности, </w:t>
      </w:r>
      <w:r w:rsidR="008F094C" w:rsidRPr="005D680E">
        <w:rPr>
          <w:rFonts w:eastAsia="Calibri"/>
          <w:bCs/>
          <w:lang w:val="ru-RU"/>
        </w:rPr>
        <w:t>содействуя</w:t>
      </w:r>
      <w:r w:rsidRPr="005D680E">
        <w:rPr>
          <w:rFonts w:eastAsia="Calibri"/>
          <w:bCs/>
          <w:lang w:val="ru-RU"/>
        </w:rPr>
        <w:t xml:space="preserve"> прозрачност</w:t>
      </w:r>
      <w:r w:rsidR="008F094C" w:rsidRPr="005D680E">
        <w:rPr>
          <w:rFonts w:eastAsia="Calibri"/>
          <w:bCs/>
          <w:lang w:val="ru-RU"/>
        </w:rPr>
        <w:t xml:space="preserve">и и </w:t>
      </w:r>
      <w:r w:rsidRPr="005D680E">
        <w:rPr>
          <w:rFonts w:eastAsia="Calibri"/>
          <w:bCs/>
          <w:lang w:val="ru-RU"/>
        </w:rPr>
        <w:t>защит</w:t>
      </w:r>
      <w:r w:rsidR="008F094C" w:rsidRPr="005D680E">
        <w:rPr>
          <w:rFonts w:eastAsia="Calibri"/>
          <w:bCs/>
          <w:lang w:val="ru-RU"/>
        </w:rPr>
        <w:t xml:space="preserve">е </w:t>
      </w:r>
      <w:r w:rsidR="008F094C" w:rsidRPr="0054446C">
        <w:rPr>
          <w:color w:val="000000"/>
          <w:lang w:val="ru-RU"/>
        </w:rPr>
        <w:t>информации, позволяющей установить личность</w:t>
      </w:r>
      <w:r w:rsidR="00625DA8" w:rsidRPr="005D680E">
        <w:rPr>
          <w:lang w:val="ru-RU"/>
        </w:rPr>
        <w:t>,</w:t>
      </w:r>
    </w:p>
    <w:p w14:paraId="0A4CBDC5" w14:textId="77777777" w:rsidR="00085B3D" w:rsidRPr="005D680E" w:rsidRDefault="00085B3D" w:rsidP="00085B3D">
      <w:pPr>
        <w:pStyle w:val="Call"/>
        <w:rPr>
          <w:lang w:val="ru-RU"/>
        </w:rPr>
      </w:pPr>
      <w:r w:rsidRPr="005D680E">
        <w:rPr>
          <w:lang w:val="ru-RU"/>
        </w:rPr>
        <w:t>предлагает Генеральному секретарю</w:t>
      </w:r>
    </w:p>
    <w:p w14:paraId="7BC22C85" w14:textId="5BAE9281" w:rsidR="000454C3" w:rsidRPr="005D680E" w:rsidRDefault="00625DA8" w:rsidP="000454C3">
      <w:pPr>
        <w:rPr>
          <w:lang w:val="ru-RU"/>
        </w:rPr>
      </w:pPr>
      <w:r w:rsidRPr="005D680E">
        <w:rPr>
          <w:lang w:val="ru-RU"/>
        </w:rPr>
        <w:t xml:space="preserve">поддерживать эффективное осуществление соответствующих программ и </w:t>
      </w:r>
      <w:r w:rsidR="006E3D1C" w:rsidRPr="005D680E">
        <w:rPr>
          <w:lang w:val="ru-RU"/>
        </w:rPr>
        <w:t xml:space="preserve">деятельности </w:t>
      </w:r>
      <w:r w:rsidRPr="005D680E">
        <w:rPr>
          <w:lang w:val="ru-RU"/>
        </w:rPr>
        <w:t xml:space="preserve">МСЭ по </w:t>
      </w:r>
      <w:r w:rsidR="00150507" w:rsidRPr="005D680E">
        <w:rPr>
          <w:lang w:val="ru-RU"/>
        </w:rPr>
        <w:t>созданию</w:t>
      </w:r>
      <w:r w:rsidRPr="005D680E">
        <w:rPr>
          <w:lang w:val="ru-RU"/>
        </w:rPr>
        <w:t xml:space="preserve"> потенциала, </w:t>
      </w:r>
      <w:r w:rsidR="0019658E" w:rsidRPr="005D680E">
        <w:rPr>
          <w:lang w:val="ru-RU"/>
        </w:rPr>
        <w:t xml:space="preserve">которые </w:t>
      </w:r>
      <w:r w:rsidR="004B7F3D" w:rsidRPr="005D680E">
        <w:rPr>
          <w:lang w:val="ru-RU"/>
        </w:rPr>
        <w:t>способствую</w:t>
      </w:r>
      <w:r w:rsidR="0019658E" w:rsidRPr="005D680E">
        <w:rPr>
          <w:lang w:val="ru-RU"/>
        </w:rPr>
        <w:t>т</w:t>
      </w:r>
      <w:r w:rsidR="00E13B48" w:rsidRPr="005D680E">
        <w:rPr>
          <w:lang w:val="ru-RU"/>
        </w:rPr>
        <w:t xml:space="preserve"> развитию</w:t>
      </w:r>
      <w:r w:rsidRPr="005D680E">
        <w:rPr>
          <w:lang w:val="ru-RU"/>
        </w:rPr>
        <w:t xml:space="preserve"> образовани</w:t>
      </w:r>
      <w:r w:rsidR="00E13B48" w:rsidRPr="005D680E">
        <w:rPr>
          <w:lang w:val="ru-RU"/>
        </w:rPr>
        <w:t>я</w:t>
      </w:r>
      <w:r w:rsidRPr="005D680E">
        <w:rPr>
          <w:lang w:val="ru-RU"/>
        </w:rPr>
        <w:t xml:space="preserve">, цифровой грамотности, </w:t>
      </w:r>
      <w:r w:rsidR="007270C2" w:rsidRPr="005D680E">
        <w:rPr>
          <w:lang w:val="ru-RU"/>
        </w:rPr>
        <w:t>подготовк</w:t>
      </w:r>
      <w:r w:rsidR="00E13B48" w:rsidRPr="005D680E">
        <w:rPr>
          <w:lang w:val="ru-RU"/>
        </w:rPr>
        <w:t>и</w:t>
      </w:r>
      <w:r w:rsidRPr="005D680E">
        <w:rPr>
          <w:lang w:val="ru-RU"/>
        </w:rPr>
        <w:t xml:space="preserve"> и навыков, в том числе </w:t>
      </w:r>
      <w:r w:rsidR="003028A1" w:rsidRPr="005D680E">
        <w:rPr>
          <w:lang w:val="ru-RU"/>
        </w:rPr>
        <w:t>относящихся к</w:t>
      </w:r>
      <w:r w:rsidRPr="005D680E">
        <w:rPr>
          <w:lang w:val="ru-RU"/>
        </w:rPr>
        <w:t xml:space="preserve"> новы</w:t>
      </w:r>
      <w:r w:rsidR="003028A1" w:rsidRPr="005D680E">
        <w:rPr>
          <w:lang w:val="ru-RU"/>
        </w:rPr>
        <w:t>м</w:t>
      </w:r>
      <w:r w:rsidRPr="005D680E">
        <w:rPr>
          <w:lang w:val="ru-RU"/>
        </w:rPr>
        <w:t xml:space="preserve"> и появляющи</w:t>
      </w:r>
      <w:r w:rsidR="003028A1" w:rsidRPr="005D680E">
        <w:rPr>
          <w:lang w:val="ru-RU"/>
        </w:rPr>
        <w:t>м</w:t>
      </w:r>
      <w:r w:rsidRPr="005D680E">
        <w:rPr>
          <w:lang w:val="ru-RU"/>
        </w:rPr>
        <w:t>ся услуг</w:t>
      </w:r>
      <w:r w:rsidR="003028A1" w:rsidRPr="005D680E">
        <w:rPr>
          <w:lang w:val="ru-RU"/>
        </w:rPr>
        <w:t>ам</w:t>
      </w:r>
      <w:r w:rsidRPr="005D680E">
        <w:rPr>
          <w:lang w:val="ru-RU"/>
        </w:rPr>
        <w:t xml:space="preserve"> и технологи</w:t>
      </w:r>
      <w:r w:rsidR="003028A1" w:rsidRPr="005D680E">
        <w:rPr>
          <w:lang w:val="ru-RU"/>
        </w:rPr>
        <w:t>ям</w:t>
      </w:r>
      <w:r w:rsidRPr="005D680E">
        <w:rPr>
          <w:lang w:val="ru-RU"/>
        </w:rPr>
        <w:t xml:space="preserve"> электросвязи</w:t>
      </w:r>
      <w:r w:rsidR="00CA580D" w:rsidRPr="005D680E">
        <w:rPr>
          <w:lang w:val="ru-RU"/>
        </w:rPr>
        <w:t>/</w:t>
      </w:r>
      <w:r w:rsidRPr="005D680E">
        <w:rPr>
          <w:lang w:val="ru-RU"/>
        </w:rPr>
        <w:t xml:space="preserve">ИКТ, для содействия устойчивому развитию, </w:t>
      </w:r>
      <w:r w:rsidR="004D763C" w:rsidRPr="005D680E">
        <w:rPr>
          <w:lang w:val="ru-RU"/>
        </w:rPr>
        <w:t xml:space="preserve">всеобщему </w:t>
      </w:r>
      <w:r w:rsidRPr="005D680E">
        <w:rPr>
          <w:lang w:val="ru-RU"/>
        </w:rPr>
        <w:t>расширению</w:t>
      </w:r>
      <w:r w:rsidR="0098590B" w:rsidRPr="005D680E">
        <w:rPr>
          <w:lang w:val="ru-RU"/>
        </w:rPr>
        <w:t xml:space="preserve"> прав и</w:t>
      </w:r>
      <w:r w:rsidRPr="005D680E">
        <w:rPr>
          <w:lang w:val="ru-RU"/>
        </w:rPr>
        <w:t xml:space="preserve"> возможностей и </w:t>
      </w:r>
      <w:r w:rsidR="004D763C" w:rsidRPr="005D680E">
        <w:rPr>
          <w:lang w:val="ru-RU"/>
        </w:rPr>
        <w:t>охват</w:t>
      </w:r>
      <w:r w:rsidR="001D287F" w:rsidRPr="005D680E">
        <w:rPr>
          <w:lang w:val="ru-RU"/>
        </w:rPr>
        <w:t>у</w:t>
      </w:r>
      <w:r w:rsidR="004D763C" w:rsidRPr="005D680E">
        <w:rPr>
          <w:lang w:val="ru-RU"/>
        </w:rPr>
        <w:t xml:space="preserve"> </w:t>
      </w:r>
      <w:r w:rsidRPr="005D680E">
        <w:rPr>
          <w:lang w:val="ru-RU"/>
        </w:rPr>
        <w:t>цифровы</w:t>
      </w:r>
      <w:r w:rsidR="004D763C" w:rsidRPr="005D680E">
        <w:rPr>
          <w:lang w:val="ru-RU"/>
        </w:rPr>
        <w:t>ми</w:t>
      </w:r>
      <w:r w:rsidRPr="005D680E">
        <w:rPr>
          <w:lang w:val="ru-RU"/>
        </w:rPr>
        <w:t xml:space="preserve"> технологи</w:t>
      </w:r>
      <w:r w:rsidR="004D763C" w:rsidRPr="005D680E">
        <w:rPr>
          <w:lang w:val="ru-RU"/>
        </w:rPr>
        <w:t>ями</w:t>
      </w:r>
      <w:r w:rsidRPr="005D680E">
        <w:rPr>
          <w:lang w:val="ru-RU"/>
        </w:rPr>
        <w:t>.</w:t>
      </w:r>
    </w:p>
    <w:p w14:paraId="7906F04A" w14:textId="1C6A876C" w:rsidR="002D2F57" w:rsidRPr="005D680E" w:rsidRDefault="007E6E44" w:rsidP="00E82ED3">
      <w:pPr>
        <w:spacing w:before="480"/>
        <w:jc w:val="center"/>
        <w:rPr>
          <w:lang w:val="ru-RU"/>
        </w:rPr>
      </w:pPr>
      <w:r w:rsidRPr="005D680E">
        <w:rPr>
          <w:lang w:val="ru-RU"/>
        </w:rPr>
        <w:t>______________</w:t>
      </w:r>
    </w:p>
    <w:sectPr w:rsidR="002D2F57" w:rsidRPr="005D680E" w:rsidSect="00CF629C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C7DC" w14:textId="77777777" w:rsidR="00EE1700" w:rsidRDefault="00EE1700">
      <w:r>
        <w:separator/>
      </w:r>
    </w:p>
  </w:endnote>
  <w:endnote w:type="continuationSeparator" w:id="0">
    <w:p w14:paraId="24A18227" w14:textId="77777777" w:rsidR="00EE1700" w:rsidRDefault="00EE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DejaVu Sans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FA23" w14:textId="76E74C69" w:rsidR="0039758C" w:rsidRPr="0039758C" w:rsidRDefault="0039758C" w:rsidP="0039758C">
    <w:pPr>
      <w:spacing w:before="0"/>
      <w:jc w:val="center"/>
      <w:rPr>
        <w:lang w:val="es-ES"/>
      </w:rPr>
    </w:pPr>
    <w:r w:rsidRPr="00170DCD">
      <w:rPr>
        <w:lang w:val="es-ES"/>
      </w:rPr>
      <w:t xml:space="preserve">• </w:t>
    </w:r>
    <w:hyperlink r:id="rId1" w:history="1">
      <w:r w:rsidRPr="00BC53A7">
        <w:rPr>
          <w:rStyle w:val="Hyperlink"/>
          <w:rFonts w:cs="Calibri"/>
          <w:lang w:val="es-ES"/>
        </w:rPr>
        <w:t>http://www.itu.int/council</w:t>
      </w:r>
    </w:hyperlink>
    <w:r w:rsidRPr="00170DCD"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476A" w14:textId="77777777" w:rsidR="00EE1700" w:rsidRDefault="00EE1700">
      <w:r>
        <w:t>____________________</w:t>
      </w:r>
    </w:p>
  </w:footnote>
  <w:footnote w:type="continuationSeparator" w:id="0">
    <w:p w14:paraId="1EEF1C22" w14:textId="77777777" w:rsidR="00EE1700" w:rsidRDefault="00EE1700">
      <w:r>
        <w:continuationSeparator/>
      </w:r>
    </w:p>
  </w:footnote>
  <w:footnote w:id="1">
    <w:p w14:paraId="7D758966" w14:textId="7BC4819B" w:rsidR="008B6DB1" w:rsidRPr="00BC53A7" w:rsidRDefault="008B6DB1" w:rsidP="00CA580D">
      <w:pPr>
        <w:pStyle w:val="FootnoteText"/>
        <w:rPr>
          <w:sz w:val="18"/>
          <w:szCs w:val="18"/>
          <w:lang w:val="ru-RU"/>
        </w:rPr>
      </w:pPr>
      <w:r w:rsidRPr="008B6DB1">
        <w:rPr>
          <w:rStyle w:val="FootnoteReference"/>
          <w:lang w:val="ru-RU"/>
        </w:rPr>
        <w:t>1</w:t>
      </w:r>
      <w:r w:rsidRPr="008B6DB1">
        <w:rPr>
          <w:lang w:val="ru-RU"/>
        </w:rPr>
        <w:t xml:space="preserve"> </w:t>
      </w:r>
      <w:r w:rsidRPr="00BC53A7">
        <w:rPr>
          <w:sz w:val="18"/>
          <w:szCs w:val="18"/>
          <w:lang w:val="ru-RU"/>
        </w:rPr>
        <w:tab/>
      </w:r>
      <w:r w:rsidRPr="00D60823">
        <w:rPr>
          <w:szCs w:val="2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BC53A7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0324" w14:textId="77777777" w:rsidR="005D680E" w:rsidRDefault="005D680E" w:rsidP="005D680E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9763D04" w14:textId="744AE98F" w:rsidR="000E568E" w:rsidRDefault="00120C6A" w:rsidP="00BD57B7">
    <w:pPr>
      <w:pStyle w:val="Header"/>
    </w:pPr>
    <w:r w:rsidRPr="00120C6A">
      <w:rPr>
        <w:bCs/>
        <w:lang w:val="en-GB"/>
      </w:rPr>
      <w:t>WTPF-21/</w:t>
    </w:r>
    <w:r w:rsidR="0054446C">
      <w:rPr>
        <w:bCs/>
        <w:lang w:val="en-GB"/>
      </w:rPr>
      <w:t>10</w:t>
    </w:r>
    <w:r w:rsidRPr="00120C6A">
      <w:rPr>
        <w:bCs/>
        <w:lang w:val="en-GB"/>
      </w:rPr>
      <w:t>-</w:t>
    </w:r>
    <w:r>
      <w:rPr>
        <w:bCs/>
        <w:lang w:val="en-GB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48EF"/>
    <w:multiLevelType w:val="hybridMultilevel"/>
    <w:tmpl w:val="896EA5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375"/>
    <w:multiLevelType w:val="hybridMultilevel"/>
    <w:tmpl w:val="A6A45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6809"/>
    <w:multiLevelType w:val="hybridMultilevel"/>
    <w:tmpl w:val="6088A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110B"/>
    <w:multiLevelType w:val="hybridMultilevel"/>
    <w:tmpl w:val="02F6D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3E0"/>
    <w:multiLevelType w:val="hybridMultilevel"/>
    <w:tmpl w:val="7C822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597E"/>
    <w:multiLevelType w:val="hybridMultilevel"/>
    <w:tmpl w:val="06901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2377"/>
    <w:multiLevelType w:val="hybridMultilevel"/>
    <w:tmpl w:val="5B7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64EDA"/>
    <w:multiLevelType w:val="hybridMultilevel"/>
    <w:tmpl w:val="9078E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FCF"/>
    <w:multiLevelType w:val="hybridMultilevel"/>
    <w:tmpl w:val="AA9E1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242"/>
    <w:multiLevelType w:val="hybridMultilevel"/>
    <w:tmpl w:val="05BA1C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361C"/>
    <w:multiLevelType w:val="hybridMultilevel"/>
    <w:tmpl w:val="524CC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0769F"/>
    <w:multiLevelType w:val="hybridMultilevel"/>
    <w:tmpl w:val="FBC07A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F6AF6"/>
    <w:multiLevelType w:val="hybridMultilevel"/>
    <w:tmpl w:val="4FEC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65F04"/>
    <w:multiLevelType w:val="hybridMultilevel"/>
    <w:tmpl w:val="518CC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684"/>
    <w:multiLevelType w:val="hybridMultilevel"/>
    <w:tmpl w:val="B5BC8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64FA7"/>
    <w:multiLevelType w:val="hybridMultilevel"/>
    <w:tmpl w:val="32123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11"/>
  </w:num>
  <w:num w:numId="12">
    <w:abstractNumId w:val="1"/>
  </w:num>
  <w:num w:numId="13">
    <w:abstractNumId w:val="7"/>
  </w:num>
  <w:num w:numId="14">
    <w:abstractNumId w:val="15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4"/>
    <w:rsid w:val="00015652"/>
    <w:rsid w:val="0002183E"/>
    <w:rsid w:val="00032CAF"/>
    <w:rsid w:val="000454C3"/>
    <w:rsid w:val="000569B4"/>
    <w:rsid w:val="00072215"/>
    <w:rsid w:val="000757DF"/>
    <w:rsid w:val="00080E82"/>
    <w:rsid w:val="00085B3D"/>
    <w:rsid w:val="000C32CC"/>
    <w:rsid w:val="000C5B67"/>
    <w:rsid w:val="000E2CB9"/>
    <w:rsid w:val="000E568E"/>
    <w:rsid w:val="00103F6A"/>
    <w:rsid w:val="00120C6A"/>
    <w:rsid w:val="0014734F"/>
    <w:rsid w:val="00150507"/>
    <w:rsid w:val="0015710D"/>
    <w:rsid w:val="00162969"/>
    <w:rsid w:val="00163A32"/>
    <w:rsid w:val="00186AE6"/>
    <w:rsid w:val="00192B41"/>
    <w:rsid w:val="00195D81"/>
    <w:rsid w:val="0019658E"/>
    <w:rsid w:val="001B7B09"/>
    <w:rsid w:val="001C7B24"/>
    <w:rsid w:val="001D287F"/>
    <w:rsid w:val="001D5CC3"/>
    <w:rsid w:val="001E6034"/>
    <w:rsid w:val="001E6719"/>
    <w:rsid w:val="001E7F50"/>
    <w:rsid w:val="001F6909"/>
    <w:rsid w:val="002058BE"/>
    <w:rsid w:val="00225368"/>
    <w:rsid w:val="00227FF0"/>
    <w:rsid w:val="00265CE6"/>
    <w:rsid w:val="00280FD7"/>
    <w:rsid w:val="00291EB6"/>
    <w:rsid w:val="002C320B"/>
    <w:rsid w:val="002C7A10"/>
    <w:rsid w:val="002D2F57"/>
    <w:rsid w:val="002D33B1"/>
    <w:rsid w:val="002D48C5"/>
    <w:rsid w:val="002D701B"/>
    <w:rsid w:val="003020C9"/>
    <w:rsid w:val="003028A1"/>
    <w:rsid w:val="00323C39"/>
    <w:rsid w:val="00331BFF"/>
    <w:rsid w:val="00392F96"/>
    <w:rsid w:val="0039758C"/>
    <w:rsid w:val="003C3B05"/>
    <w:rsid w:val="003D1A95"/>
    <w:rsid w:val="003F099E"/>
    <w:rsid w:val="003F235E"/>
    <w:rsid w:val="004023E0"/>
    <w:rsid w:val="00403DD8"/>
    <w:rsid w:val="00407BA9"/>
    <w:rsid w:val="00410FD4"/>
    <w:rsid w:val="00442515"/>
    <w:rsid w:val="00443AF7"/>
    <w:rsid w:val="0045686C"/>
    <w:rsid w:val="004621AC"/>
    <w:rsid w:val="00462907"/>
    <w:rsid w:val="00485E99"/>
    <w:rsid w:val="004918C4"/>
    <w:rsid w:val="00497703"/>
    <w:rsid w:val="004A0374"/>
    <w:rsid w:val="004A45B5"/>
    <w:rsid w:val="004B7F3D"/>
    <w:rsid w:val="004C30FE"/>
    <w:rsid w:val="004D0129"/>
    <w:rsid w:val="004D763C"/>
    <w:rsid w:val="004F171A"/>
    <w:rsid w:val="005218A7"/>
    <w:rsid w:val="00522604"/>
    <w:rsid w:val="00544374"/>
    <w:rsid w:val="0054446C"/>
    <w:rsid w:val="00551FCE"/>
    <w:rsid w:val="00566091"/>
    <w:rsid w:val="005675B8"/>
    <w:rsid w:val="00572BEC"/>
    <w:rsid w:val="005A06A2"/>
    <w:rsid w:val="005A64D5"/>
    <w:rsid w:val="005B3DEC"/>
    <w:rsid w:val="005D4768"/>
    <w:rsid w:val="005D680E"/>
    <w:rsid w:val="005F653B"/>
    <w:rsid w:val="00601994"/>
    <w:rsid w:val="00625B5D"/>
    <w:rsid w:val="00625DA8"/>
    <w:rsid w:val="006342FF"/>
    <w:rsid w:val="006370EA"/>
    <w:rsid w:val="006377AC"/>
    <w:rsid w:val="00644959"/>
    <w:rsid w:val="00687BB0"/>
    <w:rsid w:val="006A5016"/>
    <w:rsid w:val="006A6541"/>
    <w:rsid w:val="006B390A"/>
    <w:rsid w:val="006D77F5"/>
    <w:rsid w:val="006E2D42"/>
    <w:rsid w:val="006E3997"/>
    <w:rsid w:val="006E3D1C"/>
    <w:rsid w:val="00703676"/>
    <w:rsid w:val="00707304"/>
    <w:rsid w:val="00712460"/>
    <w:rsid w:val="0072439D"/>
    <w:rsid w:val="00726242"/>
    <w:rsid w:val="007270C2"/>
    <w:rsid w:val="00732269"/>
    <w:rsid w:val="007446E4"/>
    <w:rsid w:val="007464E1"/>
    <w:rsid w:val="00771816"/>
    <w:rsid w:val="00785ABD"/>
    <w:rsid w:val="007A2DD4"/>
    <w:rsid w:val="007D38B5"/>
    <w:rsid w:val="007D3E7C"/>
    <w:rsid w:val="007D7D75"/>
    <w:rsid w:val="007E6E44"/>
    <w:rsid w:val="007E7EA0"/>
    <w:rsid w:val="00807255"/>
    <w:rsid w:val="0081023E"/>
    <w:rsid w:val="0081468D"/>
    <w:rsid w:val="00817092"/>
    <w:rsid w:val="008173AA"/>
    <w:rsid w:val="00832EC4"/>
    <w:rsid w:val="00840A14"/>
    <w:rsid w:val="00881623"/>
    <w:rsid w:val="00885E5E"/>
    <w:rsid w:val="00891E2F"/>
    <w:rsid w:val="00894856"/>
    <w:rsid w:val="008B24F6"/>
    <w:rsid w:val="008B62B4"/>
    <w:rsid w:val="008B6DB1"/>
    <w:rsid w:val="008D2D7B"/>
    <w:rsid w:val="008E0737"/>
    <w:rsid w:val="008F094C"/>
    <w:rsid w:val="008F7C2C"/>
    <w:rsid w:val="0091222C"/>
    <w:rsid w:val="009401C7"/>
    <w:rsid w:val="00940E96"/>
    <w:rsid w:val="00962AF2"/>
    <w:rsid w:val="0098590B"/>
    <w:rsid w:val="009B0BAE"/>
    <w:rsid w:val="009C1C89"/>
    <w:rsid w:val="009D09C8"/>
    <w:rsid w:val="009D2EF6"/>
    <w:rsid w:val="009D35A2"/>
    <w:rsid w:val="009F3448"/>
    <w:rsid w:val="00A01CF9"/>
    <w:rsid w:val="00A35AB1"/>
    <w:rsid w:val="00A71773"/>
    <w:rsid w:val="00AB5630"/>
    <w:rsid w:val="00AB5780"/>
    <w:rsid w:val="00AE2C85"/>
    <w:rsid w:val="00B01402"/>
    <w:rsid w:val="00B12A37"/>
    <w:rsid w:val="00B32B4B"/>
    <w:rsid w:val="00B36E82"/>
    <w:rsid w:val="00B63EF2"/>
    <w:rsid w:val="00B70A3D"/>
    <w:rsid w:val="00BA57CA"/>
    <w:rsid w:val="00BA7D89"/>
    <w:rsid w:val="00BC0D39"/>
    <w:rsid w:val="00BC53A7"/>
    <w:rsid w:val="00BC6E71"/>
    <w:rsid w:val="00BC7BC0"/>
    <w:rsid w:val="00BD15CA"/>
    <w:rsid w:val="00BD57B7"/>
    <w:rsid w:val="00BE63E2"/>
    <w:rsid w:val="00C14325"/>
    <w:rsid w:val="00C22868"/>
    <w:rsid w:val="00C35172"/>
    <w:rsid w:val="00C83848"/>
    <w:rsid w:val="00C85B7F"/>
    <w:rsid w:val="00CA580D"/>
    <w:rsid w:val="00CB5C8F"/>
    <w:rsid w:val="00CC64C1"/>
    <w:rsid w:val="00CD2009"/>
    <w:rsid w:val="00CF3FB4"/>
    <w:rsid w:val="00CF629C"/>
    <w:rsid w:val="00D42280"/>
    <w:rsid w:val="00D56C0A"/>
    <w:rsid w:val="00D60823"/>
    <w:rsid w:val="00D676A8"/>
    <w:rsid w:val="00D72F28"/>
    <w:rsid w:val="00D7373B"/>
    <w:rsid w:val="00D92EEA"/>
    <w:rsid w:val="00DA2C04"/>
    <w:rsid w:val="00DA5D4E"/>
    <w:rsid w:val="00DB13EF"/>
    <w:rsid w:val="00DC4735"/>
    <w:rsid w:val="00DD688A"/>
    <w:rsid w:val="00DD7A6F"/>
    <w:rsid w:val="00DE7477"/>
    <w:rsid w:val="00E076F2"/>
    <w:rsid w:val="00E07BCD"/>
    <w:rsid w:val="00E13B48"/>
    <w:rsid w:val="00E176BA"/>
    <w:rsid w:val="00E34C3D"/>
    <w:rsid w:val="00E423EC"/>
    <w:rsid w:val="00E45579"/>
    <w:rsid w:val="00E55121"/>
    <w:rsid w:val="00E82ED3"/>
    <w:rsid w:val="00EA70CD"/>
    <w:rsid w:val="00EB4FCB"/>
    <w:rsid w:val="00EB5D4C"/>
    <w:rsid w:val="00EC144C"/>
    <w:rsid w:val="00EC6BC5"/>
    <w:rsid w:val="00EE1411"/>
    <w:rsid w:val="00EE1700"/>
    <w:rsid w:val="00EE7C90"/>
    <w:rsid w:val="00F040A7"/>
    <w:rsid w:val="00F266CC"/>
    <w:rsid w:val="00F345E1"/>
    <w:rsid w:val="00F35898"/>
    <w:rsid w:val="00F5225B"/>
    <w:rsid w:val="00F53342"/>
    <w:rsid w:val="00F55067"/>
    <w:rsid w:val="00F942FC"/>
    <w:rsid w:val="00FA4050"/>
    <w:rsid w:val="00FD128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6CF8E"/>
  <w15:docId w15:val="{CE4A9CCF-C13F-477D-B74F-8CBDFD98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39D"/>
    <w:pPr>
      <w:tabs>
        <w:tab w:val="left" w:pos="794"/>
      </w:tabs>
      <w:spacing w:before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E6E44"/>
    <w:pPr>
      <w:spacing w:before="200"/>
      <w:ind w:left="0" w:firstLine="0"/>
      <w:outlineLvl w:val="2"/>
    </w:pPr>
    <w:rPr>
      <w:rFonts w:ascii="Calibri" w:hAnsi="Calibri"/>
      <w:sz w:val="22"/>
    </w:rPr>
  </w:style>
  <w:style w:type="paragraph" w:styleId="Heading4">
    <w:name w:val="heading 4"/>
    <w:basedOn w:val="Heading3"/>
    <w:next w:val="Normal"/>
    <w:qFormat/>
    <w:rsid w:val="00227FF0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27FF0"/>
    <w:pPr>
      <w:tabs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E6E44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7E6E44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91222C"/>
    <w:pPr>
      <w:ind w:left="720"/>
      <w:contextualSpacing/>
    </w:pPr>
  </w:style>
  <w:style w:type="character" w:customStyle="1" w:styleId="CallChar">
    <w:name w:val="Call Char"/>
    <w:link w:val="Call"/>
    <w:locked/>
    <w:rsid w:val="005218A7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64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6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64C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4C1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D737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C833-EDE3-45C3-8A48-323BAFF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3</Pages>
  <Words>981</Words>
  <Characters>6850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7816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3: Digital literacy and skills for inclusive access</dc:title>
  <dc:subject>WTPF-21</dc:subject>
  <dc:creator>Russian</dc:creator>
  <cp:keywords>WTPF</cp:keywords>
  <dc:description/>
  <cp:lastModifiedBy>Kun Xue</cp:lastModifiedBy>
  <cp:revision>2</cp:revision>
  <cp:lastPrinted>2006-03-28T16:12:00Z</cp:lastPrinted>
  <dcterms:created xsi:type="dcterms:W3CDTF">2021-12-20T15:35:00Z</dcterms:created>
  <dcterms:modified xsi:type="dcterms:W3CDTF">2021-12-20T15:35:00Z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