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95226B" w14:paraId="241CC826" w14:textId="77777777" w:rsidTr="009F66A3">
        <w:trPr>
          <w:cantSplit/>
          <w:trHeight w:val="1276"/>
        </w:trPr>
        <w:tc>
          <w:tcPr>
            <w:tcW w:w="6911" w:type="dxa"/>
          </w:tcPr>
          <w:p w14:paraId="4EB9FF12" w14:textId="77777777" w:rsidR="002A2188" w:rsidRPr="0095226B" w:rsidRDefault="0087000D" w:rsidP="000815FC">
            <w:pPr>
              <w:spacing w:line="240" w:lineRule="atLeast"/>
              <w:rPr>
                <w:position w:val="6"/>
                <w:lang w:val="es-ES_tradnl"/>
              </w:rPr>
            </w:pPr>
            <w:r w:rsidRPr="0095226B">
              <w:rPr>
                <w:rFonts w:eastAsia="DengXian" w:cs="Arial"/>
                <w:noProof/>
                <w:sz w:val="22"/>
                <w:szCs w:val="22"/>
                <w:lang w:val="es-ES_tradnl" w:eastAsia="zh-CN"/>
              </w:rPr>
              <w:drawing>
                <wp:inline distT="0" distB="0" distL="0" distR="0" wp14:anchorId="00F7C79F" wp14:editId="3CB1D276">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507B4542" w14:textId="77777777" w:rsidR="002A2188" w:rsidRPr="0095226B" w:rsidRDefault="009F66A3" w:rsidP="000815FC">
            <w:pPr>
              <w:spacing w:line="240" w:lineRule="atLeast"/>
              <w:rPr>
                <w:lang w:val="es-ES_tradnl"/>
              </w:rPr>
            </w:pPr>
            <w:bookmarkStart w:id="0" w:name="ditulogo"/>
            <w:bookmarkEnd w:id="0"/>
            <w:r w:rsidRPr="0095226B">
              <w:rPr>
                <w:noProof/>
                <w:lang w:val="es-ES_tradnl" w:eastAsia="zh-CN"/>
              </w:rPr>
              <w:drawing>
                <wp:inline distT="0" distB="0" distL="0" distR="0" wp14:anchorId="0CE3DF73" wp14:editId="1CFFF0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95226B" w14:paraId="290BABA3" w14:textId="77777777" w:rsidTr="00464B6C">
        <w:trPr>
          <w:cantSplit/>
        </w:trPr>
        <w:tc>
          <w:tcPr>
            <w:tcW w:w="6911" w:type="dxa"/>
            <w:tcBorders>
              <w:bottom w:val="single" w:sz="12" w:space="0" w:color="auto"/>
            </w:tcBorders>
          </w:tcPr>
          <w:p w14:paraId="7F37251B" w14:textId="77777777" w:rsidR="002A2188" w:rsidRPr="0095226B" w:rsidRDefault="002A2188" w:rsidP="00DE4373">
            <w:pPr>
              <w:spacing w:before="0" w:line="240" w:lineRule="atLeast"/>
              <w:rPr>
                <w:b/>
                <w:smallCaps/>
                <w:szCs w:val="24"/>
                <w:lang w:val="es-ES_tradnl"/>
              </w:rPr>
            </w:pPr>
          </w:p>
        </w:tc>
        <w:tc>
          <w:tcPr>
            <w:tcW w:w="3120" w:type="dxa"/>
            <w:tcBorders>
              <w:bottom w:val="single" w:sz="12" w:space="0" w:color="auto"/>
            </w:tcBorders>
          </w:tcPr>
          <w:p w14:paraId="01976BB5" w14:textId="77777777" w:rsidR="002A2188" w:rsidRPr="0095226B" w:rsidRDefault="002A2188" w:rsidP="00DE4373">
            <w:pPr>
              <w:spacing w:before="0" w:line="240" w:lineRule="atLeast"/>
              <w:rPr>
                <w:szCs w:val="24"/>
                <w:lang w:val="es-ES_tradnl"/>
              </w:rPr>
            </w:pPr>
          </w:p>
        </w:tc>
      </w:tr>
      <w:tr w:rsidR="002A2188" w:rsidRPr="0095226B" w14:paraId="50C47918" w14:textId="77777777" w:rsidTr="00464B6C">
        <w:trPr>
          <w:cantSplit/>
        </w:trPr>
        <w:tc>
          <w:tcPr>
            <w:tcW w:w="6911" w:type="dxa"/>
            <w:tcBorders>
              <w:top w:val="single" w:sz="12" w:space="0" w:color="auto"/>
            </w:tcBorders>
          </w:tcPr>
          <w:p w14:paraId="3FC45E7D" w14:textId="77777777" w:rsidR="002A2188" w:rsidRPr="0095226B" w:rsidRDefault="002A2188" w:rsidP="00DE4373">
            <w:pPr>
              <w:spacing w:before="0" w:line="240" w:lineRule="atLeast"/>
              <w:rPr>
                <w:b/>
                <w:smallCaps/>
                <w:szCs w:val="24"/>
                <w:lang w:val="es-ES_tradnl"/>
              </w:rPr>
            </w:pPr>
          </w:p>
        </w:tc>
        <w:tc>
          <w:tcPr>
            <w:tcW w:w="3120" w:type="dxa"/>
            <w:tcBorders>
              <w:top w:val="single" w:sz="12" w:space="0" w:color="auto"/>
            </w:tcBorders>
          </w:tcPr>
          <w:p w14:paraId="6B69B152" w14:textId="77777777" w:rsidR="002A2188" w:rsidRPr="0095226B" w:rsidRDefault="002A2188" w:rsidP="00DE4373">
            <w:pPr>
              <w:spacing w:before="0" w:line="240" w:lineRule="atLeast"/>
              <w:rPr>
                <w:szCs w:val="24"/>
                <w:lang w:val="es-ES_tradnl"/>
              </w:rPr>
            </w:pPr>
          </w:p>
        </w:tc>
      </w:tr>
      <w:tr w:rsidR="0087000D" w:rsidRPr="0095226B" w14:paraId="37639DA8" w14:textId="77777777" w:rsidTr="00464B6C">
        <w:trPr>
          <w:cantSplit/>
          <w:trHeight w:val="23"/>
        </w:trPr>
        <w:tc>
          <w:tcPr>
            <w:tcW w:w="6911" w:type="dxa"/>
            <w:vMerge w:val="restart"/>
          </w:tcPr>
          <w:p w14:paraId="1C66738C" w14:textId="1C718922" w:rsidR="0087000D" w:rsidRPr="0095226B" w:rsidRDefault="0087000D" w:rsidP="0087000D">
            <w:pPr>
              <w:tabs>
                <w:tab w:val="left" w:pos="851"/>
              </w:tabs>
              <w:spacing w:before="0" w:line="240" w:lineRule="atLeast"/>
              <w:rPr>
                <w:b/>
                <w:lang w:val="es-ES_tradnl"/>
              </w:rPr>
            </w:pPr>
            <w:bookmarkStart w:id="1" w:name="dmeeting" w:colFirst="0" w:colLast="0"/>
            <w:bookmarkStart w:id="2" w:name="dnum" w:colFirst="1" w:colLast="1"/>
          </w:p>
        </w:tc>
        <w:tc>
          <w:tcPr>
            <w:tcW w:w="3120" w:type="dxa"/>
          </w:tcPr>
          <w:p w14:paraId="216B95EE" w14:textId="449A624F" w:rsidR="0087000D" w:rsidRPr="0095226B" w:rsidRDefault="0087000D" w:rsidP="0087000D">
            <w:pPr>
              <w:tabs>
                <w:tab w:val="left" w:pos="851"/>
              </w:tabs>
              <w:spacing w:before="0" w:line="240" w:lineRule="atLeast"/>
              <w:rPr>
                <w:b/>
                <w:lang w:val="es-ES_tradnl"/>
              </w:rPr>
            </w:pPr>
            <w:r w:rsidRPr="0095226B">
              <w:rPr>
                <w:rFonts w:cstheme="minorHAnsi"/>
                <w:b/>
                <w:szCs w:val="24"/>
                <w:lang w:val="es-ES_tradnl"/>
              </w:rPr>
              <w:t xml:space="preserve">Documento </w:t>
            </w:r>
            <w:r w:rsidR="0088171D" w:rsidRPr="0095226B">
              <w:rPr>
                <w:rFonts w:cstheme="minorHAnsi"/>
                <w:b/>
                <w:szCs w:val="24"/>
                <w:lang w:val="es-ES_tradnl"/>
              </w:rPr>
              <w:t>WTPF-</w:t>
            </w:r>
            <w:r w:rsidR="0088171D" w:rsidRPr="0095226B">
              <w:rPr>
                <w:rFonts w:cstheme="minorHAnsi"/>
                <w:b/>
                <w:szCs w:val="24"/>
                <w:lang w:val="es-ES_tradnl" w:eastAsia="zh-CN"/>
              </w:rPr>
              <w:t>21</w:t>
            </w:r>
            <w:r w:rsidR="00081019" w:rsidRPr="0095226B">
              <w:rPr>
                <w:rFonts w:cstheme="minorHAnsi"/>
                <w:b/>
                <w:szCs w:val="24"/>
                <w:lang w:val="es-ES_tradnl" w:eastAsia="zh-CN"/>
              </w:rPr>
              <w:t>/</w:t>
            </w:r>
            <w:r w:rsidR="001C4A63" w:rsidRPr="0095226B">
              <w:rPr>
                <w:rFonts w:cstheme="minorHAnsi"/>
                <w:b/>
                <w:szCs w:val="24"/>
                <w:lang w:val="es-ES_tradnl" w:eastAsia="zh-CN"/>
              </w:rPr>
              <w:t>7</w:t>
            </w:r>
            <w:r w:rsidRPr="0095226B">
              <w:rPr>
                <w:rFonts w:cstheme="minorHAnsi"/>
                <w:b/>
                <w:szCs w:val="24"/>
                <w:lang w:val="es-ES_tradnl"/>
              </w:rPr>
              <w:t>-S</w:t>
            </w:r>
          </w:p>
        </w:tc>
      </w:tr>
      <w:tr w:rsidR="0087000D" w:rsidRPr="0095226B" w14:paraId="4E52A96C" w14:textId="77777777" w:rsidTr="00464B6C">
        <w:trPr>
          <w:cantSplit/>
          <w:trHeight w:val="23"/>
        </w:trPr>
        <w:tc>
          <w:tcPr>
            <w:tcW w:w="6911" w:type="dxa"/>
            <w:vMerge/>
          </w:tcPr>
          <w:p w14:paraId="03A419D7" w14:textId="77777777" w:rsidR="0087000D" w:rsidRPr="0095226B" w:rsidRDefault="0087000D" w:rsidP="0087000D">
            <w:pPr>
              <w:tabs>
                <w:tab w:val="left" w:pos="851"/>
              </w:tabs>
              <w:spacing w:line="240" w:lineRule="atLeast"/>
              <w:rPr>
                <w:b/>
                <w:lang w:val="es-ES_tradnl"/>
              </w:rPr>
            </w:pPr>
            <w:bookmarkStart w:id="3" w:name="ddate" w:colFirst="1" w:colLast="1"/>
            <w:bookmarkEnd w:id="1"/>
            <w:bookmarkEnd w:id="2"/>
          </w:p>
        </w:tc>
        <w:tc>
          <w:tcPr>
            <w:tcW w:w="3120" w:type="dxa"/>
          </w:tcPr>
          <w:p w14:paraId="497FFE7C" w14:textId="5714BADF" w:rsidR="0087000D" w:rsidRPr="0095226B" w:rsidRDefault="00077E23" w:rsidP="0087000D">
            <w:pPr>
              <w:tabs>
                <w:tab w:val="left" w:pos="993"/>
              </w:tabs>
              <w:spacing w:before="0"/>
              <w:rPr>
                <w:b/>
                <w:lang w:val="es-ES_tradnl"/>
              </w:rPr>
            </w:pPr>
            <w:r w:rsidRPr="0095226B">
              <w:rPr>
                <w:rStyle w:val="PageNumber"/>
                <w:b/>
                <w:szCs w:val="24"/>
                <w:lang w:val="es-ES_tradnl"/>
              </w:rPr>
              <w:t>2</w:t>
            </w:r>
            <w:r w:rsidR="0087000D" w:rsidRPr="0095226B">
              <w:rPr>
                <w:rStyle w:val="PageNumber"/>
                <w:b/>
                <w:szCs w:val="24"/>
                <w:lang w:val="es-ES_tradnl"/>
              </w:rPr>
              <w:t xml:space="preserve"> de </w:t>
            </w:r>
            <w:r w:rsidRPr="0095226B">
              <w:rPr>
                <w:rStyle w:val="PageNumber"/>
                <w:b/>
                <w:szCs w:val="24"/>
                <w:lang w:val="es-ES_tradnl"/>
              </w:rPr>
              <w:t>diciembre</w:t>
            </w:r>
            <w:r w:rsidR="0087000D" w:rsidRPr="0095226B">
              <w:rPr>
                <w:rStyle w:val="PageNumber"/>
                <w:b/>
                <w:szCs w:val="24"/>
                <w:lang w:val="es-ES_tradnl"/>
              </w:rPr>
              <w:t xml:space="preserve"> </w:t>
            </w:r>
            <w:r w:rsidR="0087000D" w:rsidRPr="0095226B">
              <w:rPr>
                <w:rFonts w:cstheme="minorHAnsi"/>
                <w:b/>
                <w:szCs w:val="24"/>
                <w:lang w:val="es-ES_tradnl"/>
              </w:rPr>
              <w:t>de 2021</w:t>
            </w:r>
          </w:p>
        </w:tc>
      </w:tr>
      <w:tr w:rsidR="0087000D" w:rsidRPr="0095226B" w14:paraId="3D992D03" w14:textId="77777777" w:rsidTr="00464B6C">
        <w:trPr>
          <w:cantSplit/>
          <w:trHeight w:val="23"/>
        </w:trPr>
        <w:tc>
          <w:tcPr>
            <w:tcW w:w="6911" w:type="dxa"/>
            <w:vMerge/>
          </w:tcPr>
          <w:p w14:paraId="543A6DEC" w14:textId="77777777" w:rsidR="0087000D" w:rsidRPr="0095226B" w:rsidRDefault="0087000D" w:rsidP="0087000D">
            <w:pPr>
              <w:tabs>
                <w:tab w:val="left" w:pos="851"/>
              </w:tabs>
              <w:spacing w:line="240" w:lineRule="atLeast"/>
              <w:rPr>
                <w:b/>
                <w:lang w:val="es-ES_tradnl"/>
              </w:rPr>
            </w:pPr>
            <w:bookmarkStart w:id="4" w:name="dorlang" w:colFirst="1" w:colLast="1"/>
            <w:bookmarkEnd w:id="3"/>
          </w:p>
        </w:tc>
        <w:tc>
          <w:tcPr>
            <w:tcW w:w="3120" w:type="dxa"/>
          </w:tcPr>
          <w:p w14:paraId="6097E0D5" w14:textId="77777777" w:rsidR="0087000D" w:rsidRPr="0095226B" w:rsidRDefault="0087000D" w:rsidP="0087000D">
            <w:pPr>
              <w:tabs>
                <w:tab w:val="left" w:pos="993"/>
              </w:tabs>
              <w:spacing w:before="0"/>
              <w:rPr>
                <w:b/>
                <w:lang w:val="es-ES_tradnl"/>
              </w:rPr>
            </w:pPr>
            <w:r w:rsidRPr="0095226B">
              <w:rPr>
                <w:rFonts w:cstheme="minorHAnsi"/>
                <w:b/>
                <w:szCs w:val="24"/>
                <w:lang w:val="es-ES_tradnl"/>
              </w:rPr>
              <w:t>Original: inglés</w:t>
            </w:r>
          </w:p>
        </w:tc>
      </w:tr>
      <w:tr w:rsidR="002A2188" w:rsidRPr="0095226B" w14:paraId="6CF02278" w14:textId="77777777" w:rsidTr="00464B6C">
        <w:trPr>
          <w:cantSplit/>
        </w:trPr>
        <w:tc>
          <w:tcPr>
            <w:tcW w:w="10031" w:type="dxa"/>
            <w:gridSpan w:val="2"/>
          </w:tcPr>
          <w:p w14:paraId="38609991" w14:textId="740607DB" w:rsidR="00EA2120" w:rsidRPr="0095226B" w:rsidRDefault="001C4A63" w:rsidP="00722181">
            <w:pPr>
              <w:pStyle w:val="Source"/>
              <w:rPr>
                <w:lang w:val="es-ES_tradnl"/>
              </w:rPr>
            </w:pPr>
            <w:bookmarkStart w:id="5" w:name="dsource" w:colFirst="0" w:colLast="0"/>
            <w:bookmarkStart w:id="6" w:name="_Hlk89934032"/>
            <w:bookmarkEnd w:id="4"/>
            <w:r w:rsidRPr="0095226B">
              <w:rPr>
                <w:lang w:val="es-ES_tradnl"/>
              </w:rPr>
              <w:t>Contribución de Internet Society</w:t>
            </w:r>
          </w:p>
        </w:tc>
      </w:tr>
      <w:tr w:rsidR="002A2188" w:rsidRPr="0095226B" w14:paraId="3CACB7CB" w14:textId="77777777" w:rsidTr="00464B6C">
        <w:trPr>
          <w:cantSplit/>
        </w:trPr>
        <w:tc>
          <w:tcPr>
            <w:tcW w:w="10031" w:type="dxa"/>
            <w:gridSpan w:val="2"/>
          </w:tcPr>
          <w:p w14:paraId="53674AC8" w14:textId="7E7079F5" w:rsidR="002A2188" w:rsidRPr="0095226B" w:rsidRDefault="001C4A63" w:rsidP="00464B6C">
            <w:pPr>
              <w:pStyle w:val="Title1"/>
              <w:rPr>
                <w:lang w:val="es-ES_tradnl"/>
              </w:rPr>
            </w:pPr>
            <w:bookmarkStart w:id="7" w:name="dtitle1" w:colFirst="0" w:colLast="0"/>
            <w:bookmarkEnd w:id="5"/>
            <w:r w:rsidRPr="0095226B">
              <w:rPr>
                <w:bCs/>
                <w:lang w:val="es-ES_tradnl"/>
              </w:rPr>
              <w:t>comentarios sometidos por la internet society (ISOC)</w:t>
            </w:r>
          </w:p>
        </w:tc>
      </w:tr>
    </w:tbl>
    <w:bookmarkEnd w:id="7"/>
    <w:bookmarkEnd w:id="6"/>
    <w:p w14:paraId="7F27653D" w14:textId="77777777" w:rsidR="001C4A63" w:rsidRPr="0095226B" w:rsidRDefault="001C4A63" w:rsidP="001C4A63">
      <w:pPr>
        <w:tabs>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s-ES_tradnl"/>
        </w:rPr>
      </w:pPr>
      <w:r w:rsidRPr="0095226B">
        <w:rPr>
          <w:rFonts w:asciiTheme="minorHAnsi" w:eastAsia="Hind Light" w:hAnsiTheme="minorHAnsi" w:cstheme="minorHAnsi"/>
          <w:b/>
          <w:bCs/>
          <w:color w:val="3A82E4"/>
          <w:sz w:val="28"/>
          <w:szCs w:val="28"/>
          <w:lang w:val="es-ES_tradnl"/>
        </w:rPr>
        <w:t>Introducción</w:t>
      </w:r>
    </w:p>
    <w:p w14:paraId="2563C016" w14:textId="217199F6" w:rsidR="001C4A63" w:rsidRPr="0095226B" w:rsidRDefault="001C4A63" w:rsidP="001C4A63">
      <w:pPr>
        <w:tabs>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noProof/>
          <w:szCs w:val="24"/>
          <w:lang w:val="es-ES_tradnl"/>
        </w:rPr>
      </w:pPr>
      <w:bookmarkStart w:id="8" w:name="lt_pId014"/>
      <w:r w:rsidRPr="0095226B">
        <w:rPr>
          <w:rFonts w:asciiTheme="minorHAnsi" w:eastAsia="Calibri" w:hAnsiTheme="minorHAnsi" w:cstheme="minorHAnsi"/>
          <w:noProof/>
          <w:szCs w:val="24"/>
          <w:lang w:val="es-ES_tradnl"/>
        </w:rPr>
        <w:t xml:space="preserve">La Internet Society agradece la oportunidad de contribuir al Sexto Foro Mundial de Política de las Telecomunicaciones/Tecnologías de la Información y la Comunicación 2021 (FMPT-21). Valoramos la aplicación de este enfoque colaborativo y de múltiples partes interesadas, que ha demostrado su eficacia en los últimos años. Desde nuestra creación hace 29 años, la Internet Society ha sido líder en la catalización de iniciativas que van desde la capacitación hasta el apoyo comunitario, pasando por el desarrollo y la mejora de la infraestructura de Internet y la resiliencia de la red. </w:t>
      </w:r>
      <w:bookmarkStart w:id="9" w:name="lt_pId015"/>
      <w:bookmarkEnd w:id="8"/>
      <w:r w:rsidRPr="0095226B">
        <w:rPr>
          <w:rFonts w:asciiTheme="minorHAnsi" w:eastAsia="Calibri" w:hAnsiTheme="minorHAnsi" w:cstheme="minorHAnsi"/>
          <w:noProof/>
          <w:szCs w:val="24"/>
          <w:lang w:val="es-ES_tradnl"/>
        </w:rPr>
        <w:t>En pos de nuestra visión de una Internet globalmente conectada, segura y digna de confianza para todos, la Internet Society ha estado trabajando estrechamente con entidades mundiales, regionales y locales para el desarrollo y el despliegue de la infraestructura, las tecnologías, las normas abiertas, las reglamentaciones, las políticas y los marcos políticos de Internet. Trabajamos con asociados para construir, promover y defender la Internet.</w:t>
      </w:r>
      <w:bookmarkEnd w:id="9"/>
    </w:p>
    <w:p w14:paraId="7ECCC742" w14:textId="6B104810" w:rsidR="001C4A63" w:rsidRPr="0095226B" w:rsidRDefault="001C4A63" w:rsidP="001C4A63">
      <w:pPr>
        <w:tabs>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noProof/>
          <w:szCs w:val="24"/>
          <w:lang w:val="es-ES_tradnl"/>
        </w:rPr>
      </w:pPr>
      <w:bookmarkStart w:id="10" w:name="lt_pId018"/>
      <w:r w:rsidRPr="0095226B">
        <w:rPr>
          <w:rFonts w:asciiTheme="minorHAnsi" w:eastAsia="Calibri" w:hAnsiTheme="minorHAnsi" w:cstheme="minorHAnsi"/>
          <w:noProof/>
          <w:szCs w:val="24"/>
          <w:lang w:val="es-ES_tradnl"/>
        </w:rPr>
        <w:t>Desde septiembre de 2019, la Internet Society ha sido miembro del Grupo Informal de Expertos (GIE) para preparar el FMPT-21. Como Miembro de Sector, participamos en este proceso con el objetivo de contribuir a un FMPT-21 positivo y constructivo. En los comentarios que siguen destacamos algunas áreas específicas en las que creemos que es posible hacer incorporaciones y mejoras al texto actual del Informe del Secretario General de la UIT y a los proyectos de Opinión.</w:t>
      </w:r>
      <w:bookmarkEnd w:id="10"/>
    </w:p>
    <w:p w14:paraId="110522D2" w14:textId="14D9C56C" w:rsidR="001C4A63" w:rsidRPr="0095226B" w:rsidRDefault="001C4A63" w:rsidP="001C4A63">
      <w:pPr>
        <w:tabs>
          <w:tab w:val="clear" w:pos="1134"/>
          <w:tab w:val="clear" w:pos="1701"/>
          <w:tab w:val="clear" w:pos="2268"/>
          <w:tab w:val="clear" w:pos="2835"/>
        </w:tabs>
        <w:overflowPunct/>
        <w:autoSpaceDE/>
        <w:autoSpaceDN/>
        <w:adjustRightInd/>
        <w:spacing w:after="120"/>
        <w:textAlignment w:val="auto"/>
        <w:outlineLvl w:val="0"/>
        <w:rPr>
          <w:rFonts w:asciiTheme="minorHAnsi" w:eastAsia="Hind Light" w:hAnsiTheme="minorHAnsi" w:cstheme="minorHAnsi"/>
          <w:b/>
          <w:bCs/>
          <w:color w:val="3A82E4"/>
          <w:sz w:val="28"/>
          <w:szCs w:val="28"/>
          <w:lang w:val="es-ES_tradnl"/>
        </w:rPr>
      </w:pPr>
      <w:bookmarkStart w:id="11" w:name="lt_pId019"/>
      <w:r w:rsidRPr="0095226B">
        <w:rPr>
          <w:rFonts w:asciiTheme="minorHAnsi" w:eastAsia="Hind Light" w:hAnsiTheme="minorHAnsi" w:cstheme="minorHAnsi"/>
          <w:b/>
          <w:bCs/>
          <w:color w:val="3A82E4"/>
          <w:sz w:val="28"/>
          <w:szCs w:val="28"/>
          <w:lang w:val="es-ES_tradnl"/>
        </w:rPr>
        <w:t xml:space="preserve">Comentarios al </w:t>
      </w:r>
      <w:r w:rsidR="00E12C69" w:rsidRPr="0095226B">
        <w:rPr>
          <w:rFonts w:asciiTheme="minorHAnsi" w:eastAsia="Hind Light" w:hAnsiTheme="minorHAnsi" w:cstheme="minorHAnsi"/>
          <w:b/>
          <w:bCs/>
          <w:color w:val="3A82E4"/>
          <w:sz w:val="28"/>
          <w:szCs w:val="28"/>
          <w:lang w:val="es-ES_tradnl"/>
        </w:rPr>
        <w:t xml:space="preserve">Informe </w:t>
      </w:r>
      <w:r w:rsidRPr="0095226B">
        <w:rPr>
          <w:rFonts w:asciiTheme="minorHAnsi" w:eastAsia="Hind Light" w:hAnsiTheme="minorHAnsi" w:cstheme="minorHAnsi"/>
          <w:b/>
          <w:bCs/>
          <w:color w:val="3A82E4"/>
          <w:sz w:val="28"/>
          <w:szCs w:val="28"/>
          <w:lang w:val="es-ES_tradnl"/>
        </w:rPr>
        <w:t>del Secretario General</w:t>
      </w:r>
      <w:bookmarkEnd w:id="11"/>
    </w:p>
    <w:p w14:paraId="0D157EE0" w14:textId="235FA9E1" w:rsidR="001C4A63" w:rsidRPr="0095226B" w:rsidRDefault="001C4A63" w:rsidP="001C4A63">
      <w:pPr>
        <w:rPr>
          <w:noProof/>
          <w:lang w:val="es-ES_tradnl"/>
        </w:rPr>
      </w:pPr>
      <w:bookmarkStart w:id="12" w:name="lt_pId020"/>
      <w:r w:rsidRPr="0095226B">
        <w:rPr>
          <w:noProof/>
          <w:lang w:val="es-ES_tradnl"/>
        </w:rPr>
        <w:t xml:space="preserve">Nos complace ver que en el </w:t>
      </w:r>
      <w:r w:rsidR="00E12C69" w:rsidRPr="0095226B">
        <w:rPr>
          <w:noProof/>
          <w:lang w:val="es-ES_tradnl"/>
        </w:rPr>
        <w:t xml:space="preserve">Informe </w:t>
      </w:r>
      <w:r w:rsidRPr="0095226B">
        <w:rPr>
          <w:noProof/>
          <w:lang w:val="es-ES_tradnl"/>
        </w:rPr>
        <w:t xml:space="preserve">se hace hincapié en la importancia de un entorno propicio que </w:t>
      </w:r>
      <w:r w:rsidR="009B2219" w:rsidRPr="0095226B">
        <w:rPr>
          <w:noProof/>
          <w:lang w:val="es-ES_tradnl"/>
        </w:rPr>
        <w:t>"</w:t>
      </w:r>
      <w:r w:rsidRPr="0095226B">
        <w:rPr>
          <w:noProof/>
          <w:lang w:val="es-ES_tradnl"/>
        </w:rPr>
        <w:t>promueva la inversión y la innovación a través de la competencia, la capacitación, la transparencia, la flexibilidad y la participación activa de todas las partes interesadas</w:t>
      </w:r>
      <w:r w:rsidR="009B2219" w:rsidRPr="0095226B">
        <w:rPr>
          <w:noProof/>
          <w:lang w:val="es-ES_tradnl"/>
        </w:rPr>
        <w:t>"</w:t>
      </w:r>
      <w:bookmarkStart w:id="13" w:name="lt_pId021"/>
      <w:bookmarkEnd w:id="12"/>
      <w:r w:rsidRPr="0095226B">
        <w:rPr>
          <w:noProof/>
          <w:lang w:val="es-ES_tradnl"/>
        </w:rPr>
        <w:t>.</w:t>
      </w:r>
      <w:r w:rsidRPr="0095226B">
        <w:rPr>
          <w:rFonts w:cs="Calibri"/>
          <w:b/>
          <w:noProof/>
          <w:color w:val="800000"/>
          <w:sz w:val="22"/>
          <w:lang w:val="es-ES_tradnl"/>
        </w:rPr>
        <w:t xml:space="preserve"> </w:t>
      </w:r>
      <w:bookmarkStart w:id="14" w:name="lt_pId022"/>
      <w:bookmarkEnd w:id="13"/>
      <w:r w:rsidRPr="0095226B">
        <w:rPr>
          <w:noProof/>
          <w:lang w:val="es-ES_tradnl"/>
        </w:rPr>
        <w:t xml:space="preserve">En el </w:t>
      </w:r>
      <w:r w:rsidR="00E12C69" w:rsidRPr="0095226B">
        <w:rPr>
          <w:noProof/>
          <w:lang w:val="es-ES_tradnl"/>
        </w:rPr>
        <w:t xml:space="preserve">Informe </w:t>
      </w:r>
      <w:r w:rsidRPr="0095226B">
        <w:rPr>
          <w:noProof/>
          <w:lang w:val="es-ES_tradnl"/>
        </w:rPr>
        <w:t>se subraya que un entorno propicio debería apoyar la formulación de políticas eficaces para la inversión en infraestructuras, que es el resultado deseado; sin embargo, creemos que esto depende de una serie de condiciones previas. El desarrollo y la ampliación de las infraestructuras, especialmente para conectar a los que no tienen acceso a Internet, exige comprender las circunstancias y necesidades locales, y responder en consecuencia.</w:t>
      </w:r>
      <w:bookmarkEnd w:id="14"/>
      <w:r w:rsidRPr="0095226B">
        <w:rPr>
          <w:noProof/>
          <w:lang w:val="es-ES_tradnl"/>
        </w:rPr>
        <w:t xml:space="preserve"> </w:t>
      </w:r>
      <w:bookmarkStart w:id="15" w:name="lt_pId024"/>
      <w:r w:rsidRPr="0095226B">
        <w:rPr>
          <w:noProof/>
          <w:lang w:val="es-ES_tradnl"/>
        </w:rPr>
        <w:t xml:space="preserve">Hemos visto que los marcos y principios clave que permiten procesos inclusivos, abiertos, basados en la colaboración y la participación tienen una gran repercusión, al tiempo que permiten a las partes interesadas adaptar las necesidades de infraestructura en función de las realidades de su entorno local o </w:t>
      </w:r>
      <w:r w:rsidRPr="0095226B">
        <w:rPr>
          <w:noProof/>
          <w:lang w:val="es-ES_tradnl"/>
        </w:rPr>
        <w:lastRenderedPageBreak/>
        <w:t xml:space="preserve">regional. En la sección 2.6 vemos una oportunidad de mejorar el texto del </w:t>
      </w:r>
      <w:r w:rsidR="00E12C69" w:rsidRPr="0095226B">
        <w:rPr>
          <w:noProof/>
          <w:lang w:val="es-ES_tradnl"/>
        </w:rPr>
        <w:t xml:space="preserve">Informe </w:t>
      </w:r>
      <w:r w:rsidRPr="0095226B">
        <w:rPr>
          <w:noProof/>
          <w:lang w:val="es-ES_tradnl"/>
        </w:rPr>
        <w:t>a fin de apoyar entornos propicios y procesos inclusivos para la elaboración de políticas eficaces.</w:t>
      </w:r>
      <w:bookmarkEnd w:id="15"/>
    </w:p>
    <w:p w14:paraId="0CB10DC7" w14:textId="77777777" w:rsidR="001C4A63" w:rsidRPr="0095226B" w:rsidRDefault="001C4A63" w:rsidP="001C4A63">
      <w:pPr>
        <w:tabs>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s-ES_tradnl"/>
        </w:rPr>
      </w:pPr>
      <w:bookmarkStart w:id="16" w:name="lt_pId025"/>
      <w:r w:rsidRPr="0095226B">
        <w:rPr>
          <w:rFonts w:asciiTheme="minorHAnsi" w:eastAsia="Hind Light" w:hAnsiTheme="minorHAnsi" w:cstheme="minorHAnsi"/>
          <w:b/>
          <w:bCs/>
          <w:color w:val="3A82E4"/>
          <w:sz w:val="28"/>
          <w:szCs w:val="28"/>
          <w:lang w:val="es-ES_tradnl"/>
        </w:rPr>
        <w:t>Comentarios sobre el proyecto de Opinión 1</w:t>
      </w:r>
      <w:bookmarkEnd w:id="16"/>
    </w:p>
    <w:p w14:paraId="7F6A39D2" w14:textId="6EA71AD2" w:rsidR="001C4A63" w:rsidRPr="0095226B" w:rsidRDefault="001C4A63" w:rsidP="00DD5F6D">
      <w:pPr>
        <w:rPr>
          <w:noProof/>
          <w:lang w:val="es-ES_tradnl"/>
        </w:rPr>
      </w:pPr>
      <w:bookmarkStart w:id="17" w:name="lt_pId027"/>
      <w:r w:rsidRPr="0095226B">
        <w:rPr>
          <w:noProof/>
          <w:lang w:val="es-ES_tradnl"/>
        </w:rPr>
        <w:t xml:space="preserve">Elogiamos la iniciativa contenida en este proyecto de Opinión de invitar a los Estados </w:t>
      </w:r>
      <w:r w:rsidR="0095226B" w:rsidRPr="0095226B">
        <w:rPr>
          <w:noProof/>
          <w:lang w:val="es-ES_tradnl"/>
        </w:rPr>
        <w:t xml:space="preserve">Miembros </w:t>
      </w:r>
      <w:r w:rsidRPr="0095226B">
        <w:rPr>
          <w:noProof/>
          <w:lang w:val="es-ES_tradnl"/>
        </w:rPr>
        <w:t>a considerar y apoyar soluciones de conectividad innovadoras, así como un entorno propicio para estas soluciones. Además, nuestra experiencia demuestra que es importante reconocerlas como un factor habilitador del desarrollo sostenible, que empodera a los grupos e individuos marginados y fomenta la iniciativa empresarial en el ámbito local.</w:t>
      </w:r>
      <w:bookmarkEnd w:id="17"/>
      <w:r w:rsidRPr="0095226B">
        <w:rPr>
          <w:noProof/>
          <w:lang w:val="es-ES_tradnl"/>
        </w:rPr>
        <w:t xml:space="preserve"> </w:t>
      </w:r>
      <w:bookmarkStart w:id="18" w:name="lt_pId028"/>
      <w:r w:rsidRPr="0095226B">
        <w:rPr>
          <w:noProof/>
          <w:lang w:val="es-ES_tradnl"/>
        </w:rPr>
        <w:t>Creemos que integrar y destacar el término "soluciones de acceso complementarias", así como añadir ejemplos como el de las redes comunitarias al primer tema de los puntos de vista de esta Opinión, pondrá de relieve las diversas opciones y experiencias de conectividad que hemos visto en todo el mundo.</w:t>
      </w:r>
      <w:bookmarkEnd w:id="18"/>
    </w:p>
    <w:p w14:paraId="293925C7" w14:textId="77777777" w:rsidR="001C4A63" w:rsidRPr="0095226B" w:rsidRDefault="001C4A63" w:rsidP="001C4A63">
      <w:pPr>
        <w:tabs>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s-ES_tradnl"/>
        </w:rPr>
      </w:pPr>
      <w:bookmarkStart w:id="19" w:name="lt_pId029"/>
      <w:r w:rsidRPr="0095226B">
        <w:rPr>
          <w:rFonts w:asciiTheme="minorHAnsi" w:eastAsia="Hind Light" w:hAnsiTheme="minorHAnsi" w:cstheme="minorHAnsi"/>
          <w:b/>
          <w:bCs/>
          <w:color w:val="3A82E4"/>
          <w:sz w:val="28"/>
          <w:szCs w:val="28"/>
          <w:lang w:val="es-ES_tradnl"/>
        </w:rPr>
        <w:t>Comentarios sobre el proyecto de Opinión 2</w:t>
      </w:r>
      <w:bookmarkEnd w:id="19"/>
    </w:p>
    <w:p w14:paraId="106AF9C5" w14:textId="73B780BB" w:rsidR="001C4A63" w:rsidRPr="0095226B" w:rsidRDefault="001C4A63" w:rsidP="00DD5F6D">
      <w:pPr>
        <w:rPr>
          <w:noProof/>
          <w:lang w:val="es-ES_tradnl"/>
        </w:rPr>
      </w:pPr>
      <w:bookmarkStart w:id="20" w:name="lt_pId030"/>
      <w:r w:rsidRPr="0095226B">
        <w:rPr>
          <w:noProof/>
          <w:lang w:val="es-ES_tradnl"/>
        </w:rPr>
        <w:t xml:space="preserve">Consideramos que el tema 4 en la sección en que se </w:t>
      </w:r>
      <w:r w:rsidR="00C962E2" w:rsidRPr="0095226B">
        <w:rPr>
          <w:noProof/>
          <w:lang w:val="es-ES_tradnl"/>
        </w:rPr>
        <w:t>"</w:t>
      </w:r>
      <w:r w:rsidRPr="0095226B">
        <w:rPr>
          <w:i/>
          <w:iCs/>
          <w:noProof/>
          <w:lang w:val="es-ES_tradnl"/>
        </w:rPr>
        <w:t>invita a los Estados Miembros</w:t>
      </w:r>
      <w:r w:rsidR="00C962E2" w:rsidRPr="0095226B">
        <w:rPr>
          <w:noProof/>
          <w:lang w:val="es-ES_tradnl"/>
        </w:rPr>
        <w:t>" "</w:t>
      </w:r>
      <w:r w:rsidRPr="0095226B">
        <w:rPr>
          <w:noProof/>
          <w:lang w:val="es-ES_tradnl"/>
        </w:rPr>
        <w:t>a considerar la posibilidad de adoptar medidas políticas y reglamentarias que faciliten el despliegue de infraestructuras en zonas rurales y aisladas, incluidas la compartición de infraestructuras, la interconexión y la utilización eficaz del espectro</w:t>
      </w:r>
      <w:r w:rsidR="00C962E2" w:rsidRPr="0095226B">
        <w:rPr>
          <w:noProof/>
          <w:lang w:val="es-ES_tradnl"/>
        </w:rPr>
        <w:t>"</w:t>
      </w:r>
      <w:r w:rsidRPr="0095226B">
        <w:rPr>
          <w:noProof/>
          <w:lang w:val="es-ES_tradnl"/>
        </w:rPr>
        <w:t>, resulta esencial para lograr la conectividad universal en 2030 con arreglo a los Objetivos de Desarrollo Sostenible.</w:t>
      </w:r>
      <w:bookmarkEnd w:id="20"/>
    </w:p>
    <w:p w14:paraId="72FCB010" w14:textId="353586DF" w:rsidR="001C4A63" w:rsidRPr="0095226B" w:rsidRDefault="001C4A63" w:rsidP="001C4A63">
      <w:pPr>
        <w:tabs>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s-ES_tradnl"/>
        </w:rPr>
      </w:pPr>
      <w:bookmarkStart w:id="21" w:name="lt_pId031"/>
      <w:r w:rsidRPr="0095226B">
        <w:rPr>
          <w:rFonts w:asciiTheme="minorHAnsi" w:eastAsia="Hind Light" w:hAnsiTheme="minorHAnsi" w:cstheme="minorHAnsi"/>
          <w:noProof/>
          <w:szCs w:val="24"/>
          <w:lang w:val="es-ES_tradnl"/>
        </w:rPr>
        <w:t xml:space="preserve">Quisiéramos apoyarnos en el proyecto de Opinión 2 invitando a los Estados </w:t>
      </w:r>
      <w:r w:rsidR="0095226B" w:rsidRPr="0095226B">
        <w:rPr>
          <w:rFonts w:asciiTheme="minorHAnsi" w:eastAsia="Hind Light" w:hAnsiTheme="minorHAnsi" w:cstheme="minorHAnsi"/>
          <w:noProof/>
          <w:szCs w:val="24"/>
          <w:lang w:val="es-ES_tradnl"/>
        </w:rPr>
        <w:t xml:space="preserve">Miembros </w:t>
      </w:r>
      <w:r w:rsidRPr="0095226B">
        <w:rPr>
          <w:rFonts w:asciiTheme="minorHAnsi" w:eastAsia="Hind Light" w:hAnsiTheme="minorHAnsi" w:cstheme="minorHAnsi"/>
          <w:noProof/>
          <w:szCs w:val="24"/>
          <w:lang w:val="es-ES_tradnl"/>
        </w:rPr>
        <w:t>a considerar marcos reglamentarios que:</w:t>
      </w:r>
      <w:bookmarkEnd w:id="21"/>
    </w:p>
    <w:p w14:paraId="62FB4A2D" w14:textId="0AC1898C" w:rsidR="001C4A63" w:rsidRPr="0095226B" w:rsidRDefault="001C4A63" w:rsidP="00077E23">
      <w:pPr>
        <w:pStyle w:val="enumlev1"/>
        <w:rPr>
          <w:noProof/>
          <w:lang w:val="es-ES_tradnl"/>
        </w:rPr>
      </w:pPr>
      <w:bookmarkStart w:id="22" w:name="lt_pId032"/>
      <w:r w:rsidRPr="0095226B">
        <w:rPr>
          <w:noProof/>
          <w:lang w:val="es-ES_tradnl"/>
        </w:rPr>
        <w:t>a)</w:t>
      </w:r>
      <w:r w:rsidR="00077E23" w:rsidRPr="0095226B">
        <w:rPr>
          <w:noProof/>
          <w:lang w:val="es-ES_tradnl"/>
        </w:rPr>
        <w:tab/>
      </w:r>
      <w:r w:rsidRPr="0095226B">
        <w:rPr>
          <w:noProof/>
          <w:lang w:val="es-ES_tradnl"/>
        </w:rPr>
        <w:t>permitan el acceso al espectro en zonas rurales, distantes, desatendidas e insuficientemente atendidas, mediante marcos de uso compartido del espectro ("úsalo o compártelo"), la asignación dinámica de espectro y la disponibilidad de espectro sin licencia en tantas bandas como sea posible teniendo en cuenta las nuevas tecnologías, como Wi-Fi 6 en la banda de 6</w:t>
      </w:r>
      <w:r w:rsidR="00077E23" w:rsidRPr="0095226B">
        <w:rPr>
          <w:noProof/>
          <w:lang w:val="es-ES_tradnl"/>
        </w:rPr>
        <w:t> </w:t>
      </w:r>
      <w:r w:rsidRPr="0095226B">
        <w:rPr>
          <w:noProof/>
          <w:lang w:val="es-ES_tradnl"/>
        </w:rPr>
        <w:t>G</w:t>
      </w:r>
      <w:r w:rsidR="00077E23" w:rsidRPr="0095226B">
        <w:rPr>
          <w:noProof/>
          <w:lang w:val="es-ES_tradnl"/>
        </w:rPr>
        <w:t>H</w:t>
      </w:r>
      <w:r w:rsidRPr="0095226B">
        <w:rPr>
          <w:noProof/>
          <w:lang w:val="es-ES_tradnl"/>
        </w:rPr>
        <w:t>z;</w:t>
      </w:r>
      <w:bookmarkEnd w:id="22"/>
    </w:p>
    <w:p w14:paraId="5D597DA2" w14:textId="3E766E94" w:rsidR="001C4A63" w:rsidRPr="0095226B" w:rsidRDefault="001C4A63" w:rsidP="00077E23">
      <w:pPr>
        <w:pStyle w:val="enumlev1"/>
        <w:rPr>
          <w:noProof/>
          <w:lang w:val="es-ES_tradnl"/>
        </w:rPr>
      </w:pPr>
      <w:bookmarkStart w:id="23" w:name="lt_pId033"/>
      <w:r w:rsidRPr="0095226B">
        <w:rPr>
          <w:noProof/>
          <w:lang w:val="es-ES_tradnl"/>
        </w:rPr>
        <w:t>b)</w:t>
      </w:r>
      <w:r w:rsidR="00077E23" w:rsidRPr="0095226B">
        <w:rPr>
          <w:noProof/>
          <w:lang w:val="es-ES_tradnl"/>
        </w:rPr>
        <w:tab/>
      </w:r>
      <w:r w:rsidRPr="0095226B">
        <w:rPr>
          <w:noProof/>
          <w:lang w:val="es-ES_tradnl"/>
        </w:rPr>
        <w:t>agilicen la concesión de licencias, haciendo que los procesos sean accesibles; y</w:t>
      </w:r>
      <w:bookmarkEnd w:id="23"/>
    </w:p>
    <w:p w14:paraId="4D358F29" w14:textId="2BC382F9" w:rsidR="001C4A63" w:rsidRPr="0095226B" w:rsidRDefault="001C4A63" w:rsidP="00077E23">
      <w:pPr>
        <w:pStyle w:val="enumlev1"/>
        <w:rPr>
          <w:noProof/>
          <w:lang w:val="es-ES_tradnl"/>
        </w:rPr>
      </w:pPr>
      <w:bookmarkStart w:id="24" w:name="lt_pId034"/>
      <w:r w:rsidRPr="0095226B">
        <w:rPr>
          <w:noProof/>
          <w:lang w:val="es-ES_tradnl"/>
        </w:rPr>
        <w:t>c)</w:t>
      </w:r>
      <w:r w:rsidR="00077E23" w:rsidRPr="0095226B">
        <w:rPr>
          <w:noProof/>
          <w:lang w:val="es-ES_tradnl"/>
        </w:rPr>
        <w:tab/>
      </w:r>
      <w:r w:rsidRPr="0095226B">
        <w:rPr>
          <w:noProof/>
          <w:lang w:val="es-ES_tradnl"/>
        </w:rPr>
        <w:t>utilicen los Fondos del Servicio Universal de forma innovadora para llegar a los lugares más difíciles de conectar.</w:t>
      </w:r>
      <w:bookmarkEnd w:id="24"/>
      <w:r w:rsidRPr="0095226B">
        <w:rPr>
          <w:noProof/>
          <w:vertAlign w:val="superscript"/>
          <w:lang w:val="es-ES_tradnl"/>
        </w:rPr>
        <w:footnoteReference w:id="1"/>
      </w:r>
    </w:p>
    <w:p w14:paraId="1AC1F389" w14:textId="77777777" w:rsidR="001C4A63" w:rsidRPr="0095226B" w:rsidRDefault="001C4A63" w:rsidP="001C4A63">
      <w:pPr>
        <w:tabs>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s-ES_tradnl"/>
        </w:rPr>
      </w:pPr>
      <w:bookmarkStart w:id="26" w:name="lt_pId035"/>
      <w:r w:rsidRPr="0095226B">
        <w:rPr>
          <w:rFonts w:asciiTheme="minorHAnsi" w:eastAsia="Hind Light" w:hAnsiTheme="minorHAnsi" w:cstheme="minorHAnsi"/>
          <w:b/>
          <w:bCs/>
          <w:color w:val="3A82E4"/>
          <w:sz w:val="28"/>
          <w:szCs w:val="28"/>
          <w:lang w:val="es-ES_tradnl"/>
        </w:rPr>
        <w:t>Comentarios sobre el proyecto de Opinión 3</w:t>
      </w:r>
      <w:bookmarkEnd w:id="26"/>
    </w:p>
    <w:p w14:paraId="1DA887DE" w14:textId="2EDE9F0B" w:rsidR="001C4A63" w:rsidRPr="0095226B" w:rsidRDefault="001C4A63" w:rsidP="00DD5F6D">
      <w:pPr>
        <w:rPr>
          <w:noProof/>
          <w:lang w:val="es-ES_tradnl"/>
        </w:rPr>
      </w:pPr>
      <w:bookmarkStart w:id="27" w:name="lt_pId038"/>
      <w:r w:rsidRPr="0095226B">
        <w:rPr>
          <w:noProof/>
          <w:lang w:val="es-ES_tradnl"/>
        </w:rPr>
        <w:t>La Internet Society cree que, para lograr la conectividad universal, resulta indispensable fomentar la capacidad y la alfabetización digital en las zonas rurales, urbanas, distantes, desatendidas e insuficientemente atendidas. Esfuerzos localizados con soluciones de acceso complementarias, como las redes comunitarias, mejoran la alfabetización digital y las capacidades de las comunidades locales, promoviendo modelos de conectividad autogestionados y autosostenidos</w:t>
      </w:r>
      <w:r w:rsidR="00E1028A">
        <w:rPr>
          <w:noProof/>
          <w:lang w:val="es-ES_tradnl"/>
        </w:rPr>
        <w:t>.</w:t>
      </w:r>
      <w:r w:rsidRPr="0095226B">
        <w:rPr>
          <w:noProof/>
          <w:vertAlign w:val="superscript"/>
          <w:lang w:val="es-ES_tradnl"/>
        </w:rPr>
        <w:footnoteReference w:id="2"/>
      </w:r>
      <w:r w:rsidRPr="0095226B">
        <w:rPr>
          <w:noProof/>
          <w:lang w:val="es-ES_tradnl"/>
        </w:rPr>
        <w:t xml:space="preserve"> Por lo tanto, proponemos incluir el </w:t>
      </w:r>
      <w:r w:rsidR="009B2219" w:rsidRPr="0095226B">
        <w:rPr>
          <w:noProof/>
          <w:lang w:val="es-ES_tradnl"/>
        </w:rPr>
        <w:t>"</w:t>
      </w:r>
      <w:r w:rsidRPr="0095226B">
        <w:rPr>
          <w:noProof/>
          <w:lang w:val="es-ES_tradnl"/>
        </w:rPr>
        <w:t>despliegue de infraestructuras</w:t>
      </w:r>
      <w:r w:rsidR="009B2219" w:rsidRPr="0095226B">
        <w:rPr>
          <w:noProof/>
          <w:lang w:val="es-ES_tradnl"/>
        </w:rPr>
        <w:t>"</w:t>
      </w:r>
      <w:r w:rsidRPr="0095226B">
        <w:rPr>
          <w:noProof/>
          <w:lang w:val="es-ES_tradnl"/>
        </w:rPr>
        <w:t xml:space="preserve"> como un área esencial para el desarrollo de calificaciones en el tema 1 de la sección </w:t>
      </w:r>
      <w:r w:rsidRPr="0095226B">
        <w:rPr>
          <w:i/>
          <w:iCs/>
          <w:noProof/>
          <w:lang w:val="es-ES_tradnl"/>
        </w:rPr>
        <w:t>opina</w:t>
      </w:r>
      <w:r w:rsidRPr="0095226B">
        <w:rPr>
          <w:noProof/>
          <w:lang w:val="es-ES_tradnl"/>
        </w:rPr>
        <w:t xml:space="preserve"> de esta Opinión.</w:t>
      </w:r>
      <w:bookmarkEnd w:id="27"/>
    </w:p>
    <w:p w14:paraId="657112DB" w14:textId="77777777" w:rsidR="001C4A63" w:rsidRPr="0095226B" w:rsidRDefault="001C4A63" w:rsidP="001C4A63">
      <w:pPr>
        <w:tabs>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s-ES_tradnl"/>
        </w:rPr>
      </w:pPr>
      <w:bookmarkStart w:id="29" w:name="lt_pId039"/>
      <w:r w:rsidRPr="0095226B">
        <w:rPr>
          <w:rFonts w:asciiTheme="minorHAnsi" w:eastAsia="Hind Light" w:hAnsiTheme="minorHAnsi" w:cstheme="minorHAnsi"/>
          <w:b/>
          <w:bCs/>
          <w:color w:val="3A82E4"/>
          <w:sz w:val="28"/>
          <w:szCs w:val="28"/>
          <w:lang w:val="es-ES_tradnl"/>
        </w:rPr>
        <w:lastRenderedPageBreak/>
        <w:t>Comentarios sobre el proyecto de Opinión 4</w:t>
      </w:r>
      <w:bookmarkEnd w:id="29"/>
    </w:p>
    <w:p w14:paraId="3DED5924" w14:textId="5E0A84C0" w:rsidR="001C4A63" w:rsidRPr="0095226B" w:rsidRDefault="001C4A63" w:rsidP="00077E23">
      <w:pPr>
        <w:rPr>
          <w:noProof/>
          <w:lang w:val="es-ES_tradnl"/>
        </w:rPr>
      </w:pPr>
      <w:bookmarkStart w:id="30" w:name="lt_pId040"/>
      <w:r w:rsidRPr="0095226B">
        <w:rPr>
          <w:noProof/>
          <w:lang w:val="es-ES_tradnl"/>
        </w:rPr>
        <w:t xml:space="preserve">En el </w:t>
      </w:r>
      <w:r w:rsidR="00E12C69" w:rsidRPr="0095226B">
        <w:rPr>
          <w:noProof/>
          <w:lang w:val="es-ES_tradnl"/>
        </w:rPr>
        <w:t xml:space="preserve">Informe </w:t>
      </w:r>
      <w:r w:rsidRPr="0095226B">
        <w:rPr>
          <w:noProof/>
          <w:lang w:val="es-ES_tradnl"/>
        </w:rPr>
        <w:t xml:space="preserve">de la UIT titulado </w:t>
      </w:r>
      <w:r w:rsidR="009B2219" w:rsidRPr="0095226B">
        <w:rPr>
          <w:noProof/>
          <w:lang w:val="es-ES_tradnl"/>
        </w:rPr>
        <w:t>"</w:t>
      </w:r>
      <w:r w:rsidRPr="0095226B">
        <w:rPr>
          <w:noProof/>
          <w:lang w:val="es-ES_tradnl"/>
        </w:rPr>
        <w:t xml:space="preserve">Measuring digital development – Facts and </w:t>
      </w:r>
      <w:r w:rsidR="00DD7962" w:rsidRPr="0095226B">
        <w:rPr>
          <w:noProof/>
          <w:lang w:val="es-ES_tradnl"/>
        </w:rPr>
        <w:t xml:space="preserve">figures </w:t>
      </w:r>
      <w:r w:rsidRPr="0095226B">
        <w:rPr>
          <w:noProof/>
          <w:lang w:val="es-ES_tradnl"/>
        </w:rPr>
        <w:t>2020</w:t>
      </w:r>
      <w:r w:rsidR="009B2219" w:rsidRPr="0095226B">
        <w:rPr>
          <w:noProof/>
          <w:lang w:val="es-ES_tradnl"/>
        </w:rPr>
        <w:t>"</w:t>
      </w:r>
      <w:r w:rsidRPr="0095226B">
        <w:rPr>
          <w:lang w:val="es-ES_tradnl"/>
        </w:rPr>
        <w:t xml:space="preserve"> se </w:t>
      </w:r>
      <w:r w:rsidRPr="0095226B">
        <w:rPr>
          <w:noProof/>
          <w:lang w:val="es-ES_tradnl"/>
        </w:rPr>
        <w:t>muestra que, aunque sigue habiendo una tendencia global al alza en el uso del ancho de banda, el despliegue de las redes de banda móvil se está ralentizando, afectando sobre todo a las zonas rurales de los países menos adelantados (PMA)</w:t>
      </w:r>
      <w:r w:rsidR="00E1028A">
        <w:rPr>
          <w:noProof/>
          <w:lang w:val="es-ES_tradnl"/>
        </w:rPr>
        <w:t>.</w:t>
      </w:r>
      <w:r w:rsidRPr="0095226B">
        <w:rPr>
          <w:noProof/>
          <w:vertAlign w:val="superscript"/>
          <w:lang w:val="es-ES_tradnl"/>
        </w:rPr>
        <w:footnoteReference w:id="3"/>
      </w:r>
      <w:bookmarkEnd w:id="30"/>
    </w:p>
    <w:p w14:paraId="55817E09" w14:textId="77777777" w:rsidR="001C4A63" w:rsidRPr="0095226B" w:rsidRDefault="001C4A63" w:rsidP="001C4A63">
      <w:pPr>
        <w:tabs>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s-ES_tradnl"/>
        </w:rPr>
      </w:pPr>
      <w:bookmarkStart w:id="32" w:name="lt_pId041"/>
      <w:r w:rsidRPr="0095226B">
        <w:rPr>
          <w:rFonts w:asciiTheme="minorHAnsi" w:eastAsia="Hind Light" w:hAnsiTheme="minorHAnsi" w:cstheme="minorHAnsi"/>
          <w:noProof/>
          <w:szCs w:val="24"/>
          <w:lang w:val="es-ES_tradnl"/>
        </w:rPr>
        <w:t>Elogiamos los esfuerzos para sensibilizar acerca de los desafíos de los países menos adelantados (PMA), los países en desarrollo sin litoral (PDSL) y los pequeños Estados insulares en desarrollo (PEID), y quisiéramos alentar los esfuerzos de los Estados Miembros para abordar el desarrollo de la conectividad de manera multilateral, con soluciones de acceso innovadoras y complementarias como las redes comunitarias.</w:t>
      </w:r>
      <w:bookmarkEnd w:id="32"/>
    </w:p>
    <w:p w14:paraId="63CD15CE" w14:textId="77777777" w:rsidR="001C4A63" w:rsidRPr="0095226B" w:rsidRDefault="001C4A63" w:rsidP="001C4A63">
      <w:pPr>
        <w:tabs>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s-ES_tradnl"/>
        </w:rPr>
      </w:pPr>
      <w:bookmarkStart w:id="33" w:name="lt_pId042"/>
      <w:r w:rsidRPr="0095226B">
        <w:rPr>
          <w:rFonts w:asciiTheme="minorHAnsi" w:eastAsia="Hind Light" w:hAnsiTheme="minorHAnsi" w:cstheme="minorHAnsi"/>
          <w:b/>
          <w:bCs/>
          <w:color w:val="3A82E4"/>
          <w:sz w:val="28"/>
          <w:szCs w:val="28"/>
          <w:lang w:val="es-ES_tradnl"/>
        </w:rPr>
        <w:t>Comentarios sobre el proyecto de Opinión 5</w:t>
      </w:r>
      <w:bookmarkEnd w:id="33"/>
    </w:p>
    <w:p w14:paraId="4DCA6750" w14:textId="77777777" w:rsidR="001C4A63" w:rsidRPr="0095226B" w:rsidRDefault="001C4A63" w:rsidP="001C4A63">
      <w:pPr>
        <w:tabs>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s-ES_tradnl"/>
        </w:rPr>
      </w:pPr>
      <w:bookmarkStart w:id="34" w:name="lt_pId046"/>
      <w:r w:rsidRPr="0095226B">
        <w:rPr>
          <w:rFonts w:asciiTheme="minorHAnsi" w:eastAsia="Hind Light" w:hAnsiTheme="minorHAnsi" w:cstheme="minorHAnsi"/>
          <w:noProof/>
          <w:szCs w:val="24"/>
          <w:lang w:val="es-ES_tradnl"/>
        </w:rPr>
        <w:t>Internet es hoy más que nunca una tabla de salvación para muchos en todo el mundo. La pandemia de la COVID-19 puso de manifiesto la importancia de la conectividad para el trabajo, la educación, la asistencia sanitaria y para mantener el contacto con nuestros seres queridos. Además, Internet desbloquea las capacidades humanas y proporciona la plataforma sobre la que puede prosperar una economía digital emergente, y a medida que se vuelve más esencial, también lo es la tarea de conectar a los que se han quedado atrás. Alentamos e invitamos a los Estados miembros a que consideren soluciones e iniciativas de acceso complementario, como son las redes comunitarias, como una de las herramientas para hacer frente a la brecha digital, apoyar a las comunidades locales frente a futuras pandemias y ponernos en el camino para lograr la conectividad universal.</w:t>
      </w:r>
      <w:bookmarkEnd w:id="34"/>
    </w:p>
    <w:p w14:paraId="68EA3BFB" w14:textId="77777777" w:rsidR="001C4A63" w:rsidRPr="0095226B" w:rsidRDefault="001C4A63" w:rsidP="001C4A63">
      <w:pPr>
        <w:tabs>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s-ES_tradnl"/>
        </w:rPr>
      </w:pPr>
      <w:r w:rsidRPr="0095226B">
        <w:rPr>
          <w:rFonts w:asciiTheme="minorHAnsi" w:eastAsia="Hind Light" w:hAnsiTheme="minorHAnsi" w:cstheme="minorHAnsi"/>
          <w:b/>
          <w:bCs/>
          <w:color w:val="3A82E4"/>
          <w:sz w:val="28"/>
          <w:szCs w:val="28"/>
          <w:lang w:val="es-ES_tradnl"/>
        </w:rPr>
        <w:t>Conclusión</w:t>
      </w:r>
    </w:p>
    <w:p w14:paraId="7D0BF6CE" w14:textId="50D63E0B" w:rsidR="001C4A63" w:rsidRDefault="001C4A63" w:rsidP="001C4A63">
      <w:pPr>
        <w:tabs>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s-ES_tradnl"/>
        </w:rPr>
      </w:pPr>
      <w:bookmarkStart w:id="35" w:name="lt_pId049"/>
      <w:r w:rsidRPr="0095226B">
        <w:rPr>
          <w:rFonts w:asciiTheme="minorHAnsi" w:eastAsia="Hind Light" w:hAnsiTheme="minorHAnsi" w:cstheme="minorHAnsi"/>
          <w:noProof/>
          <w:szCs w:val="24"/>
          <w:lang w:val="es-ES_tradnl"/>
        </w:rPr>
        <w:t>Mientras reflexionamos sobre las enseñanzas extraídas en los dos últimos años, no nos cansemos en nuestros esfuerzos por ampliar las infraestructuras y permitir formas de conectividad complementarias, por desarrollar marcos reglamentarios y políticos más eficientes y eficaces que permitan un despliegue más rápido de las redes, y por colaborar en enfoques de financiación innovadores para el desarrollo de las infraestructuras. Esperamos con interés el próximo diálogo entre las distintas partes interesadas en el marco del FMPT-21 y deseamos a los participantes que tengan éxito.</w:t>
      </w:r>
      <w:bookmarkEnd w:id="35"/>
    </w:p>
    <w:p w14:paraId="1644815C" w14:textId="77777777" w:rsidR="00DD5F6D" w:rsidRDefault="00DD5F6D" w:rsidP="00751B78">
      <w:pPr>
        <w:spacing w:before="840"/>
        <w:jc w:val="center"/>
      </w:pPr>
      <w:r>
        <w:t>______________</w:t>
      </w:r>
    </w:p>
    <w:sectPr w:rsidR="00DD5F6D"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FDCF" w14:textId="77777777" w:rsidR="001C4A63" w:rsidRDefault="001C4A63">
      <w:r>
        <w:separator/>
      </w:r>
    </w:p>
  </w:endnote>
  <w:endnote w:type="continuationSeparator" w:id="0">
    <w:p w14:paraId="0079CF19" w14:textId="77777777" w:rsidR="001C4A63" w:rsidRDefault="001C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ind Light">
    <w:altName w:val="Hind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F090" w14:textId="433AB816" w:rsidR="00CB18FF" w:rsidRPr="00751B78" w:rsidRDefault="00262311" w:rsidP="00262311">
    <w:pPr>
      <w:pStyle w:val="Footer"/>
      <w:rPr>
        <w:color w:val="F2F2F2" w:themeColor="background1" w:themeShade="F2"/>
      </w:rPr>
    </w:pPr>
    <w:r w:rsidRPr="00751B78">
      <w:rPr>
        <w:color w:val="F2F2F2" w:themeColor="background1" w:themeShade="F2"/>
      </w:rPr>
      <w:fldChar w:fldCharType="begin"/>
    </w:r>
    <w:r w:rsidRPr="00751B78">
      <w:rPr>
        <w:color w:val="F2F2F2" w:themeColor="background1" w:themeShade="F2"/>
      </w:rPr>
      <w:instrText xml:space="preserve"> FILENAME  \p  \* MERGEFORMAT </w:instrText>
    </w:r>
    <w:r w:rsidRPr="00751B78">
      <w:rPr>
        <w:color w:val="F2F2F2" w:themeColor="background1" w:themeShade="F2"/>
      </w:rPr>
      <w:fldChar w:fldCharType="separate"/>
    </w:r>
    <w:r w:rsidRPr="00751B78">
      <w:rPr>
        <w:color w:val="F2F2F2" w:themeColor="background1" w:themeShade="F2"/>
      </w:rPr>
      <w:t>P:\ESP\SG\CONF-SG\WTPF21\000\007S.docx</w:t>
    </w:r>
    <w:r w:rsidRPr="00751B78">
      <w:rPr>
        <w:color w:val="F2F2F2" w:themeColor="background1" w:themeShade="F2"/>
      </w:rPr>
      <w:fldChar w:fldCharType="end"/>
    </w:r>
    <w:r w:rsidRPr="00751B78">
      <w:rPr>
        <w:color w:val="F2F2F2" w:themeColor="background1" w:themeShade="F2"/>
      </w:rPr>
      <w:t xml:space="preserve"> (499344)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63D0" w14:textId="77777777" w:rsidR="00322D0D" w:rsidRPr="0088171D" w:rsidRDefault="00322D0D" w:rsidP="000815FC">
    <w:pPr>
      <w:spacing w:before="0"/>
      <w:jc w:val="center"/>
      <w:rPr>
        <w:sz w:val="22"/>
        <w:szCs w:val="22"/>
      </w:rPr>
    </w:pPr>
    <w:r w:rsidRPr="0088171D">
      <w:rPr>
        <w:sz w:val="22"/>
        <w:szCs w:val="22"/>
      </w:rPr>
      <w:t xml:space="preserve">• </w:t>
    </w:r>
    <w:hyperlink r:id="rId1" w:history="1">
      <w:r w:rsidR="00EE6032" w:rsidRPr="0088171D">
        <w:rPr>
          <w:rStyle w:val="Hyperlink"/>
          <w:sz w:val="22"/>
          <w:szCs w:val="22"/>
        </w:rPr>
        <w:t>http://www.itu.int/WTPF</w:t>
      </w:r>
    </w:hyperlink>
    <w:r w:rsidRPr="0088171D">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4CE0" w14:textId="77777777" w:rsidR="001C4A63" w:rsidRDefault="001C4A63">
      <w:r>
        <w:t>____________________</w:t>
      </w:r>
    </w:p>
  </w:footnote>
  <w:footnote w:type="continuationSeparator" w:id="0">
    <w:p w14:paraId="5112181F" w14:textId="77777777" w:rsidR="001C4A63" w:rsidRDefault="001C4A63">
      <w:r>
        <w:continuationSeparator/>
      </w:r>
    </w:p>
  </w:footnote>
  <w:footnote w:id="1">
    <w:p w14:paraId="4F0828E2" w14:textId="76F907FF" w:rsidR="001C4A63" w:rsidRPr="00907285" w:rsidRDefault="001C4A63" w:rsidP="001C4A63">
      <w:pPr>
        <w:pStyle w:val="FootnoteText"/>
        <w:rPr>
          <w:lang w:val="es-ES"/>
        </w:rPr>
      </w:pPr>
      <w:r w:rsidRPr="00907285">
        <w:rPr>
          <w:rStyle w:val="FootnoteReference"/>
          <w:lang w:val="es-ES"/>
        </w:rPr>
        <w:footnoteRef/>
      </w:r>
      <w:bookmarkStart w:id="25" w:name="lt_pId051"/>
      <w:r w:rsidR="00DD5F6D">
        <w:rPr>
          <w:lang w:val="es-ES"/>
        </w:rPr>
        <w:tab/>
      </w:r>
      <w:r w:rsidRPr="0053776D">
        <w:rPr>
          <w:i/>
          <w:iCs/>
          <w:sz w:val="18"/>
          <w:szCs w:val="18"/>
          <w:lang w:val="en-US"/>
        </w:rPr>
        <w:t>Unleashing Community Networks: Innovative Licensing approaches</w:t>
      </w:r>
      <w:r w:rsidRPr="00907285">
        <w:rPr>
          <w:sz w:val="18"/>
          <w:szCs w:val="18"/>
          <w:lang w:val="es-ES"/>
        </w:rPr>
        <w:t xml:space="preserve">: </w:t>
      </w:r>
      <w:hyperlink r:id="rId1" w:history="1">
        <w:r w:rsidRPr="0095226B">
          <w:rPr>
            <w:rStyle w:val="Hyperlink"/>
            <w:sz w:val="18"/>
            <w:szCs w:val="18"/>
            <w:lang w:val="es-ES"/>
          </w:rPr>
          <w:t>https://www.internetsociety.org/resources/2018/unleashing-community-networks-innovative-licensing-approaches/</w:t>
        </w:r>
        <w:bookmarkEnd w:id="25"/>
      </w:hyperlink>
    </w:p>
  </w:footnote>
  <w:footnote w:id="2">
    <w:p w14:paraId="07153D3F" w14:textId="1A4C3F61" w:rsidR="001C4A63" w:rsidRPr="00751B78" w:rsidRDefault="001C4A63" w:rsidP="001C4A63">
      <w:pPr>
        <w:pStyle w:val="FootnoteText"/>
        <w:rPr>
          <w:lang w:val="fr-CH"/>
        </w:rPr>
      </w:pPr>
      <w:r w:rsidRPr="3E26223A">
        <w:rPr>
          <w:rStyle w:val="FootnoteReference"/>
        </w:rPr>
        <w:footnoteRef/>
      </w:r>
      <w:bookmarkStart w:id="28" w:name="lt_pId052"/>
      <w:r w:rsidR="00DD5F6D" w:rsidRPr="00751B78">
        <w:rPr>
          <w:lang w:val="fr-CH"/>
        </w:rPr>
        <w:tab/>
      </w:r>
      <w:r w:rsidRPr="00E90E5E">
        <w:rPr>
          <w:sz w:val="18"/>
          <w:szCs w:val="18"/>
          <w:lang w:val="es-ES"/>
        </w:rPr>
        <w:t xml:space="preserve">En los estudios de caso desarrollados por la Internet </w:t>
      </w:r>
      <w:proofErr w:type="spellStart"/>
      <w:r w:rsidRPr="00E90E5E">
        <w:rPr>
          <w:sz w:val="18"/>
          <w:szCs w:val="18"/>
          <w:lang w:val="es-ES"/>
        </w:rPr>
        <w:t>Society</w:t>
      </w:r>
      <w:proofErr w:type="spellEnd"/>
      <w:r w:rsidRPr="00E90E5E">
        <w:rPr>
          <w:sz w:val="18"/>
          <w:szCs w:val="18"/>
          <w:lang w:val="es-ES"/>
        </w:rPr>
        <w:t xml:space="preserve"> se pueden encontrar varios ejemplos de cómo se lleva </w:t>
      </w:r>
      <w:r>
        <w:rPr>
          <w:sz w:val="18"/>
          <w:szCs w:val="18"/>
          <w:lang w:val="es-ES"/>
        </w:rPr>
        <w:t xml:space="preserve">esto </w:t>
      </w:r>
      <w:r w:rsidRPr="00E90E5E">
        <w:rPr>
          <w:sz w:val="18"/>
          <w:szCs w:val="18"/>
          <w:lang w:val="es-ES"/>
        </w:rPr>
        <w:t>a cabo</w:t>
      </w:r>
      <w:r w:rsidRPr="001A138B">
        <w:rPr>
          <w:sz w:val="18"/>
          <w:szCs w:val="18"/>
          <w:lang w:val="es-ES"/>
        </w:rPr>
        <w:t>:</w:t>
      </w:r>
      <w:r w:rsidRPr="00751B78">
        <w:rPr>
          <w:sz w:val="18"/>
          <w:szCs w:val="18"/>
          <w:lang w:val="fr-CH"/>
        </w:rPr>
        <w:t xml:space="preserve"> </w:t>
      </w:r>
      <w:hyperlink r:id="rId2" w:history="1">
        <w:r w:rsidRPr="00751B78">
          <w:rPr>
            <w:rStyle w:val="Hyperlink"/>
            <w:sz w:val="18"/>
            <w:szCs w:val="18"/>
            <w:lang w:val="fr-CH"/>
          </w:rPr>
          <w:t>https://www.internetsociety.org/issues/community-networks/success-stories/</w:t>
        </w:r>
      </w:hyperlink>
      <w:bookmarkEnd w:id="28"/>
    </w:p>
  </w:footnote>
  <w:footnote w:id="3">
    <w:p w14:paraId="54DB56E1" w14:textId="02DE526C" w:rsidR="001C4A63" w:rsidRPr="00751B78" w:rsidRDefault="001C4A63" w:rsidP="001C4A63">
      <w:pPr>
        <w:pStyle w:val="FootnoteText"/>
        <w:rPr>
          <w:sz w:val="20"/>
          <w:lang w:val="fr-CH"/>
        </w:rPr>
      </w:pPr>
      <w:r w:rsidRPr="00907285">
        <w:rPr>
          <w:rStyle w:val="FootnoteReference"/>
          <w:sz w:val="18"/>
          <w:szCs w:val="18"/>
          <w:lang w:val="es-ES"/>
        </w:rPr>
        <w:footnoteRef/>
      </w:r>
      <w:bookmarkStart w:id="31" w:name="lt_pId053"/>
      <w:r w:rsidR="00DD5F6D">
        <w:rPr>
          <w:sz w:val="20"/>
          <w:lang w:val="es-ES"/>
        </w:rPr>
        <w:tab/>
      </w:r>
      <w:hyperlink r:id="rId3" w:history="1">
        <w:r w:rsidRPr="00E1028A">
          <w:rPr>
            <w:rStyle w:val="Hyperlink"/>
            <w:sz w:val="18"/>
            <w:szCs w:val="18"/>
            <w:lang w:val="es-ES"/>
          </w:rPr>
          <w:t>https://www.itu.int/en/ITU-D/Statistics/Documents/facts/FactsFigures2020.pdf</w:t>
        </w:r>
        <w:bookmarkEnd w:id="31"/>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C0B"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734DDE">
      <w:rPr>
        <w:noProof/>
      </w:rPr>
      <w:t>/</w:t>
    </w:r>
    <w:r w:rsidR="00734DDE">
      <w:rPr>
        <w:noProof/>
      </w:rPr>
      <w:fldChar w:fldCharType="begin"/>
    </w:r>
    <w:r w:rsidR="00734DDE">
      <w:rPr>
        <w:noProof/>
      </w:rPr>
      <w:instrText xml:space="preserve"> NUMPAGES   \* MERGEFORMAT </w:instrText>
    </w:r>
    <w:r w:rsidR="00734DDE">
      <w:rPr>
        <w:noProof/>
      </w:rPr>
      <w:fldChar w:fldCharType="separate"/>
    </w:r>
    <w:r w:rsidR="00734DDE">
      <w:rPr>
        <w:noProof/>
      </w:rPr>
      <w:t>2</w:t>
    </w:r>
    <w:r w:rsidR="00734DDE">
      <w:rPr>
        <w:noProof/>
      </w:rPr>
      <w:fldChar w:fldCharType="end"/>
    </w:r>
  </w:p>
  <w:p w14:paraId="74CC77CB" w14:textId="1C630ABA" w:rsidR="00322D0D" w:rsidRPr="00623AE3" w:rsidRDefault="00EC5B70" w:rsidP="00D338E0">
    <w:pPr>
      <w:pStyle w:val="Header"/>
      <w:rPr>
        <w:bCs/>
      </w:rPr>
    </w:pPr>
    <w:r>
      <w:rPr>
        <w:bCs/>
      </w:rPr>
      <w:t>WTPF</w:t>
    </w:r>
    <w:r w:rsidR="0088171D" w:rsidRPr="0088171D">
      <w:rPr>
        <w:rFonts w:hint="eastAsia"/>
        <w:bCs/>
      </w:rPr>
      <w:t>-21</w:t>
    </w:r>
    <w:r w:rsidR="00623AE3" w:rsidRPr="00F56668">
      <w:rPr>
        <w:bCs/>
      </w:rPr>
      <w:t>/</w:t>
    </w:r>
    <w:r w:rsidR="00262311">
      <w:rPr>
        <w:bCs/>
      </w:rPr>
      <w:t>7</w:t>
    </w:r>
    <w:r w:rsidR="00623AE3" w:rsidRPr="00F56668">
      <w:rPr>
        <w:bCs/>
      </w:rPr>
      <w:t>-</w:t>
    </w:r>
    <w:r w:rsidR="0087000D">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77E23"/>
    <w:rsid w:val="00081019"/>
    <w:rsid w:val="000815FC"/>
    <w:rsid w:val="00085CF2"/>
    <w:rsid w:val="000B1705"/>
    <w:rsid w:val="000D75B2"/>
    <w:rsid w:val="001121F5"/>
    <w:rsid w:val="001400DC"/>
    <w:rsid w:val="00140CE1"/>
    <w:rsid w:val="00164230"/>
    <w:rsid w:val="0017539C"/>
    <w:rsid w:val="00175AC2"/>
    <w:rsid w:val="0017609F"/>
    <w:rsid w:val="001C4A63"/>
    <w:rsid w:val="001C571E"/>
    <w:rsid w:val="001C628E"/>
    <w:rsid w:val="001E0F7B"/>
    <w:rsid w:val="002119FD"/>
    <w:rsid w:val="002130E0"/>
    <w:rsid w:val="00262311"/>
    <w:rsid w:val="00264425"/>
    <w:rsid w:val="00265875"/>
    <w:rsid w:val="0027303B"/>
    <w:rsid w:val="0028109B"/>
    <w:rsid w:val="00282B14"/>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34DDE"/>
    <w:rsid w:val="00740FE3"/>
    <w:rsid w:val="0075051B"/>
    <w:rsid w:val="00751B78"/>
    <w:rsid w:val="007865CB"/>
    <w:rsid w:val="00793188"/>
    <w:rsid w:val="00794D34"/>
    <w:rsid w:val="00813E5E"/>
    <w:rsid w:val="0083581B"/>
    <w:rsid w:val="00864AFF"/>
    <w:rsid w:val="0087000D"/>
    <w:rsid w:val="0088171D"/>
    <w:rsid w:val="008B4A6A"/>
    <w:rsid w:val="008C7E27"/>
    <w:rsid w:val="009173EF"/>
    <w:rsid w:val="009323AD"/>
    <w:rsid w:val="00932906"/>
    <w:rsid w:val="0095226B"/>
    <w:rsid w:val="00961B0B"/>
    <w:rsid w:val="009B2219"/>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962E2"/>
    <w:rsid w:val="00CA6393"/>
    <w:rsid w:val="00CB18FF"/>
    <w:rsid w:val="00CD0C08"/>
    <w:rsid w:val="00CE03FB"/>
    <w:rsid w:val="00CE433C"/>
    <w:rsid w:val="00CF134B"/>
    <w:rsid w:val="00CF33F3"/>
    <w:rsid w:val="00CF5A9F"/>
    <w:rsid w:val="00D06183"/>
    <w:rsid w:val="00D22C42"/>
    <w:rsid w:val="00D314D1"/>
    <w:rsid w:val="00D338E0"/>
    <w:rsid w:val="00D65041"/>
    <w:rsid w:val="00D8774A"/>
    <w:rsid w:val="00DB384B"/>
    <w:rsid w:val="00DD5F6D"/>
    <w:rsid w:val="00DD7962"/>
    <w:rsid w:val="00DE4373"/>
    <w:rsid w:val="00E1028A"/>
    <w:rsid w:val="00E10E80"/>
    <w:rsid w:val="00E124F0"/>
    <w:rsid w:val="00E12C69"/>
    <w:rsid w:val="00E605D2"/>
    <w:rsid w:val="00E60F04"/>
    <w:rsid w:val="00E854E4"/>
    <w:rsid w:val="00EA2120"/>
    <w:rsid w:val="00EB0D6F"/>
    <w:rsid w:val="00EB2232"/>
    <w:rsid w:val="00EC5337"/>
    <w:rsid w:val="00EC5B70"/>
    <w:rsid w:val="00EE6032"/>
    <w:rsid w:val="00F06E35"/>
    <w:rsid w:val="00F2150A"/>
    <w:rsid w:val="00F231D8"/>
    <w:rsid w:val="00F46C5F"/>
    <w:rsid w:val="00F56668"/>
    <w:rsid w:val="00F7570B"/>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27314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facts/FactsFigures2020.pdf" TargetMode="External"/><Relationship Id="rId2" Type="http://schemas.openxmlformats.org/officeDocument/2006/relationships/hyperlink" Target="https://www.internetsociety.org/issues/community-networks/success-stories/" TargetMode="External"/><Relationship Id="rId1" Type="http://schemas.openxmlformats.org/officeDocument/2006/relationships/hyperlink" Target="https://www.internetsociety.org/resources/2018/unleashing-community-networks-innovative-licensing-appro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74B2-1AC7-4762-8FCA-9C8D0905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6724</Characters>
  <Application>Microsoft Office Word</Application>
  <DocSecurity>4</DocSecurity>
  <Lines>164</Lines>
  <Paragraphs>79</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Unión Internacional de Telecomunicaciones (UIT)</Company>
  <LinksUpToDate>false</LinksUpToDate>
  <CharactersWithSpaces>7839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Internet Society - Comentarios sometidos por la Internet Society (ISOC)</dc:title>
  <dc:subject>WTPF</dc:subject>
  <dc:creator>Martinez Romera, Angel</dc:creator>
  <cp:keywords>WTPF-21</cp:keywords>
  <dc:description/>
  <cp:lastModifiedBy>Xue, Kun</cp:lastModifiedBy>
  <cp:revision>2</cp:revision>
  <cp:lastPrinted>2000-07-18T13:30:00Z</cp:lastPrinted>
  <dcterms:created xsi:type="dcterms:W3CDTF">2021-12-09T08:21:00Z</dcterms:created>
  <dcterms:modified xsi:type="dcterms:W3CDTF">2021-12-09T08:21:00Z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