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AB4B48" w14:paraId="6D6A4771" w14:textId="77777777" w:rsidTr="009F66A3">
        <w:trPr>
          <w:cantSplit/>
          <w:trHeight w:val="1276"/>
        </w:trPr>
        <w:tc>
          <w:tcPr>
            <w:tcW w:w="6911" w:type="dxa"/>
          </w:tcPr>
          <w:p w14:paraId="7BC30B78" w14:textId="75E714BB" w:rsidR="002A2188" w:rsidRPr="00AB4B48" w:rsidRDefault="008D07D4" w:rsidP="00B51DAE">
            <w:pPr>
              <w:spacing w:line="240" w:lineRule="atLeast"/>
              <w:rPr>
                <w:position w:val="6"/>
                <w:lang w:val="fr-FR"/>
              </w:rPr>
            </w:pPr>
            <w:r w:rsidRPr="00AB4B48">
              <w:rPr>
                <w:rFonts w:eastAsia="DengXian" w:cs="Arial"/>
                <w:noProof/>
                <w:sz w:val="22"/>
                <w:szCs w:val="22"/>
                <w:lang w:val="fr-FR" w:eastAsia="zh-CN"/>
              </w:rPr>
              <w:drawing>
                <wp:inline distT="0" distB="0" distL="0" distR="0" wp14:anchorId="3D13389A" wp14:editId="256F50BA">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AB4B48" w:rsidRDefault="009F66A3" w:rsidP="00B51DAE">
            <w:pPr>
              <w:spacing w:line="240" w:lineRule="atLeast"/>
              <w:rPr>
                <w:lang w:val="fr-FR"/>
              </w:rPr>
            </w:pPr>
            <w:bookmarkStart w:id="0" w:name="ditulogo"/>
            <w:bookmarkEnd w:id="0"/>
            <w:r w:rsidRPr="00AB4B48">
              <w:rPr>
                <w:noProof/>
                <w:lang w:val="fr-FR"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AB4B48" w14:paraId="02F3C902" w14:textId="77777777" w:rsidTr="00464B6C">
        <w:trPr>
          <w:cantSplit/>
        </w:trPr>
        <w:tc>
          <w:tcPr>
            <w:tcW w:w="6911" w:type="dxa"/>
            <w:tcBorders>
              <w:bottom w:val="single" w:sz="12" w:space="0" w:color="auto"/>
            </w:tcBorders>
          </w:tcPr>
          <w:p w14:paraId="2143B1CA" w14:textId="77777777" w:rsidR="002A2188" w:rsidRPr="00AB4B48" w:rsidRDefault="002A2188" w:rsidP="00DE4373">
            <w:pPr>
              <w:spacing w:before="0" w:line="240" w:lineRule="atLeast"/>
              <w:rPr>
                <w:b/>
                <w:smallCaps/>
                <w:szCs w:val="24"/>
                <w:lang w:val="fr-FR"/>
              </w:rPr>
            </w:pPr>
          </w:p>
        </w:tc>
        <w:tc>
          <w:tcPr>
            <w:tcW w:w="3120" w:type="dxa"/>
            <w:tcBorders>
              <w:bottom w:val="single" w:sz="12" w:space="0" w:color="auto"/>
            </w:tcBorders>
          </w:tcPr>
          <w:p w14:paraId="3D08500D" w14:textId="77777777" w:rsidR="002A2188" w:rsidRPr="00AB4B48" w:rsidRDefault="002A2188" w:rsidP="00DE4373">
            <w:pPr>
              <w:spacing w:before="0" w:line="240" w:lineRule="atLeast"/>
              <w:rPr>
                <w:szCs w:val="24"/>
                <w:lang w:val="fr-FR"/>
              </w:rPr>
            </w:pPr>
          </w:p>
        </w:tc>
      </w:tr>
      <w:tr w:rsidR="002A2188" w:rsidRPr="00AB4B48" w14:paraId="17235C7F" w14:textId="77777777" w:rsidTr="00464B6C">
        <w:trPr>
          <w:cantSplit/>
        </w:trPr>
        <w:tc>
          <w:tcPr>
            <w:tcW w:w="6911" w:type="dxa"/>
            <w:tcBorders>
              <w:top w:val="single" w:sz="12" w:space="0" w:color="auto"/>
            </w:tcBorders>
          </w:tcPr>
          <w:p w14:paraId="5D7313BD" w14:textId="77777777" w:rsidR="002A2188" w:rsidRPr="00AB4B48" w:rsidRDefault="002A2188" w:rsidP="00DE4373">
            <w:pPr>
              <w:spacing w:before="0" w:line="240" w:lineRule="atLeast"/>
              <w:rPr>
                <w:b/>
                <w:smallCaps/>
                <w:szCs w:val="24"/>
                <w:lang w:val="fr-FR"/>
              </w:rPr>
            </w:pPr>
          </w:p>
        </w:tc>
        <w:tc>
          <w:tcPr>
            <w:tcW w:w="3120" w:type="dxa"/>
            <w:tcBorders>
              <w:top w:val="single" w:sz="12" w:space="0" w:color="auto"/>
            </w:tcBorders>
          </w:tcPr>
          <w:p w14:paraId="22C9147A" w14:textId="77777777" w:rsidR="002A2188" w:rsidRPr="00AB4B48" w:rsidRDefault="002A2188" w:rsidP="00DE4373">
            <w:pPr>
              <w:spacing w:before="0" w:line="240" w:lineRule="atLeast"/>
              <w:rPr>
                <w:szCs w:val="24"/>
                <w:lang w:val="fr-FR"/>
              </w:rPr>
            </w:pPr>
          </w:p>
        </w:tc>
      </w:tr>
      <w:tr w:rsidR="004E1232" w:rsidRPr="00AB4B48" w14:paraId="6804D83E" w14:textId="77777777" w:rsidTr="00464B6C">
        <w:trPr>
          <w:cantSplit/>
          <w:trHeight w:val="23"/>
        </w:trPr>
        <w:tc>
          <w:tcPr>
            <w:tcW w:w="6911" w:type="dxa"/>
            <w:vMerge w:val="restart"/>
          </w:tcPr>
          <w:p w14:paraId="42A03540" w14:textId="728A7AF7" w:rsidR="004E1232" w:rsidRPr="00AB4B48" w:rsidRDefault="004E1232" w:rsidP="004E1232">
            <w:pPr>
              <w:tabs>
                <w:tab w:val="left" w:pos="851"/>
              </w:tabs>
              <w:spacing w:before="0" w:line="240" w:lineRule="atLeast"/>
              <w:rPr>
                <w:b/>
                <w:lang w:val="fr-FR"/>
              </w:rPr>
            </w:pPr>
            <w:bookmarkStart w:id="1" w:name="dmeeting" w:colFirst="0" w:colLast="0"/>
            <w:bookmarkStart w:id="2" w:name="dnum" w:colFirst="1" w:colLast="1"/>
          </w:p>
        </w:tc>
        <w:tc>
          <w:tcPr>
            <w:tcW w:w="3120" w:type="dxa"/>
          </w:tcPr>
          <w:p w14:paraId="1727AC2C" w14:textId="224CA8DB" w:rsidR="004E1232" w:rsidRPr="00AB4B48" w:rsidRDefault="004E1232" w:rsidP="004E1232">
            <w:pPr>
              <w:tabs>
                <w:tab w:val="left" w:pos="851"/>
              </w:tabs>
              <w:spacing w:before="0" w:line="240" w:lineRule="atLeast"/>
              <w:rPr>
                <w:b/>
                <w:lang w:val="fr-FR"/>
              </w:rPr>
            </w:pPr>
            <w:r w:rsidRPr="00AB4B48">
              <w:rPr>
                <w:b/>
                <w:lang w:val="fr-FR"/>
              </w:rPr>
              <w:t>Document WTPF-21/5-F</w:t>
            </w:r>
          </w:p>
        </w:tc>
      </w:tr>
      <w:tr w:rsidR="004E1232" w:rsidRPr="00AB4B48" w14:paraId="6B217E52" w14:textId="77777777" w:rsidTr="00464B6C">
        <w:trPr>
          <w:cantSplit/>
          <w:trHeight w:val="23"/>
        </w:trPr>
        <w:tc>
          <w:tcPr>
            <w:tcW w:w="6911" w:type="dxa"/>
            <w:vMerge/>
          </w:tcPr>
          <w:p w14:paraId="1CE8AE93" w14:textId="77777777" w:rsidR="004E1232" w:rsidRPr="00AB4B48" w:rsidRDefault="004E1232" w:rsidP="004E1232">
            <w:pPr>
              <w:tabs>
                <w:tab w:val="left" w:pos="851"/>
              </w:tabs>
              <w:spacing w:line="240" w:lineRule="atLeast"/>
              <w:rPr>
                <w:b/>
                <w:lang w:val="fr-FR"/>
              </w:rPr>
            </w:pPr>
            <w:bookmarkStart w:id="3" w:name="ddate" w:colFirst="1" w:colLast="1"/>
            <w:bookmarkEnd w:id="1"/>
            <w:bookmarkEnd w:id="2"/>
          </w:p>
        </w:tc>
        <w:tc>
          <w:tcPr>
            <w:tcW w:w="3120" w:type="dxa"/>
          </w:tcPr>
          <w:p w14:paraId="257DEE08" w14:textId="1ABB61E0" w:rsidR="004E1232" w:rsidRPr="00AB4B48" w:rsidRDefault="004E1232" w:rsidP="004E1232">
            <w:pPr>
              <w:tabs>
                <w:tab w:val="left" w:pos="993"/>
              </w:tabs>
              <w:spacing w:before="0"/>
              <w:rPr>
                <w:b/>
                <w:lang w:val="fr-FR"/>
              </w:rPr>
            </w:pPr>
            <w:r w:rsidRPr="00AB4B48">
              <w:rPr>
                <w:b/>
                <w:lang w:val="fr-FR"/>
              </w:rPr>
              <w:t>2 décembre 2021</w:t>
            </w:r>
          </w:p>
        </w:tc>
      </w:tr>
      <w:tr w:rsidR="004E1232" w:rsidRPr="00AB4B48" w14:paraId="10D36551" w14:textId="77777777" w:rsidTr="00464B6C">
        <w:trPr>
          <w:cantSplit/>
          <w:trHeight w:val="23"/>
        </w:trPr>
        <w:tc>
          <w:tcPr>
            <w:tcW w:w="6911" w:type="dxa"/>
            <w:vMerge/>
          </w:tcPr>
          <w:p w14:paraId="7EF812AF" w14:textId="77777777" w:rsidR="004E1232" w:rsidRPr="00AB4B48" w:rsidRDefault="004E1232" w:rsidP="004E1232">
            <w:pPr>
              <w:tabs>
                <w:tab w:val="left" w:pos="851"/>
              </w:tabs>
              <w:spacing w:line="240" w:lineRule="atLeast"/>
              <w:rPr>
                <w:b/>
                <w:lang w:val="fr-FR"/>
              </w:rPr>
            </w:pPr>
            <w:bookmarkStart w:id="4" w:name="dorlang" w:colFirst="1" w:colLast="1"/>
            <w:bookmarkEnd w:id="3"/>
          </w:p>
        </w:tc>
        <w:tc>
          <w:tcPr>
            <w:tcW w:w="3120" w:type="dxa"/>
          </w:tcPr>
          <w:p w14:paraId="0DF1D05E" w14:textId="0D62C7C4" w:rsidR="004E1232" w:rsidRPr="00AB4B48" w:rsidRDefault="004E1232" w:rsidP="004E1232">
            <w:pPr>
              <w:tabs>
                <w:tab w:val="left" w:pos="993"/>
              </w:tabs>
              <w:spacing w:before="0"/>
              <w:rPr>
                <w:b/>
                <w:lang w:val="fr-FR"/>
              </w:rPr>
            </w:pPr>
            <w:r w:rsidRPr="00AB4B48">
              <w:rPr>
                <w:b/>
                <w:lang w:val="fr-FR"/>
              </w:rPr>
              <w:t>Original: anglais</w:t>
            </w:r>
          </w:p>
        </w:tc>
      </w:tr>
      <w:tr w:rsidR="004E1232" w:rsidRPr="00AB4B48" w14:paraId="46399271" w14:textId="77777777" w:rsidTr="00464B6C">
        <w:trPr>
          <w:cantSplit/>
        </w:trPr>
        <w:tc>
          <w:tcPr>
            <w:tcW w:w="10031" w:type="dxa"/>
            <w:gridSpan w:val="2"/>
          </w:tcPr>
          <w:p w14:paraId="18E28CA0" w14:textId="6B81369C" w:rsidR="004E1232" w:rsidRPr="004D292A" w:rsidRDefault="004E1232" w:rsidP="004E1232">
            <w:pPr>
              <w:pStyle w:val="Source"/>
            </w:pPr>
            <w:bookmarkStart w:id="5" w:name="dsource" w:colFirst="0" w:colLast="0"/>
            <w:bookmarkStart w:id="6" w:name="_Hlk85440069"/>
            <w:bookmarkEnd w:id="4"/>
            <w:r w:rsidRPr="004D292A">
              <w:t>Burkina Faso, Ghana, Kenya et Ouganda</w:t>
            </w:r>
          </w:p>
        </w:tc>
      </w:tr>
      <w:tr w:rsidR="004E1232" w:rsidRPr="004D292A" w14:paraId="73F317E2" w14:textId="77777777" w:rsidTr="00464B6C">
        <w:trPr>
          <w:cantSplit/>
        </w:trPr>
        <w:tc>
          <w:tcPr>
            <w:tcW w:w="10031" w:type="dxa"/>
            <w:gridSpan w:val="2"/>
          </w:tcPr>
          <w:p w14:paraId="29B3DB5C" w14:textId="44ECD8D4" w:rsidR="004E1232" w:rsidRPr="00AB4B48" w:rsidRDefault="004E1232" w:rsidP="004E1232">
            <w:pPr>
              <w:pStyle w:val="Title1"/>
              <w:rPr>
                <w:lang w:val="fr-FR"/>
              </w:rPr>
            </w:pPr>
            <w:bookmarkStart w:id="7" w:name="dtitle1" w:colFirst="0" w:colLast="0"/>
            <w:bookmarkEnd w:id="5"/>
            <w:r w:rsidRPr="00AB4B48">
              <w:rPr>
                <w:lang w:val="fr-FR"/>
              </w:rPr>
              <w:t xml:space="preserve">contribution sur l'utilisation de nouvelles solutions au service </w:t>
            </w:r>
            <w:r w:rsidR="00AB4B48" w:rsidRPr="00AB4B48">
              <w:rPr>
                <w:lang w:val="fr-FR"/>
              </w:rPr>
              <w:br/>
            </w:r>
            <w:r w:rsidRPr="00AB4B48">
              <w:rPr>
                <w:lang w:val="fr-FR"/>
              </w:rPr>
              <w:t>de la connectivité et le projet d'avis 1</w:t>
            </w:r>
          </w:p>
        </w:tc>
      </w:tr>
    </w:tbl>
    <w:p w14:paraId="6057EAAF" w14:textId="54E04650" w:rsidR="004E1232" w:rsidRPr="00AB4B48" w:rsidRDefault="004E1232" w:rsidP="00AB4B48">
      <w:pPr>
        <w:pStyle w:val="Normalaftertitle"/>
        <w:rPr>
          <w:lang w:val="fr-FR"/>
        </w:rPr>
      </w:pPr>
      <w:bookmarkStart w:id="8" w:name="dstart"/>
      <w:bookmarkStart w:id="9" w:name="dbreak"/>
      <w:bookmarkEnd w:id="7"/>
      <w:bookmarkEnd w:id="8"/>
      <w:bookmarkEnd w:id="9"/>
      <w:r w:rsidRPr="00AB4B48">
        <w:rPr>
          <w:lang w:val="fr-FR"/>
        </w:rPr>
        <w:t>Nous avons l'honneur de nous référer au § 2.8.6.4 du Rapport du Secrétaire général (Utiliser de nouvelles solutions au service de la connectivité) et au projet d'Avis 1 "Environnement propice au développement et au déploiement de services et de technologies de télécommunication/TIC pour promouvoir le développement durable".</w:t>
      </w:r>
    </w:p>
    <w:p w14:paraId="27D3253A" w14:textId="77777777" w:rsidR="004E1232" w:rsidRPr="00AB4B48" w:rsidRDefault="004E1232" w:rsidP="00AB4B48">
      <w:pPr>
        <w:pStyle w:val="Headingb"/>
        <w:rPr>
          <w:lang w:val="fr-FR"/>
        </w:rPr>
      </w:pPr>
      <w:r w:rsidRPr="00AB4B48">
        <w:rPr>
          <w:lang w:val="fr-FR"/>
        </w:rPr>
        <w:t>Contexte</w:t>
      </w:r>
    </w:p>
    <w:p w14:paraId="6A47D9E4" w14:textId="16E32AE4" w:rsidR="004E1232" w:rsidRPr="004E1232" w:rsidRDefault="004E1232" w:rsidP="004E1232">
      <w:pPr>
        <w:rPr>
          <w:lang w:val="fr-FR"/>
        </w:rPr>
      </w:pPr>
      <w:r w:rsidRPr="004E1232">
        <w:rPr>
          <w:lang w:val="fr-FR"/>
        </w:rPr>
        <w:t xml:space="preserve">Bien qu'il puisse y avoir des groupes homogènes identifiés au sein des États Membres, les télécommunications et les TIC offrent un moyen permettant d'entretenir de bonnes relations avec les autres, plutôt que de creuser les fossés existants. Par conséquent, les solutions de connectivité devraient être ouvertes à tous, sans aucune discrimination liée à la race, à l'ethnie, à la classe sociale ou aux préférences. Le point 7 du </w:t>
      </w:r>
      <w:r w:rsidRPr="004E1232">
        <w:rPr>
          <w:i/>
          <w:iCs/>
          <w:lang w:val="fr-FR"/>
        </w:rPr>
        <w:t>invite les États Membres, les Membres de Secteur et les autres parties prenantes à œuvrer en collaboration</w:t>
      </w:r>
      <w:r w:rsidRPr="004E1232">
        <w:rPr>
          <w:lang w:val="fr-FR"/>
        </w:rPr>
        <w:t xml:space="preserve"> de l'Avis semble en contradiction avec le point</w:t>
      </w:r>
      <w:r w:rsidR="00AB4B48">
        <w:rPr>
          <w:lang w:val="fr-FR"/>
        </w:rPr>
        <w:t> </w:t>
      </w:r>
      <w:r w:rsidRPr="004E1232">
        <w:rPr>
          <w:lang w:val="fr-FR"/>
        </w:rPr>
        <w:t>6 juste avant, qui porte sur la promotion de la fourniture non discriminatoire de solutions de connectivité. En outre, les politiques, la propriété, la mise en place et l'exploitation de solutions de connectivité sur le territoire national sont des questions qui relèvent de l'État Membre et sont soumises à ses lois. Par ailleurs, dans la mesure où l'on ne comprend pas bien ce que sont les "solutions et réseaux complémentaires", ni ce qu'ils devraient "compléter", l'Avis devrait simplement faire mention de "solutions de connectivité".</w:t>
      </w:r>
    </w:p>
    <w:p w14:paraId="5C4B9174" w14:textId="77777777" w:rsidR="004E1232" w:rsidRPr="00AB4B48" w:rsidRDefault="004E1232" w:rsidP="00AB4B48">
      <w:pPr>
        <w:pStyle w:val="Headingb"/>
        <w:rPr>
          <w:lang w:val="fr-FR"/>
        </w:rPr>
      </w:pPr>
      <w:r w:rsidRPr="00AB4B48">
        <w:rPr>
          <w:lang w:val="fr-FR"/>
        </w:rPr>
        <w:t>Mesures proposées</w:t>
      </w:r>
    </w:p>
    <w:p w14:paraId="5A17F318" w14:textId="3BAEB96A" w:rsidR="004E1232" w:rsidRPr="00AB4B48" w:rsidRDefault="004E1232" w:rsidP="00AB4B48">
      <w:pPr>
        <w:pStyle w:val="enumlev1"/>
        <w:rPr>
          <w:lang w:val="fr-FR"/>
        </w:rPr>
      </w:pPr>
      <w:r w:rsidRPr="00AB4B48">
        <w:rPr>
          <w:lang w:val="fr-FR"/>
        </w:rPr>
        <w:t>1</w:t>
      </w:r>
      <w:r w:rsidR="00AB4B48" w:rsidRPr="00AB4B48">
        <w:rPr>
          <w:lang w:val="fr-FR"/>
        </w:rPr>
        <w:t>)</w:t>
      </w:r>
      <w:r w:rsidRPr="00AB4B48">
        <w:rPr>
          <w:lang w:val="fr-FR"/>
        </w:rPr>
        <w:tab/>
        <w:t xml:space="preserve">Dans la version anglaise, au point 1 du </w:t>
      </w:r>
      <w:r w:rsidRPr="00AB4B48">
        <w:rPr>
          <w:i/>
          <w:iCs/>
          <w:lang w:val="fr-FR"/>
        </w:rPr>
        <w:t>is of the view</w:t>
      </w:r>
      <w:r w:rsidRPr="00AB4B48">
        <w:rPr>
          <w:lang w:val="fr-FR"/>
        </w:rPr>
        <w:t>, il semble qu'il y ait une erreur de formulation qui rend le paragraphe tout entier difficilement lisible. Il est proposé de remplacer "across" par "toward the realization of".</w:t>
      </w:r>
    </w:p>
    <w:p w14:paraId="63D5C565" w14:textId="6B36D48C" w:rsidR="004E1232" w:rsidRPr="00AB4B48" w:rsidRDefault="004E1232" w:rsidP="00AB4B48">
      <w:pPr>
        <w:pStyle w:val="enumlev1"/>
        <w:rPr>
          <w:lang w:val="fr-FR"/>
        </w:rPr>
      </w:pPr>
      <w:r w:rsidRPr="00AB4B48">
        <w:rPr>
          <w:lang w:val="fr-FR"/>
        </w:rPr>
        <w:t>2</w:t>
      </w:r>
      <w:r w:rsidR="00AB4B48" w:rsidRPr="00AB4B48">
        <w:rPr>
          <w:lang w:val="fr-FR"/>
        </w:rPr>
        <w:t>)</w:t>
      </w:r>
      <w:r w:rsidRPr="00AB4B48">
        <w:rPr>
          <w:lang w:val="fr-FR"/>
        </w:rPr>
        <w:tab/>
        <w:t xml:space="preserve">Dans le point 1 du </w:t>
      </w:r>
      <w:r w:rsidRPr="00AB4B48">
        <w:rPr>
          <w:i/>
          <w:iCs/>
          <w:lang w:val="fr-FR"/>
        </w:rPr>
        <w:t>invite les États Membres</w:t>
      </w:r>
      <w:r w:rsidRPr="00AB4B48">
        <w:rPr>
          <w:lang w:val="fr-FR"/>
        </w:rPr>
        <w:t>, il est proposé de supprimer le membre de phrase "solutions d'accès complémentaires" et de le remplacer par "solutions de connectivité".</w:t>
      </w:r>
    </w:p>
    <w:p w14:paraId="1B02A031" w14:textId="518290E0" w:rsidR="004E1232" w:rsidRPr="00AB4B48" w:rsidRDefault="004E1232" w:rsidP="00AB4B48">
      <w:pPr>
        <w:pStyle w:val="enumlev1"/>
        <w:rPr>
          <w:lang w:val="fr-FR"/>
        </w:rPr>
      </w:pPr>
      <w:r w:rsidRPr="00AB4B48">
        <w:rPr>
          <w:lang w:val="fr-FR"/>
        </w:rPr>
        <w:t>3</w:t>
      </w:r>
      <w:r w:rsidR="00AB4B48" w:rsidRPr="00AB4B48">
        <w:rPr>
          <w:lang w:val="fr-FR"/>
        </w:rPr>
        <w:t>)</w:t>
      </w:r>
      <w:r w:rsidRPr="00AB4B48">
        <w:rPr>
          <w:lang w:val="fr-FR"/>
        </w:rPr>
        <w:tab/>
        <w:t xml:space="preserve">Il est proposé de supprimer la totalité du contenu du point 7 du </w:t>
      </w:r>
      <w:r w:rsidRPr="00AB4B48">
        <w:rPr>
          <w:i/>
          <w:iCs/>
          <w:lang w:val="fr-FR"/>
        </w:rPr>
        <w:t>invite les États Membres, les Membres de Secteur et les autres parties prenantes à œuvrer en collaboration</w:t>
      </w:r>
      <w:r w:rsidRPr="00AB4B48">
        <w:rPr>
          <w:lang w:val="fr-FR"/>
        </w:rPr>
        <w:t xml:space="preserve"> et de libeller ce point comme suit: "pour encourager l'innovation et l'esprit d'entreprise concernant la fourniture de solutions de connectivité".</w:t>
      </w:r>
    </w:p>
    <w:p w14:paraId="4EC82BE0" w14:textId="344D8BA4" w:rsidR="004E1232" w:rsidRPr="00AB4B48" w:rsidRDefault="004E1232" w:rsidP="00AB4B48">
      <w:pPr>
        <w:pStyle w:val="enumlev1"/>
        <w:rPr>
          <w:lang w:val="fr-FR"/>
        </w:rPr>
      </w:pPr>
      <w:r w:rsidRPr="00AB4B48">
        <w:rPr>
          <w:lang w:val="fr-FR"/>
        </w:rPr>
        <w:lastRenderedPageBreak/>
        <w:t>4</w:t>
      </w:r>
      <w:r w:rsidR="00AB4B48" w:rsidRPr="00AB4B48">
        <w:rPr>
          <w:lang w:val="fr-FR"/>
        </w:rPr>
        <w:t>)</w:t>
      </w:r>
      <w:r w:rsidRPr="00AB4B48">
        <w:rPr>
          <w:lang w:val="fr-FR"/>
        </w:rPr>
        <w:tab/>
        <w:t xml:space="preserve">Il convient de modifier le point 8 du </w:t>
      </w:r>
      <w:r w:rsidRPr="00AB4B48">
        <w:rPr>
          <w:i/>
          <w:iCs/>
          <w:lang w:val="fr-FR"/>
        </w:rPr>
        <w:t>invite les États Membres, les Membres de Secteur et les autres parties prenantes à œuvrer en collaboration</w:t>
      </w:r>
      <w:r w:rsidRPr="00AB4B48">
        <w:rPr>
          <w:lang w:val="fr-FR"/>
        </w:rPr>
        <w:t xml:space="preserve"> comme suit: "pour encourager les applications et les services intégrant des services et des technologies de télécommunication/TIC nouveaux et émergents, afin de répondre aux besoins divers des utilisateurs".</w:t>
      </w:r>
    </w:p>
    <w:p w14:paraId="7048136D" w14:textId="0C86E97C" w:rsidR="004E1232" w:rsidRPr="00AB4B48" w:rsidRDefault="004E1232" w:rsidP="00AB4B48">
      <w:pPr>
        <w:pStyle w:val="enumlev1"/>
        <w:rPr>
          <w:lang w:val="fr-FR"/>
        </w:rPr>
      </w:pPr>
      <w:r w:rsidRPr="00AB4B48">
        <w:rPr>
          <w:lang w:val="fr-FR"/>
        </w:rPr>
        <w:t>5</w:t>
      </w:r>
      <w:r w:rsidR="00AB4B48" w:rsidRPr="00AB4B48">
        <w:rPr>
          <w:lang w:val="fr-FR"/>
        </w:rPr>
        <w:t>)</w:t>
      </w:r>
      <w:r w:rsidRPr="00AB4B48">
        <w:rPr>
          <w:lang w:val="fr-FR"/>
        </w:rPr>
        <w:tab/>
        <w:t xml:space="preserve">Il convient de modifier le point 10 du </w:t>
      </w:r>
      <w:r w:rsidRPr="00AB4B48">
        <w:rPr>
          <w:i/>
          <w:iCs/>
          <w:lang w:val="fr-FR"/>
        </w:rPr>
        <w:t>invite les États Membres, les Membres de Secteur et les autres parties prenantes à œuvrer en collaboration</w:t>
      </w:r>
      <w:r w:rsidRPr="00AB4B48">
        <w:rPr>
          <w:lang w:val="fr-FR"/>
        </w:rPr>
        <w:t xml:space="preserve"> comme suit: "au sujet d'un environnement politique propice conforme à la législation nationale".</w:t>
      </w:r>
    </w:p>
    <w:p w14:paraId="5D7E80AD" w14:textId="77777777" w:rsidR="00264425" w:rsidRPr="00AB4B48" w:rsidRDefault="00264425" w:rsidP="00DB384B">
      <w:pPr>
        <w:rPr>
          <w:lang w:val="fr-FR"/>
        </w:rPr>
      </w:pPr>
    </w:p>
    <w:p w14:paraId="40975FDC" w14:textId="18DA943E" w:rsidR="00CF134B" w:rsidRPr="00AB4B48" w:rsidRDefault="00CF134B" w:rsidP="006848DD">
      <w:pPr>
        <w:spacing w:before="840"/>
        <w:jc w:val="center"/>
        <w:rPr>
          <w:rFonts w:cstheme="minorHAnsi"/>
          <w:lang w:val="fr-FR"/>
        </w:rPr>
      </w:pPr>
      <w:r w:rsidRPr="00AB4B48">
        <w:rPr>
          <w:rFonts w:cstheme="minorHAnsi"/>
          <w:lang w:val="fr-FR"/>
        </w:rPr>
        <w:t>_______________</w:t>
      </w:r>
      <w:bookmarkEnd w:id="6"/>
    </w:p>
    <w:sectPr w:rsidR="00CF134B" w:rsidRPr="00AB4B48"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28B3465E" w:rsidR="00CB18FF" w:rsidRPr="004D292A" w:rsidRDefault="004D292A">
    <w:pPr>
      <w:pStyle w:val="Footer"/>
      <w:rPr>
        <w:color w:val="F2F2F2" w:themeColor="background1" w:themeShade="F2"/>
      </w:rPr>
    </w:pPr>
    <w:r w:rsidRPr="004D292A">
      <w:rPr>
        <w:color w:val="F2F2F2" w:themeColor="background1" w:themeShade="F2"/>
      </w:rPr>
      <w:fldChar w:fldCharType="begin"/>
    </w:r>
    <w:r w:rsidRPr="004D292A">
      <w:rPr>
        <w:color w:val="F2F2F2" w:themeColor="background1" w:themeShade="F2"/>
      </w:rPr>
      <w:instrText xml:space="preserve"> FILENAME \p  \* MERGEFORMAT </w:instrText>
    </w:r>
    <w:r w:rsidRPr="004D292A">
      <w:rPr>
        <w:color w:val="F2F2F2" w:themeColor="background1" w:themeShade="F2"/>
      </w:rPr>
      <w:fldChar w:fldCharType="separate"/>
    </w:r>
    <w:r w:rsidR="00AB4B48" w:rsidRPr="004D292A">
      <w:rPr>
        <w:color w:val="F2F2F2" w:themeColor="background1" w:themeShade="F2"/>
      </w:rPr>
      <w:t>P:\FRA\SG\CONF-SG\WTPF21\000\005F.docx</w:t>
    </w:r>
    <w:r w:rsidRPr="004D292A">
      <w:rPr>
        <w:color w:val="F2F2F2" w:themeColor="background1" w:themeShade="F2"/>
      </w:rPr>
      <w:fldChar w:fldCharType="end"/>
    </w:r>
    <w:r w:rsidR="00AB4B48" w:rsidRPr="004D292A">
      <w:rPr>
        <w:color w:val="F2F2F2" w:themeColor="background1" w:themeShade="F2"/>
      </w:rPr>
      <w:t xml:space="preserve"> (499285)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57581F7A" w:rsidR="00322D0D" w:rsidRPr="00D96BCE" w:rsidRDefault="00322D0D" w:rsidP="00B51DAE">
    <w:pPr>
      <w:spacing w:before="0"/>
      <w:jc w:val="center"/>
      <w:rPr>
        <w:sz w:val="22"/>
        <w:szCs w:val="22"/>
      </w:rPr>
    </w:pPr>
    <w:r w:rsidRPr="00D96BCE">
      <w:rPr>
        <w:sz w:val="22"/>
        <w:szCs w:val="22"/>
      </w:rPr>
      <w:t xml:space="preserve">• </w:t>
    </w:r>
    <w:hyperlink r:id="rId1" w:history="1">
      <w:r w:rsidR="00BC3412" w:rsidRPr="00D96BCE">
        <w:rPr>
          <w:rStyle w:val="Hyperlink"/>
          <w:sz w:val="22"/>
          <w:szCs w:val="22"/>
        </w:rPr>
        <w:t>http://www.itu.int/WTPF</w:t>
      </w:r>
    </w:hyperlink>
    <w:r w:rsidRPr="00D96BCE">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0BADB0E"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3978A2">
      <w:rPr>
        <w:noProof/>
      </w:rPr>
      <w:t>/</w:t>
    </w:r>
    <w:r w:rsidR="003978A2">
      <w:rPr>
        <w:noProof/>
      </w:rPr>
      <w:fldChar w:fldCharType="begin"/>
    </w:r>
    <w:r w:rsidR="003978A2">
      <w:rPr>
        <w:noProof/>
      </w:rPr>
      <w:instrText xml:space="preserve"> NUMPAGES   \* MERGEFORMAT </w:instrText>
    </w:r>
    <w:r w:rsidR="003978A2">
      <w:rPr>
        <w:noProof/>
      </w:rPr>
      <w:fldChar w:fldCharType="separate"/>
    </w:r>
    <w:r w:rsidR="003978A2">
      <w:rPr>
        <w:noProof/>
      </w:rPr>
      <w:t>2</w:t>
    </w:r>
    <w:r w:rsidR="003978A2">
      <w:rPr>
        <w:noProof/>
      </w:rPr>
      <w:fldChar w:fldCharType="end"/>
    </w:r>
  </w:p>
  <w:p w14:paraId="34EC98F4" w14:textId="0F79F16C" w:rsidR="00322D0D" w:rsidRPr="00623AE3" w:rsidRDefault="00EC5B70" w:rsidP="00D338E0">
    <w:pPr>
      <w:pStyle w:val="Header"/>
      <w:rPr>
        <w:bCs/>
      </w:rPr>
    </w:pPr>
    <w:r>
      <w:rPr>
        <w:bCs/>
      </w:rPr>
      <w:t>WTPF</w:t>
    </w:r>
    <w:r w:rsidR="00D96BCE">
      <w:rPr>
        <w:rFonts w:hint="eastAsia"/>
        <w:bCs/>
        <w:lang w:eastAsia="zh-CN"/>
      </w:rPr>
      <w:t>-21</w:t>
    </w:r>
    <w:r w:rsidR="00623AE3" w:rsidRPr="00F56668">
      <w:rPr>
        <w:bCs/>
      </w:rPr>
      <w:t>/</w:t>
    </w:r>
    <w:r w:rsidR="00AB4B48">
      <w:rPr>
        <w:bCs/>
      </w:rPr>
      <w:t>5</w:t>
    </w:r>
    <w:r w:rsidR="00623AE3" w:rsidRPr="00F56668">
      <w:rPr>
        <w:bCs/>
      </w:rPr>
      <w:t>-</w:t>
    </w:r>
    <w:r w:rsidR="00A025AA">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0A02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DA4A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BC1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5A7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D452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901F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36D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00D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0E6A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0E1D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978A2"/>
    <w:rsid w:val="003C2533"/>
    <w:rsid w:val="0040435A"/>
    <w:rsid w:val="00416A24"/>
    <w:rsid w:val="00431D9E"/>
    <w:rsid w:val="00433CE8"/>
    <w:rsid w:val="00434A5C"/>
    <w:rsid w:val="004544D9"/>
    <w:rsid w:val="00490E72"/>
    <w:rsid w:val="00491157"/>
    <w:rsid w:val="004921C8"/>
    <w:rsid w:val="004D1851"/>
    <w:rsid w:val="004D292A"/>
    <w:rsid w:val="004D599D"/>
    <w:rsid w:val="004E1232"/>
    <w:rsid w:val="004E2EA5"/>
    <w:rsid w:val="004E3AEB"/>
    <w:rsid w:val="0050223C"/>
    <w:rsid w:val="005243FF"/>
    <w:rsid w:val="00557268"/>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B4A6A"/>
    <w:rsid w:val="008C7E27"/>
    <w:rsid w:val="008D07D4"/>
    <w:rsid w:val="009173EF"/>
    <w:rsid w:val="00932906"/>
    <w:rsid w:val="00961B0B"/>
    <w:rsid w:val="00996879"/>
    <w:rsid w:val="009B38C3"/>
    <w:rsid w:val="009E17BD"/>
    <w:rsid w:val="009E485A"/>
    <w:rsid w:val="009F66A3"/>
    <w:rsid w:val="00A025AA"/>
    <w:rsid w:val="00A04CEC"/>
    <w:rsid w:val="00A27F92"/>
    <w:rsid w:val="00A32257"/>
    <w:rsid w:val="00A36D20"/>
    <w:rsid w:val="00A55622"/>
    <w:rsid w:val="00A83502"/>
    <w:rsid w:val="00A8382F"/>
    <w:rsid w:val="00A93619"/>
    <w:rsid w:val="00AB4B48"/>
    <w:rsid w:val="00AC47C8"/>
    <w:rsid w:val="00AD15B3"/>
    <w:rsid w:val="00AD39A0"/>
    <w:rsid w:val="00AF6E49"/>
    <w:rsid w:val="00B04A67"/>
    <w:rsid w:val="00B0583C"/>
    <w:rsid w:val="00B40A81"/>
    <w:rsid w:val="00B44910"/>
    <w:rsid w:val="00B51DAE"/>
    <w:rsid w:val="00B72267"/>
    <w:rsid w:val="00B76EB6"/>
    <w:rsid w:val="00B7737B"/>
    <w:rsid w:val="00B824C8"/>
    <w:rsid w:val="00BC251A"/>
    <w:rsid w:val="00BC3412"/>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74A"/>
    <w:rsid w:val="00D96BCE"/>
    <w:rsid w:val="00DB384B"/>
    <w:rsid w:val="00DE4373"/>
    <w:rsid w:val="00E10E80"/>
    <w:rsid w:val="00E124F0"/>
    <w:rsid w:val="00E60F04"/>
    <w:rsid w:val="00E854E4"/>
    <w:rsid w:val="00EA2120"/>
    <w:rsid w:val="00EB0D6F"/>
    <w:rsid w:val="00EB2232"/>
    <w:rsid w:val="00EC5337"/>
    <w:rsid w:val="00EC5B70"/>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2584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Union internationale des télécommunications (UIT)</Company>
  <LinksUpToDate>false</LinksUpToDate>
  <CharactersWithSpaces>3050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Burkina Faso, Ghana, Kenya et Ouganda sur l'utilisation de nouvelles solutions au service de la connectivite et le Projet d'Avis 1</dc:title>
  <dc:subject>WTPF</dc:subject>
  <dc:creator>Brouard, Ricarda</dc:creator>
  <cp:keywords>WTPF-21</cp:keywords>
  <dc:description/>
  <cp:lastModifiedBy>Xue, Kun</cp:lastModifiedBy>
  <cp:revision>2</cp:revision>
  <cp:lastPrinted>2000-07-18T13:30:00Z</cp:lastPrinted>
  <dcterms:created xsi:type="dcterms:W3CDTF">2021-12-09T17:43:00Z</dcterms:created>
  <dcterms:modified xsi:type="dcterms:W3CDTF">2021-12-09T17:43:00Z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