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2B654B" w14:paraId="6D6A4771" w14:textId="77777777" w:rsidTr="009F66A3">
        <w:trPr>
          <w:cantSplit/>
          <w:trHeight w:val="1276"/>
        </w:trPr>
        <w:tc>
          <w:tcPr>
            <w:tcW w:w="6911" w:type="dxa"/>
          </w:tcPr>
          <w:p w14:paraId="7BC30B78" w14:textId="6EF6AAAE" w:rsidR="002A2188" w:rsidRPr="002B654B" w:rsidRDefault="0087000D" w:rsidP="000815FC">
            <w:pPr>
              <w:spacing w:line="240" w:lineRule="atLeast"/>
              <w:rPr>
                <w:position w:val="6"/>
                <w:lang w:val="es-ES_tradnl"/>
              </w:rPr>
            </w:pPr>
            <w:r w:rsidRPr="002B654B">
              <w:rPr>
                <w:rFonts w:eastAsia="DengXian" w:cs="Arial"/>
                <w:noProof/>
                <w:sz w:val="22"/>
                <w:szCs w:val="22"/>
                <w:lang w:val="es-ES_tradnl" w:eastAsia="zh-CN"/>
              </w:rPr>
              <w:drawing>
                <wp:inline distT="0" distB="0" distL="0" distR="0" wp14:anchorId="07FED738" wp14:editId="56932914">
                  <wp:extent cx="2112264" cy="841248"/>
                  <wp:effectExtent l="0" t="0" r="254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2264" cy="841248"/>
                          </a:xfrm>
                          <a:prstGeom prst="rect">
                            <a:avLst/>
                          </a:prstGeom>
                        </pic:spPr>
                      </pic:pic>
                    </a:graphicData>
                  </a:graphic>
                </wp:inline>
              </w:drawing>
            </w:r>
          </w:p>
        </w:tc>
        <w:tc>
          <w:tcPr>
            <w:tcW w:w="3120" w:type="dxa"/>
            <w:vAlign w:val="center"/>
          </w:tcPr>
          <w:p w14:paraId="049BF09C" w14:textId="77777777" w:rsidR="002A2188" w:rsidRPr="002B654B" w:rsidRDefault="009F66A3" w:rsidP="000815FC">
            <w:pPr>
              <w:spacing w:line="240" w:lineRule="atLeast"/>
              <w:rPr>
                <w:lang w:val="es-ES_tradnl"/>
              </w:rPr>
            </w:pPr>
            <w:bookmarkStart w:id="0" w:name="ditulogo"/>
            <w:bookmarkEnd w:id="0"/>
            <w:r w:rsidRPr="002B654B">
              <w:rPr>
                <w:noProof/>
                <w:lang w:val="es-ES_tradnl" w:eastAsia="zh-CN"/>
              </w:rPr>
              <w:drawing>
                <wp:inline distT="0" distB="0" distL="0" distR="0" wp14:anchorId="10F84D5C" wp14:editId="20BC88C8">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A2188" w:rsidRPr="002B654B" w14:paraId="02F3C902" w14:textId="77777777" w:rsidTr="00464B6C">
        <w:trPr>
          <w:cantSplit/>
        </w:trPr>
        <w:tc>
          <w:tcPr>
            <w:tcW w:w="6911" w:type="dxa"/>
            <w:tcBorders>
              <w:bottom w:val="single" w:sz="12" w:space="0" w:color="auto"/>
            </w:tcBorders>
          </w:tcPr>
          <w:p w14:paraId="2143B1CA" w14:textId="77777777" w:rsidR="002A2188" w:rsidRPr="002B654B" w:rsidRDefault="002A2188" w:rsidP="00DE4373">
            <w:pPr>
              <w:spacing w:before="0" w:line="240" w:lineRule="atLeast"/>
              <w:rPr>
                <w:b/>
                <w:smallCaps/>
                <w:szCs w:val="24"/>
                <w:lang w:val="es-ES_tradnl"/>
              </w:rPr>
            </w:pPr>
          </w:p>
        </w:tc>
        <w:tc>
          <w:tcPr>
            <w:tcW w:w="3120" w:type="dxa"/>
            <w:tcBorders>
              <w:bottom w:val="single" w:sz="12" w:space="0" w:color="auto"/>
            </w:tcBorders>
          </w:tcPr>
          <w:p w14:paraId="3D08500D" w14:textId="77777777" w:rsidR="002A2188" w:rsidRPr="002B654B" w:rsidRDefault="002A2188" w:rsidP="00DE4373">
            <w:pPr>
              <w:spacing w:before="0" w:line="240" w:lineRule="atLeast"/>
              <w:rPr>
                <w:szCs w:val="24"/>
                <w:lang w:val="es-ES_tradnl"/>
              </w:rPr>
            </w:pPr>
          </w:p>
        </w:tc>
      </w:tr>
      <w:tr w:rsidR="002A2188" w:rsidRPr="002B654B" w14:paraId="17235C7F" w14:textId="77777777" w:rsidTr="00464B6C">
        <w:trPr>
          <w:cantSplit/>
        </w:trPr>
        <w:tc>
          <w:tcPr>
            <w:tcW w:w="6911" w:type="dxa"/>
            <w:tcBorders>
              <w:top w:val="single" w:sz="12" w:space="0" w:color="auto"/>
            </w:tcBorders>
          </w:tcPr>
          <w:p w14:paraId="5D7313BD" w14:textId="77777777" w:rsidR="002A2188" w:rsidRPr="002B654B" w:rsidRDefault="002A2188" w:rsidP="00DE4373">
            <w:pPr>
              <w:spacing w:before="0" w:line="240" w:lineRule="atLeast"/>
              <w:rPr>
                <w:b/>
                <w:smallCaps/>
                <w:szCs w:val="24"/>
                <w:lang w:val="es-ES_tradnl"/>
              </w:rPr>
            </w:pPr>
          </w:p>
        </w:tc>
        <w:tc>
          <w:tcPr>
            <w:tcW w:w="3120" w:type="dxa"/>
            <w:tcBorders>
              <w:top w:val="single" w:sz="12" w:space="0" w:color="auto"/>
            </w:tcBorders>
          </w:tcPr>
          <w:p w14:paraId="22C9147A" w14:textId="77777777" w:rsidR="002A2188" w:rsidRPr="002B654B" w:rsidRDefault="002A2188" w:rsidP="00DE4373">
            <w:pPr>
              <w:spacing w:before="0" w:line="240" w:lineRule="atLeast"/>
              <w:rPr>
                <w:szCs w:val="24"/>
                <w:lang w:val="es-ES_tradnl"/>
              </w:rPr>
            </w:pPr>
          </w:p>
        </w:tc>
      </w:tr>
      <w:tr w:rsidR="0087000D" w:rsidRPr="002B654B" w14:paraId="6804D83E" w14:textId="77777777" w:rsidTr="00464B6C">
        <w:trPr>
          <w:cantSplit/>
          <w:trHeight w:val="23"/>
        </w:trPr>
        <w:tc>
          <w:tcPr>
            <w:tcW w:w="6911" w:type="dxa"/>
            <w:vMerge w:val="restart"/>
          </w:tcPr>
          <w:p w14:paraId="42A03540" w14:textId="2C5D9B5C" w:rsidR="0087000D" w:rsidRPr="002B654B" w:rsidRDefault="0087000D" w:rsidP="0087000D">
            <w:pPr>
              <w:tabs>
                <w:tab w:val="left" w:pos="851"/>
              </w:tabs>
              <w:spacing w:before="0" w:line="240" w:lineRule="atLeast"/>
              <w:rPr>
                <w:b/>
                <w:lang w:val="es-ES_tradnl"/>
              </w:rPr>
            </w:pPr>
            <w:bookmarkStart w:id="1" w:name="dmeeting" w:colFirst="0" w:colLast="0"/>
            <w:bookmarkStart w:id="2" w:name="dnum" w:colFirst="1" w:colLast="1"/>
          </w:p>
        </w:tc>
        <w:tc>
          <w:tcPr>
            <w:tcW w:w="3120" w:type="dxa"/>
          </w:tcPr>
          <w:p w14:paraId="1727AC2C" w14:textId="0EAD189B" w:rsidR="0087000D" w:rsidRPr="002B654B" w:rsidRDefault="0087000D" w:rsidP="0087000D">
            <w:pPr>
              <w:tabs>
                <w:tab w:val="left" w:pos="851"/>
              </w:tabs>
              <w:spacing w:before="0" w:line="240" w:lineRule="atLeast"/>
              <w:rPr>
                <w:b/>
                <w:lang w:val="es-ES_tradnl"/>
              </w:rPr>
            </w:pPr>
          </w:p>
        </w:tc>
      </w:tr>
      <w:tr w:rsidR="0087000D" w:rsidRPr="00FF4439" w14:paraId="6B217E52" w14:textId="77777777" w:rsidTr="00464B6C">
        <w:trPr>
          <w:cantSplit/>
          <w:trHeight w:val="23"/>
        </w:trPr>
        <w:tc>
          <w:tcPr>
            <w:tcW w:w="6911" w:type="dxa"/>
            <w:vMerge/>
          </w:tcPr>
          <w:p w14:paraId="1CE8AE93" w14:textId="77777777" w:rsidR="0087000D" w:rsidRPr="002B654B" w:rsidRDefault="0087000D" w:rsidP="0087000D">
            <w:pPr>
              <w:tabs>
                <w:tab w:val="left" w:pos="851"/>
              </w:tabs>
              <w:spacing w:line="240" w:lineRule="atLeast"/>
              <w:rPr>
                <w:b/>
                <w:lang w:val="es-ES_tradnl"/>
              </w:rPr>
            </w:pPr>
            <w:bookmarkStart w:id="3" w:name="ddate" w:colFirst="1" w:colLast="1"/>
            <w:bookmarkEnd w:id="1"/>
            <w:bookmarkEnd w:id="2"/>
          </w:p>
        </w:tc>
        <w:tc>
          <w:tcPr>
            <w:tcW w:w="3120" w:type="dxa"/>
          </w:tcPr>
          <w:p w14:paraId="7AA42AA1" w14:textId="3DB9F130" w:rsidR="005B4F86" w:rsidRPr="002B654B" w:rsidRDefault="005B4F86" w:rsidP="0087000D">
            <w:pPr>
              <w:tabs>
                <w:tab w:val="left" w:pos="993"/>
              </w:tabs>
              <w:spacing w:before="0"/>
              <w:rPr>
                <w:rStyle w:val="PageNumber"/>
                <w:b/>
                <w:szCs w:val="24"/>
                <w:lang w:val="es-ES_tradnl"/>
              </w:rPr>
            </w:pPr>
            <w:r w:rsidRPr="002B654B">
              <w:rPr>
                <w:rStyle w:val="PageNumber"/>
                <w:b/>
                <w:szCs w:val="24"/>
                <w:lang w:val="es-ES_tradnl"/>
              </w:rPr>
              <w:t>Documento WTPF-21/</w:t>
            </w:r>
            <w:r w:rsidR="00DB001D" w:rsidRPr="002B654B">
              <w:rPr>
                <w:rStyle w:val="PageNumber"/>
                <w:b/>
                <w:szCs w:val="24"/>
                <w:lang w:val="es-ES_tradnl"/>
              </w:rPr>
              <w:t>4</w:t>
            </w:r>
            <w:r w:rsidRPr="002B654B">
              <w:rPr>
                <w:rStyle w:val="PageNumber"/>
                <w:b/>
                <w:szCs w:val="24"/>
                <w:lang w:val="es-ES_tradnl"/>
              </w:rPr>
              <w:t>-S</w:t>
            </w:r>
          </w:p>
          <w:p w14:paraId="257DEE08" w14:textId="2A162130" w:rsidR="0087000D" w:rsidRPr="002B654B" w:rsidRDefault="005B4F86" w:rsidP="0087000D">
            <w:pPr>
              <w:tabs>
                <w:tab w:val="left" w:pos="993"/>
              </w:tabs>
              <w:spacing w:before="0"/>
              <w:rPr>
                <w:b/>
                <w:lang w:val="es-ES_tradnl"/>
              </w:rPr>
            </w:pPr>
            <w:r w:rsidRPr="002B654B">
              <w:rPr>
                <w:rStyle w:val="PageNumber"/>
                <w:b/>
                <w:szCs w:val="24"/>
                <w:lang w:val="es-ES_tradnl"/>
              </w:rPr>
              <w:t>2</w:t>
            </w:r>
            <w:r w:rsidR="00DB001D" w:rsidRPr="002B654B">
              <w:rPr>
                <w:rStyle w:val="PageNumber"/>
                <w:b/>
                <w:szCs w:val="24"/>
                <w:lang w:val="es-ES_tradnl"/>
              </w:rPr>
              <w:t xml:space="preserve">9 </w:t>
            </w:r>
            <w:r w:rsidR="0087000D" w:rsidRPr="002B654B">
              <w:rPr>
                <w:rStyle w:val="PageNumber"/>
                <w:b/>
                <w:szCs w:val="24"/>
                <w:lang w:val="es-ES_tradnl"/>
              </w:rPr>
              <w:t xml:space="preserve">de </w:t>
            </w:r>
            <w:r w:rsidR="003574AF" w:rsidRPr="002B654B">
              <w:rPr>
                <w:rStyle w:val="PageNumber"/>
                <w:b/>
                <w:szCs w:val="24"/>
                <w:lang w:val="es-ES_tradnl"/>
              </w:rPr>
              <w:t>noviembre</w:t>
            </w:r>
            <w:r w:rsidR="0087000D" w:rsidRPr="002B654B">
              <w:rPr>
                <w:rStyle w:val="PageNumber"/>
                <w:b/>
                <w:szCs w:val="24"/>
                <w:lang w:val="es-ES_tradnl"/>
              </w:rPr>
              <w:t xml:space="preserve"> </w:t>
            </w:r>
            <w:r w:rsidR="0087000D" w:rsidRPr="002B654B">
              <w:rPr>
                <w:rFonts w:cstheme="minorHAnsi"/>
                <w:b/>
                <w:szCs w:val="24"/>
                <w:lang w:val="es-ES_tradnl"/>
              </w:rPr>
              <w:t>de 2021</w:t>
            </w:r>
          </w:p>
        </w:tc>
      </w:tr>
      <w:tr w:rsidR="0087000D" w:rsidRPr="002B654B" w14:paraId="10D36551" w14:textId="77777777" w:rsidTr="00464B6C">
        <w:trPr>
          <w:cantSplit/>
          <w:trHeight w:val="23"/>
        </w:trPr>
        <w:tc>
          <w:tcPr>
            <w:tcW w:w="6911" w:type="dxa"/>
            <w:vMerge/>
          </w:tcPr>
          <w:p w14:paraId="7EF812AF" w14:textId="77777777" w:rsidR="0087000D" w:rsidRPr="002B654B" w:rsidRDefault="0087000D" w:rsidP="0087000D">
            <w:pPr>
              <w:tabs>
                <w:tab w:val="left" w:pos="851"/>
              </w:tabs>
              <w:spacing w:line="240" w:lineRule="atLeast"/>
              <w:rPr>
                <w:b/>
                <w:lang w:val="es-ES_tradnl"/>
              </w:rPr>
            </w:pPr>
            <w:bookmarkStart w:id="4" w:name="dorlang" w:colFirst="1" w:colLast="1"/>
            <w:bookmarkEnd w:id="3"/>
          </w:p>
        </w:tc>
        <w:tc>
          <w:tcPr>
            <w:tcW w:w="3120" w:type="dxa"/>
          </w:tcPr>
          <w:p w14:paraId="0DF1D05E" w14:textId="4885B128" w:rsidR="0087000D" w:rsidRPr="002B654B" w:rsidRDefault="0087000D" w:rsidP="0087000D">
            <w:pPr>
              <w:tabs>
                <w:tab w:val="left" w:pos="993"/>
              </w:tabs>
              <w:spacing w:before="0"/>
              <w:rPr>
                <w:b/>
                <w:lang w:val="es-ES_tradnl"/>
              </w:rPr>
            </w:pPr>
            <w:r w:rsidRPr="002B654B">
              <w:rPr>
                <w:rFonts w:cstheme="minorHAnsi"/>
                <w:b/>
                <w:szCs w:val="24"/>
                <w:lang w:val="es-ES_tradnl"/>
              </w:rPr>
              <w:t>Original: inglés</w:t>
            </w:r>
          </w:p>
        </w:tc>
      </w:tr>
      <w:tr w:rsidR="005B4F86" w:rsidRPr="00FF4439" w14:paraId="7141CF1E" w14:textId="77777777" w:rsidTr="001D5FC4">
        <w:trPr>
          <w:cantSplit/>
        </w:trPr>
        <w:tc>
          <w:tcPr>
            <w:tcW w:w="10031" w:type="dxa"/>
            <w:gridSpan w:val="2"/>
          </w:tcPr>
          <w:p w14:paraId="070F4E77" w14:textId="250E7757" w:rsidR="005B4F86" w:rsidRPr="002B654B" w:rsidRDefault="005B4F86" w:rsidP="005B4F86">
            <w:pPr>
              <w:spacing w:before="840"/>
              <w:jc w:val="center"/>
              <w:rPr>
                <w:b/>
                <w:sz w:val="28"/>
                <w:lang w:val="es-ES_tradnl"/>
              </w:rPr>
            </w:pPr>
            <w:bookmarkStart w:id="5" w:name="dstart"/>
            <w:bookmarkStart w:id="6" w:name="dbreak"/>
            <w:bookmarkStart w:id="7" w:name="dsource" w:colFirst="0" w:colLast="0"/>
            <w:bookmarkStart w:id="8" w:name="lt_pId007"/>
            <w:bookmarkEnd w:id="4"/>
            <w:bookmarkEnd w:id="5"/>
            <w:bookmarkEnd w:id="6"/>
            <w:r w:rsidRPr="002B654B">
              <w:rPr>
                <w:b/>
                <w:sz w:val="28"/>
                <w:lang w:val="es-ES_tradnl"/>
              </w:rPr>
              <w:t xml:space="preserve">Contribución de </w:t>
            </w:r>
            <w:r w:rsidR="00DB001D" w:rsidRPr="002B654B">
              <w:rPr>
                <w:b/>
                <w:sz w:val="28"/>
                <w:lang w:val="es-ES_tradnl"/>
              </w:rPr>
              <w:t>la República de Mauricio</w:t>
            </w:r>
          </w:p>
        </w:tc>
      </w:tr>
      <w:tr w:rsidR="005B4F86" w:rsidRPr="00FF4439" w14:paraId="7CCD00E0" w14:textId="77777777" w:rsidTr="001D5FC4">
        <w:trPr>
          <w:cantSplit/>
        </w:trPr>
        <w:tc>
          <w:tcPr>
            <w:tcW w:w="10031" w:type="dxa"/>
            <w:gridSpan w:val="2"/>
          </w:tcPr>
          <w:p w14:paraId="04B3B254" w14:textId="73A18F21" w:rsidR="005B4F86" w:rsidRPr="002B654B" w:rsidRDefault="00DB001D" w:rsidP="005B4F86">
            <w:pPr>
              <w:spacing w:before="240"/>
              <w:jc w:val="center"/>
              <w:rPr>
                <w:caps/>
                <w:sz w:val="28"/>
                <w:lang w:val="es-ES_tradnl"/>
              </w:rPr>
            </w:pPr>
            <w:bookmarkStart w:id="9" w:name="dtitle1" w:colFirst="0" w:colLast="0"/>
            <w:bookmarkEnd w:id="7"/>
            <w:r w:rsidRPr="002B654B">
              <w:rPr>
                <w:caps/>
                <w:sz w:val="28"/>
                <w:lang w:val="es-ES_tradnl"/>
              </w:rPr>
              <w:t>sobre el sexto proyecto de informe</w:t>
            </w:r>
            <w:r w:rsidR="002044C5" w:rsidRPr="002B654B">
              <w:rPr>
                <w:caps/>
                <w:sz w:val="28"/>
                <w:lang w:val="es-ES_tradnl"/>
              </w:rPr>
              <w:t xml:space="preserve"> </w:t>
            </w:r>
            <w:r w:rsidRPr="002B654B">
              <w:rPr>
                <w:caps/>
                <w:sz w:val="28"/>
                <w:lang w:val="es-ES_tradnl"/>
              </w:rPr>
              <w:t>del Secretario General</w:t>
            </w:r>
            <w:r w:rsidR="002044C5" w:rsidRPr="002B654B">
              <w:rPr>
                <w:caps/>
                <w:sz w:val="28"/>
                <w:lang w:val="es-ES_tradnl"/>
              </w:rPr>
              <w:br/>
            </w:r>
            <w:r w:rsidRPr="002B654B">
              <w:rPr>
                <w:caps/>
                <w:sz w:val="28"/>
                <w:lang w:val="es-ES_tradnl"/>
              </w:rPr>
              <w:t>de la uit</w:t>
            </w:r>
          </w:p>
        </w:tc>
      </w:tr>
    </w:tbl>
    <w:p w14:paraId="7DAF8C3A" w14:textId="595F42AC" w:rsidR="005F7D5C" w:rsidRPr="002B654B" w:rsidRDefault="00DB001D" w:rsidP="002044C5">
      <w:pPr>
        <w:pStyle w:val="Headingb"/>
        <w:spacing w:before="360"/>
        <w:rPr>
          <w:lang w:val="es-ES_tradnl"/>
        </w:rPr>
      </w:pPr>
      <w:bookmarkStart w:id="10" w:name="lt_pId012"/>
      <w:bookmarkEnd w:id="9"/>
      <w:bookmarkEnd w:id="8"/>
      <w:r w:rsidRPr="002B654B">
        <w:rPr>
          <w:u w:val="single"/>
          <w:lang w:val="es-ES_tradnl"/>
        </w:rPr>
        <w:t>SEC</w:t>
      </w:r>
      <w:r w:rsidR="00A80628" w:rsidRPr="002B654B">
        <w:rPr>
          <w:u w:val="single"/>
          <w:lang w:val="es-ES_tradnl"/>
        </w:rPr>
        <w:t>CIÓ</w:t>
      </w:r>
      <w:r w:rsidRPr="002B654B">
        <w:rPr>
          <w:u w:val="single"/>
          <w:lang w:val="es-ES_tradnl"/>
        </w:rPr>
        <w:t>N 2.8:</w:t>
      </w:r>
      <w:bookmarkEnd w:id="10"/>
      <w:r w:rsidRPr="002B654B">
        <w:rPr>
          <w:u w:val="single"/>
          <w:lang w:val="es-ES_tradnl"/>
        </w:rPr>
        <w:t xml:space="preserve"> </w:t>
      </w:r>
      <w:bookmarkStart w:id="11" w:name="lt_pId013"/>
      <w:r w:rsidR="00A80628" w:rsidRPr="002B654B">
        <w:rPr>
          <w:u w:val="single"/>
          <w:lang w:val="es-ES_tradnl"/>
        </w:rPr>
        <w:t>Algunos temas que se han de considerar</w:t>
      </w:r>
      <w:r w:rsidRPr="002B654B">
        <w:rPr>
          <w:lang w:val="es-ES_tradnl"/>
        </w:rPr>
        <w:t>:</w:t>
      </w:r>
      <w:bookmarkEnd w:id="11"/>
    </w:p>
    <w:p w14:paraId="3833764F" w14:textId="7C097856" w:rsidR="00DB001D" w:rsidRPr="002B654B" w:rsidRDefault="005F7D5C" w:rsidP="005F7D5C">
      <w:pPr>
        <w:pStyle w:val="Heading1"/>
        <w:rPr>
          <w:sz w:val="24"/>
          <w:szCs w:val="24"/>
          <w:lang w:val="es-ES_tradnl"/>
        </w:rPr>
      </w:pPr>
      <w:bookmarkStart w:id="12" w:name="lt_pId014"/>
      <w:r w:rsidRPr="002B654B">
        <w:rPr>
          <w:sz w:val="24"/>
          <w:szCs w:val="24"/>
          <w:lang w:val="es-ES_tradnl"/>
        </w:rPr>
        <w:t>1</w:t>
      </w:r>
      <w:r w:rsidRPr="002B654B">
        <w:rPr>
          <w:sz w:val="24"/>
          <w:szCs w:val="24"/>
          <w:lang w:val="es-ES_tradnl"/>
        </w:rPr>
        <w:tab/>
      </w:r>
      <w:r w:rsidR="00A80628" w:rsidRPr="002B654B">
        <w:rPr>
          <w:sz w:val="24"/>
          <w:szCs w:val="24"/>
          <w:lang w:val="es-ES_tradnl"/>
        </w:rPr>
        <w:t>Sección</w:t>
      </w:r>
      <w:r w:rsidR="00DB001D" w:rsidRPr="002B654B">
        <w:rPr>
          <w:sz w:val="24"/>
          <w:szCs w:val="24"/>
          <w:lang w:val="es-ES_tradnl"/>
        </w:rPr>
        <w:t xml:space="preserve"> 2.8.1:</w:t>
      </w:r>
      <w:bookmarkEnd w:id="12"/>
      <w:r w:rsidR="00DB001D" w:rsidRPr="002B654B">
        <w:rPr>
          <w:sz w:val="24"/>
          <w:szCs w:val="24"/>
          <w:lang w:val="es-ES_tradnl"/>
        </w:rPr>
        <w:t xml:space="preserve"> </w:t>
      </w:r>
      <w:bookmarkStart w:id="13" w:name="lt_pId015"/>
      <w:r w:rsidR="00A80628" w:rsidRPr="002B654B">
        <w:rPr>
          <w:sz w:val="24"/>
          <w:szCs w:val="24"/>
          <w:lang w:val="es-ES_tradnl"/>
        </w:rPr>
        <w:t>Inteligencia Artificial</w:t>
      </w:r>
      <w:r w:rsidR="00DB001D" w:rsidRPr="002B654B">
        <w:rPr>
          <w:sz w:val="24"/>
          <w:szCs w:val="24"/>
          <w:lang w:val="es-ES_tradnl"/>
        </w:rPr>
        <w:t xml:space="preserve"> (</w:t>
      </w:r>
      <w:r w:rsidR="00A80628" w:rsidRPr="002B654B">
        <w:rPr>
          <w:sz w:val="24"/>
          <w:szCs w:val="24"/>
          <w:lang w:val="es-ES_tradnl"/>
        </w:rPr>
        <w:t>I</w:t>
      </w:r>
      <w:r w:rsidR="00DB001D" w:rsidRPr="002B654B">
        <w:rPr>
          <w:sz w:val="24"/>
          <w:szCs w:val="24"/>
          <w:lang w:val="es-ES_tradnl"/>
        </w:rPr>
        <w:t>A)</w:t>
      </w:r>
      <w:bookmarkEnd w:id="13"/>
    </w:p>
    <w:p w14:paraId="294E901D" w14:textId="683B9FCA" w:rsidR="00DB001D" w:rsidRPr="002B654B" w:rsidRDefault="00A80628" w:rsidP="005F7D5C">
      <w:pPr>
        <w:rPr>
          <w:lang w:val="es-ES_tradnl"/>
        </w:rPr>
      </w:pPr>
      <w:bookmarkStart w:id="14" w:name="lt_pId016"/>
      <w:r w:rsidRPr="002B654B">
        <w:rPr>
          <w:lang w:val="es-ES_tradnl"/>
        </w:rPr>
        <w:t>En cuanto al uso de las soluciones y tecnologías de la IA, se propone dedicar un capítulo entero a sus perspectivas y desafíos a fin de movilizar dichas tecnologías para el desarrollo sostenible</w:t>
      </w:r>
      <w:r w:rsidR="00DB001D" w:rsidRPr="002B654B">
        <w:rPr>
          <w:lang w:val="es-ES_tradnl"/>
        </w:rPr>
        <w:t>.</w:t>
      </w:r>
      <w:bookmarkEnd w:id="14"/>
    </w:p>
    <w:p w14:paraId="45FB7317" w14:textId="319B147B" w:rsidR="00DB001D" w:rsidRPr="002B654B" w:rsidRDefault="005F7D5C" w:rsidP="005F7D5C">
      <w:pPr>
        <w:pStyle w:val="Heading1"/>
        <w:rPr>
          <w:sz w:val="24"/>
          <w:szCs w:val="24"/>
          <w:lang w:val="es-ES_tradnl"/>
        </w:rPr>
      </w:pPr>
      <w:bookmarkStart w:id="15" w:name="lt_pId017"/>
      <w:r w:rsidRPr="002B654B">
        <w:rPr>
          <w:sz w:val="24"/>
          <w:szCs w:val="24"/>
          <w:lang w:val="es-ES_tradnl"/>
        </w:rPr>
        <w:t>2</w:t>
      </w:r>
      <w:r w:rsidRPr="002B654B">
        <w:rPr>
          <w:sz w:val="24"/>
          <w:szCs w:val="24"/>
          <w:lang w:val="es-ES_tradnl"/>
        </w:rPr>
        <w:tab/>
      </w:r>
      <w:r w:rsidR="00A80628" w:rsidRPr="002B654B">
        <w:rPr>
          <w:sz w:val="24"/>
          <w:szCs w:val="24"/>
          <w:lang w:val="es-ES_tradnl"/>
        </w:rPr>
        <w:t xml:space="preserve">Sección </w:t>
      </w:r>
      <w:r w:rsidR="00DB001D" w:rsidRPr="002B654B">
        <w:rPr>
          <w:sz w:val="24"/>
          <w:szCs w:val="24"/>
          <w:lang w:val="es-ES_tradnl"/>
        </w:rPr>
        <w:t>2.8.2:</w:t>
      </w:r>
      <w:bookmarkEnd w:id="15"/>
      <w:r w:rsidR="00DB001D" w:rsidRPr="002B654B">
        <w:rPr>
          <w:sz w:val="24"/>
          <w:szCs w:val="24"/>
          <w:lang w:val="es-ES_tradnl"/>
        </w:rPr>
        <w:t xml:space="preserve"> </w:t>
      </w:r>
      <w:bookmarkStart w:id="16" w:name="lt_pId018"/>
      <w:r w:rsidR="00DB001D" w:rsidRPr="002B654B">
        <w:rPr>
          <w:sz w:val="24"/>
          <w:szCs w:val="24"/>
          <w:lang w:val="es-ES_tradnl"/>
        </w:rPr>
        <w:t xml:space="preserve">Internet </w:t>
      </w:r>
      <w:r w:rsidR="00A80628" w:rsidRPr="002B654B">
        <w:rPr>
          <w:sz w:val="24"/>
          <w:szCs w:val="24"/>
          <w:lang w:val="es-ES_tradnl"/>
        </w:rPr>
        <w:t>de las Cosas</w:t>
      </w:r>
      <w:r w:rsidR="00DB001D" w:rsidRPr="002B654B">
        <w:rPr>
          <w:sz w:val="24"/>
          <w:szCs w:val="24"/>
          <w:lang w:val="es-ES_tradnl"/>
        </w:rPr>
        <w:t xml:space="preserve"> (IoT)</w:t>
      </w:r>
      <w:bookmarkEnd w:id="16"/>
    </w:p>
    <w:p w14:paraId="5A7B08EE" w14:textId="3CC5989B" w:rsidR="00DB001D" w:rsidRPr="002B654B" w:rsidRDefault="000441E7" w:rsidP="001002AB">
      <w:pPr>
        <w:rPr>
          <w:lang w:val="es-ES_tradnl"/>
        </w:rPr>
      </w:pPr>
      <w:bookmarkStart w:id="17" w:name="lt_pId021"/>
      <w:r w:rsidRPr="002B654B">
        <w:rPr>
          <w:lang w:val="es-ES_tradnl"/>
        </w:rPr>
        <w:t>Mauricio se está subiendo al carro de la IoT con proveedores de servicios que ofrecen acceso a sus instalaciones de IoT, así como con ciudades inteligentes que crean sus propias redes de IoT. La IoT conlleva una serie de retos que requieren diversas reformas políticas. Se propone reflexionar sobre lo siguiente</w:t>
      </w:r>
      <w:r w:rsidR="00DB001D" w:rsidRPr="002B654B">
        <w:rPr>
          <w:lang w:val="es-ES_tradnl"/>
        </w:rPr>
        <w:t>:</w:t>
      </w:r>
      <w:bookmarkEnd w:id="17"/>
    </w:p>
    <w:p w14:paraId="3D12688E" w14:textId="1E01B45C" w:rsidR="00DB001D" w:rsidRPr="002B654B" w:rsidRDefault="005F7D5C" w:rsidP="005F7D5C">
      <w:pPr>
        <w:pStyle w:val="enumlev1"/>
        <w:rPr>
          <w:lang w:val="es-ES_tradnl"/>
        </w:rPr>
      </w:pPr>
      <w:bookmarkStart w:id="18" w:name="lt_pId023"/>
      <w:r w:rsidRPr="002B654B">
        <w:rPr>
          <w:lang w:val="es-ES_tradnl"/>
        </w:rPr>
        <w:t>i)</w:t>
      </w:r>
      <w:r w:rsidRPr="002B654B">
        <w:rPr>
          <w:lang w:val="es-ES_tradnl"/>
        </w:rPr>
        <w:tab/>
        <w:t xml:space="preserve">la </w:t>
      </w:r>
      <w:r w:rsidR="007D4D4B" w:rsidRPr="002B654B">
        <w:rPr>
          <w:lang w:val="es-ES_tradnl"/>
        </w:rPr>
        <w:t>IoT está llamada a integrar sistemas esenciales y, como tal, la ciberseguridad tiene que formar parte integral del entorno de la IoT. Aparte de garantizar que los equipos de la IoT cumplan con normas específicas, es imperativo que se establezcan normas de ciberseguridad para la IoT y se supervise su cumplimiento</w:t>
      </w:r>
      <w:r w:rsidR="00DB001D" w:rsidRPr="002B654B">
        <w:rPr>
          <w:lang w:val="es-ES_tradnl"/>
        </w:rPr>
        <w:t>;</w:t>
      </w:r>
      <w:bookmarkEnd w:id="18"/>
    </w:p>
    <w:p w14:paraId="0641DE1D" w14:textId="16E976DD" w:rsidR="00DB001D" w:rsidRPr="002B654B" w:rsidRDefault="005F7D5C" w:rsidP="005F7D5C">
      <w:pPr>
        <w:pStyle w:val="enumlev1"/>
        <w:rPr>
          <w:lang w:val="es-ES_tradnl"/>
        </w:rPr>
      </w:pPr>
      <w:r w:rsidRPr="002B654B">
        <w:rPr>
          <w:lang w:val="es-ES_tradnl"/>
        </w:rPr>
        <w:t>ii)</w:t>
      </w:r>
      <w:r w:rsidRPr="002B654B">
        <w:rPr>
          <w:lang w:val="es-ES_tradnl"/>
        </w:rPr>
        <w:tab/>
      </w:r>
      <w:r w:rsidR="00AD3928" w:rsidRPr="002B654B">
        <w:rPr>
          <w:lang w:val="es-ES_tradnl"/>
        </w:rPr>
        <w:t>la compartición de infraestructuras es una forma eficaz de reducir el coste de despliegue de las redes y de conseguir un acceso generalizado y asequible a los servicios de telecomunicaciones. Con la Internet de las Cosas (IoT), la compartición de infraestructuras se ha convertido en una necesidad. Como tal, se debe proporcionar a los nuevos actores un acceso justo a los elementos de infraestructura esenciales, como son las torres de telecomunicaciones; y</w:t>
      </w:r>
    </w:p>
    <w:p w14:paraId="27F2BFCD" w14:textId="3F9F3672" w:rsidR="00DB001D" w:rsidRPr="002B654B" w:rsidRDefault="005F7D5C" w:rsidP="005F7D5C">
      <w:pPr>
        <w:pStyle w:val="enumlev1"/>
        <w:rPr>
          <w:lang w:val="es-ES_tradnl"/>
        </w:rPr>
      </w:pPr>
      <w:bookmarkStart w:id="19" w:name="lt_pId028"/>
      <w:r w:rsidRPr="002B654B">
        <w:rPr>
          <w:lang w:val="es-ES_tradnl"/>
        </w:rPr>
        <w:t>iii)</w:t>
      </w:r>
      <w:r w:rsidRPr="002B654B">
        <w:rPr>
          <w:lang w:val="es-ES_tradnl"/>
        </w:rPr>
        <w:tab/>
      </w:r>
      <w:r w:rsidR="00AD3928" w:rsidRPr="002B654B">
        <w:rPr>
          <w:lang w:val="es-ES_tradnl"/>
        </w:rPr>
        <w:t>un marco adecuado que fomente la existencia de operadores de redes virtuales resulta esencial para la implantación de las comunicaciones IoT y M2M</w:t>
      </w:r>
      <w:r w:rsidR="00DB001D" w:rsidRPr="002B654B">
        <w:rPr>
          <w:lang w:val="es-ES_tradnl"/>
        </w:rPr>
        <w:t>.</w:t>
      </w:r>
      <w:bookmarkEnd w:id="19"/>
    </w:p>
    <w:p w14:paraId="26B4D6F8" w14:textId="4A14AB08" w:rsidR="00DB001D" w:rsidRPr="002B654B" w:rsidRDefault="00AD3928" w:rsidP="005F7D5C">
      <w:pPr>
        <w:rPr>
          <w:lang w:val="es-ES_tradnl"/>
        </w:rPr>
      </w:pPr>
      <w:bookmarkStart w:id="20" w:name="lt_pId029"/>
      <w:r w:rsidRPr="002B654B">
        <w:rPr>
          <w:lang w:val="es-ES_tradnl"/>
        </w:rPr>
        <w:t>Se propone que las deliberaciones sobre la IoT se lleven a cabo haciendo hincapié en la movilización de la tecnología a largo plazo, incluyendo el desarrollo, el despliegue, la asequibilidad, la confianza pública, la seguridad y la confianza</w:t>
      </w:r>
      <w:r w:rsidR="00DB001D" w:rsidRPr="002B654B">
        <w:rPr>
          <w:lang w:val="es-ES_tradnl"/>
        </w:rPr>
        <w:t>.</w:t>
      </w:r>
      <w:bookmarkEnd w:id="20"/>
    </w:p>
    <w:p w14:paraId="02A7A41E" w14:textId="2B571D51" w:rsidR="00DB001D" w:rsidRPr="002B654B" w:rsidRDefault="005F7D5C" w:rsidP="005F7D5C">
      <w:pPr>
        <w:pStyle w:val="Heading1"/>
        <w:rPr>
          <w:sz w:val="24"/>
          <w:szCs w:val="24"/>
          <w:lang w:val="es-ES_tradnl"/>
        </w:rPr>
      </w:pPr>
      <w:bookmarkStart w:id="21" w:name="lt_pId030"/>
      <w:r w:rsidRPr="002B654B">
        <w:rPr>
          <w:sz w:val="24"/>
          <w:szCs w:val="24"/>
          <w:lang w:val="es-ES_tradnl"/>
        </w:rPr>
        <w:lastRenderedPageBreak/>
        <w:t>3</w:t>
      </w:r>
      <w:r w:rsidRPr="002B654B">
        <w:rPr>
          <w:sz w:val="24"/>
          <w:szCs w:val="24"/>
          <w:lang w:val="es-ES_tradnl"/>
        </w:rPr>
        <w:tab/>
      </w:r>
      <w:r w:rsidR="00A80628" w:rsidRPr="002B654B">
        <w:rPr>
          <w:sz w:val="24"/>
          <w:szCs w:val="24"/>
          <w:lang w:val="es-ES_tradnl"/>
        </w:rPr>
        <w:t xml:space="preserve">Sección </w:t>
      </w:r>
      <w:r w:rsidR="00DB001D" w:rsidRPr="002B654B">
        <w:rPr>
          <w:sz w:val="24"/>
          <w:szCs w:val="24"/>
          <w:lang w:val="es-ES_tradnl"/>
        </w:rPr>
        <w:t>2.8.3:</w:t>
      </w:r>
      <w:bookmarkEnd w:id="21"/>
      <w:r w:rsidR="00DB001D" w:rsidRPr="002B654B">
        <w:rPr>
          <w:sz w:val="24"/>
          <w:szCs w:val="24"/>
          <w:lang w:val="es-ES_tradnl"/>
        </w:rPr>
        <w:t xml:space="preserve"> </w:t>
      </w:r>
      <w:bookmarkStart w:id="22" w:name="lt_pId031"/>
      <w:r w:rsidR="00DB001D" w:rsidRPr="002B654B">
        <w:rPr>
          <w:sz w:val="24"/>
          <w:szCs w:val="24"/>
          <w:lang w:val="es-ES_tradnl"/>
        </w:rPr>
        <w:t>5G</w:t>
      </w:r>
      <w:bookmarkEnd w:id="22"/>
    </w:p>
    <w:p w14:paraId="744FB2F7" w14:textId="4D22D5F3" w:rsidR="00DB001D" w:rsidRPr="002B654B" w:rsidRDefault="00AD3928" w:rsidP="005F7D5C">
      <w:pPr>
        <w:rPr>
          <w:lang w:val="es-ES_tradnl"/>
        </w:rPr>
      </w:pPr>
      <w:bookmarkStart w:id="23" w:name="lt_pId032"/>
      <w:r w:rsidRPr="002B654B">
        <w:rPr>
          <w:lang w:val="es-ES_tradnl"/>
        </w:rPr>
        <w:t>El organismo regulador de Mauricio ha tenido que superar diversos desafíos en lo que atañe a la concesión de espectro para 5G</w:t>
      </w:r>
      <w:r w:rsidR="00DB001D" w:rsidRPr="002B654B">
        <w:rPr>
          <w:lang w:val="es-ES_tradnl"/>
        </w:rPr>
        <w:t>.</w:t>
      </w:r>
      <w:bookmarkEnd w:id="23"/>
    </w:p>
    <w:p w14:paraId="3091A40C" w14:textId="59E31DFE" w:rsidR="00DB001D" w:rsidRPr="002B654B" w:rsidRDefault="0071621B" w:rsidP="005F7D5C">
      <w:pPr>
        <w:rPr>
          <w:lang w:val="es-ES_tradnl"/>
        </w:rPr>
      </w:pPr>
      <w:bookmarkStart w:id="24" w:name="lt_pId033"/>
      <w:r w:rsidRPr="002B654B">
        <w:rPr>
          <w:lang w:val="es-ES_tradnl"/>
        </w:rPr>
        <w:t>En el pasado, para la 2G, la 3G y la 4G, el espectro se asignaba en bloques relativamente pequeños de 5</w:t>
      </w:r>
      <w:r w:rsidR="002B2F38" w:rsidRPr="002B654B">
        <w:rPr>
          <w:lang w:val="es-ES_tradnl"/>
        </w:rPr>
        <w:t> </w:t>
      </w:r>
      <w:r w:rsidRPr="002B654B">
        <w:rPr>
          <w:lang w:val="es-ES_tradnl"/>
        </w:rPr>
        <w:t>MHz o 10</w:t>
      </w:r>
      <w:r w:rsidR="002B2F38" w:rsidRPr="002B654B">
        <w:rPr>
          <w:lang w:val="es-ES_tradnl"/>
        </w:rPr>
        <w:t> </w:t>
      </w:r>
      <w:r w:rsidRPr="002B654B">
        <w:rPr>
          <w:lang w:val="es-ES_tradnl"/>
        </w:rPr>
        <w:t>MHz, y cuando los operadores decidieron aplicar la 5G, donde la demanda es de grandes bloques de espectro (por ejemplo, 100</w:t>
      </w:r>
      <w:r w:rsidR="002B2F38" w:rsidRPr="002B654B">
        <w:rPr>
          <w:lang w:val="es-ES_tradnl"/>
        </w:rPr>
        <w:t> </w:t>
      </w:r>
      <w:r w:rsidRPr="002B654B">
        <w:rPr>
          <w:lang w:val="es-ES_tradnl"/>
        </w:rPr>
        <w:t>MHz), hubo que adoptar un enfoque totalmente diferente</w:t>
      </w:r>
      <w:r w:rsidR="00DB001D" w:rsidRPr="002B654B">
        <w:rPr>
          <w:lang w:val="es-ES_tradnl"/>
        </w:rPr>
        <w:t>.</w:t>
      </w:r>
      <w:bookmarkEnd w:id="24"/>
    </w:p>
    <w:p w14:paraId="5E4F2392" w14:textId="73298497" w:rsidR="00DB001D" w:rsidRPr="002B654B" w:rsidRDefault="0071621B" w:rsidP="005F7D5C">
      <w:pPr>
        <w:rPr>
          <w:lang w:val="es-ES_tradnl"/>
        </w:rPr>
      </w:pPr>
      <w:bookmarkStart w:id="25" w:name="lt_pId034"/>
      <w:r w:rsidRPr="002B654B">
        <w:rPr>
          <w:lang w:val="es-ES_tradnl"/>
        </w:rPr>
        <w:t>Mientras que en la mayoría de las jurisdicciones se ha recurrido a la subasta de espectro basada en los cánones de las licencias, tras consultar con el sector este modo de adjudicación se descartó</w:t>
      </w:r>
      <w:r w:rsidR="00DB001D" w:rsidRPr="002B654B">
        <w:rPr>
          <w:lang w:val="es-ES_tradnl"/>
        </w:rPr>
        <w:t>.</w:t>
      </w:r>
      <w:bookmarkEnd w:id="25"/>
    </w:p>
    <w:p w14:paraId="1D146F42" w14:textId="6C5E27CB" w:rsidR="00DB001D" w:rsidRPr="002B654B" w:rsidRDefault="0071621B" w:rsidP="005F7D5C">
      <w:pPr>
        <w:rPr>
          <w:lang w:val="es-ES_tradnl"/>
        </w:rPr>
      </w:pPr>
      <w:bookmarkStart w:id="26" w:name="lt_pId035"/>
      <w:r w:rsidRPr="002B654B">
        <w:rPr>
          <w:lang w:val="es-ES_tradnl"/>
        </w:rPr>
        <w:t>El organismo regulador desarrolló un proceso de atribución alternativo que permitiría</w:t>
      </w:r>
      <w:r w:rsidR="00DB001D" w:rsidRPr="002B654B">
        <w:rPr>
          <w:lang w:val="es-ES_tradnl"/>
        </w:rPr>
        <w:t>:</w:t>
      </w:r>
      <w:bookmarkEnd w:id="26"/>
    </w:p>
    <w:p w14:paraId="33FCFAF0" w14:textId="1DD53CFB" w:rsidR="00DB001D" w:rsidRPr="002B654B" w:rsidRDefault="005F7D5C" w:rsidP="005F7D5C">
      <w:pPr>
        <w:pStyle w:val="enumlev1"/>
        <w:rPr>
          <w:lang w:val="es-ES_tradnl"/>
        </w:rPr>
      </w:pPr>
      <w:bookmarkStart w:id="27" w:name="lt_pId037"/>
      <w:r w:rsidRPr="002B654B">
        <w:rPr>
          <w:lang w:val="es-ES_tradnl"/>
        </w:rPr>
        <w:t>a)</w:t>
      </w:r>
      <w:r w:rsidRPr="002B654B">
        <w:rPr>
          <w:lang w:val="es-ES_tradnl"/>
        </w:rPr>
        <w:tab/>
        <w:t xml:space="preserve">crear </w:t>
      </w:r>
      <w:r w:rsidR="0002097C" w:rsidRPr="002B654B">
        <w:rPr>
          <w:lang w:val="es-ES_tradnl"/>
        </w:rPr>
        <w:t>la igualdad de condiciones para todos los operadores móviles al permitir que todos ellos tengan la oportunidad de obtener espectro para el despliegue de la 5G</w:t>
      </w:r>
      <w:r w:rsidR="00DB001D" w:rsidRPr="002B654B">
        <w:rPr>
          <w:lang w:val="es-ES_tradnl"/>
        </w:rPr>
        <w:t>;</w:t>
      </w:r>
      <w:bookmarkEnd w:id="27"/>
    </w:p>
    <w:p w14:paraId="0B33995D" w14:textId="0F42953F" w:rsidR="00DB001D" w:rsidRPr="002B654B" w:rsidRDefault="005F7D5C" w:rsidP="005F7D5C">
      <w:pPr>
        <w:pStyle w:val="enumlev1"/>
        <w:rPr>
          <w:lang w:val="es-ES_tradnl"/>
        </w:rPr>
      </w:pPr>
      <w:bookmarkStart w:id="28" w:name="lt_pId038"/>
      <w:r w:rsidRPr="002B654B">
        <w:rPr>
          <w:lang w:val="es-ES_tradnl"/>
        </w:rPr>
        <w:t>b)</w:t>
      </w:r>
      <w:r w:rsidRPr="002B654B">
        <w:rPr>
          <w:lang w:val="es-ES_tradnl"/>
        </w:rPr>
        <w:tab/>
        <w:t xml:space="preserve">promover </w:t>
      </w:r>
      <w:r w:rsidR="0002097C" w:rsidRPr="002B654B">
        <w:rPr>
          <w:lang w:val="es-ES_tradnl"/>
        </w:rPr>
        <w:t>una utilización eficiente del espectro</w:t>
      </w:r>
      <w:r w:rsidR="00DB001D" w:rsidRPr="002B654B">
        <w:rPr>
          <w:lang w:val="es-ES_tradnl"/>
        </w:rPr>
        <w:t>;</w:t>
      </w:r>
      <w:bookmarkEnd w:id="28"/>
    </w:p>
    <w:p w14:paraId="558F45E6" w14:textId="4517D2AC" w:rsidR="00DB001D" w:rsidRPr="002B654B" w:rsidRDefault="005F7D5C" w:rsidP="005F7D5C">
      <w:pPr>
        <w:pStyle w:val="enumlev1"/>
        <w:rPr>
          <w:lang w:val="es-ES_tradnl"/>
        </w:rPr>
      </w:pPr>
      <w:bookmarkStart w:id="29" w:name="lt_pId039"/>
      <w:r w:rsidRPr="002B654B">
        <w:rPr>
          <w:lang w:val="es-ES_tradnl"/>
        </w:rPr>
        <w:t>c)</w:t>
      </w:r>
      <w:r w:rsidRPr="002B654B">
        <w:rPr>
          <w:lang w:val="es-ES_tradnl"/>
        </w:rPr>
        <w:tab/>
        <w:t xml:space="preserve">promover </w:t>
      </w:r>
      <w:r w:rsidR="0002097C" w:rsidRPr="002B654B">
        <w:rPr>
          <w:lang w:val="es-ES_tradnl"/>
        </w:rPr>
        <w:t>las inversiones y la innovación</w:t>
      </w:r>
      <w:r w:rsidR="00DB001D" w:rsidRPr="002B654B">
        <w:rPr>
          <w:lang w:val="es-ES_tradnl"/>
        </w:rPr>
        <w:t>;</w:t>
      </w:r>
      <w:bookmarkEnd w:id="29"/>
    </w:p>
    <w:p w14:paraId="74795C79" w14:textId="05387351" w:rsidR="00DB001D" w:rsidRPr="002B654B" w:rsidRDefault="005F7D5C" w:rsidP="005F7D5C">
      <w:pPr>
        <w:pStyle w:val="enumlev1"/>
        <w:rPr>
          <w:lang w:val="es-ES_tradnl"/>
        </w:rPr>
      </w:pPr>
      <w:bookmarkStart w:id="30" w:name="lt_pId040"/>
      <w:r w:rsidRPr="002B654B">
        <w:rPr>
          <w:lang w:val="es-ES_tradnl"/>
        </w:rPr>
        <w:t>d)</w:t>
      </w:r>
      <w:r w:rsidRPr="002B654B">
        <w:rPr>
          <w:lang w:val="es-ES_tradnl"/>
        </w:rPr>
        <w:tab/>
        <w:t xml:space="preserve">fomentar </w:t>
      </w:r>
      <w:r w:rsidR="0002097C" w:rsidRPr="002B654B">
        <w:rPr>
          <w:lang w:val="es-ES_tradnl"/>
        </w:rPr>
        <w:t>la competencia</w:t>
      </w:r>
      <w:r w:rsidR="00DB001D" w:rsidRPr="002B654B">
        <w:rPr>
          <w:lang w:val="es-ES_tradnl"/>
        </w:rPr>
        <w:t>;</w:t>
      </w:r>
      <w:bookmarkEnd w:id="30"/>
    </w:p>
    <w:p w14:paraId="6EDD7894" w14:textId="739316E6" w:rsidR="00DB001D" w:rsidRPr="002B654B" w:rsidRDefault="005F7D5C" w:rsidP="005F7D5C">
      <w:pPr>
        <w:pStyle w:val="enumlev1"/>
        <w:rPr>
          <w:lang w:val="es-ES_tradnl"/>
        </w:rPr>
      </w:pPr>
      <w:bookmarkStart w:id="31" w:name="lt_pId041"/>
      <w:r w:rsidRPr="002B654B">
        <w:rPr>
          <w:lang w:val="es-ES_tradnl"/>
        </w:rPr>
        <w:t>e)</w:t>
      </w:r>
      <w:r w:rsidRPr="002B654B">
        <w:rPr>
          <w:lang w:val="es-ES_tradnl"/>
        </w:rPr>
        <w:tab/>
        <w:t xml:space="preserve">ser </w:t>
      </w:r>
      <w:r w:rsidR="0002097C" w:rsidRPr="002B654B">
        <w:rPr>
          <w:lang w:val="es-ES_tradnl"/>
        </w:rPr>
        <w:t>transparentes y ser considerados transparente</w:t>
      </w:r>
      <w:bookmarkEnd w:id="31"/>
      <w:r w:rsidR="0002097C" w:rsidRPr="002B654B">
        <w:rPr>
          <w:lang w:val="es-ES_tradnl"/>
        </w:rPr>
        <w:t>s.</w:t>
      </w:r>
    </w:p>
    <w:p w14:paraId="4167B1E3" w14:textId="79026FF6" w:rsidR="00DB001D" w:rsidRPr="002B654B" w:rsidRDefault="0002097C" w:rsidP="00DB001D">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szCs w:val="24"/>
          <w:lang w:val="es-ES_tradnl"/>
        </w:rPr>
      </w:pPr>
      <w:bookmarkStart w:id="32" w:name="lt_pId043"/>
      <w:r w:rsidRPr="002B654B">
        <w:rPr>
          <w:rFonts w:asciiTheme="minorHAnsi" w:eastAsia="Calibri" w:hAnsiTheme="minorHAnsi" w:cstheme="minorHAnsi"/>
          <w:szCs w:val="24"/>
          <w:lang w:val="es-ES_tradnl"/>
        </w:rPr>
        <w:t>El regulador optó por conceder espectro para la 5G mediante un proceso competitivo en el que los operadores podían especificar su elección de bloque de frecuencias, así como el nivel de compromiso de cobertura que aceptaban asumir con respecto al mismo. En caso de conflicto, el regulador adjudicaba el bloque al operador dispuesto a aceptar los compromisos más exigentes.</w:t>
      </w:r>
      <w:bookmarkEnd w:id="32"/>
    </w:p>
    <w:p w14:paraId="42202F80" w14:textId="61EFB1A0" w:rsidR="00DB001D" w:rsidRPr="002B654B" w:rsidRDefault="0002097C" w:rsidP="00DB001D">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szCs w:val="24"/>
          <w:lang w:val="es-ES_tradnl"/>
        </w:rPr>
      </w:pPr>
      <w:bookmarkStart w:id="33" w:name="lt_pId044"/>
      <w:r w:rsidRPr="002B654B">
        <w:rPr>
          <w:rFonts w:asciiTheme="minorHAnsi" w:eastAsia="Calibri" w:hAnsiTheme="minorHAnsi" w:cstheme="minorHAnsi"/>
          <w:szCs w:val="24"/>
          <w:lang w:val="es-ES_tradnl"/>
        </w:rPr>
        <w:t>Aplicando el principio mencionado, el regulador ha podido adjudicar 100</w:t>
      </w:r>
      <w:r w:rsidR="003E64DC" w:rsidRPr="002B654B">
        <w:rPr>
          <w:rFonts w:asciiTheme="minorHAnsi" w:eastAsia="Calibri" w:hAnsiTheme="minorHAnsi" w:cstheme="minorHAnsi"/>
          <w:szCs w:val="24"/>
          <w:lang w:val="es-ES_tradnl"/>
        </w:rPr>
        <w:t> </w:t>
      </w:r>
      <w:r w:rsidRPr="002B654B">
        <w:rPr>
          <w:rFonts w:asciiTheme="minorHAnsi" w:eastAsia="Calibri" w:hAnsiTheme="minorHAnsi" w:cstheme="minorHAnsi"/>
          <w:szCs w:val="24"/>
          <w:lang w:val="es-ES_tradnl"/>
        </w:rPr>
        <w:t>MHz de espectro para 5G en las bandas de 2,6</w:t>
      </w:r>
      <w:r w:rsidR="00C81015">
        <w:rPr>
          <w:rFonts w:asciiTheme="minorHAnsi" w:eastAsia="Calibri" w:hAnsiTheme="minorHAnsi" w:cstheme="minorHAnsi"/>
          <w:szCs w:val="24"/>
          <w:lang w:val="es-ES_tradnl"/>
        </w:rPr>
        <w:t> </w:t>
      </w:r>
      <w:r w:rsidRPr="002B654B">
        <w:rPr>
          <w:rFonts w:asciiTheme="minorHAnsi" w:eastAsia="Calibri" w:hAnsiTheme="minorHAnsi" w:cstheme="minorHAnsi"/>
          <w:szCs w:val="24"/>
          <w:lang w:val="es-ES_tradnl"/>
        </w:rPr>
        <w:t>GHz y 3,5</w:t>
      </w:r>
      <w:r w:rsidR="00C81015">
        <w:rPr>
          <w:rFonts w:asciiTheme="minorHAnsi" w:eastAsia="Calibri" w:hAnsiTheme="minorHAnsi" w:cstheme="minorHAnsi"/>
          <w:szCs w:val="24"/>
          <w:lang w:val="es-ES_tradnl"/>
        </w:rPr>
        <w:t> </w:t>
      </w:r>
      <w:r w:rsidRPr="002B654B">
        <w:rPr>
          <w:rFonts w:asciiTheme="minorHAnsi" w:eastAsia="Calibri" w:hAnsiTheme="minorHAnsi" w:cstheme="minorHAnsi"/>
          <w:szCs w:val="24"/>
          <w:lang w:val="es-ES_tradnl"/>
        </w:rPr>
        <w:t>GHz a cada uno de los tres operadores móviles</w:t>
      </w:r>
      <w:r w:rsidR="00DB001D" w:rsidRPr="002B654B">
        <w:rPr>
          <w:rFonts w:asciiTheme="minorHAnsi" w:eastAsia="Calibri" w:hAnsiTheme="minorHAnsi" w:cstheme="minorHAnsi"/>
          <w:szCs w:val="24"/>
          <w:lang w:val="es-ES_tradnl"/>
        </w:rPr>
        <w:t>.</w:t>
      </w:r>
      <w:bookmarkEnd w:id="33"/>
    </w:p>
    <w:p w14:paraId="67CB19C3" w14:textId="1DADBC4C" w:rsidR="00DB001D" w:rsidRPr="002B654B" w:rsidRDefault="002B2F38" w:rsidP="002B2F38">
      <w:pPr>
        <w:pStyle w:val="Heading1"/>
        <w:rPr>
          <w:sz w:val="24"/>
          <w:szCs w:val="24"/>
          <w:lang w:val="es-ES_tradnl"/>
        </w:rPr>
      </w:pPr>
      <w:bookmarkStart w:id="34" w:name="lt_pId045"/>
      <w:r w:rsidRPr="002B654B">
        <w:rPr>
          <w:sz w:val="24"/>
          <w:szCs w:val="24"/>
          <w:lang w:val="es-ES_tradnl"/>
        </w:rPr>
        <w:t>4</w:t>
      </w:r>
      <w:r w:rsidRPr="002B654B">
        <w:rPr>
          <w:sz w:val="24"/>
          <w:szCs w:val="24"/>
          <w:lang w:val="es-ES_tradnl"/>
        </w:rPr>
        <w:tab/>
      </w:r>
      <w:r w:rsidR="00A80628" w:rsidRPr="002B654B">
        <w:rPr>
          <w:sz w:val="24"/>
          <w:szCs w:val="24"/>
          <w:lang w:val="es-ES_tradnl"/>
        </w:rPr>
        <w:t xml:space="preserve">Sección </w:t>
      </w:r>
      <w:r w:rsidR="00DB001D" w:rsidRPr="002B654B">
        <w:rPr>
          <w:sz w:val="24"/>
          <w:szCs w:val="24"/>
          <w:lang w:val="es-ES_tradnl"/>
        </w:rPr>
        <w:t>2.8.4:</w:t>
      </w:r>
      <w:bookmarkEnd w:id="34"/>
      <w:r w:rsidR="00DB001D" w:rsidRPr="002B654B">
        <w:rPr>
          <w:sz w:val="24"/>
          <w:szCs w:val="24"/>
          <w:lang w:val="es-ES_tradnl"/>
        </w:rPr>
        <w:t xml:space="preserve"> </w:t>
      </w:r>
      <w:r w:rsidR="00A80628" w:rsidRPr="002B654B">
        <w:rPr>
          <w:sz w:val="24"/>
          <w:szCs w:val="24"/>
          <w:lang w:val="es-ES_tradnl"/>
        </w:rPr>
        <w:t>Macrodatos</w:t>
      </w:r>
    </w:p>
    <w:p w14:paraId="75A84CFD" w14:textId="19B5A267" w:rsidR="00DB001D" w:rsidRPr="002B654B" w:rsidRDefault="0002097C" w:rsidP="002B2F38">
      <w:pPr>
        <w:rPr>
          <w:lang w:val="es-ES_tradnl"/>
        </w:rPr>
      </w:pPr>
      <w:bookmarkStart w:id="35" w:name="lt_pId047"/>
      <w:r w:rsidRPr="002B654B">
        <w:rPr>
          <w:lang w:val="es-ES_tradnl"/>
        </w:rPr>
        <w:t>En efecto, los macrodatos tienen el potencial de aportar un valor significativo a la economía global y a los clientes de todo el mundo, al tiempo que contribuyen a aumentar la productividad y la competencia en el ámbito comercial y en los sectores públicos de todo el mundo</w:t>
      </w:r>
      <w:r w:rsidR="00DB001D" w:rsidRPr="002B654B">
        <w:rPr>
          <w:lang w:val="es-ES_tradnl"/>
        </w:rPr>
        <w:t>.</w:t>
      </w:r>
      <w:bookmarkEnd w:id="35"/>
    </w:p>
    <w:p w14:paraId="549E8F7A" w14:textId="3219ED10" w:rsidR="00DB001D" w:rsidRPr="002B654B" w:rsidRDefault="00B2637B" w:rsidP="002B2F38">
      <w:pPr>
        <w:rPr>
          <w:lang w:val="es-ES_tradnl"/>
        </w:rPr>
      </w:pPr>
      <w:bookmarkStart w:id="36" w:name="lt_pId048"/>
      <w:r w:rsidRPr="002B654B">
        <w:rPr>
          <w:lang w:val="es-ES_tradnl"/>
        </w:rPr>
        <w:t>Sin embargo, se propone que el término "macrodatos" se incluya en el informe como una sección independiente y que se revise mediante debates pormenorizados.</w:t>
      </w:r>
      <w:bookmarkEnd w:id="36"/>
    </w:p>
    <w:p w14:paraId="61F3280A" w14:textId="37EC2807" w:rsidR="00DB001D" w:rsidRPr="002B654B" w:rsidRDefault="002B2F38" w:rsidP="002B2F38">
      <w:pPr>
        <w:pStyle w:val="Heading1"/>
        <w:rPr>
          <w:sz w:val="24"/>
          <w:szCs w:val="24"/>
          <w:lang w:val="es-ES_tradnl"/>
        </w:rPr>
      </w:pPr>
      <w:bookmarkStart w:id="37" w:name="lt_pId049"/>
      <w:r w:rsidRPr="002B654B">
        <w:rPr>
          <w:sz w:val="24"/>
          <w:szCs w:val="24"/>
          <w:lang w:val="es-ES_tradnl"/>
        </w:rPr>
        <w:t>5</w:t>
      </w:r>
      <w:r w:rsidRPr="002B654B">
        <w:rPr>
          <w:sz w:val="24"/>
          <w:szCs w:val="24"/>
          <w:lang w:val="es-ES_tradnl"/>
        </w:rPr>
        <w:tab/>
      </w:r>
      <w:r w:rsidR="00A80628" w:rsidRPr="002B654B">
        <w:rPr>
          <w:sz w:val="24"/>
          <w:szCs w:val="24"/>
          <w:lang w:val="es-ES_tradnl"/>
        </w:rPr>
        <w:t xml:space="preserve">Sección </w:t>
      </w:r>
      <w:r w:rsidR="00DB001D" w:rsidRPr="002B654B">
        <w:rPr>
          <w:sz w:val="24"/>
          <w:szCs w:val="24"/>
          <w:lang w:val="es-ES_tradnl"/>
        </w:rPr>
        <w:t>2.8.5:</w:t>
      </w:r>
      <w:bookmarkEnd w:id="37"/>
      <w:r w:rsidR="00DB001D" w:rsidRPr="002B654B">
        <w:rPr>
          <w:sz w:val="24"/>
          <w:szCs w:val="24"/>
          <w:lang w:val="es-ES_tradnl"/>
        </w:rPr>
        <w:t xml:space="preserve"> </w:t>
      </w:r>
      <w:bookmarkStart w:id="38" w:name="lt_pId050"/>
      <w:r w:rsidR="00DB001D" w:rsidRPr="002B654B">
        <w:rPr>
          <w:sz w:val="24"/>
          <w:szCs w:val="24"/>
          <w:lang w:val="es-ES_tradnl"/>
        </w:rPr>
        <w:t>OTT</w:t>
      </w:r>
      <w:bookmarkEnd w:id="38"/>
    </w:p>
    <w:p w14:paraId="4853F6FA" w14:textId="3CDD593D" w:rsidR="00DB001D" w:rsidRPr="002B654B" w:rsidRDefault="00B2637B" w:rsidP="002B2F38">
      <w:pPr>
        <w:rPr>
          <w:lang w:val="es-ES_tradnl"/>
        </w:rPr>
      </w:pPr>
      <w:bookmarkStart w:id="39" w:name="lt_pId051"/>
      <w:r w:rsidRPr="002B654B">
        <w:rPr>
          <w:lang w:val="es-ES_tradnl"/>
        </w:rPr>
        <w:t>La aparición de los OTT está reconfigurando todo el ecosistema de las comunicaciones y consolidando la conectividad ubicua, que proporciona ventajas sociales y económicas a los consumidores de todo el mundo, así como a la economía mundial</w:t>
      </w:r>
      <w:r w:rsidR="00DB001D" w:rsidRPr="002B654B">
        <w:rPr>
          <w:lang w:val="es-ES_tradnl"/>
        </w:rPr>
        <w:t>.</w:t>
      </w:r>
      <w:bookmarkEnd w:id="39"/>
    </w:p>
    <w:p w14:paraId="5836AB83" w14:textId="1A7CA195" w:rsidR="00DB001D" w:rsidRPr="002B654B" w:rsidRDefault="00B2637B" w:rsidP="002B2F38">
      <w:pPr>
        <w:rPr>
          <w:lang w:val="es-ES_tradnl"/>
        </w:rPr>
      </w:pPr>
      <w:bookmarkStart w:id="40" w:name="lt_pId053"/>
      <w:r w:rsidRPr="002B654B">
        <w:rPr>
          <w:lang w:val="es-ES_tradnl"/>
        </w:rPr>
        <w:t>Sin embargo, los OTT plantean una serie de retos a los responsables políticos y a los organismos reguladores de todo el mundo, especialmente a las pequeñas economías insulares como Mauricio, dado el reducido tamaño del mercado que representan para los gigantes tecnológicos. Entre estos retos se encuentran los siguientes</w:t>
      </w:r>
      <w:r w:rsidR="00DB001D" w:rsidRPr="002B654B">
        <w:rPr>
          <w:lang w:val="es-ES_tradnl"/>
        </w:rPr>
        <w:t>:</w:t>
      </w:r>
      <w:bookmarkEnd w:id="40"/>
    </w:p>
    <w:p w14:paraId="445EA080" w14:textId="6799D9DC" w:rsidR="00DB001D" w:rsidRPr="002B654B" w:rsidRDefault="002B2F38" w:rsidP="002B2F38">
      <w:pPr>
        <w:pStyle w:val="enumlev1"/>
        <w:rPr>
          <w:lang w:val="es-ES_tradnl"/>
        </w:rPr>
      </w:pPr>
      <w:bookmarkStart w:id="41" w:name="lt_pId054"/>
      <w:r w:rsidRPr="002B654B">
        <w:rPr>
          <w:lang w:val="es-ES_tradnl"/>
        </w:rPr>
        <w:t>i)</w:t>
      </w:r>
      <w:r w:rsidRPr="002B654B">
        <w:rPr>
          <w:lang w:val="es-ES_tradnl"/>
        </w:rPr>
        <w:tab/>
      </w:r>
      <w:r w:rsidR="00B2637B" w:rsidRPr="002B654B">
        <w:rPr>
          <w:b/>
          <w:lang w:val="es-ES_tradnl"/>
        </w:rPr>
        <w:t>Competencia</w:t>
      </w:r>
      <w:r w:rsidR="00DB001D" w:rsidRPr="002B654B">
        <w:rPr>
          <w:lang w:val="es-ES_tradnl"/>
        </w:rPr>
        <w:t>:</w:t>
      </w:r>
      <w:bookmarkEnd w:id="41"/>
      <w:r w:rsidR="00DB001D" w:rsidRPr="002B654B">
        <w:rPr>
          <w:lang w:val="es-ES_tradnl"/>
        </w:rPr>
        <w:t xml:space="preserve"> </w:t>
      </w:r>
      <w:bookmarkStart w:id="42" w:name="lt_pId056"/>
      <w:r w:rsidR="00B2637B" w:rsidRPr="002B654B">
        <w:rPr>
          <w:lang w:val="es-ES_tradnl"/>
        </w:rPr>
        <w:t xml:space="preserve">A los operadores de telecomunicaciones les resulta caro y complejo competir con los operadores OTT, dadas sus estructuras operativas superficiales y su cobertura </w:t>
      </w:r>
      <w:r w:rsidR="00B2637B" w:rsidRPr="002B654B">
        <w:rPr>
          <w:lang w:val="es-ES_tradnl"/>
        </w:rPr>
        <w:lastRenderedPageBreak/>
        <w:t>transnacional. Los operadores de OTT suelen tener una escala global y un alcance que empequeñece el de las empresas de telecomunicaciones</w:t>
      </w:r>
      <w:bookmarkEnd w:id="42"/>
      <w:r w:rsidR="00F05AC8" w:rsidRPr="002B654B">
        <w:rPr>
          <w:lang w:val="es-ES_tradnl"/>
        </w:rPr>
        <w:t>.</w:t>
      </w:r>
    </w:p>
    <w:p w14:paraId="7D401527" w14:textId="79BE332A" w:rsidR="00DB001D" w:rsidRPr="002B654B" w:rsidRDefault="002B2F38" w:rsidP="002B2F38">
      <w:pPr>
        <w:pStyle w:val="enumlev1"/>
        <w:rPr>
          <w:lang w:val="es-ES_tradnl"/>
        </w:rPr>
      </w:pPr>
      <w:bookmarkStart w:id="43" w:name="lt_pId057"/>
      <w:r w:rsidRPr="002B654B">
        <w:rPr>
          <w:lang w:val="es-ES_tradnl"/>
        </w:rPr>
        <w:t>ii)</w:t>
      </w:r>
      <w:r w:rsidRPr="002B654B">
        <w:rPr>
          <w:lang w:val="es-ES_tradnl"/>
        </w:rPr>
        <w:tab/>
      </w:r>
      <w:r w:rsidR="00B2637B" w:rsidRPr="002B654B">
        <w:rPr>
          <w:b/>
          <w:lang w:val="es-ES_tradnl"/>
        </w:rPr>
        <w:t>Repercusión sobre los ingresos</w:t>
      </w:r>
      <w:r w:rsidR="00DB001D" w:rsidRPr="002B654B">
        <w:rPr>
          <w:lang w:val="es-ES_tradnl"/>
        </w:rPr>
        <w:t>:</w:t>
      </w:r>
      <w:bookmarkEnd w:id="43"/>
      <w:r w:rsidR="00DB001D" w:rsidRPr="002B654B">
        <w:rPr>
          <w:lang w:val="es-ES_tradnl"/>
        </w:rPr>
        <w:t xml:space="preserve"> </w:t>
      </w:r>
      <w:bookmarkStart w:id="44" w:name="lt_pId061"/>
      <w:r w:rsidR="00B2637B" w:rsidRPr="002B654B">
        <w:rPr>
          <w:lang w:val="es-ES_tradnl"/>
        </w:rPr>
        <w:t>El aumento del uso de las aplicaciones de mensajería OTT, junto con el creciente uso de los servicios de videollamada de los consumidores, tienen una gran incidencia en los ingresos de los operadores de telecomunicaciones. En la configuración actual, casi todos los servicios OTT se ofrecen gratuitamente a los consumidores. En cambio, los ingresos se generan a partir de la publicidad, la colocación de contenidos, etc. Como los operadores OTT no cobran directamente a los consumidores, los operadores de telecomunicaciones no pueden pedir que se compartan los ingresos de los consumidores</w:t>
      </w:r>
      <w:bookmarkEnd w:id="44"/>
      <w:r w:rsidR="00F05AC8" w:rsidRPr="002B654B">
        <w:rPr>
          <w:lang w:val="es-ES_tradnl"/>
        </w:rPr>
        <w:t>.</w:t>
      </w:r>
    </w:p>
    <w:p w14:paraId="1E788463" w14:textId="10BDD098" w:rsidR="00DB001D" w:rsidRPr="002B654B" w:rsidRDefault="002B2F38" w:rsidP="002B2F38">
      <w:pPr>
        <w:pStyle w:val="enumlev1"/>
        <w:rPr>
          <w:lang w:val="es-ES_tradnl"/>
        </w:rPr>
      </w:pPr>
      <w:bookmarkStart w:id="45" w:name="lt_pId063"/>
      <w:r w:rsidRPr="002B654B">
        <w:rPr>
          <w:lang w:val="es-ES_tradnl"/>
        </w:rPr>
        <w:t>iii)</w:t>
      </w:r>
      <w:r w:rsidRPr="002B654B">
        <w:rPr>
          <w:lang w:val="es-ES_tradnl"/>
        </w:rPr>
        <w:tab/>
      </w:r>
      <w:r w:rsidR="00B2637B" w:rsidRPr="002B654B">
        <w:rPr>
          <w:b/>
          <w:lang w:val="es-ES_tradnl"/>
        </w:rPr>
        <w:t>Infraestructura</w:t>
      </w:r>
      <w:r w:rsidR="00DB001D" w:rsidRPr="002B654B">
        <w:rPr>
          <w:b/>
          <w:lang w:val="es-ES_tradnl"/>
        </w:rPr>
        <w:t>/</w:t>
      </w:r>
      <w:r w:rsidR="00B2637B" w:rsidRPr="002B654B">
        <w:rPr>
          <w:b/>
          <w:lang w:val="es-ES_tradnl"/>
        </w:rPr>
        <w:t>Red</w:t>
      </w:r>
      <w:r w:rsidR="00DB001D" w:rsidRPr="00AA7687">
        <w:rPr>
          <w:lang w:val="es-ES_tradnl"/>
        </w:rPr>
        <w:t>:</w:t>
      </w:r>
      <w:bookmarkEnd w:id="45"/>
      <w:r w:rsidR="00DB001D" w:rsidRPr="002B654B">
        <w:rPr>
          <w:lang w:val="es-ES_tradnl"/>
        </w:rPr>
        <w:t xml:space="preserve"> </w:t>
      </w:r>
      <w:bookmarkStart w:id="46" w:name="lt_pId066"/>
      <w:r w:rsidR="00706823" w:rsidRPr="002B654B">
        <w:rPr>
          <w:lang w:val="es-ES_tradnl"/>
        </w:rPr>
        <w:t>Los operadores y propietarios de redes invierten en su infraestructura de red para prestar servicios al usuario final. Esto significa una inversión considerable en la tecnología adecuada y en la evolución. Los servicios OTT, en cambio, no invierten en estas redes construidas por los operadores para permitir el acceso de los usuarios finales a los servicios</w:t>
      </w:r>
      <w:r w:rsidR="00DB001D" w:rsidRPr="002B654B">
        <w:rPr>
          <w:lang w:val="es-ES_tradnl"/>
        </w:rPr>
        <w:t>.</w:t>
      </w:r>
      <w:bookmarkEnd w:id="46"/>
    </w:p>
    <w:p w14:paraId="107B9053" w14:textId="0D175042" w:rsidR="00DB001D" w:rsidRPr="002B654B" w:rsidRDefault="00DB001D" w:rsidP="002B2F38">
      <w:pPr>
        <w:pStyle w:val="Headingb"/>
        <w:rPr>
          <w:lang w:val="es-ES_tradnl"/>
        </w:rPr>
      </w:pPr>
      <w:bookmarkStart w:id="47" w:name="lt_pId067"/>
      <w:r w:rsidRPr="002B654B">
        <w:rPr>
          <w:u w:val="single"/>
          <w:lang w:val="es-ES_tradnl"/>
        </w:rPr>
        <w:t>Po</w:t>
      </w:r>
      <w:r w:rsidR="00706823" w:rsidRPr="002B654B">
        <w:rPr>
          <w:u w:val="single"/>
          <w:lang w:val="es-ES_tradnl"/>
        </w:rPr>
        <w:t>sibles repercusiones de los servicios OTT no regulados</w:t>
      </w:r>
      <w:r w:rsidRPr="002B654B">
        <w:rPr>
          <w:lang w:val="es-ES_tradnl"/>
        </w:rPr>
        <w:t>:</w:t>
      </w:r>
      <w:bookmarkEnd w:id="47"/>
    </w:p>
    <w:p w14:paraId="6F5C8921" w14:textId="5B94B6C8" w:rsidR="00DB001D" w:rsidRPr="002B654B" w:rsidRDefault="002B2F38" w:rsidP="002B2F38">
      <w:pPr>
        <w:pStyle w:val="enumlev1"/>
        <w:rPr>
          <w:lang w:val="es-ES_tradnl"/>
        </w:rPr>
      </w:pPr>
      <w:bookmarkStart w:id="48" w:name="lt_pId068"/>
      <w:r w:rsidRPr="002B654B">
        <w:rPr>
          <w:lang w:val="es-ES_tradnl"/>
        </w:rPr>
        <w:t>i)</w:t>
      </w:r>
      <w:r w:rsidRPr="002B654B">
        <w:rPr>
          <w:lang w:val="es-ES_tradnl"/>
        </w:rPr>
        <w:tab/>
      </w:r>
      <w:r w:rsidR="00706823" w:rsidRPr="002B654B">
        <w:rPr>
          <w:b/>
          <w:lang w:val="es-ES_tradnl"/>
        </w:rPr>
        <w:t>Cuestiones de seguridad</w:t>
      </w:r>
      <w:r w:rsidR="00DB001D" w:rsidRPr="002B654B">
        <w:rPr>
          <w:lang w:val="es-ES_tradnl"/>
        </w:rPr>
        <w:t>:</w:t>
      </w:r>
      <w:bookmarkEnd w:id="48"/>
      <w:r w:rsidR="00DB001D" w:rsidRPr="002B654B">
        <w:rPr>
          <w:lang w:val="es-ES_tradnl"/>
        </w:rPr>
        <w:t xml:space="preserve"> </w:t>
      </w:r>
      <w:bookmarkStart w:id="49" w:name="lt_pId070"/>
      <w:r w:rsidR="00EA57BD" w:rsidRPr="002B654B">
        <w:rPr>
          <w:lang w:val="es-ES_tradnl"/>
        </w:rPr>
        <w:t>Diversas soluciones OTT no admiten el encriptado, lo que significa que los atacantes tienen fácil acceso. Además, al no estar encriptada, se puede acceder fácilmente a la información confidencial</w:t>
      </w:r>
      <w:bookmarkEnd w:id="49"/>
      <w:r w:rsidR="00C439C4" w:rsidRPr="002B654B">
        <w:rPr>
          <w:lang w:val="es-ES_tradnl"/>
        </w:rPr>
        <w:t>.</w:t>
      </w:r>
    </w:p>
    <w:p w14:paraId="4C05B40B" w14:textId="25A05588" w:rsidR="00DB001D" w:rsidRPr="002B654B" w:rsidRDefault="002B2F38" w:rsidP="002B2F38">
      <w:pPr>
        <w:pStyle w:val="enumlev1"/>
        <w:rPr>
          <w:lang w:val="es-ES_tradnl"/>
        </w:rPr>
      </w:pPr>
      <w:bookmarkStart w:id="50" w:name="lt_pId071"/>
      <w:r w:rsidRPr="002B654B">
        <w:rPr>
          <w:lang w:val="es-ES_tradnl"/>
        </w:rPr>
        <w:t>ii)</w:t>
      </w:r>
      <w:r w:rsidRPr="002B654B">
        <w:rPr>
          <w:lang w:val="es-ES_tradnl"/>
        </w:rPr>
        <w:tab/>
      </w:r>
      <w:r w:rsidR="00706823" w:rsidRPr="002B654B">
        <w:rPr>
          <w:b/>
          <w:lang w:val="es-ES_tradnl"/>
        </w:rPr>
        <w:t>Cuestiones de privacidad</w:t>
      </w:r>
      <w:r w:rsidR="00DB001D" w:rsidRPr="002B654B">
        <w:rPr>
          <w:lang w:val="es-ES_tradnl"/>
        </w:rPr>
        <w:t>:</w:t>
      </w:r>
      <w:bookmarkEnd w:id="50"/>
      <w:r w:rsidR="00DB001D" w:rsidRPr="002B654B">
        <w:rPr>
          <w:lang w:val="es-ES_tradnl"/>
        </w:rPr>
        <w:t xml:space="preserve"> </w:t>
      </w:r>
      <w:bookmarkStart w:id="51" w:name="lt_pId074"/>
      <w:r w:rsidR="00EA57BD" w:rsidRPr="002B654B">
        <w:rPr>
          <w:lang w:val="es-ES_tradnl"/>
        </w:rPr>
        <w:t>Algunos servicios OTT recopilan información privada de los usuarios para obtener beneficios comerciales sin que el cliente conozca los detalles exactos. Tampoco se comprueba a fondo la evaluación de riesgos y los niveles de vulnerabilidad de las aplicaciones desarrolladas para el mercado OTT. Cabe señalar que estos servicios OTT tienen dificultades para comprobar en la práctica los artículos y comentarios publicados por sus usuarios debido al lenguaje utilizado</w:t>
      </w:r>
      <w:r w:rsidR="00DB001D" w:rsidRPr="002B654B">
        <w:rPr>
          <w:lang w:val="es-ES_tradnl"/>
        </w:rPr>
        <w:t>.</w:t>
      </w:r>
      <w:bookmarkEnd w:id="51"/>
    </w:p>
    <w:p w14:paraId="11D8E9FB" w14:textId="3A27F433" w:rsidR="00DB001D" w:rsidRPr="002B654B" w:rsidRDefault="002B2F38" w:rsidP="002B2F38">
      <w:pPr>
        <w:pStyle w:val="enumlev1"/>
        <w:rPr>
          <w:lang w:val="es-ES_tradnl"/>
        </w:rPr>
      </w:pPr>
      <w:bookmarkStart w:id="52" w:name="lt_pId075"/>
      <w:r w:rsidRPr="002B654B">
        <w:rPr>
          <w:lang w:val="es-ES_tradnl"/>
        </w:rPr>
        <w:t>iii)</w:t>
      </w:r>
      <w:r w:rsidRPr="002B654B">
        <w:rPr>
          <w:lang w:val="es-ES_tradnl"/>
        </w:rPr>
        <w:tab/>
      </w:r>
      <w:r w:rsidR="00706823" w:rsidRPr="002B654B">
        <w:rPr>
          <w:b/>
          <w:lang w:val="es-ES_tradnl"/>
        </w:rPr>
        <w:t>Economía nacional</w:t>
      </w:r>
      <w:r w:rsidR="00DB001D" w:rsidRPr="002B654B">
        <w:rPr>
          <w:lang w:val="es-ES_tradnl"/>
        </w:rPr>
        <w:t>:</w:t>
      </w:r>
      <w:bookmarkEnd w:id="52"/>
      <w:r w:rsidR="00DB001D" w:rsidRPr="002B654B">
        <w:rPr>
          <w:lang w:val="es-ES_tradnl"/>
        </w:rPr>
        <w:t xml:space="preserve"> </w:t>
      </w:r>
      <w:bookmarkStart w:id="53" w:name="lt_pId078"/>
      <w:r w:rsidR="00EA57BD" w:rsidRPr="002B654B">
        <w:rPr>
          <w:lang w:val="es-ES_tradnl"/>
        </w:rPr>
        <w:t>Los proveedores de OTT están sujetos a los impuestos en el país de constitución de la empresa. Sin embargo, prestan constantemente servicios transfronterizos. Un régimen fiscal claro que los someta a impuestos en el país donde prestan sus servicios puede resultar beneficioso para la economía nacional</w:t>
      </w:r>
      <w:r w:rsidR="00DB001D" w:rsidRPr="002B654B">
        <w:rPr>
          <w:lang w:val="es-ES_tradnl"/>
        </w:rPr>
        <w:t>.</w:t>
      </w:r>
      <w:bookmarkEnd w:id="53"/>
    </w:p>
    <w:p w14:paraId="49950FCF" w14:textId="4FD0D8EE" w:rsidR="00DB001D" w:rsidRPr="002B654B" w:rsidRDefault="00EA57BD" w:rsidP="00DB001D">
      <w:pPr>
        <w:tabs>
          <w:tab w:val="clear" w:pos="567"/>
          <w:tab w:val="clear" w:pos="1134"/>
          <w:tab w:val="clear" w:pos="1701"/>
          <w:tab w:val="clear" w:pos="2268"/>
          <w:tab w:val="clear" w:pos="2835"/>
        </w:tabs>
        <w:overflowPunct/>
        <w:autoSpaceDE/>
        <w:autoSpaceDN/>
        <w:adjustRightInd/>
        <w:spacing w:after="120"/>
        <w:ind w:left="284" w:right="337"/>
        <w:jc w:val="both"/>
        <w:textAlignment w:val="auto"/>
        <w:rPr>
          <w:rFonts w:asciiTheme="minorHAnsi" w:eastAsia="Calibri" w:hAnsiTheme="minorHAnsi" w:cstheme="minorHAnsi"/>
          <w:szCs w:val="24"/>
          <w:lang w:val="es-ES_tradnl"/>
        </w:rPr>
      </w:pPr>
      <w:bookmarkStart w:id="54" w:name="lt_pId079"/>
      <w:r w:rsidRPr="002B654B">
        <w:rPr>
          <w:rFonts w:asciiTheme="minorHAnsi" w:eastAsia="Calibri" w:hAnsiTheme="minorHAnsi" w:cstheme="minorHAnsi"/>
          <w:szCs w:val="24"/>
          <w:lang w:val="es-ES_tradnl"/>
        </w:rPr>
        <w:t>En este sentido, Mauricio desea solicitar la ayuda de los miembros de la UIT para que estudien y recomienden los modelos más adecuados para regular los servicios OTT transfronterizos</w:t>
      </w:r>
      <w:r w:rsidR="00DB001D" w:rsidRPr="002B654B">
        <w:rPr>
          <w:rFonts w:asciiTheme="minorHAnsi" w:eastAsia="Calibri" w:hAnsiTheme="minorHAnsi" w:cstheme="minorHAnsi"/>
          <w:szCs w:val="24"/>
          <w:lang w:val="es-ES_tradnl"/>
        </w:rPr>
        <w:t>.</w:t>
      </w:r>
      <w:bookmarkEnd w:id="54"/>
    </w:p>
    <w:p w14:paraId="768C58EE" w14:textId="1DB19016" w:rsidR="00DB001D" w:rsidRPr="002B654B" w:rsidRDefault="002B2F38" w:rsidP="002B2F38">
      <w:pPr>
        <w:pStyle w:val="Heading1"/>
        <w:rPr>
          <w:rFonts w:asciiTheme="minorHAnsi" w:eastAsia="Calibri" w:hAnsiTheme="minorHAnsi" w:cstheme="minorHAnsi"/>
          <w:b w:val="0"/>
          <w:szCs w:val="24"/>
          <w:lang w:val="es-ES_tradnl"/>
        </w:rPr>
      </w:pPr>
      <w:bookmarkStart w:id="55" w:name="lt_pId080"/>
      <w:r w:rsidRPr="002B654B">
        <w:rPr>
          <w:sz w:val="24"/>
          <w:szCs w:val="24"/>
          <w:lang w:val="es-ES_tradnl"/>
        </w:rPr>
        <w:t>6</w:t>
      </w:r>
      <w:r w:rsidRPr="002B654B">
        <w:rPr>
          <w:sz w:val="24"/>
          <w:szCs w:val="24"/>
          <w:lang w:val="es-ES_tradnl"/>
        </w:rPr>
        <w:tab/>
      </w:r>
      <w:r w:rsidR="00A80628" w:rsidRPr="002B654B">
        <w:rPr>
          <w:sz w:val="24"/>
          <w:szCs w:val="24"/>
          <w:lang w:val="es-ES_tradnl"/>
        </w:rPr>
        <w:t xml:space="preserve">Sección </w:t>
      </w:r>
      <w:r w:rsidR="00DB001D" w:rsidRPr="002B654B">
        <w:rPr>
          <w:sz w:val="24"/>
          <w:szCs w:val="24"/>
          <w:lang w:val="es-ES_tradnl"/>
        </w:rPr>
        <w:t>2.8.6:</w:t>
      </w:r>
      <w:bookmarkEnd w:id="55"/>
      <w:r w:rsidR="00DB001D" w:rsidRPr="002B654B">
        <w:rPr>
          <w:sz w:val="24"/>
          <w:szCs w:val="24"/>
          <w:lang w:val="es-ES_tradnl"/>
        </w:rPr>
        <w:t xml:space="preserve"> </w:t>
      </w:r>
      <w:r w:rsidR="00A80628" w:rsidRPr="002B654B">
        <w:rPr>
          <w:sz w:val="24"/>
          <w:szCs w:val="24"/>
          <w:lang w:val="es-ES_tradnl"/>
        </w:rPr>
        <w:t>Movilización de nuevas soluciones para la conectividad</w:t>
      </w:r>
    </w:p>
    <w:p w14:paraId="013C8F69" w14:textId="774E573F" w:rsidR="00DB001D" w:rsidRPr="002B654B" w:rsidRDefault="00EA57BD" w:rsidP="00DB001D">
      <w:pPr>
        <w:tabs>
          <w:tab w:val="clear" w:pos="567"/>
          <w:tab w:val="clear" w:pos="1134"/>
          <w:tab w:val="clear" w:pos="1701"/>
          <w:tab w:val="clear" w:pos="2268"/>
          <w:tab w:val="clear" w:pos="2835"/>
        </w:tabs>
        <w:overflowPunct/>
        <w:autoSpaceDE/>
        <w:autoSpaceDN/>
        <w:adjustRightInd/>
        <w:spacing w:after="120"/>
        <w:ind w:left="284"/>
        <w:jc w:val="both"/>
        <w:textAlignment w:val="auto"/>
        <w:rPr>
          <w:rFonts w:asciiTheme="minorHAnsi" w:eastAsia="Calibri" w:hAnsiTheme="minorHAnsi" w:cstheme="minorHAnsi"/>
          <w:szCs w:val="24"/>
          <w:lang w:val="es-ES_tradnl"/>
        </w:rPr>
      </w:pPr>
      <w:bookmarkStart w:id="56" w:name="lt_pId083"/>
      <w:r w:rsidRPr="002B654B">
        <w:rPr>
          <w:rFonts w:asciiTheme="minorHAnsi" w:eastAsia="Calibri" w:hAnsiTheme="minorHAnsi" w:cstheme="minorHAnsi"/>
          <w:szCs w:val="24"/>
          <w:lang w:val="es-ES_tradnl"/>
        </w:rPr>
        <w:t>La pandemia de la Covid-19 ha puesto de manifiesto la necesidad de la conectividad y ha demostrado que conectar a todo el mundo es más necesario que nunca. El aprovechamiento de las TIC es un componente crítico de la recuperación socioeconómica y se propone que el informe contenga también una sección al respecto, ya que es fundamental para acelerar el progreso hacia la consecución de los ODS</w:t>
      </w:r>
      <w:r w:rsidR="00DB001D" w:rsidRPr="002B654B">
        <w:rPr>
          <w:rFonts w:asciiTheme="minorHAnsi" w:eastAsia="Calibri" w:hAnsiTheme="minorHAnsi" w:cstheme="minorHAnsi"/>
          <w:szCs w:val="24"/>
          <w:lang w:val="es-ES_tradnl"/>
        </w:rPr>
        <w:t>.</w:t>
      </w:r>
      <w:bookmarkEnd w:id="56"/>
    </w:p>
    <w:p w14:paraId="0B5666D2" w14:textId="77777777" w:rsidR="00DB001D" w:rsidRPr="002B654B" w:rsidRDefault="00DB001D" w:rsidP="00FF4439">
      <w:pPr>
        <w:spacing w:before="840"/>
        <w:jc w:val="center"/>
        <w:rPr>
          <w:lang w:val="es-ES_tradnl"/>
        </w:rPr>
      </w:pPr>
      <w:r w:rsidRPr="002B654B">
        <w:rPr>
          <w:lang w:val="es-ES_tradnl"/>
        </w:rPr>
        <w:t>_______________</w:t>
      </w:r>
    </w:p>
    <w:sectPr w:rsidR="00DB001D" w:rsidRPr="002B654B" w:rsidSect="004D1851">
      <w:headerReference w:type="default" r:id="rId10"/>
      <w:footerReference w:type="default" r:id="rId11"/>
      <w:footerReference w:type="first" r:id="rId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E493F" w14:textId="77777777" w:rsidR="00793188" w:rsidRDefault="00793188">
      <w:r>
        <w:separator/>
      </w:r>
    </w:p>
  </w:endnote>
  <w:endnote w:type="continuationSeparator" w:id="0">
    <w:p w14:paraId="64D9C322" w14:textId="77777777" w:rsidR="00793188" w:rsidRDefault="00793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6FCCC" w14:textId="3ECAF904" w:rsidR="00CB18FF" w:rsidRPr="00FF4439" w:rsidRDefault="005E6F35" w:rsidP="00D921AB">
    <w:pPr>
      <w:pStyle w:val="Footer"/>
      <w:rPr>
        <w:color w:val="F2F2F2" w:themeColor="background1" w:themeShade="F2"/>
      </w:rPr>
    </w:pPr>
    <w:r w:rsidRPr="00FF4439">
      <w:rPr>
        <w:color w:val="F2F2F2" w:themeColor="background1" w:themeShade="F2"/>
      </w:rPr>
      <w:fldChar w:fldCharType="begin"/>
    </w:r>
    <w:r w:rsidRPr="00FF4439">
      <w:rPr>
        <w:color w:val="F2F2F2" w:themeColor="background1" w:themeShade="F2"/>
      </w:rPr>
      <w:instrText xml:space="preserve"> FILENAME \p  \* MERGEFORMAT </w:instrText>
    </w:r>
    <w:r w:rsidRPr="00FF4439">
      <w:rPr>
        <w:color w:val="F2F2F2" w:themeColor="background1" w:themeShade="F2"/>
      </w:rPr>
      <w:fldChar w:fldCharType="separate"/>
    </w:r>
    <w:r w:rsidR="00E431D0" w:rsidRPr="00FF4439">
      <w:rPr>
        <w:color w:val="F2F2F2" w:themeColor="background1" w:themeShade="F2"/>
      </w:rPr>
      <w:t>P:\ESP\SG\CONF-SG\WTPF21\000\004S.docx</w:t>
    </w:r>
    <w:r w:rsidRPr="00FF4439">
      <w:rPr>
        <w:color w:val="F2F2F2" w:themeColor="background1" w:themeShade="F2"/>
      </w:rPr>
      <w:fldChar w:fldCharType="end"/>
    </w:r>
    <w:r w:rsidR="00D921AB" w:rsidRPr="00FF4439">
      <w:rPr>
        <w:color w:val="F2F2F2" w:themeColor="background1" w:themeShade="F2"/>
      </w:rPr>
      <w:t xml:space="preserve"> (</w:t>
    </w:r>
    <w:r w:rsidR="00EA57BD" w:rsidRPr="00FF4439">
      <w:rPr>
        <w:color w:val="F2F2F2" w:themeColor="background1" w:themeShade="F2"/>
      </w:rPr>
      <w:t>499267</w:t>
    </w:r>
    <w:r w:rsidR="00D921AB" w:rsidRPr="00FF4439">
      <w:rPr>
        <w:color w:val="F2F2F2" w:themeColor="background1" w:themeShade="F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FAC1E" w14:textId="77777777" w:rsidR="00E431D0" w:rsidRPr="001B4EEF" w:rsidRDefault="00E431D0" w:rsidP="00E431D0">
    <w:pPr>
      <w:spacing w:before="0"/>
      <w:jc w:val="center"/>
      <w:rPr>
        <w:sz w:val="22"/>
        <w:szCs w:val="22"/>
      </w:rPr>
    </w:pPr>
    <w:r w:rsidRPr="001B4EEF">
      <w:rPr>
        <w:sz w:val="22"/>
        <w:szCs w:val="22"/>
      </w:rPr>
      <w:t xml:space="preserve">• </w:t>
    </w:r>
    <w:hyperlink r:id="rId1" w:history="1">
      <w:r w:rsidRPr="001B4EEF">
        <w:rPr>
          <w:rStyle w:val="Hyperlink"/>
          <w:sz w:val="22"/>
          <w:szCs w:val="22"/>
        </w:rPr>
        <w:t>http://www.itu.int/WTPF</w:t>
      </w:r>
    </w:hyperlink>
    <w:r w:rsidRPr="001B4EEF">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829A2" w14:textId="77777777" w:rsidR="00793188" w:rsidRDefault="00793188">
      <w:r>
        <w:t>____________________</w:t>
      </w:r>
    </w:p>
  </w:footnote>
  <w:footnote w:type="continuationSeparator" w:id="0">
    <w:p w14:paraId="69A82C43" w14:textId="77777777" w:rsidR="00793188" w:rsidRDefault="00793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160943"/>
      <w:docPartObj>
        <w:docPartGallery w:val="Page Numbers (Top of Page)"/>
        <w:docPartUnique/>
      </w:docPartObj>
    </w:sdtPr>
    <w:sdtEndPr>
      <w:rPr>
        <w:noProof/>
      </w:rPr>
    </w:sdtEndPr>
    <w:sdtContent>
      <w:p w14:paraId="7BAF8190" w14:textId="77777777" w:rsidR="00591E21" w:rsidRPr="00591E21" w:rsidRDefault="00591E21" w:rsidP="00591E21">
        <w:pPr>
          <w:pStyle w:val="Header"/>
        </w:pPr>
        <w:r w:rsidRPr="00591E21">
          <w:fldChar w:fldCharType="begin"/>
        </w:r>
        <w:r w:rsidRPr="00591E21">
          <w:instrText>PAGE</w:instrText>
        </w:r>
        <w:r w:rsidRPr="00591E21">
          <w:fldChar w:fldCharType="separate"/>
        </w:r>
        <w:r w:rsidRPr="00591E21">
          <w:t>2</w:t>
        </w:r>
        <w:r w:rsidRPr="00591E21">
          <w:fldChar w:fldCharType="end"/>
        </w:r>
        <w:r w:rsidRPr="00591E21">
          <w:t>/</w:t>
        </w:r>
        <w:fldSimple w:instr=" NUMPAGES   \* MERGEFORMAT ">
          <w:r w:rsidRPr="00591E21">
            <w:t>2</w:t>
          </w:r>
        </w:fldSimple>
      </w:p>
      <w:p w14:paraId="34EC98F4" w14:textId="5811F863" w:rsidR="00322D0D" w:rsidRPr="00591E21" w:rsidRDefault="00591E21" w:rsidP="00D338E0">
        <w:pPr>
          <w:pStyle w:val="Header"/>
          <w:rPr>
            <w:bCs/>
          </w:rPr>
        </w:pPr>
        <w:r w:rsidRPr="00591E21">
          <w:rPr>
            <w:bCs/>
          </w:rPr>
          <w:t>WTPF-21/</w:t>
        </w:r>
        <w:r>
          <w:rPr>
            <w:bCs/>
          </w:rPr>
          <w:t>4</w:t>
        </w:r>
        <w:r w:rsidRPr="00591E21">
          <w:rPr>
            <w:bCs/>
          </w:rPr>
          <w:t>-S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7A7E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C87D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3661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7284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AA8C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9AE6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9641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2676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5642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7680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DB4D98"/>
    <w:multiLevelType w:val="hybridMultilevel"/>
    <w:tmpl w:val="98627BEE"/>
    <w:lvl w:ilvl="0" w:tplc="7E76126C">
      <w:start w:val="1"/>
      <w:numFmt w:val="lowerRoman"/>
      <w:lvlText w:val="(%1)"/>
      <w:lvlJc w:val="left"/>
      <w:pPr>
        <w:ind w:left="568"/>
      </w:pPr>
      <w:rPr>
        <w:rFonts w:hint="default"/>
        <w:b w:val="0"/>
        <w:i w:val="0"/>
        <w:strike w:val="0"/>
        <w:dstrike w:val="0"/>
        <w:color w:val="000000"/>
        <w:sz w:val="22"/>
        <w:szCs w:val="22"/>
        <w:u w:val="none" w:color="000000"/>
        <w:bdr w:val="none" w:sz="0" w:space="0" w:color="auto"/>
        <w:shd w:val="clear" w:color="auto" w:fill="auto"/>
        <w:vertAlign w:val="baseline"/>
      </w:rPr>
    </w:lvl>
    <w:lvl w:ilvl="1" w:tplc="313E60D2">
      <w:start w:val="1"/>
      <w:numFmt w:val="bullet"/>
      <w:lvlText w:val="o"/>
      <w:lvlJc w:val="left"/>
      <w:pPr>
        <w:ind w:left="2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AA2702">
      <w:start w:val="1"/>
      <w:numFmt w:val="bullet"/>
      <w:lvlText w:val="▪"/>
      <w:lvlJc w:val="left"/>
      <w:pPr>
        <w:ind w:left="3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864A00">
      <w:start w:val="1"/>
      <w:numFmt w:val="bullet"/>
      <w:lvlText w:val="•"/>
      <w:lvlJc w:val="left"/>
      <w:pPr>
        <w:ind w:left="4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D46C6A">
      <w:start w:val="1"/>
      <w:numFmt w:val="bullet"/>
      <w:lvlText w:val="o"/>
      <w:lvlJc w:val="left"/>
      <w:pPr>
        <w:ind w:left="4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DC3BAA">
      <w:start w:val="1"/>
      <w:numFmt w:val="bullet"/>
      <w:lvlText w:val="▪"/>
      <w:lvlJc w:val="left"/>
      <w:pPr>
        <w:ind w:left="5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F86F32">
      <w:start w:val="1"/>
      <w:numFmt w:val="bullet"/>
      <w:lvlText w:val="•"/>
      <w:lvlJc w:val="left"/>
      <w:pPr>
        <w:ind w:left="6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FEA610">
      <w:start w:val="1"/>
      <w:numFmt w:val="bullet"/>
      <w:lvlText w:val="o"/>
      <w:lvlJc w:val="left"/>
      <w:pPr>
        <w:ind w:left="7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5AF1F4">
      <w:start w:val="1"/>
      <w:numFmt w:val="bullet"/>
      <w:lvlText w:val="▪"/>
      <w:lvlJc w:val="left"/>
      <w:pPr>
        <w:ind w:left="7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FAF2AF5"/>
    <w:multiLevelType w:val="hybridMultilevel"/>
    <w:tmpl w:val="2B1E6D56"/>
    <w:lvl w:ilvl="0" w:tplc="16B0A33C">
      <w:start w:val="1"/>
      <w:numFmt w:val="lowerRoman"/>
      <w:lvlText w:val="(%1)"/>
      <w:lvlJc w:val="left"/>
      <w:pPr>
        <w:ind w:left="720" w:hanging="360"/>
      </w:pPr>
      <w:rPr>
        <w:rFonts w:hint="default"/>
      </w:rPr>
    </w:lvl>
    <w:lvl w:ilvl="1" w:tplc="C84A3DF2" w:tentative="1">
      <w:start w:val="1"/>
      <w:numFmt w:val="lowerLetter"/>
      <w:lvlText w:val="%2."/>
      <w:lvlJc w:val="left"/>
      <w:pPr>
        <w:ind w:left="1440" w:hanging="360"/>
      </w:pPr>
    </w:lvl>
    <w:lvl w:ilvl="2" w:tplc="CD1888B8" w:tentative="1">
      <w:start w:val="1"/>
      <w:numFmt w:val="lowerRoman"/>
      <w:lvlText w:val="%3."/>
      <w:lvlJc w:val="right"/>
      <w:pPr>
        <w:ind w:left="2160" w:hanging="180"/>
      </w:pPr>
    </w:lvl>
    <w:lvl w:ilvl="3" w:tplc="6FA0EB88" w:tentative="1">
      <w:start w:val="1"/>
      <w:numFmt w:val="decimal"/>
      <w:lvlText w:val="%4."/>
      <w:lvlJc w:val="left"/>
      <w:pPr>
        <w:ind w:left="2880" w:hanging="360"/>
      </w:pPr>
    </w:lvl>
    <w:lvl w:ilvl="4" w:tplc="54F22274" w:tentative="1">
      <w:start w:val="1"/>
      <w:numFmt w:val="lowerLetter"/>
      <w:lvlText w:val="%5."/>
      <w:lvlJc w:val="left"/>
      <w:pPr>
        <w:ind w:left="3600" w:hanging="360"/>
      </w:pPr>
    </w:lvl>
    <w:lvl w:ilvl="5" w:tplc="0C14B6EA" w:tentative="1">
      <w:start w:val="1"/>
      <w:numFmt w:val="lowerRoman"/>
      <w:lvlText w:val="%6."/>
      <w:lvlJc w:val="right"/>
      <w:pPr>
        <w:ind w:left="4320" w:hanging="180"/>
      </w:pPr>
    </w:lvl>
    <w:lvl w:ilvl="6" w:tplc="B3DECB36" w:tentative="1">
      <w:start w:val="1"/>
      <w:numFmt w:val="decimal"/>
      <w:lvlText w:val="%7."/>
      <w:lvlJc w:val="left"/>
      <w:pPr>
        <w:ind w:left="5040" w:hanging="360"/>
      </w:pPr>
    </w:lvl>
    <w:lvl w:ilvl="7" w:tplc="5F4C7A64" w:tentative="1">
      <w:start w:val="1"/>
      <w:numFmt w:val="lowerLetter"/>
      <w:lvlText w:val="%8."/>
      <w:lvlJc w:val="left"/>
      <w:pPr>
        <w:ind w:left="5760" w:hanging="360"/>
      </w:pPr>
    </w:lvl>
    <w:lvl w:ilvl="8" w:tplc="ECC03312" w:tentative="1">
      <w:start w:val="1"/>
      <w:numFmt w:val="lowerRoman"/>
      <w:lvlText w:val="%9."/>
      <w:lvlJc w:val="right"/>
      <w:pPr>
        <w:ind w:left="6480" w:hanging="180"/>
      </w:pPr>
    </w:lvl>
  </w:abstractNum>
  <w:abstractNum w:abstractNumId="12" w15:restartNumberingAfterBreak="0">
    <w:nsid w:val="5D205EFC"/>
    <w:multiLevelType w:val="hybridMultilevel"/>
    <w:tmpl w:val="70EA2BF2"/>
    <w:lvl w:ilvl="0" w:tplc="72B064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78708E"/>
    <w:multiLevelType w:val="hybridMultilevel"/>
    <w:tmpl w:val="966E8B02"/>
    <w:lvl w:ilvl="0" w:tplc="955206F4">
      <w:start w:val="1"/>
      <w:numFmt w:val="lowerLetter"/>
      <w:lvlText w:val="%1."/>
      <w:lvlJc w:val="left"/>
      <w:pPr>
        <w:ind w:left="720" w:hanging="360"/>
      </w:pPr>
      <w:rPr>
        <w:rFonts w:hint="default"/>
      </w:rPr>
    </w:lvl>
    <w:lvl w:ilvl="1" w:tplc="39560B1A" w:tentative="1">
      <w:start w:val="1"/>
      <w:numFmt w:val="lowerLetter"/>
      <w:lvlText w:val="%2."/>
      <w:lvlJc w:val="left"/>
      <w:pPr>
        <w:ind w:left="1440" w:hanging="360"/>
      </w:pPr>
    </w:lvl>
    <w:lvl w:ilvl="2" w:tplc="2E46B498" w:tentative="1">
      <w:start w:val="1"/>
      <w:numFmt w:val="lowerRoman"/>
      <w:lvlText w:val="%3."/>
      <w:lvlJc w:val="right"/>
      <w:pPr>
        <w:ind w:left="2160" w:hanging="180"/>
      </w:pPr>
    </w:lvl>
    <w:lvl w:ilvl="3" w:tplc="9D9E60FC" w:tentative="1">
      <w:start w:val="1"/>
      <w:numFmt w:val="decimal"/>
      <w:lvlText w:val="%4."/>
      <w:lvlJc w:val="left"/>
      <w:pPr>
        <w:ind w:left="2880" w:hanging="360"/>
      </w:pPr>
    </w:lvl>
    <w:lvl w:ilvl="4" w:tplc="00D2D602" w:tentative="1">
      <w:start w:val="1"/>
      <w:numFmt w:val="lowerLetter"/>
      <w:lvlText w:val="%5."/>
      <w:lvlJc w:val="left"/>
      <w:pPr>
        <w:ind w:left="3600" w:hanging="360"/>
      </w:pPr>
    </w:lvl>
    <w:lvl w:ilvl="5" w:tplc="93C21726" w:tentative="1">
      <w:start w:val="1"/>
      <w:numFmt w:val="lowerRoman"/>
      <w:lvlText w:val="%6."/>
      <w:lvlJc w:val="right"/>
      <w:pPr>
        <w:ind w:left="4320" w:hanging="180"/>
      </w:pPr>
    </w:lvl>
    <w:lvl w:ilvl="6" w:tplc="4E5A35B6" w:tentative="1">
      <w:start w:val="1"/>
      <w:numFmt w:val="decimal"/>
      <w:lvlText w:val="%7."/>
      <w:lvlJc w:val="left"/>
      <w:pPr>
        <w:ind w:left="5040" w:hanging="360"/>
      </w:pPr>
    </w:lvl>
    <w:lvl w:ilvl="7" w:tplc="DB76F542" w:tentative="1">
      <w:start w:val="1"/>
      <w:numFmt w:val="lowerLetter"/>
      <w:lvlText w:val="%8."/>
      <w:lvlJc w:val="left"/>
      <w:pPr>
        <w:ind w:left="5760" w:hanging="360"/>
      </w:pPr>
    </w:lvl>
    <w:lvl w:ilvl="8" w:tplc="8E44384A" w:tentative="1">
      <w:start w:val="1"/>
      <w:numFmt w:val="lowerRoman"/>
      <w:lvlText w:val="%9."/>
      <w:lvlJc w:val="right"/>
      <w:pPr>
        <w:ind w:left="6480" w:hanging="180"/>
      </w:pPr>
    </w:lvl>
  </w:abstractNum>
  <w:abstractNum w:abstractNumId="14" w15:restartNumberingAfterBreak="0">
    <w:nsid w:val="76E465C1"/>
    <w:multiLevelType w:val="hybridMultilevel"/>
    <w:tmpl w:val="98627BEE"/>
    <w:lvl w:ilvl="0" w:tplc="3D1CD2DC">
      <w:start w:val="1"/>
      <w:numFmt w:val="lowerRoman"/>
      <w:lvlText w:val="(%1)"/>
      <w:lvlJc w:val="left"/>
      <w:pPr>
        <w:ind w:left="710"/>
      </w:pPr>
      <w:rPr>
        <w:rFonts w:hint="default"/>
        <w:b w:val="0"/>
        <w:i w:val="0"/>
        <w:strike w:val="0"/>
        <w:dstrike w:val="0"/>
        <w:color w:val="000000"/>
        <w:sz w:val="22"/>
        <w:szCs w:val="22"/>
        <w:u w:val="none" w:color="000000"/>
        <w:bdr w:val="none" w:sz="0" w:space="0" w:color="auto"/>
        <w:shd w:val="clear" w:color="auto" w:fill="auto"/>
        <w:vertAlign w:val="baseline"/>
      </w:rPr>
    </w:lvl>
    <w:lvl w:ilvl="1" w:tplc="C212C98A">
      <w:start w:val="1"/>
      <w:numFmt w:val="bullet"/>
      <w:lvlText w:val="o"/>
      <w:lvlJc w:val="left"/>
      <w:pPr>
        <w:ind w:left="2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404056">
      <w:start w:val="1"/>
      <w:numFmt w:val="bullet"/>
      <w:lvlText w:val="▪"/>
      <w:lvlJc w:val="left"/>
      <w:pPr>
        <w:ind w:left="3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D884A8">
      <w:start w:val="1"/>
      <w:numFmt w:val="bullet"/>
      <w:lvlText w:val="•"/>
      <w:lvlJc w:val="left"/>
      <w:pPr>
        <w:ind w:left="4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B47CFE">
      <w:start w:val="1"/>
      <w:numFmt w:val="bullet"/>
      <w:lvlText w:val="o"/>
      <w:lvlJc w:val="left"/>
      <w:pPr>
        <w:ind w:left="4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2A773E">
      <w:start w:val="1"/>
      <w:numFmt w:val="bullet"/>
      <w:lvlText w:val="▪"/>
      <w:lvlJc w:val="left"/>
      <w:pPr>
        <w:ind w:left="5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C46DB8">
      <w:start w:val="1"/>
      <w:numFmt w:val="bullet"/>
      <w:lvlText w:val="•"/>
      <w:lvlJc w:val="left"/>
      <w:pPr>
        <w:ind w:left="6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CA5D80">
      <w:start w:val="1"/>
      <w:numFmt w:val="bullet"/>
      <w:lvlText w:val="o"/>
      <w:lvlJc w:val="left"/>
      <w:pPr>
        <w:ind w:left="7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024E80">
      <w:start w:val="1"/>
      <w:numFmt w:val="bullet"/>
      <w:lvlText w:val="▪"/>
      <w:lvlJc w:val="left"/>
      <w:pPr>
        <w:ind w:left="7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A376CBF"/>
    <w:multiLevelType w:val="hybridMultilevel"/>
    <w:tmpl w:val="52667BCA"/>
    <w:lvl w:ilvl="0" w:tplc="C0145AF6">
      <w:start w:val="1"/>
      <w:numFmt w:val="decimal"/>
      <w:lvlText w:val="%1."/>
      <w:lvlJc w:val="left"/>
      <w:pPr>
        <w:ind w:left="720" w:hanging="363"/>
      </w:pPr>
      <w:rPr>
        <w:b/>
        <w:color w:val="4472C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7EFB2652"/>
    <w:multiLevelType w:val="hybridMultilevel"/>
    <w:tmpl w:val="BA608220"/>
    <w:lvl w:ilvl="0" w:tplc="CF1AAFCC">
      <w:start w:val="1"/>
      <w:numFmt w:val="decimal"/>
      <w:lvlText w:val="%1."/>
      <w:lvlJc w:val="left"/>
      <w:pPr>
        <w:ind w:left="360" w:hanging="360"/>
      </w:pPr>
      <w:rPr>
        <w:rFonts w:hint="default"/>
        <w:b/>
      </w:rPr>
    </w:lvl>
    <w:lvl w:ilvl="1" w:tplc="D09EDF6E">
      <w:start w:val="1"/>
      <w:numFmt w:val="lowerLetter"/>
      <w:lvlText w:val="%2."/>
      <w:lvlJc w:val="left"/>
      <w:pPr>
        <w:ind w:left="1440" w:hanging="360"/>
      </w:pPr>
    </w:lvl>
    <w:lvl w:ilvl="2" w:tplc="35BCC74C">
      <w:start w:val="1"/>
      <w:numFmt w:val="lowerRoman"/>
      <w:lvlText w:val="%3."/>
      <w:lvlJc w:val="right"/>
      <w:pPr>
        <w:ind w:left="2160" w:hanging="180"/>
      </w:pPr>
    </w:lvl>
    <w:lvl w:ilvl="3" w:tplc="3DE855DA" w:tentative="1">
      <w:start w:val="1"/>
      <w:numFmt w:val="decimal"/>
      <w:lvlText w:val="%4."/>
      <w:lvlJc w:val="left"/>
      <w:pPr>
        <w:ind w:left="2880" w:hanging="360"/>
      </w:pPr>
    </w:lvl>
    <w:lvl w:ilvl="4" w:tplc="E20CA050" w:tentative="1">
      <w:start w:val="1"/>
      <w:numFmt w:val="lowerLetter"/>
      <w:lvlText w:val="%5."/>
      <w:lvlJc w:val="left"/>
      <w:pPr>
        <w:ind w:left="3600" w:hanging="360"/>
      </w:pPr>
    </w:lvl>
    <w:lvl w:ilvl="5" w:tplc="CC1E58BA" w:tentative="1">
      <w:start w:val="1"/>
      <w:numFmt w:val="lowerRoman"/>
      <w:lvlText w:val="%6."/>
      <w:lvlJc w:val="right"/>
      <w:pPr>
        <w:ind w:left="4320" w:hanging="180"/>
      </w:pPr>
    </w:lvl>
    <w:lvl w:ilvl="6" w:tplc="436254B6" w:tentative="1">
      <w:start w:val="1"/>
      <w:numFmt w:val="decimal"/>
      <w:lvlText w:val="%7."/>
      <w:lvlJc w:val="left"/>
      <w:pPr>
        <w:ind w:left="5040" w:hanging="360"/>
      </w:pPr>
    </w:lvl>
    <w:lvl w:ilvl="7" w:tplc="2EA02FE4" w:tentative="1">
      <w:start w:val="1"/>
      <w:numFmt w:val="lowerLetter"/>
      <w:lvlText w:val="%8."/>
      <w:lvlJc w:val="left"/>
      <w:pPr>
        <w:ind w:left="5760" w:hanging="360"/>
      </w:pPr>
    </w:lvl>
    <w:lvl w:ilvl="8" w:tplc="C3FAF914" w:tentative="1">
      <w:start w:val="1"/>
      <w:numFmt w:val="lowerRoman"/>
      <w:lvlText w:val="%9."/>
      <w:lvlJc w:val="right"/>
      <w:pPr>
        <w:ind w:left="6480" w:hanging="180"/>
      </w:pPr>
    </w:lvl>
  </w:abstractNum>
  <w:num w:numId="1">
    <w:abstractNumId w:val="9"/>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6"/>
  </w:num>
  <w:num w:numId="14">
    <w:abstractNumId w:val="14"/>
  </w:num>
  <w:num w:numId="15">
    <w:abstractNumId w:val="11"/>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532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269"/>
    <w:rsid w:val="0002097C"/>
    <w:rsid w:val="000210D4"/>
    <w:rsid w:val="00025360"/>
    <w:rsid w:val="000441E7"/>
    <w:rsid w:val="00063016"/>
    <w:rsid w:val="00066795"/>
    <w:rsid w:val="00072B41"/>
    <w:rsid w:val="00076AF6"/>
    <w:rsid w:val="00081019"/>
    <w:rsid w:val="000815FC"/>
    <w:rsid w:val="00085CF2"/>
    <w:rsid w:val="000B1705"/>
    <w:rsid w:val="000C6FA5"/>
    <w:rsid w:val="000D6D54"/>
    <w:rsid w:val="000D75B2"/>
    <w:rsid w:val="000E2BC4"/>
    <w:rsid w:val="000F1842"/>
    <w:rsid w:val="001002AB"/>
    <w:rsid w:val="001121F5"/>
    <w:rsid w:val="001400DC"/>
    <w:rsid w:val="00140CE1"/>
    <w:rsid w:val="0017539C"/>
    <w:rsid w:val="001759A3"/>
    <w:rsid w:val="00175AC2"/>
    <w:rsid w:val="0017609F"/>
    <w:rsid w:val="001C628E"/>
    <w:rsid w:val="001E0F7B"/>
    <w:rsid w:val="001F156A"/>
    <w:rsid w:val="002044C5"/>
    <w:rsid w:val="002119FD"/>
    <w:rsid w:val="002130E0"/>
    <w:rsid w:val="002344B8"/>
    <w:rsid w:val="0025064F"/>
    <w:rsid w:val="00264425"/>
    <w:rsid w:val="00265875"/>
    <w:rsid w:val="0027303B"/>
    <w:rsid w:val="0028109B"/>
    <w:rsid w:val="002A076E"/>
    <w:rsid w:val="002A2188"/>
    <w:rsid w:val="002B1F58"/>
    <w:rsid w:val="002B2F38"/>
    <w:rsid w:val="002B654B"/>
    <w:rsid w:val="002C1C7A"/>
    <w:rsid w:val="002E4A33"/>
    <w:rsid w:val="002F210C"/>
    <w:rsid w:val="0030160F"/>
    <w:rsid w:val="0030660B"/>
    <w:rsid w:val="00322D0D"/>
    <w:rsid w:val="00347189"/>
    <w:rsid w:val="003574AF"/>
    <w:rsid w:val="003942D4"/>
    <w:rsid w:val="003958A8"/>
    <w:rsid w:val="003C2533"/>
    <w:rsid w:val="003E607B"/>
    <w:rsid w:val="003E64DC"/>
    <w:rsid w:val="003E7630"/>
    <w:rsid w:val="0040435A"/>
    <w:rsid w:val="00416A24"/>
    <w:rsid w:val="00422D70"/>
    <w:rsid w:val="00431D9E"/>
    <w:rsid w:val="00433CE8"/>
    <w:rsid w:val="00434A5C"/>
    <w:rsid w:val="004544D9"/>
    <w:rsid w:val="00490E72"/>
    <w:rsid w:val="00491157"/>
    <w:rsid w:val="004921C8"/>
    <w:rsid w:val="004D1851"/>
    <w:rsid w:val="004D599D"/>
    <w:rsid w:val="004E2EA5"/>
    <w:rsid w:val="004E3AEB"/>
    <w:rsid w:val="0050223C"/>
    <w:rsid w:val="005243FF"/>
    <w:rsid w:val="00556EC9"/>
    <w:rsid w:val="00557268"/>
    <w:rsid w:val="00564FBC"/>
    <w:rsid w:val="00582442"/>
    <w:rsid w:val="00583EDB"/>
    <w:rsid w:val="00591E21"/>
    <w:rsid w:val="005B4F86"/>
    <w:rsid w:val="005E6F35"/>
    <w:rsid w:val="005F3269"/>
    <w:rsid w:val="005F7D5C"/>
    <w:rsid w:val="006139F2"/>
    <w:rsid w:val="00616587"/>
    <w:rsid w:val="00623AE3"/>
    <w:rsid w:val="0064737F"/>
    <w:rsid w:val="006535F1"/>
    <w:rsid w:val="0065557D"/>
    <w:rsid w:val="00662984"/>
    <w:rsid w:val="006716BB"/>
    <w:rsid w:val="006848DD"/>
    <w:rsid w:val="006B6680"/>
    <w:rsid w:val="006B6DCC"/>
    <w:rsid w:val="006C688C"/>
    <w:rsid w:val="006D72E4"/>
    <w:rsid w:val="00702DEF"/>
    <w:rsid w:val="00706823"/>
    <w:rsid w:val="00706861"/>
    <w:rsid w:val="0071621B"/>
    <w:rsid w:val="00722181"/>
    <w:rsid w:val="007261D2"/>
    <w:rsid w:val="00734DDE"/>
    <w:rsid w:val="00740FE3"/>
    <w:rsid w:val="0075051B"/>
    <w:rsid w:val="007865CB"/>
    <w:rsid w:val="00793188"/>
    <w:rsid w:val="00794D34"/>
    <w:rsid w:val="007D4D4B"/>
    <w:rsid w:val="00804C94"/>
    <w:rsid w:val="00813E5E"/>
    <w:rsid w:val="0083581B"/>
    <w:rsid w:val="00864AFF"/>
    <w:rsid w:val="0087000D"/>
    <w:rsid w:val="0088171D"/>
    <w:rsid w:val="00897B63"/>
    <w:rsid w:val="008A65D0"/>
    <w:rsid w:val="008B4A6A"/>
    <w:rsid w:val="008C7E27"/>
    <w:rsid w:val="008D2596"/>
    <w:rsid w:val="009020BD"/>
    <w:rsid w:val="009173EF"/>
    <w:rsid w:val="00932906"/>
    <w:rsid w:val="00961B0B"/>
    <w:rsid w:val="00985C1A"/>
    <w:rsid w:val="009A4E5D"/>
    <w:rsid w:val="009A6BDD"/>
    <w:rsid w:val="009B38C3"/>
    <w:rsid w:val="009E17BD"/>
    <w:rsid w:val="009E485A"/>
    <w:rsid w:val="009F66A3"/>
    <w:rsid w:val="00A04CEC"/>
    <w:rsid w:val="00A27F92"/>
    <w:rsid w:val="00A32257"/>
    <w:rsid w:val="00A36D20"/>
    <w:rsid w:val="00A55622"/>
    <w:rsid w:val="00A634CF"/>
    <w:rsid w:val="00A74950"/>
    <w:rsid w:val="00A80628"/>
    <w:rsid w:val="00A83502"/>
    <w:rsid w:val="00A8382F"/>
    <w:rsid w:val="00A93619"/>
    <w:rsid w:val="00A9624D"/>
    <w:rsid w:val="00A96618"/>
    <w:rsid w:val="00AA7687"/>
    <w:rsid w:val="00AB28AB"/>
    <w:rsid w:val="00AC47C8"/>
    <w:rsid w:val="00AD15B3"/>
    <w:rsid w:val="00AD3928"/>
    <w:rsid w:val="00AD39A0"/>
    <w:rsid w:val="00AF2C5F"/>
    <w:rsid w:val="00AF6E49"/>
    <w:rsid w:val="00B04A67"/>
    <w:rsid w:val="00B0583C"/>
    <w:rsid w:val="00B2637B"/>
    <w:rsid w:val="00B40A81"/>
    <w:rsid w:val="00B44910"/>
    <w:rsid w:val="00B5326A"/>
    <w:rsid w:val="00B72267"/>
    <w:rsid w:val="00B76EB6"/>
    <w:rsid w:val="00B7737B"/>
    <w:rsid w:val="00B824C8"/>
    <w:rsid w:val="00B84A22"/>
    <w:rsid w:val="00B87AE6"/>
    <w:rsid w:val="00BC251A"/>
    <w:rsid w:val="00BD032B"/>
    <w:rsid w:val="00BE2640"/>
    <w:rsid w:val="00C01189"/>
    <w:rsid w:val="00C1288B"/>
    <w:rsid w:val="00C374DE"/>
    <w:rsid w:val="00C439C4"/>
    <w:rsid w:val="00C457F7"/>
    <w:rsid w:val="00C47AD4"/>
    <w:rsid w:val="00C52D81"/>
    <w:rsid w:val="00C55198"/>
    <w:rsid w:val="00C81015"/>
    <w:rsid w:val="00CA6196"/>
    <w:rsid w:val="00CA6393"/>
    <w:rsid w:val="00CB18FF"/>
    <w:rsid w:val="00CC1726"/>
    <w:rsid w:val="00CD0C08"/>
    <w:rsid w:val="00CD18D0"/>
    <w:rsid w:val="00CE03FB"/>
    <w:rsid w:val="00CE433C"/>
    <w:rsid w:val="00CF081A"/>
    <w:rsid w:val="00CF134B"/>
    <w:rsid w:val="00CF33F3"/>
    <w:rsid w:val="00CF5A9F"/>
    <w:rsid w:val="00D06183"/>
    <w:rsid w:val="00D22C42"/>
    <w:rsid w:val="00D314D1"/>
    <w:rsid w:val="00D316D5"/>
    <w:rsid w:val="00D338E0"/>
    <w:rsid w:val="00D465F1"/>
    <w:rsid w:val="00D62316"/>
    <w:rsid w:val="00D65041"/>
    <w:rsid w:val="00D8774A"/>
    <w:rsid w:val="00D921AB"/>
    <w:rsid w:val="00DB001D"/>
    <w:rsid w:val="00DB384B"/>
    <w:rsid w:val="00DE4373"/>
    <w:rsid w:val="00DF4BBB"/>
    <w:rsid w:val="00E06BFE"/>
    <w:rsid w:val="00E10E80"/>
    <w:rsid w:val="00E124F0"/>
    <w:rsid w:val="00E431D0"/>
    <w:rsid w:val="00E60F04"/>
    <w:rsid w:val="00E64822"/>
    <w:rsid w:val="00E64FFB"/>
    <w:rsid w:val="00E750E8"/>
    <w:rsid w:val="00E82BCC"/>
    <w:rsid w:val="00E854E4"/>
    <w:rsid w:val="00EA2120"/>
    <w:rsid w:val="00EA57BD"/>
    <w:rsid w:val="00EB0D6F"/>
    <w:rsid w:val="00EB2232"/>
    <w:rsid w:val="00EB554B"/>
    <w:rsid w:val="00EC5337"/>
    <w:rsid w:val="00EC5B70"/>
    <w:rsid w:val="00EC7A1C"/>
    <w:rsid w:val="00ED161D"/>
    <w:rsid w:val="00EE6032"/>
    <w:rsid w:val="00F05AC8"/>
    <w:rsid w:val="00F2150A"/>
    <w:rsid w:val="00F231D8"/>
    <w:rsid w:val="00F46C5F"/>
    <w:rsid w:val="00F56668"/>
    <w:rsid w:val="00F7629A"/>
    <w:rsid w:val="00F94A63"/>
    <w:rsid w:val="00F966B2"/>
    <w:rsid w:val="00FA1C28"/>
    <w:rsid w:val="00FB1279"/>
    <w:rsid w:val="00FB7596"/>
    <w:rsid w:val="00FE4077"/>
    <w:rsid w:val="00FE77D2"/>
    <w:rsid w:val="00FF0B29"/>
    <w:rsid w:val="00FF4439"/>
    <w:rsid w:val="00FF73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4E04E449"/>
  <w15:docId w15:val="{A767549E-D165-4988-9E2E-E5CFDB3A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uiPriority w:val="99"/>
    <w:rsid w:val="00813E5E"/>
    <w:rPr>
      <w:rFonts w:ascii="Calibri" w:hAnsi="Calibri"/>
      <w:position w:val="6"/>
      <w:sz w:val="16"/>
    </w:rPr>
  </w:style>
  <w:style w:type="paragraph" w:styleId="FootnoteText">
    <w:name w:val="footnote text"/>
    <w:basedOn w:val="Normal"/>
    <w:link w:val="FootnoteTextChar"/>
    <w:uiPriority w:val="99"/>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qFormat/>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NoSpacing">
    <w:name w:val="No Spacing"/>
    <w:uiPriority w:val="1"/>
    <w:qFormat/>
    <w:rsid w:val="00CF5A9F"/>
    <w:rPr>
      <w:rFonts w:asciiTheme="minorHAnsi" w:eastAsiaTheme="minorHAnsi" w:hAnsiTheme="minorHAnsi" w:cstheme="minorBidi"/>
      <w:sz w:val="22"/>
      <w:szCs w:val="22"/>
      <w:lang w:eastAsia="en-US"/>
    </w:rPr>
  </w:style>
  <w:style w:type="paragraph" w:customStyle="1" w:styleId="Default">
    <w:name w:val="Default"/>
    <w:rsid w:val="00CF134B"/>
    <w:pPr>
      <w:autoSpaceDE w:val="0"/>
      <w:autoSpaceDN w:val="0"/>
      <w:adjustRightInd w:val="0"/>
    </w:pPr>
    <w:rPr>
      <w:rFonts w:ascii="Calibri" w:eastAsiaTheme="minorHAnsi" w:hAnsi="Calibri" w:cs="Calibri"/>
      <w:color w:val="000000"/>
      <w:sz w:val="24"/>
      <w:szCs w:val="24"/>
      <w:lang w:eastAsia="en-US"/>
    </w:rPr>
  </w:style>
  <w:style w:type="character" w:customStyle="1" w:styleId="FootnoteTextChar">
    <w:name w:val="Footnote Text Char"/>
    <w:basedOn w:val="DefaultParagraphFont"/>
    <w:link w:val="FootnoteText"/>
    <w:uiPriority w:val="99"/>
    <w:rsid w:val="00CF134B"/>
    <w:rPr>
      <w:rFonts w:ascii="Calibri" w:hAnsi="Calibri"/>
      <w:sz w:val="24"/>
      <w:lang w:val="en-GB" w:eastAsia="en-US"/>
    </w:rPr>
  </w:style>
  <w:style w:type="character" w:styleId="UnresolvedMention">
    <w:name w:val="Unresolved Mention"/>
    <w:basedOn w:val="DefaultParagraphFont"/>
    <w:uiPriority w:val="99"/>
    <w:semiHidden/>
    <w:unhideWhenUsed/>
    <w:rsid w:val="006848DD"/>
    <w:rPr>
      <w:color w:val="605E5C"/>
      <w:shd w:val="clear" w:color="auto" w:fill="E1DFDD"/>
    </w:rPr>
  </w:style>
  <w:style w:type="paragraph" w:styleId="ListParagraph">
    <w:name w:val="List Paragraph"/>
    <w:basedOn w:val="Normal"/>
    <w:link w:val="ListParagraphChar"/>
    <w:uiPriority w:val="34"/>
    <w:qFormat/>
    <w:rsid w:val="00A634CF"/>
    <w:pPr>
      <w:tabs>
        <w:tab w:val="clear" w:pos="567"/>
        <w:tab w:val="clear" w:pos="1134"/>
        <w:tab w:val="clear" w:pos="1701"/>
        <w:tab w:val="clear" w:pos="2268"/>
        <w:tab w:val="clear" w:pos="283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val="en-US" w:eastAsia="zh-CN"/>
    </w:rPr>
  </w:style>
  <w:style w:type="character" w:customStyle="1" w:styleId="ListParagraphChar">
    <w:name w:val="List Paragraph Char"/>
    <w:link w:val="ListParagraph"/>
    <w:uiPriority w:val="34"/>
    <w:locked/>
    <w:rsid w:val="00A634CF"/>
    <w:rPr>
      <w:rFonts w:asciiTheme="minorHAnsi" w:eastAsiaTheme="minorEastAsia" w:hAnsiTheme="minorHAnsi" w:cstheme="minorBidi"/>
      <w:sz w:val="22"/>
      <w:szCs w:val="22"/>
    </w:rPr>
  </w:style>
  <w:style w:type="paragraph" w:customStyle="1" w:styleId="paragraph">
    <w:name w:val="paragraph"/>
    <w:basedOn w:val="Normal"/>
    <w:rsid w:val="00A634CF"/>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w:eastAsiaTheme="minorHAnsi" w:hAnsi="Times" w:cstheme="minorBidi"/>
      <w:sz w:val="20"/>
    </w:rPr>
  </w:style>
  <w:style w:type="character" w:customStyle="1" w:styleId="normaltextrun">
    <w:name w:val="normaltextrun"/>
    <w:basedOn w:val="DefaultParagraphFont"/>
    <w:rsid w:val="00A634CF"/>
  </w:style>
  <w:style w:type="character" w:customStyle="1" w:styleId="eop">
    <w:name w:val="eop"/>
    <w:basedOn w:val="DefaultParagraphFont"/>
    <w:rsid w:val="00A634CF"/>
  </w:style>
  <w:style w:type="character" w:customStyle="1" w:styleId="tabchar">
    <w:name w:val="tabchar"/>
    <w:basedOn w:val="DefaultParagraphFont"/>
    <w:rsid w:val="00A634CF"/>
  </w:style>
  <w:style w:type="character" w:customStyle="1" w:styleId="HeaderChar">
    <w:name w:val="Header Char"/>
    <w:basedOn w:val="DefaultParagraphFont"/>
    <w:link w:val="Header"/>
    <w:uiPriority w:val="99"/>
    <w:rsid w:val="00A634CF"/>
    <w:rPr>
      <w:rFonts w:ascii="Calibri" w:hAnsi="Calibri"/>
      <w:sz w:val="18"/>
      <w:lang w:val="en-GB" w:eastAsia="en-US"/>
    </w:rPr>
  </w:style>
  <w:style w:type="table" w:styleId="GridTable1Light-Accent1">
    <w:name w:val="Grid Table 1 Light Accent 1"/>
    <w:basedOn w:val="TableNormal"/>
    <w:uiPriority w:val="46"/>
    <w:rsid w:val="00A634CF"/>
    <w:rPr>
      <w:rFonts w:asciiTheme="minorHAnsi" w:eastAsiaTheme="minorHAnsi" w:hAnsiTheme="minorHAnsi" w:cstheme="minorBidi"/>
      <w:sz w:val="22"/>
      <w:szCs w:val="22"/>
      <w:lang w:val="en-GB"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072B41"/>
    <w:rPr>
      <w:rFonts w:ascii="Calibri" w:hAnsi="Calibri"/>
      <w:sz w:val="24"/>
      <w:lang w:val="en-GB" w:eastAsia="en-US"/>
    </w:rPr>
  </w:style>
  <w:style w:type="paragraph" w:customStyle="1" w:styleId="HeadingbUnderline">
    <w:name w:val="Heading_b + Underline"/>
    <w:basedOn w:val="Normal"/>
    <w:rsid w:val="002B2F38"/>
    <w:pPr>
      <w:tabs>
        <w:tab w:val="clear" w:pos="567"/>
        <w:tab w:val="clear" w:pos="1134"/>
        <w:tab w:val="clear" w:pos="1701"/>
        <w:tab w:val="clear" w:pos="2268"/>
        <w:tab w:val="clear" w:pos="2835"/>
      </w:tabs>
      <w:overflowPunct/>
      <w:autoSpaceDE/>
      <w:autoSpaceDN/>
      <w:adjustRightInd/>
      <w:spacing w:after="120"/>
      <w:ind w:left="284" w:right="337"/>
      <w:jc w:val="both"/>
      <w:textAlignment w:val="auto"/>
    </w:pPr>
    <w:rPr>
      <w:rFonts w:asciiTheme="minorHAnsi" w:eastAsia="Calibri" w:hAnsiTheme="minorHAnsi" w:cstheme="minorHAnsi"/>
      <w:b/>
      <w:szCs w:val="24"/>
      <w:u w:val="single"/>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WTP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er\AppData\Roaming\Microsoft\Templates\POOL%20S%20-%20ITU\PS_WTPF-2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B5C20-58CC-44AB-B8B6-7F1C55D55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PS_WTPF-21.docx</Template>
  <TotalTime>0</TotalTime>
  <Pages>3</Pages>
  <Words>1225</Words>
  <Characters>6571</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WTPF Template</vt:lpstr>
    </vt:vector>
  </TitlesOfParts>
  <Manager>General Secretariat - Pool</Manager>
  <Company>Unión Internacional de Telecomunicaciones (UIT)</Company>
  <LinksUpToDate>false</LinksUpToDate>
  <CharactersWithSpaces>7781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Contribución de la República de Mauricio - Sobre el sexto proyecto de informe del Secretario General de la UIT</dc:title>
  <dc:subject>WTPF</dc:subject>
  <dc:creator>Brouard, Ricarda</dc:creator>
  <cp:keywords>WTPF-21</cp:keywords>
  <dc:description/>
  <cp:lastModifiedBy>Xue, Kun</cp:lastModifiedBy>
  <cp:revision>2</cp:revision>
  <cp:lastPrinted>2000-07-18T13:30:00Z</cp:lastPrinted>
  <dcterms:created xsi:type="dcterms:W3CDTF">2021-12-08T08:56:00Z</dcterms:created>
  <dcterms:modified xsi:type="dcterms:W3CDTF">2021-12-08T08:56:00Z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