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6D6A4771" w14:textId="77777777" w:rsidTr="009F66A3">
        <w:trPr>
          <w:cantSplit/>
          <w:trHeight w:val="1276"/>
        </w:trPr>
        <w:tc>
          <w:tcPr>
            <w:tcW w:w="6911" w:type="dxa"/>
          </w:tcPr>
          <w:p w14:paraId="7BC30B78" w14:textId="0281E63B" w:rsidR="002A2188" w:rsidRPr="00813E5E" w:rsidRDefault="00EC5B70" w:rsidP="0042360C">
            <w:pPr>
              <w:spacing w:line="240" w:lineRule="atLeast"/>
              <w:rPr>
                <w:position w:val="6"/>
              </w:rPr>
            </w:pPr>
            <w:r w:rsidRPr="00EC5B70">
              <w:rPr>
                <w:rFonts w:eastAsia="DengXian" w:cs="Arial"/>
                <w:noProof/>
                <w:sz w:val="22"/>
                <w:szCs w:val="22"/>
                <w:lang w:val="en-US" w:eastAsia="zh-CN"/>
              </w:rPr>
              <w:drawing>
                <wp:inline distT="0" distB="0" distL="0" distR="0" wp14:anchorId="4C6A0E6B" wp14:editId="1BB8066D">
                  <wp:extent cx="2112264" cy="841248"/>
                  <wp:effectExtent l="0" t="0" r="254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2264" cy="841248"/>
                          </a:xfrm>
                          <a:prstGeom prst="rect">
                            <a:avLst/>
                          </a:prstGeom>
                        </pic:spPr>
                      </pic:pic>
                    </a:graphicData>
                  </a:graphic>
                </wp:inline>
              </w:drawing>
            </w:r>
          </w:p>
        </w:tc>
        <w:tc>
          <w:tcPr>
            <w:tcW w:w="3120" w:type="dxa"/>
            <w:vAlign w:val="center"/>
          </w:tcPr>
          <w:p w14:paraId="049BF09C" w14:textId="77777777" w:rsidR="002A2188" w:rsidRPr="00813E5E" w:rsidRDefault="009F66A3" w:rsidP="0042360C">
            <w:pPr>
              <w:spacing w:line="240" w:lineRule="atLeast"/>
            </w:pPr>
            <w:bookmarkStart w:id="0" w:name="ditulogo"/>
            <w:bookmarkEnd w:id="0"/>
            <w:r>
              <w:rPr>
                <w:noProof/>
                <w:lang w:eastAsia="zh-CN"/>
              </w:rPr>
              <w:drawing>
                <wp:inline distT="0" distB="0" distL="0" distR="0" wp14:anchorId="10F84D5C" wp14:editId="67E6DF4B">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2F3C902" w14:textId="77777777" w:rsidTr="00464B6C">
        <w:trPr>
          <w:cantSplit/>
        </w:trPr>
        <w:tc>
          <w:tcPr>
            <w:tcW w:w="6911" w:type="dxa"/>
            <w:tcBorders>
              <w:bottom w:val="single" w:sz="12" w:space="0" w:color="auto"/>
            </w:tcBorders>
          </w:tcPr>
          <w:p w14:paraId="2143B1CA" w14:textId="77777777" w:rsidR="002A2188" w:rsidRPr="00813E5E" w:rsidRDefault="002A2188" w:rsidP="00DE4373">
            <w:pPr>
              <w:spacing w:before="0" w:line="240" w:lineRule="atLeast"/>
              <w:rPr>
                <w:b/>
                <w:smallCaps/>
                <w:szCs w:val="24"/>
              </w:rPr>
            </w:pPr>
          </w:p>
        </w:tc>
        <w:tc>
          <w:tcPr>
            <w:tcW w:w="3120" w:type="dxa"/>
            <w:tcBorders>
              <w:bottom w:val="single" w:sz="12" w:space="0" w:color="auto"/>
            </w:tcBorders>
          </w:tcPr>
          <w:p w14:paraId="3D08500D" w14:textId="77777777" w:rsidR="002A2188" w:rsidRPr="00813E5E" w:rsidRDefault="002A2188" w:rsidP="00DE4373">
            <w:pPr>
              <w:spacing w:before="0" w:line="240" w:lineRule="atLeast"/>
              <w:rPr>
                <w:szCs w:val="24"/>
              </w:rPr>
            </w:pPr>
          </w:p>
        </w:tc>
      </w:tr>
      <w:tr w:rsidR="002A2188" w:rsidRPr="00813E5E" w14:paraId="17235C7F" w14:textId="77777777" w:rsidTr="00464B6C">
        <w:trPr>
          <w:cantSplit/>
        </w:trPr>
        <w:tc>
          <w:tcPr>
            <w:tcW w:w="6911" w:type="dxa"/>
            <w:tcBorders>
              <w:top w:val="single" w:sz="12" w:space="0" w:color="auto"/>
            </w:tcBorders>
          </w:tcPr>
          <w:p w14:paraId="5D7313BD" w14:textId="77777777" w:rsidR="002A2188" w:rsidRPr="00813E5E" w:rsidRDefault="002A2188" w:rsidP="00DE4373">
            <w:pPr>
              <w:spacing w:before="0" w:line="240" w:lineRule="atLeast"/>
              <w:rPr>
                <w:b/>
                <w:smallCaps/>
                <w:szCs w:val="24"/>
              </w:rPr>
            </w:pPr>
          </w:p>
        </w:tc>
        <w:tc>
          <w:tcPr>
            <w:tcW w:w="3120" w:type="dxa"/>
            <w:tcBorders>
              <w:top w:val="single" w:sz="12" w:space="0" w:color="auto"/>
            </w:tcBorders>
          </w:tcPr>
          <w:p w14:paraId="22C9147A" w14:textId="77777777" w:rsidR="002A2188" w:rsidRPr="00813E5E" w:rsidRDefault="002A2188" w:rsidP="00DE4373">
            <w:pPr>
              <w:spacing w:before="0" w:line="240" w:lineRule="atLeast"/>
              <w:rPr>
                <w:szCs w:val="24"/>
              </w:rPr>
            </w:pPr>
          </w:p>
        </w:tc>
      </w:tr>
      <w:tr w:rsidR="002A2188" w:rsidRPr="00813E5E" w14:paraId="6804D83E" w14:textId="77777777" w:rsidTr="00464B6C">
        <w:trPr>
          <w:cantSplit/>
          <w:trHeight w:val="23"/>
        </w:trPr>
        <w:tc>
          <w:tcPr>
            <w:tcW w:w="6911" w:type="dxa"/>
            <w:vMerge w:val="restart"/>
          </w:tcPr>
          <w:p w14:paraId="42A03540" w14:textId="43B0FC3A" w:rsidR="002A2188" w:rsidRPr="00E85629" w:rsidRDefault="002A2188" w:rsidP="00DE4373">
            <w:pPr>
              <w:tabs>
                <w:tab w:val="left" w:pos="851"/>
              </w:tabs>
              <w:spacing w:before="0" w:line="240" w:lineRule="atLeast"/>
              <w:rPr>
                <w:b/>
              </w:rPr>
            </w:pPr>
            <w:bookmarkStart w:id="1" w:name="dmeeting" w:colFirst="0" w:colLast="0"/>
            <w:bookmarkStart w:id="2" w:name="dnum" w:colFirst="1" w:colLast="1"/>
          </w:p>
        </w:tc>
        <w:tc>
          <w:tcPr>
            <w:tcW w:w="3120" w:type="dxa"/>
          </w:tcPr>
          <w:p w14:paraId="1727AC2C" w14:textId="0954BB04" w:rsidR="002A2188" w:rsidRPr="00E85629" w:rsidRDefault="009F66A3" w:rsidP="00DE4373">
            <w:pPr>
              <w:tabs>
                <w:tab w:val="left" w:pos="851"/>
              </w:tabs>
              <w:spacing w:before="0" w:line="240" w:lineRule="atLeast"/>
              <w:rPr>
                <w:b/>
              </w:rPr>
            </w:pPr>
            <w:r>
              <w:rPr>
                <w:b/>
              </w:rPr>
              <w:t xml:space="preserve">Document </w:t>
            </w:r>
            <w:r w:rsidR="00EC5B70">
              <w:rPr>
                <w:b/>
              </w:rPr>
              <w:t>WTPF</w:t>
            </w:r>
            <w:r w:rsidR="001B4EEF" w:rsidRPr="001B4EEF">
              <w:rPr>
                <w:b/>
              </w:rPr>
              <w:t>-21</w:t>
            </w:r>
            <w:r w:rsidR="002A2188">
              <w:rPr>
                <w:b/>
              </w:rPr>
              <w:t>/</w:t>
            </w:r>
            <w:r w:rsidR="00F25670">
              <w:rPr>
                <w:b/>
                <w:lang w:eastAsia="zh-CN"/>
              </w:rPr>
              <w:t>4</w:t>
            </w:r>
            <w:r w:rsidR="002A2188">
              <w:rPr>
                <w:b/>
              </w:rPr>
              <w:t>-E</w:t>
            </w:r>
          </w:p>
        </w:tc>
      </w:tr>
      <w:tr w:rsidR="002A2188" w:rsidRPr="00813E5E" w14:paraId="6B217E52" w14:textId="77777777" w:rsidTr="00464B6C">
        <w:trPr>
          <w:cantSplit/>
          <w:trHeight w:val="23"/>
        </w:trPr>
        <w:tc>
          <w:tcPr>
            <w:tcW w:w="6911" w:type="dxa"/>
            <w:vMerge/>
          </w:tcPr>
          <w:p w14:paraId="1CE8AE93" w14:textId="77777777" w:rsidR="002A2188" w:rsidRPr="00813E5E" w:rsidRDefault="002A2188" w:rsidP="00464B6C">
            <w:pPr>
              <w:tabs>
                <w:tab w:val="left" w:pos="851"/>
              </w:tabs>
              <w:spacing w:line="240" w:lineRule="atLeast"/>
              <w:rPr>
                <w:b/>
              </w:rPr>
            </w:pPr>
            <w:bookmarkStart w:id="3" w:name="ddate" w:colFirst="1" w:colLast="1"/>
            <w:bookmarkEnd w:id="1"/>
            <w:bookmarkEnd w:id="2"/>
          </w:p>
        </w:tc>
        <w:tc>
          <w:tcPr>
            <w:tcW w:w="3120" w:type="dxa"/>
          </w:tcPr>
          <w:p w14:paraId="257DEE08" w14:textId="0867A700" w:rsidR="002A2188" w:rsidRPr="00E85629" w:rsidRDefault="00B91770" w:rsidP="009F66A3">
            <w:pPr>
              <w:tabs>
                <w:tab w:val="left" w:pos="993"/>
              </w:tabs>
              <w:spacing w:before="0"/>
              <w:rPr>
                <w:b/>
              </w:rPr>
            </w:pPr>
            <w:r w:rsidRPr="00F25670">
              <w:rPr>
                <w:rFonts w:hint="eastAsia"/>
                <w:b/>
                <w:lang w:eastAsia="zh-CN"/>
              </w:rPr>
              <w:t>29</w:t>
            </w:r>
            <w:r>
              <w:rPr>
                <w:b/>
              </w:rPr>
              <w:t xml:space="preserve"> November</w:t>
            </w:r>
            <w:r w:rsidR="002A2188">
              <w:rPr>
                <w:b/>
              </w:rPr>
              <w:t>20</w:t>
            </w:r>
            <w:r w:rsidR="009F66A3">
              <w:rPr>
                <w:b/>
              </w:rPr>
              <w:t>2</w:t>
            </w:r>
            <w:r w:rsidR="00F56668">
              <w:rPr>
                <w:b/>
              </w:rPr>
              <w:t>1</w:t>
            </w:r>
          </w:p>
        </w:tc>
      </w:tr>
      <w:tr w:rsidR="002A2188" w:rsidRPr="00813E5E" w14:paraId="10D36551" w14:textId="77777777" w:rsidTr="00464B6C">
        <w:trPr>
          <w:cantSplit/>
          <w:trHeight w:val="23"/>
        </w:trPr>
        <w:tc>
          <w:tcPr>
            <w:tcW w:w="6911" w:type="dxa"/>
            <w:vMerge/>
          </w:tcPr>
          <w:p w14:paraId="7EF812AF" w14:textId="77777777" w:rsidR="002A2188" w:rsidRPr="00813E5E" w:rsidRDefault="002A2188" w:rsidP="00464B6C">
            <w:pPr>
              <w:tabs>
                <w:tab w:val="left" w:pos="851"/>
              </w:tabs>
              <w:spacing w:line="240" w:lineRule="atLeast"/>
              <w:rPr>
                <w:b/>
              </w:rPr>
            </w:pPr>
            <w:bookmarkStart w:id="4" w:name="dorlang" w:colFirst="1" w:colLast="1"/>
            <w:bookmarkEnd w:id="3"/>
          </w:p>
        </w:tc>
        <w:tc>
          <w:tcPr>
            <w:tcW w:w="3120" w:type="dxa"/>
          </w:tcPr>
          <w:p w14:paraId="0DF1D05E" w14:textId="3B429F99" w:rsidR="002A2188" w:rsidRPr="00E85629" w:rsidRDefault="002A2188" w:rsidP="00464B6C">
            <w:pPr>
              <w:tabs>
                <w:tab w:val="left" w:pos="993"/>
              </w:tabs>
              <w:spacing w:before="0"/>
              <w:rPr>
                <w:b/>
              </w:rPr>
            </w:pPr>
            <w:r>
              <w:rPr>
                <w:b/>
              </w:rPr>
              <w:t xml:space="preserve">Original: </w:t>
            </w:r>
            <w:r w:rsidR="00DE4373">
              <w:rPr>
                <w:b/>
              </w:rPr>
              <w:t>English</w:t>
            </w:r>
          </w:p>
        </w:tc>
      </w:tr>
      <w:tr w:rsidR="002A2188" w:rsidRPr="00813E5E" w14:paraId="46399271" w14:textId="77777777" w:rsidTr="00464B6C">
        <w:trPr>
          <w:cantSplit/>
        </w:trPr>
        <w:tc>
          <w:tcPr>
            <w:tcW w:w="10031" w:type="dxa"/>
            <w:gridSpan w:val="2"/>
          </w:tcPr>
          <w:p w14:paraId="18E28CA0" w14:textId="3C654215" w:rsidR="00EA2120" w:rsidRPr="00DE4373" w:rsidRDefault="00B91770" w:rsidP="00722181">
            <w:pPr>
              <w:pStyle w:val="Source"/>
            </w:pPr>
            <w:bookmarkStart w:id="5" w:name="dsource" w:colFirst="0" w:colLast="0"/>
            <w:bookmarkEnd w:id="4"/>
            <w:r w:rsidRPr="00B91770">
              <w:t xml:space="preserve">Contribution </w:t>
            </w:r>
            <w:r w:rsidR="00F25670">
              <w:t>by</w:t>
            </w:r>
            <w:r w:rsidRPr="00B91770">
              <w:t xml:space="preserve"> the Republic of </w:t>
            </w:r>
            <w:r>
              <w:t>Mauritius</w:t>
            </w:r>
          </w:p>
        </w:tc>
      </w:tr>
      <w:tr w:rsidR="002A2188" w:rsidRPr="00813E5E" w14:paraId="73F317E2" w14:textId="77777777" w:rsidTr="00464B6C">
        <w:trPr>
          <w:cantSplit/>
        </w:trPr>
        <w:tc>
          <w:tcPr>
            <w:tcW w:w="10031" w:type="dxa"/>
            <w:gridSpan w:val="2"/>
          </w:tcPr>
          <w:p w14:paraId="29B3DB5C" w14:textId="059DACCC" w:rsidR="002A2188" w:rsidRPr="00813E5E" w:rsidRDefault="00B91770" w:rsidP="00464B6C">
            <w:pPr>
              <w:pStyle w:val="Title1"/>
            </w:pPr>
            <w:bookmarkStart w:id="6" w:name="dtitle1" w:colFirst="0" w:colLast="0"/>
            <w:bookmarkEnd w:id="5"/>
            <w:r w:rsidRPr="00F25670">
              <w:t xml:space="preserve">ON THE SIXTH DRAFT </w:t>
            </w:r>
            <w:r w:rsidR="00FB17F4" w:rsidRPr="00F25670">
              <w:t xml:space="preserve">of the </w:t>
            </w:r>
            <w:r w:rsidRPr="00F25670">
              <w:t>ITU SECRETARY</w:t>
            </w:r>
            <w:r w:rsidR="00F25670">
              <w:t>-</w:t>
            </w:r>
            <w:r w:rsidRPr="00F25670">
              <w:t>GENERAL’S REPORT</w:t>
            </w:r>
          </w:p>
        </w:tc>
      </w:tr>
    </w:tbl>
    <w:p w14:paraId="55A7D496" w14:textId="77777777" w:rsidR="00B91770" w:rsidRPr="00F25670" w:rsidRDefault="00B91770" w:rsidP="002D252C">
      <w:pPr>
        <w:tabs>
          <w:tab w:val="clear" w:pos="567"/>
          <w:tab w:val="clear" w:pos="1134"/>
          <w:tab w:val="clear" w:pos="1701"/>
          <w:tab w:val="clear" w:pos="2268"/>
          <w:tab w:val="clear" w:pos="2835"/>
        </w:tabs>
        <w:overflowPunct/>
        <w:autoSpaceDE/>
        <w:autoSpaceDN/>
        <w:adjustRightInd/>
        <w:spacing w:before="480" w:after="120"/>
        <w:jc w:val="both"/>
        <w:textAlignment w:val="auto"/>
        <w:rPr>
          <w:rFonts w:asciiTheme="minorHAnsi" w:eastAsia="Calibri" w:hAnsiTheme="minorHAnsi" w:cstheme="minorHAnsi"/>
          <w:b/>
          <w:szCs w:val="24"/>
          <w:u w:val="single"/>
        </w:rPr>
      </w:pPr>
      <w:bookmarkStart w:id="7" w:name="dstart"/>
      <w:bookmarkStart w:id="8" w:name="dbreak"/>
      <w:bookmarkEnd w:id="6"/>
      <w:bookmarkEnd w:id="7"/>
      <w:bookmarkEnd w:id="8"/>
      <w:r w:rsidRPr="00F25670">
        <w:rPr>
          <w:rFonts w:asciiTheme="minorHAnsi" w:eastAsia="Calibri" w:hAnsiTheme="minorHAnsi" w:cstheme="minorHAnsi"/>
          <w:b/>
          <w:szCs w:val="24"/>
          <w:u w:val="single"/>
        </w:rPr>
        <w:t>SECTION 2.8: Some themes for consideration:</w:t>
      </w:r>
    </w:p>
    <w:p w14:paraId="0B851179" w14:textId="77777777" w:rsidR="00B91770" w:rsidRPr="00F25670" w:rsidRDefault="00B91770" w:rsidP="002D252C">
      <w:pPr>
        <w:numPr>
          <w:ilvl w:val="0"/>
          <w:numId w:val="12"/>
        </w:numPr>
        <w:tabs>
          <w:tab w:val="clear" w:pos="567"/>
          <w:tab w:val="clear" w:pos="1134"/>
          <w:tab w:val="clear" w:pos="1701"/>
          <w:tab w:val="clear" w:pos="2268"/>
          <w:tab w:val="clear" w:pos="2835"/>
        </w:tabs>
        <w:overflowPunct/>
        <w:autoSpaceDE/>
        <w:autoSpaceDN/>
        <w:adjustRightInd/>
        <w:spacing w:before="360" w:after="120"/>
        <w:ind w:left="284" w:hanging="284"/>
        <w:jc w:val="both"/>
        <w:textAlignment w:val="auto"/>
        <w:rPr>
          <w:rFonts w:asciiTheme="minorHAnsi" w:eastAsia="Calibri" w:hAnsiTheme="minorHAnsi" w:cstheme="minorHAnsi"/>
          <w:szCs w:val="24"/>
        </w:rPr>
      </w:pPr>
      <w:r w:rsidRPr="00F25670">
        <w:rPr>
          <w:rFonts w:asciiTheme="minorHAnsi" w:eastAsia="Calibri" w:hAnsiTheme="minorHAnsi" w:cstheme="minorHAnsi"/>
          <w:b/>
          <w:szCs w:val="24"/>
        </w:rPr>
        <w:t>Section 2.8.1: Artificial Intelligence (AI)</w:t>
      </w:r>
    </w:p>
    <w:p w14:paraId="03B66E51" w14:textId="77777777" w:rsidR="00B91770" w:rsidRPr="00F25670" w:rsidRDefault="00B91770" w:rsidP="00B91770">
      <w:pPr>
        <w:tabs>
          <w:tab w:val="clear" w:pos="567"/>
          <w:tab w:val="clear" w:pos="1134"/>
          <w:tab w:val="clear" w:pos="1701"/>
          <w:tab w:val="clear" w:pos="2268"/>
          <w:tab w:val="clear" w:pos="2835"/>
        </w:tabs>
        <w:overflowPunct/>
        <w:autoSpaceDE/>
        <w:autoSpaceDN/>
        <w:adjustRightInd/>
        <w:spacing w:after="120"/>
        <w:ind w:left="284"/>
        <w:jc w:val="both"/>
        <w:textAlignment w:val="auto"/>
        <w:rPr>
          <w:rFonts w:asciiTheme="minorHAnsi" w:eastAsia="Calibri" w:hAnsiTheme="minorHAnsi" w:cstheme="minorHAnsi"/>
          <w:szCs w:val="24"/>
        </w:rPr>
      </w:pPr>
      <w:r w:rsidRPr="00F25670">
        <w:rPr>
          <w:rFonts w:asciiTheme="minorHAnsi" w:eastAsia="Calibri" w:hAnsiTheme="minorHAnsi" w:cstheme="minorHAnsi"/>
          <w:szCs w:val="24"/>
        </w:rPr>
        <w:t xml:space="preserve">Pertaining to the usage of AI solutions and technologies, it is proposed that an entire chapter should be dedicated to its prospects and challenges </w:t>
      </w:r>
      <w:proofErr w:type="gramStart"/>
      <w:r w:rsidRPr="00F25670">
        <w:rPr>
          <w:rFonts w:asciiTheme="minorHAnsi" w:eastAsia="Calibri" w:hAnsiTheme="minorHAnsi" w:cstheme="minorHAnsi"/>
          <w:szCs w:val="24"/>
        </w:rPr>
        <w:t>in order to</w:t>
      </w:r>
      <w:proofErr w:type="gramEnd"/>
      <w:r w:rsidRPr="00F25670">
        <w:rPr>
          <w:rFonts w:asciiTheme="minorHAnsi" w:eastAsia="Calibri" w:hAnsiTheme="minorHAnsi" w:cstheme="minorHAnsi"/>
          <w:szCs w:val="24"/>
        </w:rPr>
        <w:t xml:space="preserve"> mobilise such technologies for sustainable development.</w:t>
      </w:r>
    </w:p>
    <w:p w14:paraId="4C85C172" w14:textId="77777777" w:rsidR="00B91770" w:rsidRPr="00F25670" w:rsidRDefault="00B91770" w:rsidP="002D252C">
      <w:pPr>
        <w:numPr>
          <w:ilvl w:val="0"/>
          <w:numId w:val="12"/>
        </w:numPr>
        <w:tabs>
          <w:tab w:val="clear" w:pos="567"/>
          <w:tab w:val="clear" w:pos="1134"/>
          <w:tab w:val="clear" w:pos="1701"/>
          <w:tab w:val="clear" w:pos="2268"/>
          <w:tab w:val="clear" w:pos="2835"/>
        </w:tabs>
        <w:overflowPunct/>
        <w:autoSpaceDE/>
        <w:autoSpaceDN/>
        <w:adjustRightInd/>
        <w:spacing w:before="360" w:after="120"/>
        <w:ind w:left="284" w:hanging="284"/>
        <w:jc w:val="both"/>
        <w:textAlignment w:val="auto"/>
        <w:rPr>
          <w:rFonts w:asciiTheme="minorHAnsi" w:eastAsia="Calibri" w:hAnsiTheme="minorHAnsi" w:cstheme="minorHAnsi"/>
          <w:szCs w:val="24"/>
        </w:rPr>
      </w:pPr>
      <w:r w:rsidRPr="00F25670">
        <w:rPr>
          <w:rFonts w:asciiTheme="minorHAnsi" w:eastAsia="Calibri" w:hAnsiTheme="minorHAnsi" w:cstheme="minorHAnsi"/>
          <w:b/>
          <w:szCs w:val="24"/>
        </w:rPr>
        <w:t>Section 2.8.2: Internet of Things (IoT)</w:t>
      </w:r>
    </w:p>
    <w:p w14:paraId="3AC3C1D8" w14:textId="77777777" w:rsidR="00B91770" w:rsidRPr="00F25670" w:rsidRDefault="00B91770" w:rsidP="00B91770">
      <w:pPr>
        <w:tabs>
          <w:tab w:val="clear" w:pos="567"/>
          <w:tab w:val="clear" w:pos="1134"/>
          <w:tab w:val="clear" w:pos="1701"/>
          <w:tab w:val="clear" w:pos="2268"/>
          <w:tab w:val="clear" w:pos="2835"/>
        </w:tabs>
        <w:overflowPunct/>
        <w:autoSpaceDE/>
        <w:autoSpaceDN/>
        <w:adjustRightInd/>
        <w:spacing w:after="120"/>
        <w:ind w:left="284"/>
        <w:jc w:val="both"/>
        <w:textAlignment w:val="auto"/>
        <w:rPr>
          <w:rFonts w:asciiTheme="minorHAnsi" w:eastAsia="Calibri" w:hAnsiTheme="minorHAnsi" w:cstheme="minorHAnsi"/>
          <w:szCs w:val="24"/>
        </w:rPr>
      </w:pPr>
      <w:r w:rsidRPr="00F25670">
        <w:rPr>
          <w:rFonts w:asciiTheme="minorHAnsi" w:eastAsia="Calibri" w:hAnsiTheme="minorHAnsi" w:cstheme="minorHAnsi"/>
          <w:szCs w:val="24"/>
        </w:rPr>
        <w:t xml:space="preserve">Mauritius is embarking into the IoT bandwagon with service providers offering access to their IoT facilities as well as smart cities setting-up their own IoT networks. IoT comes with </w:t>
      </w:r>
      <w:proofErr w:type="gramStart"/>
      <w:r w:rsidRPr="00F25670">
        <w:rPr>
          <w:rFonts w:asciiTheme="minorHAnsi" w:eastAsia="Calibri" w:hAnsiTheme="minorHAnsi" w:cstheme="minorHAnsi"/>
          <w:szCs w:val="24"/>
        </w:rPr>
        <w:t>a number of</w:t>
      </w:r>
      <w:proofErr w:type="gramEnd"/>
      <w:r w:rsidRPr="00F25670">
        <w:rPr>
          <w:rFonts w:asciiTheme="minorHAnsi" w:eastAsia="Calibri" w:hAnsiTheme="minorHAnsi" w:cstheme="minorHAnsi"/>
          <w:szCs w:val="24"/>
        </w:rPr>
        <w:t xml:space="preserve"> challenges which require a number of policy reforms. It is proposed that the following be considered: </w:t>
      </w:r>
    </w:p>
    <w:p w14:paraId="59DD1FAC" w14:textId="77777777" w:rsidR="00B91770" w:rsidRPr="00F25670" w:rsidRDefault="00B91770" w:rsidP="00B91770">
      <w:pPr>
        <w:numPr>
          <w:ilvl w:val="0"/>
          <w:numId w:val="14"/>
        </w:numPr>
        <w:tabs>
          <w:tab w:val="clear" w:pos="567"/>
          <w:tab w:val="clear" w:pos="1134"/>
          <w:tab w:val="clear" w:pos="1701"/>
          <w:tab w:val="clear" w:pos="2268"/>
          <w:tab w:val="clear" w:pos="2835"/>
        </w:tabs>
        <w:overflowPunct/>
        <w:autoSpaceDE/>
        <w:autoSpaceDN/>
        <w:adjustRightInd/>
        <w:spacing w:after="120"/>
        <w:ind w:left="1134" w:right="337" w:hanging="567"/>
        <w:jc w:val="both"/>
        <w:textAlignment w:val="auto"/>
        <w:rPr>
          <w:rFonts w:asciiTheme="minorHAnsi" w:eastAsia="Calibri" w:hAnsiTheme="minorHAnsi" w:cstheme="minorHAnsi"/>
          <w:szCs w:val="24"/>
        </w:rPr>
      </w:pPr>
      <w:r w:rsidRPr="00F25670">
        <w:rPr>
          <w:rFonts w:asciiTheme="minorHAnsi" w:eastAsia="Calibri" w:hAnsiTheme="minorHAnsi" w:cstheme="minorHAnsi"/>
          <w:szCs w:val="24"/>
        </w:rPr>
        <w:t xml:space="preserve">IoT is called upon to integrate critical systems and as such, cybersecurity </w:t>
      </w:r>
      <w:proofErr w:type="gramStart"/>
      <w:r w:rsidRPr="00F25670">
        <w:rPr>
          <w:rFonts w:asciiTheme="minorHAnsi" w:eastAsia="Calibri" w:hAnsiTheme="minorHAnsi" w:cstheme="minorHAnsi"/>
          <w:szCs w:val="24"/>
        </w:rPr>
        <w:t>has to</w:t>
      </w:r>
      <w:proofErr w:type="gramEnd"/>
      <w:r w:rsidRPr="00F25670">
        <w:rPr>
          <w:rFonts w:asciiTheme="minorHAnsi" w:eastAsia="Calibri" w:hAnsiTheme="minorHAnsi" w:cstheme="minorHAnsi"/>
          <w:szCs w:val="24"/>
        </w:rPr>
        <w:t xml:space="preserve"> be an integral part of the IoT landscape. Apart from ensuring that the IoT hardware complies with specific norms, it is imperative that cybersecurity norms be established for </w:t>
      </w:r>
      <w:proofErr w:type="gramStart"/>
      <w:r w:rsidRPr="00F25670">
        <w:rPr>
          <w:rFonts w:asciiTheme="minorHAnsi" w:eastAsia="Calibri" w:hAnsiTheme="minorHAnsi" w:cstheme="minorHAnsi"/>
          <w:szCs w:val="24"/>
        </w:rPr>
        <w:t>IoT</w:t>
      </w:r>
      <w:proofErr w:type="gramEnd"/>
      <w:r w:rsidRPr="00F25670">
        <w:rPr>
          <w:rFonts w:asciiTheme="minorHAnsi" w:eastAsia="Calibri" w:hAnsiTheme="minorHAnsi" w:cstheme="minorHAnsi"/>
          <w:szCs w:val="24"/>
        </w:rPr>
        <w:t xml:space="preserve"> and compliance be monitored;</w:t>
      </w:r>
    </w:p>
    <w:p w14:paraId="22FD345B" w14:textId="77777777" w:rsidR="00B91770" w:rsidRPr="00F25670" w:rsidRDefault="00B91770" w:rsidP="00B91770">
      <w:pPr>
        <w:numPr>
          <w:ilvl w:val="0"/>
          <w:numId w:val="14"/>
        </w:numPr>
        <w:tabs>
          <w:tab w:val="clear" w:pos="567"/>
          <w:tab w:val="clear" w:pos="1134"/>
          <w:tab w:val="clear" w:pos="1701"/>
          <w:tab w:val="clear" w:pos="2268"/>
          <w:tab w:val="clear" w:pos="2835"/>
        </w:tabs>
        <w:overflowPunct/>
        <w:autoSpaceDE/>
        <w:autoSpaceDN/>
        <w:adjustRightInd/>
        <w:spacing w:after="120"/>
        <w:ind w:left="1134" w:right="337" w:hanging="567"/>
        <w:jc w:val="both"/>
        <w:textAlignment w:val="auto"/>
        <w:rPr>
          <w:rFonts w:asciiTheme="minorHAnsi" w:eastAsia="Calibri" w:hAnsiTheme="minorHAnsi" w:cstheme="minorHAnsi"/>
          <w:szCs w:val="24"/>
        </w:rPr>
      </w:pPr>
      <w:r w:rsidRPr="00F25670">
        <w:rPr>
          <w:rFonts w:asciiTheme="minorHAnsi" w:eastAsia="Calibri" w:hAnsiTheme="minorHAnsi" w:cstheme="minorHAnsi"/>
          <w:szCs w:val="24"/>
        </w:rPr>
        <w:t>infrastructure sharing is an effective way to lower the cost of deploying networks and to achieve widespread and affordable access to telecommunication services. With Internet of Things (IoT), sharing of Infrastructure has now become a necessity. As such, fair access should be provided to critical infrastructure elements such as telecom towers to the new players; and</w:t>
      </w:r>
    </w:p>
    <w:p w14:paraId="13998990" w14:textId="77777777" w:rsidR="00B91770" w:rsidRPr="00F25670" w:rsidRDefault="00B91770" w:rsidP="00B91770">
      <w:pPr>
        <w:numPr>
          <w:ilvl w:val="0"/>
          <w:numId w:val="14"/>
        </w:numPr>
        <w:tabs>
          <w:tab w:val="clear" w:pos="567"/>
          <w:tab w:val="clear" w:pos="1134"/>
          <w:tab w:val="clear" w:pos="1701"/>
          <w:tab w:val="clear" w:pos="2268"/>
          <w:tab w:val="clear" w:pos="2835"/>
        </w:tabs>
        <w:overflowPunct/>
        <w:autoSpaceDE/>
        <w:autoSpaceDN/>
        <w:adjustRightInd/>
        <w:spacing w:after="120"/>
        <w:ind w:left="1134" w:right="337" w:hanging="567"/>
        <w:jc w:val="both"/>
        <w:textAlignment w:val="auto"/>
        <w:rPr>
          <w:rFonts w:asciiTheme="minorHAnsi" w:eastAsia="Calibri" w:hAnsiTheme="minorHAnsi" w:cstheme="minorHAnsi"/>
          <w:szCs w:val="24"/>
        </w:rPr>
      </w:pPr>
      <w:r w:rsidRPr="00F25670">
        <w:rPr>
          <w:rFonts w:asciiTheme="minorHAnsi" w:eastAsia="Calibri" w:hAnsiTheme="minorHAnsi" w:cstheme="minorHAnsi"/>
          <w:szCs w:val="24"/>
        </w:rPr>
        <w:t>a proper framework which encourages Virtual Network Operators (VNOs) is essential to the implementation of IoT and M2M communications</w:t>
      </w:r>
      <w:proofErr w:type="gramStart"/>
      <w:r w:rsidRPr="00F25670">
        <w:rPr>
          <w:rFonts w:asciiTheme="minorHAnsi" w:eastAsia="Calibri" w:hAnsiTheme="minorHAnsi" w:cstheme="minorHAnsi"/>
          <w:szCs w:val="24"/>
        </w:rPr>
        <w:t xml:space="preserve">.  </w:t>
      </w:r>
      <w:proofErr w:type="gramEnd"/>
      <w:r w:rsidRPr="00F25670">
        <w:rPr>
          <w:rFonts w:asciiTheme="minorHAnsi" w:eastAsia="Calibri" w:hAnsiTheme="minorHAnsi" w:cstheme="minorHAnsi"/>
          <w:szCs w:val="24"/>
        </w:rPr>
        <w:t xml:space="preserve"> </w:t>
      </w:r>
    </w:p>
    <w:p w14:paraId="00F47D68" w14:textId="4BC26CA0" w:rsidR="002D252C" w:rsidRPr="00F25670" w:rsidRDefault="00B91770" w:rsidP="00B91770">
      <w:pPr>
        <w:tabs>
          <w:tab w:val="clear" w:pos="567"/>
          <w:tab w:val="clear" w:pos="1134"/>
          <w:tab w:val="clear" w:pos="1701"/>
          <w:tab w:val="clear" w:pos="2268"/>
          <w:tab w:val="clear" w:pos="2835"/>
        </w:tabs>
        <w:overflowPunct/>
        <w:autoSpaceDE/>
        <w:autoSpaceDN/>
        <w:adjustRightInd/>
        <w:spacing w:after="120"/>
        <w:ind w:right="337"/>
        <w:jc w:val="both"/>
        <w:textAlignment w:val="auto"/>
        <w:rPr>
          <w:rFonts w:asciiTheme="minorHAnsi" w:eastAsia="Calibri" w:hAnsiTheme="minorHAnsi" w:cstheme="minorHAnsi"/>
          <w:szCs w:val="24"/>
        </w:rPr>
      </w:pPr>
      <w:r w:rsidRPr="00F25670">
        <w:rPr>
          <w:rFonts w:asciiTheme="minorHAnsi" w:eastAsia="Calibri" w:hAnsiTheme="minorHAnsi" w:cstheme="minorHAnsi"/>
          <w:szCs w:val="24"/>
        </w:rPr>
        <w:t xml:space="preserve">Deliberations on IoT are proposed to be conducted with emphasis on mobilising the technology for the long term inclusive of development, deployment, affordability, public confidence, </w:t>
      </w:r>
      <w:proofErr w:type="gramStart"/>
      <w:r w:rsidRPr="00F25670">
        <w:rPr>
          <w:rFonts w:asciiTheme="minorHAnsi" w:eastAsia="Calibri" w:hAnsiTheme="minorHAnsi" w:cstheme="minorHAnsi"/>
          <w:szCs w:val="24"/>
        </w:rPr>
        <w:t>security</w:t>
      </w:r>
      <w:proofErr w:type="gramEnd"/>
      <w:r w:rsidRPr="00F25670">
        <w:rPr>
          <w:rFonts w:asciiTheme="minorHAnsi" w:eastAsia="Calibri" w:hAnsiTheme="minorHAnsi" w:cstheme="minorHAnsi"/>
          <w:szCs w:val="24"/>
        </w:rPr>
        <w:t xml:space="preserve"> and trust.</w:t>
      </w:r>
    </w:p>
    <w:p w14:paraId="280B3B54" w14:textId="77777777" w:rsidR="00B91770" w:rsidRPr="00F25670" w:rsidRDefault="00B91770" w:rsidP="00F25670">
      <w:pPr>
        <w:keepNext/>
        <w:keepLines/>
        <w:numPr>
          <w:ilvl w:val="0"/>
          <w:numId w:val="12"/>
        </w:numPr>
        <w:tabs>
          <w:tab w:val="clear" w:pos="567"/>
          <w:tab w:val="clear" w:pos="1134"/>
          <w:tab w:val="clear" w:pos="1701"/>
          <w:tab w:val="clear" w:pos="2268"/>
          <w:tab w:val="clear" w:pos="2835"/>
        </w:tabs>
        <w:overflowPunct/>
        <w:autoSpaceDE/>
        <w:autoSpaceDN/>
        <w:adjustRightInd/>
        <w:spacing w:before="360" w:after="120"/>
        <w:ind w:left="284" w:hanging="284"/>
        <w:jc w:val="both"/>
        <w:textAlignment w:val="auto"/>
        <w:rPr>
          <w:rFonts w:asciiTheme="minorHAnsi" w:eastAsia="Calibri" w:hAnsiTheme="minorHAnsi" w:cstheme="minorHAnsi"/>
          <w:b/>
          <w:szCs w:val="24"/>
        </w:rPr>
      </w:pPr>
      <w:r w:rsidRPr="00F25670">
        <w:rPr>
          <w:rFonts w:asciiTheme="minorHAnsi" w:eastAsia="Calibri" w:hAnsiTheme="minorHAnsi" w:cstheme="minorHAnsi"/>
          <w:b/>
          <w:szCs w:val="24"/>
        </w:rPr>
        <w:lastRenderedPageBreak/>
        <w:t>Section 2.8.3: 5G</w:t>
      </w:r>
    </w:p>
    <w:p w14:paraId="51EFC38E" w14:textId="77777777" w:rsidR="00B91770" w:rsidRPr="00F25670" w:rsidRDefault="00B91770" w:rsidP="00F25670">
      <w:pPr>
        <w:keepNext/>
        <w:keepLines/>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szCs w:val="24"/>
          <w:lang w:val="en-US"/>
        </w:rPr>
      </w:pPr>
      <w:r w:rsidRPr="00F25670">
        <w:rPr>
          <w:rFonts w:asciiTheme="minorHAnsi" w:eastAsia="Calibri" w:hAnsiTheme="minorHAnsi" w:cstheme="minorHAnsi"/>
          <w:szCs w:val="24"/>
          <w:lang w:val="en-US"/>
        </w:rPr>
        <w:t xml:space="preserve">The regulator in Mauritius has had to overcome </w:t>
      </w:r>
      <w:proofErr w:type="gramStart"/>
      <w:r w:rsidRPr="00F25670">
        <w:rPr>
          <w:rFonts w:asciiTheme="minorHAnsi" w:eastAsia="Calibri" w:hAnsiTheme="minorHAnsi" w:cstheme="minorHAnsi"/>
          <w:szCs w:val="24"/>
          <w:lang w:val="en-US"/>
        </w:rPr>
        <w:t>a number of</w:t>
      </w:r>
      <w:proofErr w:type="gramEnd"/>
      <w:r w:rsidRPr="00F25670">
        <w:rPr>
          <w:rFonts w:asciiTheme="minorHAnsi" w:eastAsia="Calibri" w:hAnsiTheme="minorHAnsi" w:cstheme="minorHAnsi"/>
          <w:szCs w:val="24"/>
          <w:lang w:val="en-US"/>
        </w:rPr>
        <w:t xml:space="preserve"> challenges for awarding spectrum for 5G. </w:t>
      </w:r>
    </w:p>
    <w:p w14:paraId="762E07B5" w14:textId="77777777" w:rsidR="00B91770" w:rsidRPr="00F25670" w:rsidRDefault="00B91770" w:rsidP="00B91770">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szCs w:val="24"/>
          <w:lang w:val="en-US"/>
        </w:rPr>
      </w:pPr>
      <w:r w:rsidRPr="00F25670">
        <w:rPr>
          <w:rFonts w:asciiTheme="minorHAnsi" w:eastAsia="Calibri" w:hAnsiTheme="minorHAnsi" w:cstheme="minorHAnsi"/>
          <w:szCs w:val="24"/>
          <w:lang w:val="en-US"/>
        </w:rPr>
        <w:t>In the past, for 2G, 3G and 4G, spectrum was assigned in relatively small blocks of 5 MHz or 10 MHz as and when operators decided to apply 5G, where the demand is for large blocks of spectrum (</w:t>
      </w:r>
      <w:proofErr w:type="gramStart"/>
      <w:r w:rsidRPr="00F25670">
        <w:rPr>
          <w:rFonts w:asciiTheme="minorHAnsi" w:eastAsia="Calibri" w:hAnsiTheme="minorHAnsi" w:cstheme="minorHAnsi"/>
          <w:szCs w:val="24"/>
          <w:lang w:val="en-US"/>
        </w:rPr>
        <w:t>e.g.</w:t>
      </w:r>
      <w:proofErr w:type="gramEnd"/>
      <w:r w:rsidRPr="00F25670">
        <w:rPr>
          <w:rFonts w:asciiTheme="minorHAnsi" w:eastAsia="Calibri" w:hAnsiTheme="minorHAnsi" w:cstheme="minorHAnsi"/>
          <w:szCs w:val="24"/>
          <w:lang w:val="en-US"/>
        </w:rPr>
        <w:t xml:space="preserve"> 100 MHz) required an altogether different approach. </w:t>
      </w:r>
    </w:p>
    <w:p w14:paraId="5EEAA4E3" w14:textId="77777777" w:rsidR="00B91770" w:rsidRPr="00F25670" w:rsidRDefault="00B91770" w:rsidP="00B91770">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szCs w:val="24"/>
          <w:lang w:val="en-US"/>
        </w:rPr>
      </w:pPr>
      <w:r w:rsidRPr="00F25670">
        <w:rPr>
          <w:rFonts w:asciiTheme="minorHAnsi" w:eastAsia="Calibri" w:hAnsiTheme="minorHAnsi" w:cstheme="minorHAnsi"/>
          <w:szCs w:val="24"/>
          <w:lang w:val="en-US"/>
        </w:rPr>
        <w:t xml:space="preserve">Whereas, in most jurisdictions, spectrum auctioning on </w:t>
      </w:r>
      <w:proofErr w:type="spellStart"/>
      <w:r w:rsidRPr="00F25670">
        <w:rPr>
          <w:rFonts w:asciiTheme="minorHAnsi" w:eastAsia="Calibri" w:hAnsiTheme="minorHAnsi" w:cstheme="minorHAnsi"/>
          <w:szCs w:val="24"/>
          <w:lang w:val="en-US"/>
        </w:rPr>
        <w:t>licence</w:t>
      </w:r>
      <w:proofErr w:type="spellEnd"/>
      <w:r w:rsidRPr="00F25670">
        <w:rPr>
          <w:rFonts w:asciiTheme="minorHAnsi" w:eastAsia="Calibri" w:hAnsiTheme="minorHAnsi" w:cstheme="minorHAnsi"/>
          <w:szCs w:val="24"/>
          <w:lang w:val="en-US"/>
        </w:rPr>
        <w:t xml:space="preserve"> fees has been used to award spectrum, this mode of award was ruled out, following consultation with the industry. </w:t>
      </w:r>
    </w:p>
    <w:p w14:paraId="6AC4754C" w14:textId="77777777" w:rsidR="00B91770" w:rsidRPr="00F25670" w:rsidRDefault="00B91770" w:rsidP="00B91770">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szCs w:val="24"/>
          <w:lang w:val="en-US"/>
        </w:rPr>
      </w:pPr>
      <w:r w:rsidRPr="00F25670">
        <w:rPr>
          <w:rFonts w:asciiTheme="minorHAnsi" w:eastAsia="Calibri" w:hAnsiTheme="minorHAnsi" w:cstheme="minorHAnsi"/>
          <w:szCs w:val="24"/>
          <w:lang w:val="en-US"/>
        </w:rPr>
        <w:t>The regulator had to come up with an alternative allocation process that would: -</w:t>
      </w:r>
    </w:p>
    <w:p w14:paraId="0DD4E6D7" w14:textId="77777777" w:rsidR="00B91770" w:rsidRPr="00F25670" w:rsidRDefault="00B91770" w:rsidP="00B91770">
      <w:pPr>
        <w:numPr>
          <w:ilvl w:val="0"/>
          <w:numId w:val="15"/>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szCs w:val="24"/>
          <w:lang w:val="en-US"/>
        </w:rPr>
      </w:pPr>
      <w:r w:rsidRPr="00F25670">
        <w:rPr>
          <w:rFonts w:asciiTheme="minorHAnsi" w:eastAsia="Calibri" w:hAnsiTheme="minorHAnsi" w:cstheme="minorHAnsi"/>
          <w:szCs w:val="24"/>
          <w:lang w:val="en-US"/>
        </w:rPr>
        <w:t xml:space="preserve">Create a level playing field for all mobile operators by allowing all operators the chance of obtaining spectrum for 5G </w:t>
      </w:r>
      <w:proofErr w:type="gramStart"/>
      <w:r w:rsidRPr="00F25670">
        <w:rPr>
          <w:rFonts w:asciiTheme="minorHAnsi" w:eastAsia="Calibri" w:hAnsiTheme="minorHAnsi" w:cstheme="minorHAnsi"/>
          <w:szCs w:val="24"/>
          <w:lang w:val="en-US"/>
        </w:rPr>
        <w:t>deployment;</w:t>
      </w:r>
      <w:proofErr w:type="gramEnd"/>
    </w:p>
    <w:p w14:paraId="3BA86DBE" w14:textId="77777777" w:rsidR="00B91770" w:rsidRPr="00F25670" w:rsidRDefault="00B91770" w:rsidP="00B91770">
      <w:pPr>
        <w:numPr>
          <w:ilvl w:val="0"/>
          <w:numId w:val="15"/>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szCs w:val="24"/>
          <w:lang w:val="en-US"/>
        </w:rPr>
      </w:pPr>
      <w:r w:rsidRPr="00F25670">
        <w:rPr>
          <w:rFonts w:asciiTheme="minorHAnsi" w:eastAsia="Calibri" w:hAnsiTheme="minorHAnsi" w:cstheme="minorHAnsi"/>
          <w:szCs w:val="24"/>
          <w:lang w:val="en-US"/>
        </w:rPr>
        <w:t xml:space="preserve">Promote efficient spectrum </w:t>
      </w:r>
      <w:proofErr w:type="gramStart"/>
      <w:r w:rsidRPr="00F25670">
        <w:rPr>
          <w:rFonts w:asciiTheme="minorHAnsi" w:eastAsia="Calibri" w:hAnsiTheme="minorHAnsi" w:cstheme="minorHAnsi"/>
          <w:szCs w:val="24"/>
          <w:lang w:val="en-US"/>
        </w:rPr>
        <w:t>use;</w:t>
      </w:r>
      <w:proofErr w:type="gramEnd"/>
    </w:p>
    <w:p w14:paraId="4786EF3C" w14:textId="77777777" w:rsidR="00B91770" w:rsidRPr="00F25670" w:rsidRDefault="00B91770" w:rsidP="00B91770">
      <w:pPr>
        <w:numPr>
          <w:ilvl w:val="0"/>
          <w:numId w:val="15"/>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szCs w:val="24"/>
          <w:lang w:val="en-US"/>
        </w:rPr>
      </w:pPr>
      <w:r w:rsidRPr="00F25670">
        <w:rPr>
          <w:rFonts w:asciiTheme="minorHAnsi" w:eastAsia="Calibri" w:hAnsiTheme="minorHAnsi" w:cstheme="minorHAnsi"/>
          <w:szCs w:val="24"/>
          <w:lang w:val="en-US"/>
        </w:rPr>
        <w:t xml:space="preserve">Promote investment and </w:t>
      </w:r>
      <w:proofErr w:type="gramStart"/>
      <w:r w:rsidRPr="00F25670">
        <w:rPr>
          <w:rFonts w:asciiTheme="minorHAnsi" w:eastAsia="Calibri" w:hAnsiTheme="minorHAnsi" w:cstheme="minorHAnsi"/>
          <w:szCs w:val="24"/>
          <w:lang w:val="en-US"/>
        </w:rPr>
        <w:t>innovation;</w:t>
      </w:r>
      <w:proofErr w:type="gramEnd"/>
    </w:p>
    <w:p w14:paraId="1E94A924" w14:textId="77777777" w:rsidR="00B91770" w:rsidRPr="00F25670" w:rsidRDefault="00B91770" w:rsidP="00B91770">
      <w:pPr>
        <w:numPr>
          <w:ilvl w:val="0"/>
          <w:numId w:val="15"/>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szCs w:val="24"/>
          <w:lang w:val="en-US"/>
        </w:rPr>
      </w:pPr>
      <w:r w:rsidRPr="00F25670">
        <w:rPr>
          <w:rFonts w:asciiTheme="minorHAnsi" w:eastAsia="Calibri" w:hAnsiTheme="minorHAnsi" w:cstheme="minorHAnsi"/>
          <w:szCs w:val="24"/>
          <w:lang w:val="en-US"/>
        </w:rPr>
        <w:t xml:space="preserve">Promote </w:t>
      </w:r>
      <w:proofErr w:type="gramStart"/>
      <w:r w:rsidRPr="00F25670">
        <w:rPr>
          <w:rFonts w:asciiTheme="minorHAnsi" w:eastAsia="Calibri" w:hAnsiTheme="minorHAnsi" w:cstheme="minorHAnsi"/>
          <w:szCs w:val="24"/>
          <w:lang w:val="en-US"/>
        </w:rPr>
        <w:t>competition;</w:t>
      </w:r>
      <w:proofErr w:type="gramEnd"/>
    </w:p>
    <w:p w14:paraId="48298379" w14:textId="77777777" w:rsidR="00B91770" w:rsidRPr="00F25670" w:rsidRDefault="00B91770" w:rsidP="00B91770">
      <w:pPr>
        <w:numPr>
          <w:ilvl w:val="0"/>
          <w:numId w:val="15"/>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szCs w:val="24"/>
          <w:lang w:val="en-US"/>
        </w:rPr>
      </w:pPr>
      <w:r w:rsidRPr="00F25670">
        <w:rPr>
          <w:rFonts w:asciiTheme="minorHAnsi" w:eastAsia="Calibri" w:hAnsiTheme="minorHAnsi" w:cstheme="minorHAnsi"/>
          <w:szCs w:val="24"/>
          <w:lang w:val="en-US"/>
        </w:rPr>
        <w:t>Be transparent and be seen to be transparent</w:t>
      </w:r>
    </w:p>
    <w:p w14:paraId="1AC6A4BB" w14:textId="77777777" w:rsidR="00B91770" w:rsidRPr="00F25670" w:rsidRDefault="00B91770" w:rsidP="00B91770">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szCs w:val="24"/>
          <w:lang w:val="en-US"/>
        </w:rPr>
      </w:pPr>
      <w:r w:rsidRPr="00F25670">
        <w:rPr>
          <w:rFonts w:asciiTheme="minorHAnsi" w:eastAsia="Calibri" w:hAnsiTheme="minorHAnsi" w:cstheme="minorHAnsi"/>
          <w:szCs w:val="24"/>
          <w:lang w:val="en-US"/>
        </w:rPr>
        <w:t xml:space="preserve">The regulator chose to award spectrum for 5G using a competitive process whereby operators were allowed to specify their choice of frequency block as well as the level of coverage commitment they accept to take with respect to same. In case of conflicting choices, the regulator awarded the block to the operator prepared to accept the most stringent commitments. </w:t>
      </w:r>
    </w:p>
    <w:p w14:paraId="51AA5F64" w14:textId="77777777" w:rsidR="00B91770" w:rsidRPr="00F25670" w:rsidRDefault="00B91770" w:rsidP="00B91770">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szCs w:val="24"/>
          <w:lang w:val="en-US"/>
        </w:rPr>
      </w:pPr>
      <w:r w:rsidRPr="00F25670">
        <w:rPr>
          <w:rFonts w:asciiTheme="minorHAnsi" w:eastAsia="Calibri" w:hAnsiTheme="minorHAnsi" w:cstheme="minorHAnsi"/>
          <w:szCs w:val="24"/>
          <w:lang w:val="en-US"/>
        </w:rPr>
        <w:t>Using the above principle, the regulator has been able to award 100 MHz of spectrum for 5G in the 2.6 GHz and 3.5 GHz bands to each of the three mobile operators.</w:t>
      </w:r>
    </w:p>
    <w:p w14:paraId="4C10F750" w14:textId="77777777" w:rsidR="00B91770" w:rsidRPr="00F25670" w:rsidRDefault="00B91770" w:rsidP="002D252C">
      <w:pPr>
        <w:numPr>
          <w:ilvl w:val="0"/>
          <w:numId w:val="12"/>
        </w:numPr>
        <w:tabs>
          <w:tab w:val="clear" w:pos="567"/>
          <w:tab w:val="clear" w:pos="1134"/>
          <w:tab w:val="clear" w:pos="1701"/>
          <w:tab w:val="clear" w:pos="2268"/>
          <w:tab w:val="clear" w:pos="2835"/>
        </w:tabs>
        <w:overflowPunct/>
        <w:autoSpaceDE/>
        <w:autoSpaceDN/>
        <w:adjustRightInd/>
        <w:spacing w:before="360" w:after="120"/>
        <w:ind w:left="284" w:hanging="284"/>
        <w:jc w:val="both"/>
        <w:textAlignment w:val="auto"/>
        <w:rPr>
          <w:rFonts w:asciiTheme="minorHAnsi" w:eastAsia="Calibri" w:hAnsiTheme="minorHAnsi" w:cstheme="minorHAnsi"/>
          <w:b/>
          <w:szCs w:val="24"/>
        </w:rPr>
      </w:pPr>
      <w:r w:rsidRPr="00F25670">
        <w:rPr>
          <w:rFonts w:asciiTheme="minorHAnsi" w:eastAsia="Calibri" w:hAnsiTheme="minorHAnsi" w:cstheme="minorHAnsi"/>
          <w:b/>
          <w:szCs w:val="24"/>
        </w:rPr>
        <w:t>Section 2.8.4: Big Data</w:t>
      </w:r>
    </w:p>
    <w:p w14:paraId="2F1B74C2" w14:textId="77777777" w:rsidR="00B91770" w:rsidRPr="00F25670" w:rsidRDefault="00B91770" w:rsidP="00B91770">
      <w:pPr>
        <w:tabs>
          <w:tab w:val="clear" w:pos="567"/>
          <w:tab w:val="clear" w:pos="1134"/>
          <w:tab w:val="clear" w:pos="1701"/>
          <w:tab w:val="clear" w:pos="2268"/>
          <w:tab w:val="clear" w:pos="2835"/>
        </w:tabs>
        <w:overflowPunct/>
        <w:autoSpaceDE/>
        <w:autoSpaceDN/>
        <w:adjustRightInd/>
        <w:spacing w:after="120"/>
        <w:ind w:left="284"/>
        <w:jc w:val="both"/>
        <w:textAlignment w:val="auto"/>
        <w:rPr>
          <w:rFonts w:asciiTheme="minorHAnsi" w:eastAsia="Calibri" w:hAnsiTheme="minorHAnsi" w:cstheme="minorHAnsi"/>
          <w:szCs w:val="24"/>
        </w:rPr>
      </w:pPr>
      <w:r w:rsidRPr="00F25670">
        <w:rPr>
          <w:rFonts w:asciiTheme="minorHAnsi" w:eastAsia="Calibri" w:hAnsiTheme="minorHAnsi" w:cstheme="minorHAnsi"/>
          <w:szCs w:val="24"/>
        </w:rPr>
        <w:t>Indeed, Big Data has the potential to provide significant value to the global economy and customers worldwide, while also contributing to the increase in productivity and competition in commercial field as well as in public sectors across the world.</w:t>
      </w:r>
    </w:p>
    <w:p w14:paraId="7EFE0B8F" w14:textId="77777777" w:rsidR="00B91770" w:rsidRPr="00F25670" w:rsidRDefault="00B91770" w:rsidP="00B91770">
      <w:pPr>
        <w:tabs>
          <w:tab w:val="clear" w:pos="567"/>
          <w:tab w:val="clear" w:pos="1134"/>
          <w:tab w:val="clear" w:pos="1701"/>
          <w:tab w:val="clear" w:pos="2268"/>
          <w:tab w:val="clear" w:pos="2835"/>
        </w:tabs>
        <w:overflowPunct/>
        <w:autoSpaceDE/>
        <w:autoSpaceDN/>
        <w:adjustRightInd/>
        <w:spacing w:after="120"/>
        <w:ind w:left="284"/>
        <w:jc w:val="both"/>
        <w:textAlignment w:val="auto"/>
        <w:rPr>
          <w:rFonts w:asciiTheme="minorHAnsi" w:eastAsia="Calibri" w:hAnsiTheme="minorHAnsi" w:cstheme="minorHAnsi"/>
          <w:szCs w:val="24"/>
        </w:rPr>
      </w:pPr>
      <w:r w:rsidRPr="00F25670">
        <w:rPr>
          <w:rFonts w:asciiTheme="minorHAnsi" w:eastAsia="Calibri" w:hAnsiTheme="minorHAnsi" w:cstheme="minorHAnsi"/>
          <w:szCs w:val="24"/>
        </w:rPr>
        <w:t>However, it is proposed that the terminology “Big Data” to be included as a stand - alone section in the Report should be reviewed through in - depth discussions.</w:t>
      </w:r>
    </w:p>
    <w:p w14:paraId="0D8F2B1F" w14:textId="77777777" w:rsidR="00B91770" w:rsidRPr="00F25670" w:rsidRDefault="00B91770" w:rsidP="002D252C">
      <w:pPr>
        <w:numPr>
          <w:ilvl w:val="0"/>
          <w:numId w:val="12"/>
        </w:numPr>
        <w:tabs>
          <w:tab w:val="clear" w:pos="567"/>
          <w:tab w:val="clear" w:pos="1134"/>
          <w:tab w:val="clear" w:pos="1701"/>
          <w:tab w:val="clear" w:pos="2268"/>
          <w:tab w:val="clear" w:pos="2835"/>
        </w:tabs>
        <w:overflowPunct/>
        <w:autoSpaceDE/>
        <w:autoSpaceDN/>
        <w:adjustRightInd/>
        <w:spacing w:before="360" w:after="120"/>
        <w:ind w:left="284" w:hanging="284"/>
        <w:jc w:val="both"/>
        <w:textAlignment w:val="auto"/>
        <w:rPr>
          <w:rFonts w:asciiTheme="minorHAnsi" w:eastAsia="Calibri" w:hAnsiTheme="minorHAnsi" w:cstheme="minorHAnsi"/>
          <w:b/>
          <w:szCs w:val="24"/>
        </w:rPr>
      </w:pPr>
      <w:r w:rsidRPr="00F25670">
        <w:rPr>
          <w:rFonts w:asciiTheme="minorHAnsi" w:eastAsia="Calibri" w:hAnsiTheme="minorHAnsi" w:cstheme="minorHAnsi"/>
          <w:b/>
          <w:szCs w:val="24"/>
        </w:rPr>
        <w:t>Section 2.8.5: Over – The - Top (OTT)</w:t>
      </w:r>
    </w:p>
    <w:p w14:paraId="7303C46E" w14:textId="77777777" w:rsidR="00B91770" w:rsidRPr="00F25670" w:rsidRDefault="00B91770" w:rsidP="00B91770">
      <w:pPr>
        <w:tabs>
          <w:tab w:val="clear" w:pos="567"/>
          <w:tab w:val="clear" w:pos="1134"/>
          <w:tab w:val="clear" w:pos="1701"/>
          <w:tab w:val="clear" w:pos="2268"/>
          <w:tab w:val="clear" w:pos="2835"/>
        </w:tabs>
        <w:overflowPunct/>
        <w:autoSpaceDE/>
        <w:autoSpaceDN/>
        <w:adjustRightInd/>
        <w:spacing w:after="120"/>
        <w:ind w:left="284" w:right="337"/>
        <w:jc w:val="both"/>
        <w:textAlignment w:val="auto"/>
        <w:rPr>
          <w:rFonts w:asciiTheme="minorHAnsi" w:eastAsia="Calibri" w:hAnsiTheme="minorHAnsi" w:cstheme="minorHAnsi"/>
          <w:szCs w:val="24"/>
        </w:rPr>
      </w:pPr>
      <w:r w:rsidRPr="00F25670">
        <w:rPr>
          <w:rFonts w:asciiTheme="minorHAnsi" w:eastAsia="Calibri" w:hAnsiTheme="minorHAnsi" w:cstheme="minorHAnsi"/>
          <w:szCs w:val="24"/>
        </w:rPr>
        <w:t>The emergence of OTTs is reshaping the entire communications’ ecosystem and strengthening ubiquitous connectivity which provides social and economic advantages to consumers globally as well as the global economy.</w:t>
      </w:r>
    </w:p>
    <w:p w14:paraId="7293A286" w14:textId="77777777" w:rsidR="00B91770" w:rsidRPr="00F25670" w:rsidRDefault="00B91770" w:rsidP="00B91770">
      <w:pPr>
        <w:tabs>
          <w:tab w:val="clear" w:pos="567"/>
          <w:tab w:val="clear" w:pos="1134"/>
          <w:tab w:val="clear" w:pos="1701"/>
          <w:tab w:val="clear" w:pos="2268"/>
          <w:tab w:val="clear" w:pos="2835"/>
        </w:tabs>
        <w:overflowPunct/>
        <w:autoSpaceDE/>
        <w:autoSpaceDN/>
        <w:adjustRightInd/>
        <w:spacing w:after="120"/>
        <w:ind w:left="284" w:right="337"/>
        <w:jc w:val="both"/>
        <w:textAlignment w:val="auto"/>
        <w:rPr>
          <w:rFonts w:asciiTheme="minorHAnsi" w:eastAsia="Calibri" w:hAnsiTheme="minorHAnsi" w:cstheme="minorHAnsi"/>
          <w:szCs w:val="24"/>
        </w:rPr>
      </w:pPr>
      <w:r w:rsidRPr="00F25670">
        <w:rPr>
          <w:rFonts w:asciiTheme="minorHAnsi" w:eastAsia="Calibri" w:hAnsiTheme="minorHAnsi" w:cstheme="minorHAnsi"/>
          <w:szCs w:val="24"/>
        </w:rPr>
        <w:t xml:space="preserve">However, OTT services poses a number of challenges to policy makers and regulators around the world particularly to small island economies such as Mauritius being given the small market </w:t>
      </w:r>
      <w:proofErr w:type="gramStart"/>
      <w:r w:rsidRPr="00F25670">
        <w:rPr>
          <w:rFonts w:asciiTheme="minorHAnsi" w:eastAsia="Calibri" w:hAnsiTheme="minorHAnsi" w:cstheme="minorHAnsi"/>
          <w:szCs w:val="24"/>
        </w:rPr>
        <w:t>size</w:t>
      </w:r>
      <w:proofErr w:type="gramEnd"/>
      <w:r w:rsidRPr="00F25670">
        <w:rPr>
          <w:rFonts w:asciiTheme="minorHAnsi" w:eastAsia="Calibri" w:hAnsiTheme="minorHAnsi" w:cstheme="minorHAnsi"/>
          <w:szCs w:val="24"/>
        </w:rPr>
        <w:t xml:space="preserve"> they represent for the tech giants. The challenges include the following: </w:t>
      </w:r>
    </w:p>
    <w:p w14:paraId="302277B2" w14:textId="77777777" w:rsidR="00B91770" w:rsidRPr="00F25670" w:rsidRDefault="00B91770" w:rsidP="00B91770">
      <w:pPr>
        <w:numPr>
          <w:ilvl w:val="0"/>
          <w:numId w:val="13"/>
        </w:numPr>
        <w:tabs>
          <w:tab w:val="clear" w:pos="567"/>
          <w:tab w:val="clear" w:pos="1134"/>
          <w:tab w:val="clear" w:pos="1701"/>
          <w:tab w:val="clear" w:pos="2268"/>
          <w:tab w:val="clear" w:pos="2835"/>
        </w:tabs>
        <w:overflowPunct/>
        <w:autoSpaceDE/>
        <w:autoSpaceDN/>
        <w:adjustRightInd/>
        <w:spacing w:after="120"/>
        <w:ind w:left="1134" w:right="337" w:hanging="567"/>
        <w:jc w:val="both"/>
        <w:textAlignment w:val="auto"/>
        <w:rPr>
          <w:rFonts w:asciiTheme="minorHAnsi" w:eastAsia="Calibri" w:hAnsiTheme="minorHAnsi" w:cstheme="minorHAnsi"/>
          <w:szCs w:val="24"/>
        </w:rPr>
      </w:pPr>
      <w:r w:rsidRPr="00F25670">
        <w:rPr>
          <w:rFonts w:asciiTheme="minorHAnsi" w:eastAsia="Calibri" w:hAnsiTheme="minorHAnsi" w:cstheme="minorHAnsi"/>
          <w:b/>
          <w:szCs w:val="24"/>
        </w:rPr>
        <w:t xml:space="preserve">Competition: </w:t>
      </w:r>
      <w:r w:rsidRPr="00F25670">
        <w:rPr>
          <w:rFonts w:asciiTheme="minorHAnsi" w:eastAsia="Calibri" w:hAnsiTheme="minorHAnsi" w:cstheme="minorHAnsi"/>
          <w:szCs w:val="24"/>
        </w:rPr>
        <w:t xml:space="preserve">Telecom Operators find it expensive and complex to compete with OTT players, given their superficial operating structures and transnational coverage. The OTT players often have global scale and reach dwarfing that of the telecommunications </w:t>
      </w:r>
      <w:proofErr w:type="gramStart"/>
      <w:r w:rsidRPr="00F25670">
        <w:rPr>
          <w:rFonts w:asciiTheme="minorHAnsi" w:eastAsia="Calibri" w:hAnsiTheme="minorHAnsi" w:cstheme="minorHAnsi"/>
          <w:szCs w:val="24"/>
        </w:rPr>
        <w:t>companies;</w:t>
      </w:r>
      <w:proofErr w:type="gramEnd"/>
      <w:r w:rsidRPr="00F25670">
        <w:rPr>
          <w:rFonts w:asciiTheme="minorHAnsi" w:eastAsia="Calibri" w:hAnsiTheme="minorHAnsi" w:cstheme="minorHAnsi"/>
          <w:szCs w:val="24"/>
        </w:rPr>
        <w:t xml:space="preserve"> </w:t>
      </w:r>
    </w:p>
    <w:p w14:paraId="3556C147" w14:textId="77777777" w:rsidR="00B91770" w:rsidRPr="00F25670" w:rsidRDefault="00B91770" w:rsidP="00B91770">
      <w:pPr>
        <w:numPr>
          <w:ilvl w:val="0"/>
          <w:numId w:val="13"/>
        </w:numPr>
        <w:tabs>
          <w:tab w:val="clear" w:pos="567"/>
          <w:tab w:val="clear" w:pos="1134"/>
          <w:tab w:val="clear" w:pos="1701"/>
          <w:tab w:val="clear" w:pos="2268"/>
          <w:tab w:val="clear" w:pos="2835"/>
        </w:tabs>
        <w:overflowPunct/>
        <w:autoSpaceDE/>
        <w:autoSpaceDN/>
        <w:adjustRightInd/>
        <w:spacing w:after="120"/>
        <w:ind w:left="1134" w:right="337" w:hanging="567"/>
        <w:jc w:val="both"/>
        <w:textAlignment w:val="auto"/>
        <w:rPr>
          <w:rFonts w:asciiTheme="minorHAnsi" w:eastAsia="Calibri" w:hAnsiTheme="minorHAnsi" w:cstheme="minorHAnsi"/>
          <w:szCs w:val="24"/>
        </w:rPr>
      </w:pPr>
      <w:r w:rsidRPr="00F25670">
        <w:rPr>
          <w:rFonts w:asciiTheme="minorHAnsi" w:eastAsia="Calibri" w:hAnsiTheme="minorHAnsi" w:cstheme="minorHAnsi"/>
          <w:b/>
          <w:szCs w:val="24"/>
        </w:rPr>
        <w:lastRenderedPageBreak/>
        <w:t>Revenue Impact:</w:t>
      </w:r>
      <w:r w:rsidRPr="00F25670">
        <w:rPr>
          <w:rFonts w:asciiTheme="minorHAnsi" w:eastAsia="Calibri" w:hAnsiTheme="minorHAnsi" w:cstheme="minorHAnsi"/>
          <w:szCs w:val="24"/>
        </w:rPr>
        <w:t xml:space="preserve"> The increased use of OTT messaging applications combined with the growing use of consumer video calling services have a big impact on telecommunications operators’ revenues. In the current setup, almost all the OTT services are provided for free to the consumers. Instead, revenue is generated from advertisements, content placements, etc. Since the OTT players do not directly charge the consumers, the Telecom players cannot ask for sharing of consumer revenues; and </w:t>
      </w:r>
    </w:p>
    <w:p w14:paraId="5C41A3EC" w14:textId="77777777" w:rsidR="00B91770" w:rsidRPr="00F25670" w:rsidRDefault="00B91770" w:rsidP="00B91770">
      <w:pPr>
        <w:numPr>
          <w:ilvl w:val="0"/>
          <w:numId w:val="13"/>
        </w:numPr>
        <w:tabs>
          <w:tab w:val="clear" w:pos="567"/>
          <w:tab w:val="clear" w:pos="1134"/>
          <w:tab w:val="clear" w:pos="1701"/>
          <w:tab w:val="clear" w:pos="2268"/>
          <w:tab w:val="clear" w:pos="2835"/>
        </w:tabs>
        <w:overflowPunct/>
        <w:autoSpaceDE/>
        <w:autoSpaceDN/>
        <w:adjustRightInd/>
        <w:spacing w:after="120"/>
        <w:ind w:left="1134" w:right="337" w:hanging="567"/>
        <w:jc w:val="both"/>
        <w:textAlignment w:val="auto"/>
        <w:rPr>
          <w:rFonts w:asciiTheme="minorHAnsi" w:eastAsia="Calibri" w:hAnsiTheme="minorHAnsi" w:cstheme="minorHAnsi"/>
          <w:szCs w:val="24"/>
        </w:rPr>
      </w:pPr>
      <w:r w:rsidRPr="00F25670">
        <w:rPr>
          <w:rFonts w:asciiTheme="minorHAnsi" w:eastAsia="Calibri" w:hAnsiTheme="minorHAnsi" w:cstheme="minorHAnsi"/>
          <w:b/>
          <w:szCs w:val="24"/>
        </w:rPr>
        <w:t>Infrastructure / Network:</w:t>
      </w:r>
      <w:r w:rsidRPr="00F25670">
        <w:rPr>
          <w:rFonts w:asciiTheme="minorHAnsi" w:eastAsia="Calibri" w:hAnsiTheme="minorHAnsi" w:cstheme="minorHAnsi"/>
          <w:szCs w:val="24"/>
        </w:rPr>
        <w:t xml:space="preserve"> Operators and network owners invest in their network infrastructure to deliver services to end user. This means investing considerably in appropriate and evolving technology. OTT services on the other hand, do not invest in these networks built by operators to enable end-user access to services. </w:t>
      </w:r>
    </w:p>
    <w:p w14:paraId="2779DA83" w14:textId="77777777" w:rsidR="00B91770" w:rsidRPr="00F25670" w:rsidRDefault="00B91770" w:rsidP="00B91770">
      <w:pPr>
        <w:tabs>
          <w:tab w:val="clear" w:pos="567"/>
          <w:tab w:val="clear" w:pos="1134"/>
          <w:tab w:val="clear" w:pos="1701"/>
          <w:tab w:val="clear" w:pos="2268"/>
          <w:tab w:val="clear" w:pos="2835"/>
        </w:tabs>
        <w:overflowPunct/>
        <w:autoSpaceDE/>
        <w:autoSpaceDN/>
        <w:adjustRightInd/>
        <w:spacing w:after="120"/>
        <w:ind w:left="284" w:right="337"/>
        <w:jc w:val="both"/>
        <w:textAlignment w:val="auto"/>
        <w:rPr>
          <w:rFonts w:asciiTheme="minorHAnsi" w:eastAsia="Calibri" w:hAnsiTheme="minorHAnsi" w:cstheme="minorHAnsi"/>
          <w:b/>
          <w:szCs w:val="24"/>
          <w:u w:val="single"/>
        </w:rPr>
      </w:pPr>
      <w:r w:rsidRPr="00F25670">
        <w:rPr>
          <w:rFonts w:asciiTheme="minorHAnsi" w:eastAsia="Calibri" w:hAnsiTheme="minorHAnsi" w:cstheme="minorHAnsi"/>
          <w:b/>
          <w:szCs w:val="24"/>
          <w:u w:val="single"/>
        </w:rPr>
        <w:t xml:space="preserve">Potential Impact of Unregulated OTT Services: </w:t>
      </w:r>
    </w:p>
    <w:p w14:paraId="62430CB6" w14:textId="77777777" w:rsidR="00B91770" w:rsidRPr="00F25670" w:rsidRDefault="00B91770" w:rsidP="00B91770">
      <w:pPr>
        <w:numPr>
          <w:ilvl w:val="0"/>
          <w:numId w:val="16"/>
        </w:numPr>
        <w:tabs>
          <w:tab w:val="clear" w:pos="567"/>
          <w:tab w:val="clear" w:pos="1134"/>
          <w:tab w:val="clear" w:pos="1701"/>
          <w:tab w:val="clear" w:pos="2268"/>
          <w:tab w:val="clear" w:pos="2835"/>
        </w:tabs>
        <w:overflowPunct/>
        <w:autoSpaceDE/>
        <w:autoSpaceDN/>
        <w:adjustRightInd/>
        <w:spacing w:after="120"/>
        <w:ind w:left="1134" w:right="337" w:hanging="567"/>
        <w:jc w:val="both"/>
        <w:textAlignment w:val="auto"/>
        <w:rPr>
          <w:rFonts w:asciiTheme="minorHAnsi" w:eastAsia="Calibri" w:hAnsiTheme="minorHAnsi" w:cstheme="minorHAnsi"/>
          <w:szCs w:val="24"/>
        </w:rPr>
      </w:pPr>
      <w:r w:rsidRPr="00F25670">
        <w:rPr>
          <w:rFonts w:asciiTheme="minorHAnsi" w:eastAsia="Calibri" w:hAnsiTheme="minorHAnsi" w:cstheme="minorHAnsi"/>
          <w:b/>
          <w:szCs w:val="24"/>
        </w:rPr>
        <w:t xml:space="preserve">Security Issues: </w:t>
      </w:r>
      <w:proofErr w:type="gramStart"/>
      <w:r w:rsidRPr="00F25670">
        <w:rPr>
          <w:rFonts w:asciiTheme="minorHAnsi" w:eastAsia="Calibri" w:hAnsiTheme="minorHAnsi" w:cstheme="minorHAnsi"/>
          <w:szCs w:val="24"/>
        </w:rPr>
        <w:t>A number of</w:t>
      </w:r>
      <w:proofErr w:type="gramEnd"/>
      <w:r w:rsidRPr="00F25670">
        <w:rPr>
          <w:rFonts w:asciiTheme="minorHAnsi" w:eastAsia="Calibri" w:hAnsiTheme="minorHAnsi" w:cstheme="minorHAnsi"/>
          <w:szCs w:val="24"/>
        </w:rPr>
        <w:t xml:space="preserve"> OTT solutions do not support encryption which means attackers have easy access. Also, being unencrypted, confidential information can be easily </w:t>
      </w:r>
      <w:proofErr w:type="gramStart"/>
      <w:r w:rsidRPr="00F25670">
        <w:rPr>
          <w:rFonts w:asciiTheme="minorHAnsi" w:eastAsia="Calibri" w:hAnsiTheme="minorHAnsi" w:cstheme="minorHAnsi"/>
          <w:szCs w:val="24"/>
        </w:rPr>
        <w:t>accessed;</w:t>
      </w:r>
      <w:proofErr w:type="gramEnd"/>
      <w:r w:rsidRPr="00F25670">
        <w:rPr>
          <w:rFonts w:asciiTheme="minorHAnsi" w:eastAsia="Calibri" w:hAnsiTheme="minorHAnsi" w:cstheme="minorHAnsi"/>
          <w:szCs w:val="24"/>
        </w:rPr>
        <w:t xml:space="preserve"> </w:t>
      </w:r>
    </w:p>
    <w:p w14:paraId="414B7D61" w14:textId="77777777" w:rsidR="00B91770" w:rsidRPr="00F25670" w:rsidRDefault="00B91770" w:rsidP="00B91770">
      <w:pPr>
        <w:numPr>
          <w:ilvl w:val="0"/>
          <w:numId w:val="16"/>
        </w:numPr>
        <w:tabs>
          <w:tab w:val="clear" w:pos="567"/>
          <w:tab w:val="clear" w:pos="1134"/>
          <w:tab w:val="clear" w:pos="1701"/>
          <w:tab w:val="clear" w:pos="2268"/>
          <w:tab w:val="clear" w:pos="2835"/>
        </w:tabs>
        <w:overflowPunct/>
        <w:autoSpaceDE/>
        <w:autoSpaceDN/>
        <w:adjustRightInd/>
        <w:spacing w:after="120"/>
        <w:ind w:left="1134" w:right="337" w:hanging="567"/>
        <w:jc w:val="both"/>
        <w:textAlignment w:val="auto"/>
        <w:rPr>
          <w:rFonts w:asciiTheme="minorHAnsi" w:eastAsia="Calibri" w:hAnsiTheme="minorHAnsi" w:cstheme="minorHAnsi"/>
          <w:szCs w:val="24"/>
        </w:rPr>
      </w:pPr>
      <w:r w:rsidRPr="00F25670">
        <w:rPr>
          <w:rFonts w:asciiTheme="minorHAnsi" w:eastAsia="Calibri" w:hAnsiTheme="minorHAnsi" w:cstheme="minorHAnsi"/>
          <w:b/>
          <w:szCs w:val="24"/>
        </w:rPr>
        <w:t>Privacy Issues:</w:t>
      </w:r>
      <w:r w:rsidRPr="00F25670">
        <w:rPr>
          <w:rFonts w:asciiTheme="minorHAnsi" w:eastAsia="Calibri" w:hAnsiTheme="minorHAnsi" w:cstheme="minorHAnsi"/>
          <w:szCs w:val="24"/>
        </w:rPr>
        <w:t xml:space="preserve"> Some OTT services collect users’ private information for commercial gains without making the customer fully aware of the exact details. There is also lack of thorough check on risk assessment and vulnerability levels of applications developed for the OTT market. It is to be noted that these OTT services have difficulties to fact check articles / comments posted by their users due to the language used.</w:t>
      </w:r>
    </w:p>
    <w:p w14:paraId="0815D539" w14:textId="77777777" w:rsidR="00B91770" w:rsidRPr="00F25670" w:rsidRDefault="00B91770" w:rsidP="00B91770">
      <w:pPr>
        <w:numPr>
          <w:ilvl w:val="0"/>
          <w:numId w:val="16"/>
        </w:numPr>
        <w:tabs>
          <w:tab w:val="clear" w:pos="567"/>
          <w:tab w:val="clear" w:pos="1134"/>
          <w:tab w:val="clear" w:pos="1701"/>
          <w:tab w:val="clear" w:pos="2268"/>
          <w:tab w:val="clear" w:pos="2835"/>
        </w:tabs>
        <w:overflowPunct/>
        <w:autoSpaceDE/>
        <w:autoSpaceDN/>
        <w:adjustRightInd/>
        <w:spacing w:after="120"/>
        <w:ind w:left="1134" w:right="337" w:hanging="567"/>
        <w:jc w:val="both"/>
        <w:textAlignment w:val="auto"/>
        <w:rPr>
          <w:rFonts w:asciiTheme="minorHAnsi" w:eastAsia="Calibri" w:hAnsiTheme="minorHAnsi" w:cstheme="minorHAnsi"/>
          <w:szCs w:val="24"/>
        </w:rPr>
      </w:pPr>
      <w:r w:rsidRPr="00F25670">
        <w:rPr>
          <w:rFonts w:asciiTheme="minorHAnsi" w:eastAsia="Calibri" w:hAnsiTheme="minorHAnsi" w:cstheme="minorHAnsi"/>
          <w:b/>
          <w:szCs w:val="24"/>
        </w:rPr>
        <w:t>National Economy:</w:t>
      </w:r>
      <w:r w:rsidRPr="00F25670">
        <w:rPr>
          <w:rFonts w:asciiTheme="minorHAnsi" w:eastAsia="Calibri" w:hAnsiTheme="minorHAnsi" w:cstheme="minorHAnsi"/>
          <w:szCs w:val="24"/>
        </w:rPr>
        <w:t xml:space="preserve"> OTT providers are mostly subject to taxes in the country of incorporation. However, they are providing cross border services all the time. A clear tax regime to make them subject to taxation in the country they are providing services, can benefit the national economy.</w:t>
      </w:r>
    </w:p>
    <w:p w14:paraId="7B17033C" w14:textId="77777777" w:rsidR="00B91770" w:rsidRPr="00F25670" w:rsidRDefault="00B91770" w:rsidP="00B91770">
      <w:pPr>
        <w:tabs>
          <w:tab w:val="clear" w:pos="567"/>
          <w:tab w:val="clear" w:pos="1134"/>
          <w:tab w:val="clear" w:pos="1701"/>
          <w:tab w:val="clear" w:pos="2268"/>
          <w:tab w:val="clear" w:pos="2835"/>
        </w:tabs>
        <w:overflowPunct/>
        <w:autoSpaceDE/>
        <w:autoSpaceDN/>
        <w:adjustRightInd/>
        <w:spacing w:after="120"/>
        <w:ind w:left="284" w:right="337"/>
        <w:jc w:val="both"/>
        <w:textAlignment w:val="auto"/>
        <w:rPr>
          <w:rFonts w:asciiTheme="minorHAnsi" w:eastAsia="Calibri" w:hAnsiTheme="minorHAnsi" w:cstheme="minorHAnsi"/>
          <w:szCs w:val="24"/>
        </w:rPr>
      </w:pPr>
      <w:r w:rsidRPr="00F25670">
        <w:rPr>
          <w:rFonts w:asciiTheme="minorHAnsi" w:eastAsia="Calibri" w:hAnsiTheme="minorHAnsi" w:cstheme="minorHAnsi"/>
          <w:szCs w:val="24"/>
        </w:rPr>
        <w:t>In this view, Mauritius would wish to call upon assistance from the ITU Membership to study and recommend the most suitable models for regulating OTT services across borders.</w:t>
      </w:r>
    </w:p>
    <w:p w14:paraId="14629A32" w14:textId="77777777" w:rsidR="00B91770" w:rsidRPr="00F25670" w:rsidRDefault="00B91770" w:rsidP="002D252C">
      <w:pPr>
        <w:numPr>
          <w:ilvl w:val="0"/>
          <w:numId w:val="12"/>
        </w:numPr>
        <w:tabs>
          <w:tab w:val="clear" w:pos="567"/>
          <w:tab w:val="clear" w:pos="1134"/>
          <w:tab w:val="clear" w:pos="1701"/>
          <w:tab w:val="clear" w:pos="2268"/>
          <w:tab w:val="clear" w:pos="2835"/>
        </w:tabs>
        <w:overflowPunct/>
        <w:autoSpaceDE/>
        <w:autoSpaceDN/>
        <w:adjustRightInd/>
        <w:spacing w:before="360" w:after="120"/>
        <w:ind w:left="284" w:hanging="284"/>
        <w:jc w:val="both"/>
        <w:textAlignment w:val="auto"/>
        <w:rPr>
          <w:rFonts w:asciiTheme="minorHAnsi" w:eastAsia="Calibri" w:hAnsiTheme="minorHAnsi" w:cstheme="minorHAnsi"/>
          <w:b/>
          <w:szCs w:val="24"/>
        </w:rPr>
      </w:pPr>
      <w:r w:rsidRPr="00F25670">
        <w:rPr>
          <w:rFonts w:asciiTheme="minorHAnsi" w:eastAsia="Calibri" w:hAnsiTheme="minorHAnsi" w:cstheme="minorHAnsi"/>
          <w:b/>
          <w:szCs w:val="24"/>
        </w:rPr>
        <w:t>Section 2.8.6: Mobilising New Solutions for Connectivity</w:t>
      </w:r>
    </w:p>
    <w:p w14:paraId="25C235D9" w14:textId="77777777" w:rsidR="00B91770" w:rsidRPr="00F25670" w:rsidRDefault="00B91770" w:rsidP="00B91770">
      <w:pPr>
        <w:tabs>
          <w:tab w:val="clear" w:pos="567"/>
          <w:tab w:val="clear" w:pos="1134"/>
          <w:tab w:val="clear" w:pos="1701"/>
          <w:tab w:val="clear" w:pos="2268"/>
          <w:tab w:val="clear" w:pos="2835"/>
        </w:tabs>
        <w:overflowPunct/>
        <w:autoSpaceDE/>
        <w:autoSpaceDN/>
        <w:adjustRightInd/>
        <w:spacing w:after="120"/>
        <w:ind w:left="284"/>
        <w:jc w:val="both"/>
        <w:textAlignment w:val="auto"/>
        <w:rPr>
          <w:rFonts w:asciiTheme="minorHAnsi" w:eastAsia="Calibri" w:hAnsiTheme="minorHAnsi" w:cstheme="minorHAnsi"/>
          <w:szCs w:val="24"/>
        </w:rPr>
      </w:pPr>
      <w:r w:rsidRPr="00F25670">
        <w:rPr>
          <w:rFonts w:asciiTheme="minorHAnsi" w:eastAsia="Calibri" w:hAnsiTheme="minorHAnsi" w:cstheme="minorHAnsi"/>
          <w:szCs w:val="24"/>
        </w:rPr>
        <w:t xml:space="preserve">The Covid – 19 Pandemic has highlighted the necessity of connectivity and has proved that connecting everyone is more crucial than ever. Leveraging ICTs is a critical component of socioeconomic </w:t>
      </w:r>
      <w:proofErr w:type="gramStart"/>
      <w:r w:rsidRPr="00F25670">
        <w:rPr>
          <w:rFonts w:asciiTheme="minorHAnsi" w:eastAsia="Calibri" w:hAnsiTheme="minorHAnsi" w:cstheme="minorHAnsi"/>
          <w:szCs w:val="24"/>
        </w:rPr>
        <w:t>recovery</w:t>
      </w:r>
      <w:proofErr w:type="gramEnd"/>
      <w:r w:rsidRPr="00F25670">
        <w:rPr>
          <w:rFonts w:asciiTheme="minorHAnsi" w:eastAsia="Calibri" w:hAnsiTheme="minorHAnsi" w:cstheme="minorHAnsi"/>
          <w:szCs w:val="24"/>
        </w:rPr>
        <w:t xml:space="preserve"> and it is proposed that the report also holds a section on this as it is critical in speeding progress toward the SDGs.</w:t>
      </w:r>
    </w:p>
    <w:p w14:paraId="40975FDC" w14:textId="18DA943E" w:rsidR="00CF134B" w:rsidRPr="00F25670" w:rsidRDefault="00CF134B" w:rsidP="006848DD">
      <w:pPr>
        <w:spacing w:before="840"/>
        <w:jc w:val="center"/>
        <w:rPr>
          <w:rFonts w:asciiTheme="minorHAnsi" w:hAnsiTheme="minorHAnsi" w:cstheme="minorHAnsi"/>
        </w:rPr>
      </w:pPr>
      <w:r w:rsidRPr="00F25670">
        <w:rPr>
          <w:rFonts w:asciiTheme="minorHAnsi" w:hAnsiTheme="minorHAnsi" w:cstheme="minorHAnsi"/>
        </w:rPr>
        <w:t>_______________</w:t>
      </w:r>
    </w:p>
    <w:sectPr w:rsidR="00CF134B" w:rsidRPr="00F25670" w:rsidSect="004D1851">
      <w:head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493F" w14:textId="77777777" w:rsidR="00793188" w:rsidRDefault="00793188">
      <w:r>
        <w:separator/>
      </w:r>
    </w:p>
  </w:endnote>
  <w:endnote w:type="continuationSeparator" w:id="0">
    <w:p w14:paraId="64D9C322" w14:textId="77777777" w:rsidR="00793188" w:rsidRDefault="0079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CDDD" w14:textId="1AE638E6" w:rsidR="00322D0D" w:rsidRPr="001B4EEF" w:rsidRDefault="00322D0D" w:rsidP="0042360C">
    <w:pPr>
      <w:spacing w:before="0"/>
      <w:jc w:val="center"/>
      <w:rPr>
        <w:sz w:val="22"/>
        <w:szCs w:val="22"/>
      </w:rPr>
    </w:pPr>
    <w:r w:rsidRPr="001B4EEF">
      <w:rPr>
        <w:sz w:val="22"/>
        <w:szCs w:val="22"/>
      </w:rPr>
      <w:t xml:space="preserve">• </w:t>
    </w:r>
    <w:hyperlink r:id="rId1" w:history="1">
      <w:r w:rsidR="001815DC" w:rsidRPr="001B4EEF">
        <w:rPr>
          <w:rStyle w:val="Hyperlink"/>
          <w:sz w:val="22"/>
          <w:szCs w:val="22"/>
        </w:rPr>
        <w:t>http://www.itu.int/WTPF</w:t>
      </w:r>
    </w:hyperlink>
    <w:r w:rsidRPr="001B4EEF">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29A2" w14:textId="77777777" w:rsidR="00793188" w:rsidRDefault="00793188">
      <w:r>
        <w:t>____________________</w:t>
      </w:r>
    </w:p>
  </w:footnote>
  <w:footnote w:type="continuationSeparator" w:id="0">
    <w:p w14:paraId="69A82C43" w14:textId="77777777" w:rsidR="00793188" w:rsidRDefault="00793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C43F" w14:textId="4ED6D407" w:rsidR="00322D0D" w:rsidRDefault="006535F1" w:rsidP="00CE433C">
    <w:pPr>
      <w:pStyle w:val="Header"/>
    </w:pPr>
    <w:r>
      <w:fldChar w:fldCharType="begin"/>
    </w:r>
    <w:r>
      <w:instrText>PAGE</w:instrText>
    </w:r>
    <w:r>
      <w:fldChar w:fldCharType="separate"/>
    </w:r>
    <w:r w:rsidR="00D338E0">
      <w:rPr>
        <w:noProof/>
      </w:rPr>
      <w:t>2</w:t>
    </w:r>
    <w:r>
      <w:rPr>
        <w:noProof/>
      </w:rPr>
      <w:fldChar w:fldCharType="end"/>
    </w:r>
    <w:r w:rsidR="00CA113D">
      <w:rPr>
        <w:noProof/>
      </w:rPr>
      <w:t>/</w:t>
    </w:r>
    <w:r w:rsidR="00CA113D">
      <w:rPr>
        <w:noProof/>
      </w:rPr>
      <w:fldChar w:fldCharType="begin"/>
    </w:r>
    <w:r w:rsidR="00CA113D">
      <w:rPr>
        <w:noProof/>
      </w:rPr>
      <w:instrText xml:space="preserve"> NUMPAGES   \* MERGEFORMAT </w:instrText>
    </w:r>
    <w:r w:rsidR="00CA113D">
      <w:rPr>
        <w:noProof/>
      </w:rPr>
      <w:fldChar w:fldCharType="separate"/>
    </w:r>
    <w:r w:rsidR="00CA113D">
      <w:rPr>
        <w:noProof/>
      </w:rPr>
      <w:t>2</w:t>
    </w:r>
    <w:r w:rsidR="00CA113D">
      <w:rPr>
        <w:noProof/>
      </w:rPr>
      <w:fldChar w:fldCharType="end"/>
    </w:r>
  </w:p>
  <w:p w14:paraId="34EC98F4" w14:textId="2571E91E" w:rsidR="00322D0D" w:rsidRPr="00623AE3" w:rsidRDefault="00EC5B70" w:rsidP="00D338E0">
    <w:pPr>
      <w:pStyle w:val="Header"/>
      <w:rPr>
        <w:bCs/>
      </w:rPr>
    </w:pPr>
    <w:r>
      <w:rPr>
        <w:bCs/>
      </w:rPr>
      <w:t>WTPF</w:t>
    </w:r>
    <w:r w:rsidR="001B4EEF">
      <w:rPr>
        <w:bCs/>
      </w:rPr>
      <w:t>-21</w:t>
    </w:r>
    <w:r w:rsidR="00623AE3" w:rsidRPr="00F56668">
      <w:rPr>
        <w:bCs/>
      </w:rPr>
      <w:t>/</w:t>
    </w:r>
    <w:r w:rsidR="00F25670">
      <w:rPr>
        <w:bCs/>
      </w:rPr>
      <w:t>4</w:t>
    </w:r>
    <w:r w:rsidR="00623AE3" w:rsidRPr="00F56668">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2A7B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831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4434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E2DF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6081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2C14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06E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B0D5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9E40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1C2F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DB4D98"/>
    <w:multiLevelType w:val="hybridMultilevel"/>
    <w:tmpl w:val="98627BEE"/>
    <w:lvl w:ilvl="0" w:tplc="940ADB06">
      <w:start w:val="1"/>
      <w:numFmt w:val="lowerRoman"/>
      <w:lvlText w:val="(%1)"/>
      <w:lvlJc w:val="left"/>
      <w:pPr>
        <w:ind w:left="568"/>
      </w:pPr>
      <w:rPr>
        <w:rFonts w:hint="default"/>
        <w:b w:val="0"/>
        <w:i w:val="0"/>
        <w:strike w:val="0"/>
        <w:dstrike w:val="0"/>
        <w:color w:val="000000"/>
        <w:sz w:val="22"/>
        <w:szCs w:val="22"/>
        <w:u w:val="none" w:color="000000"/>
        <w:bdr w:val="none" w:sz="0" w:space="0" w:color="auto"/>
        <w:shd w:val="clear" w:color="auto" w:fill="auto"/>
        <w:vertAlign w:val="baseline"/>
      </w:rPr>
    </w:lvl>
    <w:lvl w:ilvl="1" w:tplc="B448C894">
      <w:start w:val="1"/>
      <w:numFmt w:val="bullet"/>
      <w:lvlText w:val="o"/>
      <w:lvlJc w:val="left"/>
      <w:pPr>
        <w:ind w:left="2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36498C">
      <w:start w:val="1"/>
      <w:numFmt w:val="bullet"/>
      <w:lvlText w:val="▪"/>
      <w:lvlJc w:val="left"/>
      <w:pPr>
        <w:ind w:left="3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781F38">
      <w:start w:val="1"/>
      <w:numFmt w:val="bullet"/>
      <w:lvlText w:val="•"/>
      <w:lvlJc w:val="left"/>
      <w:pPr>
        <w:ind w:left="4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A426CE">
      <w:start w:val="1"/>
      <w:numFmt w:val="bullet"/>
      <w:lvlText w:val="o"/>
      <w:lvlJc w:val="left"/>
      <w:pPr>
        <w:ind w:left="4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1649BE">
      <w:start w:val="1"/>
      <w:numFmt w:val="bullet"/>
      <w:lvlText w:val="▪"/>
      <w:lvlJc w:val="left"/>
      <w:pPr>
        <w:ind w:left="5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128BBC">
      <w:start w:val="1"/>
      <w:numFmt w:val="bullet"/>
      <w:lvlText w:val="•"/>
      <w:lvlJc w:val="left"/>
      <w:pPr>
        <w:ind w:left="6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B0657C">
      <w:start w:val="1"/>
      <w:numFmt w:val="bullet"/>
      <w:lvlText w:val="o"/>
      <w:lvlJc w:val="left"/>
      <w:pPr>
        <w:ind w:left="7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2E138C">
      <w:start w:val="1"/>
      <w:numFmt w:val="bullet"/>
      <w:lvlText w:val="▪"/>
      <w:lvlJc w:val="left"/>
      <w:pPr>
        <w:ind w:left="7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FAF2AF5"/>
    <w:multiLevelType w:val="hybridMultilevel"/>
    <w:tmpl w:val="2B1E6D56"/>
    <w:lvl w:ilvl="0" w:tplc="940ADB0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205EFC"/>
    <w:multiLevelType w:val="hybridMultilevel"/>
    <w:tmpl w:val="70EA2BF2"/>
    <w:lvl w:ilvl="0" w:tplc="72B064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78708E"/>
    <w:multiLevelType w:val="hybridMultilevel"/>
    <w:tmpl w:val="966E8B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E465C1"/>
    <w:multiLevelType w:val="hybridMultilevel"/>
    <w:tmpl w:val="98627BEE"/>
    <w:lvl w:ilvl="0" w:tplc="940ADB06">
      <w:start w:val="1"/>
      <w:numFmt w:val="lowerRoman"/>
      <w:lvlText w:val="(%1)"/>
      <w:lvlJc w:val="left"/>
      <w:pPr>
        <w:ind w:left="710"/>
      </w:pPr>
      <w:rPr>
        <w:rFonts w:hint="default"/>
        <w:b w:val="0"/>
        <w:i w:val="0"/>
        <w:strike w:val="0"/>
        <w:dstrike w:val="0"/>
        <w:color w:val="000000"/>
        <w:sz w:val="22"/>
        <w:szCs w:val="22"/>
        <w:u w:val="none" w:color="000000"/>
        <w:bdr w:val="none" w:sz="0" w:space="0" w:color="auto"/>
        <w:shd w:val="clear" w:color="auto" w:fill="auto"/>
        <w:vertAlign w:val="baseline"/>
      </w:rPr>
    </w:lvl>
    <w:lvl w:ilvl="1" w:tplc="B448C894">
      <w:start w:val="1"/>
      <w:numFmt w:val="bullet"/>
      <w:lvlText w:val="o"/>
      <w:lvlJc w:val="left"/>
      <w:pPr>
        <w:ind w:left="2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36498C">
      <w:start w:val="1"/>
      <w:numFmt w:val="bullet"/>
      <w:lvlText w:val="▪"/>
      <w:lvlJc w:val="left"/>
      <w:pPr>
        <w:ind w:left="3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781F38">
      <w:start w:val="1"/>
      <w:numFmt w:val="bullet"/>
      <w:lvlText w:val="•"/>
      <w:lvlJc w:val="left"/>
      <w:pPr>
        <w:ind w:left="4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A426CE">
      <w:start w:val="1"/>
      <w:numFmt w:val="bullet"/>
      <w:lvlText w:val="o"/>
      <w:lvlJc w:val="left"/>
      <w:pPr>
        <w:ind w:left="4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1649BE">
      <w:start w:val="1"/>
      <w:numFmt w:val="bullet"/>
      <w:lvlText w:val="▪"/>
      <w:lvlJc w:val="left"/>
      <w:pPr>
        <w:ind w:left="5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128BBC">
      <w:start w:val="1"/>
      <w:numFmt w:val="bullet"/>
      <w:lvlText w:val="•"/>
      <w:lvlJc w:val="left"/>
      <w:pPr>
        <w:ind w:left="6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B0657C">
      <w:start w:val="1"/>
      <w:numFmt w:val="bullet"/>
      <w:lvlText w:val="o"/>
      <w:lvlJc w:val="left"/>
      <w:pPr>
        <w:ind w:left="7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2E138C">
      <w:start w:val="1"/>
      <w:numFmt w:val="bullet"/>
      <w:lvlText w:val="▪"/>
      <w:lvlJc w:val="left"/>
      <w:pPr>
        <w:ind w:left="7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EFB2652"/>
    <w:multiLevelType w:val="hybridMultilevel"/>
    <w:tmpl w:val="BA608220"/>
    <w:lvl w:ilvl="0" w:tplc="62E2D4E2">
      <w:start w:val="1"/>
      <w:numFmt w:val="decimal"/>
      <w:lvlText w:val="%1."/>
      <w:lvlJc w:val="left"/>
      <w:pPr>
        <w:ind w:left="36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4"/>
  </w:num>
  <w:num w:numId="14">
    <w:abstractNumId w:val="1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69"/>
    <w:rsid w:val="000210D4"/>
    <w:rsid w:val="00063016"/>
    <w:rsid w:val="00066795"/>
    <w:rsid w:val="00076AF6"/>
    <w:rsid w:val="00085CF2"/>
    <w:rsid w:val="000B1705"/>
    <w:rsid w:val="000D75B2"/>
    <w:rsid w:val="001121F5"/>
    <w:rsid w:val="001400DC"/>
    <w:rsid w:val="00140CE1"/>
    <w:rsid w:val="0017539C"/>
    <w:rsid w:val="00175AC2"/>
    <w:rsid w:val="0017609F"/>
    <w:rsid w:val="001815DC"/>
    <w:rsid w:val="001B4EEF"/>
    <w:rsid w:val="001C628E"/>
    <w:rsid w:val="001E0F7B"/>
    <w:rsid w:val="002119FD"/>
    <w:rsid w:val="002130E0"/>
    <w:rsid w:val="00264425"/>
    <w:rsid w:val="00265875"/>
    <w:rsid w:val="0027303B"/>
    <w:rsid w:val="0028109B"/>
    <w:rsid w:val="002A2188"/>
    <w:rsid w:val="002B1F58"/>
    <w:rsid w:val="002C1C7A"/>
    <w:rsid w:val="002D252C"/>
    <w:rsid w:val="0030160F"/>
    <w:rsid w:val="00322D0D"/>
    <w:rsid w:val="0033210C"/>
    <w:rsid w:val="003942D4"/>
    <w:rsid w:val="003958A8"/>
    <w:rsid w:val="003C2533"/>
    <w:rsid w:val="0040435A"/>
    <w:rsid w:val="00416A24"/>
    <w:rsid w:val="0042360C"/>
    <w:rsid w:val="00431D9E"/>
    <w:rsid w:val="00433CE8"/>
    <w:rsid w:val="00434A5C"/>
    <w:rsid w:val="004544D9"/>
    <w:rsid w:val="00490E72"/>
    <w:rsid w:val="00491157"/>
    <w:rsid w:val="004921C8"/>
    <w:rsid w:val="004D1851"/>
    <w:rsid w:val="004D599D"/>
    <w:rsid w:val="004E2EA5"/>
    <w:rsid w:val="004E3AEB"/>
    <w:rsid w:val="0050223C"/>
    <w:rsid w:val="005243FF"/>
    <w:rsid w:val="00557268"/>
    <w:rsid w:val="00564FBC"/>
    <w:rsid w:val="00582442"/>
    <w:rsid w:val="005F3269"/>
    <w:rsid w:val="00623AE3"/>
    <w:rsid w:val="0064737F"/>
    <w:rsid w:val="006535F1"/>
    <w:rsid w:val="0065557D"/>
    <w:rsid w:val="00662984"/>
    <w:rsid w:val="006716BB"/>
    <w:rsid w:val="006848DD"/>
    <w:rsid w:val="006B6680"/>
    <w:rsid w:val="006B6DCC"/>
    <w:rsid w:val="00702DEF"/>
    <w:rsid w:val="00706861"/>
    <w:rsid w:val="00722181"/>
    <w:rsid w:val="00740FE3"/>
    <w:rsid w:val="0075051B"/>
    <w:rsid w:val="007865CB"/>
    <w:rsid w:val="00793188"/>
    <w:rsid w:val="00794D34"/>
    <w:rsid w:val="00813E5E"/>
    <w:rsid w:val="0083581B"/>
    <w:rsid w:val="00864AFF"/>
    <w:rsid w:val="008B4A6A"/>
    <w:rsid w:val="008C7E27"/>
    <w:rsid w:val="009173EF"/>
    <w:rsid w:val="00932906"/>
    <w:rsid w:val="00961B0B"/>
    <w:rsid w:val="009B38C3"/>
    <w:rsid w:val="009E17BD"/>
    <w:rsid w:val="009E485A"/>
    <w:rsid w:val="009F66A3"/>
    <w:rsid w:val="00A04CEC"/>
    <w:rsid w:val="00A27F92"/>
    <w:rsid w:val="00A32257"/>
    <w:rsid w:val="00A36D20"/>
    <w:rsid w:val="00A55622"/>
    <w:rsid w:val="00A83502"/>
    <w:rsid w:val="00A8382F"/>
    <w:rsid w:val="00A93619"/>
    <w:rsid w:val="00AC47C8"/>
    <w:rsid w:val="00AD15B3"/>
    <w:rsid w:val="00AD39A0"/>
    <w:rsid w:val="00AF6E49"/>
    <w:rsid w:val="00B04A67"/>
    <w:rsid w:val="00B0583C"/>
    <w:rsid w:val="00B40A81"/>
    <w:rsid w:val="00B44910"/>
    <w:rsid w:val="00B72267"/>
    <w:rsid w:val="00B76EB6"/>
    <w:rsid w:val="00B771D4"/>
    <w:rsid w:val="00B7737B"/>
    <w:rsid w:val="00B824C8"/>
    <w:rsid w:val="00B91770"/>
    <w:rsid w:val="00BC251A"/>
    <w:rsid w:val="00BD032B"/>
    <w:rsid w:val="00BE2640"/>
    <w:rsid w:val="00C01189"/>
    <w:rsid w:val="00C374DE"/>
    <w:rsid w:val="00C47AD4"/>
    <w:rsid w:val="00C52D81"/>
    <w:rsid w:val="00C55198"/>
    <w:rsid w:val="00CA113D"/>
    <w:rsid w:val="00CA6393"/>
    <w:rsid w:val="00CB18FF"/>
    <w:rsid w:val="00CD0C08"/>
    <w:rsid w:val="00CE03FB"/>
    <w:rsid w:val="00CE433C"/>
    <w:rsid w:val="00CF134B"/>
    <w:rsid w:val="00CF33F3"/>
    <w:rsid w:val="00CF5A9F"/>
    <w:rsid w:val="00D06183"/>
    <w:rsid w:val="00D22C42"/>
    <w:rsid w:val="00D338E0"/>
    <w:rsid w:val="00D65041"/>
    <w:rsid w:val="00D8774A"/>
    <w:rsid w:val="00DB384B"/>
    <w:rsid w:val="00DE4373"/>
    <w:rsid w:val="00E10E80"/>
    <w:rsid w:val="00E124F0"/>
    <w:rsid w:val="00E60F04"/>
    <w:rsid w:val="00E854E4"/>
    <w:rsid w:val="00EA2120"/>
    <w:rsid w:val="00EB0D6F"/>
    <w:rsid w:val="00EB2232"/>
    <w:rsid w:val="00EC5337"/>
    <w:rsid w:val="00EC5B70"/>
    <w:rsid w:val="00F2150A"/>
    <w:rsid w:val="00F231D8"/>
    <w:rsid w:val="00F25670"/>
    <w:rsid w:val="00F46C5F"/>
    <w:rsid w:val="00F56668"/>
    <w:rsid w:val="00F94A63"/>
    <w:rsid w:val="00FA1C28"/>
    <w:rsid w:val="00FB1279"/>
    <w:rsid w:val="00FB17F4"/>
    <w:rsid w:val="00FB7596"/>
    <w:rsid w:val="00FC7333"/>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E04E449"/>
  <w15:docId w15:val="{A767549E-D165-4988-9E2E-E5CFDB3A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NoSpacing">
    <w:name w:val="No Spacing"/>
    <w:uiPriority w:val="1"/>
    <w:qFormat/>
    <w:rsid w:val="00CF5A9F"/>
    <w:rPr>
      <w:rFonts w:asciiTheme="minorHAnsi" w:eastAsiaTheme="minorHAnsi" w:hAnsiTheme="minorHAnsi" w:cstheme="minorBidi"/>
      <w:sz w:val="22"/>
      <w:szCs w:val="22"/>
      <w:lang w:eastAsia="en-US"/>
    </w:rPr>
  </w:style>
  <w:style w:type="paragraph" w:customStyle="1" w:styleId="Default">
    <w:name w:val="Default"/>
    <w:rsid w:val="00CF134B"/>
    <w:pPr>
      <w:autoSpaceDE w:val="0"/>
      <w:autoSpaceDN w:val="0"/>
      <w:adjustRightInd w:val="0"/>
    </w:pPr>
    <w:rPr>
      <w:rFonts w:ascii="Calibri" w:eastAsiaTheme="minorHAnsi" w:hAnsi="Calibri" w:cs="Calibri"/>
      <w:color w:val="000000"/>
      <w:sz w:val="24"/>
      <w:szCs w:val="24"/>
      <w:lang w:eastAsia="en-US"/>
    </w:rPr>
  </w:style>
  <w:style w:type="character" w:customStyle="1" w:styleId="FootnoteTextChar">
    <w:name w:val="Footnote Text Char"/>
    <w:basedOn w:val="DefaultParagraphFont"/>
    <w:link w:val="FootnoteText"/>
    <w:uiPriority w:val="99"/>
    <w:rsid w:val="00CF134B"/>
    <w:rPr>
      <w:rFonts w:ascii="Calibri" w:hAnsi="Calibri"/>
      <w:sz w:val="24"/>
      <w:lang w:val="en-GB" w:eastAsia="en-US"/>
    </w:rPr>
  </w:style>
  <w:style w:type="character" w:styleId="UnresolvedMention">
    <w:name w:val="Unresolved Mention"/>
    <w:basedOn w:val="DefaultParagraphFont"/>
    <w:uiPriority w:val="99"/>
    <w:semiHidden/>
    <w:unhideWhenUsed/>
    <w:rsid w:val="00684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itu.int/WTP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4963E-0BE0-44B2-8BB2-30F542775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1067</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Contribution from the Republic of Mauritius on the sixth draft of the ITU Secretary General's Report</vt:lpstr>
    </vt:vector>
  </TitlesOfParts>
  <Manager>General Secretariat - Pool</Manager>
  <Company>International Telecommunication Union (ITU)</Company>
  <LinksUpToDate>false</LinksUpToDate>
  <CharactersWithSpaces>6766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from the Republic of Mauritius on the sixth draft of the ITU Secretary General's Report</dc:title>
  <dc:subject>WTPF</dc:subject>
  <dc:creator/>
  <cp:keywords>WTPF-21</cp:keywords>
  <dc:description/>
  <cp:lastModifiedBy>Brouard, Ricarda</cp:lastModifiedBy>
  <cp:revision>5</cp:revision>
  <cp:lastPrinted>2000-07-18T13:30:00Z</cp:lastPrinted>
  <dcterms:created xsi:type="dcterms:W3CDTF">2021-11-30T15:01:00Z</dcterms:created>
  <dcterms:modified xsi:type="dcterms:W3CDTF">2021-12-01T12:00:00Z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