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543"/>
        <w:gridCol w:w="284"/>
        <w:gridCol w:w="4536"/>
      </w:tblGrid>
      <w:tr w:rsidR="00A86A44" w:rsidRPr="00DA4E56" w14:paraId="28E0F3EF" w14:textId="77777777" w:rsidTr="00B330B7">
        <w:tc>
          <w:tcPr>
            <w:tcW w:w="9889" w:type="dxa"/>
            <w:gridSpan w:val="4"/>
            <w:shd w:val="clear" w:color="auto" w:fill="auto"/>
          </w:tcPr>
          <w:p w14:paraId="17A4D08A" w14:textId="77777777" w:rsidR="00A86A44" w:rsidRPr="00DA4E56" w:rsidRDefault="001965B0" w:rsidP="00B330B7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  <w:bookmarkStart w:id="0" w:name="_Hlk82159463"/>
            <w:r w:rsidRPr="00DA4E56">
              <w:rPr>
                <w:rFonts w:cs="Times New Roman Bold"/>
                <w:b/>
                <w:bCs/>
                <w:color w:val="808080"/>
                <w:sz w:val="28"/>
                <w:szCs w:val="20"/>
                <w:lang w:val="es-ES"/>
              </w:rPr>
              <w:t>Secretaría General (SG)</w:t>
            </w:r>
          </w:p>
        </w:tc>
      </w:tr>
      <w:tr w:rsidR="00A86A44" w:rsidRPr="00DA4E56" w14:paraId="2ABD3EF8" w14:textId="77777777" w:rsidTr="00B330B7">
        <w:tc>
          <w:tcPr>
            <w:tcW w:w="9889" w:type="dxa"/>
            <w:gridSpan w:val="4"/>
            <w:shd w:val="clear" w:color="auto" w:fill="auto"/>
          </w:tcPr>
          <w:p w14:paraId="58FADB55" w14:textId="77777777" w:rsidR="00A86A44" w:rsidRPr="00DA4E56" w:rsidRDefault="00A86A44" w:rsidP="00AB1A59">
            <w:pPr>
              <w:spacing w:before="0"/>
              <w:jc w:val="left"/>
              <w:rPr>
                <w:lang w:val="es-ES"/>
              </w:rPr>
            </w:pPr>
          </w:p>
        </w:tc>
      </w:tr>
      <w:tr w:rsidR="00A86A44" w:rsidRPr="00DA4E56" w14:paraId="2BA8A558" w14:textId="77777777" w:rsidTr="00B330B7">
        <w:tc>
          <w:tcPr>
            <w:tcW w:w="5353" w:type="dxa"/>
            <w:gridSpan w:val="3"/>
            <w:shd w:val="clear" w:color="auto" w:fill="auto"/>
          </w:tcPr>
          <w:p w14:paraId="7029677E" w14:textId="77777777" w:rsidR="00A86A44" w:rsidRPr="00DA4E56" w:rsidRDefault="00A86A44" w:rsidP="002F4AA9">
            <w:pPr>
              <w:spacing w:before="120"/>
              <w:jc w:val="left"/>
              <w:rPr>
                <w:lang w:val="es-ES"/>
              </w:rPr>
            </w:pPr>
          </w:p>
        </w:tc>
        <w:tc>
          <w:tcPr>
            <w:tcW w:w="4536" w:type="dxa"/>
            <w:shd w:val="clear" w:color="auto" w:fill="auto"/>
          </w:tcPr>
          <w:p w14:paraId="7F744C86" w14:textId="5239F654" w:rsidR="00A86A44" w:rsidRPr="00DA4E56" w:rsidRDefault="00A07919" w:rsidP="0095312B">
            <w:pPr>
              <w:spacing w:before="120"/>
              <w:ind w:right="57"/>
              <w:jc w:val="left"/>
              <w:rPr>
                <w:lang w:val="es-ES"/>
              </w:rPr>
            </w:pPr>
            <w:r w:rsidRPr="00A07919">
              <w:rPr>
                <w:lang w:val="es-ES"/>
              </w:rPr>
              <w:t>Ginebra, 1 de septiembre de 2021</w:t>
            </w:r>
          </w:p>
        </w:tc>
      </w:tr>
      <w:tr w:rsidR="001965B0" w:rsidRPr="00DA4E56" w14:paraId="68026695" w14:textId="77777777" w:rsidTr="00196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BF3C3" w14:textId="38A51627" w:rsidR="001965B0" w:rsidRPr="0087626D" w:rsidRDefault="001965B0" w:rsidP="00AB1A59">
            <w:pPr>
              <w:spacing w:before="0"/>
              <w:jc w:val="left"/>
              <w:rPr>
                <w:lang w:val="es-ES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37507" w14:textId="1045A691" w:rsidR="001965B0" w:rsidRPr="00AB1A59" w:rsidRDefault="001965B0" w:rsidP="00AB1A59">
            <w:pPr>
              <w:spacing w:before="0"/>
              <w:jc w:val="left"/>
              <w:rPr>
                <w:lang w:val="es-ES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4D6AAE" w14:textId="77777777" w:rsidR="001965B0" w:rsidRPr="00A335BC" w:rsidRDefault="00A335BC" w:rsidP="00A335BC">
            <w:pPr>
              <w:spacing w:before="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A los </w:t>
            </w:r>
            <w:r w:rsidR="001965B0" w:rsidRPr="00DA4E56">
              <w:rPr>
                <w:lang w:val="es-ES"/>
              </w:rPr>
              <w:t>Estados Miembros de la UIT</w:t>
            </w:r>
          </w:p>
        </w:tc>
      </w:tr>
      <w:tr w:rsidR="001965B0" w:rsidRPr="00DA4E56" w14:paraId="43DCC7C3" w14:textId="77777777" w:rsidTr="0072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64602" w14:textId="304F9AA7" w:rsidR="001965B0" w:rsidRPr="0087626D" w:rsidRDefault="00AB1A59" w:rsidP="00AB1A59">
            <w:pPr>
              <w:spacing w:before="20" w:after="20"/>
              <w:jc w:val="left"/>
              <w:rPr>
                <w:iCs/>
                <w:lang w:val="es-ES"/>
              </w:rPr>
            </w:pPr>
            <w:r w:rsidRPr="0087626D">
              <w:rPr>
                <w:lang w:val="es-ES"/>
              </w:rPr>
              <w:t>Ref.: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89970" w14:textId="5B13C9CA" w:rsidR="001965B0" w:rsidRPr="00DA4E56" w:rsidRDefault="00AB1A59" w:rsidP="00AB1A59">
            <w:pPr>
              <w:spacing w:before="20" w:after="20"/>
              <w:jc w:val="left"/>
              <w:rPr>
                <w:lang w:val="es-ES"/>
              </w:rPr>
            </w:pPr>
            <w:r w:rsidRPr="00DD674A">
              <w:rPr>
                <w:b/>
                <w:bCs/>
                <w:lang w:val="es-ES"/>
              </w:rPr>
              <w:t>CL-21/037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327F0" w14:textId="77777777" w:rsidR="001965B0" w:rsidRPr="00DA4E56" w:rsidRDefault="001965B0" w:rsidP="00AB1A59">
            <w:pPr>
              <w:spacing w:before="20" w:after="20"/>
              <w:rPr>
                <w:lang w:val="es-ES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20229E" w14:textId="77777777" w:rsidR="001965B0" w:rsidRPr="00DA4E56" w:rsidRDefault="001965B0" w:rsidP="001965B0">
            <w:pPr>
              <w:spacing w:before="0"/>
              <w:jc w:val="center"/>
              <w:rPr>
                <w:lang w:val="es-ES"/>
              </w:rPr>
            </w:pPr>
          </w:p>
        </w:tc>
      </w:tr>
      <w:tr w:rsidR="004C4F80" w:rsidRPr="00DA4E56" w14:paraId="52E66A49" w14:textId="77777777" w:rsidTr="0072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85ECE" w14:textId="4A7FAD8A" w:rsidR="004C4F80" w:rsidRPr="0087626D" w:rsidRDefault="00AB1A59" w:rsidP="00AB1A59">
            <w:pPr>
              <w:spacing w:before="20" w:after="20"/>
              <w:jc w:val="left"/>
              <w:rPr>
                <w:rFonts w:cs="Arial"/>
                <w:iCs/>
                <w:lang w:val="es-ES"/>
              </w:rPr>
            </w:pPr>
            <w:r w:rsidRPr="0087626D">
              <w:rPr>
                <w:rFonts w:cs="Arial"/>
                <w:iCs/>
                <w:lang w:val="es-ES"/>
              </w:rPr>
              <w:t>Contacto</w:t>
            </w:r>
            <w:r w:rsidRPr="0087626D">
              <w:rPr>
                <w:iCs/>
                <w:lang w:val="es-ES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9CBF1" w14:textId="3FFC387E" w:rsidR="004C4F80" w:rsidRPr="00DA4E56" w:rsidRDefault="00AB1A59" w:rsidP="00AB1A59">
            <w:pPr>
              <w:spacing w:before="20" w:after="20"/>
              <w:jc w:val="left"/>
              <w:rPr>
                <w:lang w:val="es-ES"/>
              </w:rPr>
            </w:pPr>
            <w:r w:rsidRPr="00DD674A">
              <w:rPr>
                <w:lang w:val="es-ES"/>
              </w:rPr>
              <w:t>Sra. Béatrice Pluchon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1C4DA" w14:textId="77777777" w:rsidR="004C4F80" w:rsidRPr="00DA4E56" w:rsidRDefault="004C4F80" w:rsidP="00AB1A59">
            <w:pPr>
              <w:spacing w:before="20" w:after="20"/>
              <w:rPr>
                <w:lang w:val="es-ES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C9B30B" w14:textId="77777777" w:rsidR="004C4F80" w:rsidRPr="00DA4E56" w:rsidRDefault="004C4F80" w:rsidP="001965B0">
            <w:pPr>
              <w:spacing w:before="0"/>
              <w:jc w:val="center"/>
              <w:rPr>
                <w:lang w:val="es-ES"/>
              </w:rPr>
            </w:pPr>
          </w:p>
        </w:tc>
      </w:tr>
      <w:tr w:rsidR="004B18C5" w:rsidRPr="00DA4E56" w14:paraId="230E5DC5" w14:textId="77777777" w:rsidTr="0072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862AF" w14:textId="55280A82" w:rsidR="004B18C5" w:rsidRPr="0087626D" w:rsidRDefault="00AB1A59" w:rsidP="00AB1A59">
            <w:pPr>
              <w:spacing w:before="20" w:after="20"/>
              <w:jc w:val="left"/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Teléfono: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ED08E" w14:textId="45A1EF42" w:rsidR="004B18C5" w:rsidRPr="00DA4E56" w:rsidRDefault="00AB1A59" w:rsidP="00AB1A59">
            <w:pPr>
              <w:spacing w:before="20" w:after="20"/>
              <w:jc w:val="left"/>
              <w:rPr>
                <w:lang w:val="es-ES"/>
              </w:rPr>
            </w:pPr>
            <w:r w:rsidRPr="00DD674A">
              <w:rPr>
                <w:lang w:val="es-ES"/>
              </w:rPr>
              <w:t>+41 22 730 6266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3B086" w14:textId="77777777" w:rsidR="004B18C5" w:rsidRPr="00DA4E56" w:rsidRDefault="004B18C5" w:rsidP="00AB1A59">
            <w:pPr>
              <w:spacing w:before="20" w:after="20"/>
              <w:rPr>
                <w:lang w:val="es-ES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27F5D3" w14:textId="77777777" w:rsidR="004B18C5" w:rsidRPr="00DA4E56" w:rsidRDefault="004B18C5" w:rsidP="001965B0">
            <w:pPr>
              <w:spacing w:before="0"/>
              <w:jc w:val="center"/>
              <w:rPr>
                <w:lang w:val="es-ES"/>
              </w:rPr>
            </w:pPr>
          </w:p>
        </w:tc>
      </w:tr>
      <w:tr w:rsidR="001965B0" w:rsidRPr="00DA4E56" w14:paraId="4F18AD29" w14:textId="77777777" w:rsidTr="0072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0184B" w14:textId="2FD83756" w:rsidR="001965B0" w:rsidRPr="0087626D" w:rsidRDefault="00AB1A59" w:rsidP="00AB1A59">
            <w:pPr>
              <w:spacing w:before="20" w:after="20"/>
              <w:jc w:val="left"/>
              <w:rPr>
                <w:iCs/>
                <w:lang w:val="es-ES"/>
              </w:rPr>
            </w:pPr>
            <w:r w:rsidRPr="0087626D">
              <w:rPr>
                <w:rFonts w:cs="Arial"/>
                <w:iCs/>
                <w:lang w:val="es-ES"/>
              </w:rPr>
              <w:t>Correo-e</w:t>
            </w:r>
            <w:r w:rsidRPr="0087626D">
              <w:rPr>
                <w:iCs/>
                <w:lang w:val="es-ES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0EB42" w14:textId="76C4A16A" w:rsidR="001965B0" w:rsidRPr="00DA4E56" w:rsidRDefault="001C430C" w:rsidP="00AB1A59">
            <w:pPr>
              <w:spacing w:before="20" w:after="20"/>
              <w:jc w:val="left"/>
              <w:rPr>
                <w:lang w:val="es-ES"/>
              </w:rPr>
            </w:pPr>
            <w:hyperlink r:id="rId8" w:history="1">
              <w:r w:rsidR="00AB1A59" w:rsidRPr="00D9586F">
                <w:rPr>
                  <w:rStyle w:val="Hyperlink"/>
                  <w:lang w:val="es-ES"/>
                </w:rPr>
                <w:t>memberstates@itu.int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E201D" w14:textId="77777777" w:rsidR="001965B0" w:rsidRPr="00DA4E56" w:rsidRDefault="001965B0" w:rsidP="00AB1A59">
            <w:pPr>
              <w:spacing w:before="20" w:after="20"/>
              <w:rPr>
                <w:lang w:val="es-ES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52C9E8" w14:textId="77777777" w:rsidR="001965B0" w:rsidRPr="00DA4E56" w:rsidRDefault="001965B0" w:rsidP="00B330B7">
            <w:pPr>
              <w:spacing w:before="0"/>
              <w:rPr>
                <w:lang w:val="es-ES"/>
              </w:rPr>
            </w:pPr>
          </w:p>
        </w:tc>
      </w:tr>
      <w:tr w:rsidR="00A86A44" w:rsidRPr="00DA4E56" w14:paraId="70A3BAF3" w14:textId="77777777" w:rsidTr="00FD5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6F090" w14:textId="77777777" w:rsidR="00A86A44" w:rsidRPr="0087626D" w:rsidRDefault="004C4F80" w:rsidP="002F4AA9">
            <w:pPr>
              <w:spacing w:before="120" w:after="40"/>
              <w:jc w:val="left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>Asunto</w:t>
            </w:r>
            <w:r w:rsidR="00A86A44" w:rsidRPr="0087626D">
              <w:rPr>
                <w:iCs/>
                <w:lang w:val="es-ES"/>
              </w:rPr>
              <w:t>: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79E61" w14:textId="18008FFD" w:rsidR="00A86A44" w:rsidRPr="003B6B45" w:rsidRDefault="00DD674A" w:rsidP="002F4AA9">
            <w:pPr>
              <w:spacing w:before="120" w:after="40"/>
              <w:jc w:val="left"/>
              <w:rPr>
                <w:b/>
                <w:bCs/>
                <w:lang w:val="es-ES"/>
              </w:rPr>
            </w:pPr>
            <w:r w:rsidRPr="00DD674A">
              <w:rPr>
                <w:b/>
                <w:bCs/>
                <w:lang w:val="es-ES"/>
              </w:rPr>
              <w:t>Consulta a los Estados Miembros acerca de las fechas de la Conferencia Mundial de Radiocomunicaciones (CMR-23) y de la Asamblea de Radiocomunicaciones (AR-23)</w:t>
            </w:r>
          </w:p>
        </w:tc>
      </w:tr>
    </w:tbl>
    <w:p w14:paraId="5447FE5A" w14:textId="77777777" w:rsidR="001965B0" w:rsidRPr="00482AB8" w:rsidRDefault="001965B0" w:rsidP="00F004E2">
      <w:pPr>
        <w:pStyle w:val="Normalaftertitle"/>
        <w:spacing w:before="360"/>
      </w:pPr>
      <w:r w:rsidRPr="00482AB8">
        <w:t>Muy Señora mía/Muy Señor mío:</w:t>
      </w:r>
    </w:p>
    <w:p w14:paraId="17689531" w14:textId="5FB29D52" w:rsidR="00597C67" w:rsidRPr="00597C67" w:rsidRDefault="00597C67" w:rsidP="00597C67">
      <w:pPr>
        <w:rPr>
          <w:lang w:val="es-ES"/>
        </w:rPr>
      </w:pPr>
      <w:bookmarkStart w:id="1" w:name="_Hlk79668702"/>
      <w:r w:rsidRPr="00597C67">
        <w:rPr>
          <w:lang w:val="es-ES"/>
        </w:rPr>
        <w:t xml:space="preserve">Una vez conocidos los resultados de la consulta entre los Estados Miembros del Consejo sobre las conclusiones de los debates sostenidos en la </w:t>
      </w:r>
      <w:r w:rsidR="00CC2534">
        <w:rPr>
          <w:lang w:val="es-ES"/>
        </w:rPr>
        <w:t>c</w:t>
      </w:r>
      <w:r w:rsidRPr="00597C67">
        <w:rPr>
          <w:lang w:val="es-ES"/>
        </w:rPr>
        <w:t xml:space="preserve">onsulta </w:t>
      </w:r>
      <w:r w:rsidR="00CC2534">
        <w:rPr>
          <w:lang w:val="es-ES"/>
        </w:rPr>
        <w:t>v</w:t>
      </w:r>
      <w:r w:rsidRPr="00597C67">
        <w:rPr>
          <w:lang w:val="es-ES"/>
        </w:rPr>
        <w:t xml:space="preserve">irtual de los </w:t>
      </w:r>
      <w:r w:rsidR="00CC2534">
        <w:rPr>
          <w:lang w:val="es-ES"/>
        </w:rPr>
        <w:t>c</w:t>
      </w:r>
      <w:r w:rsidRPr="00597C67">
        <w:rPr>
          <w:lang w:val="es-ES"/>
        </w:rPr>
        <w:t>onsejeros de 2021, comunicad</w:t>
      </w:r>
      <w:r w:rsidR="00CC2534">
        <w:rPr>
          <w:lang w:val="es-ES"/>
        </w:rPr>
        <w:t>o</w:t>
      </w:r>
      <w:r w:rsidRPr="00597C67">
        <w:rPr>
          <w:lang w:val="es-ES"/>
        </w:rPr>
        <w:t>s en la</w:t>
      </w:r>
      <w:r w:rsidR="00755802">
        <w:rPr>
          <w:lang w:val="es-ES"/>
        </w:rPr>
        <w:t xml:space="preserve"> </w:t>
      </w:r>
      <w:hyperlink r:id="rId9" w:history="1">
        <w:r w:rsidRPr="001229FB">
          <w:rPr>
            <w:rStyle w:val="Hyperlink"/>
            <w:lang w:val="es-ES"/>
          </w:rPr>
          <w:t>DM-21/1017</w:t>
        </w:r>
      </w:hyperlink>
      <w:r w:rsidRPr="00597C67">
        <w:rPr>
          <w:lang w:val="es-ES"/>
        </w:rPr>
        <w:t xml:space="preserve">, me complace informarle de que el Consejo ha adoptado el Acuerdo 623, Lugar y fechas de la Conferencia Mundial de Radiocomunicaciones (CMR-23) y la Asamblea de Radiocomunicaciones (AR-23), que se reproduce en el </w:t>
      </w:r>
      <w:hyperlink w:anchor="Annex2" w:history="1">
        <w:r w:rsidRPr="00597C67">
          <w:rPr>
            <w:rStyle w:val="Hyperlink"/>
            <w:b/>
            <w:bCs/>
            <w:lang w:val="es-ES"/>
          </w:rPr>
          <w:t>Anexo 2</w:t>
        </w:r>
      </w:hyperlink>
      <w:r w:rsidRPr="00597C67">
        <w:rPr>
          <w:lang w:val="es-ES"/>
        </w:rPr>
        <w:t>.</w:t>
      </w:r>
    </w:p>
    <w:p w14:paraId="22302D1A" w14:textId="201CFBC2" w:rsidR="00597C67" w:rsidRPr="00597C67" w:rsidRDefault="00597C67" w:rsidP="00597C67">
      <w:pPr>
        <w:rPr>
          <w:lang w:val="es-ES"/>
        </w:rPr>
      </w:pPr>
      <w:r w:rsidRPr="00597C67">
        <w:rPr>
          <w:lang w:val="es-ES"/>
        </w:rPr>
        <w:t>Es necesario tomar una decisión definitiva a fin de que el país anfitrión pueda seleccionar el lugar de celebración de la Conferencia. Por consiguiente, de conformidad con el número</w:t>
      </w:r>
      <w:bookmarkEnd w:id="1"/>
      <w:r w:rsidRPr="00597C67">
        <w:rPr>
          <w:lang w:val="es-ES"/>
        </w:rPr>
        <w:t xml:space="preserve"> 42 del Convenio de la UIT, se invita a todos los Estados Miembros de la UIT a informar al Secretario General de su conformidad con las fechas especificadas en el Acuerdo 623 utilizando la </w:t>
      </w:r>
      <w:hyperlink r:id="rId10" w:history="1">
        <w:r w:rsidRPr="00494D0A">
          <w:rPr>
            <w:rStyle w:val="Hyperlink"/>
            <w:b/>
            <w:bCs/>
            <w:i/>
            <w:iCs/>
            <w:lang w:val="es-ES"/>
          </w:rPr>
          <w:t>herramienta en línea</w:t>
        </w:r>
      </w:hyperlink>
      <w:r w:rsidR="008A4E5C" w:rsidRPr="00494D0A">
        <w:rPr>
          <w:rStyle w:val="FootnoteReference"/>
          <w:lang w:val="fr-FR"/>
        </w:rPr>
        <w:footnoteReference w:customMarkFollows="1" w:id="1"/>
        <w:t>*</w:t>
      </w:r>
      <w:r w:rsidRPr="00597C67">
        <w:rPr>
          <w:lang w:val="es-ES"/>
        </w:rPr>
        <w:t xml:space="preserve"> o enviando cumplimentada la plantilla del </w:t>
      </w:r>
      <w:hyperlink w:anchor="Annex1" w:history="1">
        <w:r w:rsidR="00E93C8C" w:rsidRPr="00597C67">
          <w:rPr>
            <w:rStyle w:val="Hyperlink"/>
            <w:b/>
            <w:bCs/>
            <w:lang w:val="es-ES"/>
          </w:rPr>
          <w:t>Anexo</w:t>
        </w:r>
        <w:r w:rsidR="00E93C8C" w:rsidRPr="00E93C8C">
          <w:rPr>
            <w:rStyle w:val="Hyperlink"/>
            <w:b/>
            <w:bCs/>
            <w:lang w:val="es-ES"/>
          </w:rPr>
          <w:t> </w:t>
        </w:r>
        <w:r w:rsidR="00E93C8C" w:rsidRPr="00597C67">
          <w:rPr>
            <w:rStyle w:val="Hyperlink"/>
            <w:b/>
            <w:bCs/>
            <w:lang w:val="es-ES"/>
          </w:rPr>
          <w:t>1</w:t>
        </w:r>
      </w:hyperlink>
      <w:r w:rsidRPr="00597C67">
        <w:rPr>
          <w:lang w:val="es-ES"/>
        </w:rPr>
        <w:t xml:space="preserve"> por correo electrónico a </w:t>
      </w:r>
      <w:hyperlink r:id="rId11" w:history="1">
        <w:r w:rsidRPr="00597C67">
          <w:rPr>
            <w:rStyle w:val="Hyperlink"/>
            <w:lang w:val="es-ES"/>
          </w:rPr>
          <w:t>memberstates@itu.int</w:t>
        </w:r>
      </w:hyperlink>
      <w:r w:rsidRPr="00597C67">
        <w:rPr>
          <w:lang w:val="es-ES"/>
        </w:rPr>
        <w:t xml:space="preserve">, </w:t>
      </w:r>
      <w:r w:rsidRPr="00597C67">
        <w:rPr>
          <w:b/>
          <w:bCs/>
          <w:lang w:val="es-ES"/>
        </w:rPr>
        <w:t>a más tardar el 15 de octubre de 2021</w:t>
      </w:r>
      <w:r w:rsidRPr="00597C67">
        <w:rPr>
          <w:lang w:val="es-ES"/>
        </w:rPr>
        <w:t>.</w:t>
      </w:r>
    </w:p>
    <w:p w14:paraId="2D3F100B" w14:textId="786B733F" w:rsidR="00597C67" w:rsidRPr="00597C67" w:rsidRDefault="00597C67" w:rsidP="00597C67">
      <w:pPr>
        <w:rPr>
          <w:lang w:val="es-ES"/>
        </w:rPr>
      </w:pPr>
      <w:r w:rsidRPr="00597C67">
        <w:rPr>
          <w:lang w:val="es-ES"/>
        </w:rPr>
        <w:t xml:space="preserve">En caso de que su país ya haya respondido a la primera consulta remitida a través de la </w:t>
      </w:r>
      <w:hyperlink r:id="rId12" w:history="1">
        <w:r w:rsidRPr="00597C67">
          <w:rPr>
            <w:rStyle w:val="Hyperlink"/>
            <w:lang w:val="es-ES"/>
          </w:rPr>
          <w:t>DM-21\1016</w:t>
        </w:r>
      </w:hyperlink>
      <w:r w:rsidRPr="00597C67">
        <w:rPr>
          <w:lang w:val="es-ES"/>
        </w:rPr>
        <w:t xml:space="preserve"> a los Estados Miembros del Consejo, </w:t>
      </w:r>
      <w:r w:rsidRPr="00597C67">
        <w:rPr>
          <w:b/>
          <w:bCs/>
          <w:lang w:val="es-ES"/>
        </w:rPr>
        <w:t xml:space="preserve">su respuesta ya se ha registrado y también se considerará válida </w:t>
      </w:r>
      <w:r w:rsidRPr="00597C67">
        <w:rPr>
          <w:lang w:val="es-ES"/>
        </w:rPr>
        <w:t xml:space="preserve">respecto de la consulta a todos los Estados Miembros, salvo que el Consejero o el Coordinador de la Administración notifiquen lo contrario por correo-e a </w:t>
      </w:r>
      <w:hyperlink r:id="rId13" w:history="1">
        <w:r w:rsidRPr="00597C67">
          <w:rPr>
            <w:rStyle w:val="Hyperlink"/>
            <w:lang w:val="es-ES"/>
          </w:rPr>
          <w:t>memberstates@itu.int</w:t>
        </w:r>
      </w:hyperlink>
      <w:r w:rsidRPr="00597C67">
        <w:rPr>
          <w:lang w:val="es-ES"/>
        </w:rPr>
        <w:t xml:space="preserve">, sirviéndose también del formulario del </w:t>
      </w:r>
      <w:hyperlink w:anchor="Annex1" w:history="1">
        <w:r w:rsidRPr="004A601B">
          <w:rPr>
            <w:rStyle w:val="Hyperlink"/>
            <w:b/>
            <w:bCs/>
            <w:lang w:val="es-ES"/>
          </w:rPr>
          <w:t>Anexo</w:t>
        </w:r>
        <w:r w:rsidR="00A07919" w:rsidRPr="004A601B">
          <w:rPr>
            <w:rStyle w:val="Hyperlink"/>
            <w:b/>
            <w:bCs/>
            <w:lang w:val="es-ES"/>
          </w:rPr>
          <w:t> </w:t>
        </w:r>
        <w:r w:rsidRPr="004A601B">
          <w:rPr>
            <w:rStyle w:val="Hyperlink"/>
            <w:b/>
            <w:bCs/>
            <w:lang w:val="es-ES"/>
          </w:rPr>
          <w:t>1</w:t>
        </w:r>
      </w:hyperlink>
      <w:r w:rsidRPr="00597C67">
        <w:rPr>
          <w:lang w:val="es-ES"/>
        </w:rPr>
        <w:t>.</w:t>
      </w:r>
    </w:p>
    <w:p w14:paraId="68F5A91F" w14:textId="6757486A" w:rsidR="00EF43D4" w:rsidRDefault="00597C67" w:rsidP="00597C67">
      <w:r w:rsidRPr="00597C67">
        <w:rPr>
          <w:lang w:val="es-ES"/>
        </w:rPr>
        <w:t>Quedo a la espera de su respuesta.</w:t>
      </w:r>
    </w:p>
    <w:p w14:paraId="68AA1712" w14:textId="77777777" w:rsidR="001965B0" w:rsidRPr="00482AB8" w:rsidRDefault="004C4F80" w:rsidP="004B18C5">
      <w:r>
        <w:t>Atentamente</w:t>
      </w:r>
      <w:r w:rsidR="004B18C5" w:rsidRPr="004B18C5">
        <w:t>,</w:t>
      </w:r>
    </w:p>
    <w:p w14:paraId="6043F457" w14:textId="77777777" w:rsidR="005860CC" w:rsidRPr="00482AB8" w:rsidRDefault="005860CC" w:rsidP="002F4AA9">
      <w:pPr>
        <w:spacing w:before="240" w:after="240"/>
        <w:rPr>
          <w:i/>
          <w:iCs/>
        </w:rPr>
      </w:pPr>
      <w:r w:rsidRPr="00482AB8">
        <w:rPr>
          <w:i/>
          <w:iCs/>
        </w:rPr>
        <w:t>(firmado)</w:t>
      </w:r>
    </w:p>
    <w:p w14:paraId="2A018F8A" w14:textId="14ABE0F1" w:rsidR="00A86A44" w:rsidRDefault="001965B0" w:rsidP="00A07919">
      <w:pPr>
        <w:spacing w:before="120"/>
        <w:jc w:val="left"/>
      </w:pPr>
      <w:r w:rsidRPr="00482AB8">
        <w:t>Houlin ZHAO</w:t>
      </w:r>
      <w:r w:rsidR="00482AB8">
        <w:br/>
      </w:r>
      <w:proofErr w:type="gramStart"/>
      <w:r w:rsidRPr="00482AB8">
        <w:t>Secretario General</w:t>
      </w:r>
      <w:proofErr w:type="gramEnd"/>
    </w:p>
    <w:p w14:paraId="20E12AA9" w14:textId="61C11C7C" w:rsidR="00A07919" w:rsidRDefault="00A07919" w:rsidP="00F004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jc w:val="left"/>
        <w:textAlignment w:val="auto"/>
      </w:pPr>
      <w:r w:rsidRPr="00AB1A59">
        <w:rPr>
          <w:b/>
          <w:bCs/>
        </w:rPr>
        <w:t>Anexos</w:t>
      </w:r>
      <w:r w:rsidRPr="00A07919">
        <w:t>: 2</w:t>
      </w:r>
      <w:r>
        <w:br w:type="page"/>
      </w:r>
    </w:p>
    <w:p w14:paraId="311AB804" w14:textId="77777777" w:rsidR="00A07919" w:rsidRPr="008A4E5C" w:rsidRDefault="00A07919" w:rsidP="00791A91">
      <w:pPr>
        <w:pStyle w:val="AnnexNo"/>
        <w:rPr>
          <w:b/>
          <w:bCs/>
        </w:rPr>
      </w:pPr>
      <w:bookmarkStart w:id="2" w:name="Annex1"/>
      <w:r w:rsidRPr="008A4E5C">
        <w:rPr>
          <w:b/>
          <w:bCs/>
        </w:rPr>
        <w:lastRenderedPageBreak/>
        <w:t>ANEXO 1</w:t>
      </w:r>
    </w:p>
    <w:bookmarkEnd w:id="2"/>
    <w:p w14:paraId="69123F74" w14:textId="29B999C6" w:rsidR="00A07919" w:rsidRPr="00791A91" w:rsidRDefault="00A07919" w:rsidP="00791A91">
      <w:pPr>
        <w:pStyle w:val="Annextitle"/>
      </w:pPr>
      <w:r w:rsidRPr="00791A91">
        <w:t xml:space="preserve">Fechas de la Conferencia Mundial de Radiocomunicaciones (CMR-23) </w:t>
      </w:r>
      <w:r w:rsidR="008A4E5C">
        <w:br/>
      </w:r>
      <w:r w:rsidRPr="00791A91">
        <w:t>y de la Asamblea de Radiocomunicaciones (AR-23)</w:t>
      </w:r>
    </w:p>
    <w:p w14:paraId="7C192259" w14:textId="53606610" w:rsidR="00A07919" w:rsidRPr="00AB1A59" w:rsidRDefault="00A07919" w:rsidP="00AB1A59">
      <w:pPr>
        <w:pStyle w:val="Normalaftertitle"/>
        <w:spacing w:after="120"/>
        <w:rPr>
          <w:b/>
          <w:bCs/>
          <w:sz w:val="26"/>
          <w:szCs w:val="26"/>
          <w:lang w:val="es-ES"/>
        </w:rPr>
      </w:pPr>
      <w:r w:rsidRPr="00AB1A59">
        <w:rPr>
          <w:b/>
          <w:bCs/>
          <w:sz w:val="26"/>
          <w:szCs w:val="26"/>
          <w:lang w:val="es-ES"/>
        </w:rPr>
        <w:t>Nombre del Estado Miembro de la UIT:</w:t>
      </w:r>
    </w:p>
    <w:tbl>
      <w:tblPr>
        <w:tblStyle w:val="TableGrid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07919" w:rsidRPr="00A07919" w14:paraId="3812CC1B" w14:textId="77777777" w:rsidTr="00904BD0">
        <w:trPr>
          <w:trHeight w:val="510"/>
          <w:jc w:val="center"/>
        </w:trPr>
        <w:tc>
          <w:tcPr>
            <w:tcW w:w="10349" w:type="dxa"/>
            <w:vAlign w:val="center"/>
          </w:tcPr>
          <w:p w14:paraId="6B47AF09" w14:textId="77777777" w:rsidR="00A07919" w:rsidRPr="00AB1A59" w:rsidRDefault="00A07919" w:rsidP="00904BD0">
            <w:pPr>
              <w:rPr>
                <w:b/>
                <w:bCs/>
                <w:lang w:val="es-ES"/>
              </w:rPr>
            </w:pPr>
          </w:p>
        </w:tc>
      </w:tr>
    </w:tbl>
    <w:p w14:paraId="09BCBBFC" w14:textId="484C3F55" w:rsidR="00A07919" w:rsidRPr="00A07919" w:rsidRDefault="00A07919" w:rsidP="00AB1A59">
      <w:pPr>
        <w:pStyle w:val="Normalaftertitle"/>
        <w:rPr>
          <w:u w:val="single"/>
          <w:lang w:val="es-ES"/>
        </w:rPr>
      </w:pPr>
      <w:r w:rsidRPr="00A07919">
        <w:rPr>
          <w:lang w:val="es-ES"/>
        </w:rPr>
        <w:t xml:space="preserve">Acordamos que la próxima Conferencia Mundial de Radiocomunicaciones se celebre en Abu Dabi o Dubái </w:t>
      </w:r>
      <w:r w:rsidR="00CC2534">
        <w:rPr>
          <w:lang w:val="es-ES"/>
        </w:rPr>
        <w:t>(</w:t>
      </w:r>
      <w:r w:rsidRPr="00A07919">
        <w:rPr>
          <w:lang w:val="es-ES"/>
        </w:rPr>
        <w:t>Emiratos Árabes Unidos</w:t>
      </w:r>
      <w:r w:rsidR="00CC2534">
        <w:rPr>
          <w:lang w:val="es-ES"/>
        </w:rPr>
        <w:t>)</w:t>
      </w:r>
      <w:r w:rsidRPr="00A07919">
        <w:rPr>
          <w:lang w:val="es-ES"/>
        </w:rPr>
        <w:t xml:space="preserve">, del </w:t>
      </w:r>
      <w:r w:rsidRPr="00A07919">
        <w:rPr>
          <w:u w:val="single"/>
          <w:lang w:val="es-ES"/>
        </w:rPr>
        <w:t>20 de noviembre al 15 de diciembre de 2023</w:t>
      </w:r>
      <w:r w:rsidRPr="00A07919">
        <w:rPr>
          <w:lang w:val="es-ES"/>
        </w:rPr>
        <w:t xml:space="preserve">, precedida por la Asamblea de Radiocomunicaciones de 2023 (AR-23) del </w:t>
      </w:r>
      <w:r w:rsidRPr="00A07919">
        <w:rPr>
          <w:u w:val="single"/>
          <w:lang w:val="es-ES"/>
        </w:rPr>
        <w:t>13 al 17 de noviembre de 2023</w:t>
      </w:r>
      <w:r w:rsidRPr="00CC2534">
        <w:t>.</w:t>
      </w:r>
    </w:p>
    <w:p w14:paraId="7C6CED47" w14:textId="4A3C6DF0" w:rsidR="00A07919" w:rsidRPr="00A07919" w:rsidRDefault="00A07919" w:rsidP="00904BD0">
      <w:pPr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2694"/>
        </w:tabs>
        <w:spacing w:before="480"/>
        <w:jc w:val="left"/>
        <w:rPr>
          <w:lang w:val="es-ES"/>
        </w:rPr>
      </w:pPr>
      <w:r w:rsidRPr="00A07919">
        <w:rPr>
          <w:lang w:val="es-ES"/>
        </w:rPr>
        <w:t xml:space="preserve">Sí </w:t>
      </w:r>
      <w:r w:rsidR="00904BD0" w:rsidRPr="00AB1A59">
        <w:rPr>
          <w:lang w:val="es-ES"/>
        </w:rPr>
        <w:sym w:font="Wingdings 2" w:char="F0A3"/>
      </w:r>
      <w:r w:rsidRPr="00A07919">
        <w:rPr>
          <w:lang w:val="es-ES"/>
        </w:rPr>
        <w:tab/>
        <w:t xml:space="preserve">No </w:t>
      </w:r>
      <w:r w:rsidR="00904BD0" w:rsidRPr="00AB1A59">
        <w:rPr>
          <w:lang w:val="es-ES"/>
        </w:rPr>
        <w:sym w:font="Wingdings 2" w:char="F0A3"/>
      </w:r>
      <w:r w:rsidRPr="00A07919">
        <w:rPr>
          <w:lang w:val="es-ES"/>
        </w:rPr>
        <w:tab/>
        <w:t xml:space="preserve">Abstención </w:t>
      </w:r>
      <w:r w:rsidR="00904BD0" w:rsidRPr="00AB1A59">
        <w:rPr>
          <w:lang w:val="es-ES"/>
        </w:rPr>
        <w:sym w:font="Wingdings 2" w:char="F0A3"/>
      </w:r>
    </w:p>
    <w:p w14:paraId="620D7051" w14:textId="4E7F86A6" w:rsidR="00A07919" w:rsidRPr="00A07919" w:rsidRDefault="00A07919" w:rsidP="00AB1A59">
      <w:pPr>
        <w:pStyle w:val="Normalaftertitle"/>
        <w:rPr>
          <w:lang w:val="es-ES"/>
        </w:rPr>
      </w:pPr>
      <w:r w:rsidRPr="00A07919">
        <w:rPr>
          <w:lang w:val="es-ES"/>
        </w:rPr>
        <w:t xml:space="preserve">Se ruega a los coordinadores que tangan a bien responder utilizando la </w:t>
      </w:r>
      <w:hyperlink r:id="rId14" w:history="1">
        <w:r w:rsidRPr="00A07919">
          <w:rPr>
            <w:rStyle w:val="Hyperlink"/>
            <w:lang w:val="es-ES"/>
          </w:rPr>
          <w:t>herramienta en línea</w:t>
        </w:r>
      </w:hyperlink>
      <w:r w:rsidRPr="00A07919">
        <w:rPr>
          <w:lang w:val="es-ES"/>
        </w:rPr>
        <w:t xml:space="preserve"> o enviando cumplimentado este </w:t>
      </w:r>
      <w:r w:rsidR="00CC2534" w:rsidRPr="00A07919">
        <w:rPr>
          <w:lang w:val="es-ES"/>
        </w:rPr>
        <w:t xml:space="preserve">Anexo </w:t>
      </w:r>
      <w:r w:rsidRPr="00A07919">
        <w:rPr>
          <w:lang w:val="es-ES"/>
        </w:rPr>
        <w:t xml:space="preserve">por correo electrónico a </w:t>
      </w:r>
      <w:hyperlink r:id="rId15" w:history="1">
        <w:r w:rsidRPr="00A07919">
          <w:rPr>
            <w:rStyle w:val="Hyperlink"/>
            <w:lang w:val="es-ES"/>
          </w:rPr>
          <w:t>memberstates@itu.int</w:t>
        </w:r>
      </w:hyperlink>
      <w:r w:rsidRPr="00F004E2">
        <w:t>,</w:t>
      </w:r>
      <w:r w:rsidRPr="00A07919">
        <w:rPr>
          <w:lang w:val="es-ES"/>
        </w:rPr>
        <w:t xml:space="preserve"> </w:t>
      </w:r>
      <w:r w:rsidRPr="00A07919">
        <w:rPr>
          <w:b/>
          <w:bCs/>
          <w:lang w:val="es-ES"/>
        </w:rPr>
        <w:t>a más tar</w:t>
      </w:r>
      <w:r w:rsidR="00CC2534">
        <w:rPr>
          <w:b/>
          <w:bCs/>
          <w:lang w:val="es-ES"/>
        </w:rPr>
        <w:t>d</w:t>
      </w:r>
      <w:r w:rsidRPr="00A07919">
        <w:rPr>
          <w:b/>
          <w:bCs/>
          <w:lang w:val="es-ES"/>
        </w:rPr>
        <w:t>ar el 15 de octubre de</w:t>
      </w:r>
      <w:r w:rsidR="00AB1A59">
        <w:rPr>
          <w:b/>
          <w:bCs/>
          <w:lang w:val="es-ES"/>
        </w:rPr>
        <w:t> </w:t>
      </w:r>
      <w:r w:rsidRPr="00A07919">
        <w:rPr>
          <w:b/>
          <w:bCs/>
          <w:lang w:val="es-ES"/>
        </w:rPr>
        <w:t>2021</w:t>
      </w:r>
      <w:r w:rsidRPr="00A07919">
        <w:rPr>
          <w:lang w:val="es-ES"/>
        </w:rPr>
        <w:t>.</w:t>
      </w:r>
    </w:p>
    <w:p w14:paraId="389ABBA7" w14:textId="77777777" w:rsidR="00A07919" w:rsidRPr="00A07919" w:rsidRDefault="00A07919" w:rsidP="00A07919">
      <w:pPr>
        <w:spacing w:before="480"/>
        <w:jc w:val="left"/>
        <w:rPr>
          <w:lang w:val="es-ES"/>
        </w:rPr>
      </w:pPr>
      <w:r w:rsidRPr="00A07919">
        <w:rPr>
          <w:lang w:val="es-ES"/>
        </w:rPr>
        <w:br w:type="page"/>
      </w:r>
    </w:p>
    <w:p w14:paraId="231DC28C" w14:textId="77777777" w:rsidR="00A07919" w:rsidRPr="008A4E5C" w:rsidRDefault="00A07919" w:rsidP="00791A91">
      <w:pPr>
        <w:pStyle w:val="AnnexNo"/>
        <w:rPr>
          <w:b/>
          <w:bCs/>
        </w:rPr>
      </w:pPr>
      <w:bookmarkStart w:id="3" w:name="Annex2"/>
      <w:r w:rsidRPr="008A4E5C">
        <w:rPr>
          <w:b/>
          <w:bCs/>
        </w:rPr>
        <w:lastRenderedPageBreak/>
        <w:t>ANEXO 2</w:t>
      </w:r>
    </w:p>
    <w:p w14:paraId="47BD3646" w14:textId="77777777" w:rsidR="00A07919" w:rsidRPr="00A07919" w:rsidRDefault="00A07919" w:rsidP="00AB1A59">
      <w:pPr>
        <w:pStyle w:val="AnnexNo"/>
      </w:pPr>
      <w:bookmarkStart w:id="4" w:name="_Hlk79595965"/>
      <w:bookmarkEnd w:id="3"/>
      <w:r w:rsidRPr="00AB1A59">
        <w:t>ACUERDO 623</w:t>
      </w:r>
    </w:p>
    <w:p w14:paraId="40D7E4DC" w14:textId="13F38BBC" w:rsidR="00A07919" w:rsidRPr="00A07919" w:rsidRDefault="00AB1A59" w:rsidP="00AB1A59">
      <w:pPr>
        <w:pStyle w:val="AnnexNo"/>
        <w:spacing w:before="120"/>
      </w:pPr>
      <w:r w:rsidRPr="00A07919">
        <w:rPr>
          <w:caps w:val="0"/>
        </w:rPr>
        <w:t>(</w:t>
      </w:r>
      <w:r w:rsidRPr="00AB1A59">
        <w:rPr>
          <w:caps w:val="0"/>
        </w:rPr>
        <w:t>adoptado por correspondencia</w:t>
      </w:r>
      <w:r w:rsidRPr="00A07919">
        <w:rPr>
          <w:caps w:val="0"/>
        </w:rPr>
        <w:t>)</w:t>
      </w:r>
    </w:p>
    <w:p w14:paraId="3573A610" w14:textId="77777777" w:rsidR="00A07919" w:rsidRPr="00A07919" w:rsidRDefault="00A07919" w:rsidP="00AB1A59">
      <w:pPr>
        <w:pStyle w:val="Annextitle"/>
        <w:rPr>
          <w:lang w:val="es-ES"/>
        </w:rPr>
      </w:pPr>
      <w:r w:rsidRPr="00A07919">
        <w:rPr>
          <w:lang w:val="es-ES"/>
        </w:rPr>
        <w:t xml:space="preserve">Lugar y fechas de la Conferencia Mundial de Radiocomunicaciones </w:t>
      </w:r>
      <w:r w:rsidRPr="00A07919">
        <w:rPr>
          <w:lang w:val="es-ES"/>
        </w:rPr>
        <w:br/>
        <w:t>(CMR-23) y de la Asamblea de Radiocomunicaciones (AR-23)</w:t>
      </w:r>
    </w:p>
    <w:bookmarkEnd w:id="4"/>
    <w:p w14:paraId="30B67AFF" w14:textId="77777777" w:rsidR="00A07919" w:rsidRPr="00A07919" w:rsidRDefault="00A07919" w:rsidP="00A07919">
      <w:pPr>
        <w:pStyle w:val="Normalaftertitle"/>
        <w:rPr>
          <w:lang w:val="es-ES"/>
        </w:rPr>
      </w:pPr>
      <w:r w:rsidRPr="00A07919">
        <w:rPr>
          <w:lang w:val="es-ES"/>
        </w:rPr>
        <w:t>El Consejo de la UIT,</w:t>
      </w:r>
    </w:p>
    <w:p w14:paraId="6399518A" w14:textId="77777777" w:rsidR="00A07919" w:rsidRPr="00A07919" w:rsidRDefault="00A07919" w:rsidP="00A07919">
      <w:pPr>
        <w:pStyle w:val="Call"/>
        <w:rPr>
          <w:lang w:val="es-ES"/>
        </w:rPr>
      </w:pPr>
      <w:r w:rsidRPr="00A07919">
        <w:rPr>
          <w:lang w:val="es-ES"/>
        </w:rPr>
        <w:t>observando</w:t>
      </w:r>
    </w:p>
    <w:p w14:paraId="0BDA1139" w14:textId="77777777" w:rsidR="00A07919" w:rsidRPr="00A07919" w:rsidRDefault="00A07919" w:rsidP="00A07919">
      <w:pPr>
        <w:rPr>
          <w:lang w:val="es-ES"/>
        </w:rPr>
      </w:pPr>
      <w:r w:rsidRPr="00A07919">
        <w:rPr>
          <w:lang w:val="es-ES"/>
        </w:rPr>
        <w:t>que en la Resolución 811 de la Conferencia Mundial de Radiocomunicaciones (Sharm el-Sheikh, 2019):</w:t>
      </w:r>
    </w:p>
    <w:p w14:paraId="47D3755F" w14:textId="77777777" w:rsidR="00A07919" w:rsidRPr="00A07919" w:rsidRDefault="00A07919" w:rsidP="00A07919">
      <w:pPr>
        <w:rPr>
          <w:lang w:val="es-ES"/>
        </w:rPr>
      </w:pPr>
      <w:r w:rsidRPr="00A07919">
        <w:rPr>
          <w:i/>
          <w:iCs/>
          <w:lang w:val="es-ES"/>
        </w:rPr>
        <w:t>a)</w:t>
      </w:r>
      <w:r w:rsidRPr="00A07919">
        <w:rPr>
          <w:lang w:val="es-ES"/>
        </w:rPr>
        <w:tab/>
        <w:t>se resuelve recomendar al Consejo la celebración de una Conferencia Mundial de Radiocomunicaciones en 2023 con una duración máxima de cuatro semanas;</w:t>
      </w:r>
    </w:p>
    <w:p w14:paraId="164AAA29" w14:textId="77777777" w:rsidR="00A07919" w:rsidRPr="00A07919" w:rsidRDefault="00A07919" w:rsidP="00A07919">
      <w:pPr>
        <w:rPr>
          <w:lang w:val="es-ES"/>
        </w:rPr>
      </w:pPr>
      <w:r w:rsidRPr="00A07919">
        <w:rPr>
          <w:i/>
          <w:iCs/>
          <w:lang w:val="es-ES"/>
        </w:rPr>
        <w:t>b)</w:t>
      </w:r>
      <w:r w:rsidRPr="00A07919">
        <w:rPr>
          <w:lang w:val="es-ES"/>
        </w:rPr>
        <w:tab/>
        <w:t>se formulan recomendaciones sobre su orden del día, y se invita al Consejo a finalizar el orden del día, a tomar las disposiciones oportunas para convocar la Conferencia Mundial de Radiocomunicaciones de 2023 (CMR-23), y a iniciar lo antes posible las correspondientes consultas con los Estados Miembros,</w:t>
      </w:r>
    </w:p>
    <w:p w14:paraId="496EA8E8" w14:textId="77777777" w:rsidR="00A07919" w:rsidRPr="00A07919" w:rsidRDefault="00A07919" w:rsidP="00A07919">
      <w:pPr>
        <w:pStyle w:val="Call"/>
        <w:rPr>
          <w:lang w:val="es-ES"/>
        </w:rPr>
      </w:pPr>
      <w:proofErr w:type="gramStart"/>
      <w:r w:rsidRPr="00A07919">
        <w:rPr>
          <w:lang w:val="es-ES"/>
        </w:rPr>
        <w:t>observando</w:t>
      </w:r>
      <w:proofErr w:type="gramEnd"/>
      <w:r w:rsidRPr="00A07919">
        <w:rPr>
          <w:lang w:val="es-ES"/>
        </w:rPr>
        <w:t xml:space="preserve"> además</w:t>
      </w:r>
    </w:p>
    <w:p w14:paraId="3552A718" w14:textId="77777777" w:rsidR="00A07919" w:rsidRPr="00A07919" w:rsidRDefault="00A07919" w:rsidP="00A07919">
      <w:pPr>
        <w:rPr>
          <w:lang w:val="es-ES"/>
        </w:rPr>
      </w:pPr>
      <w:r w:rsidRPr="00A07919">
        <w:rPr>
          <w:lang w:val="es-ES"/>
        </w:rPr>
        <w:t>la Resolución 1399 del Consejo, por la que se establece el orden del día de la CMR-23 y que obtuvo el acuerdo de la mayoría necesaria de los Estados Miembros de la UIT,</w:t>
      </w:r>
    </w:p>
    <w:p w14:paraId="3EE12341" w14:textId="77777777" w:rsidR="00A07919" w:rsidRPr="00A07919" w:rsidRDefault="00A07919" w:rsidP="00A07919">
      <w:pPr>
        <w:pStyle w:val="Call"/>
        <w:rPr>
          <w:lang w:val="es-ES"/>
        </w:rPr>
      </w:pPr>
      <w:r w:rsidRPr="00A07919">
        <w:rPr>
          <w:lang w:val="es-ES"/>
        </w:rPr>
        <w:t>acuerda</w:t>
      </w:r>
    </w:p>
    <w:p w14:paraId="5E123ECA" w14:textId="77777777" w:rsidR="00A07919" w:rsidRPr="00A07919" w:rsidRDefault="00A07919" w:rsidP="00A07919">
      <w:pPr>
        <w:rPr>
          <w:lang w:val="es-ES"/>
        </w:rPr>
      </w:pPr>
      <w:r w:rsidRPr="00A07919">
        <w:rPr>
          <w:lang w:val="es-ES"/>
        </w:rPr>
        <w:t>que, a reserva de obtener el acuerdo de la mayoría de los Estados Miembros de la Unión, la próxima Conferencia Mundial de Radiocomunicaciones tendrá lugar en Abu Dabi o Dubái (Emiratos Árabes Unidos), del 20 de noviembre al 15 de diciembre de 2023, precedida por la Asamblea de Radiocomunicaciones de 2023 (AR-23), del 13 al 17 de noviembre de 2023,</w:t>
      </w:r>
    </w:p>
    <w:p w14:paraId="7CFFC4D7" w14:textId="77777777" w:rsidR="00A07919" w:rsidRPr="00A07919" w:rsidRDefault="00A07919" w:rsidP="00A07919">
      <w:pPr>
        <w:pStyle w:val="Call"/>
        <w:rPr>
          <w:lang w:val="es-ES"/>
        </w:rPr>
      </w:pPr>
      <w:r w:rsidRPr="00A07919">
        <w:rPr>
          <w:lang w:val="es-ES"/>
        </w:rPr>
        <w:t xml:space="preserve">encarga al </w:t>
      </w:r>
      <w:proofErr w:type="gramStart"/>
      <w:r w:rsidRPr="00A07919">
        <w:rPr>
          <w:lang w:val="es-ES"/>
        </w:rPr>
        <w:t>Secretario General</w:t>
      </w:r>
      <w:proofErr w:type="gramEnd"/>
    </w:p>
    <w:p w14:paraId="7B2F56CD" w14:textId="77777777" w:rsidR="00A07919" w:rsidRPr="00A07919" w:rsidRDefault="00A07919" w:rsidP="00A07919">
      <w:pPr>
        <w:rPr>
          <w:lang w:val="es-ES"/>
        </w:rPr>
      </w:pPr>
      <w:r w:rsidRPr="00A07919">
        <w:rPr>
          <w:lang w:val="es-ES"/>
        </w:rPr>
        <w:t>1</w:t>
      </w:r>
      <w:r w:rsidRPr="00A07919">
        <w:rPr>
          <w:lang w:val="es-ES"/>
        </w:rPr>
        <w:tab/>
        <w:t>consultar a los Estados Miembros sobre el lugar concreto y las fechas exactas de la AR-23 y la CMR</w:t>
      </w:r>
      <w:r w:rsidRPr="00A07919">
        <w:rPr>
          <w:lang w:val="es-ES"/>
        </w:rPr>
        <w:noBreakHyphen/>
        <w:t>23;</w:t>
      </w:r>
    </w:p>
    <w:p w14:paraId="6221E97C" w14:textId="77777777" w:rsidR="00A07919" w:rsidRPr="00A07919" w:rsidRDefault="00A07919" w:rsidP="00A07919">
      <w:pPr>
        <w:rPr>
          <w:lang w:val="es-ES"/>
        </w:rPr>
      </w:pPr>
      <w:r w:rsidRPr="00A07919">
        <w:rPr>
          <w:lang w:val="es-ES"/>
        </w:rPr>
        <w:t>2</w:t>
      </w:r>
      <w:r w:rsidRPr="00A07919">
        <w:rPr>
          <w:lang w:val="es-ES"/>
        </w:rPr>
        <w:tab/>
        <w:t xml:space="preserve">adoptar todas las disposiciones necesarias, de acuerdo con el </w:t>
      </w:r>
      <w:proofErr w:type="gramStart"/>
      <w:r w:rsidRPr="00A07919">
        <w:rPr>
          <w:lang w:val="es-ES"/>
        </w:rPr>
        <w:t>Director</w:t>
      </w:r>
      <w:proofErr w:type="gramEnd"/>
      <w:r w:rsidRPr="00A07919">
        <w:rPr>
          <w:lang w:val="es-ES"/>
        </w:rPr>
        <w:t xml:space="preserve"> de la Oficina de Radiocomunicaciones, para convocar la Conferencia.</w:t>
      </w:r>
    </w:p>
    <w:p w14:paraId="72419A9F" w14:textId="77777777" w:rsidR="00A07919" w:rsidRPr="00494D0A" w:rsidRDefault="00A07919" w:rsidP="00411C49">
      <w:pPr>
        <w:pStyle w:val="Reasons"/>
        <w:rPr>
          <w:lang w:val="fr-FR"/>
        </w:rPr>
      </w:pPr>
    </w:p>
    <w:p w14:paraId="01AE0DAB" w14:textId="75F66A7B" w:rsidR="00A07919" w:rsidRPr="00482AB8" w:rsidRDefault="00A07919" w:rsidP="00A07919">
      <w:pPr>
        <w:jc w:val="center"/>
      </w:pPr>
      <w:r>
        <w:t>______________</w:t>
      </w:r>
      <w:bookmarkEnd w:id="0"/>
    </w:p>
    <w:sectPr w:rsidR="00A07919" w:rsidRPr="00482AB8" w:rsidSect="005C6B83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871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992B" w14:textId="77777777" w:rsidR="001C430C" w:rsidRDefault="001C430C">
      <w:r>
        <w:separator/>
      </w:r>
    </w:p>
  </w:endnote>
  <w:endnote w:type="continuationSeparator" w:id="0">
    <w:p w14:paraId="7D0D70AF" w14:textId="77777777" w:rsidR="001C430C" w:rsidRDefault="001C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AD18" w14:textId="77777777" w:rsidR="00612D2E" w:rsidRPr="006F590F" w:rsidRDefault="00612D2E" w:rsidP="005860C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6F590F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6F590F">
      <w:rPr>
        <w:color w:val="3E8EDE"/>
        <w:sz w:val="18"/>
        <w:szCs w:val="18"/>
      </w:rPr>
      <w:t>Nations</w:t>
    </w:r>
    <w:proofErr w:type="spellEnd"/>
    <w:r w:rsidRPr="006F590F">
      <w:rPr>
        <w:color w:val="3E8EDE"/>
        <w:sz w:val="18"/>
        <w:szCs w:val="18"/>
      </w:rPr>
      <w:t>, CH</w:t>
    </w:r>
    <w:r w:rsidRPr="006F590F">
      <w:rPr>
        <w:color w:val="3E8EDE"/>
        <w:sz w:val="18"/>
        <w:szCs w:val="18"/>
      </w:rPr>
      <w:noBreakHyphen/>
      <w:t>1211 Ginebra 20, Suiza</w:t>
    </w:r>
    <w:r w:rsidRPr="006F590F">
      <w:rPr>
        <w:color w:val="3E8EDE"/>
        <w:sz w:val="18"/>
        <w:szCs w:val="18"/>
      </w:rPr>
      <w:br/>
      <w:t>Tel</w:t>
    </w:r>
    <w:r w:rsidR="0087626D">
      <w:rPr>
        <w:color w:val="3E8EDE"/>
        <w:sz w:val="18"/>
        <w:szCs w:val="18"/>
      </w:rPr>
      <w:t>.</w:t>
    </w:r>
    <w:r w:rsidRPr="006F590F">
      <w:rPr>
        <w:color w:val="3E8EDE"/>
        <w:sz w:val="18"/>
        <w:szCs w:val="18"/>
      </w:rPr>
      <w:t xml:space="preserve">: +41 22 730 5111 • Fax: +41 22 733 7256 • Correo-e: </w:t>
    </w:r>
    <w:hyperlink r:id="rId1" w:history="1">
      <w:r w:rsidRPr="006F590F">
        <w:rPr>
          <w:color w:val="3E8EDE"/>
          <w:sz w:val="18"/>
          <w:szCs w:val="18"/>
        </w:rPr>
        <w:t>itumail@itu.int</w:t>
      </w:r>
    </w:hyperlink>
    <w:r w:rsidRPr="006F590F">
      <w:rPr>
        <w:color w:val="3E8EDE"/>
        <w:sz w:val="18"/>
        <w:szCs w:val="18"/>
      </w:rPr>
      <w:t xml:space="preserve"> • </w:t>
    </w:r>
    <w:hyperlink r:id="rId2" w:history="1">
      <w:r w:rsidRPr="006F590F">
        <w:rPr>
          <w:color w:val="3E8EDE"/>
          <w:sz w:val="18"/>
          <w:szCs w:val="18"/>
        </w:rPr>
        <w:t>www.itu.int</w:t>
      </w:r>
    </w:hyperlink>
    <w:r w:rsidR="004F61B8">
      <w:rPr>
        <w:color w:val="3E8EDE"/>
        <w:sz w:val="18"/>
        <w:szCs w:val="18"/>
      </w:rPr>
      <w:t xml:space="preserve"> •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517A" w14:textId="77777777" w:rsidR="001C430C" w:rsidRDefault="001C430C">
      <w:r>
        <w:t>____________________</w:t>
      </w:r>
    </w:p>
  </w:footnote>
  <w:footnote w:type="continuationSeparator" w:id="0">
    <w:p w14:paraId="2D440EED" w14:textId="77777777" w:rsidR="001C430C" w:rsidRDefault="001C430C">
      <w:r>
        <w:continuationSeparator/>
      </w:r>
    </w:p>
  </w:footnote>
  <w:footnote w:id="1">
    <w:p w14:paraId="3823AA16" w14:textId="0B599DD1" w:rsidR="008A4E5C" w:rsidRPr="008A4E5C" w:rsidRDefault="008A4E5C" w:rsidP="008A4E5C">
      <w:pPr>
        <w:pStyle w:val="FootnoteText"/>
        <w:rPr>
          <w:lang w:val="es-ES"/>
        </w:rPr>
      </w:pPr>
      <w:r>
        <w:rPr>
          <w:rStyle w:val="FootnoteReference"/>
        </w:rPr>
        <w:t>*</w:t>
      </w:r>
      <w:r>
        <w:tab/>
      </w:r>
      <w:r w:rsidRPr="008A4E5C">
        <w:rPr>
          <w:b/>
          <w:bCs/>
          <w:i/>
          <w:iCs/>
          <w:lang w:val="es-ES"/>
        </w:rPr>
        <w:t>Herramienta en línea:</w:t>
      </w:r>
      <w:r w:rsidRPr="00372007">
        <w:rPr>
          <w:lang w:val="es-ES"/>
        </w:rPr>
        <w:t xml:space="preserve"> </w:t>
      </w:r>
      <w:r w:rsidR="00CC2534">
        <w:rPr>
          <w:lang w:val="es-ES"/>
        </w:rPr>
        <w:t>c</w:t>
      </w:r>
      <w:r w:rsidRPr="008A4E5C">
        <w:rPr>
          <w:lang w:val="es-ES"/>
        </w:rPr>
        <w:t xml:space="preserve">ada Coordinador de la Administración puede acceder directamente a la herramienta en línea utilizando su cuenta de usuario de la UIT con los datos de acceso TIES (nombre de usuario y contraseña). Se invita a todo Coordinador de la Administración que desee designar a otra persona para que responda a la consulta a través de la herramienta en línea a que lo comunique a la UIT a la dirección </w:t>
      </w:r>
      <w:hyperlink r:id="rId1" w:history="1">
        <w:r w:rsidRPr="008A4E5C">
          <w:rPr>
            <w:rStyle w:val="Hyperlink"/>
            <w:lang w:val="es-ES"/>
          </w:rPr>
          <w:t>memberstates@itu.int</w:t>
        </w:r>
      </w:hyperlink>
      <w:r w:rsidRPr="008A4E5C">
        <w:rPr>
          <w:lang w:val="es-ES"/>
        </w:rPr>
        <w:t>, indicando el nombre de usuario de la persona designada. Téngase en cuenta que la herramienta en línea está disponible únicamente en inglés.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D492" w14:textId="77777777" w:rsidR="00026CF8" w:rsidRPr="00E52A9E" w:rsidRDefault="00E52A9E" w:rsidP="00E52A9E">
    <w:pPr>
      <w:pStyle w:val="Header"/>
      <w:jc w:val="center"/>
      <w:rPr>
        <w:sz w:val="18"/>
        <w:szCs w:val="18"/>
      </w:rPr>
    </w:pPr>
    <w:r w:rsidRPr="00C9546F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7016691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9546F">
          <w:rPr>
            <w:sz w:val="18"/>
            <w:szCs w:val="18"/>
          </w:rPr>
          <w:fldChar w:fldCharType="begin"/>
        </w:r>
        <w:r w:rsidRPr="00C9546F">
          <w:rPr>
            <w:sz w:val="18"/>
            <w:szCs w:val="18"/>
          </w:rPr>
          <w:instrText xml:space="preserve"> PAGE   \* MERGEFORMAT </w:instrText>
        </w:r>
        <w:r w:rsidRPr="00C9546F">
          <w:rPr>
            <w:sz w:val="18"/>
            <w:szCs w:val="18"/>
          </w:rPr>
          <w:fldChar w:fldCharType="separate"/>
        </w:r>
        <w:r w:rsidR="003B6B45">
          <w:rPr>
            <w:noProof/>
            <w:sz w:val="18"/>
            <w:szCs w:val="18"/>
          </w:rPr>
          <w:t>2</w:t>
        </w:r>
        <w:r w:rsidRPr="00C9546F">
          <w:rPr>
            <w:noProof/>
            <w:sz w:val="18"/>
            <w:szCs w:val="18"/>
          </w:rPr>
          <w:fldChar w:fldCharType="end"/>
        </w:r>
        <w:r w:rsidRPr="00C9546F">
          <w:rPr>
            <w:noProof/>
            <w:sz w:val="18"/>
            <w:szCs w:val="18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E29C" w14:textId="197DE289" w:rsidR="00026CF8" w:rsidRPr="00904BD0" w:rsidRDefault="00904BD0" w:rsidP="00904BD0">
    <w:pPr>
      <w:pStyle w:val="Header"/>
      <w:jc w:val="center"/>
      <w:rPr>
        <w:sz w:val="18"/>
        <w:szCs w:val="18"/>
      </w:rPr>
    </w:pPr>
    <w:r w:rsidRPr="00C9546F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8872199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9546F">
          <w:rPr>
            <w:sz w:val="18"/>
            <w:szCs w:val="18"/>
          </w:rPr>
          <w:fldChar w:fldCharType="begin"/>
        </w:r>
        <w:r w:rsidRPr="00C9546F">
          <w:rPr>
            <w:sz w:val="18"/>
            <w:szCs w:val="18"/>
          </w:rPr>
          <w:instrText xml:space="preserve"> PAGE   \* MERGEFORMAT </w:instrText>
        </w:r>
        <w:r w:rsidRPr="00C9546F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4</w:t>
        </w:r>
        <w:r w:rsidRPr="00C9546F">
          <w:rPr>
            <w:noProof/>
            <w:sz w:val="18"/>
            <w:szCs w:val="18"/>
          </w:rPr>
          <w:fldChar w:fldCharType="end"/>
        </w:r>
        <w:r w:rsidRPr="00C9546F">
          <w:rPr>
            <w:noProof/>
            <w:sz w:val="18"/>
            <w:szCs w:val="18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4F61B8" w:rsidRPr="006F590F" w14:paraId="03ADF80B" w14:textId="77777777" w:rsidTr="0061104E">
      <w:tc>
        <w:tcPr>
          <w:tcW w:w="9889" w:type="dxa"/>
        </w:tcPr>
        <w:p w14:paraId="352265F3" w14:textId="77777777" w:rsidR="004F61B8" w:rsidRPr="006F590F" w:rsidRDefault="008B478B" w:rsidP="004F61B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US" w:eastAsia="zh-CN"/>
            </w:rPr>
            <w:drawing>
              <wp:inline distT="0" distB="0" distL="0" distR="0" wp14:anchorId="4DFE0817" wp14:editId="25893313">
                <wp:extent cx="682406" cy="720000"/>
                <wp:effectExtent l="0" t="0" r="381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cropp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0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116C87" w14:textId="77777777" w:rsidR="00026CF8" w:rsidRPr="006F590F" w:rsidRDefault="00026CF8" w:rsidP="002D5322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661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C49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5C9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A53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7A6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966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D45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68D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07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E3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97C67"/>
    <w:rsid w:val="00010E30"/>
    <w:rsid w:val="00023857"/>
    <w:rsid w:val="00026CF8"/>
    <w:rsid w:val="00067158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103C76"/>
    <w:rsid w:val="0011265F"/>
    <w:rsid w:val="001229FB"/>
    <w:rsid w:val="00142B64"/>
    <w:rsid w:val="0016308F"/>
    <w:rsid w:val="001965B0"/>
    <w:rsid w:val="00196710"/>
    <w:rsid w:val="00197324"/>
    <w:rsid w:val="001B1CE8"/>
    <w:rsid w:val="001C430C"/>
    <w:rsid w:val="001D7070"/>
    <w:rsid w:val="001E0DF6"/>
    <w:rsid w:val="001F5A49"/>
    <w:rsid w:val="00200936"/>
    <w:rsid w:val="00201097"/>
    <w:rsid w:val="00201B6E"/>
    <w:rsid w:val="002240B2"/>
    <w:rsid w:val="00235A29"/>
    <w:rsid w:val="00243821"/>
    <w:rsid w:val="00260A2C"/>
    <w:rsid w:val="002861E6"/>
    <w:rsid w:val="00294F67"/>
    <w:rsid w:val="002A2700"/>
    <w:rsid w:val="002D5322"/>
    <w:rsid w:val="002D6688"/>
    <w:rsid w:val="002E7E4D"/>
    <w:rsid w:val="002F0890"/>
    <w:rsid w:val="002F4AA9"/>
    <w:rsid w:val="003370B8"/>
    <w:rsid w:val="003666FF"/>
    <w:rsid w:val="00372007"/>
    <w:rsid w:val="003741EE"/>
    <w:rsid w:val="00376793"/>
    <w:rsid w:val="003B2BDA"/>
    <w:rsid w:val="003B2CDF"/>
    <w:rsid w:val="003B55EC"/>
    <w:rsid w:val="003B6B45"/>
    <w:rsid w:val="003C4471"/>
    <w:rsid w:val="003D512B"/>
    <w:rsid w:val="003E504F"/>
    <w:rsid w:val="004326DB"/>
    <w:rsid w:val="0043682E"/>
    <w:rsid w:val="00475BEB"/>
    <w:rsid w:val="004815EB"/>
    <w:rsid w:val="00482AB8"/>
    <w:rsid w:val="00486DE0"/>
    <w:rsid w:val="00494D0A"/>
    <w:rsid w:val="00496920"/>
    <w:rsid w:val="004A601B"/>
    <w:rsid w:val="004B18C5"/>
    <w:rsid w:val="004B1B14"/>
    <w:rsid w:val="004B7C9A"/>
    <w:rsid w:val="004C4BA6"/>
    <w:rsid w:val="004C4F80"/>
    <w:rsid w:val="004E0DC4"/>
    <w:rsid w:val="004E0FB5"/>
    <w:rsid w:val="004E43BB"/>
    <w:rsid w:val="004F178E"/>
    <w:rsid w:val="004F61B8"/>
    <w:rsid w:val="00505309"/>
    <w:rsid w:val="0050789B"/>
    <w:rsid w:val="00515771"/>
    <w:rsid w:val="005323E5"/>
    <w:rsid w:val="00542A47"/>
    <w:rsid w:val="00543DF8"/>
    <w:rsid w:val="00546101"/>
    <w:rsid w:val="00553DD7"/>
    <w:rsid w:val="00562CE3"/>
    <w:rsid w:val="0057469A"/>
    <w:rsid w:val="00580814"/>
    <w:rsid w:val="005860CC"/>
    <w:rsid w:val="00597C67"/>
    <w:rsid w:val="005A03A3"/>
    <w:rsid w:val="005B214C"/>
    <w:rsid w:val="005B5FF1"/>
    <w:rsid w:val="005C4551"/>
    <w:rsid w:val="005C6B83"/>
    <w:rsid w:val="00602D53"/>
    <w:rsid w:val="00612D2E"/>
    <w:rsid w:val="00651777"/>
    <w:rsid w:val="00690C51"/>
    <w:rsid w:val="006A0A47"/>
    <w:rsid w:val="006B0590"/>
    <w:rsid w:val="006B49DA"/>
    <w:rsid w:val="006F590F"/>
    <w:rsid w:val="00707216"/>
    <w:rsid w:val="007234B1"/>
    <w:rsid w:val="00730B9A"/>
    <w:rsid w:val="00755802"/>
    <w:rsid w:val="00775723"/>
    <w:rsid w:val="007840E2"/>
    <w:rsid w:val="00791A91"/>
    <w:rsid w:val="007921A7"/>
    <w:rsid w:val="007A5C27"/>
    <w:rsid w:val="007B3DB1"/>
    <w:rsid w:val="007D183E"/>
    <w:rsid w:val="007E3F13"/>
    <w:rsid w:val="007F06D0"/>
    <w:rsid w:val="00800012"/>
    <w:rsid w:val="00811D34"/>
    <w:rsid w:val="0081513E"/>
    <w:rsid w:val="00816E74"/>
    <w:rsid w:val="00823210"/>
    <w:rsid w:val="00843445"/>
    <w:rsid w:val="00847D46"/>
    <w:rsid w:val="00854131"/>
    <w:rsid w:val="0085652D"/>
    <w:rsid w:val="0087626D"/>
    <w:rsid w:val="0087694B"/>
    <w:rsid w:val="008802FB"/>
    <w:rsid w:val="008A4E5C"/>
    <w:rsid w:val="008B478B"/>
    <w:rsid w:val="008F4F21"/>
    <w:rsid w:val="00904BD0"/>
    <w:rsid w:val="00904D4A"/>
    <w:rsid w:val="009151BA"/>
    <w:rsid w:val="009277BC"/>
    <w:rsid w:val="00927D57"/>
    <w:rsid w:val="009378D6"/>
    <w:rsid w:val="00941D23"/>
    <w:rsid w:val="0095010C"/>
    <w:rsid w:val="0095312B"/>
    <w:rsid w:val="00963D9D"/>
    <w:rsid w:val="00965617"/>
    <w:rsid w:val="00981B54"/>
    <w:rsid w:val="009842C3"/>
    <w:rsid w:val="009A6BB6"/>
    <w:rsid w:val="009C161F"/>
    <w:rsid w:val="009C3873"/>
    <w:rsid w:val="009E4AEC"/>
    <w:rsid w:val="009E5BD8"/>
    <w:rsid w:val="009E681E"/>
    <w:rsid w:val="00A07919"/>
    <w:rsid w:val="00A335BC"/>
    <w:rsid w:val="00A34D6F"/>
    <w:rsid w:val="00A41F91"/>
    <w:rsid w:val="00A56280"/>
    <w:rsid w:val="00A86A44"/>
    <w:rsid w:val="00A92473"/>
    <w:rsid w:val="00A963DF"/>
    <w:rsid w:val="00AB1A59"/>
    <w:rsid w:val="00AB7507"/>
    <w:rsid w:val="00AC3896"/>
    <w:rsid w:val="00AE6CFA"/>
    <w:rsid w:val="00AF3325"/>
    <w:rsid w:val="00B34CF9"/>
    <w:rsid w:val="00B67004"/>
    <w:rsid w:val="00B85E86"/>
    <w:rsid w:val="00B90C45"/>
    <w:rsid w:val="00B933BE"/>
    <w:rsid w:val="00BB4069"/>
    <w:rsid w:val="00BD3929"/>
    <w:rsid w:val="00BD7E5E"/>
    <w:rsid w:val="00BE6574"/>
    <w:rsid w:val="00BF4AF2"/>
    <w:rsid w:val="00C54AC2"/>
    <w:rsid w:val="00C57E2C"/>
    <w:rsid w:val="00C608B7"/>
    <w:rsid w:val="00C66F24"/>
    <w:rsid w:val="00C9291E"/>
    <w:rsid w:val="00CA3F44"/>
    <w:rsid w:val="00CA4E58"/>
    <w:rsid w:val="00CB3771"/>
    <w:rsid w:val="00CB5153"/>
    <w:rsid w:val="00CC0DA0"/>
    <w:rsid w:val="00CC2534"/>
    <w:rsid w:val="00CF6752"/>
    <w:rsid w:val="00D05EC2"/>
    <w:rsid w:val="00D10BA0"/>
    <w:rsid w:val="00D24EB5"/>
    <w:rsid w:val="00D41571"/>
    <w:rsid w:val="00D416A0"/>
    <w:rsid w:val="00D47672"/>
    <w:rsid w:val="00D5123C"/>
    <w:rsid w:val="00D51C9E"/>
    <w:rsid w:val="00D55560"/>
    <w:rsid w:val="00D61C5A"/>
    <w:rsid w:val="00DA4E56"/>
    <w:rsid w:val="00DD674A"/>
    <w:rsid w:val="00DD6B2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52A9E"/>
    <w:rsid w:val="00E64254"/>
    <w:rsid w:val="00E926C0"/>
    <w:rsid w:val="00E93C8C"/>
    <w:rsid w:val="00EA15B3"/>
    <w:rsid w:val="00EB2358"/>
    <w:rsid w:val="00EB3EB8"/>
    <w:rsid w:val="00EF43D4"/>
    <w:rsid w:val="00EF6E7A"/>
    <w:rsid w:val="00F004E2"/>
    <w:rsid w:val="00F42C8C"/>
    <w:rsid w:val="00F468C5"/>
    <w:rsid w:val="00F52F39"/>
    <w:rsid w:val="00F55EAB"/>
    <w:rsid w:val="00F65298"/>
    <w:rsid w:val="00F914DD"/>
    <w:rsid w:val="00FA2358"/>
    <w:rsid w:val="00FB2592"/>
    <w:rsid w:val="00FB2810"/>
    <w:rsid w:val="00FC2947"/>
    <w:rsid w:val="00FD561E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453DC6"/>
  <w15:docId w15:val="{947F9259-E0C5-44DD-B80F-BD2304DA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5C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965B0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482A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482AB8"/>
    <w:rPr>
      <w:szCs w:val="22"/>
      <w:lang w:val="es-ES_tradnl" w:eastAsia="en-US"/>
    </w:rPr>
  </w:style>
  <w:style w:type="paragraph" w:styleId="Title">
    <w:name w:val="Title"/>
    <w:basedOn w:val="Normal"/>
    <w:link w:val="TitleChar"/>
    <w:qFormat/>
    <w:rsid w:val="004B18C5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ascii="Arial" w:hAnsi="Arial" w:cs="Times New Roman"/>
      <w:b/>
      <w:bCs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B18C5"/>
    <w:rPr>
      <w:rFonts w:ascii="Arial" w:hAnsi="Arial" w:cs="Times New Roman"/>
      <w:b/>
      <w:bCs/>
      <w:sz w:val="22"/>
      <w:lang w:val="en-GB" w:eastAsia="en-US"/>
    </w:rPr>
  </w:style>
  <w:style w:type="paragraph" w:styleId="BodyText">
    <w:name w:val="Body Text"/>
    <w:basedOn w:val="Normal"/>
    <w:link w:val="BodyTextChar"/>
    <w:rsid w:val="004B18C5"/>
    <w:pPr>
      <w:tabs>
        <w:tab w:val="clear" w:pos="794"/>
        <w:tab w:val="clear" w:pos="1191"/>
        <w:tab w:val="clear" w:pos="1588"/>
        <w:tab w:val="clear" w:pos="1985"/>
      </w:tabs>
      <w:spacing w:before="240" w:after="360" w:line="240" w:lineRule="auto"/>
      <w:jc w:val="center"/>
    </w:pPr>
    <w:rPr>
      <w:rFonts w:ascii="Tahoma" w:hAnsi="Tahoma" w:cs="Tahoma"/>
      <w:b/>
      <w:b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B18C5"/>
    <w:rPr>
      <w:rFonts w:ascii="Tahoma" w:hAnsi="Tahoma" w:cs="Tahoma"/>
      <w:b/>
      <w:bCs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2A9E"/>
    <w:rPr>
      <w:sz w:val="22"/>
      <w:szCs w:val="22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7C67"/>
    <w:rPr>
      <w:color w:val="605E5C"/>
      <w:shd w:val="clear" w:color="auto" w:fill="E1DFDD"/>
    </w:rPr>
  </w:style>
  <w:style w:type="paragraph" w:customStyle="1" w:styleId="AnnexNo">
    <w:name w:val="Annex_No"/>
    <w:basedOn w:val="Normal"/>
    <w:next w:val="Normal"/>
    <w:rsid w:val="00AB1A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Annextitle">
    <w:name w:val="Annex_title"/>
    <w:basedOn w:val="Normal"/>
    <w:next w:val="Normal"/>
    <w:rsid w:val="00791A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 w:line="240" w:lineRule="auto"/>
      <w:jc w:val="center"/>
    </w:pPr>
    <w:rPr>
      <w:rFonts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mailto:memberstates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DM-CIR-01016/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tate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mberstates@itu.int" TargetMode="External"/><Relationship Id="rId10" Type="http://schemas.openxmlformats.org/officeDocument/2006/relationships/hyperlink" Target="https://www.itu.int/online/mm-new/scripts/s/gensel8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17/es" TargetMode="External"/><Relationship Id="rId14" Type="http://schemas.openxmlformats.org/officeDocument/2006/relationships/hyperlink" Target="https://www.itu.int/online/mm-new/scripts/s/gensel8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tates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%20SGlett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B167-ACA5-4EE5-8BD2-5FD0A29F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 SGletter.dotx</Template>
  <TotalTime>0</TotalTime>
  <Pages>3</Pages>
  <Words>721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(Spanish)</vt:lpstr>
      <vt:lpstr>ITU-T Rec. Book 1 Resolutions ITU-T Series A Recommendations:</vt:lpstr>
    </vt:vector>
  </TitlesOfParts>
  <Company>ITU</Company>
  <LinksUpToDate>false</LinksUpToDate>
  <CharactersWithSpaces>4678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Spanish83</dc:creator>
  <cp:lastModifiedBy>Diallo, Maywenn</cp:lastModifiedBy>
  <cp:revision>2</cp:revision>
  <cp:lastPrinted>2021-09-10T07:37:00Z</cp:lastPrinted>
  <dcterms:created xsi:type="dcterms:W3CDTF">2021-09-14T07:30:00Z</dcterms:created>
  <dcterms:modified xsi:type="dcterms:W3CDTF">2021-09-14T07:30:00Z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