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A86A44" w:rsidRPr="00467564" w14:paraId="778E58A1" w14:textId="77777777" w:rsidTr="00FF40AE">
        <w:tc>
          <w:tcPr>
            <w:tcW w:w="9889" w:type="dxa"/>
            <w:gridSpan w:val="4"/>
            <w:shd w:val="clear" w:color="auto" w:fill="auto"/>
          </w:tcPr>
          <w:p w14:paraId="62732CE6" w14:textId="77777777" w:rsidR="00A86A44" w:rsidRPr="00467564" w:rsidRDefault="001965B0" w:rsidP="00FF40AE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467564">
              <w:rPr>
                <w:rFonts w:cs="Times New Roman Bold"/>
                <w:b/>
                <w:bCs/>
                <w:color w:val="808080"/>
                <w:sz w:val="28"/>
                <w:szCs w:val="20"/>
                <w:lang w:val="es-ES"/>
              </w:rPr>
              <w:t>Secretaría General (SG)</w:t>
            </w:r>
          </w:p>
        </w:tc>
      </w:tr>
      <w:tr w:rsidR="00A86A44" w:rsidRPr="00467564" w14:paraId="184FEDC7" w14:textId="77777777" w:rsidTr="00FF40AE">
        <w:tc>
          <w:tcPr>
            <w:tcW w:w="9889" w:type="dxa"/>
            <w:gridSpan w:val="4"/>
            <w:shd w:val="clear" w:color="auto" w:fill="auto"/>
          </w:tcPr>
          <w:p w14:paraId="2AEB19F7" w14:textId="77777777" w:rsidR="00A86A44" w:rsidRPr="00467564" w:rsidRDefault="00A86A44" w:rsidP="00F566AF">
            <w:pPr>
              <w:spacing w:before="0"/>
              <w:jc w:val="left"/>
              <w:rPr>
                <w:lang w:val="es-ES"/>
              </w:rPr>
            </w:pPr>
          </w:p>
        </w:tc>
      </w:tr>
      <w:tr w:rsidR="00A86A44" w:rsidRPr="00467564" w14:paraId="473C3E47" w14:textId="77777777" w:rsidTr="00FF40AE">
        <w:tc>
          <w:tcPr>
            <w:tcW w:w="5353" w:type="dxa"/>
            <w:gridSpan w:val="3"/>
            <w:shd w:val="clear" w:color="auto" w:fill="auto"/>
          </w:tcPr>
          <w:p w14:paraId="36035281" w14:textId="77777777" w:rsidR="00A86A44" w:rsidRPr="00467564" w:rsidRDefault="00A86A44" w:rsidP="00FF40AE">
            <w:pPr>
              <w:jc w:val="left"/>
              <w:rPr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14:paraId="3880FB7A" w14:textId="5717C00E" w:rsidR="00A86A44" w:rsidRPr="00467564" w:rsidRDefault="006B00B6" w:rsidP="00E3407B">
            <w:pPr>
              <w:jc w:val="left"/>
              <w:rPr>
                <w:lang w:val="es-ES"/>
              </w:rPr>
            </w:pPr>
            <w:r w:rsidRPr="00467564">
              <w:rPr>
                <w:lang w:val="es-ES"/>
              </w:rPr>
              <w:t xml:space="preserve">Ginebra, </w:t>
            </w:r>
            <w:r w:rsidR="00E3407B" w:rsidRPr="00467564">
              <w:rPr>
                <w:lang w:val="es-ES"/>
              </w:rPr>
              <w:t>1</w:t>
            </w:r>
            <w:r w:rsidR="003F750A">
              <w:rPr>
                <w:lang w:val="es-ES"/>
              </w:rPr>
              <w:t>4</w:t>
            </w:r>
            <w:r w:rsidR="00E3407B" w:rsidRPr="00467564">
              <w:rPr>
                <w:lang w:val="es-ES"/>
              </w:rPr>
              <w:t xml:space="preserve"> de </w:t>
            </w:r>
            <w:r w:rsidR="003F750A">
              <w:rPr>
                <w:lang w:val="es-ES"/>
              </w:rPr>
              <w:t xml:space="preserve">mayo </w:t>
            </w:r>
            <w:r w:rsidRPr="00467564">
              <w:rPr>
                <w:lang w:val="es-ES"/>
              </w:rPr>
              <w:t>de 202</w:t>
            </w:r>
            <w:r w:rsidR="00E3407B" w:rsidRPr="00467564">
              <w:rPr>
                <w:lang w:val="es-ES"/>
              </w:rPr>
              <w:t>1</w:t>
            </w:r>
          </w:p>
        </w:tc>
      </w:tr>
      <w:tr w:rsidR="001965B0" w:rsidRPr="00467564" w14:paraId="1888EF0F" w14:textId="77777777" w:rsidTr="00196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0427" w14:textId="77777777" w:rsidR="001965B0" w:rsidRPr="00467564" w:rsidRDefault="001965B0" w:rsidP="00FF40AE">
            <w:pPr>
              <w:jc w:val="left"/>
              <w:rPr>
                <w:lang w:val="es-ES"/>
              </w:rPr>
            </w:pPr>
            <w:r w:rsidRPr="00467564">
              <w:rPr>
                <w:lang w:val="es-ES"/>
              </w:rPr>
              <w:t>Ref.: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24E9F" w14:textId="4A0B91F7" w:rsidR="001965B0" w:rsidRPr="00467564" w:rsidRDefault="003F750A" w:rsidP="00E3407B">
            <w:pPr>
              <w:jc w:val="left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CL</w:t>
            </w:r>
            <w:r w:rsidR="006B00B6" w:rsidRPr="00467564">
              <w:rPr>
                <w:b/>
                <w:bCs/>
                <w:lang w:val="es-ES"/>
              </w:rPr>
              <w:t>-2</w:t>
            </w:r>
            <w:r w:rsidR="00E3407B" w:rsidRPr="00467564">
              <w:rPr>
                <w:b/>
                <w:bCs/>
                <w:lang w:val="es-ES"/>
              </w:rPr>
              <w:t>1</w:t>
            </w:r>
            <w:r w:rsidR="006B00B6" w:rsidRPr="00467564">
              <w:rPr>
                <w:b/>
                <w:bCs/>
                <w:lang w:val="es-ES"/>
              </w:rPr>
              <w:t>/</w:t>
            </w:r>
            <w:r>
              <w:rPr>
                <w:b/>
                <w:bCs/>
                <w:lang w:val="es-ES"/>
              </w:rPr>
              <w:t>19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6EE660" w14:textId="452FC8A7" w:rsidR="001965B0" w:rsidRPr="00467564" w:rsidRDefault="00A335BC" w:rsidP="00A533F1">
            <w:pPr>
              <w:spacing w:before="0"/>
              <w:jc w:val="left"/>
              <w:rPr>
                <w:lang w:val="es-ES"/>
              </w:rPr>
            </w:pPr>
            <w:r w:rsidRPr="00467564">
              <w:rPr>
                <w:lang w:val="es-ES"/>
              </w:rPr>
              <w:t xml:space="preserve">A los </w:t>
            </w:r>
            <w:r w:rsidR="001965B0" w:rsidRPr="00467564">
              <w:rPr>
                <w:lang w:val="es-ES"/>
              </w:rPr>
              <w:t xml:space="preserve">Estados Miembros </w:t>
            </w:r>
            <w:r w:rsidR="00A533F1">
              <w:rPr>
                <w:lang w:val="es-ES"/>
              </w:rPr>
              <w:t>de la</w:t>
            </w:r>
            <w:r w:rsidR="001965B0" w:rsidRPr="00467564">
              <w:rPr>
                <w:lang w:val="es-ES"/>
              </w:rPr>
              <w:t xml:space="preserve"> UIT</w:t>
            </w:r>
          </w:p>
        </w:tc>
      </w:tr>
      <w:tr w:rsidR="001965B0" w:rsidRPr="00467564" w14:paraId="71FCC60B" w14:textId="77777777" w:rsidTr="00FF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7C16E" w14:textId="77777777" w:rsidR="001965B0" w:rsidRPr="00467564" w:rsidRDefault="001965B0" w:rsidP="00FF40AE">
            <w:pPr>
              <w:spacing w:before="0"/>
              <w:jc w:val="left"/>
              <w:rPr>
                <w:iCs/>
                <w:lang w:val="es-ES"/>
              </w:rPr>
            </w:pPr>
            <w:r w:rsidRPr="00467564">
              <w:rPr>
                <w:rFonts w:cs="Arial"/>
                <w:iCs/>
                <w:lang w:val="es-ES"/>
              </w:rPr>
              <w:t>Contacto</w:t>
            </w:r>
            <w:r w:rsidRPr="00467564">
              <w:rPr>
                <w:iCs/>
                <w:lang w:val="es-ES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6E87" w14:textId="201C59F2" w:rsidR="001965B0" w:rsidRPr="00467564" w:rsidRDefault="006B00B6" w:rsidP="004B18C5">
            <w:pPr>
              <w:spacing w:before="0"/>
              <w:jc w:val="left"/>
              <w:rPr>
                <w:lang w:val="es-ES"/>
              </w:rPr>
            </w:pPr>
            <w:r w:rsidRPr="00467564">
              <w:rPr>
                <w:lang w:val="es-ES"/>
              </w:rPr>
              <w:t>Sra. Béatrice Pluchon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11B85" w14:textId="77777777" w:rsidR="001965B0" w:rsidRPr="00467564" w:rsidRDefault="001965B0" w:rsidP="00FF40AE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97511" w14:textId="77777777" w:rsidR="001965B0" w:rsidRPr="00467564" w:rsidRDefault="001965B0" w:rsidP="001965B0">
            <w:pPr>
              <w:spacing w:before="0"/>
              <w:jc w:val="center"/>
              <w:rPr>
                <w:lang w:val="es-ES"/>
              </w:rPr>
            </w:pPr>
          </w:p>
        </w:tc>
      </w:tr>
      <w:tr w:rsidR="00E900A2" w:rsidRPr="00467564" w14:paraId="3DB82505" w14:textId="77777777" w:rsidTr="00E90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68F08" w14:textId="0C878A17" w:rsidR="00E900A2" w:rsidRPr="00467564" w:rsidRDefault="00E900A2" w:rsidP="00FF40AE">
            <w:pPr>
              <w:spacing w:before="0"/>
              <w:jc w:val="left"/>
              <w:rPr>
                <w:rFonts w:cs="Arial"/>
                <w:iCs/>
                <w:lang w:val="es-ES"/>
              </w:rPr>
            </w:pPr>
            <w:r w:rsidRPr="00467564">
              <w:rPr>
                <w:rFonts w:cs="Arial"/>
                <w:iCs/>
                <w:lang w:val="es-ES"/>
              </w:rPr>
              <w:t>Teléfono: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9E345" w14:textId="19387275" w:rsidR="00E900A2" w:rsidRPr="00467564" w:rsidRDefault="00E900A2" w:rsidP="004B18C5">
            <w:pPr>
              <w:spacing w:before="0"/>
              <w:jc w:val="left"/>
              <w:rPr>
                <w:lang w:val="es-ES"/>
              </w:rPr>
            </w:pPr>
            <w:r w:rsidRPr="00467564">
              <w:rPr>
                <w:lang w:val="es-ES"/>
              </w:rPr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0C535" w14:textId="77777777" w:rsidR="00E900A2" w:rsidRPr="00467564" w:rsidRDefault="00E900A2" w:rsidP="00FF40AE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5A2E8A" w14:textId="77777777" w:rsidR="00E900A2" w:rsidRPr="00467564" w:rsidRDefault="00E900A2" w:rsidP="001965B0">
            <w:pPr>
              <w:spacing w:before="0"/>
              <w:jc w:val="center"/>
              <w:rPr>
                <w:lang w:val="es-ES"/>
              </w:rPr>
            </w:pPr>
          </w:p>
        </w:tc>
      </w:tr>
      <w:tr w:rsidR="001965B0" w:rsidRPr="00467564" w14:paraId="272EAD21" w14:textId="77777777" w:rsidTr="00FF4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3BBE3" w14:textId="77777777" w:rsidR="001965B0" w:rsidRPr="00467564" w:rsidRDefault="001965B0" w:rsidP="00FF40AE">
            <w:pPr>
              <w:spacing w:before="0"/>
              <w:jc w:val="left"/>
              <w:rPr>
                <w:iCs/>
                <w:lang w:val="es-ES"/>
              </w:rPr>
            </w:pPr>
            <w:r w:rsidRPr="00467564">
              <w:rPr>
                <w:rFonts w:cs="Arial"/>
                <w:iCs/>
                <w:lang w:val="es-ES"/>
              </w:rPr>
              <w:t>Correo-e</w:t>
            </w:r>
            <w:r w:rsidRPr="00467564">
              <w:rPr>
                <w:iCs/>
                <w:lang w:val="es-ES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BE4AE" w14:textId="2E606E76" w:rsidR="001965B0" w:rsidRPr="00467564" w:rsidRDefault="003E01CA" w:rsidP="00067158">
            <w:pPr>
              <w:spacing w:before="0"/>
              <w:jc w:val="left"/>
              <w:rPr>
                <w:lang w:val="es-ES"/>
              </w:rPr>
            </w:pPr>
            <w:hyperlink r:id="rId8" w:history="1">
              <w:bookmarkStart w:id="0" w:name="lt_pId024"/>
              <w:r w:rsidR="003F750A" w:rsidRPr="0066565B">
                <w:rPr>
                  <w:rStyle w:val="Hyperlink"/>
                  <w:lang w:val="fr-CH"/>
                </w:rPr>
                <w:t>memberstates@itu.int</w:t>
              </w:r>
              <w:bookmarkEnd w:id="0"/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D2A9" w14:textId="77777777" w:rsidR="001965B0" w:rsidRPr="00467564" w:rsidRDefault="001965B0" w:rsidP="00FF40AE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FE6327" w14:textId="77777777" w:rsidR="001965B0" w:rsidRPr="00467564" w:rsidRDefault="001965B0" w:rsidP="00FF40AE">
            <w:pPr>
              <w:spacing w:before="0"/>
              <w:rPr>
                <w:lang w:val="es-ES"/>
              </w:rPr>
            </w:pPr>
          </w:p>
        </w:tc>
      </w:tr>
      <w:tr w:rsidR="00A86A44" w:rsidRPr="00467564" w14:paraId="213A5CA1" w14:textId="77777777" w:rsidTr="00FD5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C796E" w14:textId="77777777" w:rsidR="00A86A44" w:rsidRPr="00467564" w:rsidRDefault="004C4F80" w:rsidP="001965B0">
            <w:pPr>
              <w:spacing w:before="240"/>
              <w:jc w:val="left"/>
              <w:rPr>
                <w:iCs/>
                <w:lang w:val="es-ES"/>
              </w:rPr>
            </w:pPr>
            <w:r w:rsidRPr="00467564">
              <w:rPr>
                <w:iCs/>
                <w:lang w:val="es-ES"/>
              </w:rPr>
              <w:t>Asunto</w:t>
            </w:r>
            <w:r w:rsidR="00A86A44" w:rsidRPr="00467564">
              <w:rPr>
                <w:iCs/>
                <w:lang w:val="es-ES"/>
              </w:rPr>
              <w:t>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B53CB" w14:textId="06038BAB" w:rsidR="00A86A44" w:rsidRPr="00467564" w:rsidRDefault="006B00B6" w:rsidP="004547D6">
            <w:pPr>
              <w:spacing w:before="240" w:after="40"/>
              <w:jc w:val="left"/>
              <w:rPr>
                <w:b/>
                <w:bCs/>
                <w:lang w:val="es-ES"/>
              </w:rPr>
            </w:pPr>
            <w:r w:rsidRPr="00467564">
              <w:rPr>
                <w:b/>
                <w:bCs/>
                <w:lang w:val="es-ES"/>
              </w:rPr>
              <w:t xml:space="preserve">Consulta por correspondencia sobre </w:t>
            </w:r>
            <w:r w:rsidR="00E3407B" w:rsidRPr="00467564">
              <w:rPr>
                <w:b/>
                <w:bCs/>
                <w:lang w:val="es-ES"/>
              </w:rPr>
              <w:t>el cambio de las fechas de la Conferencia Mundial de Desarrollo de las Telecomunicaciones (CMDT-21)</w:t>
            </w:r>
          </w:p>
        </w:tc>
      </w:tr>
    </w:tbl>
    <w:p w14:paraId="570043B6" w14:textId="77777777" w:rsidR="001965B0" w:rsidRPr="00467564" w:rsidRDefault="001965B0" w:rsidP="00A45C66">
      <w:pPr>
        <w:pStyle w:val="Normalaftertitle"/>
        <w:rPr>
          <w:lang w:val="es-ES"/>
        </w:rPr>
      </w:pPr>
      <w:r w:rsidRPr="00467564">
        <w:rPr>
          <w:lang w:val="es-ES"/>
        </w:rPr>
        <w:t>Muy Señora mía/Muy Señor mío:</w:t>
      </w:r>
    </w:p>
    <w:p w14:paraId="6823521A" w14:textId="2B4A2F83" w:rsidR="006B00B6" w:rsidRDefault="003F750A" w:rsidP="00A45C66">
      <w:pPr>
        <w:rPr>
          <w:lang w:val="es-ES"/>
        </w:rPr>
      </w:pPr>
      <w:r>
        <w:t xml:space="preserve">Habida cuenta de </w:t>
      </w:r>
      <w:r w:rsidRPr="003F750A">
        <w:t>la consulta de los Estados Miembros del Consejo que se realizó mediante la carta</w:t>
      </w:r>
      <w:r w:rsidR="003F0F0D">
        <w:t> </w:t>
      </w:r>
      <w:hyperlink r:id="rId9" w:history="1">
        <w:r>
          <w:rPr>
            <w:rStyle w:val="Hyperlink"/>
          </w:rPr>
          <w:t>DM-21/1010</w:t>
        </w:r>
      </w:hyperlink>
      <w:r w:rsidRPr="003F750A">
        <w:t xml:space="preserve">, de 15 de abril de 2021, relativa al cambio de fechas de la próxima Conferencia Mundial de Desarrollo de las Telecomunicaciones (CMDT-21), prevista </w:t>
      </w:r>
      <w:r w:rsidR="00E963A4">
        <w:t xml:space="preserve">inicialmente </w:t>
      </w:r>
      <w:r w:rsidRPr="003F750A">
        <w:t xml:space="preserve">para los días 8 a 19 de noviembre de 2021 en Addis Abeba </w:t>
      </w:r>
      <w:r w:rsidR="002C3DC4">
        <w:t>(</w:t>
      </w:r>
      <w:r w:rsidRPr="003F750A">
        <w:t>República Democrática Federal de Etiopía</w:t>
      </w:r>
      <w:r w:rsidR="002C3DC4">
        <w:t>)</w:t>
      </w:r>
      <w:r>
        <w:t xml:space="preserve"> m</w:t>
      </w:r>
      <w:r w:rsidRPr="003F750A">
        <w:t xml:space="preserve">e complace informarle de que los Estados Miembros del Consejo han respaldado el cambio de las fechas de la próxima CMDT al 6 al 15 de junio de 2022, según lo propuesto por el Gobierno de Etiopía. </w:t>
      </w:r>
      <w:r w:rsidR="00D13BAC">
        <w:t>Asimismo,</w:t>
      </w:r>
      <w:r w:rsidRPr="003F750A">
        <w:t xml:space="preserve"> tomo buena nota de las inquietudes manifestadas por los Estados Miembros en cuanto a disponer de tiempo suficiente para tomar una decisión</w:t>
      </w:r>
      <w:r w:rsidR="006B00B6" w:rsidRPr="00467564">
        <w:rPr>
          <w:lang w:val="es-ES"/>
        </w:rPr>
        <w:t>.</w:t>
      </w:r>
    </w:p>
    <w:p w14:paraId="075B15DE" w14:textId="1BA8152C" w:rsidR="00D13BAC" w:rsidRDefault="00D13BAC" w:rsidP="00A45C66">
      <w:pPr>
        <w:rPr>
          <w:lang w:val="es-ES"/>
        </w:rPr>
      </w:pPr>
      <w:r>
        <w:rPr>
          <w:lang w:val="es-ES"/>
        </w:rPr>
        <w:t>D</w:t>
      </w:r>
      <w:r w:rsidRPr="00D13BAC">
        <w:rPr>
          <w:lang w:val="es-ES"/>
        </w:rPr>
        <w:t xml:space="preserve">e conformidad con el número 46 del Convenio de la UIT, se invita a todos los Estados Miembros de la UIT a que informen al Secretario General de que están de acuerdo con el cambio de fechas de la </w:t>
      </w:r>
      <w:r w:rsidR="00000B62">
        <w:rPr>
          <w:lang w:val="es-ES"/>
        </w:rPr>
        <w:t>CMDT</w:t>
      </w:r>
      <w:r w:rsidRPr="00D13BAC">
        <w:rPr>
          <w:lang w:val="es-ES"/>
        </w:rPr>
        <w:t>-2</w:t>
      </w:r>
      <w:r w:rsidR="00000B62">
        <w:rPr>
          <w:lang w:val="es-ES"/>
        </w:rPr>
        <w:t>1</w:t>
      </w:r>
      <w:r w:rsidRPr="00D13BAC">
        <w:rPr>
          <w:lang w:val="es-ES"/>
        </w:rPr>
        <w:t xml:space="preserve"> arriba descrito, utilizando la nueva </w:t>
      </w:r>
      <w:hyperlink r:id="rId10" w:history="1">
        <w:r w:rsidRPr="00000B62">
          <w:rPr>
            <w:rStyle w:val="Hyperlink"/>
            <w:lang w:val="es-ES"/>
          </w:rPr>
          <w:t>herramienta en línea</w:t>
        </w:r>
      </w:hyperlink>
      <w:r w:rsidR="00E963A4">
        <w:rPr>
          <w:rStyle w:val="FootnoteReference"/>
          <w:lang w:val="es-ES"/>
        </w:rPr>
        <w:footnoteReference w:customMarkFollows="1" w:id="1"/>
        <w:t>*</w:t>
      </w:r>
      <w:r w:rsidR="00E963A4">
        <w:rPr>
          <w:lang w:val="es-ES"/>
        </w:rPr>
        <w:t xml:space="preserve"> </w:t>
      </w:r>
      <w:r w:rsidR="00000B62" w:rsidRPr="00000B62">
        <w:rPr>
          <w:lang w:val="es-ES"/>
        </w:rPr>
        <w:t xml:space="preserve">o </w:t>
      </w:r>
      <w:r w:rsidR="00000B62">
        <w:rPr>
          <w:lang w:val="es-ES"/>
        </w:rPr>
        <w:t xml:space="preserve">utilizando la plantilla del Anexo </w:t>
      </w:r>
      <w:r w:rsidR="00000B62" w:rsidRPr="00000B62">
        <w:rPr>
          <w:lang w:val="es-ES"/>
        </w:rPr>
        <w:t xml:space="preserve">1 </w:t>
      </w:r>
      <w:r w:rsidR="00000B62">
        <w:rPr>
          <w:lang w:val="es-ES"/>
        </w:rPr>
        <w:t>por correo electrónico a</w:t>
      </w:r>
      <w:r w:rsidR="00000B62" w:rsidRPr="00000B62">
        <w:rPr>
          <w:lang w:val="es-ES"/>
        </w:rPr>
        <w:t xml:space="preserve"> </w:t>
      </w:r>
      <w:hyperlink r:id="rId11" w:history="1">
        <w:r w:rsidR="00000B62" w:rsidRPr="004760CF">
          <w:rPr>
            <w:rStyle w:val="Hyperlink"/>
            <w:lang w:val="es-ES"/>
          </w:rPr>
          <w:t>memberstates@itu.int</w:t>
        </w:r>
      </w:hyperlink>
      <w:r w:rsidR="00000B62" w:rsidRPr="00000B62">
        <w:rPr>
          <w:lang w:val="es-ES"/>
        </w:rPr>
        <w:t xml:space="preserve">, </w:t>
      </w:r>
      <w:r w:rsidR="00000B62">
        <w:rPr>
          <w:lang w:val="es-ES"/>
        </w:rPr>
        <w:t xml:space="preserve">a más tardar el </w:t>
      </w:r>
      <w:r w:rsidR="00000B62" w:rsidRPr="00000B62">
        <w:rPr>
          <w:lang w:val="es-ES"/>
        </w:rPr>
        <w:t xml:space="preserve">22 </w:t>
      </w:r>
      <w:r w:rsidR="00000B62">
        <w:rPr>
          <w:lang w:val="es-ES"/>
        </w:rPr>
        <w:t xml:space="preserve">de junio de </w:t>
      </w:r>
      <w:r w:rsidR="00000B62" w:rsidRPr="00000B62">
        <w:rPr>
          <w:lang w:val="es-ES"/>
        </w:rPr>
        <w:t>2021.</w:t>
      </w:r>
      <w:r w:rsidR="00000B62" w:rsidRPr="00000B62">
        <w:t xml:space="preserve"> </w:t>
      </w:r>
      <w:r w:rsidR="00000B62" w:rsidRPr="00000B62">
        <w:rPr>
          <w:lang w:val="es-ES"/>
        </w:rPr>
        <w:t xml:space="preserve">La secretaría </w:t>
      </w:r>
      <w:r w:rsidR="00000B62">
        <w:rPr>
          <w:lang w:val="es-ES"/>
        </w:rPr>
        <w:t xml:space="preserve">queda a su </w:t>
      </w:r>
      <w:r w:rsidR="00000B62" w:rsidRPr="00000B62">
        <w:rPr>
          <w:lang w:val="es-ES"/>
        </w:rPr>
        <w:t>disposición en caso necesario</w:t>
      </w:r>
      <w:r w:rsidR="00000B62">
        <w:rPr>
          <w:lang w:val="es-ES"/>
        </w:rPr>
        <w:t>.</w:t>
      </w:r>
    </w:p>
    <w:p w14:paraId="22F15549" w14:textId="1D47220C" w:rsidR="00000B62" w:rsidRDefault="00000B62" w:rsidP="00A45C66">
      <w:pPr>
        <w:rPr>
          <w:lang w:val="es-ES"/>
        </w:rPr>
      </w:pPr>
      <w:r w:rsidRPr="00000B62">
        <w:rPr>
          <w:lang w:val="es-ES"/>
        </w:rPr>
        <w:t xml:space="preserve">En caso de que su país ya haya respondido a la primera consulta remitida a través de la </w:t>
      </w:r>
      <w:hyperlink r:id="rId12" w:history="1">
        <w:r w:rsidR="00E963A4" w:rsidRPr="00E963A4">
          <w:rPr>
            <w:rStyle w:val="Hyperlink"/>
            <w:spacing w:val="2"/>
          </w:rPr>
          <w:t>DM-21/1010</w:t>
        </w:r>
      </w:hyperlink>
      <w:r w:rsidR="00E963A4">
        <w:rPr>
          <w:rStyle w:val="Hyperlink"/>
          <w:spacing w:val="2"/>
        </w:rPr>
        <w:t xml:space="preserve"> </w:t>
      </w:r>
      <w:r w:rsidRPr="00000B62">
        <w:rPr>
          <w:lang w:val="es-ES"/>
        </w:rPr>
        <w:t xml:space="preserve">a los Estados Miembros del Consejo, </w:t>
      </w:r>
      <w:r w:rsidRPr="00E963A4">
        <w:rPr>
          <w:b/>
          <w:bCs/>
          <w:lang w:val="es-ES"/>
        </w:rPr>
        <w:t xml:space="preserve">su respuesta a la primera consulta también se considerará válida </w:t>
      </w:r>
      <w:r w:rsidRPr="00000B62">
        <w:rPr>
          <w:lang w:val="es-ES"/>
        </w:rPr>
        <w:t xml:space="preserve">respecto de la consulta a todos los Estados Miembros, </w:t>
      </w:r>
      <w:r w:rsidRPr="00E963A4">
        <w:rPr>
          <w:b/>
          <w:bCs/>
          <w:lang w:val="es-ES"/>
        </w:rPr>
        <w:t>salvo que notifique otra cosa por escrito el Consejero o el Coordinador de la Administración por correo-e a la dirección</w:t>
      </w:r>
      <w:r w:rsidRPr="00000B62">
        <w:rPr>
          <w:lang w:val="es-ES"/>
        </w:rPr>
        <w:t xml:space="preserve"> </w:t>
      </w:r>
      <w:hyperlink r:id="rId13" w:history="1">
        <w:r w:rsidR="00A82850" w:rsidRPr="004F3241">
          <w:rPr>
            <w:rStyle w:val="Hyperlink"/>
            <w:lang w:val="es-ES"/>
          </w:rPr>
          <w:t>memberstates@itu.int</w:t>
        </w:r>
      </w:hyperlink>
      <w:r w:rsidR="00A82850">
        <w:rPr>
          <w:lang w:val="es-ES"/>
        </w:rPr>
        <w:t>.</w:t>
      </w:r>
    </w:p>
    <w:p w14:paraId="2E11AB14" w14:textId="77777777" w:rsidR="006B00B6" w:rsidRPr="00467564" w:rsidRDefault="006B00B6" w:rsidP="00A45C66">
      <w:pPr>
        <w:rPr>
          <w:lang w:val="es-ES"/>
        </w:rPr>
      </w:pPr>
      <w:r w:rsidRPr="00467564">
        <w:rPr>
          <w:lang w:val="es-ES"/>
        </w:rPr>
        <w:t>Quedo a la espera de su respuesta.</w:t>
      </w:r>
    </w:p>
    <w:p w14:paraId="2CA41D90" w14:textId="77777777" w:rsidR="001965B0" w:rsidRPr="00467564" w:rsidRDefault="004C4F80" w:rsidP="00A45C66">
      <w:pPr>
        <w:rPr>
          <w:lang w:val="es-ES"/>
        </w:rPr>
      </w:pPr>
      <w:r w:rsidRPr="00467564">
        <w:rPr>
          <w:lang w:val="es-ES"/>
        </w:rPr>
        <w:t>Atentamente</w:t>
      </w:r>
      <w:r w:rsidR="004B18C5" w:rsidRPr="00467564">
        <w:rPr>
          <w:lang w:val="es-ES"/>
        </w:rPr>
        <w:t>,</w:t>
      </w:r>
    </w:p>
    <w:p w14:paraId="20389E16" w14:textId="77777777" w:rsidR="002C3DC4" w:rsidRDefault="005860CC" w:rsidP="00A45C66">
      <w:pPr>
        <w:spacing w:before="120" w:after="120"/>
        <w:rPr>
          <w:i/>
          <w:iCs/>
          <w:lang w:val="es-ES"/>
        </w:rPr>
      </w:pPr>
      <w:r w:rsidRPr="00467564">
        <w:rPr>
          <w:i/>
          <w:iCs/>
          <w:lang w:val="es-ES"/>
        </w:rPr>
        <w:t>(firmado)</w:t>
      </w:r>
    </w:p>
    <w:p w14:paraId="390B0457" w14:textId="77777777" w:rsidR="003F0F0D" w:rsidRDefault="00E963A4" w:rsidP="00A45C66">
      <w:pPr>
        <w:spacing w:before="120" w:after="120"/>
        <w:jc w:val="left"/>
        <w:rPr>
          <w:lang w:val="es-ES"/>
        </w:rPr>
      </w:pPr>
      <w:r>
        <w:rPr>
          <w:lang w:val="es-ES"/>
        </w:rPr>
        <w:t>Houlin Zhao</w:t>
      </w:r>
      <w:r w:rsidR="00482AB8" w:rsidRPr="00467564">
        <w:rPr>
          <w:lang w:val="es-ES"/>
        </w:rPr>
        <w:br/>
      </w:r>
      <w:r>
        <w:rPr>
          <w:lang w:val="es-ES"/>
        </w:rPr>
        <w:t>Secretario General</w:t>
      </w:r>
    </w:p>
    <w:p w14:paraId="541F56CE" w14:textId="77777777" w:rsidR="00EE24F2" w:rsidRDefault="00EE24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br w:type="page"/>
      </w:r>
    </w:p>
    <w:p w14:paraId="47E3A4E8" w14:textId="0DC18531" w:rsidR="006B00B6" w:rsidRPr="00467564" w:rsidRDefault="006B00B6" w:rsidP="00A45C66">
      <w:pPr>
        <w:spacing w:before="120" w:after="120"/>
        <w:rPr>
          <w:b/>
          <w:bCs/>
          <w:i/>
          <w:iCs/>
          <w:lang w:val="es-ES"/>
        </w:rPr>
      </w:pPr>
      <w:r w:rsidRPr="00467564">
        <w:rPr>
          <w:b/>
          <w:bCs/>
          <w:i/>
          <w:iCs/>
          <w:lang w:val="es-ES"/>
        </w:rPr>
        <w:lastRenderedPageBreak/>
        <w:t xml:space="preserve">Anexos: </w:t>
      </w:r>
      <w:r w:rsidR="002C3DC4">
        <w:rPr>
          <w:b/>
          <w:bCs/>
          <w:i/>
          <w:iCs/>
          <w:lang w:val="es-ES"/>
        </w:rPr>
        <w:t>1</w:t>
      </w:r>
    </w:p>
    <w:p w14:paraId="6D480269" w14:textId="4461C7F5" w:rsidR="006B00B6" w:rsidRDefault="003E01CA" w:rsidP="00145512">
      <w:pPr>
        <w:tabs>
          <w:tab w:val="clear" w:pos="1191"/>
          <w:tab w:val="left" w:pos="993"/>
        </w:tabs>
        <w:ind w:left="993" w:hanging="993"/>
        <w:jc w:val="left"/>
        <w:rPr>
          <w:lang w:val="es-ES"/>
        </w:rPr>
      </w:pPr>
      <w:hyperlink w:anchor="annex1" w:history="1">
        <w:r w:rsidR="006B00B6" w:rsidRPr="00A82850">
          <w:rPr>
            <w:rStyle w:val="Hyperlink"/>
            <w:lang w:val="es-ES"/>
          </w:rPr>
          <w:t>Anexo 1</w:t>
        </w:r>
      </w:hyperlink>
      <w:r w:rsidR="006B00B6" w:rsidRPr="00467564">
        <w:rPr>
          <w:lang w:val="es-ES"/>
        </w:rPr>
        <w:t xml:space="preserve"> –</w:t>
      </w:r>
      <w:r w:rsidR="00145512">
        <w:rPr>
          <w:lang w:val="es-ES"/>
        </w:rPr>
        <w:tab/>
      </w:r>
      <w:r w:rsidR="006B00B6" w:rsidRPr="00467564">
        <w:rPr>
          <w:lang w:val="es-ES"/>
        </w:rPr>
        <w:t>Consulta sobre</w:t>
      </w:r>
      <w:r w:rsidR="004547D6" w:rsidRPr="00467564">
        <w:rPr>
          <w:lang w:val="es-ES"/>
        </w:rPr>
        <w:t xml:space="preserve"> el cambio de </w:t>
      </w:r>
      <w:r w:rsidR="000C52C5" w:rsidRPr="00467564">
        <w:rPr>
          <w:lang w:val="es-ES"/>
        </w:rPr>
        <w:t xml:space="preserve">las </w:t>
      </w:r>
      <w:r w:rsidR="004547D6" w:rsidRPr="00467564">
        <w:rPr>
          <w:lang w:val="es-ES"/>
        </w:rPr>
        <w:t>fechas de la Conferencia Mundial de Desarrollo de las Telecomunicaciones (CMDT-21)</w:t>
      </w:r>
    </w:p>
    <w:p w14:paraId="7640D4F2" w14:textId="30364B0A" w:rsidR="00A82850" w:rsidRDefault="00A828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DE993AE" w14:textId="77777777" w:rsidR="00A82850" w:rsidRPr="00467564" w:rsidRDefault="00A82850" w:rsidP="00145512">
      <w:pPr>
        <w:tabs>
          <w:tab w:val="clear" w:pos="1191"/>
          <w:tab w:val="left" w:pos="993"/>
        </w:tabs>
        <w:ind w:left="993" w:hanging="993"/>
        <w:jc w:val="left"/>
        <w:rPr>
          <w:lang w:val="es-ES"/>
        </w:rPr>
      </w:pPr>
    </w:p>
    <w:p w14:paraId="5379399A" w14:textId="513EFC30" w:rsidR="00EE24F2" w:rsidRDefault="00EE24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="Times New Roman"/>
          <w:caps/>
          <w:sz w:val="28"/>
          <w:szCs w:val="20"/>
          <w:lang w:val="es-ES"/>
        </w:rPr>
      </w:pPr>
      <w:bookmarkStart w:id="1" w:name="annex1"/>
      <w:bookmarkEnd w:id="1"/>
    </w:p>
    <w:p w14:paraId="44EE1B78" w14:textId="77777777" w:rsidR="00DD479E" w:rsidRDefault="006B00B6" w:rsidP="00DD479E">
      <w:pPr>
        <w:pStyle w:val="AnnexNo"/>
        <w:rPr>
          <w:lang w:val="es-ES"/>
        </w:rPr>
      </w:pPr>
      <w:r w:rsidRPr="00467564">
        <w:rPr>
          <w:lang w:val="es-ES"/>
        </w:rPr>
        <w:t>ANEXO 1</w:t>
      </w:r>
    </w:p>
    <w:p w14:paraId="6A9AD15F" w14:textId="49D67FB5" w:rsidR="006B00B6" w:rsidRPr="00467564" w:rsidRDefault="004547D6" w:rsidP="00DD479E">
      <w:pPr>
        <w:pStyle w:val="Annextitle"/>
        <w:rPr>
          <w:lang w:val="es-ES"/>
        </w:rPr>
      </w:pPr>
      <w:r w:rsidRPr="00467564">
        <w:rPr>
          <w:lang w:val="es-ES"/>
        </w:rPr>
        <w:t xml:space="preserve">Consulta sobre el cambio de </w:t>
      </w:r>
      <w:r w:rsidR="000C52C5" w:rsidRPr="00467564">
        <w:rPr>
          <w:lang w:val="es-ES"/>
        </w:rPr>
        <w:t xml:space="preserve">las </w:t>
      </w:r>
      <w:r w:rsidRPr="00467564">
        <w:rPr>
          <w:lang w:val="es-ES"/>
        </w:rPr>
        <w:t xml:space="preserve">fechas de la </w:t>
      </w:r>
      <w:r w:rsidR="008B18DD">
        <w:rPr>
          <w:lang w:val="es-ES"/>
        </w:rPr>
        <w:t>CMDT-21</w:t>
      </w:r>
    </w:p>
    <w:p w14:paraId="34D74913" w14:textId="600AE643" w:rsidR="00475715" w:rsidRPr="00467564" w:rsidRDefault="006B00B6" w:rsidP="00475715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960" w:after="120" w:line="240" w:lineRule="auto"/>
        <w:ind w:left="142"/>
        <w:jc w:val="left"/>
        <w:rPr>
          <w:rFonts w:eastAsia="MS Mincho"/>
          <w:b/>
          <w:bCs/>
          <w:color w:val="000000" w:themeColor="text1"/>
          <w:sz w:val="26"/>
          <w:szCs w:val="26"/>
          <w:lang w:val="es-ES"/>
        </w:rPr>
      </w:pPr>
      <w:r w:rsidRPr="00467564">
        <w:rPr>
          <w:b/>
          <w:sz w:val="26"/>
          <w:szCs w:val="26"/>
          <w:lang w:val="es-ES"/>
        </w:rPr>
        <w:t>Nombre del Estado Miembro:</w:t>
      </w:r>
      <w:r w:rsidR="00475715" w:rsidRPr="00467564">
        <w:rPr>
          <w:rFonts w:eastAsia="MS Mincho"/>
          <w:b/>
          <w:bCs/>
          <w:color w:val="000000" w:themeColor="text1"/>
          <w:sz w:val="26"/>
          <w:szCs w:val="26"/>
          <w:lang w:val="es-ES"/>
        </w:rPr>
        <w:t xml:space="preserve"> </w:t>
      </w:r>
    </w:p>
    <w:tbl>
      <w:tblPr>
        <w:tblStyle w:val="TableGrid"/>
        <w:tblW w:w="0" w:type="auto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75715" w:rsidRPr="00475715" w14:paraId="2A5B7881" w14:textId="77777777" w:rsidTr="00DF5C9E">
        <w:trPr>
          <w:trHeight w:val="651"/>
        </w:trPr>
        <w:tc>
          <w:tcPr>
            <w:tcW w:w="9636" w:type="dxa"/>
            <w:vAlign w:val="center"/>
          </w:tcPr>
          <w:p w14:paraId="421B3F62" w14:textId="77777777" w:rsidR="00475715" w:rsidRPr="00475715" w:rsidRDefault="00475715" w:rsidP="00475715">
            <w:pPr>
              <w:spacing w:before="0" w:line="240" w:lineRule="auto"/>
              <w:jc w:val="left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14:paraId="0E43B6FF" w14:textId="622A6878" w:rsidR="00475715" w:rsidRPr="00475715" w:rsidRDefault="000C52C5" w:rsidP="00475715">
      <w:pPr>
        <w:tabs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</w:pPr>
      <w:r w:rsidRPr="00467564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>Estamos de acuerdo con el cambio de las fechas de la CMDT-</w:t>
      </w:r>
      <w:r w:rsidR="00475715" w:rsidRPr="00475715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 xml:space="preserve">21 </w:t>
      </w:r>
      <w:r w:rsidR="008B18DD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>del</w:t>
      </w:r>
      <w:r w:rsidR="00475715" w:rsidRPr="00475715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 xml:space="preserve"> 6</w:t>
      </w:r>
      <w:r w:rsidR="008B18DD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 xml:space="preserve"> al </w:t>
      </w:r>
      <w:r w:rsidR="00475715" w:rsidRPr="00475715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 xml:space="preserve">15 </w:t>
      </w:r>
      <w:r w:rsidR="00467564" w:rsidRPr="00467564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>de junio de</w:t>
      </w:r>
      <w:r w:rsidR="00475715" w:rsidRPr="00475715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 xml:space="preserve"> 2022:</w:t>
      </w:r>
    </w:p>
    <w:p w14:paraId="56D01274" w14:textId="71367BAA" w:rsidR="00475715" w:rsidRPr="00475715" w:rsidRDefault="000C52C5" w:rsidP="00475715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</w:pPr>
      <w:r w:rsidRPr="00467564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>S</w:t>
      </w:r>
      <w:r w:rsidR="003F0F0D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>í</w:t>
      </w:r>
      <w:r w:rsidR="00475715" w:rsidRPr="00475715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 xml:space="preserve"> </w:t>
      </w:r>
      <w:r w:rsidR="00475715" w:rsidRPr="00475715">
        <w:rPr>
          <w:rFonts w:ascii="Wingdings 2" w:eastAsia="MS Mincho" w:hAnsi="Wingdings 2" w:cs="Calibri Light"/>
          <w:position w:val="-4"/>
          <w:sz w:val="28"/>
          <w:szCs w:val="28"/>
          <w:lang w:val="es-ES" w:eastAsia="zh-CN"/>
        </w:rPr>
        <w:t></w:t>
      </w:r>
      <w:r w:rsidR="00475715" w:rsidRPr="00475715">
        <w:rPr>
          <w:rFonts w:ascii="Calibri Light" w:eastAsia="MS Mincho" w:hAnsi="Calibri Light" w:cs="Calibri Light"/>
          <w:sz w:val="24"/>
          <w:szCs w:val="24"/>
          <w:lang w:val="es-ES" w:eastAsia="zh-CN"/>
        </w:rPr>
        <w:tab/>
      </w:r>
      <w:r w:rsidR="00475715" w:rsidRPr="00475715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 xml:space="preserve">No </w:t>
      </w:r>
      <w:r w:rsidR="00475715" w:rsidRPr="00475715">
        <w:rPr>
          <w:rFonts w:ascii="Wingdings 2" w:eastAsia="MS Mincho" w:hAnsi="Wingdings 2" w:cs="Calibri Light"/>
          <w:position w:val="-4"/>
          <w:sz w:val="28"/>
          <w:szCs w:val="28"/>
          <w:lang w:val="es-ES" w:eastAsia="zh-CN"/>
        </w:rPr>
        <w:t></w:t>
      </w:r>
      <w:r w:rsidR="00475715" w:rsidRPr="00475715">
        <w:rPr>
          <w:rFonts w:ascii="Wingdings 2" w:eastAsia="MS Mincho" w:hAnsi="Wingdings 2" w:cs="Calibri Light"/>
          <w:position w:val="-4"/>
          <w:sz w:val="28"/>
          <w:szCs w:val="28"/>
          <w:lang w:val="es-ES" w:eastAsia="zh-CN"/>
        </w:rPr>
        <w:t></w:t>
      </w:r>
      <w:r w:rsidR="00475715" w:rsidRPr="00475715">
        <w:rPr>
          <w:rFonts w:ascii="Wingdings 2" w:eastAsia="MS Mincho" w:hAnsi="Wingdings 2" w:cs="Calibri Light"/>
          <w:position w:val="-4"/>
          <w:sz w:val="28"/>
          <w:szCs w:val="28"/>
          <w:lang w:val="es-ES" w:eastAsia="zh-CN"/>
        </w:rPr>
        <w:tab/>
      </w:r>
      <w:r w:rsidRPr="00467564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>Abstención</w:t>
      </w:r>
      <w:r w:rsidR="00475715" w:rsidRPr="00475715">
        <w:rPr>
          <w:rFonts w:ascii="Calibri Light" w:eastAsia="MS Mincho" w:hAnsi="Calibri Light" w:cs="Calibri Light"/>
          <w:color w:val="000000" w:themeColor="text1"/>
          <w:sz w:val="24"/>
          <w:szCs w:val="24"/>
          <w:lang w:val="es-ES"/>
        </w:rPr>
        <w:t xml:space="preserve"> </w:t>
      </w:r>
      <w:r w:rsidR="00475715" w:rsidRPr="00475715">
        <w:rPr>
          <w:rFonts w:ascii="Wingdings 2" w:eastAsia="MS Mincho" w:hAnsi="Wingdings 2" w:cs="Calibri Light"/>
          <w:position w:val="-4"/>
          <w:sz w:val="28"/>
          <w:szCs w:val="28"/>
          <w:lang w:val="es-ES" w:eastAsia="zh-CN"/>
        </w:rPr>
        <w:t></w:t>
      </w:r>
    </w:p>
    <w:p w14:paraId="0760C05D" w14:textId="77777777" w:rsidR="00475715" w:rsidRPr="00475715" w:rsidRDefault="00475715" w:rsidP="00475715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240" w:after="120" w:line="240" w:lineRule="auto"/>
        <w:ind w:left="-454"/>
        <w:jc w:val="left"/>
        <w:rPr>
          <w:rFonts w:eastAsia="MS Mincho"/>
          <w:b/>
          <w:bCs/>
          <w:color w:val="000000" w:themeColor="text1"/>
          <w:sz w:val="26"/>
          <w:szCs w:val="26"/>
          <w:lang w:val="es-ES"/>
        </w:rPr>
      </w:pPr>
    </w:p>
    <w:p w14:paraId="539648F2" w14:textId="3527BFEB" w:rsidR="006B00B6" w:rsidRDefault="006B00B6" w:rsidP="000C52C5">
      <w:pPr>
        <w:pStyle w:val="Heading1"/>
        <w:tabs>
          <w:tab w:val="clear" w:pos="794"/>
          <w:tab w:val="left" w:pos="1800"/>
        </w:tabs>
        <w:ind w:left="0" w:firstLine="0"/>
        <w:rPr>
          <w:lang w:val="es-ES"/>
        </w:rPr>
      </w:pPr>
      <w:r w:rsidRPr="00467564">
        <w:rPr>
          <w:b w:val="0"/>
          <w:lang w:val="es-ES"/>
        </w:rPr>
        <w:t xml:space="preserve">Se ruega a los </w:t>
      </w:r>
      <w:r w:rsidR="002C3DC4">
        <w:rPr>
          <w:b w:val="0"/>
          <w:lang w:val="es-ES"/>
        </w:rPr>
        <w:t>coordinadores</w:t>
      </w:r>
      <w:r w:rsidRPr="00467564">
        <w:rPr>
          <w:b w:val="0"/>
          <w:lang w:val="es-ES"/>
        </w:rPr>
        <w:t xml:space="preserve"> que tengan a bien responder a la consulta utilizando la </w:t>
      </w:r>
      <w:hyperlink r:id="rId14" w:history="1">
        <w:r w:rsidR="000C52C5" w:rsidRPr="00A82850">
          <w:rPr>
            <w:rStyle w:val="Hyperlink"/>
            <w:b w:val="0"/>
            <w:bCs/>
            <w:lang w:val="es-ES"/>
          </w:rPr>
          <w:t>herramienta en línea</w:t>
        </w:r>
      </w:hyperlink>
      <w:r w:rsidRPr="00467564">
        <w:rPr>
          <w:b w:val="0"/>
          <w:lang w:val="es-ES"/>
        </w:rPr>
        <w:t xml:space="preserve">, o por correo electrónico a </w:t>
      </w:r>
      <w:hyperlink r:id="rId15" w:history="1">
        <w:r w:rsidRPr="00467564">
          <w:rPr>
            <w:rStyle w:val="Hyperlink"/>
            <w:b w:val="0"/>
            <w:lang w:val="es-ES"/>
          </w:rPr>
          <w:t>memberstates@itu.int</w:t>
        </w:r>
      </w:hyperlink>
      <w:r w:rsidRPr="003F0F0D">
        <w:rPr>
          <w:b w:val="0"/>
          <w:lang w:val="es-ES"/>
        </w:rPr>
        <w:t>,</w:t>
      </w:r>
      <w:r w:rsidRPr="00467564">
        <w:rPr>
          <w:lang w:val="es-ES"/>
        </w:rPr>
        <w:t xml:space="preserve"> a más tardar el </w:t>
      </w:r>
      <w:r w:rsidR="002C3DC4">
        <w:rPr>
          <w:lang w:val="es-ES"/>
        </w:rPr>
        <w:t xml:space="preserve">22 </w:t>
      </w:r>
      <w:r w:rsidR="000C52C5" w:rsidRPr="00467564">
        <w:rPr>
          <w:lang w:val="es-ES"/>
        </w:rPr>
        <w:t xml:space="preserve">de </w:t>
      </w:r>
      <w:r w:rsidR="002C3DC4">
        <w:rPr>
          <w:lang w:val="es-ES"/>
        </w:rPr>
        <w:t xml:space="preserve">junio </w:t>
      </w:r>
      <w:r w:rsidR="000C52C5" w:rsidRPr="00467564">
        <w:rPr>
          <w:lang w:val="es-ES"/>
        </w:rPr>
        <w:t>de 2021</w:t>
      </w:r>
      <w:r w:rsidRPr="00145512">
        <w:rPr>
          <w:b w:val="0"/>
          <w:bCs/>
          <w:lang w:val="es-ES"/>
        </w:rPr>
        <w:t>.</w:t>
      </w:r>
    </w:p>
    <w:p w14:paraId="66E2B0EA" w14:textId="66E34B1C" w:rsidR="002C3DC4" w:rsidRDefault="002C3DC4" w:rsidP="002C3DC4">
      <w:pPr>
        <w:rPr>
          <w:lang w:val="es-ES"/>
        </w:rPr>
      </w:pPr>
    </w:p>
    <w:p w14:paraId="38C54DB6" w14:textId="0442FF1C" w:rsidR="00A45C66" w:rsidRPr="00A45C66" w:rsidRDefault="00A45C66" w:rsidP="00A45C66">
      <w:pPr>
        <w:rPr>
          <w:lang w:val="es-ES"/>
        </w:rPr>
      </w:pPr>
    </w:p>
    <w:p w14:paraId="19418D4C" w14:textId="02D651F6" w:rsidR="00A45C66" w:rsidRPr="00A45C66" w:rsidRDefault="00A45C66" w:rsidP="00A45C66">
      <w:pPr>
        <w:rPr>
          <w:lang w:val="es-ES"/>
        </w:rPr>
      </w:pPr>
    </w:p>
    <w:p w14:paraId="73130A6E" w14:textId="3C84036B" w:rsidR="00A45C66" w:rsidRPr="00A45C66" w:rsidRDefault="00A45C66" w:rsidP="00A45C66">
      <w:pPr>
        <w:rPr>
          <w:lang w:val="es-ES"/>
        </w:rPr>
      </w:pPr>
    </w:p>
    <w:p w14:paraId="2F83E82E" w14:textId="726EEB0C" w:rsidR="00A45C66" w:rsidRPr="00A45C66" w:rsidRDefault="00A45C66" w:rsidP="00A45C66">
      <w:pPr>
        <w:rPr>
          <w:lang w:val="es-ES"/>
        </w:rPr>
      </w:pPr>
    </w:p>
    <w:p w14:paraId="243C305C" w14:textId="3417FCC9" w:rsidR="00A45C66" w:rsidRPr="00A45C66" w:rsidRDefault="00A45C66" w:rsidP="00A45C66">
      <w:pPr>
        <w:rPr>
          <w:lang w:val="es-ES"/>
        </w:rPr>
      </w:pPr>
    </w:p>
    <w:p w14:paraId="174969D0" w14:textId="766D0C47" w:rsidR="00A45C66" w:rsidRDefault="00A45C66" w:rsidP="00A45C66">
      <w:pPr>
        <w:rPr>
          <w:lang w:val="es-ES"/>
        </w:rPr>
      </w:pPr>
    </w:p>
    <w:p w14:paraId="507CF714" w14:textId="77777777" w:rsidR="00A45C66" w:rsidRPr="00A45C66" w:rsidRDefault="00A45C66" w:rsidP="00A45C66">
      <w:pPr>
        <w:jc w:val="center"/>
        <w:rPr>
          <w:lang w:val="es-ES"/>
        </w:rPr>
      </w:pPr>
    </w:p>
    <w:sectPr w:rsidR="00A45C66" w:rsidRPr="00A45C66" w:rsidSect="00A45C66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4A0A" w14:textId="77777777" w:rsidR="003E01CA" w:rsidRDefault="003E01CA">
      <w:r>
        <w:separator/>
      </w:r>
    </w:p>
  </w:endnote>
  <w:endnote w:type="continuationSeparator" w:id="0">
    <w:p w14:paraId="600C2EC9" w14:textId="77777777" w:rsidR="003E01CA" w:rsidRDefault="003E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C9B" w14:textId="5A2AFAB0" w:rsidR="00DD479E" w:rsidRPr="00A45C66" w:rsidRDefault="00A45C66" w:rsidP="00A45C6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6F590F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6F590F">
      <w:rPr>
        <w:color w:val="3E8EDE"/>
        <w:sz w:val="18"/>
        <w:szCs w:val="18"/>
      </w:rPr>
      <w:t>Nations</w:t>
    </w:r>
    <w:proofErr w:type="spellEnd"/>
    <w:r w:rsidRPr="006F590F">
      <w:rPr>
        <w:color w:val="3E8EDE"/>
        <w:sz w:val="18"/>
        <w:szCs w:val="18"/>
      </w:rPr>
      <w:t>, CH</w:t>
    </w:r>
    <w:r w:rsidRPr="006F590F">
      <w:rPr>
        <w:color w:val="3E8EDE"/>
        <w:sz w:val="18"/>
        <w:szCs w:val="18"/>
      </w:rPr>
      <w:noBreakHyphen/>
      <w:t>1211 Ginebra 20, Suiza</w:t>
    </w:r>
    <w:r w:rsidRPr="006F590F">
      <w:rPr>
        <w:color w:val="3E8EDE"/>
        <w:sz w:val="18"/>
        <w:szCs w:val="18"/>
      </w:rPr>
      <w:br/>
      <w:t>Tel</w:t>
    </w:r>
    <w:r>
      <w:rPr>
        <w:color w:val="3E8EDE"/>
        <w:sz w:val="18"/>
        <w:szCs w:val="18"/>
      </w:rPr>
      <w:t>.</w:t>
    </w:r>
    <w:r w:rsidRPr="006F590F">
      <w:rPr>
        <w:color w:val="3E8EDE"/>
        <w:sz w:val="18"/>
        <w:szCs w:val="18"/>
      </w:rPr>
      <w:t xml:space="preserve">: +41 22 730 5111 • Fax: +41 22 733 7256 • Correo-e: </w:t>
    </w:r>
    <w:hyperlink r:id="rId1" w:history="1">
      <w:r w:rsidRPr="006F590F">
        <w:rPr>
          <w:color w:val="3E8EDE"/>
          <w:sz w:val="18"/>
          <w:szCs w:val="18"/>
        </w:rPr>
        <w:t>itumail@itu.int</w:t>
      </w:r>
    </w:hyperlink>
    <w:r w:rsidRPr="006F590F">
      <w:rPr>
        <w:color w:val="3E8EDE"/>
        <w:sz w:val="18"/>
        <w:szCs w:val="18"/>
      </w:rPr>
      <w:t xml:space="preserve"> • </w:t>
    </w:r>
    <w:hyperlink r:id="rId2" w:history="1">
      <w:r w:rsidRPr="006F590F">
        <w:rPr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CAFF" w14:textId="77777777" w:rsidR="003E01CA" w:rsidRDefault="003E01CA">
      <w:r>
        <w:t>____________________</w:t>
      </w:r>
    </w:p>
  </w:footnote>
  <w:footnote w:type="continuationSeparator" w:id="0">
    <w:p w14:paraId="254ED607" w14:textId="77777777" w:rsidR="003E01CA" w:rsidRDefault="003E01CA">
      <w:r>
        <w:continuationSeparator/>
      </w:r>
    </w:p>
  </w:footnote>
  <w:footnote w:id="1">
    <w:p w14:paraId="0B688ED2" w14:textId="7E8E692C" w:rsidR="00E963A4" w:rsidRPr="0052159D" w:rsidRDefault="00E963A4" w:rsidP="00E963A4">
      <w:pPr>
        <w:spacing w:before="0" w:line="240" w:lineRule="exact"/>
      </w:pPr>
      <w:r>
        <w:rPr>
          <w:rStyle w:val="FootnoteReference"/>
        </w:rPr>
        <w:t>*</w:t>
      </w:r>
      <w:r w:rsidR="003F0F0D">
        <w:t xml:space="preserve"> </w:t>
      </w:r>
      <w:r>
        <w:rPr>
          <w:b/>
          <w:bCs/>
          <w:i/>
          <w:iCs/>
          <w:sz w:val="20"/>
          <w:szCs w:val="20"/>
        </w:rPr>
        <w:t>Herramienta en línea</w:t>
      </w:r>
      <w:r w:rsidRPr="006F660D">
        <w:rPr>
          <w:b/>
          <w:bCs/>
          <w:i/>
          <w:iCs/>
          <w:sz w:val="20"/>
          <w:szCs w:val="20"/>
        </w:rPr>
        <w:t xml:space="preserve">: </w:t>
      </w:r>
      <w:r w:rsidRPr="00E963A4">
        <w:rPr>
          <w:sz w:val="20"/>
          <w:szCs w:val="20"/>
        </w:rPr>
        <w:t xml:space="preserve">Cada Coordinador de la Administración puede acceder directamente a la herramienta en línea utilizando su cuenta de usuario de la UIT con los datos de acceso TIES (nombre de usuario y contraseña). Se invita a todo Coordinador de la Administración que desee designar a otra persona para que responda a la consulta a través de la herramienta en línea a que lo comunique a la UIT a la </w:t>
      </w:r>
      <w:r w:rsidRPr="003F0F0D">
        <w:rPr>
          <w:sz w:val="20"/>
          <w:szCs w:val="20"/>
        </w:rPr>
        <w:t xml:space="preserve">dirección </w:t>
      </w:r>
      <w:r w:rsidRPr="003F0F0D">
        <w:rPr>
          <w:rStyle w:val="Hyperlink"/>
          <w:sz w:val="20"/>
          <w:szCs w:val="20"/>
        </w:rPr>
        <w:t>memberstates@itu.int</w:t>
      </w:r>
      <w:r w:rsidRPr="003F0F0D">
        <w:rPr>
          <w:sz w:val="20"/>
          <w:szCs w:val="20"/>
        </w:rPr>
        <w:t>,</w:t>
      </w:r>
      <w:r w:rsidRPr="00E963A4">
        <w:rPr>
          <w:sz w:val="20"/>
          <w:szCs w:val="20"/>
        </w:rPr>
        <w:t xml:space="preserve"> indicando el nombre de usuario de la persona designada</w:t>
      </w:r>
      <w:r>
        <w:rPr>
          <w:sz w:val="20"/>
          <w:szCs w:val="20"/>
        </w:rPr>
        <w:t>.</w:t>
      </w:r>
      <w:r w:rsidRPr="00E963A4">
        <w:t xml:space="preserve"> </w:t>
      </w:r>
      <w:r w:rsidRPr="00E963A4">
        <w:rPr>
          <w:sz w:val="20"/>
          <w:szCs w:val="20"/>
        </w:rPr>
        <w:t>Téngase en cuenta que la herramienta en línea está disponible únicamente en inglés</w:t>
      </w:r>
      <w:r>
        <w:rPr>
          <w:sz w:val="20"/>
          <w:szCs w:val="20"/>
        </w:rPr>
        <w:t>.</w:t>
      </w:r>
      <w:r w:rsidRPr="007F4F19">
        <w:rPr>
          <w:b/>
          <w:color w:val="8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2775" w14:textId="158F1F93" w:rsidR="00DD479E" w:rsidRPr="00DD479E" w:rsidRDefault="00DD479E" w:rsidP="00DD479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-</w:t>
    </w:r>
    <w:r w:rsidRPr="00155CA8">
      <w:rPr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3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3C1B" w14:textId="3F75A04E" w:rsidR="00DD479E" w:rsidRPr="00DD479E" w:rsidRDefault="00DD479E" w:rsidP="00DD479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-</w:t>
    </w:r>
    <w:r w:rsidRPr="00155CA8">
      <w:rPr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4343" w14:textId="0641C790" w:rsidR="00A45C66" w:rsidRPr="00940351" w:rsidRDefault="00A45C66" w:rsidP="00A45C66">
    <w:pPr>
      <w:pStyle w:val="Header"/>
      <w:tabs>
        <w:tab w:val="clear" w:pos="794"/>
        <w:tab w:val="clear" w:pos="4820"/>
      </w:tabs>
      <w:spacing w:line="360" w:lineRule="auto"/>
      <w:jc w:val="center"/>
    </w:pPr>
    <w:r>
      <w:rPr>
        <w:noProof/>
        <w:lang w:val="en-US"/>
      </w:rPr>
      <w:drawing>
        <wp:inline distT="0" distB="0" distL="0" distR="0" wp14:anchorId="14954E24" wp14:editId="3EE364AA">
          <wp:extent cx="682406" cy="720000"/>
          <wp:effectExtent l="0" t="0" r="3810" b="4445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TU-RGB-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0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84E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AE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90B2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0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62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EC4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6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6F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02F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45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9B2884"/>
    <w:multiLevelType w:val="hybridMultilevel"/>
    <w:tmpl w:val="BB16D54C"/>
    <w:lvl w:ilvl="0" w:tplc="80BC4D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703E96"/>
    <w:rsid w:val="00000B62"/>
    <w:rsid w:val="00010E30"/>
    <w:rsid w:val="00015CFE"/>
    <w:rsid w:val="00023857"/>
    <w:rsid w:val="00026CF8"/>
    <w:rsid w:val="00067158"/>
    <w:rsid w:val="00070258"/>
    <w:rsid w:val="00072B9B"/>
    <w:rsid w:val="00072E16"/>
    <w:rsid w:val="0007323C"/>
    <w:rsid w:val="00086D03"/>
    <w:rsid w:val="000A7051"/>
    <w:rsid w:val="000C03C7"/>
    <w:rsid w:val="000C52C5"/>
    <w:rsid w:val="000C613B"/>
    <w:rsid w:val="000D786F"/>
    <w:rsid w:val="000E3DEE"/>
    <w:rsid w:val="00103C76"/>
    <w:rsid w:val="0011265F"/>
    <w:rsid w:val="00145512"/>
    <w:rsid w:val="00154526"/>
    <w:rsid w:val="0016308F"/>
    <w:rsid w:val="00190824"/>
    <w:rsid w:val="001965B0"/>
    <w:rsid w:val="00196710"/>
    <w:rsid w:val="00197324"/>
    <w:rsid w:val="001B1CE8"/>
    <w:rsid w:val="001D7070"/>
    <w:rsid w:val="001E0DF6"/>
    <w:rsid w:val="001F5A49"/>
    <w:rsid w:val="00200936"/>
    <w:rsid w:val="00201097"/>
    <w:rsid w:val="00201B6E"/>
    <w:rsid w:val="00205FB3"/>
    <w:rsid w:val="002240B2"/>
    <w:rsid w:val="00235A29"/>
    <w:rsid w:val="00243821"/>
    <w:rsid w:val="002861E6"/>
    <w:rsid w:val="00294F67"/>
    <w:rsid w:val="002A2700"/>
    <w:rsid w:val="002C3DC4"/>
    <w:rsid w:val="002D5322"/>
    <w:rsid w:val="002D6688"/>
    <w:rsid w:val="002E4F12"/>
    <w:rsid w:val="002E7E4D"/>
    <w:rsid w:val="002F0890"/>
    <w:rsid w:val="00312504"/>
    <w:rsid w:val="003370B8"/>
    <w:rsid w:val="003666FF"/>
    <w:rsid w:val="003741EE"/>
    <w:rsid w:val="00376793"/>
    <w:rsid w:val="003928C1"/>
    <w:rsid w:val="003B2BDA"/>
    <w:rsid w:val="003B55EC"/>
    <w:rsid w:val="003B6B45"/>
    <w:rsid w:val="003C4471"/>
    <w:rsid w:val="003D512B"/>
    <w:rsid w:val="003E01CA"/>
    <w:rsid w:val="003E240A"/>
    <w:rsid w:val="003E504F"/>
    <w:rsid w:val="003F0F0D"/>
    <w:rsid w:val="003F750A"/>
    <w:rsid w:val="00402B07"/>
    <w:rsid w:val="004326DB"/>
    <w:rsid w:val="0043682E"/>
    <w:rsid w:val="004547D6"/>
    <w:rsid w:val="004574E0"/>
    <w:rsid w:val="00467564"/>
    <w:rsid w:val="00475715"/>
    <w:rsid w:val="00475BEB"/>
    <w:rsid w:val="004815EB"/>
    <w:rsid w:val="00482AB8"/>
    <w:rsid w:val="00486DE0"/>
    <w:rsid w:val="00496920"/>
    <w:rsid w:val="004B18C5"/>
    <w:rsid w:val="004B1B14"/>
    <w:rsid w:val="004B7C9A"/>
    <w:rsid w:val="004C4BA6"/>
    <w:rsid w:val="004C4F80"/>
    <w:rsid w:val="004E0DC4"/>
    <w:rsid w:val="004E0FB5"/>
    <w:rsid w:val="004E43BB"/>
    <w:rsid w:val="004F178E"/>
    <w:rsid w:val="004F61B8"/>
    <w:rsid w:val="00505309"/>
    <w:rsid w:val="0050789B"/>
    <w:rsid w:val="0051325F"/>
    <w:rsid w:val="00515771"/>
    <w:rsid w:val="00522B24"/>
    <w:rsid w:val="005323E5"/>
    <w:rsid w:val="00542A47"/>
    <w:rsid w:val="00543DF8"/>
    <w:rsid w:val="00546101"/>
    <w:rsid w:val="00553DD7"/>
    <w:rsid w:val="00562CE3"/>
    <w:rsid w:val="0057469A"/>
    <w:rsid w:val="00580814"/>
    <w:rsid w:val="005860CC"/>
    <w:rsid w:val="005A03A3"/>
    <w:rsid w:val="005A5716"/>
    <w:rsid w:val="005B214C"/>
    <w:rsid w:val="005B5FF1"/>
    <w:rsid w:val="005C4551"/>
    <w:rsid w:val="005C6B83"/>
    <w:rsid w:val="00602D53"/>
    <w:rsid w:val="00612D2E"/>
    <w:rsid w:val="00617E19"/>
    <w:rsid w:val="006264BC"/>
    <w:rsid w:val="0064024B"/>
    <w:rsid w:val="00640D9B"/>
    <w:rsid w:val="006421AC"/>
    <w:rsid w:val="00651777"/>
    <w:rsid w:val="006746BE"/>
    <w:rsid w:val="006758F7"/>
    <w:rsid w:val="00676DEA"/>
    <w:rsid w:val="00690C51"/>
    <w:rsid w:val="00696340"/>
    <w:rsid w:val="006A0A47"/>
    <w:rsid w:val="006B00B6"/>
    <w:rsid w:val="006B0590"/>
    <w:rsid w:val="006B49DA"/>
    <w:rsid w:val="006C131F"/>
    <w:rsid w:val="006C7B4E"/>
    <w:rsid w:val="006F590F"/>
    <w:rsid w:val="00703E96"/>
    <w:rsid w:val="00707216"/>
    <w:rsid w:val="007234B1"/>
    <w:rsid w:val="00730B9A"/>
    <w:rsid w:val="007367A3"/>
    <w:rsid w:val="00770D65"/>
    <w:rsid w:val="00775723"/>
    <w:rsid w:val="007840E2"/>
    <w:rsid w:val="007921A7"/>
    <w:rsid w:val="007A1904"/>
    <w:rsid w:val="007A5C27"/>
    <w:rsid w:val="007B3DB1"/>
    <w:rsid w:val="007C77A2"/>
    <w:rsid w:val="007D183E"/>
    <w:rsid w:val="007D6910"/>
    <w:rsid w:val="007E3F13"/>
    <w:rsid w:val="007F06D0"/>
    <w:rsid w:val="00800012"/>
    <w:rsid w:val="00801ACA"/>
    <w:rsid w:val="00811D34"/>
    <w:rsid w:val="00813EB2"/>
    <w:rsid w:val="0081513E"/>
    <w:rsid w:val="00816E74"/>
    <w:rsid w:val="00823210"/>
    <w:rsid w:val="00843445"/>
    <w:rsid w:val="00847D46"/>
    <w:rsid w:val="00853504"/>
    <w:rsid w:val="00854131"/>
    <w:rsid w:val="0085652D"/>
    <w:rsid w:val="0087626D"/>
    <w:rsid w:val="0087694B"/>
    <w:rsid w:val="008802FB"/>
    <w:rsid w:val="00884FBB"/>
    <w:rsid w:val="00897122"/>
    <w:rsid w:val="008B18DD"/>
    <w:rsid w:val="008B478B"/>
    <w:rsid w:val="008B47FA"/>
    <w:rsid w:val="008F4F21"/>
    <w:rsid w:val="00904D4A"/>
    <w:rsid w:val="009151BA"/>
    <w:rsid w:val="00925DC5"/>
    <w:rsid w:val="009277BC"/>
    <w:rsid w:val="00927D57"/>
    <w:rsid w:val="00933154"/>
    <w:rsid w:val="00936A4E"/>
    <w:rsid w:val="009378D6"/>
    <w:rsid w:val="00941D23"/>
    <w:rsid w:val="0095010C"/>
    <w:rsid w:val="00963D9D"/>
    <w:rsid w:val="00965617"/>
    <w:rsid w:val="00981B54"/>
    <w:rsid w:val="009842C3"/>
    <w:rsid w:val="009A6BB6"/>
    <w:rsid w:val="009C161F"/>
    <w:rsid w:val="009C3873"/>
    <w:rsid w:val="009E4AEC"/>
    <w:rsid w:val="009E5BD8"/>
    <w:rsid w:val="009E681E"/>
    <w:rsid w:val="009F2CE7"/>
    <w:rsid w:val="009F3D6F"/>
    <w:rsid w:val="00A335BC"/>
    <w:rsid w:val="00A34D6F"/>
    <w:rsid w:val="00A41F91"/>
    <w:rsid w:val="00A45C66"/>
    <w:rsid w:val="00A533F1"/>
    <w:rsid w:val="00A82850"/>
    <w:rsid w:val="00A82887"/>
    <w:rsid w:val="00A86A44"/>
    <w:rsid w:val="00A963DF"/>
    <w:rsid w:val="00AB4803"/>
    <w:rsid w:val="00AB7507"/>
    <w:rsid w:val="00AC3896"/>
    <w:rsid w:val="00AE6CFA"/>
    <w:rsid w:val="00AF3325"/>
    <w:rsid w:val="00B3242E"/>
    <w:rsid w:val="00B34CF9"/>
    <w:rsid w:val="00B4083F"/>
    <w:rsid w:val="00B67004"/>
    <w:rsid w:val="00B8275D"/>
    <w:rsid w:val="00B90C45"/>
    <w:rsid w:val="00B933BE"/>
    <w:rsid w:val="00BB4069"/>
    <w:rsid w:val="00BD37C2"/>
    <w:rsid w:val="00BD3929"/>
    <w:rsid w:val="00BD7825"/>
    <w:rsid w:val="00BD7E5E"/>
    <w:rsid w:val="00BE6574"/>
    <w:rsid w:val="00BF4AF2"/>
    <w:rsid w:val="00C11E4E"/>
    <w:rsid w:val="00C54AC2"/>
    <w:rsid w:val="00C57E2C"/>
    <w:rsid w:val="00C608B7"/>
    <w:rsid w:val="00C66F24"/>
    <w:rsid w:val="00C9291E"/>
    <w:rsid w:val="00C94F19"/>
    <w:rsid w:val="00CA3F44"/>
    <w:rsid w:val="00CA4E58"/>
    <w:rsid w:val="00CA730E"/>
    <w:rsid w:val="00CB3771"/>
    <w:rsid w:val="00CB5153"/>
    <w:rsid w:val="00CC0DA0"/>
    <w:rsid w:val="00CE1B62"/>
    <w:rsid w:val="00CF6752"/>
    <w:rsid w:val="00D05EC2"/>
    <w:rsid w:val="00D10BA0"/>
    <w:rsid w:val="00D13BAC"/>
    <w:rsid w:val="00D24EB5"/>
    <w:rsid w:val="00D41571"/>
    <w:rsid w:val="00D416A0"/>
    <w:rsid w:val="00D47672"/>
    <w:rsid w:val="00D5123C"/>
    <w:rsid w:val="00D51C9E"/>
    <w:rsid w:val="00D55560"/>
    <w:rsid w:val="00D61C5A"/>
    <w:rsid w:val="00D71CE1"/>
    <w:rsid w:val="00D960C2"/>
    <w:rsid w:val="00DA1488"/>
    <w:rsid w:val="00DA4E56"/>
    <w:rsid w:val="00DD479E"/>
    <w:rsid w:val="00DE5996"/>
    <w:rsid w:val="00DE66A5"/>
    <w:rsid w:val="00DF2B50"/>
    <w:rsid w:val="00E003F5"/>
    <w:rsid w:val="00E04C86"/>
    <w:rsid w:val="00E20F30"/>
    <w:rsid w:val="00E27BBA"/>
    <w:rsid w:val="00E3407B"/>
    <w:rsid w:val="00E34CD1"/>
    <w:rsid w:val="00E35E8F"/>
    <w:rsid w:val="00E40A29"/>
    <w:rsid w:val="00E438E8"/>
    <w:rsid w:val="00E520E2"/>
    <w:rsid w:val="00E523F4"/>
    <w:rsid w:val="00E52A9E"/>
    <w:rsid w:val="00E64254"/>
    <w:rsid w:val="00E900A2"/>
    <w:rsid w:val="00E963A4"/>
    <w:rsid w:val="00EA15B3"/>
    <w:rsid w:val="00EB2358"/>
    <w:rsid w:val="00EB3EB8"/>
    <w:rsid w:val="00ED7A30"/>
    <w:rsid w:val="00EE24F2"/>
    <w:rsid w:val="00EF43D4"/>
    <w:rsid w:val="00EF6E7A"/>
    <w:rsid w:val="00F210DE"/>
    <w:rsid w:val="00F42C8C"/>
    <w:rsid w:val="00F468C5"/>
    <w:rsid w:val="00F52F39"/>
    <w:rsid w:val="00F55EAB"/>
    <w:rsid w:val="00F566AF"/>
    <w:rsid w:val="00F57FC2"/>
    <w:rsid w:val="00F65298"/>
    <w:rsid w:val="00F914DD"/>
    <w:rsid w:val="00F92C17"/>
    <w:rsid w:val="00F957FF"/>
    <w:rsid w:val="00FA2358"/>
    <w:rsid w:val="00FB2592"/>
    <w:rsid w:val="00FB2810"/>
    <w:rsid w:val="00FC2947"/>
    <w:rsid w:val="00FD561E"/>
    <w:rsid w:val="00FE0818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E7E4B4"/>
  <w15:docId w15:val="{D8E07338-5C1B-4CE8-A0B2-A010052E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encabezad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te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CA730E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51325F"/>
    <w:pPr>
      <w:tabs>
        <w:tab w:val="clear" w:pos="794"/>
        <w:tab w:val="clear" w:pos="1191"/>
        <w:tab w:val="clear" w:pos="1588"/>
        <w:tab w:val="clear" w:pos="1985"/>
      </w:tabs>
      <w:spacing w:before="360"/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5C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965B0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482A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82AB8"/>
    <w:rPr>
      <w:szCs w:val="22"/>
      <w:lang w:val="es-ES_tradnl" w:eastAsia="en-US"/>
    </w:rPr>
  </w:style>
  <w:style w:type="paragraph" w:styleId="Title">
    <w:name w:val="Title"/>
    <w:basedOn w:val="Normal"/>
    <w:link w:val="TitleChar"/>
    <w:qFormat/>
    <w:rsid w:val="004B18C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Arial" w:hAnsi="Arial" w:cs="Times New Roman"/>
      <w:b/>
      <w:bCs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B18C5"/>
    <w:rPr>
      <w:rFonts w:ascii="Arial" w:hAnsi="Arial" w:cs="Times New Roman"/>
      <w:b/>
      <w:bCs/>
      <w:sz w:val="22"/>
      <w:lang w:val="en-GB" w:eastAsia="en-US"/>
    </w:rPr>
  </w:style>
  <w:style w:type="paragraph" w:styleId="BodyText">
    <w:name w:val="Body Text"/>
    <w:basedOn w:val="Normal"/>
    <w:link w:val="BodyTextChar"/>
    <w:rsid w:val="004B18C5"/>
    <w:pPr>
      <w:tabs>
        <w:tab w:val="clear" w:pos="794"/>
        <w:tab w:val="clear" w:pos="1191"/>
        <w:tab w:val="clear" w:pos="1588"/>
        <w:tab w:val="clear" w:pos="1985"/>
      </w:tabs>
      <w:spacing w:before="240" w:after="360" w:line="240" w:lineRule="auto"/>
      <w:jc w:val="center"/>
    </w:pPr>
    <w:rPr>
      <w:rFonts w:ascii="Tahoma" w:hAnsi="Tahoma" w:cs="Tahoma"/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B18C5"/>
    <w:rPr>
      <w:rFonts w:ascii="Tahoma" w:hAnsi="Tahoma" w:cs="Tahoma"/>
      <w:b/>
      <w:bCs/>
      <w:sz w:val="22"/>
      <w:lang w:val="en-US" w:eastAsia="en-US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E52A9E"/>
    <w:rPr>
      <w:sz w:val="22"/>
      <w:szCs w:val="22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0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7B4E"/>
    <w:rPr>
      <w:sz w:val="22"/>
      <w:szCs w:val="22"/>
      <w:lang w:val="es-ES_tradnl" w:eastAsia="en-US"/>
    </w:rPr>
  </w:style>
  <w:style w:type="paragraph" w:customStyle="1" w:styleId="AnnexNo">
    <w:name w:val="Annex_No"/>
    <w:basedOn w:val="Normal"/>
    <w:next w:val="Normal"/>
    <w:rsid w:val="00C94F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Annextitle">
    <w:name w:val="Annex_title"/>
    <w:basedOn w:val="Normal"/>
    <w:next w:val="Normal"/>
    <w:rsid w:val="00C94F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DM-CIR-01010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tate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tates@itu.int" TargetMode="External"/><Relationship Id="rId10" Type="http://schemas.openxmlformats.org/officeDocument/2006/relationships/hyperlink" Target="https://www.itu.int/online/mm/scripts/s/gensel8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10/en" TargetMode="External"/><Relationship Id="rId14" Type="http://schemas.openxmlformats.org/officeDocument/2006/relationships/hyperlink" Target="https://www.itu.int/online/mm/scripts/s/gensel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%20SGlet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219D-BEC2-4672-B8D9-C5BFB412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 SGletter.dotx</Template>
  <TotalTime>0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(Spanish)</vt:lpstr>
      <vt:lpstr>ITU-T Rec. Book 1 Resolutions ITU-T Series A Recommendations:</vt:lpstr>
    </vt:vector>
  </TitlesOfParts>
  <Company>ITU</Company>
  <LinksUpToDate>false</LinksUpToDate>
  <CharactersWithSpaces>3015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Spanish83</dc:creator>
  <cp:lastModifiedBy>Diallo, Maywenn</cp:lastModifiedBy>
  <cp:revision>2</cp:revision>
  <cp:lastPrinted>2017-12-18T10:11:00Z</cp:lastPrinted>
  <dcterms:created xsi:type="dcterms:W3CDTF">2021-05-25T11:10:00Z</dcterms:created>
  <dcterms:modified xsi:type="dcterms:W3CDTF">2021-05-25T11:10:00Z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