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923A1B" w:rsidRPr="00790F2A" w14:paraId="6E1681AE" w14:textId="77777777" w:rsidTr="00162982">
        <w:trPr>
          <w:cantSplit/>
          <w:trHeight w:val="851"/>
        </w:trPr>
        <w:tc>
          <w:tcPr>
            <w:tcW w:w="6469" w:type="dxa"/>
            <w:vAlign w:val="center"/>
          </w:tcPr>
          <w:p w14:paraId="29D32417" w14:textId="6B731704" w:rsidR="00923A1B" w:rsidRPr="00790F2A" w:rsidRDefault="000854C6" w:rsidP="00A7440D">
            <w:pPr>
              <w:shd w:val="solid" w:color="FFFFFF" w:fill="FFFFFF"/>
              <w:spacing w:before="40" w:after="120"/>
              <w:rPr>
                <w:rFonts w:cs="Times"/>
                <w:b/>
              </w:rPr>
            </w:pPr>
            <w:r w:rsidRPr="00790F2A">
              <w:rPr>
                <w:rFonts w:cs="Times"/>
                <w:b/>
                <w:sz w:val="30"/>
                <w:szCs w:val="30"/>
              </w:rPr>
              <w:t>Expert Group on the International</w:t>
            </w:r>
            <w:r w:rsidRPr="00790F2A">
              <w:rPr>
                <w:rFonts w:cs="Times"/>
                <w:b/>
                <w:sz w:val="30"/>
                <w:szCs w:val="30"/>
              </w:rPr>
              <w:br/>
              <w:t>Telecommunication Regulations (EG-ITRs)</w:t>
            </w:r>
            <w:r w:rsidR="00162982" w:rsidRPr="00790F2A">
              <w:rPr>
                <w:rFonts w:cs="Times"/>
                <w:b/>
                <w:sz w:val="32"/>
                <w:szCs w:val="32"/>
              </w:rPr>
              <w:br/>
            </w:r>
            <w:r w:rsidR="000349C4">
              <w:rPr>
                <w:b/>
                <w:bCs/>
                <w:sz w:val="24"/>
                <w:szCs w:val="24"/>
              </w:rPr>
              <w:t>Fifth</w:t>
            </w:r>
            <w:r w:rsidR="002C2D6C" w:rsidRPr="00790F2A">
              <w:rPr>
                <w:b/>
                <w:bCs/>
                <w:sz w:val="24"/>
                <w:szCs w:val="24"/>
              </w:rPr>
              <w:t xml:space="preserve"> </w:t>
            </w:r>
            <w:r w:rsidR="00162982" w:rsidRPr="00790F2A">
              <w:rPr>
                <w:b/>
                <w:bCs/>
                <w:sz w:val="24"/>
                <w:szCs w:val="24"/>
              </w:rPr>
              <w:t xml:space="preserve">meeting </w:t>
            </w:r>
            <w:r w:rsidR="002C2D6C" w:rsidRPr="00790F2A">
              <w:rPr>
                <w:b/>
                <w:bCs/>
                <w:sz w:val="24"/>
                <w:szCs w:val="24"/>
              </w:rPr>
              <w:t>–</w:t>
            </w:r>
            <w:r w:rsidR="00162982" w:rsidRPr="00790F2A">
              <w:rPr>
                <w:b/>
                <w:bCs/>
                <w:sz w:val="24"/>
                <w:szCs w:val="24"/>
              </w:rPr>
              <w:t xml:space="preserve"> </w:t>
            </w:r>
            <w:r w:rsidR="002C2D6C" w:rsidRPr="00790F2A">
              <w:rPr>
                <w:b/>
                <w:bCs/>
                <w:sz w:val="24"/>
                <w:szCs w:val="24"/>
              </w:rPr>
              <w:t>Virtual meeting</w:t>
            </w:r>
            <w:r w:rsidR="00162982" w:rsidRPr="00790F2A">
              <w:rPr>
                <w:b/>
                <w:bCs/>
                <w:sz w:val="24"/>
                <w:szCs w:val="24"/>
              </w:rPr>
              <w:t xml:space="preserve">, </w:t>
            </w:r>
            <w:r w:rsidR="00BD434A">
              <w:rPr>
                <w:b/>
                <w:bCs/>
                <w:sz w:val="24"/>
                <w:szCs w:val="24"/>
              </w:rPr>
              <w:t>3</w:t>
            </w:r>
            <w:r w:rsidR="000349C4">
              <w:rPr>
                <w:b/>
                <w:bCs/>
                <w:sz w:val="24"/>
                <w:szCs w:val="24"/>
              </w:rPr>
              <w:t>0 September</w:t>
            </w:r>
            <w:r w:rsidR="00BD434A">
              <w:rPr>
                <w:b/>
                <w:bCs/>
                <w:sz w:val="24"/>
                <w:szCs w:val="24"/>
              </w:rPr>
              <w:t>-</w:t>
            </w:r>
            <w:r w:rsidR="000349C4">
              <w:rPr>
                <w:b/>
                <w:bCs/>
                <w:sz w:val="24"/>
                <w:szCs w:val="24"/>
              </w:rPr>
              <w:t>1 October</w:t>
            </w:r>
            <w:r w:rsidR="002C2D6C" w:rsidRPr="00790F2A">
              <w:rPr>
                <w:b/>
                <w:bCs/>
                <w:sz w:val="24"/>
                <w:szCs w:val="24"/>
              </w:rPr>
              <w:t xml:space="preserve"> 202</w:t>
            </w:r>
            <w:r w:rsidR="00BD434A">
              <w:rPr>
                <w:b/>
                <w:bCs/>
                <w:sz w:val="24"/>
                <w:szCs w:val="24"/>
              </w:rPr>
              <w:t>1</w:t>
            </w:r>
          </w:p>
        </w:tc>
        <w:tc>
          <w:tcPr>
            <w:tcW w:w="3561" w:type="dxa"/>
            <w:vAlign w:val="center"/>
          </w:tcPr>
          <w:p w14:paraId="241C55DB" w14:textId="785EB79F" w:rsidR="00923A1B" w:rsidRPr="00790F2A" w:rsidRDefault="00B36E39" w:rsidP="00162982">
            <w:pPr>
              <w:pStyle w:val="dnum"/>
              <w:framePr w:hSpace="0" w:wrap="auto" w:vAnchor="margin" w:hAnchor="text" w:yAlign="inline"/>
              <w:spacing w:after="0"/>
            </w:pPr>
            <w:r w:rsidRPr="00790F2A">
              <w:rPr>
                <w:noProof/>
              </w:rPr>
              <w:drawing>
                <wp:inline distT="0" distB="0" distL="0" distR="0" wp14:anchorId="64B7344A" wp14:editId="74C16E6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23A1B" w:rsidRPr="00790F2A" w14:paraId="406D6FB1" w14:textId="77777777" w:rsidTr="00162982">
        <w:trPr>
          <w:cantSplit/>
          <w:trHeight w:val="138"/>
        </w:trPr>
        <w:tc>
          <w:tcPr>
            <w:tcW w:w="6469" w:type="dxa"/>
            <w:tcBorders>
              <w:top w:val="single" w:sz="12" w:space="0" w:color="auto"/>
            </w:tcBorders>
          </w:tcPr>
          <w:p w14:paraId="1D6AF3F8" w14:textId="77777777" w:rsidR="00923A1B" w:rsidRPr="00790F2A" w:rsidRDefault="00923A1B" w:rsidP="00162982">
            <w:pPr>
              <w:shd w:val="solid" w:color="FFFFFF" w:fill="FFFFFF"/>
              <w:spacing w:after="0"/>
              <w:ind w:right="284"/>
            </w:pPr>
          </w:p>
        </w:tc>
        <w:tc>
          <w:tcPr>
            <w:tcW w:w="3561" w:type="dxa"/>
            <w:tcBorders>
              <w:top w:val="single" w:sz="12" w:space="0" w:color="auto"/>
            </w:tcBorders>
          </w:tcPr>
          <w:p w14:paraId="2B1E31E9" w14:textId="77777777" w:rsidR="00923A1B" w:rsidRPr="00790F2A" w:rsidRDefault="00923A1B" w:rsidP="00162982">
            <w:pPr>
              <w:tabs>
                <w:tab w:val="left" w:pos="851"/>
              </w:tabs>
              <w:spacing w:after="0"/>
              <w:ind w:right="284"/>
              <w:rPr>
                <w:rFonts w:ascii="Times New Roman Bold" w:hAnsi="Times New Roman Bold" w:cs="Times New Roman Bold"/>
                <w:b/>
              </w:rPr>
            </w:pPr>
          </w:p>
        </w:tc>
      </w:tr>
      <w:tr w:rsidR="00923A1B" w:rsidRPr="000C548F" w14:paraId="1BBCA794" w14:textId="77777777" w:rsidTr="00162982">
        <w:trPr>
          <w:cantSplit/>
          <w:trHeight w:val="138"/>
        </w:trPr>
        <w:tc>
          <w:tcPr>
            <w:tcW w:w="6469" w:type="dxa"/>
          </w:tcPr>
          <w:p w14:paraId="4162AE0B" w14:textId="31302F2B" w:rsidR="00923A1B" w:rsidRPr="00EE28ED" w:rsidRDefault="00923A1B" w:rsidP="00162982">
            <w:pPr>
              <w:spacing w:after="0"/>
              <w:rPr>
                <w:b/>
                <w:bCs/>
                <w:sz w:val="24"/>
                <w:szCs w:val="24"/>
              </w:rPr>
            </w:pPr>
          </w:p>
        </w:tc>
        <w:tc>
          <w:tcPr>
            <w:tcW w:w="3561" w:type="dxa"/>
          </w:tcPr>
          <w:p w14:paraId="01BBC68C" w14:textId="09A6D1F7" w:rsidR="00923A1B" w:rsidRPr="009340E2" w:rsidRDefault="00923A1B" w:rsidP="00162982">
            <w:pPr>
              <w:spacing w:after="0"/>
              <w:rPr>
                <w:b/>
                <w:bCs/>
                <w:sz w:val="24"/>
                <w:szCs w:val="24"/>
                <w:lang w:val="fr-CH"/>
              </w:rPr>
            </w:pPr>
            <w:r w:rsidRPr="009340E2">
              <w:rPr>
                <w:b/>
                <w:bCs/>
                <w:sz w:val="24"/>
                <w:szCs w:val="24"/>
                <w:lang w:val="fr-CH"/>
              </w:rPr>
              <w:t xml:space="preserve">Document </w:t>
            </w:r>
            <w:r w:rsidR="000854C6" w:rsidRPr="009340E2">
              <w:rPr>
                <w:b/>
                <w:bCs/>
                <w:sz w:val="24"/>
                <w:szCs w:val="24"/>
                <w:lang w:val="fr-CH"/>
              </w:rPr>
              <w:t>EG-ITRs</w:t>
            </w:r>
            <w:r w:rsidR="00A7440D" w:rsidRPr="009340E2">
              <w:rPr>
                <w:b/>
                <w:bCs/>
                <w:sz w:val="24"/>
                <w:szCs w:val="24"/>
                <w:lang w:val="fr-CH"/>
              </w:rPr>
              <w:t>-</w:t>
            </w:r>
            <w:r w:rsidR="000349C4" w:rsidRPr="009340E2">
              <w:rPr>
                <w:b/>
                <w:bCs/>
                <w:sz w:val="24"/>
                <w:szCs w:val="24"/>
                <w:lang w:val="fr-CH"/>
              </w:rPr>
              <w:t>5</w:t>
            </w:r>
            <w:r w:rsidR="00236464" w:rsidRPr="009340E2">
              <w:rPr>
                <w:b/>
                <w:bCs/>
                <w:sz w:val="24"/>
                <w:szCs w:val="24"/>
                <w:lang w:val="fr-CH"/>
              </w:rPr>
              <w:t>/</w:t>
            </w:r>
            <w:r w:rsidR="009340E2" w:rsidRPr="009340E2">
              <w:rPr>
                <w:b/>
                <w:bCs/>
                <w:sz w:val="24"/>
                <w:szCs w:val="24"/>
                <w:lang w:val="fr-CH"/>
              </w:rPr>
              <w:t>INF/1</w:t>
            </w:r>
            <w:r w:rsidR="000854C6" w:rsidRPr="009340E2">
              <w:rPr>
                <w:b/>
                <w:bCs/>
                <w:sz w:val="24"/>
                <w:szCs w:val="24"/>
                <w:lang w:val="fr-CH"/>
              </w:rPr>
              <w:t>-E</w:t>
            </w:r>
          </w:p>
        </w:tc>
      </w:tr>
      <w:tr w:rsidR="00923A1B" w:rsidRPr="00EE28ED" w14:paraId="100AEFFF" w14:textId="77777777" w:rsidTr="00162982">
        <w:trPr>
          <w:cantSplit/>
          <w:trHeight w:val="138"/>
        </w:trPr>
        <w:tc>
          <w:tcPr>
            <w:tcW w:w="6469" w:type="dxa"/>
          </w:tcPr>
          <w:p w14:paraId="2F758D85" w14:textId="77777777" w:rsidR="00923A1B" w:rsidRPr="009340E2" w:rsidRDefault="00923A1B" w:rsidP="00162982">
            <w:pPr>
              <w:shd w:val="solid" w:color="FFFFFF" w:fill="FFFFFF"/>
              <w:spacing w:after="0"/>
              <w:ind w:right="284"/>
              <w:rPr>
                <w:sz w:val="24"/>
                <w:szCs w:val="24"/>
                <w:highlight w:val="yellow"/>
                <w:lang w:val="fr-CH"/>
              </w:rPr>
            </w:pPr>
          </w:p>
        </w:tc>
        <w:tc>
          <w:tcPr>
            <w:tcW w:w="3561" w:type="dxa"/>
          </w:tcPr>
          <w:p w14:paraId="4BC2ED00" w14:textId="67A0D9D8" w:rsidR="00923A1B" w:rsidRPr="000349C4" w:rsidRDefault="009340E2" w:rsidP="000C5350">
            <w:pPr>
              <w:tabs>
                <w:tab w:val="left" w:pos="851"/>
              </w:tabs>
              <w:spacing w:after="0"/>
              <w:ind w:right="284"/>
              <w:rPr>
                <w:b/>
                <w:sz w:val="24"/>
                <w:szCs w:val="24"/>
                <w:highlight w:val="yellow"/>
              </w:rPr>
            </w:pPr>
            <w:r>
              <w:rPr>
                <w:b/>
                <w:sz w:val="24"/>
                <w:szCs w:val="24"/>
              </w:rPr>
              <w:t>26</w:t>
            </w:r>
            <w:r w:rsidR="00933C23" w:rsidRPr="00933C23">
              <w:rPr>
                <w:b/>
                <w:sz w:val="24"/>
                <w:szCs w:val="24"/>
              </w:rPr>
              <w:t xml:space="preserve"> August</w:t>
            </w:r>
            <w:r w:rsidR="000C5350" w:rsidRPr="00933C23">
              <w:rPr>
                <w:b/>
                <w:sz w:val="24"/>
                <w:szCs w:val="24"/>
              </w:rPr>
              <w:t xml:space="preserve"> 202</w:t>
            </w:r>
            <w:r w:rsidR="00933C23" w:rsidRPr="00933C23">
              <w:rPr>
                <w:b/>
                <w:sz w:val="24"/>
                <w:szCs w:val="24"/>
              </w:rPr>
              <w:t>1</w:t>
            </w:r>
          </w:p>
        </w:tc>
      </w:tr>
      <w:tr w:rsidR="00923A1B" w:rsidRPr="00790F2A" w14:paraId="71FD0A17" w14:textId="77777777" w:rsidTr="00162982">
        <w:trPr>
          <w:cantSplit/>
          <w:trHeight w:val="138"/>
        </w:trPr>
        <w:tc>
          <w:tcPr>
            <w:tcW w:w="6469" w:type="dxa"/>
          </w:tcPr>
          <w:p w14:paraId="0EA5B8B2" w14:textId="77777777" w:rsidR="00923A1B" w:rsidRPr="00790F2A" w:rsidRDefault="00923A1B" w:rsidP="00162982">
            <w:pPr>
              <w:shd w:val="solid" w:color="FFFFFF" w:fill="FFFFFF"/>
              <w:spacing w:after="0"/>
              <w:ind w:right="284"/>
              <w:rPr>
                <w:sz w:val="24"/>
                <w:szCs w:val="24"/>
              </w:rPr>
            </w:pPr>
          </w:p>
        </w:tc>
        <w:tc>
          <w:tcPr>
            <w:tcW w:w="3561" w:type="dxa"/>
          </w:tcPr>
          <w:p w14:paraId="06AB3AD7" w14:textId="655E8195" w:rsidR="00923A1B" w:rsidRPr="00790F2A" w:rsidRDefault="002238C4" w:rsidP="00162982">
            <w:pPr>
              <w:tabs>
                <w:tab w:val="left" w:pos="851"/>
              </w:tabs>
              <w:spacing w:after="0"/>
              <w:ind w:right="284"/>
              <w:rPr>
                <w:b/>
                <w:sz w:val="24"/>
                <w:szCs w:val="24"/>
              </w:rPr>
            </w:pPr>
            <w:r w:rsidRPr="00790F2A">
              <w:rPr>
                <w:b/>
                <w:sz w:val="24"/>
                <w:szCs w:val="24"/>
              </w:rPr>
              <w:t>English</w:t>
            </w:r>
            <w:r w:rsidR="009340E2">
              <w:rPr>
                <w:b/>
                <w:sz w:val="24"/>
                <w:szCs w:val="24"/>
              </w:rPr>
              <w:t xml:space="preserve"> only</w:t>
            </w:r>
          </w:p>
        </w:tc>
      </w:tr>
      <w:tr w:rsidR="000854C6" w:rsidRPr="00790F2A" w14:paraId="27824CBA" w14:textId="77777777" w:rsidTr="00162982">
        <w:trPr>
          <w:cantSplit/>
          <w:trHeight w:val="138"/>
        </w:trPr>
        <w:tc>
          <w:tcPr>
            <w:tcW w:w="10030" w:type="dxa"/>
            <w:gridSpan w:val="2"/>
          </w:tcPr>
          <w:p w14:paraId="11774442" w14:textId="410F6A6D" w:rsidR="00C80D79" w:rsidRPr="00790F2A" w:rsidRDefault="009340E2" w:rsidP="00F01842">
            <w:pPr>
              <w:pStyle w:val="Title2"/>
              <w:spacing w:line="240" w:lineRule="auto"/>
            </w:pPr>
            <w:r w:rsidRPr="009340E2">
              <w:t>TSB DIRECTOR’S INPUT ON THE INTERNATIONAL TELECOMMUNICATION REGULATIONS</w:t>
            </w:r>
            <w:r w:rsidR="000349C4">
              <w:br/>
            </w:r>
          </w:p>
        </w:tc>
      </w:tr>
    </w:tbl>
    <w:p w14:paraId="10FA7202" w14:textId="77777777" w:rsidR="009340E2" w:rsidRDefault="009340E2" w:rsidP="00F01842">
      <w:pPr>
        <w:spacing w:line="240" w:lineRule="auto"/>
        <w:rPr>
          <w:rFonts w:ascii="Calibri" w:eastAsia="Times New Roman" w:hAnsi="Calibri" w:cs="Times New Roman"/>
          <w:sz w:val="24"/>
          <w:szCs w:val="20"/>
        </w:rPr>
      </w:pPr>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9340E2" w14:paraId="3DFAC347" w14:textId="77777777" w:rsidTr="009340E2">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72F48001" w14:textId="77777777" w:rsidR="009340E2" w:rsidRDefault="009340E2" w:rsidP="00F01842">
            <w:pPr>
              <w:snapToGrid w:val="0"/>
              <w:spacing w:before="120" w:after="120" w:line="240" w:lineRule="auto"/>
              <w:ind w:left="869" w:hanging="869"/>
            </w:pPr>
            <w:r w:rsidRPr="00F01842">
              <w:rPr>
                <w:rFonts w:eastAsia="SimSun"/>
                <w:b/>
                <w:bCs/>
                <w:szCs w:val="24"/>
              </w:rPr>
              <w:t>Summary</w:t>
            </w:r>
          </w:p>
          <w:p w14:paraId="28DF98EE" w14:textId="77777777" w:rsidR="009340E2" w:rsidRDefault="009340E2" w:rsidP="00F01842">
            <w:pPr>
              <w:spacing w:before="120" w:after="120" w:line="240" w:lineRule="auto"/>
              <w:jc w:val="both"/>
            </w:pPr>
            <w:r>
              <w:t>The TSB Director reported to the 3</w:t>
            </w:r>
            <w:r>
              <w:rPr>
                <w:vertAlign w:val="superscript"/>
              </w:rPr>
              <w:t>rd</w:t>
            </w:r>
            <w:r>
              <w:t xml:space="preserve"> meeting of the Expert Group (17-19 January 2018) on the responses received from the ITU-T study groups regarding the International Telecommunication Regulations. Further updates by some ITU-T study groups were presented at TSAG 26 February – 2 March 2018. This document summarizes the responses received from the study </w:t>
            </w:r>
            <w:proofErr w:type="gramStart"/>
            <w:r>
              <w:t>groups, and</w:t>
            </w:r>
            <w:proofErr w:type="gramEnd"/>
            <w:r>
              <w:t xml:space="preserve"> provides some TSB secretariat updates (relative to EG-ITRs-4/INF/2) on the identified list of Recommendations.</w:t>
            </w:r>
          </w:p>
          <w:p w14:paraId="24FAB1F6" w14:textId="77777777" w:rsidR="009340E2" w:rsidRDefault="009340E2" w:rsidP="00F01842">
            <w:pPr>
              <w:snapToGrid w:val="0"/>
              <w:spacing w:before="120" w:after="120" w:line="240" w:lineRule="auto"/>
              <w:ind w:left="869" w:hanging="869"/>
            </w:pPr>
            <w:r w:rsidRPr="00F01842">
              <w:rPr>
                <w:rFonts w:eastAsia="SimSun"/>
                <w:b/>
                <w:bCs/>
                <w:szCs w:val="24"/>
              </w:rPr>
              <w:t>Action required</w:t>
            </w:r>
          </w:p>
          <w:p w14:paraId="4089F97E" w14:textId="77777777" w:rsidR="009340E2" w:rsidRDefault="009340E2" w:rsidP="00F01842">
            <w:pPr>
              <w:spacing w:before="120" w:after="120" w:line="240" w:lineRule="auto"/>
            </w:pPr>
            <w:r>
              <w:t>This report is transmitted to EG-ITRs for information.</w:t>
            </w:r>
          </w:p>
          <w:p w14:paraId="0835296C" w14:textId="77777777" w:rsidR="009340E2" w:rsidRPr="00F01842" w:rsidRDefault="009340E2" w:rsidP="00F01842">
            <w:pPr>
              <w:snapToGrid w:val="0"/>
              <w:spacing w:before="120" w:after="120" w:line="240" w:lineRule="auto"/>
              <w:ind w:left="869" w:hanging="869"/>
              <w:rPr>
                <w:rFonts w:eastAsia="SimSun"/>
                <w:b/>
                <w:bCs/>
                <w:szCs w:val="24"/>
              </w:rPr>
            </w:pPr>
            <w:r w:rsidRPr="00F01842">
              <w:rPr>
                <w:rFonts w:eastAsia="SimSun"/>
                <w:b/>
                <w:bCs/>
                <w:szCs w:val="24"/>
              </w:rPr>
              <w:t>References</w:t>
            </w:r>
          </w:p>
          <w:p w14:paraId="7A82D51E" w14:textId="77777777" w:rsidR="009340E2" w:rsidRDefault="00CB6CC0" w:rsidP="00F01842">
            <w:pPr>
              <w:spacing w:before="120" w:after="120" w:line="240" w:lineRule="auto"/>
            </w:pPr>
            <w:hyperlink r:id="rId9" w:history="1">
              <w:r w:rsidR="009340E2">
                <w:rPr>
                  <w:rStyle w:val="Hyperlink"/>
                </w:rPr>
                <w:t>TSB Director’s input on The International Telecommunication Regulations EG-ITRs-4/INF/2</w:t>
              </w:r>
            </w:hyperlink>
            <w:r w:rsidR="009340E2">
              <w:t xml:space="preserve"> (10 April 2018)</w:t>
            </w:r>
          </w:p>
          <w:p w14:paraId="0836EBA5" w14:textId="77777777" w:rsidR="009340E2" w:rsidRDefault="00CB6CC0" w:rsidP="00F01842">
            <w:pPr>
              <w:spacing w:before="120" w:after="120" w:line="240" w:lineRule="auto"/>
              <w:rPr>
                <w:i/>
                <w:iCs/>
              </w:rPr>
            </w:pPr>
            <w:hyperlink r:id="rId10" w:history="1">
              <w:r w:rsidR="009340E2">
                <w:rPr>
                  <w:rStyle w:val="Hyperlink"/>
                </w:rPr>
                <w:t>TSB Director's input to the third meeting of the EG-ITRs</w:t>
              </w:r>
            </w:hyperlink>
            <w:r w:rsidR="009340E2">
              <w:t xml:space="preserve"> (January 2018); </w:t>
            </w:r>
            <w:hyperlink r:id="rId11" w:history="1">
              <w:r w:rsidR="009340E2">
                <w:rPr>
                  <w:rStyle w:val="Hyperlink"/>
                </w:rPr>
                <w:t>TSAG TD 265</w:t>
              </w:r>
            </w:hyperlink>
            <w:r w:rsidR="009340E2">
              <w:t xml:space="preserve"> (26 February – 2 March 2018)</w:t>
            </w:r>
          </w:p>
        </w:tc>
      </w:tr>
    </w:tbl>
    <w:p w14:paraId="7D8C935B" w14:textId="14FE1414" w:rsidR="006C3576" w:rsidRDefault="006C3576">
      <w:pPr>
        <w:spacing w:after="0" w:line="240" w:lineRule="auto"/>
        <w:rPr>
          <w:b/>
          <w:bCs/>
        </w:rPr>
      </w:pPr>
      <w:bookmarkStart w:id="0" w:name="dstart"/>
      <w:bookmarkStart w:id="1" w:name="dbreak"/>
      <w:bookmarkEnd w:id="0"/>
      <w:bookmarkEnd w:id="1"/>
    </w:p>
    <w:p w14:paraId="43E901E6" w14:textId="77777777" w:rsidR="006C3576" w:rsidRDefault="006C3576">
      <w:pPr>
        <w:spacing w:after="0" w:line="240" w:lineRule="auto"/>
        <w:rPr>
          <w:b/>
          <w:bCs/>
        </w:rPr>
      </w:pPr>
      <w:r>
        <w:rPr>
          <w:b/>
          <w:bCs/>
        </w:rPr>
        <w:br w:type="page"/>
      </w:r>
    </w:p>
    <w:p w14:paraId="58224652" w14:textId="19B7AD97" w:rsidR="009340E2" w:rsidRDefault="009340E2" w:rsidP="00F01842">
      <w:pPr>
        <w:spacing w:before="360" w:after="120" w:line="240" w:lineRule="auto"/>
        <w:rPr>
          <w:rFonts w:eastAsia="Times New Roman"/>
          <w:b/>
          <w:bCs/>
          <w:szCs w:val="20"/>
          <w:lang w:eastAsia="en-US"/>
        </w:rPr>
      </w:pPr>
      <w:r>
        <w:rPr>
          <w:b/>
          <w:bCs/>
        </w:rPr>
        <w:lastRenderedPageBreak/>
        <w:t>Responses from ITU-T Study Groups</w:t>
      </w:r>
    </w:p>
    <w:tbl>
      <w:tblPr>
        <w:tblW w:w="9923" w:type="dxa"/>
        <w:tblCellMar>
          <w:left w:w="0" w:type="dxa"/>
          <w:right w:w="0" w:type="dxa"/>
        </w:tblCellMar>
        <w:tblLook w:val="04A0" w:firstRow="1" w:lastRow="0" w:firstColumn="1" w:lastColumn="0" w:noHBand="0" w:noVBand="1"/>
      </w:tblPr>
      <w:tblGrid>
        <w:gridCol w:w="1642"/>
        <w:gridCol w:w="8281"/>
      </w:tblGrid>
      <w:tr w:rsidR="009340E2" w14:paraId="448D9C09" w14:textId="77777777" w:rsidTr="009340E2">
        <w:trPr>
          <w:trHeight w:val="300"/>
          <w:tblHeader/>
        </w:trPr>
        <w:tc>
          <w:tcPr>
            <w:tcW w:w="1642"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108" w:type="dxa"/>
              <w:bottom w:w="0" w:type="dxa"/>
              <w:right w:w="108" w:type="dxa"/>
            </w:tcMar>
            <w:hideMark/>
          </w:tcPr>
          <w:p w14:paraId="35F0953A" w14:textId="77777777" w:rsidR="009340E2" w:rsidRDefault="009340E2" w:rsidP="00F01842">
            <w:pPr>
              <w:spacing w:after="120" w:line="240" w:lineRule="auto"/>
              <w:rPr>
                <w:rFonts w:cstheme="minorHAnsi"/>
                <w:b/>
                <w:i/>
                <w:iCs/>
              </w:rPr>
            </w:pPr>
            <w:r>
              <w:rPr>
                <w:rFonts w:cstheme="minorHAnsi"/>
                <w:b/>
                <w:i/>
                <w:iCs/>
              </w:rPr>
              <w:t>Study Group</w:t>
            </w:r>
          </w:p>
        </w:tc>
        <w:tc>
          <w:tcPr>
            <w:tcW w:w="8281"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hideMark/>
          </w:tcPr>
          <w:p w14:paraId="699998F3" w14:textId="77777777" w:rsidR="009340E2" w:rsidRDefault="009340E2" w:rsidP="00F01842">
            <w:pPr>
              <w:spacing w:after="120" w:line="240" w:lineRule="auto"/>
              <w:rPr>
                <w:rFonts w:cstheme="minorHAnsi"/>
                <w:b/>
                <w:i/>
                <w:iCs/>
              </w:rPr>
            </w:pPr>
            <w:r>
              <w:rPr>
                <w:rFonts w:cstheme="minorHAnsi"/>
                <w:b/>
                <w:i/>
                <w:iCs/>
              </w:rPr>
              <w:t xml:space="preserve">Input from the SG </w:t>
            </w:r>
          </w:p>
        </w:tc>
      </w:tr>
      <w:tr w:rsidR="009340E2" w14:paraId="15E32FCA" w14:textId="77777777" w:rsidTr="009340E2">
        <w:trPr>
          <w:trHeight w:val="21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A7E57B" w14:textId="77777777" w:rsidR="009340E2" w:rsidRDefault="009340E2" w:rsidP="00F01842">
            <w:pPr>
              <w:spacing w:after="120" w:line="240" w:lineRule="auto"/>
              <w:rPr>
                <w:rFonts w:cstheme="minorHAnsi"/>
                <w:b/>
              </w:rPr>
            </w:pPr>
            <w:r>
              <w:rPr>
                <w:rFonts w:cstheme="minorHAnsi"/>
                <w:b/>
              </w:rPr>
              <w:t>ITU-T SG2</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4F1B5BDA"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w:t>
            </w:r>
            <w:hyperlink r:id="rId12" w:history="1">
              <w:r>
                <w:rPr>
                  <w:rStyle w:val="Hyperlink"/>
                  <w:rFonts w:cstheme="minorHAnsi"/>
                </w:rPr>
                <w:t>TSAG TD 265</w:t>
              </w:r>
            </w:hyperlink>
            <w:r>
              <w:rPr>
                <w:rFonts w:cstheme="minorHAnsi"/>
              </w:rPr>
              <w:t>, 26 February – 2 March 2018):</w:t>
            </w:r>
          </w:p>
          <w:p w14:paraId="679F8E90" w14:textId="77777777" w:rsidR="009340E2" w:rsidRDefault="009340E2" w:rsidP="006C3576">
            <w:pPr>
              <w:spacing w:before="120" w:after="120" w:line="240" w:lineRule="auto"/>
              <w:rPr>
                <w:rFonts w:cstheme="minorHAnsi"/>
              </w:rPr>
            </w:pPr>
            <w:r>
              <w:rPr>
                <w:rFonts w:cstheme="minorHAnsi"/>
              </w:rPr>
              <w:t>“In response to the request made to the Director TSB at the EG-ITR’s meeting (January 2018) seeking specific information on ITU-T Recommendations that could be relevant to the articles of 2012 ITR’s, SG2 undertook a review by correspondence. In addition to the Recommendations that were already identified in TSB Circular 55 (September 2013), some additional Recommendations were identified that were thought to be relevant to specific articles of the ITR’s and were added to the list of those SG2 Recommendations listed in Circular 55, where it was also noted that implementation of standards are voluntary in nature and should not be considered for "Incorporation By Reference" due to the Treaty nature of the ITRs. The list of referenced Recommendations (based on responses from the SG2 membership) is attached.”</w:t>
            </w:r>
          </w:p>
          <w:p w14:paraId="6F2D1861" w14:textId="77777777" w:rsidR="009340E2" w:rsidRDefault="009340E2" w:rsidP="006C3576">
            <w:pPr>
              <w:spacing w:before="120" w:after="120" w:line="240" w:lineRule="auto"/>
              <w:rPr>
                <w:rFonts w:eastAsia="Batang" w:cstheme="minorHAnsi"/>
              </w:rPr>
            </w:pPr>
            <w:r>
              <w:rPr>
                <w:rFonts w:cstheme="minorHAnsi"/>
              </w:rPr>
              <w:t>Article 3.5: “</w:t>
            </w:r>
            <w:r>
              <w:rPr>
                <w:rFonts w:eastAsia="Batang" w:cstheme="minorHAnsi"/>
              </w:rPr>
              <w:t>ITU-T E-series Recommendation: Overall network operation, telephone service, service operation and human factor, in particular:</w:t>
            </w:r>
          </w:p>
          <w:p w14:paraId="300D3AEC"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3" w:history="1">
              <w:r w:rsidR="009340E2">
                <w:rPr>
                  <w:rStyle w:val="Hyperlink"/>
                  <w:rFonts w:eastAsia="Batang" w:cstheme="minorHAnsi"/>
                </w:rPr>
                <w:t>E.101</w:t>
              </w:r>
            </w:hyperlink>
            <w:r w:rsidR="009340E2">
              <w:rPr>
                <w:rFonts w:eastAsia="Batang" w:cstheme="minorHAnsi"/>
              </w:rPr>
              <w:t>:</w:t>
            </w:r>
            <w:r w:rsidR="009340E2">
              <w:rPr>
                <w:rFonts w:eastAsia="Batang" w:cstheme="minorHAnsi"/>
              </w:rPr>
              <w:tab/>
              <w:t>Definitions of terms used for identifiers (names, numbers, addresses and other identifiers) for public telecommunication services and networks in the E-series Recommendations</w:t>
            </w:r>
          </w:p>
          <w:p w14:paraId="069A48FA"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4" w:history="1">
              <w:r w:rsidR="009340E2">
                <w:rPr>
                  <w:rStyle w:val="Hyperlink"/>
                  <w:rFonts w:eastAsia="Batang" w:cstheme="minorHAnsi"/>
                </w:rPr>
                <w:t>E.118</w:t>
              </w:r>
            </w:hyperlink>
            <w:r w:rsidR="009340E2">
              <w:rPr>
                <w:rFonts w:eastAsia="Batang" w:cstheme="minorHAnsi"/>
              </w:rPr>
              <w:tab/>
              <w:t>The international telecommunication charge card</w:t>
            </w:r>
          </w:p>
          <w:p w14:paraId="67EE5F1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5" w:history="1">
              <w:r w:rsidR="009340E2">
                <w:rPr>
                  <w:rStyle w:val="Hyperlink"/>
                  <w:rFonts w:eastAsia="Batang" w:cstheme="minorHAnsi"/>
                </w:rPr>
                <w:t>E.156</w:t>
              </w:r>
            </w:hyperlink>
            <w:r w:rsidR="009340E2">
              <w:rPr>
                <w:rFonts w:eastAsia="Batang" w:cstheme="minorHAnsi"/>
              </w:rPr>
              <w:tab/>
              <w:t>Guidelines for ITU-T action on reported misuse of E.164 number resources</w:t>
            </w:r>
          </w:p>
          <w:p w14:paraId="3EC3892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6" w:history="1">
              <w:r w:rsidR="009340E2">
                <w:rPr>
                  <w:rStyle w:val="Hyperlink"/>
                  <w:rFonts w:eastAsia="Batang" w:cstheme="minorHAnsi"/>
                </w:rPr>
                <w:t>E.164</w:t>
              </w:r>
            </w:hyperlink>
            <w:r w:rsidR="009340E2">
              <w:rPr>
                <w:rFonts w:eastAsia="Batang" w:cstheme="minorHAnsi"/>
              </w:rPr>
              <w:t>:</w:t>
            </w:r>
            <w:r w:rsidR="009340E2">
              <w:rPr>
                <w:rFonts w:eastAsia="Batang" w:cstheme="minorHAnsi"/>
              </w:rPr>
              <w:tab/>
              <w:t xml:space="preserve">The international public telecommunication numbering </w:t>
            </w:r>
          </w:p>
          <w:p w14:paraId="6E7201D9"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7" w:history="1">
              <w:r w:rsidR="009340E2">
                <w:rPr>
                  <w:rStyle w:val="Hyperlink"/>
                  <w:rFonts w:eastAsia="Batang" w:cstheme="minorHAnsi"/>
                </w:rPr>
                <w:t>E.164.1</w:t>
              </w:r>
            </w:hyperlink>
            <w:r w:rsidR="009340E2">
              <w:rPr>
                <w:rFonts w:eastAsia="Batang" w:cstheme="minorHAnsi"/>
              </w:rPr>
              <w:tab/>
              <w:t xml:space="preserve">Criteria and procedures for the reservation, </w:t>
            </w:r>
            <w:proofErr w:type="gramStart"/>
            <w:r w:rsidR="009340E2">
              <w:rPr>
                <w:rFonts w:eastAsia="Batang" w:cstheme="minorHAnsi"/>
              </w:rPr>
              <w:t>assignment</w:t>
            </w:r>
            <w:proofErr w:type="gramEnd"/>
            <w:r w:rsidR="009340E2">
              <w:rPr>
                <w:rFonts w:eastAsia="Batang" w:cstheme="minorHAnsi"/>
              </w:rPr>
              <w:t xml:space="preserve"> and reclamation of E.164 country codes and associated identification codes (ICs)</w:t>
            </w:r>
          </w:p>
          <w:p w14:paraId="26BDC9C2"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8" w:history="1">
              <w:r w:rsidR="009340E2">
                <w:rPr>
                  <w:rStyle w:val="Hyperlink"/>
                  <w:rFonts w:eastAsia="Batang" w:cstheme="minorHAnsi"/>
                </w:rPr>
                <w:t>E.164.2</w:t>
              </w:r>
            </w:hyperlink>
            <w:r w:rsidR="009340E2">
              <w:rPr>
                <w:rFonts w:eastAsia="Batang" w:cstheme="minorHAnsi"/>
              </w:rPr>
              <w:tab/>
              <w:t>E.164 numbering resources for trials</w:t>
            </w:r>
          </w:p>
          <w:p w14:paraId="59F1EEE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9" w:history="1">
              <w:r w:rsidR="009340E2">
                <w:rPr>
                  <w:rStyle w:val="Hyperlink"/>
                  <w:rFonts w:eastAsia="Batang" w:cstheme="minorHAnsi"/>
                </w:rPr>
                <w:t>E.164.3</w:t>
              </w:r>
            </w:hyperlink>
            <w:r w:rsidR="009340E2">
              <w:rPr>
                <w:rFonts w:eastAsia="Batang" w:cstheme="minorHAnsi"/>
              </w:rPr>
              <w:tab/>
              <w:t>Principles, criteria and procedures for the assignment and reclamation of E.164 country codes and associated identification codes for groups of countries</w:t>
            </w:r>
          </w:p>
          <w:p w14:paraId="3167863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0" w:history="1">
              <w:r w:rsidR="009340E2">
                <w:rPr>
                  <w:rStyle w:val="Hyperlink"/>
                  <w:rFonts w:eastAsia="Batang" w:cstheme="minorHAnsi"/>
                </w:rPr>
                <w:t>E.168</w:t>
              </w:r>
            </w:hyperlink>
            <w:r w:rsidR="009340E2">
              <w:rPr>
                <w:rFonts w:eastAsia="Batang" w:cstheme="minorHAnsi"/>
              </w:rPr>
              <w:t>:</w:t>
            </w:r>
            <w:r w:rsidR="009340E2">
              <w:rPr>
                <w:rFonts w:eastAsia="Batang" w:cstheme="minorHAnsi"/>
              </w:rPr>
              <w:tab/>
              <w:t>Application of E.164 numbering plan for UPT</w:t>
            </w:r>
          </w:p>
          <w:p w14:paraId="6B9595F8"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1" w:history="1">
              <w:r w:rsidR="009340E2">
                <w:rPr>
                  <w:rStyle w:val="Hyperlink"/>
                  <w:rFonts w:eastAsia="Batang" w:cstheme="minorHAnsi"/>
                </w:rPr>
                <w:t>E.168.1</w:t>
              </w:r>
            </w:hyperlink>
            <w:r w:rsidR="009340E2">
              <w:rPr>
                <w:rFonts w:eastAsia="Batang" w:cstheme="minorHAnsi"/>
              </w:rPr>
              <w:tab/>
              <w:t>Assignment procedures for universal personal telecommunications (UPT) numbers in the provisioning of the international UPT service</w:t>
            </w:r>
          </w:p>
          <w:p w14:paraId="64A733B1"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2" w:history="1">
              <w:r w:rsidR="009340E2">
                <w:rPr>
                  <w:rStyle w:val="Hyperlink"/>
                  <w:rFonts w:eastAsia="Batang" w:cstheme="minorHAnsi"/>
                </w:rPr>
                <w:t>E.169</w:t>
              </w:r>
            </w:hyperlink>
            <w:r w:rsidR="009340E2">
              <w:rPr>
                <w:rFonts w:eastAsia="Batang" w:cstheme="minorHAnsi"/>
              </w:rPr>
              <w:t>:</w:t>
            </w:r>
            <w:r w:rsidR="009340E2">
              <w:rPr>
                <w:rFonts w:eastAsia="Batang" w:cstheme="minorHAnsi"/>
              </w:rPr>
              <w:tab/>
              <w:t>Application of E.164 numbering plan for universal international numbers for international telecommunications services using country codes for global service"</w:t>
            </w:r>
          </w:p>
          <w:p w14:paraId="7D76FD04"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3" w:history="1">
              <w:r w:rsidR="009340E2">
                <w:rPr>
                  <w:rStyle w:val="Hyperlink"/>
                  <w:rFonts w:eastAsia="Batang" w:cstheme="minorHAnsi"/>
                </w:rPr>
                <w:t>E.169.1</w:t>
              </w:r>
            </w:hyperlink>
            <w:r w:rsidR="009340E2">
              <w:rPr>
                <w:rFonts w:eastAsia="Batang" w:cstheme="minorHAnsi"/>
              </w:rPr>
              <w:t>:</w:t>
            </w:r>
            <w:r w:rsidR="009340E2">
              <w:rPr>
                <w:rFonts w:eastAsia="Batang" w:cstheme="minorHAnsi"/>
              </w:rPr>
              <w:tab/>
              <w:t>Application of Recommendation E.164 numbering plan for universal international freephone numbers for international freephone service</w:t>
            </w:r>
          </w:p>
          <w:p w14:paraId="58D57BFC"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4" w:history="1">
              <w:r w:rsidR="009340E2">
                <w:rPr>
                  <w:rStyle w:val="Hyperlink"/>
                  <w:rFonts w:eastAsia="Batang" w:cstheme="minorHAnsi"/>
                </w:rPr>
                <w:t>E.169.2</w:t>
              </w:r>
            </w:hyperlink>
            <w:r w:rsidR="009340E2">
              <w:rPr>
                <w:rFonts w:eastAsia="Batang" w:cstheme="minorHAnsi"/>
              </w:rPr>
              <w:t>:</w:t>
            </w:r>
            <w:r w:rsidR="009340E2">
              <w:rPr>
                <w:rFonts w:eastAsia="Batang" w:cstheme="minorHAnsi"/>
              </w:rPr>
              <w:tab/>
              <w:t>Application of Recommendation E.164 numbering plan for universal international premium rate numbers for the international premium rate service</w:t>
            </w:r>
          </w:p>
          <w:p w14:paraId="1102645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5" w:history="1">
              <w:r w:rsidR="009340E2">
                <w:rPr>
                  <w:rStyle w:val="Hyperlink"/>
                  <w:rFonts w:eastAsia="Batang" w:cstheme="minorHAnsi"/>
                </w:rPr>
                <w:t>E.169.3</w:t>
              </w:r>
            </w:hyperlink>
            <w:r w:rsidR="009340E2">
              <w:rPr>
                <w:rFonts w:eastAsia="Batang" w:cstheme="minorHAnsi"/>
              </w:rPr>
              <w:t>:</w:t>
            </w:r>
            <w:r w:rsidR="009340E2">
              <w:rPr>
                <w:rFonts w:eastAsia="Batang" w:cstheme="minorHAnsi"/>
              </w:rPr>
              <w:tab/>
              <w:t>Application of Recommendation E.164 numbering plan for universal international shared cost numbers for the international shared cost service</w:t>
            </w:r>
          </w:p>
          <w:p w14:paraId="23D11A41"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6" w:history="1">
              <w:r w:rsidR="009340E2">
                <w:rPr>
                  <w:rStyle w:val="Hyperlink"/>
                  <w:rFonts w:eastAsia="Batang" w:cstheme="minorHAnsi"/>
                </w:rPr>
                <w:t>E.190</w:t>
              </w:r>
            </w:hyperlink>
            <w:r w:rsidR="009340E2">
              <w:rPr>
                <w:rFonts w:eastAsia="Batang" w:cstheme="minorHAnsi"/>
              </w:rPr>
              <w:t>:</w:t>
            </w:r>
            <w:r w:rsidR="009340E2">
              <w:rPr>
                <w:rFonts w:eastAsia="Batang" w:cstheme="minorHAnsi"/>
              </w:rPr>
              <w:tab/>
              <w:t xml:space="preserve">Principles and responsibilities for the management, </w:t>
            </w:r>
            <w:proofErr w:type="gramStart"/>
            <w:r w:rsidR="009340E2">
              <w:rPr>
                <w:rFonts w:eastAsia="Batang" w:cstheme="minorHAnsi"/>
              </w:rPr>
              <w:t>assignment</w:t>
            </w:r>
            <w:proofErr w:type="gramEnd"/>
            <w:r w:rsidR="009340E2">
              <w:rPr>
                <w:rFonts w:eastAsia="Batang" w:cstheme="minorHAnsi"/>
              </w:rPr>
              <w:t xml:space="preserve"> and reclamation of E-Series international numbering resources</w:t>
            </w:r>
          </w:p>
          <w:p w14:paraId="27E8FA9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7" w:history="1">
              <w:r w:rsidR="009340E2">
                <w:rPr>
                  <w:rStyle w:val="Hyperlink"/>
                  <w:rFonts w:eastAsia="Batang" w:cstheme="minorHAnsi"/>
                </w:rPr>
                <w:t>E.191</w:t>
              </w:r>
            </w:hyperlink>
            <w:r w:rsidR="009340E2">
              <w:rPr>
                <w:rFonts w:eastAsia="Batang" w:cstheme="minorHAnsi"/>
              </w:rPr>
              <w:t>:</w:t>
            </w:r>
            <w:r w:rsidR="009340E2">
              <w:rPr>
                <w:rFonts w:eastAsia="Batang" w:cstheme="minorHAnsi"/>
              </w:rPr>
              <w:tab/>
              <w:t>B-ISDN addressing</w:t>
            </w:r>
          </w:p>
          <w:p w14:paraId="2FE3526C"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8" w:history="1">
              <w:r w:rsidR="009340E2">
                <w:rPr>
                  <w:rStyle w:val="Hyperlink"/>
                  <w:rFonts w:eastAsia="Batang" w:cstheme="minorHAnsi"/>
                </w:rPr>
                <w:t>E.191.1</w:t>
              </w:r>
            </w:hyperlink>
            <w:r w:rsidR="009340E2">
              <w:rPr>
                <w:rFonts w:eastAsia="Batang" w:cstheme="minorHAnsi"/>
              </w:rPr>
              <w:t>:</w:t>
            </w:r>
            <w:r w:rsidR="009340E2">
              <w:rPr>
                <w:rFonts w:eastAsia="Batang" w:cstheme="minorHAnsi"/>
              </w:rPr>
              <w:tab/>
              <w:t>Criteria and procedures for the allocation of the ITU-T International Network Designator addresses</w:t>
            </w:r>
          </w:p>
          <w:p w14:paraId="3EDDB69A"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29" w:history="1">
              <w:r w:rsidR="009340E2">
                <w:rPr>
                  <w:rStyle w:val="Hyperlink"/>
                  <w:rFonts w:eastAsia="Batang" w:cstheme="minorHAnsi"/>
                </w:rPr>
                <w:t>E.193</w:t>
              </w:r>
            </w:hyperlink>
            <w:r w:rsidR="009340E2">
              <w:rPr>
                <w:rFonts w:eastAsia="Batang" w:cstheme="minorHAnsi"/>
              </w:rPr>
              <w:t>:</w:t>
            </w:r>
            <w:r w:rsidR="009340E2">
              <w:rPr>
                <w:rFonts w:eastAsia="Batang" w:cstheme="minorHAnsi"/>
              </w:rPr>
              <w:tab/>
              <w:t>E.164 country code expansion</w:t>
            </w:r>
          </w:p>
          <w:p w14:paraId="5AB302B7"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0" w:history="1">
              <w:r w:rsidR="009340E2">
                <w:rPr>
                  <w:rStyle w:val="Hyperlink"/>
                  <w:rFonts w:eastAsia="Batang" w:cstheme="minorHAnsi"/>
                </w:rPr>
                <w:t>E.212</w:t>
              </w:r>
            </w:hyperlink>
            <w:r w:rsidR="009340E2">
              <w:rPr>
                <w:rFonts w:eastAsia="Batang" w:cstheme="minorHAnsi"/>
              </w:rPr>
              <w:t>:</w:t>
            </w:r>
            <w:r w:rsidR="009340E2">
              <w:rPr>
                <w:rFonts w:eastAsia="Batang" w:cstheme="minorHAnsi"/>
              </w:rPr>
              <w:tab/>
              <w:t xml:space="preserve">Network operational principles for future public mobile systems and services </w:t>
            </w:r>
          </w:p>
          <w:p w14:paraId="207C1F58"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1" w:history="1">
              <w:r w:rsidR="009340E2">
                <w:rPr>
                  <w:rStyle w:val="Hyperlink"/>
                  <w:rFonts w:eastAsia="Batang" w:cstheme="minorHAnsi"/>
                </w:rPr>
                <w:t>E.213</w:t>
              </w:r>
            </w:hyperlink>
            <w:r w:rsidR="009340E2">
              <w:rPr>
                <w:rFonts w:eastAsia="Batang" w:cstheme="minorHAnsi"/>
              </w:rPr>
              <w:t xml:space="preserve"> T</w:t>
            </w:r>
            <w:r w:rsidR="009340E2">
              <w:rPr>
                <w:rFonts w:cstheme="minorHAnsi"/>
              </w:rPr>
              <w:t>elephone and ISDN numbering plan for land mobile stations in public land mobile networks (PLMN)</w:t>
            </w:r>
          </w:p>
          <w:p w14:paraId="54CB25E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2" w:history="1">
              <w:r w:rsidR="009340E2">
                <w:rPr>
                  <w:rStyle w:val="Hyperlink"/>
                  <w:rFonts w:eastAsia="Batang" w:cstheme="minorHAnsi"/>
                </w:rPr>
                <w:t>E</w:t>
              </w:r>
              <w:r w:rsidR="009340E2">
                <w:rPr>
                  <w:rStyle w:val="Hyperlink"/>
                  <w:rFonts w:eastAsiaTheme="minorHAnsi" w:cstheme="minorHAnsi"/>
                </w:rPr>
                <w:t>.214</w:t>
              </w:r>
            </w:hyperlink>
            <w:r w:rsidR="009340E2">
              <w:rPr>
                <w:rFonts w:eastAsiaTheme="minorHAnsi" w:cstheme="minorHAnsi"/>
              </w:rPr>
              <w:t xml:space="preserve"> Structure of the land mobile global title for the signalling connection </w:t>
            </w:r>
            <w:r w:rsidR="009340E2">
              <w:rPr>
                <w:rFonts w:cstheme="minorHAnsi"/>
              </w:rPr>
              <w:t>control part (SCCP),</w:t>
            </w:r>
          </w:p>
          <w:p w14:paraId="107A95FF"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3" w:history="1">
              <w:r w:rsidR="009340E2">
                <w:rPr>
                  <w:rStyle w:val="Hyperlink"/>
                  <w:rFonts w:eastAsia="Batang" w:cstheme="minorHAnsi"/>
                </w:rPr>
                <w:t>E.1100</w:t>
              </w:r>
            </w:hyperlink>
            <w:r w:rsidR="009340E2">
              <w:rPr>
                <w:rFonts w:eastAsia="Batang" w:cstheme="minorHAnsi"/>
              </w:rPr>
              <w:t>: Specification of an international numbering resource for use in the provisioning of international help lines</w:t>
            </w:r>
          </w:p>
          <w:p w14:paraId="49D90126"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4" w:history="1">
              <w:r w:rsidR="009340E2">
                <w:rPr>
                  <w:rStyle w:val="Hyperlink"/>
                  <w:rFonts w:eastAsia="Batang" w:cstheme="minorHAnsi"/>
                </w:rPr>
                <w:t>E.1110</w:t>
              </w:r>
            </w:hyperlink>
            <w:r w:rsidR="009340E2">
              <w:rPr>
                <w:rFonts w:eastAsia="Batang" w:cstheme="minorHAnsi"/>
              </w:rPr>
              <w:t>: Allocation and assignment of ITU-T E.164 country code 888”</w:t>
            </w:r>
          </w:p>
          <w:p w14:paraId="250DDA69" w14:textId="77777777" w:rsidR="009340E2" w:rsidRDefault="009340E2" w:rsidP="006C3576">
            <w:pPr>
              <w:tabs>
                <w:tab w:val="left" w:pos="1871"/>
                <w:tab w:val="left" w:pos="2041"/>
              </w:tabs>
              <w:spacing w:before="120" w:after="120" w:line="240" w:lineRule="auto"/>
              <w:ind w:left="34"/>
              <w:rPr>
                <w:rFonts w:eastAsia="Batang" w:cstheme="minorHAnsi"/>
              </w:rPr>
            </w:pPr>
            <w:r>
              <w:rPr>
                <w:rFonts w:eastAsia="Batang" w:cstheme="minorHAnsi"/>
              </w:rPr>
              <w:t xml:space="preserve">Article 3.6: </w:t>
            </w:r>
          </w:p>
          <w:p w14:paraId="1F80AC30"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8" w:hanging="284"/>
              <w:rPr>
                <w:rFonts w:eastAsia="Batang" w:cstheme="minorHAnsi"/>
              </w:rPr>
            </w:pPr>
            <w:hyperlink r:id="rId35" w:history="1">
              <w:r w:rsidR="009340E2">
                <w:rPr>
                  <w:rStyle w:val="Hyperlink"/>
                  <w:rFonts w:eastAsia="Batang" w:cstheme="minorHAnsi"/>
                </w:rPr>
                <w:t>E.157</w:t>
              </w:r>
            </w:hyperlink>
            <w:r w:rsidR="009340E2">
              <w:rPr>
                <w:rFonts w:eastAsia="Batang" w:cstheme="minorHAnsi"/>
              </w:rPr>
              <w:t xml:space="preserve">  International calling party number delivery</w:t>
            </w:r>
          </w:p>
          <w:p w14:paraId="265A703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6" w:history="1">
              <w:r w:rsidR="009340E2">
                <w:rPr>
                  <w:rStyle w:val="Hyperlink"/>
                  <w:rFonts w:eastAsia="Batang" w:cstheme="minorHAnsi"/>
                </w:rPr>
                <w:t>I.251.3</w:t>
              </w:r>
            </w:hyperlink>
            <w:r w:rsidR="009340E2">
              <w:rPr>
                <w:rFonts w:eastAsia="Batang" w:cstheme="minorHAnsi"/>
              </w:rPr>
              <w:t xml:space="preserve">  Calling Line Identification Presentation.</w:t>
            </w:r>
          </w:p>
          <w:p w14:paraId="768F284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7" w:history="1">
              <w:r w:rsidR="009340E2">
                <w:rPr>
                  <w:rStyle w:val="Hyperlink"/>
                  <w:rFonts w:eastAsia="Batang" w:cstheme="minorHAnsi"/>
                </w:rPr>
                <w:t>I.251.4</w:t>
              </w:r>
            </w:hyperlink>
            <w:r w:rsidR="009340E2">
              <w:rPr>
                <w:rFonts w:eastAsia="Batang" w:cstheme="minorHAnsi"/>
              </w:rPr>
              <w:t xml:space="preserve">  Calling Line Identification Restriction.</w:t>
            </w:r>
          </w:p>
          <w:p w14:paraId="6D09C84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8" w:history="1">
              <w:r w:rsidR="009340E2">
                <w:rPr>
                  <w:rStyle w:val="Hyperlink"/>
                  <w:rFonts w:eastAsia="Batang" w:cstheme="minorHAnsi"/>
                </w:rPr>
                <w:t>I.251.7</w:t>
              </w:r>
            </w:hyperlink>
            <w:r w:rsidR="009340E2">
              <w:rPr>
                <w:rFonts w:eastAsia="Batang" w:cstheme="minorHAnsi"/>
              </w:rPr>
              <w:t xml:space="preserve">  Malicious Call Identification.</w:t>
            </w:r>
          </w:p>
          <w:p w14:paraId="2B55D99C" w14:textId="77777777" w:rsidR="009340E2" w:rsidRDefault="009340E2" w:rsidP="006C3576">
            <w:pPr>
              <w:spacing w:before="120" w:after="120" w:line="240" w:lineRule="auto"/>
              <w:rPr>
                <w:rFonts w:eastAsia="Times New Roman" w:cstheme="minorHAnsi"/>
              </w:rPr>
            </w:pPr>
            <w:r>
              <w:rPr>
                <w:rFonts w:cstheme="minorHAnsi"/>
              </w:rPr>
              <w:t>Article 4.2:</w:t>
            </w:r>
          </w:p>
          <w:p w14:paraId="178A12F6"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39" w:history="1">
              <w:r w:rsidR="009340E2">
                <w:rPr>
                  <w:rStyle w:val="Hyperlink"/>
                  <w:rFonts w:eastAsia="Batang" w:cstheme="minorHAnsi"/>
                </w:rPr>
                <w:t>E.104</w:t>
              </w:r>
            </w:hyperlink>
            <w:r w:rsidR="009340E2">
              <w:rPr>
                <w:rFonts w:eastAsia="Batang" w:cstheme="minorHAnsi"/>
              </w:rPr>
              <w:t>: International telephone directory assistance service and public access</w:t>
            </w:r>
          </w:p>
          <w:p w14:paraId="27062051"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0" w:history="1">
              <w:r w:rsidR="009340E2">
                <w:rPr>
                  <w:rStyle w:val="Hyperlink"/>
                  <w:rFonts w:eastAsia="Batang" w:cstheme="minorHAnsi"/>
                </w:rPr>
                <w:t>E.105</w:t>
              </w:r>
            </w:hyperlink>
            <w:r w:rsidR="009340E2">
              <w:rPr>
                <w:rFonts w:eastAsia="Batang" w:cstheme="minorHAnsi"/>
              </w:rPr>
              <w:t>: International telephone service</w:t>
            </w:r>
          </w:p>
          <w:p w14:paraId="311278B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1" w:history="1">
              <w:r w:rsidR="009340E2">
                <w:rPr>
                  <w:rStyle w:val="Hyperlink"/>
                  <w:rFonts w:eastAsia="Batang" w:cstheme="minorHAnsi"/>
                </w:rPr>
                <w:t>E.116</w:t>
              </w:r>
            </w:hyperlink>
            <w:r w:rsidR="009340E2">
              <w:rPr>
                <w:rFonts w:eastAsia="Batang" w:cstheme="minorHAnsi"/>
              </w:rPr>
              <w:t>: International telecommunication charge card service</w:t>
            </w:r>
          </w:p>
          <w:p w14:paraId="2CAD4A7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2" w:history="1">
              <w:r w:rsidR="009340E2">
                <w:rPr>
                  <w:rStyle w:val="Hyperlink"/>
                  <w:rFonts w:eastAsia="Batang" w:cstheme="minorHAnsi"/>
                </w:rPr>
                <w:t>E.140</w:t>
              </w:r>
            </w:hyperlink>
            <w:r w:rsidR="009340E2">
              <w:rPr>
                <w:rFonts w:eastAsia="Batang" w:cstheme="minorHAnsi"/>
              </w:rPr>
              <w:t>: Operator-assisted telephone service</w:t>
            </w:r>
          </w:p>
          <w:p w14:paraId="0F0F60A0"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3" w:history="1">
              <w:r w:rsidR="009340E2">
                <w:rPr>
                  <w:rStyle w:val="Hyperlink"/>
                  <w:rFonts w:eastAsia="Batang" w:cstheme="minorHAnsi"/>
                </w:rPr>
                <w:t>E.151</w:t>
              </w:r>
            </w:hyperlink>
            <w:r w:rsidR="009340E2">
              <w:rPr>
                <w:rFonts w:eastAsia="Batang" w:cstheme="minorHAnsi"/>
              </w:rPr>
              <w:t>: Telephone conference calls</w:t>
            </w:r>
          </w:p>
          <w:p w14:paraId="5BFA8AFA"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4" w:history="1">
              <w:r w:rsidR="009340E2">
                <w:rPr>
                  <w:rStyle w:val="Hyperlink"/>
                  <w:rFonts w:eastAsia="Batang" w:cstheme="minorHAnsi"/>
                </w:rPr>
                <w:t>E.152</w:t>
              </w:r>
            </w:hyperlink>
            <w:r w:rsidR="009340E2">
              <w:rPr>
                <w:rFonts w:eastAsia="Batang" w:cstheme="minorHAnsi"/>
              </w:rPr>
              <w:t>: International freephone service</w:t>
            </w:r>
          </w:p>
          <w:p w14:paraId="35B2832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5" w:history="1">
              <w:r w:rsidR="009340E2">
                <w:rPr>
                  <w:rStyle w:val="Hyperlink"/>
                  <w:rFonts w:eastAsia="Batang" w:cstheme="minorHAnsi"/>
                </w:rPr>
                <w:t>E.153</w:t>
              </w:r>
            </w:hyperlink>
            <w:r w:rsidR="009340E2">
              <w:rPr>
                <w:rFonts w:eastAsia="Batang" w:cstheme="minorHAnsi"/>
              </w:rPr>
              <w:t>: Home country direct</w:t>
            </w:r>
          </w:p>
          <w:p w14:paraId="1C5DF29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6" w:history="1">
              <w:r w:rsidR="009340E2">
                <w:rPr>
                  <w:rStyle w:val="Hyperlink"/>
                  <w:rFonts w:eastAsia="Batang" w:cstheme="minorHAnsi"/>
                </w:rPr>
                <w:t>E.154</w:t>
              </w:r>
            </w:hyperlink>
            <w:r w:rsidR="009340E2">
              <w:rPr>
                <w:rFonts w:eastAsia="Batang" w:cstheme="minorHAnsi"/>
              </w:rPr>
              <w:t xml:space="preserve">: International Shared Cost Service </w:t>
            </w:r>
          </w:p>
          <w:p w14:paraId="5B31588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7" w:history="1">
              <w:r w:rsidR="009340E2">
                <w:rPr>
                  <w:rStyle w:val="Hyperlink"/>
                  <w:rFonts w:eastAsia="Batang" w:cstheme="minorHAnsi"/>
                </w:rPr>
                <w:t>E.155</w:t>
              </w:r>
            </w:hyperlink>
            <w:r w:rsidR="009340E2">
              <w:rPr>
                <w:rFonts w:eastAsia="Batang" w:cstheme="minorHAnsi"/>
              </w:rPr>
              <w:t>: International Premium Rate Service</w:t>
            </w:r>
          </w:p>
          <w:p w14:paraId="0F1D6D8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8" w:history="1">
              <w:r w:rsidR="009340E2">
                <w:rPr>
                  <w:rStyle w:val="Hyperlink"/>
                  <w:rFonts w:eastAsia="Batang" w:cstheme="minorHAnsi"/>
                </w:rPr>
                <w:t>E.202</w:t>
              </w:r>
            </w:hyperlink>
            <w:r w:rsidR="009340E2">
              <w:rPr>
                <w:rFonts w:eastAsia="Batang" w:cstheme="minorHAnsi"/>
              </w:rPr>
              <w:t>: Network operational principles for future public mobile systems and services</w:t>
            </w:r>
          </w:p>
          <w:p w14:paraId="76FEFED9"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 xml:space="preserve">F series: </w:t>
            </w:r>
            <w:proofErr w:type="gramStart"/>
            <w:r>
              <w:rPr>
                <w:rFonts w:eastAsia="Batang" w:cstheme="minorHAnsi"/>
              </w:rPr>
              <w:t>Non-telephone</w:t>
            </w:r>
            <w:proofErr w:type="gramEnd"/>
            <w:r>
              <w:rPr>
                <w:rFonts w:eastAsia="Batang" w:cstheme="minorHAnsi"/>
              </w:rPr>
              <w:t xml:space="preserve"> telecommunication services</w:t>
            </w:r>
          </w:p>
          <w:p w14:paraId="2F83B6E1"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F.1-F.109: Telegraph service</w:t>
            </w:r>
          </w:p>
          <w:p w14:paraId="6B0BACE1"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F.110-F.159: Mobile service</w:t>
            </w:r>
          </w:p>
          <w:p w14:paraId="39F41718"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F.160-F.399: Telematic services</w:t>
            </w:r>
          </w:p>
          <w:p w14:paraId="6426C829"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F.550-F.599: Document communication</w:t>
            </w:r>
          </w:p>
          <w:p w14:paraId="3ED9C1EF"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F.800-F.849: ISDN services</w:t>
            </w:r>
          </w:p>
          <w:p w14:paraId="42F1BD06"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F.850-F.899: Universal personal telecommunication</w:t>
            </w:r>
          </w:p>
          <w:p w14:paraId="4EED68CB" w14:textId="77777777" w:rsidR="009340E2" w:rsidRDefault="009340E2" w:rsidP="006C3576">
            <w:pPr>
              <w:spacing w:before="120" w:after="120" w:line="240" w:lineRule="auto"/>
              <w:rPr>
                <w:rFonts w:eastAsia="Times New Roman" w:cstheme="minorHAnsi"/>
              </w:rPr>
            </w:pPr>
            <w:r>
              <w:rPr>
                <w:rFonts w:cstheme="minorHAnsi"/>
              </w:rPr>
              <w:t>Article 4.3:</w:t>
            </w:r>
          </w:p>
          <w:p w14:paraId="04DA16E1"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E.420- E.479: Checking the quality of the international telephone service</w:t>
            </w:r>
          </w:p>
          <w:p w14:paraId="3DAC7521"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E.800- E.859</w:t>
            </w:r>
          </w:p>
          <w:p w14:paraId="1C164018" w14:textId="77777777" w:rsidR="009340E2" w:rsidRDefault="009340E2" w:rsidP="006C3576">
            <w:pPr>
              <w:spacing w:before="120" w:after="120" w:line="240" w:lineRule="auto"/>
              <w:rPr>
                <w:rFonts w:eastAsia="Times New Roman" w:cstheme="minorHAnsi"/>
              </w:rPr>
            </w:pPr>
            <w:r>
              <w:rPr>
                <w:rFonts w:cstheme="minorHAnsi"/>
              </w:rPr>
              <w:lastRenderedPageBreak/>
              <w:t>Article 5.1:</w:t>
            </w:r>
          </w:p>
          <w:p w14:paraId="1CA588A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49" w:history="1">
              <w:r w:rsidR="009340E2">
                <w:rPr>
                  <w:rStyle w:val="Hyperlink"/>
                  <w:rFonts w:eastAsia="Batang" w:cstheme="minorHAnsi"/>
                </w:rPr>
                <w:t>E.106</w:t>
              </w:r>
            </w:hyperlink>
            <w:r w:rsidR="009340E2">
              <w:rPr>
                <w:rFonts w:eastAsia="Batang" w:cstheme="minorHAnsi"/>
              </w:rPr>
              <w:t>:</w:t>
            </w:r>
            <w:r w:rsidR="009340E2">
              <w:rPr>
                <w:rFonts w:eastAsia="Batang" w:cstheme="minorHAnsi"/>
              </w:rPr>
              <w:tab/>
              <w:t>International Emergency Preference Scheme (IEPS) for disaster relief operations</w:t>
            </w:r>
          </w:p>
          <w:p w14:paraId="157911E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0" w:history="1">
              <w:r w:rsidR="009340E2">
                <w:rPr>
                  <w:rStyle w:val="Hyperlink"/>
                  <w:rFonts w:eastAsia="Batang" w:cstheme="minorHAnsi"/>
                </w:rPr>
                <w:t>E.107</w:t>
              </w:r>
            </w:hyperlink>
            <w:r w:rsidR="009340E2">
              <w:rPr>
                <w:rFonts w:eastAsia="Batang" w:cstheme="minorHAnsi"/>
              </w:rPr>
              <w:t>:</w:t>
            </w:r>
            <w:r w:rsidR="009340E2">
              <w:rPr>
                <w:rFonts w:eastAsia="Batang" w:cstheme="minorHAnsi"/>
              </w:rPr>
              <w:tab/>
              <w:t>Emergency Telecommunications Service (ETS) and interconnection framework for national implementations of ETS</w:t>
            </w:r>
          </w:p>
          <w:p w14:paraId="60B11945" w14:textId="77777777" w:rsidR="009340E2" w:rsidRDefault="009340E2" w:rsidP="006C3576">
            <w:pPr>
              <w:spacing w:before="120" w:after="120" w:line="240" w:lineRule="auto"/>
              <w:rPr>
                <w:rFonts w:eastAsia="Times New Roman" w:cstheme="minorHAnsi"/>
              </w:rPr>
            </w:pPr>
            <w:r>
              <w:rPr>
                <w:rFonts w:cstheme="minorHAnsi"/>
              </w:rPr>
              <w:t xml:space="preserve">Article 5.2: </w:t>
            </w:r>
          </w:p>
          <w:p w14:paraId="05234F0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1" w:history="1">
              <w:r w:rsidR="009340E2">
                <w:rPr>
                  <w:rStyle w:val="Hyperlink"/>
                  <w:rFonts w:eastAsia="Batang" w:cstheme="minorHAnsi"/>
                </w:rPr>
                <w:t>E.106</w:t>
              </w:r>
            </w:hyperlink>
            <w:r w:rsidR="009340E2">
              <w:rPr>
                <w:rFonts w:eastAsia="Batang" w:cstheme="minorHAnsi"/>
              </w:rPr>
              <w:t>:</w:t>
            </w:r>
            <w:r w:rsidR="009340E2">
              <w:rPr>
                <w:rFonts w:eastAsia="Batang" w:cstheme="minorHAnsi"/>
              </w:rPr>
              <w:tab/>
              <w:t>International Emergency Preference Scheme (IEPS) for disaster relief operations</w:t>
            </w:r>
          </w:p>
          <w:p w14:paraId="369C572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8" w:hanging="284"/>
              <w:rPr>
                <w:rFonts w:eastAsia="Batang" w:cstheme="minorHAnsi"/>
              </w:rPr>
            </w:pPr>
            <w:hyperlink r:id="rId52" w:history="1">
              <w:r w:rsidR="009340E2">
                <w:rPr>
                  <w:rStyle w:val="Hyperlink"/>
                  <w:rFonts w:eastAsia="Batang" w:cstheme="minorHAnsi"/>
                </w:rPr>
                <w:t>E.107</w:t>
              </w:r>
            </w:hyperlink>
            <w:r w:rsidR="009340E2">
              <w:rPr>
                <w:rFonts w:eastAsia="Batang" w:cstheme="minorHAnsi"/>
              </w:rPr>
              <w:t>:</w:t>
            </w:r>
            <w:r w:rsidR="009340E2">
              <w:rPr>
                <w:rFonts w:eastAsia="Batang" w:cstheme="minorHAnsi"/>
              </w:rPr>
              <w:tab/>
              <w:t>Emergency Telecommunications Service (ETS) and interconnection framework for national implementations of ETS</w:t>
            </w:r>
          </w:p>
          <w:p w14:paraId="26C92EB1" w14:textId="77777777" w:rsidR="009340E2" w:rsidRDefault="009340E2" w:rsidP="006C3576">
            <w:pPr>
              <w:spacing w:before="120" w:after="120" w:line="240" w:lineRule="auto"/>
              <w:rPr>
                <w:rFonts w:eastAsia="Times New Roman" w:cstheme="minorHAnsi"/>
              </w:rPr>
            </w:pPr>
            <w:r>
              <w:rPr>
                <w:rFonts w:eastAsia="Batang" w:cstheme="minorHAnsi"/>
              </w:rPr>
              <w:t>Same as for Article §5.1, see above.</w:t>
            </w:r>
          </w:p>
          <w:p w14:paraId="0F1111DF" w14:textId="77777777" w:rsidR="009340E2" w:rsidRDefault="009340E2" w:rsidP="006C3576">
            <w:pPr>
              <w:spacing w:before="120" w:after="120" w:line="240" w:lineRule="auto"/>
              <w:rPr>
                <w:rFonts w:cstheme="minorHAnsi"/>
              </w:rPr>
            </w:pPr>
            <w:r>
              <w:rPr>
                <w:rFonts w:cstheme="minorHAnsi"/>
              </w:rPr>
              <w:t xml:space="preserve">Article 5.3: </w:t>
            </w:r>
          </w:p>
          <w:p w14:paraId="1CE75C20"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3" w:history="1">
              <w:r w:rsidR="009340E2">
                <w:rPr>
                  <w:rStyle w:val="Hyperlink"/>
                  <w:rFonts w:eastAsia="Batang" w:cstheme="minorHAnsi"/>
                </w:rPr>
                <w:t>E.106</w:t>
              </w:r>
            </w:hyperlink>
            <w:r w:rsidR="009340E2">
              <w:rPr>
                <w:rFonts w:eastAsia="Batang" w:cstheme="minorHAnsi"/>
              </w:rPr>
              <w:t>:</w:t>
            </w:r>
            <w:r w:rsidR="009340E2">
              <w:rPr>
                <w:rFonts w:eastAsia="Batang" w:cstheme="minorHAnsi"/>
              </w:rPr>
              <w:tab/>
              <w:t>International Emergency Preference Scheme (IEPS) for disaster relief operations</w:t>
            </w:r>
          </w:p>
          <w:p w14:paraId="72C5EF5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4" w:history="1">
              <w:r w:rsidR="009340E2">
                <w:rPr>
                  <w:rStyle w:val="Hyperlink"/>
                  <w:rFonts w:eastAsia="Batang" w:cstheme="minorHAnsi"/>
                </w:rPr>
                <w:t>E.107</w:t>
              </w:r>
            </w:hyperlink>
            <w:r w:rsidR="009340E2">
              <w:rPr>
                <w:rFonts w:eastAsia="Batang" w:cstheme="minorHAnsi"/>
              </w:rPr>
              <w:t>:</w:t>
            </w:r>
            <w:r w:rsidR="009340E2">
              <w:rPr>
                <w:rFonts w:eastAsia="Batang" w:cstheme="minorHAnsi"/>
              </w:rPr>
              <w:tab/>
              <w:t>Emergency Telecommunications Service (ETS) and interconnection framework for national implementations of ETS</w:t>
            </w:r>
          </w:p>
          <w:p w14:paraId="2E7CEEBF" w14:textId="77777777" w:rsidR="009340E2" w:rsidRDefault="009340E2" w:rsidP="006C3576">
            <w:pPr>
              <w:spacing w:before="120" w:after="120" w:line="240" w:lineRule="auto"/>
              <w:rPr>
                <w:rFonts w:eastAsia="Times New Roman" w:cstheme="minorHAnsi"/>
              </w:rPr>
            </w:pPr>
            <w:r>
              <w:rPr>
                <w:rFonts w:cstheme="minorHAnsi"/>
              </w:rPr>
              <w:t xml:space="preserve">Article 5.4: </w:t>
            </w:r>
          </w:p>
          <w:p w14:paraId="09DFEA22"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5" w:history="1">
              <w:r w:rsidR="009340E2">
                <w:rPr>
                  <w:rStyle w:val="Hyperlink"/>
                  <w:rFonts w:eastAsia="Batang" w:cstheme="minorHAnsi"/>
                </w:rPr>
                <w:t>E.161.1</w:t>
              </w:r>
            </w:hyperlink>
            <w:r w:rsidR="009340E2">
              <w:rPr>
                <w:rFonts w:eastAsia="Batang" w:cstheme="minorHAnsi"/>
              </w:rPr>
              <w:t xml:space="preserve"> Guidelines to select Emergency Number for public telecommunications networks</w:t>
            </w:r>
          </w:p>
          <w:p w14:paraId="6E25DE89" w14:textId="77777777" w:rsidR="009340E2" w:rsidRDefault="009340E2" w:rsidP="006C3576">
            <w:pPr>
              <w:tabs>
                <w:tab w:val="left" w:pos="1871"/>
                <w:tab w:val="left" w:pos="2041"/>
              </w:tabs>
              <w:spacing w:before="120" w:after="120" w:line="240" w:lineRule="auto"/>
              <w:ind w:left="34"/>
              <w:rPr>
                <w:rFonts w:eastAsia="Batang" w:cstheme="minorHAnsi"/>
              </w:rPr>
            </w:pPr>
            <w:r>
              <w:rPr>
                <w:rFonts w:eastAsia="Batang" w:cstheme="minorHAnsi"/>
              </w:rPr>
              <w:t>Article 10.1:</w:t>
            </w:r>
          </w:p>
          <w:p w14:paraId="3DD712D9"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6" w:history="1">
              <w:r w:rsidR="009340E2">
                <w:rPr>
                  <w:rStyle w:val="Hyperlink"/>
                  <w:rFonts w:eastAsia="Batang" w:cstheme="minorHAnsi"/>
                </w:rPr>
                <w:t>E.118</w:t>
              </w:r>
            </w:hyperlink>
            <w:r w:rsidR="009340E2">
              <w:rPr>
                <w:rFonts w:eastAsia="Batang" w:cstheme="minorHAnsi"/>
              </w:rPr>
              <w:t>: The international telecommunication charge card</w:t>
            </w:r>
          </w:p>
          <w:p w14:paraId="7EFAEA04"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7" w:history="1">
              <w:r w:rsidR="009340E2">
                <w:rPr>
                  <w:rStyle w:val="Hyperlink"/>
                  <w:rFonts w:eastAsia="Batang" w:cstheme="minorHAnsi"/>
                </w:rPr>
                <w:t>E.129</w:t>
              </w:r>
            </w:hyperlink>
            <w:r w:rsidR="009340E2">
              <w:rPr>
                <w:rFonts w:eastAsia="Batang" w:cstheme="minorHAnsi"/>
              </w:rPr>
              <w:t>: Presentation of national numbering plans</w:t>
            </w:r>
          </w:p>
          <w:p w14:paraId="7AF09DD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8" w:history="1">
              <w:r w:rsidR="009340E2">
                <w:rPr>
                  <w:rStyle w:val="Hyperlink"/>
                  <w:rFonts w:eastAsia="Batang" w:cstheme="minorHAnsi"/>
                </w:rPr>
                <w:t>E.156</w:t>
              </w:r>
            </w:hyperlink>
            <w:r w:rsidR="009340E2">
              <w:rPr>
                <w:rFonts w:eastAsia="Batang" w:cstheme="minorHAnsi"/>
              </w:rPr>
              <w:t>: Guidelines for ITU-T action on reported misuse of E.164 number resources</w:t>
            </w:r>
          </w:p>
          <w:p w14:paraId="7BE3A9F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59" w:history="1">
              <w:r w:rsidR="009340E2">
                <w:rPr>
                  <w:rStyle w:val="Hyperlink"/>
                  <w:rFonts w:eastAsia="Batang" w:cstheme="minorHAnsi"/>
                </w:rPr>
                <w:t>E.164</w:t>
              </w:r>
            </w:hyperlink>
            <w:r w:rsidR="009340E2">
              <w:rPr>
                <w:rFonts w:eastAsia="Batang" w:cstheme="minorHAnsi"/>
              </w:rPr>
              <w:t xml:space="preserve">: The international public telecommunication numbering plan </w:t>
            </w:r>
          </w:p>
          <w:p w14:paraId="67FBCAAF"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0" w:history="1">
              <w:r w:rsidR="009340E2">
                <w:rPr>
                  <w:rStyle w:val="Hyperlink"/>
                  <w:rFonts w:eastAsia="Batang" w:cstheme="minorHAnsi"/>
                </w:rPr>
                <w:t>E.164.1</w:t>
              </w:r>
            </w:hyperlink>
            <w:r w:rsidR="009340E2">
              <w:rPr>
                <w:rFonts w:eastAsia="Batang" w:cstheme="minorHAnsi"/>
              </w:rPr>
              <w:t xml:space="preserve">: Criteria and procedures for the reservation, </w:t>
            </w:r>
            <w:proofErr w:type="gramStart"/>
            <w:r w:rsidR="009340E2">
              <w:rPr>
                <w:rFonts w:eastAsia="Batang" w:cstheme="minorHAnsi"/>
              </w:rPr>
              <w:t>assignment</w:t>
            </w:r>
            <w:proofErr w:type="gramEnd"/>
            <w:r w:rsidR="009340E2">
              <w:rPr>
                <w:rFonts w:eastAsia="Batang" w:cstheme="minorHAnsi"/>
              </w:rPr>
              <w:t xml:space="preserve"> and reclamation of E.164 country codes and associated identification codes (ICs) </w:t>
            </w:r>
          </w:p>
          <w:p w14:paraId="419B7BB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1" w:history="1">
              <w:r w:rsidR="009340E2">
                <w:rPr>
                  <w:rStyle w:val="Hyperlink"/>
                  <w:rFonts w:eastAsia="Batang" w:cstheme="minorHAnsi"/>
                </w:rPr>
                <w:t>E.164.2</w:t>
              </w:r>
            </w:hyperlink>
            <w:r w:rsidR="009340E2">
              <w:rPr>
                <w:rFonts w:eastAsia="Batang" w:cstheme="minorHAnsi"/>
              </w:rPr>
              <w:t xml:space="preserve">: E.164 numbering resources for trials </w:t>
            </w:r>
          </w:p>
          <w:p w14:paraId="04E5AA52"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2" w:history="1">
              <w:r w:rsidR="009340E2">
                <w:rPr>
                  <w:rStyle w:val="Hyperlink"/>
                  <w:rFonts w:eastAsia="Batang" w:cstheme="minorHAnsi"/>
                </w:rPr>
                <w:t>E.164.3</w:t>
              </w:r>
            </w:hyperlink>
            <w:r w:rsidR="009340E2">
              <w:rPr>
                <w:rFonts w:eastAsia="Batang" w:cstheme="minorHAnsi"/>
              </w:rPr>
              <w:t>: Principles, criteria and procedures for the assignment and reclamation of E.164 country codes and associated identification codes for groups of countries</w:t>
            </w:r>
          </w:p>
          <w:p w14:paraId="79C3BDEA"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3" w:history="1">
              <w:r w:rsidR="009340E2">
                <w:rPr>
                  <w:rStyle w:val="Hyperlink"/>
                  <w:rFonts w:eastAsia="Batang" w:cstheme="minorHAnsi"/>
                </w:rPr>
                <w:t>E.168</w:t>
              </w:r>
            </w:hyperlink>
            <w:r w:rsidR="009340E2">
              <w:rPr>
                <w:rFonts w:eastAsia="Batang" w:cstheme="minorHAnsi"/>
              </w:rPr>
              <w:t>: Application of E.164 numbering plan for UPT</w:t>
            </w:r>
          </w:p>
          <w:p w14:paraId="6559A7B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4" w:history="1">
              <w:r w:rsidR="009340E2">
                <w:rPr>
                  <w:rStyle w:val="Hyperlink"/>
                  <w:rFonts w:eastAsia="Batang" w:cstheme="minorHAnsi"/>
                </w:rPr>
                <w:t>E.168.1</w:t>
              </w:r>
            </w:hyperlink>
            <w:r w:rsidR="009340E2">
              <w:rPr>
                <w:rFonts w:eastAsia="Batang" w:cstheme="minorHAnsi"/>
              </w:rPr>
              <w:t>: Assignment procedures for universal personal telecommunications (UPT) numbers in the provisioning of the international UPT service</w:t>
            </w:r>
          </w:p>
          <w:p w14:paraId="3B837B3C"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5" w:history="1">
              <w:r w:rsidR="009340E2">
                <w:rPr>
                  <w:rStyle w:val="Hyperlink"/>
                  <w:rFonts w:eastAsia="Batang" w:cstheme="minorHAnsi"/>
                </w:rPr>
                <w:t>E.169</w:t>
              </w:r>
            </w:hyperlink>
            <w:r w:rsidR="009340E2">
              <w:rPr>
                <w:rFonts w:eastAsia="Batang" w:cstheme="minorHAnsi"/>
              </w:rPr>
              <w:t>: Application of Recommendation E.164 numbering plan for universal international numbers for international telecommunications services using country codes for global services</w:t>
            </w:r>
          </w:p>
          <w:p w14:paraId="3E1B7447"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6" w:history="1">
              <w:r w:rsidR="009340E2">
                <w:rPr>
                  <w:rStyle w:val="Hyperlink"/>
                  <w:rFonts w:eastAsia="Batang" w:cstheme="minorHAnsi"/>
                </w:rPr>
                <w:t>E.169.1</w:t>
              </w:r>
            </w:hyperlink>
            <w:r w:rsidR="009340E2">
              <w:rPr>
                <w:rFonts w:eastAsia="Batang" w:cstheme="minorHAnsi"/>
              </w:rPr>
              <w:t>: Application of Recommendation E.164 numbering plan for universal international freephone numbers for international freephone service</w:t>
            </w:r>
          </w:p>
          <w:p w14:paraId="3E48AC92"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7" w:history="1">
              <w:r w:rsidR="009340E2">
                <w:rPr>
                  <w:rStyle w:val="Hyperlink"/>
                  <w:rFonts w:eastAsia="Batang" w:cstheme="minorHAnsi"/>
                </w:rPr>
                <w:t>E.169.2</w:t>
              </w:r>
            </w:hyperlink>
            <w:r w:rsidR="009340E2">
              <w:rPr>
                <w:rFonts w:eastAsia="Batang" w:cstheme="minorHAnsi"/>
              </w:rPr>
              <w:t>: Application of Recommendation E.164 numbering plan for universal international premium rate numbers for the international premium rate service</w:t>
            </w:r>
          </w:p>
          <w:p w14:paraId="051142A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8" w:history="1">
              <w:r w:rsidR="009340E2">
                <w:rPr>
                  <w:rStyle w:val="Hyperlink"/>
                  <w:rFonts w:eastAsia="Batang" w:cstheme="minorHAnsi"/>
                </w:rPr>
                <w:t>E.169.3</w:t>
              </w:r>
            </w:hyperlink>
            <w:r w:rsidR="009340E2">
              <w:rPr>
                <w:rFonts w:eastAsia="Batang" w:cstheme="minorHAnsi"/>
              </w:rPr>
              <w:t>: Application of Recommendation E.164 numbering plan for universal international shared cost numbers for international shared cost service</w:t>
            </w:r>
          </w:p>
          <w:p w14:paraId="0236731C"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69" w:history="1">
              <w:r w:rsidR="009340E2">
                <w:rPr>
                  <w:rStyle w:val="Hyperlink"/>
                  <w:rFonts w:eastAsia="Batang" w:cstheme="minorHAnsi"/>
                </w:rPr>
                <w:t>E.180/Q.35</w:t>
              </w:r>
            </w:hyperlink>
            <w:r w:rsidR="009340E2">
              <w:rPr>
                <w:rFonts w:eastAsia="Batang" w:cstheme="minorHAnsi"/>
              </w:rPr>
              <w:t>: Technical characteristics of tones for the telephone service</w:t>
            </w:r>
          </w:p>
          <w:p w14:paraId="7DEAB15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0" w:history="1">
              <w:r w:rsidR="009340E2">
                <w:rPr>
                  <w:rStyle w:val="Hyperlink"/>
                  <w:rFonts w:eastAsia="Batang" w:cstheme="minorHAnsi"/>
                </w:rPr>
                <w:t>E.191.1</w:t>
              </w:r>
            </w:hyperlink>
            <w:r w:rsidR="009340E2">
              <w:rPr>
                <w:rFonts w:eastAsia="Batang" w:cstheme="minorHAnsi"/>
              </w:rPr>
              <w:t>: Criteria and procedures for the allocation of ITU-T International Network Designator addresses</w:t>
            </w:r>
          </w:p>
          <w:p w14:paraId="2FA345D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1" w:history="1">
              <w:r w:rsidR="009340E2">
                <w:rPr>
                  <w:rStyle w:val="Hyperlink"/>
                  <w:rFonts w:eastAsia="Batang" w:cstheme="minorHAnsi"/>
                </w:rPr>
                <w:t>E.212</w:t>
              </w:r>
            </w:hyperlink>
            <w:r w:rsidR="009340E2">
              <w:rPr>
                <w:rFonts w:eastAsia="Batang" w:cstheme="minorHAnsi"/>
              </w:rPr>
              <w:t>: The international identification plan for public networks and subscriptions</w:t>
            </w:r>
          </w:p>
          <w:p w14:paraId="25BACF54"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2" w:history="1">
              <w:r w:rsidR="009340E2">
                <w:rPr>
                  <w:rStyle w:val="Hyperlink"/>
                  <w:rFonts w:eastAsia="Batang" w:cstheme="minorHAnsi"/>
                </w:rPr>
                <w:t>E.218</w:t>
              </w:r>
            </w:hyperlink>
            <w:r w:rsidR="009340E2">
              <w:rPr>
                <w:rFonts w:eastAsia="Batang" w:cstheme="minorHAnsi"/>
              </w:rPr>
              <w:t>: Management of the allocation of terrestrial trunk radio Mobile Country Codes</w:t>
            </w:r>
          </w:p>
          <w:p w14:paraId="0AB07FE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3" w:history="1">
              <w:r w:rsidR="009340E2">
                <w:rPr>
                  <w:rStyle w:val="Hyperlink"/>
                  <w:rFonts w:eastAsia="Batang" w:cstheme="minorHAnsi"/>
                </w:rPr>
                <w:t>Q.708</w:t>
              </w:r>
            </w:hyperlink>
            <w:r w:rsidR="009340E2">
              <w:rPr>
                <w:rFonts w:eastAsia="Batang" w:cstheme="minorHAnsi"/>
              </w:rPr>
              <w:t>: Assignment procedures for international signalling point codes</w:t>
            </w:r>
          </w:p>
          <w:p w14:paraId="302808E7"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4" w:history="1">
              <w:r w:rsidR="009340E2">
                <w:rPr>
                  <w:rStyle w:val="Hyperlink"/>
                  <w:rFonts w:eastAsia="Batang" w:cstheme="minorHAnsi"/>
                </w:rPr>
                <w:t>X.121</w:t>
              </w:r>
            </w:hyperlink>
            <w:r w:rsidR="009340E2">
              <w:rPr>
                <w:rFonts w:eastAsia="Batang" w:cstheme="minorHAnsi"/>
              </w:rPr>
              <w:t>: International numbering plan for public data networks</w:t>
            </w:r>
          </w:p>
          <w:p w14:paraId="0AEA580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5" w:history="1">
              <w:r w:rsidR="009340E2">
                <w:rPr>
                  <w:rStyle w:val="Hyperlink"/>
                  <w:rFonts w:eastAsia="Batang" w:cstheme="minorHAnsi"/>
                </w:rPr>
                <w:t>X.125</w:t>
              </w:r>
            </w:hyperlink>
            <w:r w:rsidR="009340E2">
              <w:rPr>
                <w:rFonts w:eastAsia="Batang" w:cstheme="minorHAnsi"/>
              </w:rPr>
              <w:t>: Procedure for the notification of the assignment of international network identification codes for public frame relay data networks and ATM networks numbered under the E.164 numbering plan</w:t>
            </w:r>
          </w:p>
          <w:p w14:paraId="5B405478"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6" w:history="1">
              <w:r w:rsidR="009340E2">
                <w:rPr>
                  <w:rStyle w:val="Hyperlink"/>
                  <w:rFonts w:eastAsia="Batang" w:cstheme="minorHAnsi"/>
                </w:rPr>
                <w:t>M.1400</w:t>
              </w:r>
            </w:hyperlink>
            <w:r w:rsidR="009340E2">
              <w:rPr>
                <w:rFonts w:eastAsia="Batang" w:cstheme="minorHAnsi"/>
              </w:rPr>
              <w:t xml:space="preserve">: Designations for interconnections among operators' networks </w:t>
            </w:r>
          </w:p>
          <w:p w14:paraId="4DF55B7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7" w:history="1">
              <w:r w:rsidR="009340E2">
                <w:rPr>
                  <w:rStyle w:val="Hyperlink"/>
                  <w:rFonts w:eastAsia="Batang" w:cstheme="minorHAnsi"/>
                </w:rPr>
                <w:t>F.400/X.400</w:t>
              </w:r>
            </w:hyperlink>
            <w:r w:rsidR="009340E2">
              <w:rPr>
                <w:rFonts w:eastAsia="Batang" w:cstheme="minorHAnsi"/>
              </w:rPr>
              <w:t>: Message handling system and service overview</w:t>
            </w:r>
          </w:p>
          <w:p w14:paraId="58C26581"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8" w:history="1">
              <w:r w:rsidR="009340E2">
                <w:rPr>
                  <w:rStyle w:val="Hyperlink"/>
                  <w:rFonts w:eastAsia="Batang" w:cstheme="minorHAnsi"/>
                </w:rPr>
                <w:t>F.32</w:t>
              </w:r>
            </w:hyperlink>
            <w:r w:rsidR="009340E2">
              <w:rPr>
                <w:rFonts w:eastAsia="Batang" w:cstheme="minorHAnsi"/>
              </w:rPr>
              <w:t>: Telegram destination indicators</w:t>
            </w:r>
          </w:p>
          <w:p w14:paraId="34BCE313"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79" w:history="1">
              <w:r w:rsidR="009340E2">
                <w:rPr>
                  <w:rStyle w:val="Hyperlink"/>
                  <w:rFonts w:eastAsia="Batang" w:cstheme="minorHAnsi"/>
                </w:rPr>
                <w:t>F.68</w:t>
              </w:r>
            </w:hyperlink>
            <w:r w:rsidR="009340E2">
              <w:rPr>
                <w:rFonts w:eastAsia="Batang" w:cstheme="minorHAnsi"/>
              </w:rPr>
              <w:t>: Establishment of the automatic intercontinental telex network</w:t>
            </w:r>
          </w:p>
          <w:p w14:paraId="4D60283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0" w:history="1">
              <w:r w:rsidR="009340E2">
                <w:rPr>
                  <w:rStyle w:val="Hyperlink"/>
                  <w:rFonts w:eastAsia="Batang" w:cstheme="minorHAnsi"/>
                </w:rPr>
                <w:t>F.69</w:t>
              </w:r>
            </w:hyperlink>
            <w:r w:rsidR="009340E2">
              <w:rPr>
                <w:rFonts w:eastAsia="Batang" w:cstheme="minorHAnsi"/>
              </w:rPr>
              <w:t>: The international telex service – Service and operational provisions of telex destination codes and telex network identification codes</w:t>
            </w:r>
          </w:p>
          <w:p w14:paraId="7CF4B247"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1" w:history="1">
              <w:r w:rsidR="009340E2">
                <w:rPr>
                  <w:rStyle w:val="Hyperlink"/>
                  <w:rFonts w:eastAsia="Batang" w:cstheme="minorHAnsi"/>
                </w:rPr>
                <w:t>F.1</w:t>
              </w:r>
            </w:hyperlink>
            <w:r w:rsidR="009340E2">
              <w:rPr>
                <w:rFonts w:eastAsia="Batang" w:cstheme="minorHAnsi"/>
              </w:rPr>
              <w:t>: Operational provisions for the international public telegram service</w:t>
            </w:r>
          </w:p>
          <w:p w14:paraId="5268533D"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2" w:history="1">
              <w:r w:rsidR="009340E2">
                <w:rPr>
                  <w:rStyle w:val="Hyperlink"/>
                  <w:rFonts w:eastAsia="Batang" w:cstheme="minorHAnsi"/>
                </w:rPr>
                <w:t>F.170</w:t>
              </w:r>
            </w:hyperlink>
            <w:r w:rsidR="009340E2">
              <w:rPr>
                <w:rFonts w:eastAsia="Batang" w:cstheme="minorHAnsi"/>
              </w:rPr>
              <w:t>: Operational provisions for the international public facsimile service between public bureaux (</w:t>
            </w:r>
            <w:proofErr w:type="spellStart"/>
            <w:r w:rsidR="009340E2">
              <w:rPr>
                <w:rFonts w:eastAsia="Batang" w:cstheme="minorHAnsi"/>
              </w:rPr>
              <w:t>Bureaufax</w:t>
            </w:r>
            <w:proofErr w:type="spellEnd"/>
          </w:p>
          <w:p w14:paraId="074E3856" w14:textId="77777777" w:rsidR="009340E2" w:rsidRDefault="009340E2" w:rsidP="006C3576">
            <w:pPr>
              <w:spacing w:before="120" w:after="120" w:line="240" w:lineRule="auto"/>
              <w:rPr>
                <w:rFonts w:eastAsia="Times New Roman" w:cstheme="minorHAnsi"/>
              </w:rPr>
            </w:pPr>
            <w:r>
              <w:rPr>
                <w:rFonts w:cstheme="minorHAnsi"/>
              </w:rPr>
              <w:t>Article 12.1:</w:t>
            </w:r>
          </w:p>
          <w:p w14:paraId="5ED3E14E"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3" w:history="1">
              <w:r w:rsidR="009340E2">
                <w:rPr>
                  <w:rStyle w:val="Hyperlink"/>
                  <w:rFonts w:eastAsia="Batang" w:cstheme="minorHAnsi"/>
                </w:rPr>
                <w:t>E.121</w:t>
              </w:r>
            </w:hyperlink>
            <w:r w:rsidR="009340E2">
              <w:rPr>
                <w:rFonts w:eastAsia="Batang" w:cstheme="minorHAnsi"/>
              </w:rPr>
              <w:t xml:space="preserve">: Pictograms, </w:t>
            </w:r>
            <w:proofErr w:type="gramStart"/>
            <w:r w:rsidR="009340E2">
              <w:rPr>
                <w:rFonts w:eastAsia="Batang" w:cstheme="minorHAnsi"/>
              </w:rPr>
              <w:t>symbols</w:t>
            </w:r>
            <w:proofErr w:type="gramEnd"/>
            <w:r w:rsidR="009340E2">
              <w:rPr>
                <w:rFonts w:eastAsia="Batang" w:cstheme="minorHAnsi"/>
              </w:rPr>
              <w:t xml:space="preserve"> and icons to assist users of the telephone and telefax services</w:t>
            </w:r>
          </w:p>
          <w:p w14:paraId="017751AB"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4" w:history="1">
              <w:r w:rsidR="009340E2">
                <w:rPr>
                  <w:rStyle w:val="Hyperlink"/>
                  <w:rFonts w:eastAsia="Batang" w:cstheme="minorHAnsi"/>
                </w:rPr>
                <w:t>E.123</w:t>
              </w:r>
            </w:hyperlink>
            <w:r w:rsidR="009340E2">
              <w:rPr>
                <w:rFonts w:eastAsia="Batang" w:cstheme="minorHAnsi"/>
              </w:rPr>
              <w:t>: Notation for national and international telephone numbers, e-mail addresses and web addresses</w:t>
            </w:r>
          </w:p>
          <w:p w14:paraId="5984C8EA"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5" w:history="1">
              <w:r w:rsidR="009340E2">
                <w:rPr>
                  <w:rStyle w:val="Hyperlink"/>
                  <w:rFonts w:eastAsia="Batang" w:cstheme="minorHAnsi"/>
                </w:rPr>
                <w:t>E.135</w:t>
              </w:r>
            </w:hyperlink>
            <w:r w:rsidR="009340E2">
              <w:rPr>
                <w:rFonts w:eastAsia="Batang" w:cstheme="minorHAnsi"/>
              </w:rPr>
              <w:t>: Human factors aspects of public telecommunication terminals for people with disabilities</w:t>
            </w:r>
          </w:p>
          <w:p w14:paraId="561C90E6"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6" w:history="1">
              <w:r w:rsidR="009340E2">
                <w:rPr>
                  <w:rStyle w:val="Hyperlink"/>
                  <w:rFonts w:eastAsia="Batang" w:cstheme="minorHAnsi"/>
                </w:rPr>
                <w:t>E.138</w:t>
              </w:r>
            </w:hyperlink>
            <w:r w:rsidR="009340E2">
              <w:rPr>
                <w:rFonts w:eastAsia="Batang" w:cstheme="minorHAnsi"/>
              </w:rPr>
              <w:t>: Human factors aspects of public telephones to improve their usability for older people</w:t>
            </w:r>
          </w:p>
          <w:p w14:paraId="20EFAF55"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7" w:history="1">
              <w:r w:rsidR="009340E2">
                <w:rPr>
                  <w:rStyle w:val="Hyperlink"/>
                  <w:rFonts w:eastAsia="Batang" w:cstheme="minorHAnsi"/>
                </w:rPr>
                <w:t>E.139</w:t>
              </w:r>
            </w:hyperlink>
            <w:r w:rsidR="009340E2">
              <w:rPr>
                <w:rFonts w:eastAsia="Batang" w:cstheme="minorHAnsi"/>
              </w:rPr>
              <w:t>: Public Internet access points</w:t>
            </w:r>
          </w:p>
          <w:p w14:paraId="2626194F"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88" w:history="1">
              <w:r w:rsidR="009340E2">
                <w:rPr>
                  <w:rStyle w:val="Hyperlink"/>
                  <w:rFonts w:eastAsia="Batang" w:cstheme="minorHAnsi"/>
                </w:rPr>
                <w:t>F.790</w:t>
              </w:r>
            </w:hyperlink>
            <w:r w:rsidR="009340E2">
              <w:rPr>
                <w:rFonts w:eastAsia="Batang" w:cstheme="minorHAnsi"/>
              </w:rPr>
              <w:t>: Telecommunications accessibility guidelines for older persons and persons with disabilities</w:t>
            </w:r>
          </w:p>
          <w:p w14:paraId="1EA5C5D7" w14:textId="77777777" w:rsidR="009340E2" w:rsidRDefault="009340E2" w:rsidP="006C3576">
            <w:pPr>
              <w:spacing w:before="120" w:after="120" w:line="240" w:lineRule="auto"/>
              <w:rPr>
                <w:rFonts w:eastAsia="Times New Roman" w:cstheme="minorHAnsi"/>
              </w:rPr>
            </w:pPr>
            <w:r>
              <w:rPr>
                <w:rFonts w:cstheme="minorHAnsi"/>
              </w:rPr>
              <w:t>Article 13.2:</w:t>
            </w:r>
          </w:p>
          <w:p w14:paraId="58A39049"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8" w:hanging="284"/>
              <w:rPr>
                <w:rFonts w:eastAsia="Batang" w:cstheme="minorHAnsi"/>
              </w:rPr>
            </w:pPr>
            <w:hyperlink r:id="rId89" w:history="1">
              <w:r w:rsidR="009340E2">
                <w:rPr>
                  <w:rStyle w:val="Hyperlink"/>
                  <w:rFonts w:eastAsia="Batang" w:cstheme="minorHAnsi"/>
                </w:rPr>
                <w:t>E.112</w:t>
              </w:r>
            </w:hyperlink>
            <w:r w:rsidR="009340E2">
              <w:rPr>
                <w:rFonts w:eastAsia="Batang" w:cstheme="minorHAnsi"/>
              </w:rPr>
              <w:t>: Arrangements to be made for controlling the telephone services between two countries</w:t>
            </w:r>
          </w:p>
        </w:tc>
      </w:tr>
      <w:tr w:rsidR="009340E2" w14:paraId="3F361CB6" w14:textId="77777777" w:rsidTr="009340E2">
        <w:trPr>
          <w:trHeight w:val="9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AD281B" w14:textId="77777777" w:rsidR="009340E2" w:rsidRDefault="009340E2" w:rsidP="00F01842">
            <w:pPr>
              <w:spacing w:after="120" w:line="240" w:lineRule="auto"/>
              <w:rPr>
                <w:rFonts w:eastAsia="Times New Roman" w:cstheme="minorHAnsi"/>
                <w:b/>
              </w:rPr>
            </w:pPr>
            <w:r>
              <w:rPr>
                <w:rFonts w:cstheme="minorHAnsi"/>
                <w:b/>
              </w:rPr>
              <w:lastRenderedPageBreak/>
              <w:t>ITU-T SG3</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58E877D6"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w:t>
            </w:r>
            <w:hyperlink r:id="rId90" w:history="1">
              <w:r>
                <w:rPr>
                  <w:rStyle w:val="Hyperlink"/>
                  <w:rFonts w:cstheme="minorHAnsi"/>
                </w:rPr>
                <w:t>TSAG TD 265</w:t>
              </w:r>
            </w:hyperlink>
            <w:r>
              <w:rPr>
                <w:rFonts w:cstheme="minorHAnsi"/>
              </w:rPr>
              <w:t>, 26 February – 2 March 2018):</w:t>
            </w:r>
          </w:p>
          <w:p w14:paraId="694A3963" w14:textId="77777777" w:rsidR="009340E2" w:rsidRDefault="009340E2" w:rsidP="006C3576">
            <w:pPr>
              <w:spacing w:before="120" w:after="120" w:line="240" w:lineRule="auto"/>
              <w:rPr>
                <w:rFonts w:cstheme="minorHAnsi"/>
              </w:rPr>
            </w:pPr>
            <w:r>
              <w:rPr>
                <w:rFonts w:cstheme="minorHAnsi"/>
              </w:rPr>
              <w:t>Related ITU-T SG3 Recommendations:</w:t>
            </w:r>
          </w:p>
          <w:p w14:paraId="5F887357" w14:textId="77777777" w:rsidR="009340E2" w:rsidRDefault="009340E2" w:rsidP="006C3576">
            <w:pPr>
              <w:spacing w:before="120" w:after="120" w:line="240" w:lineRule="auto"/>
              <w:rPr>
                <w:rFonts w:cstheme="minorHAnsi"/>
              </w:rPr>
            </w:pPr>
            <w:r>
              <w:rPr>
                <w:rFonts w:cstheme="minorHAnsi"/>
              </w:rPr>
              <w:lastRenderedPageBreak/>
              <w:t xml:space="preserve">- Article 3.7: </w:t>
            </w:r>
            <w:hyperlink r:id="rId91" w:history="1">
              <w:r>
                <w:rPr>
                  <w:rStyle w:val="Hyperlink"/>
                  <w:rFonts w:cstheme="minorHAnsi"/>
                </w:rPr>
                <w:t>ITU-T D.52</w:t>
              </w:r>
            </w:hyperlink>
            <w:r>
              <w:rPr>
                <w:rFonts w:cstheme="minorHAnsi"/>
              </w:rPr>
              <w:t xml:space="preserve"> “Establishing and connecting regional Internet exchange points to reduce costs of international Internet connectivity”</w:t>
            </w:r>
          </w:p>
          <w:p w14:paraId="10BDAB6C" w14:textId="77777777" w:rsidR="009340E2" w:rsidRDefault="009340E2" w:rsidP="006C3576">
            <w:pPr>
              <w:spacing w:before="120" w:after="120" w:line="240" w:lineRule="auto"/>
              <w:rPr>
                <w:rFonts w:cstheme="minorHAnsi"/>
              </w:rPr>
            </w:pPr>
            <w:r>
              <w:rPr>
                <w:rFonts w:cstheme="minorHAnsi"/>
              </w:rPr>
              <w:t xml:space="preserve">- Article 4.1: </w:t>
            </w:r>
            <w:hyperlink r:id="rId92" w:history="1">
              <w:r>
                <w:rPr>
                  <w:rStyle w:val="Hyperlink"/>
                  <w:rFonts w:eastAsia="Calibri" w:cstheme="minorHAnsi"/>
                  <w:szCs w:val="24"/>
                </w:rPr>
                <w:t>ITU-T D.263</w:t>
              </w:r>
            </w:hyperlink>
            <w:r>
              <w:rPr>
                <w:rFonts w:eastAsia="Calibri" w:cstheme="minorHAnsi"/>
                <w:szCs w:val="24"/>
              </w:rPr>
              <w:t xml:space="preserve"> “Costs, charges and competition for mobile financial services (MFSs)”</w:t>
            </w:r>
          </w:p>
          <w:p w14:paraId="57660767" w14:textId="77777777" w:rsidR="009340E2" w:rsidRDefault="009340E2" w:rsidP="006C3576">
            <w:pPr>
              <w:spacing w:before="120" w:after="120" w:line="240" w:lineRule="auto"/>
              <w:rPr>
                <w:rFonts w:cstheme="minorHAnsi"/>
              </w:rPr>
            </w:pPr>
            <w:r>
              <w:rPr>
                <w:rFonts w:cstheme="minorHAnsi"/>
              </w:rPr>
              <w:t xml:space="preserve">- Article 4.2: </w:t>
            </w:r>
            <w:hyperlink r:id="rId93" w:history="1">
              <w:r>
                <w:rPr>
                  <w:rStyle w:val="Hyperlink"/>
                  <w:rFonts w:eastAsia="Calibri" w:cstheme="minorHAnsi"/>
                  <w:szCs w:val="24"/>
                </w:rPr>
                <w:t>ITU-T D.263</w:t>
              </w:r>
            </w:hyperlink>
            <w:r>
              <w:rPr>
                <w:rFonts w:eastAsia="Calibri" w:cstheme="minorHAnsi"/>
                <w:szCs w:val="24"/>
              </w:rPr>
              <w:t xml:space="preserve"> “Costs, charges and competition for mobile financial services (MFSs)”, Art. 6.2</w:t>
            </w:r>
          </w:p>
          <w:p w14:paraId="0036EAF7" w14:textId="77777777" w:rsidR="009340E2" w:rsidRDefault="009340E2" w:rsidP="006C3576">
            <w:pPr>
              <w:spacing w:before="120" w:after="120" w:line="240" w:lineRule="auto"/>
              <w:rPr>
                <w:rFonts w:cstheme="minorHAnsi"/>
              </w:rPr>
            </w:pPr>
            <w:r>
              <w:rPr>
                <w:rFonts w:cstheme="minorHAnsi"/>
              </w:rPr>
              <w:t xml:space="preserve">- Article 4.3 : </w:t>
            </w:r>
            <w:hyperlink r:id="rId94" w:history="1">
              <w:r>
                <w:rPr>
                  <w:rStyle w:val="Hyperlink"/>
                  <w:rFonts w:cstheme="minorHAnsi"/>
                </w:rPr>
                <w:t>ITU-T D.263</w:t>
              </w:r>
            </w:hyperlink>
            <w:r>
              <w:rPr>
                <w:rFonts w:cstheme="minorHAnsi"/>
              </w:rPr>
              <w:t xml:space="preserve"> “Costs, charges and competition for mobile financial services (MFSs)”, Art. 9.4; </w:t>
            </w:r>
            <w:hyperlink r:id="rId95" w:history="1">
              <w:r>
                <w:rPr>
                  <w:rStyle w:val="Hyperlink"/>
                  <w:rFonts w:cstheme="minorHAnsi"/>
                </w:rPr>
                <w:t>ITU-T D.264</w:t>
              </w:r>
            </w:hyperlink>
            <w:r>
              <w:rPr>
                <w:rFonts w:cstheme="minorHAnsi"/>
              </w:rPr>
              <w:t xml:space="preserve"> “Shared uses of telecommunication infrastructure as possible methods for enhancing the efficiency of telecommunications”, Art. 6; </w:t>
            </w:r>
            <w:hyperlink r:id="rId96" w:history="1">
              <w:r>
                <w:rPr>
                  <w:rStyle w:val="Hyperlink"/>
                  <w:rFonts w:cstheme="minorHAnsi"/>
                </w:rPr>
                <w:t>ITU-T D.1041</w:t>
              </w:r>
            </w:hyperlink>
            <w:r>
              <w:rPr>
                <w:rFonts w:cstheme="minorHAnsi"/>
              </w:rPr>
              <w:t xml:space="preserve"> “Policy and methodological principles for determining co-location and access charges”</w:t>
            </w:r>
          </w:p>
          <w:p w14:paraId="55E0B276" w14:textId="77777777" w:rsidR="009340E2" w:rsidRDefault="009340E2" w:rsidP="006C3576">
            <w:pPr>
              <w:spacing w:before="120" w:after="120" w:line="240" w:lineRule="auto"/>
              <w:rPr>
                <w:rFonts w:cstheme="minorHAnsi"/>
              </w:rPr>
            </w:pPr>
            <w:r>
              <w:rPr>
                <w:rFonts w:cstheme="minorHAnsi"/>
              </w:rPr>
              <w:t xml:space="preserve">- Article 4.4: </w:t>
            </w:r>
            <w:hyperlink r:id="rId97" w:history="1">
              <w:r>
                <w:rPr>
                  <w:rStyle w:val="Hyperlink"/>
                  <w:rFonts w:cstheme="minorHAnsi"/>
                </w:rPr>
                <w:t>ITU-T D.98</w:t>
              </w:r>
            </w:hyperlink>
            <w:r>
              <w:rPr>
                <w:rFonts w:cstheme="minorHAnsi"/>
              </w:rPr>
              <w:t xml:space="preserve"> “Charging in international mobile roaming service”, Art. 5.1.1, 5.1.2, 5.1.3; </w:t>
            </w:r>
            <w:r>
              <w:rPr>
                <w:rFonts w:eastAsia="Calibri" w:cstheme="minorHAnsi"/>
                <w:szCs w:val="24"/>
              </w:rPr>
              <w:t>ITU-T D.198 “Principles for a unified format of price/tariffs/rates lists used for exchanging telephone traffic”</w:t>
            </w:r>
          </w:p>
          <w:p w14:paraId="282B4391" w14:textId="77777777" w:rsidR="009340E2" w:rsidRDefault="009340E2" w:rsidP="006C3576">
            <w:pPr>
              <w:spacing w:before="120" w:after="120" w:line="240" w:lineRule="auto"/>
              <w:rPr>
                <w:rFonts w:cstheme="minorHAnsi"/>
              </w:rPr>
            </w:pPr>
            <w:r>
              <w:rPr>
                <w:rFonts w:cstheme="minorHAnsi"/>
              </w:rPr>
              <w:t xml:space="preserve">- Article 4.6: </w:t>
            </w:r>
            <w:hyperlink r:id="rId98" w:history="1">
              <w:r>
                <w:rPr>
                  <w:rStyle w:val="Hyperlink"/>
                  <w:rFonts w:cstheme="minorHAnsi"/>
                </w:rPr>
                <w:t>ITU-T D.98</w:t>
              </w:r>
            </w:hyperlink>
            <w:r>
              <w:rPr>
                <w:rFonts w:cstheme="minorHAnsi"/>
              </w:rPr>
              <w:t xml:space="preserve"> “Charging in international mobile roaming service”, Art. 5.1.5</w:t>
            </w:r>
          </w:p>
          <w:p w14:paraId="1ECBECB7" w14:textId="77777777" w:rsidR="009340E2" w:rsidRDefault="009340E2" w:rsidP="006C3576">
            <w:pPr>
              <w:spacing w:before="120" w:after="120" w:line="240" w:lineRule="auto"/>
              <w:rPr>
                <w:rFonts w:cstheme="minorHAnsi"/>
              </w:rPr>
            </w:pPr>
            <w:r>
              <w:rPr>
                <w:rFonts w:cstheme="minorHAnsi"/>
              </w:rPr>
              <w:t xml:space="preserve">- Article 4.7: </w:t>
            </w:r>
            <w:hyperlink r:id="rId99" w:history="1">
              <w:r>
                <w:rPr>
                  <w:rStyle w:val="Hyperlink"/>
                  <w:rFonts w:cstheme="minorHAnsi"/>
                </w:rPr>
                <w:t>ITU-T. D.98</w:t>
              </w:r>
            </w:hyperlink>
            <w:r>
              <w:rPr>
                <w:rFonts w:cstheme="minorHAnsi"/>
              </w:rPr>
              <w:t xml:space="preserve"> “Charging in international mobile roaming service” Art. 5.1.6, 5.2, 5.3; </w:t>
            </w:r>
            <w:hyperlink r:id="rId100" w:history="1">
              <w:r>
                <w:rPr>
                  <w:rStyle w:val="Hyperlink"/>
                  <w:rFonts w:cstheme="minorHAnsi"/>
                </w:rPr>
                <w:t>ITU-T D.97</w:t>
              </w:r>
            </w:hyperlink>
            <w:r>
              <w:rPr>
                <w:rFonts w:cstheme="minorHAnsi"/>
              </w:rPr>
              <w:t xml:space="preserve"> “Methodological principles for determining international mobile roaming rates” Art 5.1, 5.2; See also </w:t>
            </w:r>
            <w:hyperlink r:id="rId101" w:history="1">
              <w:r>
                <w:rPr>
                  <w:rStyle w:val="Hyperlink"/>
                  <w:rFonts w:cstheme="minorHAnsi"/>
                </w:rPr>
                <w:t>ITU-T D.261</w:t>
              </w:r>
            </w:hyperlink>
            <w:r>
              <w:rPr>
                <w:rFonts w:cstheme="minorHAnsi"/>
              </w:rPr>
              <w:t xml:space="preserve"> more generally</w:t>
            </w:r>
          </w:p>
          <w:p w14:paraId="1044F68F" w14:textId="77777777" w:rsidR="009340E2" w:rsidRDefault="009340E2" w:rsidP="006C3576">
            <w:pPr>
              <w:spacing w:before="120" w:after="120" w:line="240" w:lineRule="auto"/>
              <w:rPr>
                <w:rFonts w:eastAsia="Calibri" w:cstheme="minorHAnsi"/>
                <w:szCs w:val="24"/>
              </w:rPr>
            </w:pPr>
            <w:r>
              <w:rPr>
                <w:rFonts w:cstheme="minorHAnsi"/>
              </w:rPr>
              <w:t xml:space="preserve">- Article 8.1.2: </w:t>
            </w:r>
            <w:hyperlink r:id="rId102" w:history="1">
              <w:r>
                <w:rPr>
                  <w:rStyle w:val="Hyperlink"/>
                  <w:rFonts w:cstheme="minorHAnsi"/>
                </w:rPr>
                <w:t>ITU-T D.98</w:t>
              </w:r>
            </w:hyperlink>
            <w:r>
              <w:rPr>
                <w:rFonts w:cstheme="minorHAnsi"/>
              </w:rPr>
              <w:t xml:space="preserve"> “Charging in international mobile roaming service”, Art. 5.2.4</w:t>
            </w:r>
            <w:r>
              <w:rPr>
                <w:rFonts w:eastAsia="Calibri" w:cstheme="minorHAnsi"/>
                <w:szCs w:val="24"/>
              </w:rPr>
              <w:t xml:space="preserve">; </w:t>
            </w:r>
            <w:hyperlink r:id="rId103" w:history="1">
              <w:r>
                <w:rPr>
                  <w:rStyle w:val="Hyperlink"/>
                  <w:rFonts w:eastAsia="Calibri" w:cstheme="minorHAnsi"/>
                  <w:szCs w:val="24"/>
                </w:rPr>
                <w:t>ITU-T D.198</w:t>
              </w:r>
            </w:hyperlink>
            <w:r>
              <w:rPr>
                <w:rFonts w:eastAsia="Calibri" w:cstheme="minorHAnsi"/>
                <w:szCs w:val="24"/>
              </w:rPr>
              <w:t xml:space="preserve">; </w:t>
            </w:r>
            <w:hyperlink r:id="rId104" w:history="1">
              <w:r>
                <w:rPr>
                  <w:rStyle w:val="Hyperlink"/>
                  <w:rFonts w:eastAsia="Calibri" w:cstheme="minorHAnsi"/>
                  <w:szCs w:val="24"/>
                </w:rPr>
                <w:t>ITU-T D.263</w:t>
              </w:r>
            </w:hyperlink>
            <w:r>
              <w:rPr>
                <w:rFonts w:eastAsia="Calibri" w:cstheme="minorHAnsi"/>
                <w:szCs w:val="24"/>
              </w:rPr>
              <w:t xml:space="preserve"> “</w:t>
            </w:r>
            <w:r>
              <w:rPr>
                <w:rFonts w:cstheme="minorHAnsi"/>
              </w:rPr>
              <w:t>Costs, charges and competition for mobile financial services (MFSs)</w:t>
            </w:r>
            <w:r>
              <w:rPr>
                <w:rFonts w:eastAsia="Calibri" w:cstheme="minorHAnsi"/>
                <w:szCs w:val="24"/>
              </w:rPr>
              <w:t xml:space="preserve">”, Art 6.1, 8.1, 9.4- Article 8.2.2: </w:t>
            </w:r>
            <w:hyperlink r:id="rId105" w:history="1">
              <w:r>
                <w:rPr>
                  <w:rStyle w:val="Hyperlink"/>
                  <w:rFonts w:eastAsia="Calibri" w:cstheme="minorHAnsi"/>
                  <w:szCs w:val="24"/>
                </w:rPr>
                <w:t>ITU-T D.198</w:t>
              </w:r>
            </w:hyperlink>
            <w:r>
              <w:rPr>
                <w:rFonts w:eastAsia="Calibri" w:cstheme="minorHAnsi"/>
                <w:szCs w:val="24"/>
              </w:rPr>
              <w:t xml:space="preserve"> “Principles for a unified format of price/tariffs/rates lists used for exchanging telephone traffic”</w:t>
            </w:r>
          </w:p>
          <w:p w14:paraId="40B389C4" w14:textId="77777777" w:rsidR="009340E2" w:rsidRDefault="009340E2" w:rsidP="006C3576">
            <w:pPr>
              <w:spacing w:before="120" w:after="120" w:line="240" w:lineRule="auto"/>
              <w:rPr>
                <w:rFonts w:eastAsia="Times New Roman" w:cstheme="minorHAnsi"/>
                <w:szCs w:val="20"/>
              </w:rPr>
            </w:pPr>
            <w:r>
              <w:rPr>
                <w:rFonts w:eastAsia="Calibri" w:cstheme="minorHAnsi"/>
                <w:szCs w:val="24"/>
              </w:rPr>
              <w:t xml:space="preserve">- Article 8.4.2: </w:t>
            </w:r>
            <w:hyperlink r:id="rId106" w:history="1">
              <w:r>
                <w:rPr>
                  <w:rStyle w:val="Hyperlink"/>
                  <w:rFonts w:eastAsia="Calibri" w:cstheme="minorHAnsi"/>
                  <w:szCs w:val="24"/>
                </w:rPr>
                <w:t>ITU-T D.198</w:t>
              </w:r>
            </w:hyperlink>
            <w:r>
              <w:rPr>
                <w:rFonts w:eastAsia="Calibri" w:cstheme="minorHAnsi"/>
                <w:szCs w:val="24"/>
              </w:rPr>
              <w:t xml:space="preserve"> “Principles for a unified format of price/tariffs/rates lists used for exchanging telephone traffic”; </w:t>
            </w:r>
            <w:hyperlink r:id="rId107" w:history="1">
              <w:r>
                <w:rPr>
                  <w:rStyle w:val="Hyperlink"/>
                  <w:rFonts w:eastAsia="Calibri" w:cstheme="minorHAnsi"/>
                  <w:szCs w:val="24"/>
                </w:rPr>
                <w:t>ITU-T D.263</w:t>
              </w:r>
            </w:hyperlink>
            <w:r>
              <w:rPr>
                <w:rFonts w:eastAsia="Calibri" w:cstheme="minorHAnsi"/>
                <w:szCs w:val="24"/>
              </w:rPr>
              <w:t xml:space="preserve"> </w:t>
            </w:r>
            <w:r>
              <w:rPr>
                <w:rFonts w:cstheme="minorHAnsi"/>
              </w:rPr>
              <w:t>“Costs, charges and competition for mobile financial services (MFSs)”</w:t>
            </w:r>
            <w:r>
              <w:rPr>
                <w:rFonts w:eastAsia="Calibri" w:cstheme="minorHAnsi"/>
                <w:szCs w:val="24"/>
              </w:rPr>
              <w:t>,</w:t>
            </w:r>
            <w:r>
              <w:rPr>
                <w:rFonts w:cstheme="minorHAnsi"/>
              </w:rPr>
              <w:t>Art 6.1, 6.4, 8, 9.4</w:t>
            </w:r>
          </w:p>
          <w:p w14:paraId="42B8F86C" w14:textId="77777777" w:rsidR="009340E2" w:rsidRDefault="009340E2" w:rsidP="006C3576">
            <w:pPr>
              <w:spacing w:before="120" w:after="120" w:line="240" w:lineRule="auto"/>
              <w:rPr>
                <w:rFonts w:cstheme="minorHAnsi"/>
              </w:rPr>
            </w:pPr>
            <w:r>
              <w:rPr>
                <w:rFonts w:cstheme="minorHAnsi"/>
              </w:rPr>
              <w:t xml:space="preserve">- Appendix 1, 2.2: </w:t>
            </w:r>
            <w:hyperlink r:id="rId108" w:history="1">
              <w:r>
                <w:rPr>
                  <w:rStyle w:val="Hyperlink"/>
                  <w:rFonts w:cstheme="minorHAnsi"/>
                </w:rPr>
                <w:t>ITU-T D.195</w:t>
              </w:r>
            </w:hyperlink>
            <w:r>
              <w:rPr>
                <w:rFonts w:cstheme="minorHAnsi"/>
              </w:rPr>
              <w:t xml:space="preserve"> “Time-scale for settlement of accounts for international telecommunication services”, Recommends a)</w:t>
            </w:r>
          </w:p>
          <w:p w14:paraId="4D1F275E" w14:textId="77777777" w:rsidR="009340E2" w:rsidRDefault="009340E2" w:rsidP="006C3576">
            <w:pPr>
              <w:spacing w:before="120" w:after="120" w:line="240" w:lineRule="auto"/>
              <w:rPr>
                <w:rFonts w:eastAsia="Arial Unicode MS" w:cstheme="minorHAnsi"/>
                <w:b/>
                <w:bCs/>
                <w:color w:val="365F91" w:themeColor="accent1" w:themeShade="BF"/>
                <w:kern w:val="2"/>
                <w:sz w:val="18"/>
                <w:szCs w:val="18"/>
                <w:lang w:eastAsia="hi-IN" w:bidi="hi-IN"/>
              </w:rPr>
            </w:pPr>
            <w:r>
              <w:rPr>
                <w:rFonts w:cstheme="minorHAnsi"/>
              </w:rPr>
              <w:t xml:space="preserve">- Appendix 1, 3.1.3: </w:t>
            </w:r>
            <w:hyperlink r:id="rId109" w:history="1">
              <w:r>
                <w:rPr>
                  <w:rStyle w:val="Hyperlink"/>
                  <w:rFonts w:cstheme="minorHAnsi"/>
                </w:rPr>
                <w:t>ITU-T D.170</w:t>
              </w:r>
            </w:hyperlink>
            <w:r>
              <w:rPr>
                <w:rFonts w:cstheme="minorHAnsi"/>
              </w:rPr>
              <w:t xml:space="preserve"> “Monthly telephone and telex accounts”; ITU-T D.170 Supplements 1 “</w:t>
            </w:r>
            <w:hyperlink r:id="rId110" w:history="1">
              <w:r>
                <w:rPr>
                  <w:rStyle w:val="Hyperlink"/>
                  <w:rFonts w:cstheme="minorHAnsi"/>
                </w:rPr>
                <w:t>Dispute management guidelines</w:t>
              </w:r>
            </w:hyperlink>
            <w:r>
              <w:rPr>
                <w:rFonts w:cstheme="minorHAnsi"/>
              </w:rPr>
              <w:t>”, 2 “</w:t>
            </w:r>
            <w:hyperlink r:id="rId111" w:history="1">
              <w:r>
                <w:rPr>
                  <w:rStyle w:val="Hyperlink"/>
                  <w:rFonts w:cstheme="minorHAnsi"/>
                </w:rPr>
                <w:t>Dispute process guidelines</w:t>
              </w:r>
            </w:hyperlink>
            <w:r>
              <w:rPr>
                <w:rFonts w:cstheme="minorHAnsi"/>
              </w:rPr>
              <w:t>”, -3 “</w:t>
            </w:r>
            <w:hyperlink r:id="rId112" w:history="1">
              <w:r>
                <w:rPr>
                  <w:rStyle w:val="Hyperlink"/>
                  <w:rFonts w:cstheme="minorHAnsi"/>
                </w:rPr>
                <w:t>Guidelines for contents of an international interconnection agreement</w:t>
              </w:r>
            </w:hyperlink>
            <w:r>
              <w:rPr>
                <w:rFonts w:cstheme="minorHAnsi"/>
              </w:rPr>
              <w:t>”, and 4 “</w:t>
            </w:r>
            <w:hyperlink r:id="rId113" w:history="1">
              <w:r>
                <w:rPr>
                  <w:rStyle w:val="Hyperlink"/>
                  <w:rFonts w:cstheme="minorHAnsi"/>
                </w:rPr>
                <w:t>Guidelines for net settlement generic templates</w:t>
              </w:r>
            </w:hyperlink>
            <w:r>
              <w:rPr>
                <w:rFonts w:cstheme="minorHAnsi"/>
              </w:rPr>
              <w:t>”.</w:t>
            </w:r>
          </w:p>
        </w:tc>
      </w:tr>
      <w:tr w:rsidR="009340E2" w14:paraId="346AC014" w14:textId="77777777" w:rsidTr="009340E2">
        <w:trPr>
          <w:trHeight w:val="1556"/>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F84A9C" w14:textId="77777777" w:rsidR="009340E2" w:rsidRDefault="009340E2" w:rsidP="00F01842">
            <w:pPr>
              <w:spacing w:after="120" w:line="240" w:lineRule="auto"/>
              <w:rPr>
                <w:rFonts w:eastAsia="Times New Roman" w:cstheme="minorHAnsi"/>
                <w:b/>
                <w:sz w:val="24"/>
                <w:szCs w:val="20"/>
                <w:lang w:eastAsia="en-US"/>
              </w:rPr>
            </w:pPr>
            <w:r>
              <w:rPr>
                <w:rFonts w:cstheme="minorHAnsi"/>
                <w:b/>
              </w:rPr>
              <w:lastRenderedPageBreak/>
              <w:t>ITU-T SG5</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65530A00"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w:t>
            </w:r>
            <w:hyperlink r:id="rId114" w:history="1">
              <w:r>
                <w:rPr>
                  <w:rStyle w:val="Hyperlink"/>
                  <w:rFonts w:cstheme="minorHAnsi"/>
                </w:rPr>
                <w:t>https://www.itu.int/ifa/t/2017/ls/sg5/sp16-sg5-oLS-00044.docx</w:t>
              </w:r>
            </w:hyperlink>
            <w:r>
              <w:rPr>
                <w:rFonts w:cstheme="minorHAnsi"/>
              </w:rPr>
              <w:t xml:space="preserve">  (22 November 2017):</w:t>
            </w:r>
          </w:p>
          <w:p w14:paraId="3DB39F35" w14:textId="77777777" w:rsidR="009340E2" w:rsidRDefault="009340E2" w:rsidP="006C3576">
            <w:pPr>
              <w:spacing w:before="120" w:after="120" w:line="240" w:lineRule="auto"/>
              <w:rPr>
                <w:rFonts w:cstheme="minorHAnsi"/>
              </w:rPr>
            </w:pPr>
            <w:r>
              <w:rPr>
                <w:rFonts w:cstheme="minorHAnsi"/>
              </w:rPr>
              <w:t>“ITU-T Study Group 5 would like to thank TSAG for its liaison statement on request for background information on the implementation of the 2012 International Telecommunication Regulations.</w:t>
            </w:r>
            <w:r>
              <w:rPr>
                <w:rFonts w:cstheme="minorHAnsi"/>
              </w:rPr>
              <w:br/>
              <w:t>ITU-T SG5 met in Sophia Antipolis, France, from 13 to 22 November 2017 after the deadline which was set in TSAG - LS 8 -E on Friday 25 August 2017.</w:t>
            </w:r>
            <w:r>
              <w:rPr>
                <w:rFonts w:cstheme="minorHAnsi"/>
              </w:rPr>
              <w:br/>
              <w:t>ITU-T SG5 would like to thank TSAG for this opportunity and welcomes any future opportunities to reply on this matter.</w:t>
            </w:r>
            <w:r>
              <w:rPr>
                <w:rFonts w:cstheme="minorHAnsi"/>
              </w:rPr>
              <w:br/>
              <w:t>Furthermore, ITU-T SG5 requests TSAG to provide more clarification and guidance to ITU-T Study Groups on this issue and how study groups can identify any challenges that may arise from the implementation of the 2012 ITRs, in accordance with the terms of reference of the Group.”</w:t>
            </w:r>
          </w:p>
          <w:p w14:paraId="2EEF7BBD" w14:textId="77777777" w:rsidR="009340E2" w:rsidRDefault="009340E2" w:rsidP="006C3576">
            <w:pPr>
              <w:spacing w:before="120" w:after="120" w:line="240" w:lineRule="auto"/>
              <w:rPr>
                <w:rFonts w:cstheme="minorHAnsi"/>
                <w:szCs w:val="24"/>
              </w:rPr>
            </w:pPr>
            <w:r>
              <w:rPr>
                <w:rFonts w:cstheme="minorHAnsi"/>
              </w:rPr>
              <w:lastRenderedPageBreak/>
              <w:t xml:space="preserve">Note from Secretariat: ITU-T SG5 reviewed the request to provide updates in February 2021 and did not have any feedback to provide. Additional information on Green ICT Standards is available </w:t>
            </w:r>
            <w:hyperlink r:id="rId115" w:history="1">
              <w:r>
                <w:rPr>
                  <w:rStyle w:val="Hyperlink"/>
                  <w:rFonts w:cstheme="minorHAnsi"/>
                </w:rPr>
                <w:t>here</w:t>
              </w:r>
            </w:hyperlink>
            <w:r>
              <w:rPr>
                <w:rFonts w:cstheme="minorHAnsi"/>
              </w:rPr>
              <w:t>.”</w:t>
            </w:r>
          </w:p>
        </w:tc>
      </w:tr>
      <w:tr w:rsidR="009340E2" w14:paraId="3D13B6CE" w14:textId="77777777" w:rsidTr="009340E2">
        <w:trPr>
          <w:trHeight w:val="3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577E80" w14:textId="77777777" w:rsidR="009340E2" w:rsidRDefault="009340E2" w:rsidP="00F01842">
            <w:pPr>
              <w:spacing w:after="120" w:line="240" w:lineRule="auto"/>
              <w:rPr>
                <w:rFonts w:cstheme="minorHAnsi"/>
                <w:b/>
                <w:szCs w:val="20"/>
              </w:rPr>
            </w:pPr>
            <w:r>
              <w:rPr>
                <w:rFonts w:cstheme="minorHAnsi"/>
                <w:b/>
              </w:rPr>
              <w:lastRenderedPageBreak/>
              <w:t>ITU-T SG9</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hideMark/>
          </w:tcPr>
          <w:p w14:paraId="7D9D0063"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ITU-T SG 9 meeting, 30 January 2018, </w:t>
            </w:r>
            <w:hyperlink r:id="rId116" w:history="1">
              <w:r>
                <w:rPr>
                  <w:rStyle w:val="Hyperlink"/>
                  <w:rFonts w:cstheme="minorHAnsi"/>
                </w:rPr>
                <w:t>TSAG TD 265</w:t>
              </w:r>
            </w:hyperlink>
            <w:r>
              <w:rPr>
                <w:rFonts w:cstheme="minorHAnsi"/>
              </w:rPr>
              <w:t>):</w:t>
            </w:r>
          </w:p>
          <w:p w14:paraId="0B24DAF7" w14:textId="77777777" w:rsidR="009340E2" w:rsidRDefault="009340E2" w:rsidP="006C3576">
            <w:pPr>
              <w:spacing w:before="120" w:after="120" w:line="240" w:lineRule="auto"/>
              <w:rPr>
                <w:rFonts w:cstheme="minorHAnsi"/>
              </w:rPr>
            </w:pPr>
            <w:r>
              <w:rPr>
                <w:rFonts w:cstheme="minorHAnsi"/>
              </w:rPr>
              <w:t xml:space="preserve">“Study Group 9 would like to thank TSAG for incoming Liaison Statement </w:t>
            </w:r>
            <w:hyperlink r:id="rId117" w:history="1">
              <w:r>
                <w:rPr>
                  <w:rStyle w:val="Hyperlink"/>
                  <w:rFonts w:cstheme="minorHAnsi"/>
                </w:rPr>
                <w:t>TSAG - LS8</w:t>
              </w:r>
            </w:hyperlink>
            <w:r>
              <w:rPr>
                <w:rFonts w:cstheme="minorHAnsi"/>
              </w:rPr>
              <w:t>.</w:t>
            </w:r>
          </w:p>
          <w:p w14:paraId="1FF0F918" w14:textId="77777777" w:rsidR="009340E2" w:rsidRDefault="009340E2" w:rsidP="006C3576">
            <w:pPr>
              <w:spacing w:before="120" w:after="120" w:line="240" w:lineRule="auto"/>
              <w:rPr>
                <w:rFonts w:cstheme="minorHAnsi"/>
              </w:rPr>
            </w:pPr>
            <w:r>
              <w:rPr>
                <w:rFonts w:cstheme="minorHAnsi"/>
              </w:rPr>
              <w:t>The SG9 Chairman has already provided a quick feedback (via email sent through the Secretariat) to TSAG</w:t>
            </w:r>
            <w:r>
              <w:rPr>
                <w:rFonts w:cstheme="minorHAnsi"/>
                <w:color w:val="FF0000"/>
              </w:rPr>
              <w:t xml:space="preserve"> </w:t>
            </w:r>
            <w:r>
              <w:rPr>
                <w:rFonts w:cstheme="minorHAnsi"/>
              </w:rPr>
              <w:t>in September 2017. After further discussion at the ITU-T SG9 meeting (22-30 January 2018), concerning the relevant ITU</w:t>
            </w:r>
            <w:r>
              <w:rPr>
                <w:rFonts w:cstheme="minorHAnsi"/>
              </w:rPr>
              <w:noBreakHyphen/>
              <w:t xml:space="preserve">T Recommendations in implementing the 2012 ITRs, SG9 would like to inform you that the </w:t>
            </w:r>
            <w:proofErr w:type="gramStart"/>
            <w:r>
              <w:rPr>
                <w:rFonts w:cstheme="minorHAnsi"/>
              </w:rPr>
              <w:t>following  ITU</w:t>
            </w:r>
            <w:proofErr w:type="gramEnd"/>
            <w:r>
              <w:rPr>
                <w:rFonts w:cstheme="minorHAnsi"/>
              </w:rPr>
              <w:t>-T Recommendations developed by SG9 are related to the provision of preferential telecommunications on the cable TV networks which is mentioned in article 5.3 of the ITRs (2012).</w:t>
            </w:r>
          </w:p>
          <w:p w14:paraId="7A90CC81" w14:textId="77777777" w:rsidR="009340E2" w:rsidRDefault="00CB6CC0" w:rsidP="006C3576">
            <w:pPr>
              <w:spacing w:before="120" w:after="120" w:line="240" w:lineRule="auto"/>
              <w:rPr>
                <w:rFonts w:cstheme="minorHAnsi"/>
              </w:rPr>
            </w:pPr>
            <w:hyperlink r:id="rId118" w:history="1">
              <w:r w:rsidR="009340E2">
                <w:rPr>
                  <w:rStyle w:val="Hyperlink"/>
                  <w:rFonts w:cstheme="minorHAnsi"/>
                </w:rPr>
                <w:t>ITU-T J.260</w:t>
              </w:r>
            </w:hyperlink>
            <w:r w:rsidR="009340E2">
              <w:rPr>
                <w:rFonts w:cstheme="minorHAnsi"/>
              </w:rPr>
              <w:t xml:space="preserve">: Requirements for preferential telecommunications over </w:t>
            </w:r>
            <w:proofErr w:type="spellStart"/>
            <w:r w:rsidR="009340E2">
              <w:rPr>
                <w:rFonts w:cstheme="minorHAnsi"/>
              </w:rPr>
              <w:t>IPCablecom</w:t>
            </w:r>
            <w:proofErr w:type="spellEnd"/>
            <w:r w:rsidR="009340E2">
              <w:rPr>
                <w:rFonts w:cstheme="minorHAnsi"/>
              </w:rPr>
              <w:t xml:space="preserve"> networks: Clause 5 - Architectural cases for preferential telecommunications over </w:t>
            </w:r>
            <w:proofErr w:type="spellStart"/>
            <w:r w:rsidR="009340E2">
              <w:rPr>
                <w:rFonts w:cstheme="minorHAnsi"/>
              </w:rPr>
              <w:t>IPCablecom</w:t>
            </w:r>
            <w:proofErr w:type="spellEnd"/>
            <w:r w:rsidR="009340E2">
              <w:rPr>
                <w:rFonts w:cstheme="minorHAnsi"/>
              </w:rPr>
              <w:t xml:space="preserve"> networks, including sub-clause 5.1 - </w:t>
            </w:r>
            <w:proofErr w:type="spellStart"/>
            <w:r w:rsidR="009340E2">
              <w:rPr>
                <w:rFonts w:cstheme="minorHAnsi"/>
              </w:rPr>
              <w:t>IPCablecom</w:t>
            </w:r>
            <w:proofErr w:type="spellEnd"/>
            <w:r w:rsidR="009340E2">
              <w:rPr>
                <w:rFonts w:cstheme="minorHAnsi"/>
              </w:rPr>
              <w:t xml:space="preserve"> to/from PSTN and sub-clause 5.2 - On-net to on-net; Clause 6 - Requirements for preferential telecommunications in </w:t>
            </w:r>
            <w:proofErr w:type="spellStart"/>
            <w:r w:rsidR="009340E2">
              <w:rPr>
                <w:rFonts w:cstheme="minorHAnsi"/>
              </w:rPr>
              <w:t>IPCablecom</w:t>
            </w:r>
            <w:proofErr w:type="spellEnd"/>
            <w:r w:rsidR="009340E2">
              <w:rPr>
                <w:rFonts w:cstheme="minorHAnsi"/>
              </w:rPr>
              <w:t xml:space="preserve">, including sub-clause 6.1 - Requirements for authentication in </w:t>
            </w:r>
            <w:proofErr w:type="spellStart"/>
            <w:r w:rsidR="009340E2">
              <w:rPr>
                <w:rFonts w:cstheme="minorHAnsi"/>
              </w:rPr>
              <w:t>IPCablecom</w:t>
            </w:r>
            <w:proofErr w:type="spellEnd"/>
            <w:r w:rsidR="009340E2">
              <w:rPr>
                <w:rFonts w:cstheme="minorHAnsi"/>
              </w:rPr>
              <w:t xml:space="preserve"> networks and sub-clause 6.2 - Requirements for priority treatment in </w:t>
            </w:r>
            <w:proofErr w:type="spellStart"/>
            <w:r w:rsidR="009340E2">
              <w:rPr>
                <w:rFonts w:cstheme="minorHAnsi"/>
              </w:rPr>
              <w:t>IPCablecom</w:t>
            </w:r>
            <w:proofErr w:type="spellEnd"/>
            <w:r w:rsidR="009340E2">
              <w:rPr>
                <w:rFonts w:cstheme="minorHAnsi"/>
              </w:rPr>
              <w:t xml:space="preserve"> networks.</w:t>
            </w:r>
          </w:p>
          <w:p w14:paraId="2002794F" w14:textId="77777777" w:rsidR="009340E2" w:rsidRDefault="009340E2" w:rsidP="006C3576">
            <w:pPr>
              <w:spacing w:before="120" w:after="120" w:line="240" w:lineRule="auto"/>
              <w:rPr>
                <w:rFonts w:cstheme="minorHAnsi"/>
              </w:rPr>
            </w:pPr>
            <w:r>
              <w:rPr>
                <w:rFonts w:cstheme="minorHAnsi"/>
              </w:rPr>
              <w:t>Note: The term “</w:t>
            </w:r>
            <w:proofErr w:type="spellStart"/>
            <w:r>
              <w:rPr>
                <w:rFonts w:cstheme="minorHAnsi"/>
              </w:rPr>
              <w:t>IPCablecom</w:t>
            </w:r>
            <w:proofErr w:type="spellEnd"/>
            <w:r>
              <w:rPr>
                <w:rFonts w:cstheme="minorHAnsi"/>
              </w:rPr>
              <w:t>” is defined in ITU-T J.160 as follows:</w:t>
            </w:r>
          </w:p>
          <w:p w14:paraId="19F49CB3" w14:textId="77777777" w:rsidR="009340E2" w:rsidRDefault="009340E2" w:rsidP="006C3576">
            <w:pPr>
              <w:spacing w:before="120" w:after="120" w:line="240" w:lineRule="auto"/>
              <w:rPr>
                <w:rFonts w:cstheme="minorHAnsi"/>
              </w:rPr>
            </w:pPr>
            <w:proofErr w:type="spellStart"/>
            <w:r>
              <w:rPr>
                <w:rFonts w:cstheme="minorHAnsi"/>
              </w:rPr>
              <w:t>IPCablecom</w:t>
            </w:r>
            <w:proofErr w:type="spellEnd"/>
            <w:r>
              <w:rPr>
                <w:rFonts w:cstheme="minorHAnsi"/>
              </w:rPr>
              <w:t>: An ITU-T project that includes an architecture and a series of Recommendations that enable the delivery of real-time services over the cable television networks using cable modems.</w:t>
            </w:r>
          </w:p>
          <w:p w14:paraId="582C4010" w14:textId="77777777" w:rsidR="009340E2" w:rsidRDefault="00CB6CC0" w:rsidP="006C3576">
            <w:pPr>
              <w:spacing w:before="120" w:after="120" w:line="240" w:lineRule="auto"/>
              <w:rPr>
                <w:rFonts w:cstheme="minorHAnsi"/>
              </w:rPr>
            </w:pPr>
            <w:hyperlink r:id="rId119" w:history="1">
              <w:r w:rsidR="009340E2">
                <w:rPr>
                  <w:rStyle w:val="Hyperlink"/>
                  <w:rFonts w:cstheme="minorHAnsi"/>
                </w:rPr>
                <w:t>ITU-T J.261</w:t>
              </w:r>
            </w:hyperlink>
            <w:r w:rsidR="009340E2">
              <w:rPr>
                <w:rFonts w:cstheme="minorHAnsi"/>
              </w:rPr>
              <w:t xml:space="preserve">: Framework for implementing preferential telecommunications in </w:t>
            </w:r>
            <w:proofErr w:type="spellStart"/>
            <w:r w:rsidR="009340E2">
              <w:rPr>
                <w:rFonts w:cstheme="minorHAnsi"/>
              </w:rPr>
              <w:t>IPCablecom</w:t>
            </w:r>
            <w:proofErr w:type="spellEnd"/>
            <w:r w:rsidR="009340E2">
              <w:rPr>
                <w:rFonts w:cstheme="minorHAnsi"/>
              </w:rPr>
              <w:t xml:space="preserve"> and IPCablecom2 networks. This Recommendation provides a framework for implementing preferential capabilities in </w:t>
            </w:r>
            <w:proofErr w:type="spellStart"/>
            <w:r w:rsidR="009340E2">
              <w:rPr>
                <w:rFonts w:cstheme="minorHAnsi"/>
              </w:rPr>
              <w:t>IPCablecom</w:t>
            </w:r>
            <w:proofErr w:type="spellEnd"/>
            <w:r w:rsidR="009340E2">
              <w:rPr>
                <w:rFonts w:cstheme="minorHAnsi"/>
              </w:rPr>
              <w:t xml:space="preserve"> and IPCablecom2 networks.</w:t>
            </w:r>
          </w:p>
          <w:p w14:paraId="34A29921" w14:textId="77777777" w:rsidR="009340E2" w:rsidRDefault="00CB6CC0" w:rsidP="006C3576">
            <w:pPr>
              <w:spacing w:before="120" w:after="120" w:line="240" w:lineRule="auto"/>
              <w:rPr>
                <w:rFonts w:cstheme="minorHAnsi"/>
              </w:rPr>
            </w:pPr>
            <w:hyperlink r:id="rId120" w:history="1">
              <w:r w:rsidR="009340E2">
                <w:rPr>
                  <w:rStyle w:val="Hyperlink"/>
                  <w:rFonts w:cstheme="minorHAnsi"/>
                </w:rPr>
                <w:t>ITU-T J.262</w:t>
              </w:r>
            </w:hyperlink>
            <w:r w:rsidR="009340E2">
              <w:rPr>
                <w:rFonts w:cstheme="minorHAnsi"/>
              </w:rPr>
              <w:t>: Specifications for authentication in preferential telecommunications over IPCablecom2 networks. This Recommendation defines specifications stemming from the requirements of Recommendation ITU-T J.260 for mechanisms to provide authentication in IPCablecom2 networks in support of preferential telecommunication services that need or benefit from preferential treatment.</w:t>
            </w:r>
          </w:p>
          <w:p w14:paraId="5CD94F5E" w14:textId="77777777" w:rsidR="009340E2" w:rsidRDefault="00CB6CC0" w:rsidP="006C3576">
            <w:pPr>
              <w:spacing w:before="120" w:after="120" w:line="240" w:lineRule="auto"/>
              <w:rPr>
                <w:rFonts w:cstheme="minorHAnsi"/>
              </w:rPr>
            </w:pPr>
            <w:hyperlink r:id="rId121" w:history="1">
              <w:r w:rsidR="009340E2">
                <w:rPr>
                  <w:rStyle w:val="Hyperlink"/>
                  <w:rFonts w:cstheme="minorHAnsi"/>
                </w:rPr>
                <w:t>ITU-T J.263</w:t>
              </w:r>
            </w:hyperlink>
            <w:r w:rsidR="009340E2">
              <w:rPr>
                <w:rFonts w:cstheme="minorHAnsi"/>
              </w:rPr>
              <w:t>: Specification for priority in preferential telecommunications over IPCablecom2 networks. This Recommendation provides specifications stemming from the requirements of [ITU-T J.260] for mechanisms to provide priority in IPCablecom2 networks in support of preferential/prioritized treatment to services that need or benefit from such treatment.</w:t>
            </w:r>
          </w:p>
          <w:p w14:paraId="17C6B4D3" w14:textId="77777777" w:rsidR="009340E2" w:rsidRDefault="009340E2" w:rsidP="006C3576">
            <w:pPr>
              <w:spacing w:before="120" w:after="120" w:line="240" w:lineRule="auto"/>
              <w:rPr>
                <w:rFonts w:cstheme="minorHAnsi"/>
              </w:rPr>
            </w:pPr>
            <w:r>
              <w:rPr>
                <w:rFonts w:cstheme="minorHAnsi"/>
              </w:rPr>
              <w:t>ITU-T SG9 looks forward to continuing its cooperation with TSAG Expert Group on ITR with relevant additional information if any.”</w:t>
            </w:r>
          </w:p>
        </w:tc>
      </w:tr>
      <w:tr w:rsidR="009340E2" w14:paraId="7E982E25" w14:textId="77777777" w:rsidTr="009340E2">
        <w:trPr>
          <w:trHeight w:val="705"/>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58C07F" w14:textId="77777777" w:rsidR="009340E2" w:rsidRDefault="009340E2" w:rsidP="00F01842">
            <w:pPr>
              <w:spacing w:after="120" w:line="240" w:lineRule="auto"/>
              <w:rPr>
                <w:rFonts w:cstheme="minorHAnsi"/>
                <w:b/>
                <w:lang w:eastAsia="en-US"/>
              </w:rPr>
            </w:pPr>
            <w:r>
              <w:rPr>
                <w:rFonts w:cstheme="minorHAnsi"/>
                <w:b/>
              </w:rPr>
              <w:t>ITU-T SG11</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14:paraId="3FDDA2CD"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liaison to TSAG, agreed by ITU-T SG11 management, 7 September 2017, </w:t>
            </w:r>
            <w:hyperlink r:id="rId122" w:history="1">
              <w:r>
                <w:rPr>
                  <w:rStyle w:val="Hyperlink"/>
                  <w:rFonts w:cstheme="minorHAnsi"/>
                </w:rPr>
                <w:t>TSAG TD 265</w:t>
              </w:r>
            </w:hyperlink>
            <w:r>
              <w:rPr>
                <w:rFonts w:cstheme="minorHAnsi"/>
              </w:rPr>
              <w:t>, 26 February – 2 March 2018):</w:t>
            </w:r>
          </w:p>
          <w:p w14:paraId="34BB6412" w14:textId="77777777" w:rsidR="009340E2" w:rsidRDefault="009340E2" w:rsidP="006C3576">
            <w:pPr>
              <w:spacing w:before="120" w:after="120" w:line="240" w:lineRule="auto"/>
              <w:rPr>
                <w:rFonts w:cstheme="minorHAnsi"/>
              </w:rPr>
            </w:pPr>
            <w:r>
              <w:rPr>
                <w:rFonts w:cstheme="minorHAnsi"/>
              </w:rPr>
              <w:lastRenderedPageBreak/>
              <w:t xml:space="preserve">“ITU-T SG11 management would like to thank TSAG for incoming Liaison Statement </w:t>
            </w:r>
            <w:hyperlink r:id="rId123" w:tooltip="ITU-T ftp file restricted to TIES access only" w:history="1">
              <w:r>
                <w:rPr>
                  <w:rStyle w:val="Hyperlink"/>
                  <w:rFonts w:cstheme="minorHAnsi"/>
                </w:rPr>
                <w:t>TSAG - LS 8 -E</w:t>
              </w:r>
            </w:hyperlink>
            <w:r>
              <w:rPr>
                <w:rFonts w:cstheme="minorHAnsi"/>
              </w:rPr>
              <w:t>. This LS was discussed by the SG11 management team during its e-meeting on 7 September 2017.</w:t>
            </w:r>
          </w:p>
          <w:p w14:paraId="13FAD8F7" w14:textId="77777777" w:rsidR="009340E2" w:rsidRDefault="009340E2" w:rsidP="006C3576">
            <w:pPr>
              <w:spacing w:before="120" w:after="120" w:line="240" w:lineRule="auto"/>
              <w:rPr>
                <w:rFonts w:cstheme="minorHAnsi"/>
              </w:rPr>
            </w:pPr>
            <w:r>
              <w:rPr>
                <w:rFonts w:cstheme="minorHAnsi"/>
              </w:rPr>
              <w:t>Following the discussion, I would like to inform you that SG11 management found out that some of ITU-T Recommendations developed by SG11 are related to the provision of International Calling Line Identification which is mentioned in article 3.6 of the ITRs (2012), including:</w:t>
            </w:r>
          </w:p>
          <w:p w14:paraId="196227B7" w14:textId="77777777" w:rsidR="009340E2" w:rsidRDefault="00CB6CC0" w:rsidP="006C3576">
            <w:pPr>
              <w:pStyle w:val="ListParagraph"/>
              <w:numPr>
                <w:ilvl w:val="0"/>
                <w:numId w:val="23"/>
              </w:numPr>
              <w:spacing w:before="120" w:after="120" w:line="240" w:lineRule="auto"/>
              <w:rPr>
                <w:rFonts w:cstheme="minorHAnsi"/>
              </w:rPr>
            </w:pPr>
            <w:hyperlink r:id="rId124" w:history="1">
              <w:r w:rsidR="009340E2">
                <w:rPr>
                  <w:rStyle w:val="Hyperlink"/>
                  <w:rFonts w:cstheme="minorHAnsi"/>
                </w:rPr>
                <w:t>ITU-T Q.731</w:t>
              </w:r>
            </w:hyperlink>
            <w:r w:rsidR="009340E2">
              <w:rPr>
                <w:rFonts w:cstheme="minorHAnsi"/>
              </w:rPr>
              <w:t>: Stage 3 description for number identification supplementary services using Signalling System No. 7: Clause 3 - Calling Line Identification Presentation (CLIP): Clause 4 - Calling Line Identification Restriction (CLIR): Clause 5 - Connected Line Identification Presentation (COLP): Clause 6 - Connected Line Identification Restriction (COLR).</w:t>
            </w:r>
            <w:r w:rsidR="009340E2">
              <w:rPr>
                <w:rFonts w:cstheme="minorHAnsi"/>
              </w:rPr>
              <w:br/>
              <w:t xml:space="preserve">The recommendation defines </w:t>
            </w:r>
            <w:proofErr w:type="spellStart"/>
            <w:r w:rsidR="009340E2">
              <w:rPr>
                <w:rFonts w:cstheme="minorHAnsi"/>
              </w:rPr>
              <w:t>signaling</w:t>
            </w:r>
            <w:proofErr w:type="spellEnd"/>
            <w:r w:rsidR="009340E2">
              <w:rPr>
                <w:rFonts w:cstheme="minorHAnsi"/>
              </w:rPr>
              <w:t xml:space="preserve"> requirements to supplementary services such as CLIP, CLIR, COLP and COLR.</w:t>
            </w:r>
            <w:r w:rsidR="009340E2">
              <w:rPr>
                <w:rFonts w:cstheme="minorHAnsi"/>
              </w:rPr>
              <w:br/>
              <w:t>Note: there are following terms defined in ITU-T Q.731:</w:t>
            </w:r>
          </w:p>
          <w:p w14:paraId="659A62DB" w14:textId="77777777" w:rsidR="009340E2" w:rsidRDefault="009340E2" w:rsidP="006C3576">
            <w:pPr>
              <w:pStyle w:val="ListParagraph"/>
              <w:numPr>
                <w:ilvl w:val="1"/>
                <w:numId w:val="23"/>
              </w:numPr>
              <w:spacing w:before="120" w:after="120" w:line="240" w:lineRule="auto"/>
              <w:rPr>
                <w:rFonts w:cstheme="minorHAnsi"/>
              </w:rPr>
            </w:pPr>
            <w:r>
              <w:rPr>
                <w:rFonts w:cstheme="minorHAnsi"/>
              </w:rPr>
              <w:t>calling line identification presentation (CLIP) is a supplementary service offered to the called user which provides the calling user’s number, with additional address information (</w:t>
            </w:r>
            <w:proofErr w:type="gramStart"/>
            <w:r>
              <w:rPr>
                <w:rFonts w:cstheme="minorHAnsi"/>
              </w:rPr>
              <w:t>e.g.</w:t>
            </w:r>
            <w:proofErr w:type="gramEnd"/>
            <w:r>
              <w:rPr>
                <w:rFonts w:cstheme="minorHAnsi"/>
              </w:rPr>
              <w:t xml:space="preserve"> calling party sub-address) if any, to the called user.</w:t>
            </w:r>
          </w:p>
          <w:p w14:paraId="6ECF616B" w14:textId="77777777" w:rsidR="009340E2" w:rsidRDefault="009340E2" w:rsidP="006C3576">
            <w:pPr>
              <w:pStyle w:val="ListParagraph"/>
              <w:numPr>
                <w:ilvl w:val="1"/>
                <w:numId w:val="23"/>
              </w:numPr>
              <w:spacing w:before="120" w:after="120" w:line="240" w:lineRule="auto"/>
              <w:rPr>
                <w:rFonts w:cstheme="minorHAnsi"/>
              </w:rPr>
            </w:pPr>
            <w:r>
              <w:rPr>
                <w:rFonts w:cstheme="minorHAnsi"/>
              </w:rPr>
              <w:t>calling line identification restriction (CLIR) is a supplementary service offered to the calling user to restrict presentation of the calling user’s number, with additional address information (</w:t>
            </w:r>
            <w:proofErr w:type="gramStart"/>
            <w:r>
              <w:rPr>
                <w:rFonts w:cstheme="minorHAnsi"/>
              </w:rPr>
              <w:t>e.g.</w:t>
            </w:r>
            <w:proofErr w:type="gramEnd"/>
            <w:r>
              <w:rPr>
                <w:rFonts w:cstheme="minorHAnsi"/>
              </w:rPr>
              <w:t xml:space="preserve"> calling party sub-address) if any, to the called user.</w:t>
            </w:r>
          </w:p>
          <w:p w14:paraId="24D93B5C" w14:textId="77777777" w:rsidR="009340E2" w:rsidRDefault="009340E2" w:rsidP="006C3576">
            <w:pPr>
              <w:pStyle w:val="ListParagraph"/>
              <w:numPr>
                <w:ilvl w:val="1"/>
                <w:numId w:val="23"/>
              </w:numPr>
              <w:spacing w:before="120" w:after="120" w:line="240" w:lineRule="auto"/>
              <w:rPr>
                <w:rFonts w:cstheme="minorHAnsi"/>
              </w:rPr>
            </w:pPr>
            <w:r>
              <w:rPr>
                <w:rFonts w:cstheme="minorHAnsi"/>
              </w:rPr>
              <w:t>connected line identification presentation (COLP) is a supplementary service offered to the calling party which provides the connected party’s ISDN number, with additional address information (</w:t>
            </w:r>
            <w:proofErr w:type="gramStart"/>
            <w:r>
              <w:rPr>
                <w:rFonts w:cstheme="minorHAnsi"/>
              </w:rPr>
              <w:t>e.g.</w:t>
            </w:r>
            <w:proofErr w:type="gramEnd"/>
            <w:r>
              <w:rPr>
                <w:rFonts w:cstheme="minorHAnsi"/>
              </w:rPr>
              <w:t xml:space="preserve"> connected party sub-address) if any, to the calling party at the call establishment phase.</w:t>
            </w:r>
          </w:p>
          <w:p w14:paraId="3CC70B11" w14:textId="77777777" w:rsidR="009340E2" w:rsidRDefault="009340E2" w:rsidP="006C3576">
            <w:pPr>
              <w:pStyle w:val="ListParagraph"/>
              <w:numPr>
                <w:ilvl w:val="1"/>
                <w:numId w:val="23"/>
              </w:numPr>
              <w:spacing w:before="120" w:after="120" w:line="240" w:lineRule="auto"/>
              <w:rPr>
                <w:rFonts w:cstheme="minorHAnsi"/>
              </w:rPr>
            </w:pPr>
            <w:r>
              <w:rPr>
                <w:rFonts w:cstheme="minorHAnsi"/>
              </w:rPr>
              <w:t>connected line identification restriction (COLR) is a supplementary service offered to the connected party to restrict presentation of the connected party’s ISDN-number, with additional address information (</w:t>
            </w:r>
            <w:proofErr w:type="gramStart"/>
            <w:r>
              <w:rPr>
                <w:rFonts w:cstheme="minorHAnsi"/>
              </w:rPr>
              <w:t>e.g.</w:t>
            </w:r>
            <w:proofErr w:type="gramEnd"/>
            <w:r>
              <w:rPr>
                <w:rFonts w:cstheme="minorHAnsi"/>
              </w:rPr>
              <w:t xml:space="preserve"> connected party sub-address) if any, to the calling party.</w:t>
            </w:r>
          </w:p>
          <w:p w14:paraId="3B00726D" w14:textId="77777777" w:rsidR="009340E2" w:rsidRDefault="00CB6CC0" w:rsidP="006C3576">
            <w:pPr>
              <w:pStyle w:val="ListParagraph"/>
              <w:numPr>
                <w:ilvl w:val="0"/>
                <w:numId w:val="23"/>
              </w:numPr>
              <w:spacing w:before="120" w:after="120" w:line="240" w:lineRule="auto"/>
              <w:rPr>
                <w:rFonts w:cstheme="minorHAnsi"/>
              </w:rPr>
            </w:pPr>
            <w:hyperlink r:id="rId125" w:history="1">
              <w:r w:rsidR="009340E2">
                <w:rPr>
                  <w:rStyle w:val="Hyperlink"/>
                  <w:rFonts w:cstheme="minorHAnsi"/>
                </w:rPr>
                <w:t>ITU-T Q.731.7</w:t>
              </w:r>
            </w:hyperlink>
            <w:r w:rsidR="009340E2">
              <w:rPr>
                <w:rFonts w:cstheme="minorHAnsi"/>
              </w:rPr>
              <w:t>: Stage 3 description for number identification supplementary services using Signalling System No. 7: Malicious call identification (MCID).</w:t>
            </w:r>
          </w:p>
          <w:p w14:paraId="1B32A4FA" w14:textId="77777777" w:rsidR="009340E2" w:rsidRDefault="009340E2" w:rsidP="006C3576">
            <w:pPr>
              <w:pStyle w:val="ListParagraph"/>
              <w:snapToGrid w:val="0"/>
              <w:spacing w:before="120" w:after="120" w:line="240" w:lineRule="auto"/>
              <w:rPr>
                <w:rFonts w:cstheme="minorHAnsi"/>
              </w:rPr>
            </w:pPr>
            <w:r>
              <w:rPr>
                <w:rFonts w:cstheme="minorHAnsi"/>
              </w:rPr>
              <w:t xml:space="preserve">The Recommendation defines the essential functions, </w:t>
            </w:r>
            <w:proofErr w:type="gramStart"/>
            <w:r>
              <w:rPr>
                <w:rFonts w:cstheme="minorHAnsi"/>
              </w:rPr>
              <w:t>procedures</w:t>
            </w:r>
            <w:proofErr w:type="gramEnd"/>
            <w:r>
              <w:rPr>
                <w:rFonts w:cstheme="minorHAnsi"/>
              </w:rPr>
              <w:t xml:space="preserve"> and messages of the ISUP protocol required for the provisioning to ISDN users of the Malicious Call Identification supplementary service, which enables a user to request that the source of an incoming call is identified and registered in the network.</w:t>
            </w:r>
          </w:p>
          <w:p w14:paraId="00EFDB73" w14:textId="77777777" w:rsidR="009340E2" w:rsidRDefault="009340E2" w:rsidP="006C3576">
            <w:pPr>
              <w:spacing w:before="120" w:after="120" w:line="240" w:lineRule="auto"/>
              <w:rPr>
                <w:rFonts w:cstheme="minorHAnsi"/>
              </w:rPr>
            </w:pPr>
            <w:r>
              <w:rPr>
                <w:rFonts w:cstheme="minorHAnsi"/>
              </w:rPr>
              <w:t>SG11 will discuss this LS at the forthcoming meeting in November 2017 once again and keep TSAG Expert Group on ITR updated with relevant additional information if any.”</w:t>
            </w:r>
          </w:p>
          <w:p w14:paraId="0CC268FA" w14:textId="77777777" w:rsidR="009340E2" w:rsidRDefault="009340E2" w:rsidP="006C3576">
            <w:pPr>
              <w:spacing w:before="120" w:after="120" w:line="240" w:lineRule="auto"/>
              <w:rPr>
                <w:rFonts w:cstheme="minorHAnsi"/>
              </w:rPr>
            </w:pPr>
          </w:p>
          <w:p w14:paraId="1941FA04"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liaison to TSAG, agreed by ITU-T SG11 meeting, 8-17 November 2017, 7 September 2017, </w:t>
            </w:r>
            <w:hyperlink r:id="rId126" w:history="1">
              <w:r>
                <w:rPr>
                  <w:rStyle w:val="Hyperlink"/>
                  <w:rFonts w:cstheme="minorHAnsi"/>
                </w:rPr>
                <w:t>TSAG TD 265</w:t>
              </w:r>
            </w:hyperlink>
            <w:r>
              <w:rPr>
                <w:rFonts w:cstheme="minorHAnsi"/>
              </w:rPr>
              <w:t>, 26 February – 2 March 2018):</w:t>
            </w:r>
          </w:p>
          <w:p w14:paraId="13213D77" w14:textId="77777777" w:rsidR="009340E2" w:rsidRDefault="009340E2" w:rsidP="006C3576">
            <w:pPr>
              <w:spacing w:before="120" w:after="120" w:line="240" w:lineRule="auto"/>
              <w:rPr>
                <w:rFonts w:cstheme="minorHAnsi"/>
              </w:rPr>
            </w:pPr>
            <w:r>
              <w:rPr>
                <w:rFonts w:cstheme="minorHAnsi"/>
              </w:rPr>
              <w:t>“ITU-T Study Group 11 would like to thank TSAG for the incoming Liaison Statement (</w:t>
            </w:r>
            <w:hyperlink r:id="rId127" w:tooltip="ITU-T ftp file restricted to TIES access only" w:history="1">
              <w:r>
                <w:rPr>
                  <w:rStyle w:val="Hyperlink"/>
                  <w:rFonts w:cstheme="minorHAnsi"/>
                </w:rPr>
                <w:t>TSAG-LS 8</w:t>
              </w:r>
            </w:hyperlink>
            <w:r>
              <w:rPr>
                <w:rFonts w:cstheme="minorHAnsi"/>
              </w:rPr>
              <w:t>).</w:t>
            </w:r>
          </w:p>
          <w:p w14:paraId="7D3FBD6E" w14:textId="77777777" w:rsidR="009340E2" w:rsidRDefault="009340E2" w:rsidP="006C3576">
            <w:pPr>
              <w:tabs>
                <w:tab w:val="left" w:pos="0"/>
                <w:tab w:val="left" w:pos="284"/>
                <w:tab w:val="left" w:pos="709"/>
              </w:tabs>
              <w:spacing w:before="120" w:after="120" w:line="240" w:lineRule="auto"/>
              <w:rPr>
                <w:rFonts w:cstheme="minorHAnsi"/>
              </w:rPr>
            </w:pPr>
            <w:r>
              <w:rPr>
                <w:rFonts w:cstheme="minorHAnsi"/>
              </w:rPr>
              <w:t>The ITU-T SG11 Chairman has already informed TSAG in September 2017 (</w:t>
            </w:r>
            <w:hyperlink r:id="rId128" w:history="1">
              <w:r>
                <w:rPr>
                  <w:rStyle w:val="Hyperlink"/>
                  <w:rFonts w:cstheme="minorHAnsi"/>
                  <w:bCs/>
                </w:rPr>
                <w:t>SG11-LS20</w:t>
              </w:r>
            </w:hyperlink>
            <w:r>
              <w:rPr>
                <w:rFonts w:cstheme="minorHAnsi"/>
              </w:rPr>
              <w:t xml:space="preserve">). After further discussion at the ITU-T SG11 meeting (8-17 November 2017), concerning the </w:t>
            </w:r>
            <w:r>
              <w:rPr>
                <w:rFonts w:cstheme="minorHAnsi"/>
              </w:rPr>
              <w:lastRenderedPageBreak/>
              <w:t>relevant ITU</w:t>
            </w:r>
            <w:r>
              <w:rPr>
                <w:rFonts w:cstheme="minorHAnsi"/>
              </w:rPr>
              <w:noBreakHyphen/>
              <w:t>T Recommendations and the role of SG11 in implementing the 2012 ITRs, the SG11 meeting agreed the following:</w:t>
            </w:r>
          </w:p>
          <w:p w14:paraId="11531A30" w14:textId="77777777" w:rsidR="009340E2" w:rsidRDefault="009340E2" w:rsidP="006C3576">
            <w:pPr>
              <w:numPr>
                <w:ilvl w:val="0"/>
                <w:numId w:val="24"/>
              </w:numPr>
              <w:tabs>
                <w:tab w:val="left" w:pos="426"/>
                <w:tab w:val="left" w:pos="1843"/>
                <w:tab w:val="left" w:pos="1985"/>
                <w:tab w:val="left" w:pos="2268"/>
                <w:tab w:val="left" w:pos="2835"/>
              </w:tabs>
              <w:overflowPunct w:val="0"/>
              <w:autoSpaceDE w:val="0"/>
              <w:autoSpaceDN w:val="0"/>
              <w:adjustRightInd w:val="0"/>
              <w:spacing w:before="120" w:after="120" w:line="240" w:lineRule="auto"/>
              <w:ind w:left="426" w:hanging="426"/>
              <w:rPr>
                <w:rFonts w:cstheme="minorHAnsi"/>
              </w:rPr>
            </w:pPr>
            <w:r>
              <w:rPr>
                <w:rFonts w:cstheme="minorHAnsi"/>
              </w:rPr>
              <w:t xml:space="preserve">SG11 is a technical study group and at this time, SG11 has not perceived any impact the 2012 ITRs have on ITU-T Recommendations, developed and approved by </w:t>
            </w:r>
            <w:proofErr w:type="gramStart"/>
            <w:r>
              <w:rPr>
                <w:rFonts w:cstheme="minorHAnsi"/>
              </w:rPr>
              <w:t>SG11;</w:t>
            </w:r>
            <w:proofErr w:type="gramEnd"/>
          </w:p>
          <w:p w14:paraId="3C2070FD" w14:textId="77777777" w:rsidR="009340E2" w:rsidRDefault="009340E2" w:rsidP="006C3576">
            <w:pPr>
              <w:numPr>
                <w:ilvl w:val="0"/>
                <w:numId w:val="24"/>
              </w:numPr>
              <w:tabs>
                <w:tab w:val="left" w:pos="426"/>
                <w:tab w:val="left" w:pos="851"/>
                <w:tab w:val="left" w:pos="1588"/>
                <w:tab w:val="left" w:pos="1843"/>
                <w:tab w:val="left" w:pos="1985"/>
                <w:tab w:val="left" w:pos="2268"/>
                <w:tab w:val="left" w:pos="2835"/>
              </w:tabs>
              <w:overflowPunct w:val="0"/>
              <w:autoSpaceDE w:val="0"/>
              <w:autoSpaceDN w:val="0"/>
              <w:adjustRightInd w:val="0"/>
              <w:spacing w:before="120" w:after="120" w:line="240" w:lineRule="auto"/>
              <w:ind w:left="426" w:hanging="426"/>
              <w:rPr>
                <w:rFonts w:cstheme="minorHAnsi"/>
              </w:rPr>
            </w:pPr>
            <w:r>
              <w:rPr>
                <w:rFonts w:cstheme="minorHAnsi"/>
              </w:rPr>
              <w:t>SG11 recognizes that there are a series of ITU-T Recommendations developed by SG11 that are related to the provision of International Calling Line Identification (mentioned in article 3.6 of 2012 ITRs), including:</w:t>
            </w:r>
          </w:p>
          <w:p w14:paraId="439B73AD" w14:textId="77777777" w:rsidR="009340E2" w:rsidRDefault="00CB6CC0" w:rsidP="006C3576">
            <w:pPr>
              <w:numPr>
                <w:ilvl w:val="0"/>
                <w:numId w:val="25"/>
              </w:numPr>
              <w:tabs>
                <w:tab w:val="left" w:pos="0"/>
                <w:tab w:val="left" w:pos="284"/>
                <w:tab w:val="left" w:pos="993"/>
                <w:tab w:val="left" w:pos="1985"/>
                <w:tab w:val="left" w:pos="2268"/>
                <w:tab w:val="left" w:pos="2835"/>
              </w:tabs>
              <w:autoSpaceDN w:val="0"/>
              <w:spacing w:before="120" w:after="120" w:line="240" w:lineRule="auto"/>
              <w:ind w:left="993" w:hanging="567"/>
              <w:contextualSpacing/>
              <w:rPr>
                <w:rFonts w:cstheme="minorHAnsi"/>
              </w:rPr>
            </w:pPr>
            <w:hyperlink r:id="rId129" w:history="1">
              <w:r w:rsidR="009340E2">
                <w:rPr>
                  <w:rStyle w:val="Hyperlink"/>
                  <w:rFonts w:cstheme="minorHAnsi"/>
                </w:rPr>
                <w:t>ITU-T Q.731</w:t>
              </w:r>
            </w:hyperlink>
            <w:r w:rsidR="009340E2">
              <w:rPr>
                <w:rFonts w:cstheme="minorHAnsi"/>
              </w:rPr>
              <w:t xml:space="preserve"> series: The Recommendation defines signalling requirements to supplementary services such as CLIP, CLIR, COLP and </w:t>
            </w:r>
            <w:proofErr w:type="gramStart"/>
            <w:r w:rsidR="009340E2">
              <w:rPr>
                <w:rFonts w:cstheme="minorHAnsi"/>
              </w:rPr>
              <w:t>COLR;</w:t>
            </w:r>
            <w:proofErr w:type="gramEnd"/>
          </w:p>
          <w:p w14:paraId="3DB17E8D" w14:textId="77777777" w:rsidR="009340E2" w:rsidRDefault="00CB6CC0" w:rsidP="006C3576">
            <w:pPr>
              <w:numPr>
                <w:ilvl w:val="0"/>
                <w:numId w:val="25"/>
              </w:numPr>
              <w:tabs>
                <w:tab w:val="left" w:pos="0"/>
                <w:tab w:val="left" w:pos="284"/>
                <w:tab w:val="left" w:pos="993"/>
                <w:tab w:val="left" w:pos="1985"/>
                <w:tab w:val="left" w:pos="2268"/>
                <w:tab w:val="left" w:pos="2835"/>
              </w:tabs>
              <w:autoSpaceDN w:val="0"/>
              <w:spacing w:before="120" w:after="120" w:line="240" w:lineRule="auto"/>
              <w:ind w:left="993" w:hanging="567"/>
              <w:contextualSpacing/>
              <w:rPr>
                <w:rFonts w:cstheme="minorHAnsi"/>
              </w:rPr>
            </w:pPr>
            <w:hyperlink r:id="rId130" w:history="1">
              <w:r w:rsidR="009340E2">
                <w:rPr>
                  <w:rStyle w:val="Hyperlink"/>
                  <w:rFonts w:cstheme="minorHAnsi"/>
                </w:rPr>
                <w:t>Q.3617-Q.3639</w:t>
              </w:r>
            </w:hyperlink>
            <w:r w:rsidR="009340E2">
              <w:rPr>
                <w:rFonts w:cstheme="minorHAnsi"/>
              </w:rPr>
              <w:t>: Service and session control protocols – supplementary services based on SIP-IMS.</w:t>
            </w:r>
          </w:p>
          <w:p w14:paraId="5D50C4BB" w14:textId="77777777" w:rsidR="009340E2" w:rsidRDefault="009340E2" w:rsidP="006C3576">
            <w:pPr>
              <w:tabs>
                <w:tab w:val="left" w:pos="0"/>
                <w:tab w:val="left" w:pos="284"/>
                <w:tab w:val="left" w:pos="1588"/>
                <w:tab w:val="left" w:pos="1985"/>
              </w:tabs>
              <w:spacing w:before="120" w:after="120" w:line="240" w:lineRule="auto"/>
              <w:rPr>
                <w:rFonts w:cstheme="minorHAnsi"/>
              </w:rPr>
            </w:pPr>
            <w:r>
              <w:rPr>
                <w:rFonts w:cstheme="minorHAnsi"/>
              </w:rPr>
              <w:t>This information will be reflected in the report of SG11 for the TSB Director’s consideration.”</w:t>
            </w:r>
          </w:p>
        </w:tc>
      </w:tr>
      <w:tr w:rsidR="009340E2" w14:paraId="22C88E79" w14:textId="77777777" w:rsidTr="009340E2">
        <w:trPr>
          <w:trHeight w:val="3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2F3715" w14:textId="77777777" w:rsidR="009340E2" w:rsidRDefault="009340E2" w:rsidP="00F01842">
            <w:pPr>
              <w:spacing w:after="120" w:line="240" w:lineRule="auto"/>
              <w:rPr>
                <w:rFonts w:cstheme="minorHAnsi"/>
                <w:b/>
                <w:color w:val="FF0000"/>
              </w:rPr>
            </w:pPr>
            <w:r>
              <w:rPr>
                <w:rFonts w:cstheme="minorHAnsi"/>
                <w:b/>
              </w:rPr>
              <w:lastRenderedPageBreak/>
              <w:t>ITU-T SG12</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hideMark/>
          </w:tcPr>
          <w:p w14:paraId="4160DB00" w14:textId="77777777" w:rsidR="009340E2" w:rsidRDefault="009340E2" w:rsidP="006C3576">
            <w:pPr>
              <w:spacing w:before="120" w:after="120" w:line="240" w:lineRule="auto"/>
              <w:rPr>
                <w:rFonts w:cstheme="minorHAnsi"/>
                <w:lang w:eastAsia="ja-JP"/>
              </w:rPr>
            </w:pPr>
            <w:r>
              <w:rPr>
                <w:rFonts w:cstheme="minorHAnsi"/>
              </w:rPr>
              <w:t>(</w:t>
            </w:r>
            <w:proofErr w:type="gramStart"/>
            <w:r>
              <w:rPr>
                <w:rFonts w:cstheme="minorHAnsi"/>
              </w:rPr>
              <w:t>source</w:t>
            </w:r>
            <w:proofErr w:type="gramEnd"/>
            <w:r>
              <w:rPr>
                <w:rFonts w:cstheme="minorHAnsi"/>
              </w:rPr>
              <w:t xml:space="preserve">: </w:t>
            </w:r>
            <w:hyperlink r:id="rId131" w:history="1">
              <w:r>
                <w:rPr>
                  <w:rStyle w:val="Hyperlink"/>
                  <w:rFonts w:cstheme="minorHAnsi"/>
                </w:rPr>
                <w:t>TSAG TD 265</w:t>
              </w:r>
            </w:hyperlink>
            <w:r>
              <w:rPr>
                <w:rFonts w:cstheme="minorHAnsi"/>
              </w:rPr>
              <w:t>, 26 February – 2 March 2018):</w:t>
            </w:r>
          </w:p>
          <w:p w14:paraId="3BBE5595" w14:textId="77777777" w:rsidR="009340E2" w:rsidRDefault="009340E2" w:rsidP="006C3576">
            <w:pPr>
              <w:spacing w:before="120" w:after="120" w:line="240" w:lineRule="auto"/>
              <w:rPr>
                <w:rFonts w:cstheme="minorHAnsi"/>
                <w:lang w:val="fr-CH" w:eastAsia="ja-JP"/>
              </w:rPr>
            </w:pPr>
            <w:r>
              <w:rPr>
                <w:rFonts w:cstheme="minorHAnsi"/>
                <w:lang w:val="fr-CH" w:eastAsia="ja-JP"/>
              </w:rPr>
              <w:t xml:space="preserve">Relevant ITU-T </w:t>
            </w:r>
            <w:proofErr w:type="spellStart"/>
            <w:r>
              <w:rPr>
                <w:rFonts w:cstheme="minorHAnsi"/>
                <w:lang w:val="fr-CH" w:eastAsia="ja-JP"/>
              </w:rPr>
              <w:t>Recommendations</w:t>
            </w:r>
            <w:proofErr w:type="spellEnd"/>
            <w:r>
              <w:rPr>
                <w:rFonts w:cstheme="minorHAnsi"/>
                <w:lang w:val="fr-CH" w:eastAsia="ja-JP"/>
              </w:rPr>
              <w:t xml:space="preserve"> </w:t>
            </w:r>
            <w:proofErr w:type="spellStart"/>
            <w:r>
              <w:rPr>
                <w:rFonts w:cstheme="minorHAnsi"/>
                <w:lang w:val="fr-CH" w:eastAsia="ja-JP"/>
              </w:rPr>
              <w:t>under</w:t>
            </w:r>
            <w:proofErr w:type="spellEnd"/>
            <w:r>
              <w:rPr>
                <w:rFonts w:cstheme="minorHAnsi"/>
                <w:lang w:val="fr-CH" w:eastAsia="ja-JP"/>
              </w:rPr>
              <w:t xml:space="preserve"> ITU-T SG12 </w:t>
            </w:r>
            <w:proofErr w:type="spellStart"/>
            <w:proofErr w:type="gramStart"/>
            <w:r>
              <w:rPr>
                <w:rFonts w:cstheme="minorHAnsi"/>
                <w:lang w:val="fr-CH" w:eastAsia="ja-JP"/>
              </w:rPr>
              <w:t>responsibility</w:t>
            </w:r>
            <w:proofErr w:type="spellEnd"/>
            <w:r>
              <w:rPr>
                <w:rFonts w:cstheme="minorHAnsi"/>
                <w:lang w:val="fr-CH" w:eastAsia="ja-JP"/>
              </w:rPr>
              <w:t>:</w:t>
            </w:r>
            <w:proofErr w:type="gramEnd"/>
          </w:p>
          <w:p w14:paraId="0FE61304" w14:textId="77777777" w:rsidR="009340E2" w:rsidRDefault="009340E2" w:rsidP="006C3576">
            <w:pPr>
              <w:spacing w:before="120" w:after="120" w:line="240" w:lineRule="auto"/>
              <w:rPr>
                <w:rFonts w:eastAsia="Batang" w:cstheme="minorHAnsi"/>
                <w:lang w:val="fr-CH" w:eastAsia="en-US"/>
              </w:rPr>
            </w:pPr>
            <w:r>
              <w:rPr>
                <w:rFonts w:cstheme="minorHAnsi"/>
                <w:lang w:val="fr-CH" w:eastAsia="ja-JP"/>
              </w:rPr>
              <w:t xml:space="preserve">QoS </w:t>
            </w:r>
            <w:proofErr w:type="spellStart"/>
            <w:r>
              <w:rPr>
                <w:rFonts w:cstheme="minorHAnsi"/>
                <w:lang w:val="fr-CH" w:eastAsia="ja-JP"/>
              </w:rPr>
              <w:t>related</w:t>
            </w:r>
            <w:proofErr w:type="spellEnd"/>
            <w:r>
              <w:rPr>
                <w:rFonts w:cstheme="minorHAnsi"/>
                <w:lang w:val="fr-CH" w:eastAsia="ja-JP"/>
              </w:rPr>
              <w:t xml:space="preserve"> ITU-T </w:t>
            </w:r>
            <w:proofErr w:type="spellStart"/>
            <w:proofErr w:type="gramStart"/>
            <w:r>
              <w:rPr>
                <w:rFonts w:cstheme="minorHAnsi"/>
                <w:lang w:val="fr-CH" w:eastAsia="ja-JP"/>
              </w:rPr>
              <w:t>Recommendations</w:t>
            </w:r>
            <w:proofErr w:type="spellEnd"/>
            <w:r>
              <w:rPr>
                <w:rFonts w:cstheme="minorHAnsi"/>
                <w:lang w:val="fr-CH" w:eastAsia="ja-JP"/>
              </w:rPr>
              <w:t>:</w:t>
            </w:r>
            <w:proofErr w:type="gramEnd"/>
            <w:r>
              <w:rPr>
                <w:rFonts w:cstheme="minorHAnsi"/>
                <w:lang w:val="fr-CH" w:eastAsia="ja-JP"/>
              </w:rPr>
              <w:t xml:space="preserve"> Article</w:t>
            </w:r>
            <w:r>
              <w:rPr>
                <w:rFonts w:eastAsia="Batang" w:cstheme="minorHAnsi"/>
                <w:lang w:val="fr-CH"/>
              </w:rPr>
              <w:t xml:space="preserve"> §4.3</w:t>
            </w:r>
          </w:p>
          <w:p w14:paraId="08744AC9"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8" w:hanging="284"/>
              <w:rPr>
                <w:rFonts w:eastAsia="Batang" w:cstheme="minorHAnsi"/>
              </w:rPr>
            </w:pPr>
            <w:r>
              <w:rPr>
                <w:rFonts w:eastAsia="Batang" w:cstheme="minorHAnsi"/>
              </w:rPr>
              <w:t>E.420- E.479: Checking the quality of the international telephone service</w:t>
            </w:r>
          </w:p>
          <w:p w14:paraId="7065BBB0"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 xml:space="preserve">E.800- E.859: Quality of telecommunication services: concepts, models, </w:t>
            </w:r>
            <w:proofErr w:type="gramStart"/>
            <w:r>
              <w:rPr>
                <w:rFonts w:eastAsia="Batang" w:cstheme="minorHAnsi"/>
              </w:rPr>
              <w:t>objectives</w:t>
            </w:r>
            <w:proofErr w:type="gramEnd"/>
            <w:r>
              <w:rPr>
                <w:rFonts w:eastAsia="Batang" w:cstheme="minorHAnsi"/>
              </w:rPr>
              <w:t xml:space="preserve"> and dependability planning</w:t>
            </w:r>
          </w:p>
          <w:p w14:paraId="09DE3166"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G.100-series: International telephone connections and circuits, except G.160- and G.180-series</w:t>
            </w:r>
          </w:p>
          <w:p w14:paraId="2C19BD3E"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G.1000-series: Multimedia Quality of Service and performance – Generic and user-related aspects</w:t>
            </w:r>
          </w:p>
          <w:p w14:paraId="727DCD49"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 xml:space="preserve">I.350-series: Performance objectives (including </w:t>
            </w:r>
            <w:hyperlink r:id="rId132" w:history="1">
              <w:r>
                <w:rPr>
                  <w:rStyle w:val="Hyperlink"/>
                  <w:rFonts w:eastAsia="Batang" w:cstheme="minorHAnsi"/>
                </w:rPr>
                <w:t>ITU-T Y.1501/ ITU-T G.820/ ITU-T I.351</w:t>
              </w:r>
            </w:hyperlink>
            <w:r>
              <w:rPr>
                <w:rFonts w:eastAsia="Batang" w:cstheme="minorHAnsi"/>
              </w:rPr>
              <w:t xml:space="preserve">) </w:t>
            </w:r>
          </w:p>
          <w:p w14:paraId="5F395A96" w14:textId="77777777" w:rsidR="009340E2" w:rsidRDefault="00CB6CC0"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hyperlink r:id="rId133" w:history="1">
              <w:r w:rsidR="009340E2">
                <w:rPr>
                  <w:rStyle w:val="Hyperlink"/>
                  <w:rFonts w:eastAsia="Batang" w:cstheme="minorHAnsi"/>
                </w:rPr>
                <w:t>I.371</w:t>
              </w:r>
            </w:hyperlink>
            <w:r w:rsidR="009340E2">
              <w:rPr>
                <w:rFonts w:eastAsia="Batang" w:cstheme="minorHAnsi"/>
              </w:rPr>
              <w:t xml:space="preserve">, </w:t>
            </w:r>
            <w:hyperlink r:id="rId134" w:history="1">
              <w:r w:rsidR="009340E2">
                <w:rPr>
                  <w:rStyle w:val="Hyperlink"/>
                  <w:rFonts w:eastAsia="Batang" w:cstheme="minorHAnsi"/>
                </w:rPr>
                <w:t>I.378</w:t>
              </w:r>
            </w:hyperlink>
            <w:r w:rsidR="009340E2">
              <w:rPr>
                <w:rFonts w:eastAsia="Batang" w:cstheme="minorHAnsi"/>
              </w:rPr>
              <w:t xml:space="preserve">, </w:t>
            </w:r>
            <w:hyperlink r:id="rId135" w:history="1">
              <w:r w:rsidR="009340E2">
                <w:rPr>
                  <w:rStyle w:val="Hyperlink"/>
                  <w:rFonts w:eastAsia="Batang" w:cstheme="minorHAnsi"/>
                </w:rPr>
                <w:t>I.381</w:t>
              </w:r>
            </w:hyperlink>
          </w:p>
          <w:p w14:paraId="36550A14"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J.140-, J.240- and J.340-series</w:t>
            </w:r>
          </w:p>
          <w:p w14:paraId="77707615"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P-series: Telephone transmission quality, telephone installations, local line networks</w:t>
            </w:r>
          </w:p>
          <w:p w14:paraId="306EF526"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Y.1220-series: Architecture, access, network capabilities and resource management</w:t>
            </w:r>
          </w:p>
          <w:p w14:paraId="2BBF6D7A"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 xml:space="preserve">Y.1500-series: Quality of service and network performance </w:t>
            </w:r>
          </w:p>
          <w:p w14:paraId="69D79D69"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Supplements to E-, G- and P-series”</w:t>
            </w:r>
          </w:p>
          <w:p w14:paraId="0FBEB8E9" w14:textId="77777777" w:rsidR="009340E2" w:rsidRDefault="009340E2" w:rsidP="006C3576">
            <w:pPr>
              <w:spacing w:before="120" w:after="120" w:line="240" w:lineRule="auto"/>
              <w:rPr>
                <w:rFonts w:eastAsia="Times New Roman" w:cstheme="minorHAnsi"/>
                <w:lang w:eastAsia="ja-JP"/>
              </w:rPr>
            </w:pPr>
            <w:r>
              <w:rPr>
                <w:rFonts w:cstheme="minorHAnsi"/>
                <w:lang w:eastAsia="ja-JP"/>
              </w:rPr>
              <w:t xml:space="preserve">The following comment is applicable to Art. 3.1 and 3.4: The use of the word “Satisfactory” in “satisfactory quality service” in Art. 3.1 and 3.4 is ambiguous for ITU-T SG12. Currently, there is no ITU definition for satisfactory or satisfaction. SG12 considers “Satisfaction” as another phase beyond Quality of Experience where perspectives of the user are factored. In reviewing the ITRs, this ambiguity needs to </w:t>
            </w:r>
            <w:proofErr w:type="gramStart"/>
            <w:r>
              <w:rPr>
                <w:rFonts w:cstheme="minorHAnsi"/>
                <w:lang w:eastAsia="ja-JP"/>
              </w:rPr>
              <w:t>be considered to be</w:t>
            </w:r>
            <w:proofErr w:type="gramEnd"/>
            <w:r>
              <w:rPr>
                <w:rFonts w:cstheme="minorHAnsi"/>
                <w:lang w:eastAsia="ja-JP"/>
              </w:rPr>
              <w:t xml:space="preserve"> clarified.</w:t>
            </w:r>
          </w:p>
        </w:tc>
      </w:tr>
      <w:tr w:rsidR="009340E2" w14:paraId="5314B8EF" w14:textId="77777777" w:rsidTr="009340E2">
        <w:trPr>
          <w:trHeight w:val="15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0E8AE8" w14:textId="77777777" w:rsidR="009340E2" w:rsidRDefault="009340E2" w:rsidP="00F01842">
            <w:pPr>
              <w:spacing w:after="120" w:line="240" w:lineRule="auto"/>
              <w:rPr>
                <w:rFonts w:cstheme="minorHAnsi"/>
                <w:b/>
                <w:lang w:eastAsia="en-US"/>
              </w:rPr>
            </w:pPr>
            <w:r>
              <w:rPr>
                <w:rFonts w:cstheme="minorHAnsi"/>
                <w:b/>
              </w:rPr>
              <w:lastRenderedPageBreak/>
              <w:t>ITU-T SG13</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5FF39CAD"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w:t>
            </w:r>
            <w:hyperlink r:id="rId136" w:history="1">
              <w:r>
                <w:rPr>
                  <w:rStyle w:val="Hyperlink"/>
                  <w:rFonts w:cstheme="minorHAnsi"/>
                </w:rPr>
                <w:t>https://www.itu.int/dms_pub/itu-t/md/17/tsag/td/180226/GEN/T17-TSAG-180226-TD-GEN-0217!!MSW-E.doc</w:t>
              </w:r>
            </w:hyperlink>
            <w:r>
              <w:rPr>
                <w:rFonts w:cstheme="minorHAnsi"/>
                <w:color w:val="1F497D"/>
              </w:rPr>
              <w:t xml:space="preserve"> </w:t>
            </w:r>
            <w:r>
              <w:rPr>
                <w:rFonts w:cstheme="minorHAnsi"/>
              </w:rPr>
              <w:t>, 6-17 November 2017):</w:t>
            </w:r>
          </w:p>
          <w:p w14:paraId="1FCE941C" w14:textId="77777777" w:rsidR="009340E2" w:rsidRDefault="009340E2" w:rsidP="006C3576">
            <w:pPr>
              <w:spacing w:before="120" w:after="120" w:line="240" w:lineRule="auto"/>
              <w:rPr>
                <w:rStyle w:val="Hyperlink"/>
                <w:color w:val="auto"/>
                <w:u w:val="none"/>
              </w:rPr>
            </w:pPr>
            <w:r>
              <w:rPr>
                <w:rFonts w:cstheme="minorHAnsi"/>
              </w:rPr>
              <w:t>“SG13 would kindly like to inform TSAG that it has no relevant information on the implementation of the existing 2012 International Telecommunication Regulations. We will keep our attention to the question and will inform TSAG in case of any further considerations on the topic.”</w:t>
            </w:r>
          </w:p>
        </w:tc>
      </w:tr>
      <w:tr w:rsidR="009340E2" w14:paraId="56C02535" w14:textId="77777777" w:rsidTr="009340E2">
        <w:trPr>
          <w:trHeight w:val="6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077C98" w14:textId="77777777" w:rsidR="009340E2" w:rsidRDefault="009340E2" w:rsidP="00F01842">
            <w:pPr>
              <w:spacing w:after="120" w:line="240" w:lineRule="auto"/>
              <w:rPr>
                <w:b/>
              </w:rPr>
            </w:pPr>
            <w:r>
              <w:rPr>
                <w:rFonts w:cstheme="minorHAnsi"/>
                <w:b/>
              </w:rPr>
              <w:t>ITU-T SG15</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0343AFE9" w14:textId="77777777" w:rsidR="009340E2" w:rsidRDefault="009340E2" w:rsidP="006C3576">
            <w:pPr>
              <w:spacing w:before="120" w:after="120" w:line="240" w:lineRule="auto"/>
              <w:rPr>
                <w:rFonts w:cstheme="minorHAnsi"/>
                <w:lang w:eastAsia="ja-JP"/>
              </w:rPr>
            </w:pPr>
            <w:r>
              <w:rPr>
                <w:rFonts w:cstheme="minorHAnsi"/>
                <w:lang w:eastAsia="ja-JP"/>
              </w:rPr>
              <w:t>(</w:t>
            </w:r>
            <w:proofErr w:type="gramStart"/>
            <w:r>
              <w:rPr>
                <w:rFonts w:cstheme="minorHAnsi"/>
                <w:lang w:eastAsia="ja-JP"/>
              </w:rPr>
              <w:t>source</w:t>
            </w:r>
            <w:proofErr w:type="gramEnd"/>
            <w:r>
              <w:rPr>
                <w:rFonts w:cstheme="minorHAnsi"/>
                <w:lang w:eastAsia="ja-JP"/>
              </w:rPr>
              <w:t>: Communication from ITU-T SG15 Chairman to TSAG Chairman, 4 August 2017) “… as SG15 is a primarily technical study group, there is nothing in the work programme right now that is related in any way to the ITRs.”</w:t>
            </w:r>
          </w:p>
        </w:tc>
      </w:tr>
      <w:tr w:rsidR="009340E2" w14:paraId="15E81144" w14:textId="77777777" w:rsidTr="009340E2">
        <w:trPr>
          <w:trHeight w:val="6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603880" w14:textId="77777777" w:rsidR="009340E2" w:rsidRDefault="009340E2" w:rsidP="00F01842">
            <w:pPr>
              <w:spacing w:after="120" w:line="240" w:lineRule="auto"/>
              <w:rPr>
                <w:rFonts w:cstheme="minorHAnsi"/>
                <w:b/>
                <w:lang w:eastAsia="en-US"/>
              </w:rPr>
            </w:pPr>
            <w:r>
              <w:rPr>
                <w:rFonts w:cstheme="minorHAnsi"/>
                <w:b/>
              </w:rPr>
              <w:t>ITU-T SG16</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1A64539B" w14:textId="77777777" w:rsidR="009340E2" w:rsidRDefault="009340E2" w:rsidP="006C3576">
            <w:pPr>
              <w:spacing w:before="120" w:after="120" w:line="240" w:lineRule="auto"/>
              <w:rPr>
                <w:rFonts w:cstheme="minorHAnsi"/>
                <w:bCs/>
                <w:i/>
                <w:iCs/>
              </w:rPr>
            </w:pPr>
            <w:r>
              <w:rPr>
                <w:rFonts w:cstheme="minorHAnsi"/>
              </w:rPr>
              <w:t>Note from Secretariat: ITU-T SG16 reviewed the request in October 2017 and did not have any feedback to provide.</w:t>
            </w:r>
          </w:p>
        </w:tc>
      </w:tr>
      <w:tr w:rsidR="009340E2" w14:paraId="12FC10A7" w14:textId="77777777" w:rsidTr="009340E2">
        <w:trPr>
          <w:trHeight w:val="2264"/>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EB1AC6" w14:textId="77777777" w:rsidR="009340E2" w:rsidRDefault="009340E2" w:rsidP="00F01842">
            <w:pPr>
              <w:spacing w:after="120" w:line="240" w:lineRule="auto"/>
              <w:rPr>
                <w:rFonts w:cstheme="minorHAnsi"/>
                <w:b/>
              </w:rPr>
            </w:pPr>
            <w:r>
              <w:rPr>
                <w:rFonts w:cstheme="minorHAnsi"/>
                <w:b/>
              </w:rPr>
              <w:t>ITU-T SG17</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106ED2D5" w14:textId="77777777" w:rsidR="009340E2" w:rsidRDefault="009340E2" w:rsidP="006C3576">
            <w:pPr>
              <w:spacing w:before="120" w:after="120" w:line="240" w:lineRule="auto"/>
              <w:rPr>
                <w:rFonts w:cstheme="minorHAnsi"/>
                <w:lang w:eastAsia="ja-JP"/>
              </w:rPr>
            </w:pPr>
            <w:r>
              <w:rPr>
                <w:rFonts w:cstheme="minorHAnsi"/>
              </w:rPr>
              <w:t>(</w:t>
            </w:r>
            <w:proofErr w:type="gramStart"/>
            <w:r>
              <w:rPr>
                <w:rFonts w:cstheme="minorHAnsi"/>
              </w:rPr>
              <w:t>source</w:t>
            </w:r>
            <w:proofErr w:type="gramEnd"/>
            <w:r>
              <w:rPr>
                <w:rFonts w:cstheme="minorHAnsi"/>
              </w:rPr>
              <w:t xml:space="preserve">: </w:t>
            </w:r>
            <w:hyperlink r:id="rId137" w:history="1">
              <w:r>
                <w:rPr>
                  <w:rStyle w:val="Hyperlink"/>
                  <w:rFonts w:cstheme="minorHAnsi"/>
                </w:rPr>
                <w:t>TSAG TD 265</w:t>
              </w:r>
            </w:hyperlink>
            <w:r>
              <w:rPr>
                <w:rFonts w:cstheme="minorHAnsi"/>
              </w:rPr>
              <w:t>, 26 February – 2 March 2018):</w:t>
            </w:r>
          </w:p>
          <w:p w14:paraId="069AF201" w14:textId="77777777" w:rsidR="009340E2" w:rsidRDefault="009340E2" w:rsidP="006C3576">
            <w:pPr>
              <w:spacing w:before="120" w:after="120" w:line="240" w:lineRule="auto"/>
              <w:rPr>
                <w:rFonts w:cstheme="minorHAnsi"/>
                <w:lang w:eastAsia="ja-JP"/>
              </w:rPr>
            </w:pPr>
            <w:r>
              <w:rPr>
                <w:rFonts w:cstheme="minorHAnsi"/>
                <w:lang w:eastAsia="ja-JP"/>
              </w:rPr>
              <w:t>“SG17 reviewed TSAG’s request to identify any challenges that may arise from the implementation of the 2012 ITRs, pursuant to WTSA Resolution 87 (</w:t>
            </w:r>
            <w:proofErr w:type="spellStart"/>
            <w:r>
              <w:rPr>
                <w:rFonts w:cstheme="minorHAnsi"/>
                <w:lang w:eastAsia="ja-JP"/>
              </w:rPr>
              <w:t>Hammamet</w:t>
            </w:r>
            <w:proofErr w:type="spellEnd"/>
            <w:r>
              <w:rPr>
                <w:rFonts w:cstheme="minorHAnsi"/>
                <w:lang w:eastAsia="ja-JP"/>
              </w:rPr>
              <w:t>, 2016). At this time, the 2012 ITRs (including the regulatory definitions contained therein) have not caused difficulties with respect to SG17’s technical standardization activities on security.</w:t>
            </w:r>
          </w:p>
          <w:p w14:paraId="0142B276"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lang w:eastAsia="en-US"/>
              </w:rPr>
            </w:pPr>
            <w:r>
              <w:rPr>
                <w:rFonts w:eastAsia="Batang" w:cstheme="minorHAnsi"/>
              </w:rPr>
              <w:t>SG17 technical standardization is not developed in the context of implementation of 2012 ITRs.</w:t>
            </w:r>
          </w:p>
          <w:p w14:paraId="76C4FEC7"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Article 6 ‘Security and robustness of networks’ of the 2012 ITRs could be associated with the SG17 Recommendations X.1200-X.1229 and X.1500-series on cybersecurity and cybersecurity information exchange, respectively.</w:t>
            </w:r>
          </w:p>
          <w:p w14:paraId="7E6F150C"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7" w:hanging="283"/>
              <w:rPr>
                <w:rFonts w:eastAsia="Batang" w:cstheme="minorHAnsi"/>
              </w:rPr>
            </w:pPr>
            <w:r>
              <w:rPr>
                <w:rFonts w:eastAsia="Batang" w:cstheme="minorHAnsi"/>
              </w:rPr>
              <w:t>Article 7 ‘Unsolicited bulk electronic communications’ of the 2012 ITRs could be associated with the SG17 Recommendations X.1230-X.1249 on countering spam.</w:t>
            </w:r>
          </w:p>
          <w:p w14:paraId="06876360" w14:textId="77777777" w:rsidR="009340E2" w:rsidRDefault="009340E2" w:rsidP="006C3576">
            <w:pPr>
              <w:numPr>
                <w:ilvl w:val="0"/>
                <w:numId w:val="22"/>
              </w:numPr>
              <w:tabs>
                <w:tab w:val="clear" w:pos="720"/>
                <w:tab w:val="num" w:pos="317"/>
                <w:tab w:val="left" w:pos="1134"/>
                <w:tab w:val="left" w:pos="1871"/>
                <w:tab w:val="left" w:pos="2041"/>
                <w:tab w:val="left" w:pos="2268"/>
                <w:tab w:val="left" w:pos="2835"/>
              </w:tabs>
              <w:autoSpaceDN w:val="0"/>
              <w:spacing w:before="120" w:after="120" w:line="240" w:lineRule="auto"/>
              <w:ind w:left="318" w:hanging="284"/>
              <w:rPr>
                <w:rFonts w:eastAsia="Times New Roman" w:cstheme="minorHAnsi"/>
                <w:lang w:eastAsia="ja-JP"/>
              </w:rPr>
            </w:pPr>
            <w:r>
              <w:rPr>
                <w:rFonts w:eastAsia="Batang" w:cstheme="minorHAnsi"/>
              </w:rPr>
              <w:t>One Member</w:t>
            </w:r>
            <w:r>
              <w:rPr>
                <w:rFonts w:cstheme="minorHAnsi"/>
                <w:lang w:eastAsia="ja-JP"/>
              </w:rPr>
              <w:t xml:space="preserve"> State noted that the implementation of standards is "voluntary" in nature. The referenced standards (mentioned above) should not be considered for "Incorporation </w:t>
            </w:r>
            <w:proofErr w:type="gramStart"/>
            <w:r>
              <w:rPr>
                <w:rFonts w:cstheme="minorHAnsi"/>
                <w:lang w:eastAsia="ja-JP"/>
              </w:rPr>
              <w:t>By</w:t>
            </w:r>
            <w:proofErr w:type="gramEnd"/>
            <w:r>
              <w:rPr>
                <w:rFonts w:cstheme="minorHAnsi"/>
                <w:lang w:eastAsia="ja-JP"/>
              </w:rPr>
              <w:t xml:space="preserve"> Reference" due to the Treaty nature of the ITRs”.</w:t>
            </w:r>
          </w:p>
        </w:tc>
      </w:tr>
      <w:tr w:rsidR="009340E2" w14:paraId="578B32F8" w14:textId="77777777" w:rsidTr="009340E2">
        <w:trPr>
          <w:trHeight w:val="3325"/>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1781AD" w14:textId="77777777" w:rsidR="009340E2" w:rsidRDefault="009340E2" w:rsidP="00F01842">
            <w:pPr>
              <w:spacing w:after="120" w:line="240" w:lineRule="auto"/>
              <w:rPr>
                <w:rFonts w:cstheme="minorHAnsi"/>
                <w:b/>
                <w:lang w:eastAsia="en-US"/>
              </w:rPr>
            </w:pPr>
            <w:r>
              <w:rPr>
                <w:rFonts w:cstheme="minorHAnsi"/>
                <w:b/>
              </w:rPr>
              <w:t>ITU-T SG20</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14:paraId="7FD6ADB9" w14:textId="77777777" w:rsidR="009340E2" w:rsidRDefault="009340E2" w:rsidP="006C3576">
            <w:pPr>
              <w:spacing w:before="120" w:after="120" w:line="240" w:lineRule="auto"/>
              <w:rPr>
                <w:rFonts w:cstheme="minorHAnsi"/>
              </w:rPr>
            </w:pPr>
            <w:r>
              <w:rPr>
                <w:rFonts w:cstheme="minorHAnsi"/>
              </w:rPr>
              <w:t>(</w:t>
            </w:r>
            <w:proofErr w:type="gramStart"/>
            <w:r>
              <w:rPr>
                <w:rFonts w:cstheme="minorHAnsi"/>
              </w:rPr>
              <w:t>source</w:t>
            </w:r>
            <w:proofErr w:type="gramEnd"/>
            <w:r>
              <w:rPr>
                <w:rFonts w:cstheme="minorHAnsi"/>
              </w:rPr>
              <w:t xml:space="preserve">: </w:t>
            </w:r>
            <w:hyperlink r:id="rId138" w:history="1">
              <w:r>
                <w:rPr>
                  <w:rStyle w:val="Hyperlink"/>
                  <w:rFonts w:cstheme="minorHAnsi"/>
                </w:rPr>
                <w:t>https://www.itu.int/ifa/t/2017/ls/sg20/sp16-sg20-oLS-00044.docx</w:t>
              </w:r>
            </w:hyperlink>
            <w:r>
              <w:rPr>
                <w:rFonts w:cstheme="minorHAnsi"/>
              </w:rPr>
              <w:t xml:space="preserve">  (15 September 2017): </w:t>
            </w:r>
          </w:p>
          <w:p w14:paraId="69D3975A" w14:textId="77777777" w:rsidR="009340E2" w:rsidRDefault="009340E2" w:rsidP="006C3576">
            <w:pPr>
              <w:spacing w:before="120" w:after="120" w:line="240" w:lineRule="auto"/>
              <w:rPr>
                <w:rFonts w:cstheme="minorHAnsi"/>
              </w:rPr>
            </w:pPr>
            <w:r>
              <w:rPr>
                <w:rFonts w:cstheme="minorHAnsi"/>
              </w:rPr>
              <w:t>“ITU-T SG20 would like to thank TSAG for its liaison statement on request for background information on the implementation of the 2012 International Telecommunication Regulations. ITU-T SG20 met in Geneva from 4 to 15 September 2017 after the deadline set in TSAG - LS 8 -E Friday 25 August 2017. ITU-T SG20 thanks TSAG for this opportunity and welcomes any future opportunities to reply on this matter. Furthermore, ITU-T SG20 requests TSAG to provide more clarifications and guidance to ITU-T Study Groups on this issue and how study groups can identify any challenges that may arise from the implementation of the 2012 ITRs, in accordance with the terms of reference of the Group.”</w:t>
            </w:r>
          </w:p>
          <w:p w14:paraId="75624F5A" w14:textId="77777777" w:rsidR="009340E2" w:rsidRDefault="009340E2" w:rsidP="006C3576">
            <w:pPr>
              <w:spacing w:before="120" w:after="120" w:line="240" w:lineRule="auto"/>
              <w:rPr>
                <w:rFonts w:cstheme="minorHAnsi"/>
                <w:i/>
                <w:iCs/>
              </w:rPr>
            </w:pPr>
            <w:r>
              <w:rPr>
                <w:rFonts w:cstheme="minorHAnsi"/>
              </w:rPr>
              <w:t>Note from Secretariat: ITU-T SG20 reviewed the request to provide updates in February 2021 and did not have any feedback to provide.</w:t>
            </w:r>
          </w:p>
        </w:tc>
      </w:tr>
    </w:tbl>
    <w:p w14:paraId="122F36ED" w14:textId="77777777" w:rsidR="009340E2" w:rsidRDefault="009340E2" w:rsidP="006C3576">
      <w:pPr>
        <w:spacing w:before="480" w:after="0"/>
        <w:jc w:val="center"/>
        <w:rPr>
          <w:rFonts w:cstheme="majorBidi"/>
          <w:szCs w:val="20"/>
          <w:lang w:eastAsia="ja-JP"/>
        </w:rPr>
      </w:pPr>
      <w:r>
        <w:t>_______________</w:t>
      </w:r>
    </w:p>
    <w:sectPr w:rsidR="009340E2" w:rsidSect="004D1851">
      <w:headerReference w:type="default" r:id="rId139"/>
      <w:footerReference w:type="first" r:id="rId1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8158" w14:textId="77777777" w:rsidR="00CA4FA5" w:rsidRDefault="00CA4FA5">
      <w:r>
        <w:separator/>
      </w:r>
    </w:p>
  </w:endnote>
  <w:endnote w:type="continuationSeparator" w:id="0">
    <w:p w14:paraId="04D82192" w14:textId="77777777" w:rsidR="00CA4FA5" w:rsidRDefault="00CA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DE36" w14:textId="77777777" w:rsidR="00CA4FA5" w:rsidRDefault="00CA4FA5">
      <w:r>
        <w:t>____________________</w:t>
      </w:r>
    </w:p>
  </w:footnote>
  <w:footnote w:type="continuationSeparator" w:id="0">
    <w:p w14:paraId="5F93AE65" w14:textId="77777777" w:rsidR="00CA4FA5" w:rsidRDefault="00CA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73948635" w:rsidR="00542BAB" w:rsidRDefault="00542BAB" w:rsidP="000854C6">
    <w:pPr>
      <w:pStyle w:val="Header"/>
      <w:spacing w:after="120"/>
    </w:pPr>
    <w:r>
      <w:fldChar w:fldCharType="begin"/>
    </w:r>
    <w:r>
      <w:instrText xml:space="preserve"> PAGE   \* MERGEFORMAT </w:instrText>
    </w:r>
    <w:r>
      <w:fldChar w:fldCharType="separate"/>
    </w:r>
    <w:r w:rsidR="003657E2">
      <w:rPr>
        <w:noProof/>
      </w:rPr>
      <w:t>2</w:t>
    </w:r>
    <w:r>
      <w:rPr>
        <w:noProof/>
      </w:rPr>
      <w:fldChar w:fldCharType="end"/>
    </w:r>
    <w:r>
      <w:rPr>
        <w:noProof/>
      </w:rPr>
      <w:br/>
    </w:r>
    <w:r w:rsidR="000854C6">
      <w:rPr>
        <w:noProof/>
      </w:rPr>
      <w:t>EG-ITRs</w:t>
    </w:r>
    <w:r w:rsidR="00965A18">
      <w:rPr>
        <w:noProof/>
      </w:rPr>
      <w:t>-</w:t>
    </w:r>
    <w:r w:rsidR="00F01842">
      <w:rPr>
        <w:noProof/>
      </w:rPr>
      <w:t>5</w:t>
    </w:r>
    <w:r w:rsidR="000854C6">
      <w:rPr>
        <w:noProof/>
      </w:rPr>
      <w:t>\</w:t>
    </w:r>
    <w:r w:rsidR="00F01842">
      <w:rPr>
        <w:noProof/>
      </w:rPr>
      <w:t>INF\1</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6708"/>
    <w:multiLevelType w:val="hybridMultilevel"/>
    <w:tmpl w:val="C100A8FA"/>
    <w:lvl w:ilvl="0" w:tplc="C1EAA074">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start w:val="1"/>
      <w:numFmt w:val="bullet"/>
      <w:lvlText w:val=""/>
      <w:lvlJc w:val="left"/>
      <w:pPr>
        <w:ind w:left="3651" w:hanging="360"/>
      </w:pPr>
      <w:rPr>
        <w:rFonts w:ascii="Symbol" w:hAnsi="Symbol" w:hint="default"/>
      </w:rPr>
    </w:lvl>
    <w:lvl w:ilvl="4" w:tplc="04090003">
      <w:start w:val="1"/>
      <w:numFmt w:val="bullet"/>
      <w:lvlText w:val="o"/>
      <w:lvlJc w:val="left"/>
      <w:pPr>
        <w:ind w:left="4371" w:hanging="360"/>
      </w:pPr>
      <w:rPr>
        <w:rFonts w:ascii="Courier New" w:hAnsi="Courier New" w:cs="Courier New" w:hint="default"/>
      </w:rPr>
    </w:lvl>
    <w:lvl w:ilvl="5" w:tplc="04090005">
      <w:start w:val="1"/>
      <w:numFmt w:val="bullet"/>
      <w:lvlText w:val=""/>
      <w:lvlJc w:val="left"/>
      <w:pPr>
        <w:ind w:left="5091" w:hanging="360"/>
      </w:pPr>
      <w:rPr>
        <w:rFonts w:ascii="Wingdings" w:hAnsi="Wingdings" w:hint="default"/>
      </w:rPr>
    </w:lvl>
    <w:lvl w:ilvl="6" w:tplc="04090001">
      <w:start w:val="1"/>
      <w:numFmt w:val="bullet"/>
      <w:lvlText w:val=""/>
      <w:lvlJc w:val="left"/>
      <w:pPr>
        <w:ind w:left="5811" w:hanging="360"/>
      </w:pPr>
      <w:rPr>
        <w:rFonts w:ascii="Symbol" w:hAnsi="Symbol" w:hint="default"/>
      </w:rPr>
    </w:lvl>
    <w:lvl w:ilvl="7" w:tplc="04090003">
      <w:start w:val="1"/>
      <w:numFmt w:val="bullet"/>
      <w:lvlText w:val="o"/>
      <w:lvlJc w:val="left"/>
      <w:pPr>
        <w:ind w:left="6531" w:hanging="360"/>
      </w:pPr>
      <w:rPr>
        <w:rFonts w:ascii="Courier New" w:hAnsi="Courier New" w:cs="Courier New" w:hint="default"/>
      </w:rPr>
    </w:lvl>
    <w:lvl w:ilvl="8" w:tplc="04090005">
      <w:start w:val="1"/>
      <w:numFmt w:val="bullet"/>
      <w:lvlText w:val=""/>
      <w:lvlJc w:val="left"/>
      <w:pPr>
        <w:ind w:left="7251" w:hanging="360"/>
      </w:pPr>
      <w:rPr>
        <w:rFonts w:ascii="Wingdings" w:hAnsi="Wingding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E25E4"/>
    <w:multiLevelType w:val="hybridMultilevel"/>
    <w:tmpl w:val="053064CC"/>
    <w:lvl w:ilvl="0" w:tplc="F73E9906">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9EF2724"/>
    <w:multiLevelType w:val="hybridMultilevel"/>
    <w:tmpl w:val="B9408138"/>
    <w:lvl w:ilvl="0" w:tplc="C1EAA07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1"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846AD9"/>
    <w:multiLevelType w:val="hybridMultilevel"/>
    <w:tmpl w:val="9D94CB4A"/>
    <w:lvl w:ilvl="0" w:tplc="1D628B84">
      <w:start w:val="1"/>
      <w:numFmt w:val="bullet"/>
      <w:lvlText w:val=""/>
      <w:lvlJc w:val="left"/>
      <w:pPr>
        <w:tabs>
          <w:tab w:val="num" w:pos="720"/>
        </w:tabs>
        <w:ind w:left="720" w:hanging="360"/>
      </w:pPr>
      <w:rPr>
        <w:rFonts w:ascii="Symbol" w:hAnsi="Symbol" w:cs="Times New Roman" w:hint="default"/>
        <w:sz w:val="20"/>
      </w:rPr>
    </w:lvl>
    <w:lvl w:ilvl="1" w:tplc="AE9ABBB0">
      <w:start w:val="1"/>
      <w:numFmt w:val="bullet"/>
      <w:lvlText w:val="o"/>
      <w:lvlJc w:val="left"/>
      <w:pPr>
        <w:tabs>
          <w:tab w:val="num" w:pos="1440"/>
        </w:tabs>
        <w:ind w:left="1440" w:hanging="360"/>
      </w:pPr>
      <w:rPr>
        <w:rFonts w:ascii="Courier New" w:hAnsi="Courier New" w:cs="Courier New" w:hint="default"/>
        <w:sz w:val="20"/>
      </w:rPr>
    </w:lvl>
    <w:lvl w:ilvl="2" w:tplc="EF32F888">
      <w:start w:val="1"/>
      <w:numFmt w:val="bullet"/>
      <w:lvlText w:val=""/>
      <w:lvlJc w:val="left"/>
      <w:pPr>
        <w:tabs>
          <w:tab w:val="num" w:pos="2160"/>
        </w:tabs>
        <w:ind w:left="2160" w:hanging="360"/>
      </w:pPr>
      <w:rPr>
        <w:rFonts w:ascii="Wingdings" w:hAnsi="Wingdings" w:cs="Times New Roman" w:hint="default"/>
        <w:sz w:val="20"/>
      </w:rPr>
    </w:lvl>
    <w:lvl w:ilvl="3" w:tplc="184220D6">
      <w:start w:val="1"/>
      <w:numFmt w:val="bullet"/>
      <w:lvlText w:val=""/>
      <w:lvlJc w:val="left"/>
      <w:pPr>
        <w:tabs>
          <w:tab w:val="num" w:pos="2880"/>
        </w:tabs>
        <w:ind w:left="2880" w:hanging="360"/>
      </w:pPr>
      <w:rPr>
        <w:rFonts w:ascii="Wingdings" w:hAnsi="Wingdings" w:cs="Times New Roman" w:hint="default"/>
        <w:sz w:val="20"/>
      </w:rPr>
    </w:lvl>
    <w:lvl w:ilvl="4" w:tplc="0A14F0FA">
      <w:start w:val="1"/>
      <w:numFmt w:val="bullet"/>
      <w:lvlText w:val=""/>
      <w:lvlJc w:val="left"/>
      <w:pPr>
        <w:tabs>
          <w:tab w:val="num" w:pos="3600"/>
        </w:tabs>
        <w:ind w:left="3600" w:hanging="360"/>
      </w:pPr>
      <w:rPr>
        <w:rFonts w:ascii="Wingdings" w:hAnsi="Wingdings" w:cs="Times New Roman" w:hint="default"/>
        <w:sz w:val="20"/>
      </w:rPr>
    </w:lvl>
    <w:lvl w:ilvl="5" w:tplc="57AE33FE">
      <w:start w:val="1"/>
      <w:numFmt w:val="bullet"/>
      <w:lvlText w:val=""/>
      <w:lvlJc w:val="left"/>
      <w:pPr>
        <w:tabs>
          <w:tab w:val="num" w:pos="4320"/>
        </w:tabs>
        <w:ind w:left="4320" w:hanging="360"/>
      </w:pPr>
      <w:rPr>
        <w:rFonts w:ascii="Wingdings" w:hAnsi="Wingdings" w:cs="Times New Roman" w:hint="default"/>
        <w:sz w:val="20"/>
      </w:rPr>
    </w:lvl>
    <w:lvl w:ilvl="6" w:tplc="1102BC7E">
      <w:start w:val="1"/>
      <w:numFmt w:val="bullet"/>
      <w:lvlText w:val=""/>
      <w:lvlJc w:val="left"/>
      <w:pPr>
        <w:tabs>
          <w:tab w:val="num" w:pos="5040"/>
        </w:tabs>
        <w:ind w:left="5040" w:hanging="360"/>
      </w:pPr>
      <w:rPr>
        <w:rFonts w:ascii="Wingdings" w:hAnsi="Wingdings" w:cs="Times New Roman" w:hint="default"/>
        <w:sz w:val="20"/>
      </w:rPr>
    </w:lvl>
    <w:lvl w:ilvl="7" w:tplc="D7D23608">
      <w:start w:val="1"/>
      <w:numFmt w:val="bullet"/>
      <w:lvlText w:val=""/>
      <w:lvlJc w:val="left"/>
      <w:pPr>
        <w:tabs>
          <w:tab w:val="num" w:pos="5760"/>
        </w:tabs>
        <w:ind w:left="5760" w:hanging="360"/>
      </w:pPr>
      <w:rPr>
        <w:rFonts w:ascii="Wingdings" w:hAnsi="Wingdings" w:cs="Times New Roman" w:hint="default"/>
        <w:sz w:val="20"/>
      </w:rPr>
    </w:lvl>
    <w:lvl w:ilvl="8" w:tplc="31004E18">
      <w:start w:val="1"/>
      <w:numFmt w:val="bullet"/>
      <w:lvlText w:val=""/>
      <w:lvlJc w:val="left"/>
      <w:pPr>
        <w:tabs>
          <w:tab w:val="num" w:pos="6480"/>
        </w:tabs>
        <w:ind w:left="6480" w:hanging="360"/>
      </w:pPr>
      <w:rPr>
        <w:rFonts w:ascii="Wingdings" w:hAnsi="Wingdings" w:cs="Times New Roman" w:hint="default"/>
        <w:sz w:val="20"/>
      </w:rPr>
    </w:lvl>
  </w:abstractNum>
  <w:abstractNum w:abstractNumId="24"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12"/>
  </w:num>
  <w:num w:numId="4">
    <w:abstractNumId w:val="17"/>
  </w:num>
  <w:num w:numId="5">
    <w:abstractNumId w:val="24"/>
  </w:num>
  <w:num w:numId="6">
    <w:abstractNumId w:val="13"/>
  </w:num>
  <w:num w:numId="7">
    <w:abstractNumId w:val="22"/>
  </w:num>
  <w:num w:numId="8">
    <w:abstractNumId w:val="19"/>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5"/>
  </w:num>
  <w:num w:numId="22">
    <w:abstractNumId w:val="23"/>
  </w:num>
  <w:num w:numId="23">
    <w:abstractNumId w:val="16"/>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349C4"/>
    <w:rsid w:val="0005540C"/>
    <w:rsid w:val="00063016"/>
    <w:rsid w:val="00066DF5"/>
    <w:rsid w:val="00076AF6"/>
    <w:rsid w:val="00083635"/>
    <w:rsid w:val="000854C6"/>
    <w:rsid w:val="00085CF2"/>
    <w:rsid w:val="000915E5"/>
    <w:rsid w:val="000B1705"/>
    <w:rsid w:val="000C0529"/>
    <w:rsid w:val="000C2903"/>
    <w:rsid w:val="000C2F74"/>
    <w:rsid w:val="000C37C9"/>
    <w:rsid w:val="000C5350"/>
    <w:rsid w:val="000C548F"/>
    <w:rsid w:val="000D75B2"/>
    <w:rsid w:val="001121F5"/>
    <w:rsid w:val="00140CE1"/>
    <w:rsid w:val="00143690"/>
    <w:rsid w:val="00144165"/>
    <w:rsid w:val="0016020C"/>
    <w:rsid w:val="00162982"/>
    <w:rsid w:val="00171F42"/>
    <w:rsid w:val="0017539C"/>
    <w:rsid w:val="00175AC2"/>
    <w:rsid w:val="0017609F"/>
    <w:rsid w:val="00177E9C"/>
    <w:rsid w:val="00195328"/>
    <w:rsid w:val="001B1941"/>
    <w:rsid w:val="001C628E"/>
    <w:rsid w:val="001D6BEF"/>
    <w:rsid w:val="001E0F7B"/>
    <w:rsid w:val="001F4FF7"/>
    <w:rsid w:val="001F7552"/>
    <w:rsid w:val="002119FD"/>
    <w:rsid w:val="002130E0"/>
    <w:rsid w:val="00221C8F"/>
    <w:rsid w:val="002238C4"/>
    <w:rsid w:val="00236464"/>
    <w:rsid w:val="002418AE"/>
    <w:rsid w:val="0025471D"/>
    <w:rsid w:val="00256D0F"/>
    <w:rsid w:val="00257BDE"/>
    <w:rsid w:val="00265875"/>
    <w:rsid w:val="002667C5"/>
    <w:rsid w:val="0027303B"/>
    <w:rsid w:val="0028109B"/>
    <w:rsid w:val="00286D1E"/>
    <w:rsid w:val="00293DE5"/>
    <w:rsid w:val="00295397"/>
    <w:rsid w:val="002B1870"/>
    <w:rsid w:val="002B1F58"/>
    <w:rsid w:val="002C1C7A"/>
    <w:rsid w:val="002C2D6C"/>
    <w:rsid w:val="002C5285"/>
    <w:rsid w:val="002D1E7F"/>
    <w:rsid w:val="002D494F"/>
    <w:rsid w:val="002D703E"/>
    <w:rsid w:val="0030160F"/>
    <w:rsid w:val="0032195E"/>
    <w:rsid w:val="00322D0D"/>
    <w:rsid w:val="00326D48"/>
    <w:rsid w:val="0033276E"/>
    <w:rsid w:val="00337854"/>
    <w:rsid w:val="00337B4A"/>
    <w:rsid w:val="00337CE2"/>
    <w:rsid w:val="003439CB"/>
    <w:rsid w:val="00346F7E"/>
    <w:rsid w:val="003639FE"/>
    <w:rsid w:val="003657E2"/>
    <w:rsid w:val="003662CE"/>
    <w:rsid w:val="003735DF"/>
    <w:rsid w:val="0037461E"/>
    <w:rsid w:val="00375F3C"/>
    <w:rsid w:val="0038108D"/>
    <w:rsid w:val="00384706"/>
    <w:rsid w:val="0038487A"/>
    <w:rsid w:val="00384DD6"/>
    <w:rsid w:val="0039110F"/>
    <w:rsid w:val="003914A7"/>
    <w:rsid w:val="003942D4"/>
    <w:rsid w:val="00394B33"/>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3241"/>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1D86"/>
    <w:rsid w:val="005A3B8A"/>
    <w:rsid w:val="005B4351"/>
    <w:rsid w:val="005C01F3"/>
    <w:rsid w:val="005C37A0"/>
    <w:rsid w:val="005D32DC"/>
    <w:rsid w:val="005D6131"/>
    <w:rsid w:val="005F2D25"/>
    <w:rsid w:val="005F40A4"/>
    <w:rsid w:val="00605347"/>
    <w:rsid w:val="00634931"/>
    <w:rsid w:val="006535F1"/>
    <w:rsid w:val="0065557D"/>
    <w:rsid w:val="00661B4B"/>
    <w:rsid w:val="00662984"/>
    <w:rsid w:val="0066736B"/>
    <w:rsid w:val="006716BB"/>
    <w:rsid w:val="006771E7"/>
    <w:rsid w:val="006B6DCC"/>
    <w:rsid w:val="006B7318"/>
    <w:rsid w:val="006C3576"/>
    <w:rsid w:val="006D3B24"/>
    <w:rsid w:val="006D3B29"/>
    <w:rsid w:val="00733B71"/>
    <w:rsid w:val="00741793"/>
    <w:rsid w:val="0074569D"/>
    <w:rsid w:val="0075051B"/>
    <w:rsid w:val="00761ADA"/>
    <w:rsid w:val="00763E73"/>
    <w:rsid w:val="00774AB4"/>
    <w:rsid w:val="00782C0B"/>
    <w:rsid w:val="00790142"/>
    <w:rsid w:val="007901DA"/>
    <w:rsid w:val="00790F2A"/>
    <w:rsid w:val="00794D34"/>
    <w:rsid w:val="00796694"/>
    <w:rsid w:val="007A34B1"/>
    <w:rsid w:val="007B5F2B"/>
    <w:rsid w:val="007C116C"/>
    <w:rsid w:val="007C2E8B"/>
    <w:rsid w:val="007C6293"/>
    <w:rsid w:val="007D134F"/>
    <w:rsid w:val="007D7FD5"/>
    <w:rsid w:val="00813E5E"/>
    <w:rsid w:val="0081547A"/>
    <w:rsid w:val="00820BAF"/>
    <w:rsid w:val="0083581B"/>
    <w:rsid w:val="00855BA7"/>
    <w:rsid w:val="00864AFF"/>
    <w:rsid w:val="008662BD"/>
    <w:rsid w:val="008911FB"/>
    <w:rsid w:val="0089474C"/>
    <w:rsid w:val="008A16A8"/>
    <w:rsid w:val="008B4A6A"/>
    <w:rsid w:val="008C7E27"/>
    <w:rsid w:val="008E3733"/>
    <w:rsid w:val="008F1108"/>
    <w:rsid w:val="008F3912"/>
    <w:rsid w:val="00904212"/>
    <w:rsid w:val="00915A48"/>
    <w:rsid w:val="00917052"/>
    <w:rsid w:val="009173EF"/>
    <w:rsid w:val="00923A1B"/>
    <w:rsid w:val="00926B92"/>
    <w:rsid w:val="00932906"/>
    <w:rsid w:val="00933C23"/>
    <w:rsid w:val="00933CC0"/>
    <w:rsid w:val="009340E2"/>
    <w:rsid w:val="00944BC2"/>
    <w:rsid w:val="00961B0B"/>
    <w:rsid w:val="00965A18"/>
    <w:rsid w:val="00984F5D"/>
    <w:rsid w:val="00987D95"/>
    <w:rsid w:val="00990B53"/>
    <w:rsid w:val="00996E42"/>
    <w:rsid w:val="009A4E24"/>
    <w:rsid w:val="009A56C8"/>
    <w:rsid w:val="009B2407"/>
    <w:rsid w:val="009B38C3"/>
    <w:rsid w:val="009C6A0F"/>
    <w:rsid w:val="009D629C"/>
    <w:rsid w:val="009D7C70"/>
    <w:rsid w:val="009E17BD"/>
    <w:rsid w:val="00A04CEC"/>
    <w:rsid w:val="00A27F92"/>
    <w:rsid w:val="00A30574"/>
    <w:rsid w:val="00A32257"/>
    <w:rsid w:val="00A36066"/>
    <w:rsid w:val="00A36D20"/>
    <w:rsid w:val="00A462B5"/>
    <w:rsid w:val="00A54FD8"/>
    <w:rsid w:val="00A550D1"/>
    <w:rsid w:val="00A55622"/>
    <w:rsid w:val="00A56000"/>
    <w:rsid w:val="00A620DA"/>
    <w:rsid w:val="00A7440D"/>
    <w:rsid w:val="00A83502"/>
    <w:rsid w:val="00AB2815"/>
    <w:rsid w:val="00AB393C"/>
    <w:rsid w:val="00AC393D"/>
    <w:rsid w:val="00AD69F9"/>
    <w:rsid w:val="00AF6E49"/>
    <w:rsid w:val="00B04A67"/>
    <w:rsid w:val="00B0583C"/>
    <w:rsid w:val="00B11C44"/>
    <w:rsid w:val="00B131C2"/>
    <w:rsid w:val="00B3673E"/>
    <w:rsid w:val="00B36E39"/>
    <w:rsid w:val="00B37038"/>
    <w:rsid w:val="00B40A81"/>
    <w:rsid w:val="00B447F3"/>
    <w:rsid w:val="00B44910"/>
    <w:rsid w:val="00B473A4"/>
    <w:rsid w:val="00B47B8F"/>
    <w:rsid w:val="00B71F52"/>
    <w:rsid w:val="00B72267"/>
    <w:rsid w:val="00B769F8"/>
    <w:rsid w:val="00B76EB6"/>
    <w:rsid w:val="00B824C8"/>
    <w:rsid w:val="00B85905"/>
    <w:rsid w:val="00BA74C0"/>
    <w:rsid w:val="00BB1653"/>
    <w:rsid w:val="00BC251A"/>
    <w:rsid w:val="00BD032B"/>
    <w:rsid w:val="00BD434A"/>
    <w:rsid w:val="00BD6810"/>
    <w:rsid w:val="00BE2640"/>
    <w:rsid w:val="00BE30A1"/>
    <w:rsid w:val="00BF27F0"/>
    <w:rsid w:val="00BF30E1"/>
    <w:rsid w:val="00C01189"/>
    <w:rsid w:val="00C03DBE"/>
    <w:rsid w:val="00C10E06"/>
    <w:rsid w:val="00C11946"/>
    <w:rsid w:val="00C374DE"/>
    <w:rsid w:val="00C37D85"/>
    <w:rsid w:val="00C413A2"/>
    <w:rsid w:val="00C47AD4"/>
    <w:rsid w:val="00C52D81"/>
    <w:rsid w:val="00C55198"/>
    <w:rsid w:val="00C664FA"/>
    <w:rsid w:val="00C8040F"/>
    <w:rsid w:val="00C80D79"/>
    <w:rsid w:val="00CA4FA5"/>
    <w:rsid w:val="00CA6393"/>
    <w:rsid w:val="00CB05C9"/>
    <w:rsid w:val="00CB18FF"/>
    <w:rsid w:val="00CB6CC0"/>
    <w:rsid w:val="00CC5EF0"/>
    <w:rsid w:val="00CD0C08"/>
    <w:rsid w:val="00CE03FB"/>
    <w:rsid w:val="00CE433C"/>
    <w:rsid w:val="00CF33F3"/>
    <w:rsid w:val="00D00FA2"/>
    <w:rsid w:val="00D0338D"/>
    <w:rsid w:val="00D06183"/>
    <w:rsid w:val="00D22C42"/>
    <w:rsid w:val="00D3247C"/>
    <w:rsid w:val="00D3608E"/>
    <w:rsid w:val="00D65041"/>
    <w:rsid w:val="00D9148E"/>
    <w:rsid w:val="00D945E6"/>
    <w:rsid w:val="00DA51F3"/>
    <w:rsid w:val="00DA6905"/>
    <w:rsid w:val="00DE2B20"/>
    <w:rsid w:val="00DF0F5D"/>
    <w:rsid w:val="00E00F7D"/>
    <w:rsid w:val="00E10E80"/>
    <w:rsid w:val="00E124F0"/>
    <w:rsid w:val="00E1313D"/>
    <w:rsid w:val="00E378C5"/>
    <w:rsid w:val="00E37B16"/>
    <w:rsid w:val="00E51EC9"/>
    <w:rsid w:val="00E60F04"/>
    <w:rsid w:val="00E8113B"/>
    <w:rsid w:val="00E9013A"/>
    <w:rsid w:val="00E90544"/>
    <w:rsid w:val="00EA48F9"/>
    <w:rsid w:val="00EB0D6F"/>
    <w:rsid w:val="00EB2232"/>
    <w:rsid w:val="00EB52A2"/>
    <w:rsid w:val="00EC1A42"/>
    <w:rsid w:val="00EC5337"/>
    <w:rsid w:val="00EE28ED"/>
    <w:rsid w:val="00EE2A3B"/>
    <w:rsid w:val="00F01842"/>
    <w:rsid w:val="00F2150A"/>
    <w:rsid w:val="00F231D8"/>
    <w:rsid w:val="00F31144"/>
    <w:rsid w:val="00F334D6"/>
    <w:rsid w:val="00F44ED7"/>
    <w:rsid w:val="00F46C5F"/>
    <w:rsid w:val="00F54A63"/>
    <w:rsid w:val="00F56D59"/>
    <w:rsid w:val="00F60A27"/>
    <w:rsid w:val="00F70098"/>
    <w:rsid w:val="00F73F49"/>
    <w:rsid w:val="00F856EC"/>
    <w:rsid w:val="00F94A63"/>
    <w:rsid w:val="00F96CA1"/>
    <w:rsid w:val="00FB7596"/>
    <w:rsid w:val="00FC08D9"/>
    <w:rsid w:val="00FC3AA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48F"/>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0C54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48F"/>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62982"/>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ls/sp16-tsag-oLS-00008.docx" TargetMode="External"/><Relationship Id="rId21" Type="http://schemas.openxmlformats.org/officeDocument/2006/relationships/hyperlink" Target="https://www.itu.int/ITU-T/recommendations/rec.aspx?id=7432" TargetMode="External"/><Relationship Id="rId42" Type="http://schemas.openxmlformats.org/officeDocument/2006/relationships/hyperlink" Target="https://www.itu.int/ITU-T/recommendations/rec.aspx?rec=394" TargetMode="External"/><Relationship Id="rId63" Type="http://schemas.openxmlformats.org/officeDocument/2006/relationships/hyperlink" Target="https://www.itu.int/ITU-T/recommendations/rec.aspx?rec=5583" TargetMode="External"/><Relationship Id="rId84" Type="http://schemas.openxmlformats.org/officeDocument/2006/relationships/hyperlink" Target="https://www.itu.int/ITU-T/recommendations/rec.aspx?rec=5341" TargetMode="External"/><Relationship Id="rId138" Type="http://schemas.openxmlformats.org/officeDocument/2006/relationships/hyperlink" Target="https://www.itu.int/ifa/t/2017/ls/sg20/sp16-sg20-oLS-00044.docx" TargetMode="External"/><Relationship Id="rId107" Type="http://schemas.openxmlformats.org/officeDocument/2006/relationships/hyperlink" Target="https://www.itu.int/ITU-T/recommendations/rec.aspx?id=13596" TargetMode="External"/><Relationship Id="rId11" Type="http://schemas.openxmlformats.org/officeDocument/2006/relationships/hyperlink" Target="https://www.itu.int/md/T17-TSAG-180226-TD-GEN-0265/en" TargetMode="External"/><Relationship Id="rId32" Type="http://schemas.openxmlformats.org/officeDocument/2006/relationships/hyperlink" Target="https://www.itu.int/ITU-T/recommendations/rec.aspx?rec=7433" TargetMode="External"/><Relationship Id="rId37" Type="http://schemas.openxmlformats.org/officeDocument/2006/relationships/hyperlink" Target="https://www.itu.int/ITU-T/recommendations/rec.aspx?rec=1169" TargetMode="External"/><Relationship Id="rId53" Type="http://schemas.openxmlformats.org/officeDocument/2006/relationships/hyperlink" Target="https://www.itu.int/ITU-T/recommendations/rec.aspx?rec=6489" TargetMode="External"/><Relationship Id="rId58" Type="http://schemas.openxmlformats.org/officeDocument/2006/relationships/hyperlink" Target="https://www.itu.int/ITU-T/recommendations/rec.aspx?rec=14177" TargetMode="External"/><Relationship Id="rId74" Type="http://schemas.openxmlformats.org/officeDocument/2006/relationships/hyperlink" Target="https://www.itu.int/ITU-T/recommendations/rec.aspx?id=5161" TargetMode="External"/><Relationship Id="rId79" Type="http://schemas.openxmlformats.org/officeDocument/2006/relationships/hyperlink" Target="https://www.itu.int/ITU-T/recommendations/rec.aspx?id=693" TargetMode="External"/><Relationship Id="rId102" Type="http://schemas.openxmlformats.org/officeDocument/2006/relationships/hyperlink" Target="https://www.itu.int/ITU-T/recommendations/rec.aspx?id=11556" TargetMode="External"/><Relationship Id="rId123" Type="http://schemas.openxmlformats.org/officeDocument/2006/relationships/hyperlink" Target="http://handle.itu.int/11.1002/ls/sp16-tsag-oLS-00008.docx" TargetMode="External"/><Relationship Id="rId128" Type="http://schemas.openxmlformats.org/officeDocument/2006/relationships/hyperlink" Target="http://handle.itu.int/11.1002/ls/sp16-sg11-oLS-00020.docx" TargetMode="External"/><Relationship Id="rId5" Type="http://schemas.openxmlformats.org/officeDocument/2006/relationships/webSettings" Target="webSettings.xml"/><Relationship Id="rId90" Type="http://schemas.openxmlformats.org/officeDocument/2006/relationships/hyperlink" Target="https://www.itu.int/md/T17-TSAG-180226-TD-GEN-0265/en" TargetMode="External"/><Relationship Id="rId95" Type="http://schemas.openxmlformats.org/officeDocument/2006/relationships/hyperlink" Target="https://www.itu.int/ITU-T/recommendations/rec.aspx?id=13918" TargetMode="External"/><Relationship Id="rId22" Type="http://schemas.openxmlformats.org/officeDocument/2006/relationships/hyperlink" Target="https://www.itu.int/ITU-T/recommendations/rec.aspx?id=5585" TargetMode="External"/><Relationship Id="rId27" Type="http://schemas.openxmlformats.org/officeDocument/2006/relationships/hyperlink" Target="https://www.itu.int/ITU-T/recommendations/rec.aspx?rec=4969" TargetMode="External"/><Relationship Id="rId43" Type="http://schemas.openxmlformats.org/officeDocument/2006/relationships/hyperlink" Target="https://www.itu.int/ITU-T/recommendations/rec.aspx?rec=407" TargetMode="External"/><Relationship Id="rId48" Type="http://schemas.openxmlformats.org/officeDocument/2006/relationships/hyperlink" Target="https://www.itu.int/ITU-T/recommendations/rec.aspx?rec=437" TargetMode="External"/><Relationship Id="rId64" Type="http://schemas.openxmlformats.org/officeDocument/2006/relationships/hyperlink" Target="https://www.itu.int/ITU-T/recommendations/rec.aspx?rec=7432" TargetMode="External"/><Relationship Id="rId69" Type="http://schemas.openxmlformats.org/officeDocument/2006/relationships/hyperlink" Target="https://www.itu.int/ITU-T/recommendations/rec.aspx?rec=4358" TargetMode="External"/><Relationship Id="rId113" Type="http://schemas.openxmlformats.org/officeDocument/2006/relationships/hyperlink" Target="https://www.itu.int/ITU-T/recommendations/rec.aspx?id=11552&amp;lang=en" TargetMode="External"/><Relationship Id="rId118" Type="http://schemas.openxmlformats.org/officeDocument/2006/relationships/hyperlink" Target="https://www.itu.int/rec/T-REC-J.260/en" TargetMode="External"/><Relationship Id="rId134" Type="http://schemas.openxmlformats.org/officeDocument/2006/relationships/hyperlink" Target="https://www.itu.int/ITU-T/recommendations/rec.aspx?id=6188" TargetMode="External"/><Relationship Id="rId139" Type="http://schemas.openxmlformats.org/officeDocument/2006/relationships/header" Target="header1.xml"/><Relationship Id="rId80" Type="http://schemas.openxmlformats.org/officeDocument/2006/relationships/hyperlink" Target="https://www.itu.int/ITU-T/recommendations/rec.aspx?id=696" TargetMode="External"/><Relationship Id="rId85" Type="http://schemas.openxmlformats.org/officeDocument/2006/relationships/hyperlink" Target="https://www.itu.int/ITU-T/recommendations/rec.aspx?rec=392" TargetMode="External"/><Relationship Id="rId12" Type="http://schemas.openxmlformats.org/officeDocument/2006/relationships/hyperlink" Target="https://www.itu.int/md/T17-TSAG-180226-TD-GEN-0265/en" TargetMode="External"/><Relationship Id="rId17" Type="http://schemas.openxmlformats.org/officeDocument/2006/relationships/hyperlink" Target="https://www.itu.int/ITU-T/recommendations/rec.aspx?id=5996" TargetMode="External"/><Relationship Id="rId33" Type="http://schemas.openxmlformats.org/officeDocument/2006/relationships/hyperlink" Target="https://www.itu.int/ITU-T/recommendations/rec.aspx?rec=9116" TargetMode="External"/><Relationship Id="rId38" Type="http://schemas.openxmlformats.org/officeDocument/2006/relationships/hyperlink" Target="https://www.itu.int/ITU-T/recommendations/rec.aspx?rec=1175" TargetMode="External"/><Relationship Id="rId59" Type="http://schemas.openxmlformats.org/officeDocument/2006/relationships/hyperlink" Target="https://www.itu.int/ITU-T/recommendations/rec.aspx?rec=10688" TargetMode="External"/><Relationship Id="rId103" Type="http://schemas.openxmlformats.org/officeDocument/2006/relationships/hyperlink" Target="https://www.itu.int/ITU-T/recommendations/rec.aspx?id=13594" TargetMode="External"/><Relationship Id="rId108" Type="http://schemas.openxmlformats.org/officeDocument/2006/relationships/hyperlink" Target="https://www.itu.int/ITU-T/recommendations/rec.aspx?id=11825" TargetMode="External"/><Relationship Id="rId124" Type="http://schemas.openxmlformats.org/officeDocument/2006/relationships/hyperlink" Target="https://www.itu.int/rec/T-REC-Q.731.3-199303-I" TargetMode="External"/><Relationship Id="rId129" Type="http://schemas.openxmlformats.org/officeDocument/2006/relationships/hyperlink" Target="https://www.itu.int/rec/T-REC-Q.731.3-199303-I" TargetMode="External"/><Relationship Id="rId54" Type="http://schemas.openxmlformats.org/officeDocument/2006/relationships/hyperlink" Target="https://www.itu.int/ITU-T/recommendations/rec.aspx?rec=8847" TargetMode="External"/><Relationship Id="rId70" Type="http://schemas.openxmlformats.org/officeDocument/2006/relationships/hyperlink" Target="https://www.itu.int/ITU-T/recommendations/rec.aspx?rec=5346" TargetMode="External"/><Relationship Id="rId75" Type="http://schemas.openxmlformats.org/officeDocument/2006/relationships/hyperlink" Target="https://www.itu.int/ITU-T/recommendations/rec.aspx?id=4463" TargetMode="External"/><Relationship Id="rId91" Type="http://schemas.openxmlformats.org/officeDocument/2006/relationships/hyperlink" Target="https://www.itu.int/ITU-T/recommendations/rec.aspx?id=12826" TargetMode="External"/><Relationship Id="rId96" Type="http://schemas.openxmlformats.org/officeDocument/2006/relationships/hyperlink" Target="https://www.itu.int/ITU-T/recommendations/rec.aspx?id=14426"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ITU-T/recommendations/rec.aspx?id=13736" TargetMode="External"/><Relationship Id="rId28" Type="http://schemas.openxmlformats.org/officeDocument/2006/relationships/hyperlink" Target="https://www.itu.int/ITU-T/recommendations/rec.aspx?rec=5346" TargetMode="External"/><Relationship Id="rId49" Type="http://schemas.openxmlformats.org/officeDocument/2006/relationships/hyperlink" Target="https://www.itu.int/ITU-T/recommendations/rec.aspx?rec=6489" TargetMode="External"/><Relationship Id="rId114" Type="http://schemas.openxmlformats.org/officeDocument/2006/relationships/hyperlink" Target="https://www.itu.int/ifa/t/2017/ls/sg5/sp16-sg5-oLS-00044.docx" TargetMode="External"/><Relationship Id="rId119" Type="http://schemas.openxmlformats.org/officeDocument/2006/relationships/hyperlink" Target="https://www.itu.int/rec/T-REC-J.261/en" TargetMode="External"/><Relationship Id="rId44" Type="http://schemas.openxmlformats.org/officeDocument/2006/relationships/hyperlink" Target="https://www.itu.int/ITU-T/recommendations/rec.aspx?rec=8729" TargetMode="External"/><Relationship Id="rId60" Type="http://schemas.openxmlformats.org/officeDocument/2006/relationships/hyperlink" Target="https://www.itu.int/ITU-T/recommendations/rec.aspx?rec=9522" TargetMode="External"/><Relationship Id="rId65" Type="http://schemas.openxmlformats.org/officeDocument/2006/relationships/hyperlink" Target="https://www.itu.int/ITU-T/recommendations/rec.aspx?rec=5585" TargetMode="External"/><Relationship Id="rId81" Type="http://schemas.openxmlformats.org/officeDocument/2006/relationships/hyperlink" Target="https://www.itu.int/ITU-T/recommendations/rec.aspx?id=4361" TargetMode="External"/><Relationship Id="rId86" Type="http://schemas.openxmlformats.org/officeDocument/2006/relationships/hyperlink" Target="https://www.itu.int/ITU-T/recommendations/rec.aspx?rec=6069" TargetMode="External"/><Relationship Id="rId130" Type="http://schemas.openxmlformats.org/officeDocument/2006/relationships/hyperlink" Target="https://www.itu.int/ITU-T/recommendations/index.aspx?ser=Q" TargetMode="External"/><Relationship Id="rId135" Type="http://schemas.openxmlformats.org/officeDocument/2006/relationships/hyperlink" Target="https://www.itu.int/ITU-T/recommendations/rec.aspx?id=5414" TargetMode="External"/><Relationship Id="rId13" Type="http://schemas.openxmlformats.org/officeDocument/2006/relationships/hyperlink" Target="https://www.itu.int/ITU-T/recommendations/rec.aspx?id=3583" TargetMode="External"/><Relationship Id="rId18" Type="http://schemas.openxmlformats.org/officeDocument/2006/relationships/hyperlink" Target="https://www.itu.int/ITU-T/recommendations/rec.aspx?id=14178" TargetMode="External"/><Relationship Id="rId39" Type="http://schemas.openxmlformats.org/officeDocument/2006/relationships/hyperlink" Target="https://www.itu.int/ITU-T/recommendations/rec.aspx?rec=357" TargetMode="External"/><Relationship Id="rId109" Type="http://schemas.openxmlformats.org/officeDocument/2006/relationships/hyperlink" Target="https://www.itu.int/ITU-T/recommendations/rec.aspx?id=10438" TargetMode="External"/><Relationship Id="rId34" Type="http://schemas.openxmlformats.org/officeDocument/2006/relationships/hyperlink" Target="https://www.itu.int/ITU-T/recommendations/rec.aspx?rec=11626" TargetMode="External"/><Relationship Id="rId50" Type="http://schemas.openxmlformats.org/officeDocument/2006/relationships/hyperlink" Target="https://www.itu.int/ITU-T/recommendations/rec.aspx?rec=8847" TargetMode="External"/><Relationship Id="rId55" Type="http://schemas.openxmlformats.org/officeDocument/2006/relationships/hyperlink" Target="https://www.itu.int/ITU-T/recommendations/rec.aspx?rec=5996" TargetMode="External"/><Relationship Id="rId76" Type="http://schemas.openxmlformats.org/officeDocument/2006/relationships/hyperlink" Target="https://www.itu.int/ITU-T/recommendations/rec.aspx?id=12467" TargetMode="External"/><Relationship Id="rId97" Type="http://schemas.openxmlformats.org/officeDocument/2006/relationships/hyperlink" Target="https://www.itu.int/ITU-T/recommendations/rec.aspx?id=11556" TargetMode="External"/><Relationship Id="rId104" Type="http://schemas.openxmlformats.org/officeDocument/2006/relationships/hyperlink" Target="https://www.itu.int/ITU-T/recommendations/rec.aspx?id=13596" TargetMode="External"/><Relationship Id="rId120" Type="http://schemas.openxmlformats.org/officeDocument/2006/relationships/hyperlink" Target="https://www.itu.int/rec/T-REC-J.262/en" TargetMode="External"/><Relationship Id="rId125" Type="http://schemas.openxmlformats.org/officeDocument/2006/relationships/hyperlink" Target="https://www.itu.int/rec/T-REC-Q.731.7-199706-I"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ITU-T/recommendations/rec.aspx?rec=12831" TargetMode="External"/><Relationship Id="rId92" Type="http://schemas.openxmlformats.org/officeDocument/2006/relationships/hyperlink" Target="https://www.itu.int/ITU-T/recommendations/rec.aspx?id=13596" TargetMode="External"/><Relationship Id="rId2" Type="http://schemas.openxmlformats.org/officeDocument/2006/relationships/numbering" Target="numbering.xml"/><Relationship Id="rId29" Type="http://schemas.openxmlformats.org/officeDocument/2006/relationships/hyperlink" Target="https://www.itu.int/ITU-T/recommendations/rec.aspx?rec=4970" TargetMode="External"/><Relationship Id="rId24" Type="http://schemas.openxmlformats.org/officeDocument/2006/relationships/hyperlink" Target="https://www.itu.int/ITU-T/recommendations/rec.aspx?id=4967" TargetMode="External"/><Relationship Id="rId40" Type="http://schemas.openxmlformats.org/officeDocument/2006/relationships/hyperlink" Target="https://www.itu.int/ITU-T/recommendations/rec.aspx?rec=358" TargetMode="External"/><Relationship Id="rId45" Type="http://schemas.openxmlformats.org/officeDocument/2006/relationships/hyperlink" Target="https://www.itu.int/ITU-T/recommendations/rec.aspx?rec=3856" TargetMode="External"/><Relationship Id="rId66" Type="http://schemas.openxmlformats.org/officeDocument/2006/relationships/hyperlink" Target="https://www.itu.int/ITU-T/recommendations/rec.aspx?rec=13736" TargetMode="External"/><Relationship Id="rId87" Type="http://schemas.openxmlformats.org/officeDocument/2006/relationships/hyperlink" Target="https://www.itu.int/ITU-T/recommendations/rec.aspx?rec=11618" TargetMode="External"/><Relationship Id="rId110" Type="http://schemas.openxmlformats.org/officeDocument/2006/relationships/hyperlink" Target="https://www.itu.int/ITU-T/recommendations/rec.aspx?id=10859&amp;lang=en" TargetMode="External"/><Relationship Id="rId115" Type="http://schemas.openxmlformats.org/officeDocument/2006/relationships/hyperlink" Target="https://www.itu.int/net/ITU-T/lists/standards.aspx?Group=5&amp;Domain=28" TargetMode="External"/><Relationship Id="rId131" Type="http://schemas.openxmlformats.org/officeDocument/2006/relationships/hyperlink" Target="https://www.itu.int/md/T17-TSAG-180226-TD-GEN-0265/en" TargetMode="External"/><Relationship Id="rId136" Type="http://schemas.openxmlformats.org/officeDocument/2006/relationships/hyperlink" Target="https://www.itu.int/dms_pub/itu-t/md/17/tsag/td/180226/GEN/T17-TSAG-180226-TD-GEN-0217!!MSW-E.doc" TargetMode="External"/><Relationship Id="rId61" Type="http://schemas.openxmlformats.org/officeDocument/2006/relationships/hyperlink" Target="https://www.itu.int/ITU-T/recommendations/rec.aspx?rec=14178" TargetMode="External"/><Relationship Id="rId82" Type="http://schemas.openxmlformats.org/officeDocument/2006/relationships/hyperlink" Target="https://www.itu.int/ITU-T/recommendations/rec.aspx?id=4362" TargetMode="External"/><Relationship Id="rId19" Type="http://schemas.openxmlformats.org/officeDocument/2006/relationships/hyperlink" Target="https://www.itu.int/ITU-T/recommendations/rec.aspx?id=5483" TargetMode="External"/><Relationship Id="rId14" Type="http://schemas.openxmlformats.org/officeDocument/2006/relationships/hyperlink" Target="https://www.itu.int/ITU-T/recommendations/rec.aspx?id=8728" TargetMode="External"/><Relationship Id="rId30" Type="http://schemas.openxmlformats.org/officeDocument/2006/relationships/hyperlink" Target="https://www.itu.int/ITU-T/recommendations/rec.aspx?rec=12831" TargetMode="External"/><Relationship Id="rId35" Type="http://schemas.openxmlformats.org/officeDocument/2006/relationships/hyperlink" Target="https://www.itu.int/ITU-T/recommendations/rec.aspx?rec=14649" TargetMode="External"/><Relationship Id="rId56" Type="http://schemas.openxmlformats.org/officeDocument/2006/relationships/hyperlink" Target="https://www.itu.int/ITU-T/recommendations/rec.aspx?rec=8728" TargetMode="External"/><Relationship Id="rId77" Type="http://schemas.openxmlformats.org/officeDocument/2006/relationships/hyperlink" Target="https://www.itu.int/ITU-T/recommendations/rec.aspx?id=4848" TargetMode="External"/><Relationship Id="rId100" Type="http://schemas.openxmlformats.org/officeDocument/2006/relationships/hyperlink" Target="https://www.itu.int/ITU-T/recommendations/rec.aspx?id=12828" TargetMode="External"/><Relationship Id="rId105" Type="http://schemas.openxmlformats.org/officeDocument/2006/relationships/hyperlink" Target="https://www.itu.int/ITU-T/recommendations/rec.aspx?id=13594" TargetMode="External"/><Relationship Id="rId126" Type="http://schemas.openxmlformats.org/officeDocument/2006/relationships/hyperlink" Target="https://www.itu.int/md/T17-TSAG-180226-TD-GEN-0265/en" TargetMode="External"/><Relationship Id="rId8" Type="http://schemas.openxmlformats.org/officeDocument/2006/relationships/image" Target="media/image1.jpeg"/><Relationship Id="rId51" Type="http://schemas.openxmlformats.org/officeDocument/2006/relationships/hyperlink" Target="https://www.itu.int/ITU-T/recommendations/rec.aspx?rec=6489" TargetMode="External"/><Relationship Id="rId72" Type="http://schemas.openxmlformats.org/officeDocument/2006/relationships/hyperlink" Target="https://www.itu.int/ITU-T/recommendations/rec.aspx?rec=7148" TargetMode="External"/><Relationship Id="rId93" Type="http://schemas.openxmlformats.org/officeDocument/2006/relationships/hyperlink" Target="https://www.itu.int/ITU-T/recommendations/rec.aspx?id=13596" TargetMode="External"/><Relationship Id="rId98" Type="http://schemas.openxmlformats.org/officeDocument/2006/relationships/hyperlink" Target="https://www.itu.int/ITU-T/recommendations/rec.aspx?id=11556" TargetMode="External"/><Relationship Id="rId121" Type="http://schemas.openxmlformats.org/officeDocument/2006/relationships/hyperlink" Target="https://www.itu.int/rec/T-REC-J.263/en"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ITU-T/recommendations/rec.aspx?id=4968" TargetMode="External"/><Relationship Id="rId46" Type="http://schemas.openxmlformats.org/officeDocument/2006/relationships/hyperlink" Target="https://www.itu.int/ITU-T/recommendations/rec.aspx?rec=4357" TargetMode="External"/><Relationship Id="rId67" Type="http://schemas.openxmlformats.org/officeDocument/2006/relationships/hyperlink" Target="https://www.itu.int/ITU-T/recommendations/rec.aspx?rec=4967" TargetMode="External"/><Relationship Id="rId116" Type="http://schemas.openxmlformats.org/officeDocument/2006/relationships/hyperlink" Target="https://www.itu.int/md/T17-TSAG-180226-TD-GEN-0265/en" TargetMode="External"/><Relationship Id="rId137" Type="http://schemas.openxmlformats.org/officeDocument/2006/relationships/hyperlink" Target="https://www.itu.int/md/T17-TSAG-180226-TD-GEN-0265/en" TargetMode="External"/><Relationship Id="rId20" Type="http://schemas.openxmlformats.org/officeDocument/2006/relationships/hyperlink" Target="https://www.itu.int/ITU-T/recommendations/rec.aspx?id=5583" TargetMode="External"/><Relationship Id="rId41" Type="http://schemas.openxmlformats.org/officeDocument/2006/relationships/hyperlink" Target="https://www.itu.int/ITU-T/recommendations/rec.aspx?rec=4053" TargetMode="External"/><Relationship Id="rId62" Type="http://schemas.openxmlformats.org/officeDocument/2006/relationships/hyperlink" Target="https://www.itu.int/ITU-T/recommendations/rec.aspx?rec=5483" TargetMode="External"/><Relationship Id="rId83" Type="http://schemas.openxmlformats.org/officeDocument/2006/relationships/hyperlink" Target="https://www.itu.int/ITU-T/recommendations/rec.aspx?rec=7372" TargetMode="External"/><Relationship Id="rId88" Type="http://schemas.openxmlformats.org/officeDocument/2006/relationships/hyperlink" Target="https://www.itu.int/ITU-T/recommendations/rec.aspx?id=9017" TargetMode="External"/><Relationship Id="rId111" Type="http://schemas.openxmlformats.org/officeDocument/2006/relationships/hyperlink" Target="https://www.itu.int/ITU-T/recommendations/rec.aspx?id=10860&amp;lang=en" TargetMode="External"/><Relationship Id="rId132" Type="http://schemas.openxmlformats.org/officeDocument/2006/relationships/hyperlink" Target="https://www.itu.int/ITU-T/recommendations/rec.aspx?id=7398" TargetMode="External"/><Relationship Id="rId15" Type="http://schemas.openxmlformats.org/officeDocument/2006/relationships/hyperlink" Target="https://www.itu.int/ITU-T/recommendations/rec.aspx?id=14177" TargetMode="External"/><Relationship Id="rId36" Type="http://schemas.openxmlformats.org/officeDocument/2006/relationships/hyperlink" Target="https://www.itu.int/ITU-T/recommendations/rec.aspx?rec=1167" TargetMode="External"/><Relationship Id="rId57" Type="http://schemas.openxmlformats.org/officeDocument/2006/relationships/hyperlink" Target="https://www.itu.int/ITU-T/recommendations/rec.aspx?rec=11617" TargetMode="External"/><Relationship Id="rId106" Type="http://schemas.openxmlformats.org/officeDocument/2006/relationships/hyperlink" Target="https://www.itu.int/ITU-T/recommendations/rec.aspx?id=13594" TargetMode="External"/><Relationship Id="rId127" Type="http://schemas.openxmlformats.org/officeDocument/2006/relationships/hyperlink" Target="http://handle.itu.int/11.1002/ls/sp16-tsag-oLS-00008.docx" TargetMode="External"/><Relationship Id="rId10" Type="http://schemas.openxmlformats.org/officeDocument/2006/relationships/hyperlink" Target="https://www.itu.int/md/S18-CLEGITR3-C-0005/en" TargetMode="External"/><Relationship Id="rId31" Type="http://schemas.openxmlformats.org/officeDocument/2006/relationships/hyperlink" Target="https://www.itu.int/ITU-T/recommendations/rec.aspx?rec=441" TargetMode="External"/><Relationship Id="rId52" Type="http://schemas.openxmlformats.org/officeDocument/2006/relationships/hyperlink" Target="https://www.itu.int/ITU-T/recommendations/rec.aspx?rec=8847" TargetMode="External"/><Relationship Id="rId73" Type="http://schemas.openxmlformats.org/officeDocument/2006/relationships/hyperlink" Target="https://www.itu.int/ITU-T/recommendations/rec.aspx?id=4591" TargetMode="External"/><Relationship Id="rId78" Type="http://schemas.openxmlformats.org/officeDocument/2006/relationships/hyperlink" Target="https://www.itu.int/ITU-T/recommendations/rec.aspx?id=3200" TargetMode="External"/><Relationship Id="rId94" Type="http://schemas.openxmlformats.org/officeDocument/2006/relationships/hyperlink" Target="https://www.itu.int/ITU-T/recommendations/rec.aspx?id=13596" TargetMode="External"/><Relationship Id="rId99" Type="http://schemas.openxmlformats.org/officeDocument/2006/relationships/hyperlink" Target="https://www.itu.int/ITU-T/recommendations/rec.aspx?id=11556" TargetMode="External"/><Relationship Id="rId101" Type="http://schemas.openxmlformats.org/officeDocument/2006/relationships/hyperlink" Target="https://www.itu.int/ITU-T/recommendations/rec.aspx?id=12829" TargetMode="External"/><Relationship Id="rId122" Type="http://schemas.openxmlformats.org/officeDocument/2006/relationships/hyperlink" Target="https://www.itu.int/md/T17-TSAG-180226-TD-GEN-0265/en" TargetMode="External"/><Relationship Id="rId4" Type="http://schemas.openxmlformats.org/officeDocument/2006/relationships/settings" Target="settings.xml"/><Relationship Id="rId9" Type="http://schemas.openxmlformats.org/officeDocument/2006/relationships/hyperlink" Target="https://www.itu.int/md/meetingdoc.asp?lang=en&amp;parent=S18-CLEGITR4-INF-0002" TargetMode="External"/><Relationship Id="rId26" Type="http://schemas.openxmlformats.org/officeDocument/2006/relationships/hyperlink" Target="https://www.itu.int/ITU-T/recommendations/rec.aspx?id=4045" TargetMode="External"/><Relationship Id="rId47" Type="http://schemas.openxmlformats.org/officeDocument/2006/relationships/hyperlink" Target="https://www.itu.int/ITU-T/recommendations/rec.aspx?rec=4298" TargetMode="External"/><Relationship Id="rId68" Type="http://schemas.openxmlformats.org/officeDocument/2006/relationships/hyperlink" Target="https://www.itu.int/ITU-T/recommendations/rec.aspx?rec=4968" TargetMode="External"/><Relationship Id="rId89" Type="http://schemas.openxmlformats.org/officeDocument/2006/relationships/hyperlink" Target="https://www.itu.int/ITU-T/recommendations/rec.aspx?rec=362" TargetMode="External"/><Relationship Id="rId112" Type="http://schemas.openxmlformats.org/officeDocument/2006/relationships/hyperlink" Target="https://www.itu.int/ITU-T/recommendations/rec.aspx?id=11551&amp;lang=en" TargetMode="External"/><Relationship Id="rId133" Type="http://schemas.openxmlformats.org/officeDocument/2006/relationships/hyperlink" Target="https://www.itu.int/ITU-T/recommendations/rec.aspx?id=7254" TargetMode="External"/><Relationship Id="rId16" Type="http://schemas.openxmlformats.org/officeDocument/2006/relationships/hyperlink" Target="https://www.itu.int/ITU-T/recommendations/rec.aspx?id=1068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3645-E85F-4F8A-BE11-B758513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3274</Words>
  <Characters>30349</Characters>
  <Application>Microsoft Office Word</Application>
  <DocSecurity>0</DocSecurity>
  <Lines>252</Lines>
  <Paragraphs>67</Paragraphs>
  <ScaleCrop>false</ScaleCrop>
  <HeadingPairs>
    <vt:vector size="2" baseType="variant">
      <vt:variant>
        <vt:lpstr>Title</vt:lpstr>
      </vt:variant>
      <vt:variant>
        <vt:i4>1</vt:i4>
      </vt:variant>
    </vt:vector>
  </HeadingPairs>
  <TitlesOfParts>
    <vt:vector size="1" baseType="lpstr">
      <vt:lpstr>TSB Derector's input on the International Telecommunication Regulations</vt:lpstr>
    </vt:vector>
  </TitlesOfParts>
  <Manager>General Secretariat - Pool</Manager>
  <Company>International Telecommunication Union (ITU)</Company>
  <LinksUpToDate>false</LinksUpToDate>
  <CharactersWithSpaces>33556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Director's input on the International Telecommunication Regulations</dc:title>
  <dc:subject>EG-ITRs</dc:subject>
  <dc:creator>Brouard, Ricarda</dc:creator>
  <cp:keywords>EG-ITRs</cp:keywords>
  <dc:description/>
  <cp:lastModifiedBy>Xue, Kun</cp:lastModifiedBy>
  <cp:revision>5</cp:revision>
  <cp:lastPrinted>2000-07-18T13:30:00Z</cp:lastPrinted>
  <dcterms:created xsi:type="dcterms:W3CDTF">2021-08-26T07:02:00Z</dcterms:created>
  <dcterms:modified xsi:type="dcterms:W3CDTF">2021-08-26T08:10:00Z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