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2D4369" w:rsidRPr="006B7A0C" w14:paraId="702CC6FA" w14:textId="77777777" w:rsidTr="002D4369">
        <w:trPr>
          <w:cantSplit/>
          <w:trHeight w:val="851"/>
        </w:trPr>
        <w:tc>
          <w:tcPr>
            <w:tcW w:w="6469" w:type="dxa"/>
            <w:vAlign w:val="center"/>
          </w:tcPr>
          <w:p w14:paraId="67E6AEAD" w14:textId="10157B6B" w:rsidR="002D4369" w:rsidRPr="006B7A0C" w:rsidRDefault="002D4369" w:rsidP="002D4369">
            <w:pPr>
              <w:shd w:val="solid" w:color="FFFFFF" w:fill="FFFFFF"/>
              <w:spacing w:before="40" w:after="120"/>
              <w:rPr>
                <w:rFonts w:asciiTheme="majorHAnsi" w:hAnsiTheme="majorHAnsi" w:cstheme="minorHAnsi"/>
                <w:b/>
                <w:sz w:val="24"/>
                <w:szCs w:val="24"/>
              </w:rPr>
            </w:pPr>
            <w:r w:rsidRPr="006B7A0C">
              <w:rPr>
                <w:rFonts w:asciiTheme="majorHAnsi" w:hAnsiTheme="majorHAnsi" w:cstheme="minorHAnsi"/>
                <w:b/>
                <w:sz w:val="24"/>
                <w:szCs w:val="24"/>
              </w:rPr>
              <w:t>Expert Group on the International</w:t>
            </w:r>
            <w:r w:rsidRPr="006B7A0C">
              <w:rPr>
                <w:rFonts w:asciiTheme="majorHAnsi" w:hAnsiTheme="majorHAnsi" w:cstheme="minorHAnsi"/>
                <w:b/>
                <w:sz w:val="24"/>
                <w:szCs w:val="24"/>
              </w:rPr>
              <w:br/>
              <w:t>Telecommunication Regulations (EG-ITRs)</w:t>
            </w:r>
            <w:r w:rsidRPr="006B7A0C">
              <w:rPr>
                <w:rFonts w:asciiTheme="majorHAnsi" w:hAnsiTheme="majorHAnsi" w:cstheme="minorHAnsi"/>
                <w:b/>
                <w:sz w:val="24"/>
                <w:szCs w:val="24"/>
              </w:rPr>
              <w:br/>
            </w:r>
            <w:r w:rsidR="00DC229C" w:rsidRPr="006B7A0C">
              <w:rPr>
                <w:rFonts w:asciiTheme="majorHAnsi" w:hAnsiTheme="majorHAnsi" w:cstheme="minorHAnsi"/>
                <w:b/>
                <w:bCs/>
                <w:sz w:val="24"/>
                <w:szCs w:val="24"/>
              </w:rPr>
              <w:t>Fifth</w:t>
            </w:r>
            <w:r w:rsidR="00FE3A9A" w:rsidRPr="006B7A0C">
              <w:rPr>
                <w:rFonts w:asciiTheme="majorHAnsi" w:hAnsiTheme="majorHAnsi" w:cstheme="minorHAnsi"/>
                <w:b/>
                <w:bCs/>
                <w:sz w:val="24"/>
                <w:szCs w:val="24"/>
              </w:rPr>
              <w:t xml:space="preserve"> meeting – Virtual meeting, </w:t>
            </w:r>
            <w:r w:rsidR="00DC229C" w:rsidRPr="006B7A0C">
              <w:rPr>
                <w:rFonts w:asciiTheme="majorHAnsi" w:hAnsiTheme="majorHAnsi" w:cstheme="minorHAnsi"/>
                <w:b/>
                <w:bCs/>
                <w:sz w:val="24"/>
                <w:szCs w:val="24"/>
              </w:rPr>
              <w:t>30 September-1 October 2021</w:t>
            </w:r>
          </w:p>
        </w:tc>
        <w:tc>
          <w:tcPr>
            <w:tcW w:w="3561" w:type="dxa"/>
            <w:vAlign w:val="center"/>
          </w:tcPr>
          <w:p w14:paraId="17C809CD" w14:textId="77777777" w:rsidR="002D4369" w:rsidRPr="006B7A0C" w:rsidRDefault="002D4369" w:rsidP="002D4369">
            <w:pPr>
              <w:pStyle w:val="dnum"/>
              <w:framePr w:hSpace="0" w:wrap="auto" w:vAnchor="margin" w:hAnchor="text" w:yAlign="inline"/>
              <w:spacing w:after="0"/>
              <w:rPr>
                <w:rFonts w:asciiTheme="majorHAnsi" w:hAnsiTheme="majorHAnsi" w:cstheme="minorHAnsi"/>
                <w:sz w:val="24"/>
                <w:szCs w:val="24"/>
              </w:rPr>
            </w:pPr>
            <w:r w:rsidRPr="006B7A0C">
              <w:rPr>
                <w:rFonts w:asciiTheme="majorHAnsi" w:hAnsiTheme="majorHAnsi" w:cstheme="minorHAnsi"/>
                <w:noProof/>
                <w:sz w:val="24"/>
                <w:szCs w:val="24"/>
                <w:lang w:val="en-US"/>
              </w:rPr>
              <w:drawing>
                <wp:inline distT="0" distB="0" distL="0" distR="0" wp14:anchorId="2C91BE5D" wp14:editId="6E40D16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D4369" w:rsidRPr="006B7A0C" w14:paraId="7737A3F5" w14:textId="77777777" w:rsidTr="002D4369">
        <w:trPr>
          <w:cantSplit/>
          <w:trHeight w:val="138"/>
        </w:trPr>
        <w:tc>
          <w:tcPr>
            <w:tcW w:w="6469" w:type="dxa"/>
            <w:tcBorders>
              <w:top w:val="single" w:sz="12" w:space="0" w:color="auto"/>
            </w:tcBorders>
          </w:tcPr>
          <w:p w14:paraId="00DA45EE" w14:textId="77777777" w:rsidR="002D4369" w:rsidRPr="006B7A0C" w:rsidRDefault="002D4369" w:rsidP="002D4369">
            <w:pPr>
              <w:shd w:val="solid" w:color="FFFFFF" w:fill="FFFFFF"/>
              <w:ind w:right="284"/>
              <w:rPr>
                <w:rFonts w:asciiTheme="majorHAnsi" w:hAnsiTheme="majorHAnsi" w:cstheme="minorHAnsi"/>
                <w:sz w:val="24"/>
                <w:szCs w:val="24"/>
              </w:rPr>
            </w:pPr>
          </w:p>
        </w:tc>
        <w:tc>
          <w:tcPr>
            <w:tcW w:w="3561" w:type="dxa"/>
            <w:tcBorders>
              <w:top w:val="single" w:sz="12" w:space="0" w:color="auto"/>
            </w:tcBorders>
          </w:tcPr>
          <w:p w14:paraId="50B97E85" w14:textId="77777777" w:rsidR="002D4369" w:rsidRPr="006B7A0C" w:rsidRDefault="002D4369" w:rsidP="002D4369">
            <w:pPr>
              <w:tabs>
                <w:tab w:val="left" w:pos="851"/>
              </w:tabs>
              <w:ind w:right="284"/>
              <w:rPr>
                <w:rFonts w:asciiTheme="majorHAnsi" w:hAnsiTheme="majorHAnsi" w:cstheme="minorHAnsi"/>
                <w:b/>
                <w:sz w:val="24"/>
                <w:szCs w:val="24"/>
              </w:rPr>
            </w:pPr>
          </w:p>
        </w:tc>
      </w:tr>
      <w:tr w:rsidR="002D4369" w:rsidRPr="006B7A0C" w14:paraId="44247666" w14:textId="77777777" w:rsidTr="002D4369">
        <w:trPr>
          <w:cantSplit/>
          <w:trHeight w:val="138"/>
        </w:trPr>
        <w:tc>
          <w:tcPr>
            <w:tcW w:w="6469" w:type="dxa"/>
          </w:tcPr>
          <w:p w14:paraId="2C99EC09" w14:textId="77777777" w:rsidR="002D4369" w:rsidRPr="006B7A0C" w:rsidRDefault="002D4369" w:rsidP="002D4369">
            <w:pPr>
              <w:rPr>
                <w:rFonts w:asciiTheme="majorHAnsi" w:hAnsiTheme="majorHAnsi" w:cstheme="minorHAnsi"/>
                <w:b/>
                <w:bCs/>
                <w:sz w:val="24"/>
                <w:szCs w:val="24"/>
              </w:rPr>
            </w:pPr>
          </w:p>
        </w:tc>
        <w:tc>
          <w:tcPr>
            <w:tcW w:w="3561" w:type="dxa"/>
          </w:tcPr>
          <w:p w14:paraId="2800DCD4" w14:textId="2184E11A" w:rsidR="002D4369" w:rsidRPr="006B7A0C" w:rsidRDefault="002D4369" w:rsidP="002D4369">
            <w:pPr>
              <w:rPr>
                <w:rFonts w:asciiTheme="majorHAnsi" w:hAnsiTheme="majorHAnsi" w:cstheme="minorHAnsi"/>
                <w:b/>
                <w:bCs/>
                <w:sz w:val="24"/>
                <w:szCs w:val="24"/>
                <w:lang w:val="fr-FR"/>
              </w:rPr>
            </w:pPr>
            <w:r w:rsidRPr="006B7A0C">
              <w:rPr>
                <w:rFonts w:asciiTheme="majorHAnsi" w:hAnsiTheme="majorHAnsi" w:cstheme="minorHAnsi"/>
                <w:b/>
                <w:bCs/>
                <w:sz w:val="24"/>
                <w:szCs w:val="24"/>
                <w:lang w:val="fr-FR"/>
              </w:rPr>
              <w:t>Document EG-ITRs-</w:t>
            </w:r>
            <w:r w:rsidR="00DC229C" w:rsidRPr="006B7A0C">
              <w:rPr>
                <w:rFonts w:asciiTheme="majorHAnsi" w:hAnsiTheme="majorHAnsi" w:cstheme="minorHAnsi"/>
                <w:b/>
                <w:bCs/>
                <w:sz w:val="24"/>
                <w:szCs w:val="24"/>
                <w:lang w:val="fr-FR"/>
              </w:rPr>
              <w:t>5</w:t>
            </w:r>
            <w:r w:rsidRPr="006B7A0C">
              <w:rPr>
                <w:rFonts w:asciiTheme="majorHAnsi" w:hAnsiTheme="majorHAnsi" w:cstheme="minorHAnsi"/>
                <w:b/>
                <w:bCs/>
                <w:sz w:val="24"/>
                <w:szCs w:val="24"/>
                <w:lang w:val="fr-FR"/>
              </w:rPr>
              <w:t>/</w:t>
            </w:r>
            <w:r w:rsidR="00265D77">
              <w:rPr>
                <w:rFonts w:asciiTheme="majorHAnsi" w:hAnsiTheme="majorHAnsi" w:cstheme="minorHAnsi"/>
                <w:b/>
                <w:bCs/>
                <w:sz w:val="24"/>
                <w:szCs w:val="24"/>
                <w:lang w:val="fr-FR"/>
              </w:rPr>
              <w:t>10</w:t>
            </w:r>
            <w:r w:rsidR="00DC229C" w:rsidRPr="006B7A0C">
              <w:rPr>
                <w:rFonts w:asciiTheme="majorHAnsi" w:hAnsiTheme="majorHAnsi" w:cstheme="minorHAnsi"/>
                <w:b/>
                <w:bCs/>
                <w:sz w:val="24"/>
                <w:szCs w:val="24"/>
                <w:lang w:val="fr-FR"/>
              </w:rPr>
              <w:t>-</w:t>
            </w:r>
            <w:r w:rsidR="003152DC">
              <w:rPr>
                <w:rFonts w:asciiTheme="majorHAnsi" w:hAnsiTheme="majorHAnsi" w:cstheme="minorHAnsi"/>
                <w:b/>
                <w:bCs/>
                <w:sz w:val="24"/>
                <w:szCs w:val="24"/>
                <w:lang w:val="fr-FR"/>
              </w:rPr>
              <w:t>E</w:t>
            </w:r>
          </w:p>
        </w:tc>
      </w:tr>
      <w:tr w:rsidR="002D4369" w:rsidRPr="006B7A0C" w14:paraId="697E8285" w14:textId="77777777" w:rsidTr="002D4369">
        <w:trPr>
          <w:cantSplit/>
          <w:trHeight w:val="138"/>
        </w:trPr>
        <w:tc>
          <w:tcPr>
            <w:tcW w:w="6469" w:type="dxa"/>
          </w:tcPr>
          <w:p w14:paraId="45DF0889" w14:textId="77777777" w:rsidR="002D4369" w:rsidRPr="006B7A0C" w:rsidRDefault="002D4369" w:rsidP="002D4369">
            <w:pPr>
              <w:shd w:val="solid" w:color="FFFFFF" w:fill="FFFFFF"/>
              <w:ind w:right="284"/>
              <w:rPr>
                <w:rFonts w:asciiTheme="majorHAnsi" w:hAnsiTheme="majorHAnsi" w:cstheme="minorHAnsi"/>
                <w:sz w:val="24"/>
                <w:szCs w:val="24"/>
                <w:lang w:val="fr-FR"/>
              </w:rPr>
            </w:pPr>
          </w:p>
        </w:tc>
        <w:tc>
          <w:tcPr>
            <w:tcW w:w="3561" w:type="dxa"/>
          </w:tcPr>
          <w:p w14:paraId="185755AD" w14:textId="0AF236A6" w:rsidR="002D4369" w:rsidRPr="006B7A0C" w:rsidRDefault="00DC229C" w:rsidP="002D4369">
            <w:pPr>
              <w:tabs>
                <w:tab w:val="left" w:pos="851"/>
              </w:tabs>
              <w:ind w:right="284"/>
              <w:rPr>
                <w:rFonts w:asciiTheme="majorHAnsi" w:hAnsiTheme="majorHAnsi" w:cstheme="minorHAnsi"/>
                <w:b/>
                <w:sz w:val="24"/>
                <w:szCs w:val="24"/>
              </w:rPr>
            </w:pPr>
            <w:r w:rsidRPr="006B7A0C">
              <w:rPr>
                <w:rFonts w:asciiTheme="majorHAnsi" w:hAnsiTheme="majorHAnsi" w:cstheme="minorHAnsi"/>
                <w:b/>
                <w:sz w:val="24"/>
                <w:szCs w:val="24"/>
              </w:rPr>
              <w:t>22 October 2021</w:t>
            </w:r>
          </w:p>
        </w:tc>
      </w:tr>
      <w:tr w:rsidR="002D4369" w:rsidRPr="006B7A0C" w14:paraId="6ADC9D77" w14:textId="77777777" w:rsidTr="002D4369">
        <w:trPr>
          <w:cantSplit/>
          <w:trHeight w:val="138"/>
        </w:trPr>
        <w:tc>
          <w:tcPr>
            <w:tcW w:w="6469" w:type="dxa"/>
          </w:tcPr>
          <w:p w14:paraId="35621CC2" w14:textId="77777777" w:rsidR="002D4369" w:rsidRPr="006B7A0C" w:rsidRDefault="002D4369" w:rsidP="002D4369">
            <w:pPr>
              <w:shd w:val="solid" w:color="FFFFFF" w:fill="FFFFFF"/>
              <w:ind w:right="284"/>
              <w:rPr>
                <w:rFonts w:asciiTheme="majorHAnsi" w:hAnsiTheme="majorHAnsi" w:cstheme="minorHAnsi"/>
                <w:sz w:val="24"/>
                <w:szCs w:val="24"/>
              </w:rPr>
            </w:pPr>
          </w:p>
        </w:tc>
        <w:tc>
          <w:tcPr>
            <w:tcW w:w="3561" w:type="dxa"/>
          </w:tcPr>
          <w:p w14:paraId="0FF5FC4C" w14:textId="77777777" w:rsidR="002D4369" w:rsidRPr="006B7A0C" w:rsidRDefault="002D4369" w:rsidP="002D4369">
            <w:pPr>
              <w:tabs>
                <w:tab w:val="left" w:pos="851"/>
              </w:tabs>
              <w:ind w:right="284"/>
              <w:rPr>
                <w:rFonts w:asciiTheme="majorHAnsi" w:hAnsiTheme="majorHAnsi" w:cstheme="minorHAnsi"/>
                <w:b/>
                <w:sz w:val="24"/>
                <w:szCs w:val="24"/>
              </w:rPr>
            </w:pPr>
            <w:r w:rsidRPr="006B7A0C">
              <w:rPr>
                <w:rFonts w:asciiTheme="majorHAnsi" w:hAnsiTheme="majorHAnsi" w:cstheme="minorHAnsi"/>
                <w:b/>
                <w:sz w:val="24"/>
                <w:szCs w:val="24"/>
              </w:rPr>
              <w:t>English only</w:t>
            </w:r>
          </w:p>
        </w:tc>
      </w:tr>
    </w:tbl>
    <w:p w14:paraId="00000001" w14:textId="0DD2B7ED" w:rsidR="00D044C6" w:rsidRPr="006B7A0C" w:rsidRDefault="00D044C6">
      <w:pPr>
        <w:rPr>
          <w:rFonts w:asciiTheme="majorHAnsi" w:hAnsiTheme="majorHAnsi"/>
          <w:sz w:val="24"/>
          <w:szCs w:val="24"/>
        </w:rPr>
      </w:pPr>
    </w:p>
    <w:p w14:paraId="00000002" w14:textId="1CFD7BFE" w:rsidR="00D044C6" w:rsidRPr="006B7A0C" w:rsidRDefault="002D4369" w:rsidP="00292917">
      <w:pPr>
        <w:spacing w:before="120" w:after="120" w:line="240" w:lineRule="auto"/>
        <w:jc w:val="center"/>
        <w:rPr>
          <w:rFonts w:asciiTheme="majorHAnsi" w:hAnsiTheme="majorHAnsi"/>
          <w:sz w:val="24"/>
          <w:szCs w:val="24"/>
        </w:rPr>
      </w:pPr>
      <w:bookmarkStart w:id="0" w:name="_Hlk85793577"/>
      <w:r w:rsidRPr="006B7A0C">
        <w:rPr>
          <w:rFonts w:ascii="Calibri" w:eastAsia="Times New Roman" w:hAnsi="Calibri" w:cs="Calibri"/>
          <w:sz w:val="24"/>
          <w:szCs w:val="24"/>
          <w:lang w:eastAsia="en-US"/>
        </w:rPr>
        <w:t xml:space="preserve">REPORT OF THE </w:t>
      </w:r>
      <w:r w:rsidR="00DC229C" w:rsidRPr="006B7A0C">
        <w:rPr>
          <w:rFonts w:ascii="Calibri" w:eastAsia="Times New Roman" w:hAnsi="Calibri" w:cs="Calibri"/>
          <w:sz w:val="24"/>
          <w:szCs w:val="24"/>
          <w:lang w:eastAsia="en-US"/>
        </w:rPr>
        <w:t>FIFTH</w:t>
      </w:r>
      <w:r w:rsidRPr="006B7A0C">
        <w:rPr>
          <w:rFonts w:ascii="Calibri" w:eastAsia="Times New Roman" w:hAnsi="Calibri" w:cs="Calibri"/>
          <w:sz w:val="24"/>
          <w:szCs w:val="24"/>
          <w:lang w:eastAsia="en-US"/>
        </w:rPr>
        <w:t xml:space="preserve"> </w:t>
      </w:r>
      <w:r w:rsidR="002636D0" w:rsidRPr="006B7A0C">
        <w:rPr>
          <w:rFonts w:ascii="Calibri" w:eastAsia="Times New Roman" w:hAnsi="Calibri" w:cs="Calibri"/>
          <w:sz w:val="24"/>
          <w:szCs w:val="24"/>
          <w:lang w:eastAsia="en-US"/>
        </w:rPr>
        <w:t xml:space="preserve">VIRTUAL </w:t>
      </w:r>
      <w:r w:rsidRPr="006B7A0C">
        <w:rPr>
          <w:rFonts w:ascii="Calibri" w:eastAsia="Times New Roman" w:hAnsi="Calibri" w:cs="Calibri"/>
          <w:sz w:val="24"/>
          <w:szCs w:val="24"/>
          <w:lang w:eastAsia="en-US"/>
        </w:rPr>
        <w:t xml:space="preserve">MEETING </w:t>
      </w:r>
      <w:r w:rsidR="00DC229C" w:rsidRPr="006B7A0C">
        <w:rPr>
          <w:rFonts w:ascii="Calibri" w:eastAsia="Times New Roman" w:hAnsi="Calibri" w:cs="Calibri"/>
          <w:sz w:val="24"/>
          <w:szCs w:val="24"/>
          <w:lang w:eastAsia="en-US"/>
        </w:rPr>
        <w:t>OF</w:t>
      </w:r>
      <w:r w:rsidRPr="006B7A0C">
        <w:rPr>
          <w:rFonts w:ascii="Calibri" w:eastAsia="Times New Roman" w:hAnsi="Calibri" w:cs="Calibri"/>
          <w:sz w:val="24"/>
          <w:szCs w:val="24"/>
          <w:lang w:eastAsia="en-US"/>
        </w:rPr>
        <w:br/>
        <w:t xml:space="preserve">THE EXPERT GROUP ON THE INTERNATIONAL TELECOMMUNICATION REGULATIONS </w:t>
      </w:r>
      <w:r w:rsidRPr="006B7A0C">
        <w:rPr>
          <w:rFonts w:ascii="Calibri" w:eastAsia="Times New Roman" w:hAnsi="Calibri" w:cs="Calibri"/>
          <w:sz w:val="24"/>
          <w:szCs w:val="24"/>
          <w:lang w:eastAsia="en-US"/>
        </w:rPr>
        <w:br/>
        <w:t>(EG-ITRs)</w:t>
      </w:r>
    </w:p>
    <w:bookmarkEnd w:id="0"/>
    <w:p w14:paraId="00000003" w14:textId="57000348" w:rsidR="00D044C6" w:rsidRPr="006B7A0C" w:rsidRDefault="009B05F6" w:rsidP="00292917">
      <w:pPr>
        <w:spacing w:before="360" w:after="120" w:line="240" w:lineRule="auto"/>
        <w:outlineLvl w:val="0"/>
        <w:rPr>
          <w:rFonts w:asciiTheme="majorHAnsi" w:hAnsiTheme="majorHAnsi"/>
          <w:b/>
          <w:sz w:val="24"/>
          <w:szCs w:val="24"/>
        </w:rPr>
      </w:pPr>
      <w:r w:rsidRPr="006B7A0C">
        <w:rPr>
          <w:rFonts w:asciiTheme="majorHAnsi" w:hAnsiTheme="majorHAnsi"/>
          <w:b/>
          <w:sz w:val="24"/>
          <w:szCs w:val="24"/>
        </w:rPr>
        <w:t>1</w:t>
      </w:r>
      <w:r w:rsidRPr="006B7A0C">
        <w:rPr>
          <w:rFonts w:asciiTheme="majorHAnsi" w:hAnsiTheme="majorHAnsi"/>
          <w:b/>
          <w:sz w:val="24"/>
          <w:szCs w:val="24"/>
        </w:rPr>
        <w:tab/>
        <w:t xml:space="preserve">Introductory </w:t>
      </w:r>
      <w:r w:rsidR="00254A6B" w:rsidRPr="006B7A0C">
        <w:rPr>
          <w:rFonts w:asciiTheme="majorHAnsi" w:hAnsiTheme="majorHAnsi"/>
          <w:b/>
          <w:sz w:val="24"/>
          <w:szCs w:val="24"/>
        </w:rPr>
        <w:t>R</w:t>
      </w:r>
      <w:r w:rsidRPr="006B7A0C">
        <w:rPr>
          <w:rFonts w:asciiTheme="majorHAnsi" w:hAnsiTheme="majorHAnsi"/>
          <w:b/>
          <w:sz w:val="24"/>
          <w:szCs w:val="24"/>
        </w:rPr>
        <w:t>emarks</w:t>
      </w:r>
    </w:p>
    <w:p w14:paraId="00000006" w14:textId="7E911553" w:rsidR="00D044C6" w:rsidRPr="006B7A0C" w:rsidRDefault="009B05F6" w:rsidP="00292917">
      <w:pPr>
        <w:spacing w:before="120" w:after="120" w:line="240" w:lineRule="auto"/>
        <w:jc w:val="both"/>
        <w:rPr>
          <w:rFonts w:asciiTheme="majorHAnsi" w:hAnsiTheme="majorHAnsi"/>
          <w:sz w:val="24"/>
          <w:szCs w:val="24"/>
        </w:rPr>
      </w:pPr>
      <w:r w:rsidRPr="006B7A0C">
        <w:rPr>
          <w:rFonts w:asciiTheme="majorHAnsi" w:hAnsiTheme="majorHAnsi"/>
          <w:b/>
          <w:sz w:val="24"/>
          <w:szCs w:val="24"/>
        </w:rPr>
        <w:t>1.1</w:t>
      </w:r>
      <w:r w:rsidRPr="006B7A0C">
        <w:rPr>
          <w:rFonts w:asciiTheme="majorHAnsi" w:hAnsiTheme="majorHAnsi"/>
          <w:sz w:val="24"/>
          <w:szCs w:val="24"/>
        </w:rPr>
        <w:tab/>
        <w:t xml:space="preserve">The </w:t>
      </w:r>
      <w:r w:rsidR="00DC229C" w:rsidRPr="006B7A0C">
        <w:rPr>
          <w:rFonts w:asciiTheme="majorHAnsi" w:hAnsiTheme="majorHAnsi"/>
          <w:sz w:val="24"/>
          <w:szCs w:val="24"/>
        </w:rPr>
        <w:t xml:space="preserve">Deputy </w:t>
      </w:r>
      <w:r w:rsidRPr="006B7A0C">
        <w:rPr>
          <w:rFonts w:asciiTheme="majorHAnsi" w:hAnsiTheme="majorHAnsi"/>
          <w:sz w:val="24"/>
          <w:szCs w:val="24"/>
        </w:rPr>
        <w:t xml:space="preserve">Secretary-General, Mr. </w:t>
      </w:r>
      <w:r w:rsidR="00DC229C" w:rsidRPr="006B7A0C">
        <w:rPr>
          <w:rFonts w:asciiTheme="majorHAnsi" w:hAnsiTheme="majorHAnsi"/>
          <w:sz w:val="24"/>
          <w:szCs w:val="24"/>
        </w:rPr>
        <w:t>Malcolm Johnson</w:t>
      </w:r>
      <w:r w:rsidRPr="006B7A0C">
        <w:rPr>
          <w:rFonts w:asciiTheme="majorHAnsi" w:hAnsiTheme="majorHAnsi"/>
          <w:sz w:val="24"/>
          <w:szCs w:val="24"/>
        </w:rPr>
        <w:t xml:space="preserve">, welcomed </w:t>
      </w:r>
      <w:r w:rsidR="00185646" w:rsidRPr="006B7A0C">
        <w:rPr>
          <w:rFonts w:asciiTheme="majorHAnsi" w:hAnsiTheme="majorHAnsi"/>
          <w:sz w:val="24"/>
          <w:szCs w:val="24"/>
        </w:rPr>
        <w:t xml:space="preserve">members to </w:t>
      </w:r>
      <w:r w:rsidRPr="006B7A0C">
        <w:rPr>
          <w:rFonts w:asciiTheme="majorHAnsi" w:hAnsiTheme="majorHAnsi"/>
          <w:sz w:val="24"/>
          <w:szCs w:val="24"/>
        </w:rPr>
        <w:t xml:space="preserve">the </w:t>
      </w:r>
      <w:r w:rsidR="00DC229C" w:rsidRPr="006B7A0C">
        <w:rPr>
          <w:rFonts w:asciiTheme="majorHAnsi" w:hAnsiTheme="majorHAnsi"/>
          <w:sz w:val="24"/>
          <w:szCs w:val="24"/>
        </w:rPr>
        <w:t>fifth</w:t>
      </w:r>
      <w:r w:rsidRPr="006B7A0C">
        <w:rPr>
          <w:rFonts w:asciiTheme="majorHAnsi" w:hAnsiTheme="majorHAnsi"/>
          <w:sz w:val="24"/>
          <w:szCs w:val="24"/>
        </w:rPr>
        <w:t xml:space="preserve"> meeting of the EG-ITRs. </w:t>
      </w:r>
      <w:r w:rsidR="002E7928" w:rsidRPr="006B7A0C">
        <w:rPr>
          <w:rFonts w:asciiTheme="majorHAnsi" w:hAnsiTheme="majorHAnsi"/>
          <w:sz w:val="24"/>
          <w:szCs w:val="24"/>
        </w:rPr>
        <w:t xml:space="preserve">He </w:t>
      </w:r>
      <w:r w:rsidR="007D5A26" w:rsidRPr="006B7A0C">
        <w:rPr>
          <w:rFonts w:asciiTheme="majorHAnsi" w:hAnsiTheme="majorHAnsi"/>
          <w:sz w:val="24"/>
          <w:szCs w:val="24"/>
        </w:rPr>
        <w:t xml:space="preserve">commended </w:t>
      </w:r>
      <w:r w:rsidR="00DC229C" w:rsidRPr="006B7A0C">
        <w:rPr>
          <w:rFonts w:asciiTheme="majorHAnsi" w:hAnsiTheme="majorHAnsi"/>
          <w:sz w:val="24"/>
          <w:szCs w:val="24"/>
        </w:rPr>
        <w:t>progress made by the Group towards achieving its mandate by carrying out the provision-by-provision review of the ITRs over the past two years.</w:t>
      </w:r>
      <w:r w:rsidR="007679FB" w:rsidRPr="006B7A0C">
        <w:rPr>
          <w:rFonts w:asciiTheme="majorHAnsi" w:hAnsiTheme="majorHAnsi"/>
          <w:sz w:val="24"/>
          <w:szCs w:val="24"/>
        </w:rPr>
        <w:t xml:space="preserve"> </w:t>
      </w:r>
      <w:r w:rsidR="007D5A26" w:rsidRPr="006B7A0C">
        <w:rPr>
          <w:rFonts w:asciiTheme="majorHAnsi" w:hAnsiTheme="majorHAnsi"/>
          <w:sz w:val="24"/>
          <w:szCs w:val="24"/>
        </w:rPr>
        <w:t>He further noted that</w:t>
      </w:r>
      <w:r w:rsidR="00DC229C" w:rsidRPr="006B7A0C">
        <w:rPr>
          <w:rFonts w:asciiTheme="majorHAnsi" w:hAnsiTheme="majorHAnsi"/>
          <w:sz w:val="24"/>
          <w:szCs w:val="24"/>
        </w:rPr>
        <w:t xml:space="preserve">, as </w:t>
      </w:r>
      <w:r w:rsidR="00DC229C" w:rsidRPr="006B7A0C">
        <w:rPr>
          <w:rFonts w:asciiTheme="majorHAnsi" w:hAnsiTheme="majorHAnsi"/>
          <w:sz w:val="24"/>
          <w:szCs w:val="24"/>
          <w:lang w:val="en-US"/>
        </w:rPr>
        <w:t xml:space="preserve">the only global treaty to establish general principles relating to the provision and operation of international telecommunications, the ITRs have helped promote the efficiency, usefulness, and availability of international telecommunication networks, </w:t>
      </w:r>
      <w:proofErr w:type="gramStart"/>
      <w:r w:rsidR="00DC229C" w:rsidRPr="006B7A0C">
        <w:rPr>
          <w:rFonts w:asciiTheme="majorHAnsi" w:hAnsiTheme="majorHAnsi"/>
          <w:sz w:val="24"/>
          <w:szCs w:val="24"/>
          <w:lang w:val="en-US"/>
        </w:rPr>
        <w:t>infrastructure</w:t>
      </w:r>
      <w:proofErr w:type="gramEnd"/>
      <w:r w:rsidR="00DC229C" w:rsidRPr="006B7A0C">
        <w:rPr>
          <w:rFonts w:asciiTheme="majorHAnsi" w:hAnsiTheme="majorHAnsi"/>
          <w:sz w:val="24"/>
          <w:szCs w:val="24"/>
          <w:lang w:val="en-US"/>
        </w:rPr>
        <w:t xml:space="preserve"> and services throughout the world.</w:t>
      </w:r>
      <w:r w:rsidR="002E7928" w:rsidRPr="006B7A0C">
        <w:rPr>
          <w:rFonts w:asciiTheme="majorHAnsi" w:hAnsiTheme="majorHAnsi"/>
          <w:sz w:val="24"/>
          <w:szCs w:val="24"/>
        </w:rPr>
        <w:t xml:space="preserve"> H</w:t>
      </w:r>
      <w:r w:rsidR="002C3385" w:rsidRPr="006B7A0C">
        <w:rPr>
          <w:rFonts w:asciiTheme="majorHAnsi" w:hAnsiTheme="majorHAnsi"/>
          <w:sz w:val="24"/>
          <w:szCs w:val="24"/>
        </w:rPr>
        <w:t xml:space="preserve">e </w:t>
      </w:r>
      <w:r w:rsidR="008E4F2F" w:rsidRPr="006B7A0C">
        <w:rPr>
          <w:rFonts w:asciiTheme="majorHAnsi" w:hAnsiTheme="majorHAnsi"/>
          <w:sz w:val="24"/>
          <w:szCs w:val="24"/>
        </w:rPr>
        <w:t xml:space="preserve">wished the </w:t>
      </w:r>
      <w:r w:rsidR="00DC229C" w:rsidRPr="006B7A0C">
        <w:rPr>
          <w:rFonts w:asciiTheme="majorHAnsi" w:hAnsiTheme="majorHAnsi"/>
          <w:sz w:val="24"/>
          <w:szCs w:val="24"/>
        </w:rPr>
        <w:t xml:space="preserve">EG-ITRs </w:t>
      </w:r>
      <w:r w:rsidR="008E4F2F" w:rsidRPr="006B7A0C">
        <w:rPr>
          <w:rFonts w:asciiTheme="majorHAnsi" w:hAnsiTheme="majorHAnsi"/>
          <w:sz w:val="24"/>
          <w:szCs w:val="24"/>
        </w:rPr>
        <w:t>every success with</w:t>
      </w:r>
      <w:r w:rsidRPr="006B7A0C">
        <w:rPr>
          <w:rFonts w:asciiTheme="majorHAnsi" w:hAnsiTheme="majorHAnsi"/>
          <w:sz w:val="24"/>
          <w:szCs w:val="24"/>
        </w:rPr>
        <w:t xml:space="preserve"> </w:t>
      </w:r>
      <w:r w:rsidR="00DC229C" w:rsidRPr="006B7A0C">
        <w:rPr>
          <w:rFonts w:asciiTheme="majorHAnsi" w:hAnsiTheme="majorHAnsi"/>
          <w:sz w:val="24"/>
          <w:szCs w:val="24"/>
        </w:rPr>
        <w:t xml:space="preserve">finalizing the results of the </w:t>
      </w:r>
      <w:r w:rsidRPr="006B7A0C">
        <w:rPr>
          <w:rFonts w:asciiTheme="majorHAnsi" w:hAnsiTheme="majorHAnsi"/>
          <w:sz w:val="24"/>
          <w:szCs w:val="24"/>
        </w:rPr>
        <w:t>provision-by-provision review of the</w:t>
      </w:r>
      <w:r w:rsidR="00B457EA" w:rsidRPr="006B7A0C">
        <w:rPr>
          <w:rFonts w:asciiTheme="majorHAnsi" w:hAnsiTheme="majorHAnsi"/>
          <w:sz w:val="24"/>
          <w:szCs w:val="24"/>
        </w:rPr>
        <w:t xml:space="preserve"> </w:t>
      </w:r>
      <w:r w:rsidRPr="006B7A0C">
        <w:rPr>
          <w:rFonts w:asciiTheme="majorHAnsi" w:hAnsiTheme="majorHAnsi"/>
          <w:sz w:val="24"/>
          <w:szCs w:val="24"/>
        </w:rPr>
        <w:t>ITRs</w:t>
      </w:r>
      <w:r w:rsidR="002C3385" w:rsidRPr="006B7A0C">
        <w:rPr>
          <w:rFonts w:asciiTheme="majorHAnsi" w:hAnsiTheme="majorHAnsi"/>
          <w:sz w:val="24"/>
          <w:szCs w:val="24"/>
        </w:rPr>
        <w:t xml:space="preserve"> and </w:t>
      </w:r>
      <w:r w:rsidR="008E4F2F" w:rsidRPr="006B7A0C">
        <w:rPr>
          <w:rFonts w:asciiTheme="majorHAnsi" w:hAnsiTheme="majorHAnsi"/>
          <w:sz w:val="24"/>
          <w:szCs w:val="24"/>
        </w:rPr>
        <w:t>reiterated the assistance and availability of the Secretariat to support the work of the Group, as needed</w:t>
      </w:r>
      <w:r w:rsidRPr="006B7A0C">
        <w:rPr>
          <w:rFonts w:asciiTheme="majorHAnsi" w:hAnsiTheme="majorHAnsi"/>
          <w:sz w:val="24"/>
          <w:szCs w:val="24"/>
        </w:rPr>
        <w:t xml:space="preserve">. </w:t>
      </w:r>
    </w:p>
    <w:p w14:paraId="6245B7A9" w14:textId="09895BCD" w:rsidR="00DC229C" w:rsidRPr="006B7A0C" w:rsidRDefault="00DC229C" w:rsidP="00292917">
      <w:pPr>
        <w:spacing w:before="120" w:after="120" w:line="240" w:lineRule="auto"/>
        <w:jc w:val="both"/>
        <w:rPr>
          <w:rFonts w:asciiTheme="majorHAnsi" w:hAnsiTheme="majorHAnsi"/>
          <w:sz w:val="24"/>
          <w:szCs w:val="24"/>
        </w:rPr>
      </w:pPr>
      <w:r w:rsidRPr="006B7A0C">
        <w:rPr>
          <w:rFonts w:asciiTheme="majorHAnsi" w:hAnsiTheme="majorHAnsi"/>
          <w:b/>
          <w:sz w:val="24"/>
          <w:szCs w:val="24"/>
        </w:rPr>
        <w:t>1.2</w:t>
      </w:r>
      <w:r w:rsidRPr="006B7A0C">
        <w:rPr>
          <w:rFonts w:asciiTheme="majorHAnsi" w:hAnsiTheme="majorHAnsi"/>
          <w:sz w:val="24"/>
          <w:szCs w:val="24"/>
        </w:rPr>
        <w:tab/>
        <w:t xml:space="preserve">The Chairman thanked the Deputy Secretary-General for his presence and support for the meeting. Given its virtual format and the reduced time, he stressed the need for the Group to work together effectively, efficiently and in the spirit of consensus to </w:t>
      </w:r>
      <w:r w:rsidR="00AC05FC" w:rsidRPr="006B7A0C">
        <w:rPr>
          <w:rFonts w:asciiTheme="majorHAnsi" w:hAnsiTheme="majorHAnsi"/>
          <w:sz w:val="24"/>
          <w:szCs w:val="24"/>
        </w:rPr>
        <w:t xml:space="preserve">discuss </w:t>
      </w:r>
      <w:r w:rsidRPr="006B7A0C">
        <w:rPr>
          <w:rFonts w:asciiTheme="majorHAnsi" w:hAnsiTheme="majorHAnsi"/>
          <w:sz w:val="24"/>
          <w:szCs w:val="24"/>
          <w:lang w:val="en-US"/>
        </w:rPr>
        <w:t xml:space="preserve">the overall observations on the provision-by-provision review of the ITRs as well as the draft of the final report </w:t>
      </w:r>
      <w:r w:rsidR="00AC05FC" w:rsidRPr="006B7A0C">
        <w:rPr>
          <w:rFonts w:asciiTheme="majorHAnsi" w:hAnsiTheme="majorHAnsi"/>
          <w:sz w:val="24"/>
          <w:szCs w:val="24"/>
          <w:lang w:val="en-US"/>
        </w:rPr>
        <w:t xml:space="preserve">of the EG-ITRs </w:t>
      </w:r>
      <w:r w:rsidRPr="006B7A0C">
        <w:rPr>
          <w:rFonts w:asciiTheme="majorHAnsi" w:hAnsiTheme="majorHAnsi"/>
          <w:sz w:val="24"/>
          <w:szCs w:val="24"/>
          <w:lang w:val="en-US"/>
        </w:rPr>
        <w:t xml:space="preserve">that will </w:t>
      </w:r>
      <w:r w:rsidR="00AC05FC" w:rsidRPr="006B7A0C">
        <w:rPr>
          <w:rFonts w:asciiTheme="majorHAnsi" w:hAnsiTheme="majorHAnsi"/>
          <w:sz w:val="24"/>
          <w:szCs w:val="24"/>
          <w:lang w:val="en-US"/>
        </w:rPr>
        <w:t xml:space="preserve">be presented </w:t>
      </w:r>
      <w:r w:rsidRPr="006B7A0C">
        <w:rPr>
          <w:rFonts w:asciiTheme="majorHAnsi" w:hAnsiTheme="majorHAnsi"/>
          <w:sz w:val="24"/>
          <w:szCs w:val="24"/>
          <w:lang w:val="en-US"/>
        </w:rPr>
        <w:t>to Council 2022, in accordance with the agreed Work Plan of the Group</w:t>
      </w:r>
      <w:r w:rsidRPr="006B7A0C">
        <w:rPr>
          <w:rFonts w:asciiTheme="majorHAnsi" w:hAnsiTheme="majorHAnsi"/>
          <w:sz w:val="24"/>
          <w:szCs w:val="24"/>
        </w:rPr>
        <w:t xml:space="preserve">. He also thanked his Vice-Chairmen for their support and commitment to furthering the work of the Group. </w:t>
      </w:r>
    </w:p>
    <w:p w14:paraId="0000000D" w14:textId="77777777" w:rsidR="00D044C6" w:rsidRPr="006B7A0C" w:rsidRDefault="009B05F6" w:rsidP="00292917">
      <w:pPr>
        <w:spacing w:before="360" w:after="120" w:line="240" w:lineRule="auto"/>
        <w:outlineLvl w:val="0"/>
        <w:rPr>
          <w:rFonts w:asciiTheme="majorHAnsi" w:hAnsiTheme="majorHAnsi"/>
          <w:b/>
          <w:sz w:val="24"/>
          <w:szCs w:val="24"/>
        </w:rPr>
      </w:pPr>
      <w:r w:rsidRPr="006B7A0C">
        <w:rPr>
          <w:rFonts w:asciiTheme="majorHAnsi" w:hAnsiTheme="majorHAnsi"/>
          <w:b/>
          <w:sz w:val="24"/>
          <w:szCs w:val="24"/>
        </w:rPr>
        <w:t>2</w:t>
      </w:r>
      <w:r w:rsidRPr="006B7A0C">
        <w:rPr>
          <w:rFonts w:asciiTheme="majorHAnsi" w:hAnsiTheme="majorHAnsi"/>
          <w:b/>
          <w:sz w:val="24"/>
          <w:szCs w:val="24"/>
        </w:rPr>
        <w:tab/>
        <w:t xml:space="preserve">Adoption of the Agenda </w:t>
      </w:r>
    </w:p>
    <w:p w14:paraId="764FE27D" w14:textId="77777777" w:rsidR="001B78D4" w:rsidRPr="006B7A0C" w:rsidRDefault="003A18F3" w:rsidP="00292917">
      <w:pPr>
        <w:snapToGrid w:val="0"/>
        <w:spacing w:before="120" w:after="120" w:line="240" w:lineRule="auto"/>
        <w:jc w:val="both"/>
        <w:rPr>
          <w:rFonts w:asciiTheme="majorHAnsi" w:hAnsiTheme="majorHAnsi"/>
          <w:sz w:val="24"/>
          <w:szCs w:val="24"/>
        </w:rPr>
      </w:pPr>
      <w:r w:rsidRPr="006B7A0C">
        <w:rPr>
          <w:rFonts w:asciiTheme="majorHAnsi" w:hAnsiTheme="majorHAnsi"/>
          <w:b/>
          <w:sz w:val="24"/>
          <w:szCs w:val="24"/>
        </w:rPr>
        <w:t>2.1</w:t>
      </w:r>
      <w:r w:rsidR="009B05F6" w:rsidRPr="006B7A0C">
        <w:rPr>
          <w:rFonts w:asciiTheme="majorHAnsi" w:hAnsiTheme="majorHAnsi"/>
          <w:sz w:val="24"/>
          <w:szCs w:val="24"/>
        </w:rPr>
        <w:tab/>
        <w:t>The Agenda (</w:t>
      </w:r>
      <w:hyperlink r:id="rId9" w:history="1">
        <w:r w:rsidR="00254A6B" w:rsidRPr="006B7A0C">
          <w:rPr>
            <w:rFonts w:ascii="Calibri" w:eastAsia="Calibri" w:hAnsi="Calibri"/>
            <w:b/>
            <w:bCs/>
            <w:color w:val="0000FF"/>
            <w:sz w:val="24"/>
            <w:szCs w:val="24"/>
            <w:u w:val="single"/>
            <w:lang w:eastAsia="en-US"/>
          </w:rPr>
          <w:t>EG-ITRs-5/1-E (Rev. 1)</w:t>
        </w:r>
      </w:hyperlink>
      <w:r w:rsidR="009B05F6" w:rsidRPr="006B7A0C">
        <w:rPr>
          <w:rFonts w:asciiTheme="majorHAnsi" w:hAnsiTheme="majorHAnsi"/>
          <w:sz w:val="24"/>
          <w:szCs w:val="24"/>
        </w:rPr>
        <w:t xml:space="preserve">) was presented by the Chairman. </w:t>
      </w:r>
    </w:p>
    <w:p w14:paraId="229AD042" w14:textId="2143EE4B" w:rsidR="001B78D4" w:rsidRPr="006B7A0C" w:rsidRDefault="00AC05FC" w:rsidP="00292917">
      <w:pPr>
        <w:snapToGrid w:val="0"/>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t xml:space="preserve">The Vice-Chair, Americas suggested that Agenda Item 5 (Discussion on Contributions received on the first draft of the final report to Council 2022) may need to be revised given that no contributions were received on the first draft of the final report to Council 2022. Accordingly, Agenda Item 5 was </w:t>
      </w:r>
      <w:r w:rsidR="001B78D4" w:rsidRPr="006B7A0C">
        <w:rPr>
          <w:rFonts w:asciiTheme="majorHAnsi" w:hAnsiTheme="majorHAnsi"/>
          <w:sz w:val="24"/>
          <w:szCs w:val="24"/>
        </w:rPr>
        <w:t xml:space="preserve">updated as follows: Discussion on the first draft of the final report to Council 2022. </w:t>
      </w:r>
    </w:p>
    <w:p w14:paraId="46197449" w14:textId="21901C66" w:rsidR="001B78D4" w:rsidRPr="006B7A0C" w:rsidRDefault="001B78D4" w:rsidP="00292917">
      <w:pPr>
        <w:snapToGrid w:val="0"/>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t xml:space="preserve">The Vice-Chair, CIS Region, proposed to include reference to the </w:t>
      </w:r>
      <w:hyperlink r:id="rId10" w:history="1">
        <w:r w:rsidRPr="006B7A0C">
          <w:rPr>
            <w:rStyle w:val="Hyperlink"/>
            <w:rFonts w:asciiTheme="majorHAnsi" w:hAnsiTheme="majorHAnsi"/>
            <w:sz w:val="24"/>
            <w:szCs w:val="24"/>
          </w:rPr>
          <w:t>Information Document</w:t>
        </w:r>
      </w:hyperlink>
      <w:r w:rsidRPr="006B7A0C">
        <w:rPr>
          <w:rFonts w:asciiTheme="majorHAnsi" w:hAnsiTheme="majorHAnsi"/>
          <w:sz w:val="24"/>
          <w:szCs w:val="24"/>
        </w:rPr>
        <w:t xml:space="preserve"> submitted </w:t>
      </w:r>
      <w:r w:rsidR="00DA0B61">
        <w:rPr>
          <w:rFonts w:asciiTheme="majorHAnsi" w:hAnsiTheme="majorHAnsi"/>
          <w:sz w:val="24"/>
          <w:szCs w:val="24"/>
        </w:rPr>
        <w:t xml:space="preserve">on behalf of </w:t>
      </w:r>
      <w:r w:rsidRPr="006B7A0C">
        <w:rPr>
          <w:rFonts w:asciiTheme="majorHAnsi" w:hAnsiTheme="majorHAnsi"/>
          <w:sz w:val="24"/>
          <w:szCs w:val="24"/>
        </w:rPr>
        <w:t>the Director of the Standardization Bureau (TSB) for the consideration of the Group under Agenda Item 3. INFDOC 1 was added to Agenda Item 3.</w:t>
      </w:r>
    </w:p>
    <w:p w14:paraId="00000014" w14:textId="24E93D46" w:rsidR="00D044C6" w:rsidRPr="006B7A0C" w:rsidRDefault="001B78D4" w:rsidP="00292917">
      <w:pPr>
        <w:spacing w:before="120" w:after="120" w:line="240" w:lineRule="auto"/>
        <w:ind w:firstLine="720"/>
        <w:jc w:val="both"/>
        <w:rPr>
          <w:rFonts w:asciiTheme="majorHAnsi" w:hAnsiTheme="majorHAnsi"/>
          <w:sz w:val="24"/>
          <w:szCs w:val="24"/>
        </w:rPr>
      </w:pPr>
      <w:r w:rsidRPr="006B7A0C">
        <w:rPr>
          <w:rFonts w:asciiTheme="majorHAnsi" w:eastAsia="Roboto" w:hAnsiTheme="majorHAnsi" w:cs="Roboto"/>
          <w:sz w:val="24"/>
          <w:szCs w:val="24"/>
        </w:rPr>
        <w:t>T</w:t>
      </w:r>
      <w:r w:rsidR="009B05F6" w:rsidRPr="006B7A0C">
        <w:rPr>
          <w:rFonts w:asciiTheme="majorHAnsi" w:eastAsia="Roboto" w:hAnsiTheme="majorHAnsi" w:cs="Roboto"/>
          <w:sz w:val="24"/>
          <w:szCs w:val="24"/>
        </w:rPr>
        <w:t xml:space="preserve">he </w:t>
      </w:r>
      <w:proofErr w:type="gramStart"/>
      <w:r w:rsidR="009B05F6" w:rsidRPr="006B7A0C">
        <w:rPr>
          <w:rFonts w:asciiTheme="majorHAnsi" w:eastAsia="Roboto" w:hAnsiTheme="majorHAnsi" w:cs="Roboto"/>
          <w:sz w:val="24"/>
          <w:szCs w:val="24"/>
        </w:rPr>
        <w:t>Agenda</w:t>
      </w:r>
      <w:proofErr w:type="gramEnd"/>
      <w:r w:rsidR="009B05F6" w:rsidRPr="006B7A0C">
        <w:rPr>
          <w:rFonts w:asciiTheme="majorHAnsi" w:eastAsia="Roboto" w:hAnsiTheme="majorHAnsi" w:cs="Roboto"/>
          <w:sz w:val="24"/>
          <w:szCs w:val="24"/>
        </w:rPr>
        <w:t xml:space="preserve"> was adopted.</w:t>
      </w:r>
    </w:p>
    <w:p w14:paraId="69B46A10" w14:textId="069DFCE8" w:rsidR="00AC05FC" w:rsidRPr="006B7A0C" w:rsidRDefault="0096152E" w:rsidP="00292917">
      <w:pPr>
        <w:spacing w:before="360" w:after="120" w:line="240" w:lineRule="auto"/>
        <w:jc w:val="both"/>
        <w:outlineLvl w:val="0"/>
        <w:rPr>
          <w:rFonts w:asciiTheme="majorHAnsi" w:hAnsiTheme="majorHAnsi"/>
          <w:b/>
          <w:bCs/>
          <w:sz w:val="24"/>
          <w:szCs w:val="24"/>
        </w:rPr>
      </w:pPr>
      <w:r w:rsidRPr="006B7A0C">
        <w:rPr>
          <w:rFonts w:asciiTheme="majorHAnsi" w:hAnsiTheme="majorHAnsi"/>
          <w:b/>
          <w:bCs/>
          <w:sz w:val="24"/>
          <w:szCs w:val="24"/>
        </w:rPr>
        <w:lastRenderedPageBreak/>
        <w:t>3</w:t>
      </w:r>
      <w:r w:rsidR="00376239" w:rsidRPr="006B7A0C">
        <w:rPr>
          <w:rFonts w:asciiTheme="majorHAnsi" w:hAnsiTheme="majorHAnsi"/>
          <w:b/>
          <w:bCs/>
          <w:sz w:val="24"/>
          <w:szCs w:val="24"/>
        </w:rPr>
        <w:t>.</w:t>
      </w:r>
      <w:r w:rsidR="00376239" w:rsidRPr="006B7A0C">
        <w:rPr>
          <w:rFonts w:asciiTheme="majorHAnsi" w:hAnsiTheme="majorHAnsi"/>
          <w:b/>
          <w:bCs/>
          <w:sz w:val="24"/>
          <w:szCs w:val="24"/>
        </w:rPr>
        <w:tab/>
      </w:r>
      <w:r w:rsidR="00AC05FC" w:rsidRPr="006B7A0C">
        <w:rPr>
          <w:rFonts w:asciiTheme="majorHAnsi" w:hAnsiTheme="majorHAnsi"/>
          <w:b/>
          <w:bCs/>
          <w:sz w:val="24"/>
          <w:szCs w:val="24"/>
        </w:rPr>
        <w:t>Feedback from the Directors of the Bureaux</w:t>
      </w:r>
    </w:p>
    <w:p w14:paraId="3D835EC3" w14:textId="6D891759" w:rsidR="00C124B8" w:rsidRDefault="00AC05FC" w:rsidP="00292917">
      <w:pPr>
        <w:spacing w:before="120" w:after="120" w:line="240" w:lineRule="auto"/>
        <w:jc w:val="both"/>
        <w:rPr>
          <w:rFonts w:asciiTheme="majorHAnsi" w:hAnsiTheme="majorHAnsi"/>
          <w:sz w:val="24"/>
          <w:szCs w:val="24"/>
        </w:rPr>
      </w:pPr>
      <w:r w:rsidRPr="006B7A0C">
        <w:rPr>
          <w:rFonts w:asciiTheme="majorHAnsi" w:hAnsiTheme="majorHAnsi"/>
          <w:b/>
          <w:bCs/>
          <w:sz w:val="24"/>
          <w:szCs w:val="24"/>
        </w:rPr>
        <w:t>3.1</w:t>
      </w:r>
      <w:r w:rsidRPr="006B7A0C">
        <w:rPr>
          <w:rFonts w:asciiTheme="majorHAnsi" w:hAnsiTheme="majorHAnsi"/>
          <w:sz w:val="24"/>
          <w:szCs w:val="24"/>
        </w:rPr>
        <w:tab/>
      </w:r>
      <w:r w:rsidR="00C124B8" w:rsidRPr="00C124B8">
        <w:rPr>
          <w:rFonts w:asciiTheme="majorHAnsi" w:hAnsiTheme="majorHAnsi"/>
          <w:sz w:val="24"/>
          <w:szCs w:val="24"/>
        </w:rPr>
        <w:t xml:space="preserve">Pursuant to </w:t>
      </w:r>
      <w:hyperlink r:id="rId11" w:history="1">
        <w:r w:rsidR="00C124B8" w:rsidRPr="00DB0871">
          <w:rPr>
            <w:rStyle w:val="Hyperlink"/>
            <w:rFonts w:asciiTheme="majorHAnsi" w:hAnsiTheme="majorHAnsi"/>
            <w:sz w:val="24"/>
            <w:szCs w:val="24"/>
          </w:rPr>
          <w:t>Council Resolution 1379 (Mod. 2019)</w:t>
        </w:r>
      </w:hyperlink>
      <w:r w:rsidR="00C124B8">
        <w:rPr>
          <w:rStyle w:val="Hyperlink"/>
          <w:rFonts w:asciiTheme="majorHAnsi" w:hAnsiTheme="majorHAnsi"/>
          <w:sz w:val="24"/>
          <w:szCs w:val="24"/>
        </w:rPr>
        <w:t xml:space="preserve"> </w:t>
      </w:r>
      <w:r w:rsidR="00C124B8" w:rsidRPr="00C124B8">
        <w:rPr>
          <w:rFonts w:asciiTheme="majorHAnsi" w:hAnsiTheme="majorHAnsi"/>
          <w:sz w:val="24"/>
          <w:szCs w:val="24"/>
        </w:rPr>
        <w:t>which instructs the Directors of the Bureaux “</w:t>
      </w:r>
      <w:r w:rsidR="00C124B8" w:rsidRPr="00C124B8">
        <w:rPr>
          <w:rFonts w:asciiTheme="majorHAnsi" w:hAnsiTheme="majorHAnsi"/>
          <w:i/>
          <w:iCs/>
          <w:sz w:val="24"/>
          <w:szCs w:val="24"/>
        </w:rPr>
        <w:t>each within their field of competence, with advice from the relevant advisory group, to contribute to the work of the Group, recognizing that the ITU Telecommunication Standardization Sector has most of the work relevant to the ITRs</w:t>
      </w:r>
      <w:r w:rsidR="00C124B8" w:rsidRPr="00C124B8">
        <w:rPr>
          <w:rFonts w:asciiTheme="majorHAnsi" w:hAnsiTheme="majorHAnsi"/>
          <w:sz w:val="24"/>
          <w:szCs w:val="24"/>
        </w:rPr>
        <w:t>”</w:t>
      </w:r>
      <w:r w:rsidR="00C124B8">
        <w:rPr>
          <w:rFonts w:asciiTheme="majorHAnsi" w:hAnsiTheme="majorHAnsi"/>
          <w:sz w:val="24"/>
          <w:szCs w:val="24"/>
        </w:rPr>
        <w:t xml:space="preserve">, and </w:t>
      </w:r>
      <w:r w:rsidR="00C124B8" w:rsidRPr="00C124B8">
        <w:rPr>
          <w:rFonts w:asciiTheme="majorHAnsi" w:hAnsiTheme="majorHAnsi"/>
          <w:sz w:val="24"/>
          <w:szCs w:val="24"/>
        </w:rPr>
        <w:t>following the invitation of the EG-ITR</w:t>
      </w:r>
      <w:r w:rsidR="00C124B8">
        <w:rPr>
          <w:rFonts w:asciiTheme="majorHAnsi" w:hAnsiTheme="majorHAnsi"/>
          <w:sz w:val="24"/>
          <w:szCs w:val="24"/>
        </w:rPr>
        <w:t>s</w:t>
      </w:r>
      <w:r w:rsidR="00C124B8" w:rsidRPr="00C124B8">
        <w:rPr>
          <w:rFonts w:asciiTheme="majorHAnsi" w:hAnsiTheme="majorHAnsi"/>
          <w:sz w:val="24"/>
          <w:szCs w:val="24"/>
        </w:rPr>
        <w:t xml:space="preserve"> Chairman to the </w:t>
      </w:r>
      <w:r w:rsidR="00C124B8">
        <w:rPr>
          <w:rFonts w:asciiTheme="majorHAnsi" w:hAnsiTheme="majorHAnsi"/>
          <w:sz w:val="24"/>
          <w:szCs w:val="24"/>
        </w:rPr>
        <w:t xml:space="preserve">Directors of the Bureaux </w:t>
      </w:r>
      <w:r w:rsidR="00C124B8" w:rsidRPr="00C124B8">
        <w:rPr>
          <w:rFonts w:asciiTheme="majorHAnsi" w:hAnsiTheme="majorHAnsi"/>
          <w:sz w:val="24"/>
          <w:szCs w:val="24"/>
        </w:rPr>
        <w:t>to</w:t>
      </w:r>
      <w:r w:rsidR="00C124B8">
        <w:rPr>
          <w:rFonts w:asciiTheme="majorHAnsi" w:hAnsiTheme="majorHAnsi"/>
          <w:sz w:val="24"/>
          <w:szCs w:val="24"/>
        </w:rPr>
        <w:t xml:space="preserve"> </w:t>
      </w:r>
      <w:r w:rsidR="00C124B8" w:rsidRPr="00C124B8">
        <w:rPr>
          <w:rFonts w:asciiTheme="majorHAnsi" w:hAnsiTheme="majorHAnsi"/>
          <w:sz w:val="24"/>
          <w:szCs w:val="24"/>
        </w:rPr>
        <w:t>“</w:t>
      </w:r>
      <w:r w:rsidR="00C124B8" w:rsidRPr="00C124B8">
        <w:rPr>
          <w:rFonts w:asciiTheme="majorHAnsi" w:hAnsiTheme="majorHAnsi"/>
          <w:i/>
          <w:iCs/>
          <w:sz w:val="24"/>
          <w:szCs w:val="24"/>
        </w:rPr>
        <w:t>seek advice from the relevant advisory group to contribute to the work of the EG-IT</w:t>
      </w:r>
      <w:r w:rsidR="00C124B8">
        <w:rPr>
          <w:rFonts w:asciiTheme="majorHAnsi" w:hAnsiTheme="majorHAnsi"/>
          <w:i/>
          <w:iCs/>
          <w:sz w:val="24"/>
          <w:szCs w:val="24"/>
        </w:rPr>
        <w:t>R</w:t>
      </w:r>
      <w:r w:rsidR="00C124B8" w:rsidRPr="00C124B8">
        <w:rPr>
          <w:rFonts w:asciiTheme="majorHAnsi" w:hAnsiTheme="majorHAnsi"/>
          <w:i/>
          <w:iCs/>
          <w:sz w:val="24"/>
          <w:szCs w:val="24"/>
        </w:rPr>
        <w:t xml:space="preserve"> Group, taking into account the agreed work plan of EG-ITRs in Annex 1</w:t>
      </w:r>
      <w:r w:rsidR="00C124B8" w:rsidRPr="00C124B8">
        <w:rPr>
          <w:rFonts w:asciiTheme="majorHAnsi" w:hAnsiTheme="majorHAnsi"/>
          <w:sz w:val="24"/>
          <w:szCs w:val="24"/>
        </w:rPr>
        <w:t>”</w:t>
      </w:r>
      <w:r w:rsidR="00C124B8">
        <w:rPr>
          <w:rFonts w:asciiTheme="majorHAnsi" w:hAnsiTheme="majorHAnsi"/>
          <w:sz w:val="24"/>
          <w:szCs w:val="24"/>
        </w:rPr>
        <w:t>, the Directors and/or their representatives from the Bureaux were present at this meeting to provide feedback to the Group.</w:t>
      </w:r>
    </w:p>
    <w:p w14:paraId="3670B4A8" w14:textId="0A0D0C27" w:rsidR="00AC05FC" w:rsidRPr="006B7A0C" w:rsidRDefault="00C124B8" w:rsidP="00292917">
      <w:pPr>
        <w:spacing w:before="120" w:after="120" w:line="240" w:lineRule="auto"/>
        <w:jc w:val="both"/>
        <w:rPr>
          <w:rFonts w:asciiTheme="majorHAnsi" w:hAnsiTheme="majorHAnsi"/>
          <w:sz w:val="24"/>
          <w:szCs w:val="24"/>
        </w:rPr>
      </w:pPr>
      <w:r w:rsidRPr="00C124B8">
        <w:rPr>
          <w:rFonts w:asciiTheme="majorHAnsi" w:hAnsiTheme="majorHAnsi"/>
          <w:b/>
          <w:bCs/>
          <w:sz w:val="24"/>
          <w:szCs w:val="24"/>
        </w:rPr>
        <w:t>3.2</w:t>
      </w:r>
      <w:r>
        <w:rPr>
          <w:rFonts w:asciiTheme="majorHAnsi" w:hAnsiTheme="majorHAnsi"/>
          <w:sz w:val="24"/>
          <w:szCs w:val="24"/>
        </w:rPr>
        <w:tab/>
      </w:r>
      <w:r w:rsidR="00DC5DDB" w:rsidRPr="00DC5DDB">
        <w:rPr>
          <w:rFonts w:asciiTheme="majorHAnsi" w:hAnsiTheme="majorHAnsi"/>
          <w:sz w:val="24"/>
          <w:szCs w:val="24"/>
        </w:rPr>
        <w:t>The Director of the ITU Radiocommunication Bureau (BR), Mr. Mario Maniewicz, emphasized that he considered that it was not up to him to give an opinion on matters not related to the Radiocommunication Sector such as the applicability, essentiality, or future of the ITRs. He further stressed that his remarks focus on a single aspect in relation to the ITRs, namely, the question of which of ITU’s two administrative regulations, ITRs and Radio Regulations, would prevail in case of any conflict or inconsistency between their provisions. He highlighted that there is no such hierarchy established in Article 4 of the ITU Constitution, and that provision 12 (Article 1.8) of the 1988 ITRs, which directly corresponds to provision 15 (Article 1.8) of the 2012 ITRs, is the only treaty-level provision that helps resolve any potential conflict that may arise if there is an inconsistency between the administrative regulations. Accordingly, he emphasized the need to retain this provision in future versions of the ITRs, if any.</w:t>
      </w:r>
    </w:p>
    <w:p w14:paraId="4F119314" w14:textId="3197FA01" w:rsidR="00C40085" w:rsidRPr="006B7A0C" w:rsidRDefault="00C40085" w:rsidP="00292917">
      <w:pPr>
        <w:spacing w:before="120" w:after="120" w:line="240" w:lineRule="auto"/>
        <w:jc w:val="both"/>
        <w:rPr>
          <w:rFonts w:asciiTheme="majorHAnsi" w:hAnsiTheme="majorHAnsi"/>
          <w:sz w:val="24"/>
          <w:szCs w:val="24"/>
        </w:rPr>
      </w:pPr>
      <w:bookmarkStart w:id="1" w:name="_Hlk63964279"/>
      <w:r w:rsidRPr="006B7A0C">
        <w:rPr>
          <w:rFonts w:asciiTheme="majorHAnsi" w:hAnsiTheme="majorHAnsi"/>
          <w:b/>
          <w:sz w:val="24"/>
          <w:szCs w:val="24"/>
        </w:rPr>
        <w:t>3.</w:t>
      </w:r>
      <w:r w:rsidR="00C124B8">
        <w:rPr>
          <w:rFonts w:asciiTheme="majorHAnsi" w:hAnsiTheme="majorHAnsi"/>
          <w:b/>
          <w:sz w:val="24"/>
          <w:szCs w:val="24"/>
        </w:rPr>
        <w:t>3</w:t>
      </w:r>
      <w:r w:rsidRPr="006B7A0C">
        <w:rPr>
          <w:rFonts w:asciiTheme="majorHAnsi" w:hAnsiTheme="majorHAnsi"/>
          <w:sz w:val="24"/>
          <w:szCs w:val="24"/>
        </w:rPr>
        <w:tab/>
        <w:t xml:space="preserve">The Director of the Development Bureau (BDT), Ms. Doreen Bogdan-Martin, noted the updates provided by her at the fourth meeting of the Group on the discussions at Telecommunication Development Advisory Group (TDAG) relating to the ITRs. She assured the Group of BDT’s continued support and highlighted the upcoming TDAG meeting in November, stating that she will return to the sixth meeting of </w:t>
      </w:r>
      <w:r w:rsidR="00764F7E">
        <w:rPr>
          <w:rFonts w:asciiTheme="majorHAnsi" w:hAnsiTheme="majorHAnsi"/>
          <w:sz w:val="24"/>
          <w:szCs w:val="24"/>
        </w:rPr>
        <w:t xml:space="preserve">the </w:t>
      </w:r>
      <w:r w:rsidRPr="006B7A0C">
        <w:rPr>
          <w:rFonts w:asciiTheme="majorHAnsi" w:hAnsiTheme="majorHAnsi"/>
          <w:sz w:val="24"/>
          <w:szCs w:val="24"/>
        </w:rPr>
        <w:t xml:space="preserve">EG-ITRs to provide </w:t>
      </w:r>
      <w:r w:rsidR="00764F7E">
        <w:rPr>
          <w:rFonts w:asciiTheme="majorHAnsi" w:hAnsiTheme="majorHAnsi"/>
          <w:sz w:val="24"/>
          <w:szCs w:val="24"/>
        </w:rPr>
        <w:t xml:space="preserve">further </w:t>
      </w:r>
      <w:r w:rsidRPr="006B7A0C">
        <w:rPr>
          <w:rFonts w:asciiTheme="majorHAnsi" w:hAnsiTheme="majorHAnsi"/>
          <w:sz w:val="24"/>
          <w:szCs w:val="24"/>
        </w:rPr>
        <w:t xml:space="preserve">updates on discussions </w:t>
      </w:r>
      <w:r w:rsidR="00764F7E">
        <w:rPr>
          <w:rFonts w:asciiTheme="majorHAnsi" w:hAnsiTheme="majorHAnsi"/>
          <w:sz w:val="24"/>
          <w:szCs w:val="24"/>
        </w:rPr>
        <w:t>related to</w:t>
      </w:r>
      <w:r w:rsidRPr="006B7A0C">
        <w:rPr>
          <w:rFonts w:asciiTheme="majorHAnsi" w:hAnsiTheme="majorHAnsi"/>
          <w:sz w:val="24"/>
          <w:szCs w:val="24"/>
        </w:rPr>
        <w:t xml:space="preserve"> the ITRs at the TDAG meeting, if any.</w:t>
      </w:r>
    </w:p>
    <w:bookmarkEnd w:id="1"/>
    <w:p w14:paraId="719B6DDD" w14:textId="029C95A4" w:rsidR="00AC05FC" w:rsidRPr="006B7A0C" w:rsidRDefault="00C40085" w:rsidP="00292917">
      <w:pPr>
        <w:spacing w:before="120" w:after="120" w:line="240" w:lineRule="auto"/>
        <w:jc w:val="both"/>
        <w:rPr>
          <w:rFonts w:asciiTheme="majorHAnsi" w:hAnsiTheme="majorHAnsi"/>
          <w:sz w:val="24"/>
          <w:szCs w:val="24"/>
        </w:rPr>
      </w:pPr>
      <w:r w:rsidRPr="006B7A0C">
        <w:rPr>
          <w:rFonts w:asciiTheme="majorHAnsi" w:hAnsiTheme="majorHAnsi"/>
          <w:b/>
          <w:bCs/>
          <w:sz w:val="24"/>
          <w:szCs w:val="24"/>
        </w:rPr>
        <w:t>3.</w:t>
      </w:r>
      <w:r w:rsidR="00C124B8">
        <w:rPr>
          <w:rFonts w:asciiTheme="majorHAnsi" w:hAnsiTheme="majorHAnsi"/>
          <w:b/>
          <w:bCs/>
          <w:sz w:val="24"/>
          <w:szCs w:val="24"/>
        </w:rPr>
        <w:t>4</w:t>
      </w:r>
      <w:r w:rsidRPr="006B7A0C">
        <w:rPr>
          <w:rFonts w:asciiTheme="majorHAnsi" w:hAnsiTheme="majorHAnsi"/>
          <w:sz w:val="24"/>
          <w:szCs w:val="24"/>
        </w:rPr>
        <w:tab/>
      </w:r>
      <w:r w:rsidR="00AC05FC" w:rsidRPr="006B7A0C">
        <w:rPr>
          <w:rFonts w:asciiTheme="majorHAnsi" w:hAnsiTheme="majorHAnsi"/>
          <w:sz w:val="24"/>
          <w:szCs w:val="24"/>
        </w:rPr>
        <w:t>The</w:t>
      </w:r>
      <w:r w:rsidR="008B0677" w:rsidRPr="006B7A0C">
        <w:rPr>
          <w:rFonts w:asciiTheme="majorHAnsi" w:hAnsiTheme="majorHAnsi"/>
          <w:sz w:val="24"/>
          <w:szCs w:val="24"/>
        </w:rPr>
        <w:t xml:space="preserve"> Chief, Study Group Department, </w:t>
      </w:r>
      <w:r w:rsidR="00AC05FC" w:rsidRPr="006B7A0C">
        <w:rPr>
          <w:rFonts w:asciiTheme="majorHAnsi" w:hAnsiTheme="majorHAnsi"/>
          <w:sz w:val="24"/>
          <w:szCs w:val="24"/>
        </w:rPr>
        <w:t xml:space="preserve">Standardization Bureau (TSB), Mr. </w:t>
      </w:r>
      <w:r w:rsidR="008B0677" w:rsidRPr="006B7A0C">
        <w:rPr>
          <w:rFonts w:asciiTheme="majorHAnsi" w:hAnsiTheme="majorHAnsi"/>
          <w:sz w:val="24"/>
          <w:szCs w:val="24"/>
        </w:rPr>
        <w:t>Bilel Jamoussi</w:t>
      </w:r>
      <w:r w:rsidR="00AC05FC" w:rsidRPr="006B7A0C">
        <w:rPr>
          <w:rFonts w:asciiTheme="majorHAnsi" w:hAnsiTheme="majorHAnsi"/>
          <w:sz w:val="24"/>
          <w:szCs w:val="24"/>
        </w:rPr>
        <w:t xml:space="preserve">, </w:t>
      </w:r>
      <w:r w:rsidR="003263B4" w:rsidRPr="006B7A0C">
        <w:rPr>
          <w:rFonts w:asciiTheme="majorHAnsi" w:hAnsiTheme="majorHAnsi"/>
          <w:sz w:val="24"/>
          <w:szCs w:val="24"/>
        </w:rPr>
        <w:t xml:space="preserve">introduced the </w:t>
      </w:r>
      <w:hyperlink r:id="rId12" w:history="1">
        <w:r w:rsidR="003263B4" w:rsidRPr="006B7A0C">
          <w:rPr>
            <w:rStyle w:val="Hyperlink"/>
            <w:rFonts w:asciiTheme="majorHAnsi" w:hAnsiTheme="majorHAnsi"/>
            <w:sz w:val="24"/>
            <w:szCs w:val="24"/>
          </w:rPr>
          <w:t>Information Document</w:t>
        </w:r>
      </w:hyperlink>
      <w:r w:rsidR="003263B4" w:rsidRPr="006B7A0C">
        <w:rPr>
          <w:rFonts w:asciiTheme="majorHAnsi" w:hAnsiTheme="majorHAnsi"/>
          <w:sz w:val="24"/>
          <w:szCs w:val="24"/>
        </w:rPr>
        <w:t xml:space="preserve"> submitted </w:t>
      </w:r>
      <w:r w:rsidR="00DC5DDB">
        <w:rPr>
          <w:rFonts w:asciiTheme="majorHAnsi" w:hAnsiTheme="majorHAnsi"/>
          <w:sz w:val="24"/>
          <w:szCs w:val="24"/>
        </w:rPr>
        <w:t xml:space="preserve">on behalf of </w:t>
      </w:r>
      <w:r w:rsidR="003263B4" w:rsidRPr="006B7A0C">
        <w:rPr>
          <w:rFonts w:asciiTheme="majorHAnsi" w:hAnsiTheme="majorHAnsi"/>
          <w:sz w:val="24"/>
          <w:szCs w:val="24"/>
        </w:rPr>
        <w:t xml:space="preserve">the Director of the Standardization Bureau (TSB), Mr. Chaesub Lee, for the consideration of the Group. </w:t>
      </w:r>
      <w:r w:rsidR="00F52C63" w:rsidRPr="006B7A0C">
        <w:rPr>
          <w:rFonts w:asciiTheme="majorHAnsi" w:hAnsiTheme="majorHAnsi"/>
          <w:sz w:val="24"/>
          <w:szCs w:val="24"/>
        </w:rPr>
        <w:t xml:space="preserve"> He noted that this document contains the </w:t>
      </w:r>
      <w:r w:rsidR="00122378" w:rsidRPr="006B7A0C">
        <w:rPr>
          <w:rFonts w:asciiTheme="majorHAnsi" w:hAnsiTheme="majorHAnsi"/>
          <w:sz w:val="24"/>
          <w:szCs w:val="24"/>
        </w:rPr>
        <w:t xml:space="preserve">responses </w:t>
      </w:r>
      <w:r w:rsidR="00F52C63" w:rsidRPr="006B7A0C">
        <w:rPr>
          <w:rFonts w:asciiTheme="majorHAnsi" w:hAnsiTheme="majorHAnsi"/>
          <w:sz w:val="24"/>
          <w:szCs w:val="24"/>
        </w:rPr>
        <w:t>received</w:t>
      </w:r>
      <w:r w:rsidR="00122378" w:rsidRPr="006B7A0C">
        <w:rPr>
          <w:rFonts w:asciiTheme="majorHAnsi" w:hAnsiTheme="majorHAnsi"/>
          <w:sz w:val="24"/>
          <w:szCs w:val="24"/>
        </w:rPr>
        <w:t xml:space="preserve"> </w:t>
      </w:r>
      <w:r w:rsidR="00C3772E">
        <w:rPr>
          <w:rFonts w:asciiTheme="majorHAnsi" w:hAnsiTheme="majorHAnsi"/>
          <w:sz w:val="24"/>
          <w:szCs w:val="24"/>
        </w:rPr>
        <w:t>by</w:t>
      </w:r>
      <w:r w:rsidR="00122378" w:rsidRPr="006B7A0C">
        <w:rPr>
          <w:rFonts w:asciiTheme="majorHAnsi" w:hAnsiTheme="majorHAnsi"/>
          <w:sz w:val="24"/>
          <w:szCs w:val="24"/>
        </w:rPr>
        <w:t xml:space="preserve"> the Telecommunication Standardisation Advisory Group (TSAG)</w:t>
      </w:r>
      <w:r w:rsidR="00F52C63" w:rsidRPr="006B7A0C">
        <w:rPr>
          <w:rFonts w:asciiTheme="majorHAnsi" w:hAnsiTheme="majorHAnsi"/>
          <w:sz w:val="24"/>
          <w:szCs w:val="24"/>
        </w:rPr>
        <w:t xml:space="preserve"> from the relevant </w:t>
      </w:r>
      <w:r w:rsidR="00122378" w:rsidRPr="006B7A0C">
        <w:rPr>
          <w:rFonts w:asciiTheme="majorHAnsi" w:hAnsiTheme="majorHAnsi"/>
          <w:sz w:val="24"/>
          <w:szCs w:val="24"/>
        </w:rPr>
        <w:t xml:space="preserve">ITU-T </w:t>
      </w:r>
      <w:r w:rsidR="00F52C63" w:rsidRPr="006B7A0C">
        <w:rPr>
          <w:rFonts w:asciiTheme="majorHAnsi" w:hAnsiTheme="majorHAnsi"/>
          <w:sz w:val="24"/>
          <w:szCs w:val="24"/>
        </w:rPr>
        <w:t xml:space="preserve">Study Groups on the ITRs as well as some </w:t>
      </w:r>
      <w:r w:rsidR="00122378" w:rsidRPr="006B7A0C">
        <w:rPr>
          <w:rFonts w:asciiTheme="majorHAnsi" w:hAnsiTheme="majorHAnsi"/>
          <w:sz w:val="24"/>
          <w:szCs w:val="24"/>
        </w:rPr>
        <w:t xml:space="preserve">updates </w:t>
      </w:r>
      <w:r w:rsidR="00F52C63" w:rsidRPr="006B7A0C">
        <w:rPr>
          <w:rFonts w:asciiTheme="majorHAnsi" w:hAnsiTheme="majorHAnsi"/>
          <w:sz w:val="24"/>
          <w:szCs w:val="24"/>
        </w:rPr>
        <w:t>from the TSB Secretariat</w:t>
      </w:r>
      <w:r w:rsidR="00122378" w:rsidRPr="006B7A0C">
        <w:rPr>
          <w:rFonts w:asciiTheme="majorHAnsi" w:hAnsiTheme="majorHAnsi"/>
          <w:sz w:val="24"/>
          <w:szCs w:val="24"/>
        </w:rPr>
        <w:t xml:space="preserve"> on the list of recommendations identified in the document</w:t>
      </w:r>
      <w:r w:rsidR="00F52C63" w:rsidRPr="006B7A0C">
        <w:rPr>
          <w:rFonts w:asciiTheme="majorHAnsi" w:hAnsiTheme="majorHAnsi"/>
          <w:sz w:val="24"/>
          <w:szCs w:val="24"/>
        </w:rPr>
        <w:t>, emphasizing that the ITRs are particularly relevant to the work of Study Groups 2 and 3.</w:t>
      </w:r>
    </w:p>
    <w:p w14:paraId="2ACDC53E" w14:textId="792D66DB" w:rsidR="006B7EB5" w:rsidRPr="006B7A0C" w:rsidRDefault="001B1522" w:rsidP="00292917">
      <w:pPr>
        <w:spacing w:before="360" w:after="120" w:line="240" w:lineRule="auto"/>
        <w:jc w:val="both"/>
        <w:rPr>
          <w:rFonts w:asciiTheme="majorHAnsi" w:hAnsiTheme="majorHAnsi"/>
          <w:b/>
          <w:bCs/>
          <w:sz w:val="24"/>
          <w:szCs w:val="24"/>
        </w:rPr>
      </w:pPr>
      <w:r w:rsidRPr="006B7A0C">
        <w:rPr>
          <w:rFonts w:asciiTheme="majorHAnsi" w:hAnsiTheme="majorHAnsi"/>
          <w:b/>
          <w:bCs/>
          <w:sz w:val="24"/>
          <w:szCs w:val="24"/>
        </w:rPr>
        <w:t>4</w:t>
      </w:r>
      <w:r w:rsidRPr="006B7A0C">
        <w:rPr>
          <w:rFonts w:asciiTheme="majorHAnsi" w:hAnsiTheme="majorHAnsi"/>
          <w:b/>
          <w:bCs/>
          <w:sz w:val="24"/>
          <w:szCs w:val="24"/>
        </w:rPr>
        <w:tab/>
        <w:t xml:space="preserve">Discussion on Contributions received on the </w:t>
      </w:r>
      <w:hyperlink r:id="rId13" w:history="1">
        <w:r w:rsidRPr="00FF4B0A">
          <w:rPr>
            <w:rStyle w:val="Hyperlink"/>
            <w:rFonts w:asciiTheme="majorHAnsi" w:hAnsiTheme="majorHAnsi"/>
            <w:b/>
            <w:bCs/>
            <w:sz w:val="24"/>
            <w:szCs w:val="24"/>
          </w:rPr>
          <w:t>Examination Table</w:t>
        </w:r>
      </w:hyperlink>
      <w:r w:rsidRPr="006B7A0C">
        <w:rPr>
          <w:rFonts w:asciiTheme="majorHAnsi" w:hAnsiTheme="majorHAnsi"/>
          <w:b/>
          <w:bCs/>
          <w:sz w:val="24"/>
          <w:szCs w:val="24"/>
        </w:rPr>
        <w:t xml:space="preserve"> (completed based on the Work Plan agreed in the first meeting of the EG-ITRs)</w:t>
      </w:r>
    </w:p>
    <w:p w14:paraId="573AB02F" w14:textId="221B25B0" w:rsidR="002C5144" w:rsidRPr="006B7A0C" w:rsidRDefault="001B1522" w:rsidP="00292917">
      <w:pPr>
        <w:spacing w:before="120" w:after="120" w:line="240" w:lineRule="auto"/>
        <w:jc w:val="both"/>
        <w:outlineLvl w:val="0"/>
        <w:rPr>
          <w:rFonts w:asciiTheme="majorHAnsi" w:hAnsiTheme="majorHAnsi"/>
          <w:b/>
          <w:bCs/>
          <w:sz w:val="24"/>
          <w:szCs w:val="24"/>
        </w:rPr>
      </w:pPr>
      <w:r w:rsidRPr="006B7A0C">
        <w:rPr>
          <w:rFonts w:asciiTheme="majorHAnsi" w:hAnsiTheme="majorHAnsi"/>
          <w:b/>
          <w:bCs/>
          <w:sz w:val="24"/>
          <w:szCs w:val="24"/>
        </w:rPr>
        <w:t>4</w:t>
      </w:r>
      <w:r w:rsidR="002C5144" w:rsidRPr="006B7A0C">
        <w:rPr>
          <w:rFonts w:asciiTheme="majorHAnsi" w:hAnsiTheme="majorHAnsi"/>
          <w:b/>
          <w:bCs/>
          <w:sz w:val="24"/>
          <w:szCs w:val="24"/>
        </w:rPr>
        <w:t>.1</w:t>
      </w:r>
      <w:r w:rsidR="002C5144" w:rsidRPr="006B7A0C">
        <w:rPr>
          <w:rFonts w:asciiTheme="majorHAnsi" w:hAnsiTheme="majorHAnsi"/>
          <w:b/>
          <w:bCs/>
          <w:sz w:val="24"/>
          <w:szCs w:val="24"/>
        </w:rPr>
        <w:tab/>
        <w:t>Contributions:</w:t>
      </w:r>
    </w:p>
    <w:p w14:paraId="00000023" w14:textId="41D2E744" w:rsidR="00D044C6" w:rsidRPr="006B7A0C" w:rsidRDefault="00135243" w:rsidP="00292917">
      <w:pPr>
        <w:snapToGrid w:val="0"/>
        <w:spacing w:before="120" w:after="120" w:line="240" w:lineRule="auto"/>
        <w:jc w:val="both"/>
        <w:rPr>
          <w:rFonts w:asciiTheme="majorHAnsi" w:hAnsiTheme="majorHAnsi"/>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376239" w:rsidRPr="006B7A0C">
        <w:rPr>
          <w:rFonts w:asciiTheme="majorHAnsi" w:hAnsiTheme="majorHAnsi"/>
          <w:b/>
          <w:sz w:val="24"/>
          <w:szCs w:val="24"/>
        </w:rPr>
        <w:t>1</w:t>
      </w:r>
      <w:r w:rsidR="002C5144" w:rsidRPr="006B7A0C">
        <w:rPr>
          <w:rFonts w:asciiTheme="majorHAnsi" w:hAnsiTheme="majorHAnsi"/>
          <w:b/>
          <w:sz w:val="24"/>
          <w:szCs w:val="24"/>
        </w:rPr>
        <w:t>.1</w:t>
      </w:r>
      <w:r w:rsidR="009B05F6" w:rsidRPr="006B7A0C">
        <w:rPr>
          <w:rFonts w:asciiTheme="majorHAnsi" w:hAnsiTheme="majorHAnsi"/>
          <w:b/>
          <w:sz w:val="24"/>
          <w:szCs w:val="24"/>
        </w:rPr>
        <w:tab/>
      </w:r>
      <w:hyperlink r:id="rId14" w:history="1">
        <w:r w:rsidRPr="006B7A0C">
          <w:rPr>
            <w:rFonts w:ascii="Calibri" w:eastAsia="Calibri" w:hAnsi="Calibri"/>
            <w:b/>
            <w:bCs/>
            <w:color w:val="0000FF"/>
            <w:sz w:val="24"/>
            <w:szCs w:val="24"/>
            <w:u w:val="single"/>
            <w:lang w:eastAsia="en-US"/>
          </w:rPr>
          <w:t>EG-ITRs-5/2</w:t>
        </w:r>
      </w:hyperlink>
      <w:r w:rsidRPr="006B7A0C">
        <w:rPr>
          <w:rFonts w:ascii="Calibri" w:eastAsia="Calibri" w:hAnsi="Calibri"/>
          <w:b/>
          <w:bCs/>
          <w:color w:val="0000FF"/>
          <w:sz w:val="24"/>
          <w:szCs w:val="24"/>
          <w:u w:val="single"/>
          <w:lang w:eastAsia="en-US"/>
        </w:rPr>
        <w:t xml:space="preserve"> </w:t>
      </w:r>
      <w:r w:rsidR="009B05F6" w:rsidRPr="006B7A0C">
        <w:rPr>
          <w:rFonts w:asciiTheme="majorHAnsi" w:hAnsiTheme="majorHAnsi"/>
          <w:b/>
          <w:sz w:val="24"/>
          <w:szCs w:val="24"/>
        </w:rPr>
        <w:t xml:space="preserve"> from </w:t>
      </w:r>
      <w:r w:rsidR="007845C9" w:rsidRPr="006B7A0C">
        <w:rPr>
          <w:rFonts w:asciiTheme="majorHAnsi" w:hAnsiTheme="majorHAnsi"/>
          <w:b/>
          <w:sz w:val="24"/>
          <w:szCs w:val="24"/>
        </w:rPr>
        <w:t xml:space="preserve">Russian Federation </w:t>
      </w:r>
      <w:r w:rsidR="009B05F6" w:rsidRPr="006B7A0C">
        <w:rPr>
          <w:rFonts w:asciiTheme="majorHAnsi" w:hAnsiTheme="majorHAnsi"/>
          <w:b/>
          <w:sz w:val="24"/>
          <w:szCs w:val="24"/>
        </w:rPr>
        <w:t xml:space="preserve">- </w:t>
      </w:r>
      <w:r w:rsidR="00355B77" w:rsidRPr="006B7A0C">
        <w:rPr>
          <w:rFonts w:asciiTheme="majorHAnsi" w:hAnsiTheme="majorHAnsi"/>
          <w:b/>
          <w:sz w:val="24"/>
          <w:szCs w:val="24"/>
        </w:rPr>
        <w:t xml:space="preserve">ITRs - Development areas, application assessments, best practice overview    </w:t>
      </w:r>
    </w:p>
    <w:p w14:paraId="4D346BAE" w14:textId="77777777" w:rsidR="006B7A0C" w:rsidRPr="006B7A0C" w:rsidRDefault="006B7A0C" w:rsidP="00292917">
      <w:pPr>
        <w:snapToGrid w:val="0"/>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t xml:space="preserve">It is proposed that the digital identification and/or verification of users, products and services be considered as one area for the future development of the ITRs. </w:t>
      </w:r>
    </w:p>
    <w:p w14:paraId="6F7F977C" w14:textId="77777777" w:rsidR="006B7A0C" w:rsidRPr="006B7A0C" w:rsidRDefault="006B7A0C" w:rsidP="00292917">
      <w:pPr>
        <w:snapToGrid w:val="0"/>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lastRenderedPageBreak/>
        <w:t xml:space="preserve">Within the framework of EG-ITRs, it is proposed to start compiling an overview of best practices on the application of the ITRs, or on recommendations on the application of solutions intended to fulfil the requirements (current and future) of the ITRs. Such an overview could take the form of a technical report, an </w:t>
      </w:r>
      <w:proofErr w:type="gramStart"/>
      <w:r w:rsidRPr="006B7A0C">
        <w:rPr>
          <w:rFonts w:asciiTheme="majorHAnsi" w:hAnsiTheme="majorHAnsi"/>
          <w:sz w:val="24"/>
          <w:szCs w:val="24"/>
        </w:rPr>
        <w:t>annex</w:t>
      </w:r>
      <w:proofErr w:type="gramEnd"/>
      <w:r w:rsidRPr="006B7A0C">
        <w:rPr>
          <w:rFonts w:asciiTheme="majorHAnsi" w:hAnsiTheme="majorHAnsi"/>
          <w:sz w:val="24"/>
          <w:szCs w:val="24"/>
        </w:rPr>
        <w:t xml:space="preserve"> or a draft plan.</w:t>
      </w:r>
    </w:p>
    <w:p w14:paraId="7A13E7E5" w14:textId="11FAF94E" w:rsidR="006B7A0C" w:rsidRDefault="00135243" w:rsidP="00292917">
      <w:pPr>
        <w:snapToGrid w:val="0"/>
        <w:spacing w:before="240" w:after="120" w:line="240" w:lineRule="auto"/>
        <w:jc w:val="both"/>
        <w:rPr>
          <w:rFonts w:asciiTheme="majorHAnsi" w:hAnsiTheme="majorHAnsi"/>
          <w:b/>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2C5144" w:rsidRPr="006B7A0C">
        <w:rPr>
          <w:rFonts w:asciiTheme="majorHAnsi" w:hAnsiTheme="majorHAnsi"/>
          <w:b/>
          <w:sz w:val="24"/>
          <w:szCs w:val="24"/>
        </w:rPr>
        <w:t>1.</w:t>
      </w:r>
      <w:r w:rsidR="00376239" w:rsidRPr="006B7A0C">
        <w:rPr>
          <w:rFonts w:asciiTheme="majorHAnsi" w:hAnsiTheme="majorHAnsi"/>
          <w:b/>
          <w:sz w:val="24"/>
          <w:szCs w:val="24"/>
        </w:rPr>
        <w:t>2</w:t>
      </w:r>
      <w:r w:rsidR="009B05F6" w:rsidRPr="006B7A0C">
        <w:rPr>
          <w:rFonts w:asciiTheme="majorHAnsi" w:hAnsiTheme="majorHAnsi"/>
          <w:b/>
          <w:sz w:val="24"/>
          <w:szCs w:val="24"/>
        </w:rPr>
        <w:tab/>
      </w:r>
      <w:hyperlink r:id="rId15" w:history="1">
        <w:r w:rsidR="00355B77" w:rsidRPr="006B7A0C">
          <w:rPr>
            <w:rFonts w:ascii="Calibri" w:eastAsia="Calibri" w:hAnsi="Calibri"/>
            <w:b/>
            <w:bCs/>
            <w:color w:val="0000FF"/>
            <w:sz w:val="24"/>
            <w:szCs w:val="24"/>
            <w:u w:val="single"/>
            <w:lang w:eastAsia="en-US"/>
          </w:rPr>
          <w:t>EG-ITRs-5/4</w:t>
        </w:r>
        <w:r w:rsidR="006B7A0C">
          <w:rPr>
            <w:rFonts w:ascii="Calibri" w:eastAsia="Calibri" w:hAnsi="Calibri"/>
            <w:b/>
            <w:bCs/>
            <w:color w:val="0000FF"/>
            <w:sz w:val="24"/>
            <w:szCs w:val="24"/>
            <w:u w:val="single"/>
            <w:lang w:eastAsia="en-US"/>
          </w:rPr>
          <w:t xml:space="preserve"> </w:t>
        </w:r>
      </w:hyperlink>
      <w:r w:rsidR="009B05F6" w:rsidRPr="006B7A0C">
        <w:rPr>
          <w:rFonts w:asciiTheme="majorHAnsi" w:hAnsiTheme="majorHAnsi"/>
          <w:b/>
          <w:sz w:val="24"/>
          <w:szCs w:val="24"/>
        </w:rPr>
        <w:t xml:space="preserve">from </w:t>
      </w:r>
      <w:r w:rsidR="000B2CC6" w:rsidRPr="006B7A0C">
        <w:rPr>
          <w:rFonts w:asciiTheme="majorHAnsi" w:hAnsiTheme="majorHAnsi"/>
          <w:b/>
          <w:sz w:val="24"/>
          <w:szCs w:val="24"/>
        </w:rPr>
        <w:t xml:space="preserve">the </w:t>
      </w:r>
      <w:r w:rsidR="006B7A0C">
        <w:rPr>
          <w:rFonts w:asciiTheme="majorHAnsi" w:hAnsiTheme="majorHAnsi"/>
          <w:b/>
          <w:sz w:val="24"/>
          <w:szCs w:val="24"/>
        </w:rPr>
        <w:t>People’s Republic of China</w:t>
      </w:r>
      <w:r w:rsidR="009B05F6" w:rsidRPr="006B7A0C">
        <w:rPr>
          <w:rFonts w:asciiTheme="majorHAnsi" w:hAnsiTheme="majorHAnsi"/>
          <w:b/>
          <w:sz w:val="24"/>
          <w:szCs w:val="24"/>
        </w:rPr>
        <w:t xml:space="preserve"> - </w:t>
      </w:r>
      <w:r w:rsidR="006B7A0C" w:rsidRPr="006B7A0C">
        <w:rPr>
          <w:rFonts w:asciiTheme="majorHAnsi" w:hAnsiTheme="majorHAnsi"/>
          <w:b/>
          <w:sz w:val="24"/>
          <w:szCs w:val="24"/>
        </w:rPr>
        <w:t xml:space="preserve">Recommendations of the Next Step of the Expert Group on the International Telecommunication Regulations (EG-ITRs) </w:t>
      </w:r>
    </w:p>
    <w:p w14:paraId="5B196D70" w14:textId="77777777" w:rsidR="00722193" w:rsidRPr="00722193" w:rsidRDefault="00722193" w:rsidP="00292917">
      <w:pPr>
        <w:snapToGrid w:val="0"/>
        <w:spacing w:before="120" w:after="120" w:line="240" w:lineRule="auto"/>
        <w:jc w:val="both"/>
        <w:rPr>
          <w:rFonts w:asciiTheme="majorHAnsi" w:hAnsiTheme="majorHAnsi"/>
          <w:sz w:val="24"/>
          <w:szCs w:val="24"/>
        </w:rPr>
      </w:pPr>
      <w:r w:rsidRPr="00722193">
        <w:rPr>
          <w:rFonts w:asciiTheme="majorHAnsi" w:hAnsiTheme="majorHAnsi"/>
          <w:sz w:val="24"/>
          <w:szCs w:val="24"/>
        </w:rPr>
        <w:t>China would like to put forward the following recommendations for the next step of the EG-ITRs:</w:t>
      </w:r>
    </w:p>
    <w:p w14:paraId="798844BD" w14:textId="77777777" w:rsidR="00722193" w:rsidRPr="00722193" w:rsidRDefault="00722193" w:rsidP="00292917">
      <w:pPr>
        <w:snapToGrid w:val="0"/>
        <w:spacing w:before="120" w:after="120" w:line="240" w:lineRule="auto"/>
        <w:jc w:val="both"/>
        <w:rPr>
          <w:rFonts w:asciiTheme="majorHAnsi" w:hAnsiTheme="majorHAnsi"/>
          <w:sz w:val="24"/>
          <w:szCs w:val="24"/>
        </w:rPr>
      </w:pPr>
      <w:r w:rsidRPr="00722193">
        <w:rPr>
          <w:rFonts w:asciiTheme="majorHAnsi" w:hAnsiTheme="majorHAnsi"/>
          <w:sz w:val="24"/>
          <w:szCs w:val="24"/>
        </w:rPr>
        <w:t>1.</w:t>
      </w:r>
      <w:r w:rsidRPr="00722193">
        <w:rPr>
          <w:rFonts w:asciiTheme="majorHAnsi" w:hAnsiTheme="majorHAnsi"/>
          <w:sz w:val="24"/>
          <w:szCs w:val="24"/>
        </w:rPr>
        <w:tab/>
        <w:t>It is proposed that the outcome of the review of the first four EG-ITRS meetings be fully recognized and utilized. The EG-ITRs has completed the provision-by-provision review of the 2012 edition of the ITRs and has formed the opinions on each provision in terms of “applicability in fostering provision and development of networks and services” and “flexibility to accommodate new trends and emergent issues”. The Summary Outcome, which was filled as agreed by members, is the fundamental basis for all parties to discuss their overall observations on the 2012 edition of the ITRs and an important foundation for the EG-ITRS to carry out the next-step work.</w:t>
      </w:r>
    </w:p>
    <w:p w14:paraId="7BC20BCE" w14:textId="77777777" w:rsidR="00722193" w:rsidRPr="00722193" w:rsidRDefault="00722193" w:rsidP="00292917">
      <w:pPr>
        <w:snapToGrid w:val="0"/>
        <w:spacing w:before="120" w:after="120" w:line="240" w:lineRule="auto"/>
        <w:jc w:val="both"/>
        <w:rPr>
          <w:rFonts w:asciiTheme="majorHAnsi" w:hAnsiTheme="majorHAnsi"/>
          <w:sz w:val="24"/>
          <w:szCs w:val="24"/>
        </w:rPr>
      </w:pPr>
      <w:r w:rsidRPr="00722193">
        <w:rPr>
          <w:rFonts w:asciiTheme="majorHAnsi" w:hAnsiTheme="majorHAnsi"/>
          <w:sz w:val="24"/>
          <w:szCs w:val="24"/>
        </w:rPr>
        <w:t>2.</w:t>
      </w:r>
      <w:r w:rsidRPr="00722193">
        <w:rPr>
          <w:rFonts w:asciiTheme="majorHAnsi" w:hAnsiTheme="majorHAnsi"/>
          <w:sz w:val="24"/>
          <w:szCs w:val="24"/>
        </w:rPr>
        <w:tab/>
        <w:t xml:space="preserve">Respect the patterns of technological development and promote the development of rules in parallel. ITU Council Resolution 1379 (Modified 2019) states the need to </w:t>
      </w:r>
      <w:proofErr w:type="gramStart"/>
      <w:r w:rsidRPr="00722193">
        <w:rPr>
          <w:rFonts w:asciiTheme="majorHAnsi" w:hAnsiTheme="majorHAnsi"/>
          <w:sz w:val="24"/>
          <w:szCs w:val="24"/>
        </w:rPr>
        <w:t>take into account</w:t>
      </w:r>
      <w:proofErr w:type="gramEnd"/>
      <w:r w:rsidRPr="00722193">
        <w:rPr>
          <w:rFonts w:asciiTheme="majorHAnsi" w:hAnsiTheme="majorHAnsi"/>
          <w:sz w:val="24"/>
          <w:szCs w:val="24"/>
        </w:rPr>
        <w:t xml:space="preserve"> new trends in telecommunications/ICT and emerging issues in international telecommunications/ICT environment. It is proposed that the parties look at the review of ITRs in a spirit of seeking truth from facts and from the perspective to promoting the development of the international telecommunications/ICTs to, fully understand new trends in telecommunications/ICT and emerging issues that have occurred or may occur as a result, conduct accurate analysis on the applicability of ITRs in fostering provision and development of networks and services, and the flexibility of ITRs to accommodate new trends and emergent issues, to make objective and reasonable judgments.</w:t>
      </w:r>
    </w:p>
    <w:p w14:paraId="2270FD10" w14:textId="77777777" w:rsidR="00722193" w:rsidRDefault="00722193" w:rsidP="00292917">
      <w:pPr>
        <w:snapToGrid w:val="0"/>
        <w:spacing w:before="120" w:after="120" w:line="240" w:lineRule="auto"/>
        <w:jc w:val="both"/>
        <w:rPr>
          <w:rFonts w:asciiTheme="majorHAnsi" w:hAnsiTheme="majorHAnsi"/>
          <w:sz w:val="24"/>
          <w:szCs w:val="24"/>
        </w:rPr>
      </w:pPr>
      <w:r w:rsidRPr="00722193">
        <w:rPr>
          <w:rFonts w:asciiTheme="majorHAnsi" w:hAnsiTheme="majorHAnsi"/>
          <w:sz w:val="24"/>
          <w:szCs w:val="24"/>
        </w:rPr>
        <w:t>3.</w:t>
      </w:r>
      <w:r w:rsidRPr="00722193">
        <w:rPr>
          <w:rFonts w:asciiTheme="majorHAnsi" w:hAnsiTheme="majorHAnsi"/>
          <w:sz w:val="24"/>
          <w:szCs w:val="24"/>
        </w:rPr>
        <w:tab/>
        <w:t>Identify specific differences and put forward effective solutions. New trends and emerging issues in international telecommunication /ICT need to be addressed and resolved through international rules agreed by the international community. Legal rules always fall behind, which is determined by their own nature, and need to be constantly improved with the changes of their regulated objects and adjusted legal relationship. The same is true to the ITRs. In light of the examinations conducted so far, there were basically three views on the vast majority of the provisions: some members were of the view that there was no need to change the provision for it was applicable and flexible; some members expressed the view that the provision was not necessary as it was no longer applicable or flexible; other members suggested that the provision needed to be updated to reflect changes in the provision of telecommunications /ICT services to end users. We therefore propose that, based on the Examination Table, especially the Summary Outcome, the parties put forward their specific options on whether and how to amend the relevant provisions of the ITRs, which should be included in the overall observations on the 2012 edition of the ITRs and the report of the EG-ITRs to be submitted to Council 2022.</w:t>
      </w:r>
    </w:p>
    <w:p w14:paraId="7F3B81D2" w14:textId="77777777" w:rsidR="00292917" w:rsidRDefault="00292917">
      <w:pPr>
        <w:rPr>
          <w:rFonts w:asciiTheme="majorHAnsi" w:hAnsiTheme="majorHAnsi"/>
          <w:b/>
          <w:sz w:val="24"/>
          <w:szCs w:val="24"/>
        </w:rPr>
      </w:pPr>
      <w:r>
        <w:rPr>
          <w:rFonts w:asciiTheme="majorHAnsi" w:hAnsiTheme="majorHAnsi"/>
          <w:b/>
          <w:sz w:val="24"/>
          <w:szCs w:val="24"/>
        </w:rPr>
        <w:br w:type="page"/>
      </w:r>
    </w:p>
    <w:p w14:paraId="1CA57F8E" w14:textId="2E6F4F21" w:rsidR="006B7A0C" w:rsidRDefault="00135243" w:rsidP="00292917">
      <w:pPr>
        <w:snapToGrid w:val="0"/>
        <w:spacing w:before="120" w:after="120" w:line="240" w:lineRule="auto"/>
        <w:rPr>
          <w:rFonts w:asciiTheme="majorHAnsi" w:hAnsiTheme="majorHAnsi"/>
          <w:b/>
          <w:sz w:val="24"/>
          <w:szCs w:val="24"/>
        </w:rPr>
      </w:pPr>
      <w:r w:rsidRPr="006B7A0C">
        <w:rPr>
          <w:rFonts w:asciiTheme="majorHAnsi" w:hAnsiTheme="majorHAnsi"/>
          <w:b/>
          <w:sz w:val="24"/>
          <w:szCs w:val="24"/>
        </w:rPr>
        <w:lastRenderedPageBreak/>
        <w:t>4</w:t>
      </w:r>
      <w:r w:rsidR="009B05F6" w:rsidRPr="006B7A0C">
        <w:rPr>
          <w:rFonts w:asciiTheme="majorHAnsi" w:hAnsiTheme="majorHAnsi"/>
          <w:b/>
          <w:sz w:val="24"/>
          <w:szCs w:val="24"/>
        </w:rPr>
        <w:t>.</w:t>
      </w:r>
      <w:r w:rsidR="002C5144" w:rsidRPr="006B7A0C">
        <w:rPr>
          <w:rFonts w:asciiTheme="majorHAnsi" w:hAnsiTheme="majorHAnsi"/>
          <w:b/>
          <w:sz w:val="24"/>
          <w:szCs w:val="24"/>
        </w:rPr>
        <w:t>1.</w:t>
      </w:r>
      <w:r w:rsidR="00376239" w:rsidRPr="006B7A0C">
        <w:rPr>
          <w:rFonts w:asciiTheme="majorHAnsi" w:hAnsiTheme="majorHAnsi"/>
          <w:b/>
          <w:sz w:val="24"/>
          <w:szCs w:val="24"/>
        </w:rPr>
        <w:t>3</w:t>
      </w:r>
      <w:r w:rsidR="009B05F6" w:rsidRPr="006B7A0C">
        <w:rPr>
          <w:rFonts w:asciiTheme="majorHAnsi" w:hAnsiTheme="majorHAnsi"/>
          <w:b/>
          <w:sz w:val="24"/>
          <w:szCs w:val="24"/>
        </w:rPr>
        <w:tab/>
      </w:r>
      <w:hyperlink r:id="rId16" w:history="1">
        <w:r w:rsidRPr="006B7A0C">
          <w:rPr>
            <w:rFonts w:ascii="Calibri" w:eastAsia="Calibri" w:hAnsi="Calibri"/>
            <w:b/>
            <w:bCs/>
            <w:color w:val="0000FF"/>
            <w:sz w:val="24"/>
            <w:szCs w:val="24"/>
            <w:u w:val="single"/>
            <w:lang w:eastAsia="en-US"/>
          </w:rPr>
          <w:t xml:space="preserve">EG-ITRs-5/5 </w:t>
        </w:r>
      </w:hyperlink>
      <w:r w:rsidR="009B05F6" w:rsidRPr="006B7A0C">
        <w:rPr>
          <w:rFonts w:asciiTheme="majorHAnsi" w:hAnsiTheme="majorHAnsi"/>
          <w:b/>
          <w:sz w:val="24"/>
          <w:szCs w:val="24"/>
        </w:rPr>
        <w:t xml:space="preserve"> from </w:t>
      </w:r>
      <w:r w:rsidR="006B7A0C" w:rsidRPr="006B7A0C">
        <w:rPr>
          <w:rFonts w:asciiTheme="majorHAnsi" w:hAnsiTheme="majorHAnsi"/>
          <w:b/>
          <w:sz w:val="24"/>
          <w:szCs w:val="24"/>
        </w:rPr>
        <w:t xml:space="preserve">the Czech Republic, Estonia, Latvia, the Netherlands, </w:t>
      </w:r>
      <w:proofErr w:type="gramStart"/>
      <w:r w:rsidR="006B7A0C" w:rsidRPr="006B7A0C">
        <w:rPr>
          <w:rFonts w:asciiTheme="majorHAnsi" w:hAnsiTheme="majorHAnsi"/>
          <w:b/>
          <w:sz w:val="24"/>
          <w:szCs w:val="24"/>
        </w:rPr>
        <w:t>Sweden</w:t>
      </w:r>
      <w:proofErr w:type="gramEnd"/>
      <w:r w:rsidR="006B7A0C" w:rsidRPr="006B7A0C">
        <w:rPr>
          <w:rFonts w:asciiTheme="majorHAnsi" w:hAnsiTheme="majorHAnsi"/>
          <w:b/>
          <w:sz w:val="24"/>
          <w:szCs w:val="24"/>
        </w:rPr>
        <w:t xml:space="preserve"> and the United Kingdom - Overall observations based on the provision-by-provision examination</w:t>
      </w:r>
    </w:p>
    <w:p w14:paraId="761784AE" w14:textId="2A08E3BB" w:rsidR="006B7A0C" w:rsidRPr="006B7A0C" w:rsidRDefault="006B7A0C" w:rsidP="00292917">
      <w:pPr>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t>In summary:</w:t>
      </w:r>
    </w:p>
    <w:p w14:paraId="7F49EFBB" w14:textId="77777777" w:rsidR="006B7A0C" w:rsidRPr="006B7A0C" w:rsidRDefault="006B7A0C" w:rsidP="00292917">
      <w:pPr>
        <w:spacing w:before="120" w:after="120" w:line="240" w:lineRule="auto"/>
        <w:jc w:val="both"/>
        <w:rPr>
          <w:rFonts w:asciiTheme="majorHAnsi" w:hAnsiTheme="majorHAnsi"/>
          <w:sz w:val="24"/>
          <w:szCs w:val="24"/>
        </w:rPr>
      </w:pPr>
      <w:r w:rsidRPr="006B7A0C">
        <w:rPr>
          <w:rFonts w:asciiTheme="majorHAnsi" w:hAnsiTheme="majorHAnsi"/>
          <w:sz w:val="24"/>
          <w:szCs w:val="24"/>
        </w:rPr>
        <w:t>●</w:t>
      </w:r>
      <w:r w:rsidRPr="006B7A0C">
        <w:rPr>
          <w:rFonts w:asciiTheme="majorHAnsi" w:hAnsiTheme="majorHAnsi"/>
          <w:sz w:val="24"/>
          <w:szCs w:val="24"/>
        </w:rPr>
        <w:tab/>
        <w:t xml:space="preserve">on each provision of the 2012 ITRs there is a range of views and no </w:t>
      </w:r>
      <w:proofErr w:type="gramStart"/>
      <w:r w:rsidRPr="006B7A0C">
        <w:rPr>
          <w:rFonts w:asciiTheme="majorHAnsi" w:hAnsiTheme="majorHAnsi"/>
          <w:sz w:val="24"/>
          <w:szCs w:val="24"/>
        </w:rPr>
        <w:t>consensus;</w:t>
      </w:r>
      <w:proofErr w:type="gramEnd"/>
    </w:p>
    <w:p w14:paraId="527EE81F" w14:textId="77777777" w:rsidR="006B7A0C" w:rsidRPr="006B7A0C" w:rsidRDefault="006B7A0C" w:rsidP="00292917">
      <w:pPr>
        <w:spacing w:before="120" w:after="120" w:line="240" w:lineRule="auto"/>
        <w:jc w:val="both"/>
        <w:rPr>
          <w:rFonts w:asciiTheme="majorHAnsi" w:hAnsiTheme="majorHAnsi"/>
          <w:sz w:val="24"/>
          <w:szCs w:val="24"/>
        </w:rPr>
      </w:pPr>
      <w:r w:rsidRPr="006B7A0C">
        <w:rPr>
          <w:rFonts w:asciiTheme="majorHAnsi" w:hAnsiTheme="majorHAnsi"/>
          <w:sz w:val="24"/>
          <w:szCs w:val="24"/>
        </w:rPr>
        <w:t>●</w:t>
      </w:r>
      <w:r w:rsidRPr="006B7A0C">
        <w:rPr>
          <w:rFonts w:asciiTheme="majorHAnsi" w:hAnsiTheme="majorHAnsi"/>
          <w:sz w:val="24"/>
          <w:szCs w:val="24"/>
        </w:rPr>
        <w:tab/>
        <w:t xml:space="preserve">we propose that the Examination Table that has been included in the Progress Reports is also included in the Final Report and the Final Report clearly highlights the lack of </w:t>
      </w:r>
      <w:proofErr w:type="gramStart"/>
      <w:r w:rsidRPr="006B7A0C">
        <w:rPr>
          <w:rFonts w:asciiTheme="majorHAnsi" w:hAnsiTheme="majorHAnsi"/>
          <w:sz w:val="24"/>
          <w:szCs w:val="24"/>
        </w:rPr>
        <w:t>consensus;</w:t>
      </w:r>
      <w:proofErr w:type="gramEnd"/>
    </w:p>
    <w:p w14:paraId="699BCB98" w14:textId="77777777" w:rsidR="006B7A0C" w:rsidRPr="006B7A0C" w:rsidRDefault="006B7A0C" w:rsidP="00292917">
      <w:pPr>
        <w:spacing w:before="120" w:after="120" w:line="240" w:lineRule="auto"/>
        <w:jc w:val="both"/>
        <w:rPr>
          <w:rFonts w:asciiTheme="majorHAnsi" w:hAnsiTheme="majorHAnsi"/>
          <w:sz w:val="24"/>
          <w:szCs w:val="24"/>
        </w:rPr>
      </w:pPr>
      <w:r w:rsidRPr="006B7A0C">
        <w:rPr>
          <w:rFonts w:asciiTheme="majorHAnsi" w:hAnsiTheme="majorHAnsi"/>
          <w:sz w:val="24"/>
          <w:szCs w:val="24"/>
        </w:rPr>
        <w:t>●</w:t>
      </w:r>
      <w:r w:rsidRPr="006B7A0C">
        <w:rPr>
          <w:rFonts w:asciiTheme="majorHAnsi" w:hAnsiTheme="majorHAnsi"/>
          <w:sz w:val="24"/>
          <w:szCs w:val="24"/>
        </w:rPr>
        <w:tab/>
        <w:t>we propose that the findings from this Expert Group on the ITRs should reference the work of the previous Expert Group; and</w:t>
      </w:r>
    </w:p>
    <w:p w14:paraId="1DCA5395" w14:textId="738FCB10" w:rsidR="00341ACB" w:rsidRDefault="006B7A0C" w:rsidP="00292917">
      <w:pPr>
        <w:spacing w:before="120" w:after="120" w:line="240" w:lineRule="auto"/>
        <w:jc w:val="both"/>
        <w:rPr>
          <w:rFonts w:asciiTheme="majorHAnsi" w:hAnsiTheme="majorHAnsi"/>
          <w:sz w:val="24"/>
          <w:szCs w:val="24"/>
        </w:rPr>
      </w:pPr>
      <w:r w:rsidRPr="006B7A0C">
        <w:rPr>
          <w:rFonts w:asciiTheme="majorHAnsi" w:hAnsiTheme="majorHAnsi"/>
          <w:sz w:val="24"/>
          <w:szCs w:val="24"/>
        </w:rPr>
        <w:t>●</w:t>
      </w:r>
      <w:r w:rsidRPr="006B7A0C">
        <w:rPr>
          <w:rFonts w:asciiTheme="majorHAnsi" w:hAnsiTheme="majorHAnsi"/>
          <w:sz w:val="24"/>
          <w:szCs w:val="24"/>
        </w:rPr>
        <w:tab/>
        <w:t>we see no difficulties caused by the existence of two sets of ITRs: in fact, investment in and access to telecommunications services have continued to advance.</w:t>
      </w:r>
    </w:p>
    <w:p w14:paraId="0F6F6C07" w14:textId="3009364F" w:rsidR="006B7A0C" w:rsidRDefault="00135243" w:rsidP="00292917">
      <w:pPr>
        <w:spacing w:before="120" w:after="120" w:line="240" w:lineRule="auto"/>
        <w:jc w:val="both"/>
        <w:rPr>
          <w:rFonts w:asciiTheme="majorHAnsi" w:hAnsiTheme="majorHAnsi"/>
          <w:b/>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2C5144" w:rsidRPr="006B7A0C">
        <w:rPr>
          <w:rFonts w:asciiTheme="majorHAnsi" w:hAnsiTheme="majorHAnsi"/>
          <w:b/>
          <w:sz w:val="24"/>
          <w:szCs w:val="24"/>
        </w:rPr>
        <w:t>1</w:t>
      </w:r>
      <w:r w:rsidR="002C5144" w:rsidRPr="006B7A0C">
        <w:rPr>
          <w:rFonts w:asciiTheme="majorHAnsi" w:hAnsiTheme="majorHAnsi" w:cstheme="majorHAnsi"/>
          <w:b/>
          <w:sz w:val="24"/>
          <w:szCs w:val="24"/>
        </w:rPr>
        <w:t>.</w:t>
      </w:r>
      <w:r w:rsidR="00376239" w:rsidRPr="006B7A0C">
        <w:rPr>
          <w:rFonts w:asciiTheme="majorHAnsi" w:hAnsiTheme="majorHAnsi" w:cstheme="majorHAnsi"/>
          <w:b/>
          <w:sz w:val="24"/>
          <w:szCs w:val="24"/>
        </w:rPr>
        <w:t>4</w:t>
      </w:r>
      <w:r w:rsidR="009B05F6" w:rsidRPr="006B7A0C">
        <w:rPr>
          <w:rFonts w:asciiTheme="majorHAnsi" w:hAnsiTheme="majorHAnsi" w:cstheme="majorHAnsi"/>
          <w:b/>
          <w:sz w:val="24"/>
          <w:szCs w:val="24"/>
        </w:rPr>
        <w:tab/>
      </w:r>
      <w:hyperlink r:id="rId17" w:history="1">
        <w:r w:rsidRPr="006B7A0C">
          <w:rPr>
            <w:rStyle w:val="Hyperlink"/>
            <w:rFonts w:asciiTheme="majorHAnsi" w:hAnsiTheme="majorHAnsi" w:cstheme="majorHAnsi"/>
            <w:b/>
            <w:bCs/>
            <w:sz w:val="24"/>
            <w:szCs w:val="24"/>
          </w:rPr>
          <w:t>EG-ITRs-5/6</w:t>
        </w:r>
        <w:r w:rsidRPr="006B7A0C">
          <w:rPr>
            <w:rStyle w:val="Hyperlink"/>
            <w:b/>
            <w:bCs/>
            <w:sz w:val="24"/>
            <w:szCs w:val="24"/>
          </w:rPr>
          <w:t xml:space="preserve"> </w:t>
        </w:r>
      </w:hyperlink>
      <w:r w:rsidR="009B05F6" w:rsidRPr="006B7A0C">
        <w:rPr>
          <w:rFonts w:asciiTheme="majorHAnsi" w:hAnsiTheme="majorHAnsi"/>
          <w:b/>
          <w:bCs/>
          <w:sz w:val="24"/>
          <w:szCs w:val="24"/>
        </w:rPr>
        <w:t>from</w:t>
      </w:r>
      <w:r w:rsidR="009B05F6" w:rsidRPr="006B7A0C">
        <w:rPr>
          <w:rFonts w:asciiTheme="majorHAnsi" w:hAnsiTheme="majorHAnsi"/>
          <w:b/>
          <w:sz w:val="24"/>
          <w:szCs w:val="24"/>
        </w:rPr>
        <w:t xml:space="preserve"> </w:t>
      </w:r>
      <w:r w:rsidR="006B7A0C" w:rsidRPr="006B7A0C">
        <w:rPr>
          <w:rFonts w:asciiTheme="majorHAnsi" w:hAnsiTheme="majorHAnsi"/>
          <w:b/>
          <w:sz w:val="24"/>
          <w:szCs w:val="24"/>
        </w:rPr>
        <w:t xml:space="preserve">the Russian Federation - Further steps in the implementation of Resolution 146 (rev. Dubai, 2018) of the plenipotentiary conference and Resolution 1379 (modified 2019) of the ITU Council </w:t>
      </w:r>
    </w:p>
    <w:p w14:paraId="28344B2E" w14:textId="0B8C8745" w:rsidR="006B7A0C" w:rsidRDefault="006B7A0C" w:rsidP="00292917">
      <w:pPr>
        <w:snapToGrid w:val="0"/>
        <w:spacing w:before="120" w:after="120" w:line="240" w:lineRule="auto"/>
        <w:ind w:firstLine="720"/>
        <w:rPr>
          <w:rFonts w:asciiTheme="majorHAnsi" w:hAnsiTheme="majorHAnsi"/>
          <w:sz w:val="24"/>
          <w:szCs w:val="24"/>
        </w:rPr>
      </w:pPr>
      <w:r w:rsidRPr="006B7A0C">
        <w:rPr>
          <w:rFonts w:asciiTheme="majorHAnsi" w:hAnsiTheme="majorHAnsi"/>
          <w:sz w:val="24"/>
          <w:szCs w:val="24"/>
        </w:rPr>
        <w:t xml:space="preserve">This contribution calls on ITU Member States and Sector Members to demonstrably make the meaningful efforts required to fulfil resolves 2 of Resolution 146 (Rev. Dubai, 2018) of the Plenipotentiary Conference and achieve consensus on the way forward in respect of the ITRs. </w:t>
      </w:r>
    </w:p>
    <w:p w14:paraId="6650FA6F" w14:textId="77777777" w:rsidR="007F5418" w:rsidRDefault="007F5418" w:rsidP="00292917">
      <w:pPr>
        <w:snapToGrid w:val="0"/>
        <w:spacing w:before="120" w:after="120" w:line="240" w:lineRule="auto"/>
        <w:ind w:firstLine="720"/>
        <w:jc w:val="both"/>
        <w:rPr>
          <w:rFonts w:asciiTheme="majorHAnsi" w:hAnsiTheme="majorHAnsi"/>
          <w:sz w:val="24"/>
          <w:szCs w:val="24"/>
        </w:rPr>
      </w:pPr>
      <w:r w:rsidRPr="009202F5">
        <w:rPr>
          <w:rFonts w:asciiTheme="majorHAnsi" w:hAnsiTheme="majorHAnsi"/>
          <w:sz w:val="24"/>
          <w:szCs w:val="24"/>
        </w:rPr>
        <w:t>Concluding the current mandate of EG-ITRs with a simple binary choice between “the ITRs are needed and are applicable” and “the ITRs are not needed and are not applicable” is unacceptable and must not be the outcome of the current mandate of EG-ITRs. This outcome was already put forward under its previous mandate.</w:t>
      </w:r>
    </w:p>
    <w:p w14:paraId="4BA4744D" w14:textId="77777777" w:rsidR="007F5418" w:rsidRPr="004072C0" w:rsidRDefault="007F5418" w:rsidP="00292917">
      <w:pPr>
        <w:snapToGrid w:val="0"/>
        <w:spacing w:before="120" w:after="120" w:line="240" w:lineRule="auto"/>
        <w:ind w:firstLine="720"/>
        <w:jc w:val="both"/>
        <w:rPr>
          <w:rFonts w:asciiTheme="majorHAnsi" w:hAnsiTheme="majorHAnsi"/>
          <w:sz w:val="24"/>
          <w:szCs w:val="24"/>
        </w:rPr>
      </w:pPr>
      <w:r w:rsidRPr="004072C0">
        <w:rPr>
          <w:rFonts w:asciiTheme="majorHAnsi" w:hAnsiTheme="majorHAnsi"/>
          <w:sz w:val="24"/>
          <w:szCs w:val="24"/>
        </w:rPr>
        <w:t>it is proposed to consider two possible ways of resolving the existing disagreements at this time and identifying the preferred option.</w:t>
      </w:r>
    </w:p>
    <w:p w14:paraId="7F0E9119" w14:textId="77777777" w:rsidR="007F5418" w:rsidRPr="004072C0" w:rsidRDefault="007F5418" w:rsidP="00292917">
      <w:pPr>
        <w:snapToGrid w:val="0"/>
        <w:spacing w:before="120" w:after="120" w:line="240" w:lineRule="auto"/>
        <w:ind w:firstLine="720"/>
        <w:jc w:val="both"/>
        <w:rPr>
          <w:rFonts w:asciiTheme="majorHAnsi" w:hAnsiTheme="majorHAnsi"/>
          <w:sz w:val="24"/>
          <w:szCs w:val="24"/>
        </w:rPr>
      </w:pPr>
      <w:r w:rsidRPr="004072C0">
        <w:rPr>
          <w:rFonts w:asciiTheme="majorHAnsi" w:hAnsiTheme="majorHAnsi"/>
          <w:sz w:val="24"/>
          <w:szCs w:val="24"/>
        </w:rPr>
        <w:t>The first option is for all Member States to accede to the International Telecommunication Regulations (Rev. Dubai, 2012).</w:t>
      </w:r>
    </w:p>
    <w:p w14:paraId="6CE17832" w14:textId="77777777" w:rsidR="007F5418" w:rsidRPr="004072C0" w:rsidRDefault="007F5418" w:rsidP="00292917">
      <w:pPr>
        <w:snapToGrid w:val="0"/>
        <w:spacing w:before="120" w:after="120" w:line="240" w:lineRule="auto"/>
        <w:ind w:firstLine="720"/>
        <w:jc w:val="both"/>
        <w:rPr>
          <w:rFonts w:asciiTheme="majorHAnsi" w:hAnsiTheme="majorHAnsi"/>
          <w:sz w:val="24"/>
          <w:szCs w:val="24"/>
        </w:rPr>
      </w:pPr>
      <w:r w:rsidRPr="004072C0">
        <w:rPr>
          <w:rFonts w:asciiTheme="majorHAnsi" w:hAnsiTheme="majorHAnsi"/>
          <w:sz w:val="24"/>
          <w:szCs w:val="24"/>
        </w:rPr>
        <w:t>The second option is for a partial or full revision of the ITRs with a view to the adoption of a new version of the treaty by consensus.</w:t>
      </w:r>
    </w:p>
    <w:p w14:paraId="20CD09C8" w14:textId="77777777" w:rsidR="007F5418" w:rsidRDefault="007F5418" w:rsidP="00292917">
      <w:pPr>
        <w:snapToGrid w:val="0"/>
        <w:spacing w:before="120" w:after="120" w:line="240" w:lineRule="auto"/>
        <w:ind w:firstLine="720"/>
        <w:jc w:val="both"/>
        <w:rPr>
          <w:rFonts w:asciiTheme="majorHAnsi" w:hAnsiTheme="majorHAnsi"/>
          <w:sz w:val="24"/>
          <w:szCs w:val="24"/>
        </w:rPr>
      </w:pPr>
      <w:r w:rsidRPr="004072C0">
        <w:rPr>
          <w:rFonts w:asciiTheme="majorHAnsi" w:hAnsiTheme="majorHAnsi"/>
          <w:sz w:val="24"/>
          <w:szCs w:val="24"/>
        </w:rPr>
        <w:t>In the case of a partial revision, a new consensus may be achieved by identifying and then removing certain provisions of the ITRs that are particularly difficult for Member States to apply. This would enable the Union and Member States to save resources by holding a “short” world conference on international telecommunications.</w:t>
      </w:r>
    </w:p>
    <w:p w14:paraId="00000037" w14:textId="258CFC3D" w:rsidR="00D044C6" w:rsidRPr="006B7A0C" w:rsidRDefault="00135243" w:rsidP="00292917">
      <w:pPr>
        <w:snapToGrid w:val="0"/>
        <w:spacing w:before="120" w:after="120" w:line="240" w:lineRule="auto"/>
        <w:jc w:val="both"/>
        <w:rPr>
          <w:rFonts w:asciiTheme="majorHAnsi" w:hAnsiTheme="majorHAnsi"/>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2C5144" w:rsidRPr="006B7A0C">
        <w:rPr>
          <w:rFonts w:asciiTheme="majorHAnsi" w:hAnsiTheme="majorHAnsi"/>
          <w:b/>
          <w:sz w:val="24"/>
          <w:szCs w:val="24"/>
        </w:rPr>
        <w:t>1.</w:t>
      </w:r>
      <w:r w:rsidR="00376239" w:rsidRPr="006B7A0C">
        <w:rPr>
          <w:rFonts w:asciiTheme="majorHAnsi" w:hAnsiTheme="majorHAnsi"/>
          <w:b/>
          <w:sz w:val="24"/>
          <w:szCs w:val="24"/>
        </w:rPr>
        <w:t>5</w:t>
      </w:r>
      <w:r w:rsidR="009B05F6" w:rsidRPr="006B7A0C">
        <w:rPr>
          <w:rFonts w:asciiTheme="majorHAnsi" w:hAnsiTheme="majorHAnsi"/>
          <w:b/>
          <w:sz w:val="24"/>
          <w:szCs w:val="24"/>
        </w:rPr>
        <w:tab/>
      </w:r>
      <w:hyperlink r:id="rId18" w:history="1">
        <w:r w:rsidRPr="006B7A0C">
          <w:rPr>
            <w:rFonts w:ascii="Calibri" w:eastAsia="Calibri" w:hAnsi="Calibri"/>
            <w:b/>
            <w:bCs/>
            <w:color w:val="0000FF"/>
            <w:sz w:val="24"/>
            <w:szCs w:val="24"/>
            <w:u w:val="single"/>
            <w:lang w:eastAsia="en-US"/>
          </w:rPr>
          <w:t xml:space="preserve">EG-ITRs-5/7 </w:t>
        </w:r>
      </w:hyperlink>
      <w:r w:rsidR="009B05F6" w:rsidRPr="006B7A0C">
        <w:rPr>
          <w:rFonts w:asciiTheme="majorHAnsi" w:hAnsiTheme="majorHAnsi"/>
          <w:b/>
          <w:sz w:val="24"/>
          <w:szCs w:val="24"/>
        </w:rPr>
        <w:t xml:space="preserve"> from </w:t>
      </w:r>
      <w:r w:rsidR="006B7A0C" w:rsidRPr="006B7A0C">
        <w:rPr>
          <w:rFonts w:asciiTheme="majorHAnsi" w:hAnsiTheme="majorHAnsi"/>
          <w:b/>
          <w:sz w:val="24"/>
          <w:szCs w:val="24"/>
        </w:rPr>
        <w:t xml:space="preserve">the Russian Federation - Russian Federation - Further steps in the implementation of Resolution 146 (rev. Dubai, 2018) of the plenipotentiary conference and Resolution 1379 (modified 2019) of the ITU Council with a view to achieving consensus in respect of the International Telecommunication Regulations    </w:t>
      </w:r>
    </w:p>
    <w:p w14:paraId="0DE117B6" w14:textId="77777777" w:rsidR="007F5418" w:rsidRPr="00974221" w:rsidRDefault="007F5418" w:rsidP="00292917">
      <w:pPr>
        <w:snapToGrid w:val="0"/>
        <w:spacing w:before="120" w:after="120" w:line="240" w:lineRule="auto"/>
        <w:ind w:firstLine="720"/>
        <w:jc w:val="both"/>
        <w:rPr>
          <w:rFonts w:asciiTheme="majorHAnsi" w:hAnsiTheme="majorHAnsi"/>
          <w:sz w:val="24"/>
          <w:szCs w:val="24"/>
        </w:rPr>
      </w:pPr>
      <w:r w:rsidRPr="00974221">
        <w:rPr>
          <w:rFonts w:asciiTheme="majorHAnsi" w:hAnsiTheme="majorHAnsi"/>
          <w:sz w:val="24"/>
          <w:szCs w:val="24"/>
        </w:rPr>
        <w:t xml:space="preserve">Given the fact that not all ITU Member States and Sector Members currently participate in this series of EG-ITRs meetings (no more than one-fifth of overall ITU membership) and that EG-ITRs continues to be fixated on two polarizing views on the ITRs and is in need of additional input from all Member States and Sector Members of the Union </w:t>
      </w:r>
      <w:r w:rsidRPr="00974221">
        <w:rPr>
          <w:rFonts w:asciiTheme="majorHAnsi" w:hAnsiTheme="majorHAnsi"/>
          <w:sz w:val="24"/>
          <w:szCs w:val="24"/>
        </w:rPr>
        <w:lastRenderedPageBreak/>
        <w:t>in order to achieve consensus on the way forward in respect of the ITRs and fulfil its mandate, it is proposed that the ITU Secretary-General consult with all administrations and ITU Sector Members by correspondence on their preferred way forward in respect of the ITRs.</w:t>
      </w:r>
    </w:p>
    <w:p w14:paraId="0F57606F" w14:textId="77777777" w:rsidR="007F5418" w:rsidRPr="00974221" w:rsidRDefault="007F5418" w:rsidP="00292917">
      <w:pPr>
        <w:snapToGrid w:val="0"/>
        <w:spacing w:before="120" w:after="120" w:line="240" w:lineRule="auto"/>
        <w:ind w:firstLine="720"/>
        <w:jc w:val="both"/>
        <w:rPr>
          <w:rFonts w:asciiTheme="majorHAnsi" w:hAnsiTheme="majorHAnsi"/>
          <w:sz w:val="24"/>
          <w:szCs w:val="24"/>
        </w:rPr>
      </w:pPr>
      <w:r w:rsidRPr="00974221">
        <w:rPr>
          <w:rFonts w:asciiTheme="majorHAnsi" w:hAnsiTheme="majorHAnsi"/>
          <w:sz w:val="24"/>
          <w:szCs w:val="24"/>
        </w:rPr>
        <w:t>In particular, the Secretary-General could, based on clarifications received from the ITU Legal Adviser and on the binding nature of the ITRs, ask Member States and Sector Members for their preferred choice between the following two options for achieving consensus on the way forward in respect of the ITRs, namely:</w:t>
      </w:r>
    </w:p>
    <w:p w14:paraId="261B4876" w14:textId="77777777" w:rsidR="007F5418" w:rsidRPr="00974221" w:rsidRDefault="007F5418" w:rsidP="00292917">
      <w:pPr>
        <w:snapToGrid w:val="0"/>
        <w:spacing w:before="120" w:after="120" w:line="240" w:lineRule="auto"/>
        <w:jc w:val="both"/>
        <w:rPr>
          <w:rFonts w:asciiTheme="majorHAnsi" w:hAnsiTheme="majorHAnsi"/>
          <w:sz w:val="24"/>
          <w:szCs w:val="24"/>
        </w:rPr>
      </w:pPr>
      <w:r w:rsidRPr="00974221">
        <w:rPr>
          <w:rFonts w:asciiTheme="majorHAnsi" w:hAnsiTheme="majorHAnsi"/>
          <w:sz w:val="24"/>
          <w:szCs w:val="24"/>
        </w:rPr>
        <w:t>–</w:t>
      </w:r>
      <w:r w:rsidRPr="00974221">
        <w:rPr>
          <w:rFonts w:asciiTheme="majorHAnsi" w:hAnsiTheme="majorHAnsi"/>
          <w:sz w:val="24"/>
          <w:szCs w:val="24"/>
        </w:rPr>
        <w:tab/>
        <w:t>the accession of all Member States to the International Telecommunication Regulations (Rev. Dubai, 2012).</w:t>
      </w:r>
    </w:p>
    <w:p w14:paraId="7FB78AF0" w14:textId="77777777" w:rsidR="007F5418" w:rsidRDefault="007F5418" w:rsidP="00292917">
      <w:pPr>
        <w:spacing w:before="120" w:after="120" w:line="240" w:lineRule="auto"/>
        <w:jc w:val="both"/>
        <w:rPr>
          <w:rFonts w:asciiTheme="majorHAnsi" w:hAnsiTheme="majorHAnsi"/>
          <w:sz w:val="24"/>
          <w:szCs w:val="24"/>
        </w:rPr>
      </w:pPr>
      <w:r w:rsidRPr="00974221">
        <w:rPr>
          <w:rFonts w:asciiTheme="majorHAnsi" w:hAnsiTheme="majorHAnsi"/>
          <w:sz w:val="24"/>
          <w:szCs w:val="24"/>
        </w:rPr>
        <w:t>–</w:t>
      </w:r>
      <w:r w:rsidRPr="00974221">
        <w:rPr>
          <w:rFonts w:asciiTheme="majorHAnsi" w:hAnsiTheme="majorHAnsi"/>
          <w:sz w:val="24"/>
          <w:szCs w:val="24"/>
        </w:rPr>
        <w:tab/>
        <w:t>the partial or full revision of the ITRs with a view to the adoption of a new version of the treaty by consensus.</w:t>
      </w:r>
    </w:p>
    <w:p w14:paraId="0000003B" w14:textId="0DA5C890" w:rsidR="00D044C6" w:rsidRPr="006B7A0C" w:rsidRDefault="00135243" w:rsidP="00292917">
      <w:pPr>
        <w:spacing w:before="120" w:after="120" w:line="240" w:lineRule="auto"/>
        <w:jc w:val="both"/>
        <w:rPr>
          <w:rFonts w:asciiTheme="majorHAnsi" w:hAnsiTheme="majorHAnsi"/>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2C5144" w:rsidRPr="006B7A0C">
        <w:rPr>
          <w:rFonts w:asciiTheme="majorHAnsi" w:hAnsiTheme="majorHAnsi"/>
          <w:b/>
          <w:sz w:val="24"/>
          <w:szCs w:val="24"/>
        </w:rPr>
        <w:t>1.</w:t>
      </w:r>
      <w:r w:rsidR="00376239" w:rsidRPr="006B7A0C">
        <w:rPr>
          <w:rFonts w:asciiTheme="majorHAnsi" w:hAnsiTheme="majorHAnsi"/>
          <w:b/>
          <w:sz w:val="24"/>
          <w:szCs w:val="24"/>
        </w:rPr>
        <w:t>6</w:t>
      </w:r>
      <w:r w:rsidR="009B05F6" w:rsidRPr="006B7A0C">
        <w:rPr>
          <w:rFonts w:asciiTheme="majorHAnsi" w:hAnsiTheme="majorHAnsi" w:cstheme="majorHAnsi"/>
          <w:b/>
          <w:sz w:val="24"/>
          <w:szCs w:val="24"/>
        </w:rPr>
        <w:tab/>
      </w:r>
      <w:hyperlink r:id="rId19" w:history="1">
        <w:r w:rsidRPr="006B7A0C">
          <w:rPr>
            <w:rStyle w:val="Hyperlink"/>
            <w:rFonts w:asciiTheme="majorHAnsi" w:hAnsiTheme="majorHAnsi" w:cstheme="majorHAnsi"/>
            <w:b/>
            <w:bCs/>
            <w:sz w:val="24"/>
            <w:szCs w:val="24"/>
          </w:rPr>
          <w:t>EG-ITRs-5/8</w:t>
        </w:r>
      </w:hyperlink>
      <w:r w:rsidR="009B05F6" w:rsidRPr="006B7A0C">
        <w:rPr>
          <w:rFonts w:asciiTheme="majorHAnsi" w:hAnsiTheme="majorHAnsi" w:cstheme="majorHAnsi"/>
          <w:b/>
          <w:sz w:val="24"/>
          <w:szCs w:val="24"/>
        </w:rPr>
        <w:t xml:space="preserve"> from </w:t>
      </w:r>
      <w:r w:rsidR="006B7A0C" w:rsidRPr="006B7A0C">
        <w:rPr>
          <w:rFonts w:asciiTheme="majorHAnsi" w:hAnsiTheme="majorHAnsi"/>
          <w:b/>
          <w:sz w:val="24"/>
          <w:szCs w:val="24"/>
        </w:rPr>
        <w:t xml:space="preserve">Australia, Canada, and the United States of America - Overall observations based on the provision-by-provision examination of the 2012 International Telecommunication Regulations   </w:t>
      </w:r>
    </w:p>
    <w:p w14:paraId="70F4AD03" w14:textId="77777777" w:rsidR="007D000B" w:rsidRPr="007D000B" w:rsidRDefault="007D000B" w:rsidP="00292917">
      <w:pPr>
        <w:spacing w:before="120" w:after="120" w:line="240" w:lineRule="auto"/>
        <w:ind w:firstLine="720"/>
        <w:jc w:val="both"/>
        <w:rPr>
          <w:rFonts w:asciiTheme="majorHAnsi" w:hAnsiTheme="majorHAnsi"/>
          <w:sz w:val="24"/>
          <w:szCs w:val="24"/>
        </w:rPr>
      </w:pPr>
      <w:r w:rsidRPr="007D000B">
        <w:rPr>
          <w:rFonts w:asciiTheme="majorHAnsi" w:hAnsiTheme="majorHAnsi"/>
          <w:sz w:val="24"/>
          <w:szCs w:val="24"/>
        </w:rPr>
        <w:t xml:space="preserve">We commend the EG-ITRs on successfully completing the provision-by-provision examination of the 2012 ITRs, and we thank the EG-ITRs Chairman, Mr. </w:t>
      </w:r>
      <w:proofErr w:type="spellStart"/>
      <w:r w:rsidRPr="007D000B">
        <w:rPr>
          <w:rFonts w:asciiTheme="majorHAnsi" w:hAnsiTheme="majorHAnsi"/>
          <w:sz w:val="24"/>
          <w:szCs w:val="24"/>
        </w:rPr>
        <w:t>Lwando</w:t>
      </w:r>
      <w:proofErr w:type="spellEnd"/>
      <w:r w:rsidRPr="007D000B">
        <w:rPr>
          <w:rFonts w:asciiTheme="majorHAnsi" w:hAnsiTheme="majorHAnsi"/>
          <w:sz w:val="24"/>
          <w:szCs w:val="24"/>
        </w:rPr>
        <w:t xml:space="preserve"> </w:t>
      </w:r>
      <w:proofErr w:type="spellStart"/>
      <w:r w:rsidRPr="007D000B">
        <w:rPr>
          <w:rFonts w:asciiTheme="majorHAnsi" w:hAnsiTheme="majorHAnsi"/>
          <w:sz w:val="24"/>
          <w:szCs w:val="24"/>
        </w:rPr>
        <w:t>Bbuku</w:t>
      </w:r>
      <w:proofErr w:type="spellEnd"/>
      <w:r w:rsidRPr="007D000B">
        <w:rPr>
          <w:rFonts w:asciiTheme="majorHAnsi" w:hAnsiTheme="majorHAnsi"/>
          <w:sz w:val="24"/>
          <w:szCs w:val="24"/>
        </w:rPr>
        <w:t xml:space="preserve"> (Zambia), for his able leadership. </w:t>
      </w:r>
    </w:p>
    <w:p w14:paraId="515D0047" w14:textId="77777777" w:rsidR="007D000B" w:rsidRDefault="007D000B" w:rsidP="00292917">
      <w:pPr>
        <w:spacing w:before="120" w:after="120" w:line="240" w:lineRule="auto"/>
        <w:ind w:firstLine="720"/>
        <w:jc w:val="both"/>
        <w:rPr>
          <w:rFonts w:asciiTheme="majorHAnsi" w:hAnsiTheme="majorHAnsi"/>
          <w:sz w:val="24"/>
          <w:szCs w:val="24"/>
        </w:rPr>
      </w:pPr>
      <w:r w:rsidRPr="007D000B">
        <w:rPr>
          <w:rFonts w:asciiTheme="majorHAnsi" w:hAnsiTheme="majorHAnsi"/>
          <w:sz w:val="24"/>
          <w:szCs w:val="24"/>
        </w:rPr>
        <w:t xml:space="preserve">In our view, however, it remains unclear how a static, sector-specific treaty with limited real-world applicability could help foster the development of international telecommunication/ICT services and </w:t>
      </w:r>
      <w:proofErr w:type="gramStart"/>
      <w:r w:rsidRPr="007D000B">
        <w:rPr>
          <w:rFonts w:asciiTheme="majorHAnsi" w:hAnsiTheme="majorHAnsi"/>
          <w:sz w:val="24"/>
          <w:szCs w:val="24"/>
        </w:rPr>
        <w:t>networks, or</w:t>
      </w:r>
      <w:proofErr w:type="gramEnd"/>
      <w:r w:rsidRPr="007D000B">
        <w:rPr>
          <w:rFonts w:asciiTheme="majorHAnsi" w:hAnsiTheme="majorHAnsi"/>
          <w:sz w:val="24"/>
          <w:szCs w:val="24"/>
        </w:rPr>
        <w:t xml:space="preserve"> prove flexible enough to accommodate new trends and emerging issues in the international telecommunications/ICT environment. As the EG-ITRs prepares its final report to Council 2022, we note the continued lack of consensus to this end.</w:t>
      </w:r>
    </w:p>
    <w:p w14:paraId="596A6CEC" w14:textId="7A1CA050" w:rsidR="00135243" w:rsidRDefault="00355B77" w:rsidP="00292917">
      <w:pPr>
        <w:spacing w:before="120" w:after="120" w:line="240" w:lineRule="auto"/>
        <w:jc w:val="both"/>
        <w:rPr>
          <w:rFonts w:ascii="Calibri" w:eastAsia="Calibri" w:hAnsi="Calibri"/>
          <w:b/>
          <w:bCs/>
          <w:color w:val="0000FF"/>
          <w:sz w:val="24"/>
          <w:szCs w:val="24"/>
          <w:u w:val="single"/>
          <w:lang w:eastAsia="en-US"/>
        </w:rPr>
      </w:pPr>
      <w:r w:rsidRPr="006B7A0C">
        <w:rPr>
          <w:rFonts w:asciiTheme="majorHAnsi" w:hAnsiTheme="majorHAnsi"/>
          <w:b/>
          <w:sz w:val="24"/>
          <w:szCs w:val="24"/>
        </w:rPr>
        <w:t>4.1.7</w:t>
      </w:r>
      <w:r w:rsidRPr="006B7A0C">
        <w:rPr>
          <w:rFonts w:asciiTheme="majorHAnsi" w:hAnsiTheme="majorHAnsi"/>
          <w:b/>
          <w:sz w:val="24"/>
          <w:szCs w:val="24"/>
        </w:rPr>
        <w:tab/>
      </w:r>
      <w:hyperlink r:id="rId20" w:history="1">
        <w:r w:rsidRPr="006B7A0C">
          <w:rPr>
            <w:rFonts w:ascii="Calibri" w:eastAsia="Calibri" w:hAnsi="Calibri"/>
            <w:b/>
            <w:bCs/>
            <w:color w:val="0000FF"/>
            <w:sz w:val="24"/>
            <w:szCs w:val="24"/>
            <w:u w:val="single"/>
            <w:lang w:eastAsia="en-US"/>
          </w:rPr>
          <w:t>EG-ITRs-5/9</w:t>
        </w:r>
      </w:hyperlink>
      <w:r w:rsidR="007D000B">
        <w:rPr>
          <w:rFonts w:ascii="Calibri" w:eastAsia="Calibri" w:hAnsi="Calibri"/>
          <w:b/>
          <w:bCs/>
          <w:color w:val="0000FF"/>
          <w:sz w:val="24"/>
          <w:szCs w:val="24"/>
          <w:u w:val="single"/>
          <w:lang w:eastAsia="en-US"/>
        </w:rPr>
        <w:t xml:space="preserve"> </w:t>
      </w:r>
      <w:r w:rsidR="007D000B" w:rsidRPr="007D000B">
        <w:rPr>
          <w:rFonts w:ascii="Calibri" w:eastAsia="Calibri" w:hAnsi="Calibri"/>
          <w:b/>
          <w:bCs/>
          <w:sz w:val="24"/>
          <w:szCs w:val="24"/>
          <w:lang w:eastAsia="en-US"/>
        </w:rPr>
        <w:t>from AT&amp;T, Bell Mobility Canada, KDDI, NTT DOCOMO, Telefonica, Verizon - Sector Member contribution on overall observations based on the provision-by-provision examination of the 2012 International Telecommunication Regulations</w:t>
      </w:r>
    </w:p>
    <w:p w14:paraId="10CAC445" w14:textId="77777777" w:rsidR="00BB1FD7" w:rsidRPr="00BB1FD7" w:rsidRDefault="00BB1FD7" w:rsidP="00292917">
      <w:pPr>
        <w:spacing w:before="120" w:after="120" w:line="240" w:lineRule="auto"/>
        <w:ind w:firstLine="720"/>
        <w:jc w:val="both"/>
        <w:rPr>
          <w:rFonts w:asciiTheme="majorHAnsi" w:hAnsiTheme="majorHAnsi"/>
          <w:bCs/>
          <w:sz w:val="24"/>
          <w:szCs w:val="24"/>
        </w:rPr>
      </w:pPr>
      <w:r w:rsidRPr="00BB1FD7">
        <w:rPr>
          <w:rFonts w:asciiTheme="majorHAnsi" w:hAnsiTheme="majorHAnsi"/>
          <w:bCs/>
          <w:sz w:val="24"/>
          <w:szCs w:val="24"/>
        </w:rPr>
        <w:t>We appreciate the opportunity to share our observations on the provision-by-provision examination of the 2012 ITRs and reiterate the following perspectives:</w:t>
      </w:r>
    </w:p>
    <w:p w14:paraId="4DD83806" w14:textId="77777777" w:rsidR="00BB1FD7" w:rsidRPr="00BB1FD7" w:rsidRDefault="00BB1FD7" w:rsidP="00292917">
      <w:pPr>
        <w:spacing w:before="120" w:after="120" w:line="240" w:lineRule="auto"/>
        <w:jc w:val="both"/>
        <w:rPr>
          <w:rFonts w:asciiTheme="majorHAnsi" w:hAnsiTheme="majorHAnsi"/>
          <w:bCs/>
          <w:sz w:val="24"/>
          <w:szCs w:val="24"/>
        </w:rPr>
      </w:pPr>
      <w:r w:rsidRPr="00BB1FD7">
        <w:rPr>
          <w:rFonts w:asciiTheme="majorHAnsi" w:hAnsiTheme="majorHAnsi"/>
          <w:bCs/>
          <w:sz w:val="24"/>
          <w:szCs w:val="24"/>
        </w:rPr>
        <w:t>•</w:t>
      </w:r>
      <w:r w:rsidRPr="00BB1FD7">
        <w:rPr>
          <w:rFonts w:asciiTheme="majorHAnsi" w:hAnsiTheme="majorHAnsi"/>
          <w:bCs/>
          <w:sz w:val="24"/>
          <w:szCs w:val="24"/>
        </w:rPr>
        <w:tab/>
        <w:t>It is our view that the ITRs are not applicable to fostering the development of international networks and services, and not flexible enough to accommodate today’s dynamic marketplace and evolving technological landscape.</w:t>
      </w:r>
    </w:p>
    <w:p w14:paraId="7AEA176A" w14:textId="77777777" w:rsidR="00BB1FD7" w:rsidRPr="00BB1FD7" w:rsidRDefault="00BB1FD7" w:rsidP="00292917">
      <w:pPr>
        <w:spacing w:before="120" w:after="120" w:line="240" w:lineRule="auto"/>
        <w:jc w:val="both"/>
        <w:rPr>
          <w:rFonts w:asciiTheme="majorHAnsi" w:hAnsiTheme="majorHAnsi"/>
          <w:bCs/>
          <w:sz w:val="24"/>
          <w:szCs w:val="24"/>
        </w:rPr>
      </w:pPr>
      <w:r w:rsidRPr="00BB1FD7">
        <w:rPr>
          <w:rFonts w:asciiTheme="majorHAnsi" w:hAnsiTheme="majorHAnsi"/>
          <w:bCs/>
          <w:sz w:val="24"/>
          <w:szCs w:val="24"/>
        </w:rPr>
        <w:t>•</w:t>
      </w:r>
      <w:r w:rsidRPr="00BB1FD7">
        <w:rPr>
          <w:rFonts w:asciiTheme="majorHAnsi" w:hAnsiTheme="majorHAnsi"/>
          <w:bCs/>
          <w:sz w:val="24"/>
          <w:szCs w:val="24"/>
        </w:rPr>
        <w:tab/>
        <w:t>Treaty provisions cannot keep pace with the rapid speed of technology development and innovation and become quickly outdated. Moreover, efforts to address technical issues in a treaty instrument may have the unintended consequence of impeding network operators’ ability to quickly respond to changing network environments.</w:t>
      </w:r>
    </w:p>
    <w:p w14:paraId="01914A87" w14:textId="77777777" w:rsidR="00BB1FD7" w:rsidRPr="00BB1FD7" w:rsidRDefault="00BB1FD7" w:rsidP="00292917">
      <w:pPr>
        <w:spacing w:before="120" w:after="120" w:line="240" w:lineRule="auto"/>
        <w:jc w:val="both"/>
        <w:rPr>
          <w:rFonts w:asciiTheme="majorHAnsi" w:hAnsiTheme="majorHAnsi"/>
          <w:bCs/>
          <w:sz w:val="24"/>
          <w:szCs w:val="24"/>
        </w:rPr>
      </w:pPr>
      <w:r w:rsidRPr="00BB1FD7">
        <w:rPr>
          <w:rFonts w:asciiTheme="majorHAnsi" w:hAnsiTheme="majorHAnsi"/>
          <w:bCs/>
          <w:sz w:val="24"/>
          <w:szCs w:val="24"/>
        </w:rPr>
        <w:t>•</w:t>
      </w:r>
      <w:r w:rsidRPr="00BB1FD7">
        <w:rPr>
          <w:rFonts w:asciiTheme="majorHAnsi" w:hAnsiTheme="majorHAnsi"/>
          <w:bCs/>
          <w:sz w:val="24"/>
          <w:szCs w:val="24"/>
        </w:rPr>
        <w:tab/>
        <w:t xml:space="preserve">The continued successful deployment and use of telecommunication infrastructure and services worldwide is mostly realized through flexible policy frameworks that support ongoing innovation, market-based competition, </w:t>
      </w:r>
      <w:proofErr w:type="gramStart"/>
      <w:r w:rsidRPr="00BB1FD7">
        <w:rPr>
          <w:rFonts w:asciiTheme="majorHAnsi" w:hAnsiTheme="majorHAnsi"/>
          <w:bCs/>
          <w:sz w:val="24"/>
          <w:szCs w:val="24"/>
        </w:rPr>
        <w:t>mutually-agreed</w:t>
      </w:r>
      <w:proofErr w:type="gramEnd"/>
      <w:r w:rsidRPr="00BB1FD7">
        <w:rPr>
          <w:rFonts w:asciiTheme="majorHAnsi" w:hAnsiTheme="majorHAnsi"/>
          <w:bCs/>
          <w:sz w:val="24"/>
          <w:szCs w:val="24"/>
        </w:rPr>
        <w:t xml:space="preserve"> commercial agreements between providers, and private sector investment, and not through a treaty instrument such as the ITRs.</w:t>
      </w:r>
    </w:p>
    <w:p w14:paraId="58FAEF67" w14:textId="3DE4CAD3" w:rsidR="00BB1FD7" w:rsidRPr="00BB1FD7" w:rsidRDefault="00BB1FD7" w:rsidP="00292917">
      <w:pPr>
        <w:spacing w:before="120" w:after="120" w:line="240" w:lineRule="auto"/>
        <w:jc w:val="both"/>
        <w:rPr>
          <w:rFonts w:asciiTheme="majorHAnsi" w:hAnsiTheme="majorHAnsi"/>
          <w:bCs/>
          <w:sz w:val="24"/>
          <w:szCs w:val="24"/>
        </w:rPr>
      </w:pPr>
      <w:r w:rsidRPr="00BB1FD7">
        <w:rPr>
          <w:rFonts w:asciiTheme="majorHAnsi" w:hAnsiTheme="majorHAnsi"/>
          <w:bCs/>
          <w:sz w:val="24"/>
          <w:szCs w:val="24"/>
        </w:rPr>
        <w:t xml:space="preserve">Based on discussions during the previous EG-ITRs meetings and as reflected in the Examination Table, we recognize that some EG-ITRs participants share our views, while others </w:t>
      </w:r>
      <w:r w:rsidRPr="00BB1FD7">
        <w:rPr>
          <w:rFonts w:asciiTheme="majorHAnsi" w:hAnsiTheme="majorHAnsi"/>
          <w:bCs/>
          <w:sz w:val="24"/>
          <w:szCs w:val="24"/>
        </w:rPr>
        <w:lastRenderedPageBreak/>
        <w:t>do not. Given these divergent positions it is not clear to us how any further discussions regarding the applicability and flexibility, or review of the ITRs, would lead to a different result. For that reason, we would not see a benefit in dedicating additional ITU resources to conduct future work on this matter once this EG-ITRs has fulfilled its Terms of Reference.</w:t>
      </w:r>
    </w:p>
    <w:p w14:paraId="0000004F" w14:textId="27E186BB" w:rsidR="00D044C6" w:rsidRPr="006B7A0C" w:rsidRDefault="00135243" w:rsidP="00292917">
      <w:pPr>
        <w:spacing w:before="360" w:after="120" w:line="240" w:lineRule="auto"/>
        <w:rPr>
          <w:rFonts w:asciiTheme="majorHAnsi" w:hAnsiTheme="majorHAnsi"/>
          <w:sz w:val="24"/>
          <w:szCs w:val="24"/>
        </w:rPr>
      </w:pPr>
      <w:r w:rsidRPr="006B7A0C">
        <w:rPr>
          <w:rFonts w:asciiTheme="majorHAnsi" w:hAnsiTheme="majorHAnsi"/>
          <w:b/>
          <w:sz w:val="24"/>
          <w:szCs w:val="24"/>
        </w:rPr>
        <w:t>4</w:t>
      </w:r>
      <w:r w:rsidR="002C5144" w:rsidRPr="006B7A0C">
        <w:rPr>
          <w:rFonts w:asciiTheme="majorHAnsi" w:hAnsiTheme="majorHAnsi"/>
          <w:b/>
          <w:sz w:val="24"/>
          <w:szCs w:val="24"/>
        </w:rPr>
        <w:t>.</w:t>
      </w:r>
      <w:r w:rsidR="00D84690" w:rsidRPr="006B7A0C">
        <w:rPr>
          <w:rFonts w:asciiTheme="majorHAnsi" w:hAnsiTheme="majorHAnsi"/>
          <w:b/>
          <w:sz w:val="24"/>
          <w:szCs w:val="24"/>
        </w:rPr>
        <w:t>2</w:t>
      </w:r>
      <w:r w:rsidR="009B05F6" w:rsidRPr="006B7A0C">
        <w:rPr>
          <w:rFonts w:asciiTheme="majorHAnsi" w:hAnsiTheme="majorHAnsi"/>
          <w:b/>
          <w:sz w:val="24"/>
          <w:szCs w:val="24"/>
        </w:rPr>
        <w:tab/>
        <w:t>Discussions on the Contributions</w:t>
      </w:r>
    </w:p>
    <w:p w14:paraId="44015706" w14:textId="3BB7669B" w:rsidR="00DB0871" w:rsidRDefault="00135243" w:rsidP="00292917">
      <w:pPr>
        <w:spacing w:before="120" w:after="120" w:line="240" w:lineRule="auto"/>
        <w:jc w:val="both"/>
        <w:rPr>
          <w:rFonts w:asciiTheme="majorHAnsi" w:hAnsiTheme="majorHAnsi"/>
          <w:bCs/>
          <w:sz w:val="24"/>
          <w:szCs w:val="24"/>
        </w:rPr>
      </w:pPr>
      <w:r w:rsidRPr="006B7A0C">
        <w:rPr>
          <w:rFonts w:asciiTheme="majorHAnsi" w:hAnsiTheme="majorHAnsi"/>
          <w:b/>
          <w:sz w:val="24"/>
          <w:szCs w:val="24"/>
        </w:rPr>
        <w:t>4</w:t>
      </w:r>
      <w:r w:rsidR="009B05F6" w:rsidRPr="006B7A0C">
        <w:rPr>
          <w:rFonts w:asciiTheme="majorHAnsi" w:hAnsiTheme="majorHAnsi"/>
          <w:b/>
          <w:sz w:val="24"/>
          <w:szCs w:val="24"/>
        </w:rPr>
        <w:t>.</w:t>
      </w:r>
      <w:r w:rsidR="00D84690" w:rsidRPr="006B7A0C">
        <w:rPr>
          <w:rFonts w:asciiTheme="majorHAnsi" w:hAnsiTheme="majorHAnsi"/>
          <w:b/>
          <w:sz w:val="24"/>
          <w:szCs w:val="24"/>
        </w:rPr>
        <w:t>2</w:t>
      </w:r>
      <w:r w:rsidR="00A37118" w:rsidRPr="006B7A0C">
        <w:rPr>
          <w:rFonts w:asciiTheme="majorHAnsi" w:hAnsiTheme="majorHAnsi"/>
          <w:b/>
          <w:sz w:val="24"/>
          <w:szCs w:val="24"/>
        </w:rPr>
        <w:t>.1</w:t>
      </w:r>
      <w:r w:rsidR="00276870">
        <w:rPr>
          <w:rFonts w:asciiTheme="majorHAnsi" w:hAnsiTheme="majorHAnsi"/>
          <w:b/>
          <w:sz w:val="24"/>
          <w:szCs w:val="24"/>
        </w:rPr>
        <w:tab/>
      </w:r>
      <w:r w:rsidR="00DB0871" w:rsidRPr="00DB0871">
        <w:rPr>
          <w:rFonts w:asciiTheme="majorHAnsi" w:hAnsiTheme="majorHAnsi"/>
          <w:bCs/>
          <w:sz w:val="24"/>
          <w:szCs w:val="24"/>
        </w:rPr>
        <w:t>With reference to the contributions received, t</w:t>
      </w:r>
      <w:r w:rsidR="00DB0871">
        <w:rPr>
          <w:rFonts w:asciiTheme="majorHAnsi" w:hAnsiTheme="majorHAnsi"/>
          <w:bCs/>
          <w:sz w:val="24"/>
          <w:szCs w:val="24"/>
        </w:rPr>
        <w:t xml:space="preserve">he mandate and </w:t>
      </w:r>
      <w:r w:rsidR="00523CB6">
        <w:rPr>
          <w:rFonts w:asciiTheme="majorHAnsi" w:hAnsiTheme="majorHAnsi"/>
          <w:bCs/>
          <w:sz w:val="24"/>
          <w:szCs w:val="24"/>
        </w:rPr>
        <w:t xml:space="preserve">scope of work </w:t>
      </w:r>
      <w:r w:rsidR="0047659D">
        <w:rPr>
          <w:rFonts w:asciiTheme="majorHAnsi" w:hAnsiTheme="majorHAnsi"/>
          <w:bCs/>
          <w:sz w:val="24"/>
          <w:szCs w:val="24"/>
        </w:rPr>
        <w:t xml:space="preserve">for </w:t>
      </w:r>
      <w:r w:rsidR="00DB0871">
        <w:rPr>
          <w:rFonts w:asciiTheme="majorHAnsi" w:hAnsiTheme="majorHAnsi"/>
          <w:bCs/>
          <w:sz w:val="24"/>
          <w:szCs w:val="24"/>
        </w:rPr>
        <w:t xml:space="preserve">the EG-ITRs </w:t>
      </w:r>
      <w:r w:rsidR="00C20591">
        <w:rPr>
          <w:rFonts w:asciiTheme="majorHAnsi" w:hAnsiTheme="majorHAnsi"/>
          <w:bCs/>
          <w:sz w:val="24"/>
          <w:szCs w:val="24"/>
        </w:rPr>
        <w:t>was</w:t>
      </w:r>
      <w:r w:rsidR="00DB0871">
        <w:rPr>
          <w:rFonts w:asciiTheme="majorHAnsi" w:hAnsiTheme="majorHAnsi"/>
          <w:bCs/>
          <w:sz w:val="24"/>
          <w:szCs w:val="24"/>
        </w:rPr>
        <w:t xml:space="preserve"> discussed.</w:t>
      </w:r>
    </w:p>
    <w:p w14:paraId="1575ED2F" w14:textId="28378284" w:rsidR="00260677" w:rsidRDefault="00DB0871" w:rsidP="00292917">
      <w:pPr>
        <w:spacing w:before="120" w:after="120" w:line="240" w:lineRule="auto"/>
        <w:jc w:val="both"/>
        <w:rPr>
          <w:rFonts w:asciiTheme="majorHAnsi" w:hAnsiTheme="majorHAnsi"/>
          <w:sz w:val="24"/>
          <w:szCs w:val="24"/>
        </w:rPr>
      </w:pPr>
      <w:r w:rsidRPr="00C20591">
        <w:rPr>
          <w:rFonts w:asciiTheme="majorHAnsi" w:hAnsiTheme="majorHAnsi"/>
          <w:b/>
          <w:sz w:val="24"/>
          <w:szCs w:val="24"/>
        </w:rPr>
        <w:t>4.2.2</w:t>
      </w:r>
      <w:r>
        <w:rPr>
          <w:rFonts w:asciiTheme="majorHAnsi" w:hAnsiTheme="majorHAnsi"/>
          <w:bCs/>
          <w:sz w:val="24"/>
          <w:szCs w:val="24"/>
        </w:rPr>
        <w:tab/>
      </w:r>
      <w:r w:rsidR="00260677">
        <w:rPr>
          <w:rFonts w:asciiTheme="majorHAnsi" w:hAnsiTheme="majorHAnsi"/>
          <w:sz w:val="24"/>
          <w:szCs w:val="24"/>
        </w:rPr>
        <w:t>Some members were of the view that</w:t>
      </w:r>
      <w:r w:rsidR="00C124B8">
        <w:rPr>
          <w:rFonts w:asciiTheme="majorHAnsi" w:hAnsiTheme="majorHAnsi"/>
          <w:sz w:val="24"/>
          <w:szCs w:val="24"/>
        </w:rPr>
        <w:t>, in addition to the provision-by-provision review of the ITRs,</w:t>
      </w:r>
      <w:r>
        <w:rPr>
          <w:rFonts w:asciiTheme="majorHAnsi" w:hAnsiTheme="majorHAnsi"/>
          <w:sz w:val="24"/>
          <w:szCs w:val="24"/>
        </w:rPr>
        <w:t xml:space="preserve"> the mandate of the Group </w:t>
      </w:r>
      <w:r w:rsidR="00C124B8">
        <w:rPr>
          <w:rFonts w:asciiTheme="majorHAnsi" w:hAnsiTheme="majorHAnsi"/>
          <w:sz w:val="24"/>
          <w:szCs w:val="24"/>
        </w:rPr>
        <w:t xml:space="preserve">includes </w:t>
      </w:r>
      <w:r>
        <w:rPr>
          <w:rFonts w:asciiTheme="majorHAnsi" w:hAnsiTheme="majorHAnsi"/>
          <w:sz w:val="24"/>
          <w:szCs w:val="24"/>
        </w:rPr>
        <w:t>reach</w:t>
      </w:r>
      <w:r w:rsidR="00C124B8">
        <w:rPr>
          <w:rFonts w:asciiTheme="majorHAnsi" w:hAnsiTheme="majorHAnsi"/>
          <w:sz w:val="24"/>
          <w:szCs w:val="24"/>
        </w:rPr>
        <w:t>ing</w:t>
      </w:r>
      <w:r>
        <w:rPr>
          <w:rFonts w:asciiTheme="majorHAnsi" w:hAnsiTheme="majorHAnsi"/>
          <w:sz w:val="24"/>
          <w:szCs w:val="24"/>
        </w:rPr>
        <w:t xml:space="preserve"> some agreement on a way forward in respect of the ITRs, including</w:t>
      </w:r>
      <w:r w:rsidR="0047659D">
        <w:rPr>
          <w:rFonts w:asciiTheme="majorHAnsi" w:hAnsiTheme="majorHAnsi"/>
          <w:sz w:val="24"/>
          <w:szCs w:val="24"/>
        </w:rPr>
        <w:t xml:space="preserve"> proposing any revisions/amendments to the ITRs as may be necessary to update them, </w:t>
      </w:r>
      <w:proofErr w:type="gramStart"/>
      <w:r w:rsidR="0047659D" w:rsidRPr="00DB0871">
        <w:rPr>
          <w:rFonts w:asciiTheme="majorHAnsi" w:hAnsiTheme="majorHAnsi"/>
          <w:sz w:val="24"/>
          <w:szCs w:val="24"/>
        </w:rPr>
        <w:t>taking into account</w:t>
      </w:r>
      <w:proofErr w:type="gramEnd"/>
      <w:r w:rsidR="0047659D" w:rsidRPr="00DB0871">
        <w:rPr>
          <w:rFonts w:asciiTheme="majorHAnsi" w:hAnsiTheme="majorHAnsi"/>
          <w:sz w:val="24"/>
          <w:szCs w:val="24"/>
        </w:rPr>
        <w:t xml:space="preserve"> new trends in telecommunications/ICT and emerging issues in international telecommunications/ICT environment</w:t>
      </w:r>
      <w:r w:rsidR="0047659D">
        <w:rPr>
          <w:rFonts w:asciiTheme="majorHAnsi" w:hAnsiTheme="majorHAnsi"/>
          <w:sz w:val="24"/>
          <w:szCs w:val="24"/>
        </w:rPr>
        <w:t>.</w:t>
      </w:r>
      <w:r w:rsidR="00260677">
        <w:rPr>
          <w:rFonts w:asciiTheme="majorHAnsi" w:hAnsiTheme="majorHAnsi"/>
          <w:sz w:val="24"/>
          <w:szCs w:val="24"/>
        </w:rPr>
        <w:t xml:space="preserve"> </w:t>
      </w:r>
      <w:r w:rsidR="0047659D">
        <w:rPr>
          <w:rFonts w:asciiTheme="majorHAnsi" w:hAnsiTheme="majorHAnsi"/>
          <w:sz w:val="24"/>
          <w:szCs w:val="24"/>
        </w:rPr>
        <w:t xml:space="preserve">These members cited </w:t>
      </w:r>
      <w:hyperlink r:id="rId21" w:history="1">
        <w:r w:rsidR="0047659D" w:rsidRPr="0047659D">
          <w:rPr>
            <w:rStyle w:val="Hyperlink"/>
            <w:rFonts w:asciiTheme="majorHAnsi" w:hAnsiTheme="majorHAnsi"/>
            <w:sz w:val="24"/>
            <w:szCs w:val="24"/>
          </w:rPr>
          <w:t>PP Resolution 146 (Rev. Dubai 2018)</w:t>
        </w:r>
      </w:hyperlink>
      <w:r w:rsidR="0047659D">
        <w:rPr>
          <w:rFonts w:asciiTheme="majorHAnsi" w:hAnsiTheme="majorHAnsi"/>
          <w:sz w:val="24"/>
          <w:szCs w:val="24"/>
        </w:rPr>
        <w:t xml:space="preserve"> and </w:t>
      </w:r>
      <w:hyperlink r:id="rId22" w:history="1">
        <w:r w:rsidR="00260677" w:rsidRPr="00DB0871">
          <w:rPr>
            <w:rStyle w:val="Hyperlink"/>
            <w:rFonts w:asciiTheme="majorHAnsi" w:hAnsiTheme="majorHAnsi"/>
            <w:sz w:val="24"/>
            <w:szCs w:val="24"/>
          </w:rPr>
          <w:t>Council Resolution 1379 (Mod. 2019)</w:t>
        </w:r>
      </w:hyperlink>
      <w:r w:rsidR="00260677">
        <w:rPr>
          <w:rFonts w:asciiTheme="majorHAnsi" w:hAnsiTheme="majorHAnsi"/>
          <w:sz w:val="24"/>
          <w:szCs w:val="24"/>
        </w:rPr>
        <w:t xml:space="preserve"> </w:t>
      </w:r>
      <w:r w:rsidR="0047659D">
        <w:rPr>
          <w:rFonts w:asciiTheme="majorHAnsi" w:hAnsiTheme="majorHAnsi"/>
          <w:sz w:val="24"/>
          <w:szCs w:val="24"/>
        </w:rPr>
        <w:t xml:space="preserve">which </w:t>
      </w:r>
      <w:r w:rsidR="00260677">
        <w:rPr>
          <w:rFonts w:asciiTheme="majorHAnsi" w:hAnsiTheme="majorHAnsi"/>
          <w:sz w:val="24"/>
          <w:szCs w:val="24"/>
        </w:rPr>
        <w:t xml:space="preserve">states that </w:t>
      </w:r>
      <w:r w:rsidR="0047659D">
        <w:rPr>
          <w:rFonts w:asciiTheme="majorHAnsi" w:hAnsiTheme="majorHAnsi"/>
          <w:sz w:val="24"/>
          <w:szCs w:val="24"/>
        </w:rPr>
        <w:t>“</w:t>
      </w:r>
      <w:r w:rsidR="0047659D" w:rsidRPr="0047659D">
        <w:rPr>
          <w:rFonts w:asciiTheme="majorHAnsi" w:hAnsiTheme="majorHAnsi"/>
          <w:i/>
          <w:iCs/>
          <w:sz w:val="24"/>
          <w:szCs w:val="24"/>
        </w:rPr>
        <w:t>an Expert Group on the International Telecommunication Regulations (EG-ITRs), open to all Member States and Sector Members, be reconvened to conduct a comprehensive review of the ITRs with a view to achieving consensus on the way forward in respect of the ITRs, with the Terms of Reference shown in Annex 1 of this Resolution</w:t>
      </w:r>
      <w:r w:rsidR="0047659D">
        <w:rPr>
          <w:rFonts w:asciiTheme="majorHAnsi" w:hAnsiTheme="majorHAnsi"/>
          <w:sz w:val="24"/>
          <w:szCs w:val="24"/>
        </w:rPr>
        <w:t>.”</w:t>
      </w:r>
      <w:r>
        <w:rPr>
          <w:rFonts w:asciiTheme="majorHAnsi" w:hAnsiTheme="majorHAnsi"/>
          <w:sz w:val="24"/>
          <w:szCs w:val="24"/>
        </w:rPr>
        <w:t xml:space="preserve"> </w:t>
      </w:r>
    </w:p>
    <w:p w14:paraId="2AF37578" w14:textId="18ABB3E6" w:rsidR="0047659D" w:rsidRDefault="00260677" w:rsidP="00292917">
      <w:pPr>
        <w:spacing w:before="120" w:after="120" w:line="240" w:lineRule="auto"/>
        <w:jc w:val="both"/>
        <w:rPr>
          <w:rFonts w:asciiTheme="majorHAnsi" w:hAnsiTheme="majorHAnsi"/>
          <w:sz w:val="24"/>
          <w:szCs w:val="24"/>
        </w:rPr>
      </w:pPr>
      <w:r>
        <w:rPr>
          <w:rFonts w:asciiTheme="majorHAnsi" w:hAnsiTheme="majorHAnsi"/>
          <w:sz w:val="24"/>
          <w:szCs w:val="24"/>
        </w:rPr>
        <w:tab/>
        <w:t>Some members were of</w:t>
      </w:r>
      <w:r w:rsidR="0047659D">
        <w:rPr>
          <w:rFonts w:asciiTheme="majorHAnsi" w:hAnsiTheme="majorHAnsi"/>
          <w:sz w:val="24"/>
          <w:szCs w:val="24"/>
        </w:rPr>
        <w:t xml:space="preserve"> the</w:t>
      </w:r>
      <w:r>
        <w:rPr>
          <w:rFonts w:asciiTheme="majorHAnsi" w:hAnsiTheme="majorHAnsi"/>
          <w:sz w:val="24"/>
          <w:szCs w:val="24"/>
        </w:rPr>
        <w:t xml:space="preserve"> view that the </w:t>
      </w:r>
      <w:r w:rsidR="00DB0871">
        <w:rPr>
          <w:rFonts w:asciiTheme="majorHAnsi" w:hAnsiTheme="majorHAnsi"/>
          <w:sz w:val="24"/>
          <w:szCs w:val="24"/>
        </w:rPr>
        <w:t xml:space="preserve">mandate of the </w:t>
      </w:r>
      <w:r>
        <w:rPr>
          <w:rFonts w:asciiTheme="majorHAnsi" w:hAnsiTheme="majorHAnsi"/>
          <w:sz w:val="24"/>
          <w:szCs w:val="24"/>
        </w:rPr>
        <w:t xml:space="preserve">Group </w:t>
      </w:r>
      <w:r w:rsidR="00DB0871">
        <w:rPr>
          <w:rFonts w:asciiTheme="majorHAnsi" w:hAnsiTheme="majorHAnsi"/>
          <w:sz w:val="24"/>
          <w:szCs w:val="24"/>
        </w:rPr>
        <w:t xml:space="preserve">is </w:t>
      </w:r>
      <w:r w:rsidR="0047659D">
        <w:rPr>
          <w:rFonts w:asciiTheme="majorHAnsi" w:hAnsiTheme="majorHAnsi"/>
          <w:sz w:val="24"/>
          <w:szCs w:val="24"/>
        </w:rPr>
        <w:t xml:space="preserve">clearly </w:t>
      </w:r>
      <w:r w:rsidR="00DB0871">
        <w:rPr>
          <w:rFonts w:asciiTheme="majorHAnsi" w:hAnsiTheme="majorHAnsi"/>
          <w:sz w:val="24"/>
          <w:szCs w:val="24"/>
        </w:rPr>
        <w:t xml:space="preserve">set out in the </w:t>
      </w:r>
      <w:r>
        <w:rPr>
          <w:rFonts w:asciiTheme="majorHAnsi" w:hAnsiTheme="majorHAnsi"/>
          <w:sz w:val="24"/>
          <w:szCs w:val="24"/>
        </w:rPr>
        <w:t>Terms of Reference in Council Resolution 1379 (Mod. 2019)</w:t>
      </w:r>
      <w:r w:rsidR="0047659D">
        <w:rPr>
          <w:rFonts w:asciiTheme="majorHAnsi" w:hAnsiTheme="majorHAnsi"/>
          <w:sz w:val="24"/>
          <w:szCs w:val="24"/>
        </w:rPr>
        <w:t xml:space="preserve"> </w:t>
      </w:r>
      <w:r w:rsidR="00523CB6">
        <w:rPr>
          <w:rFonts w:asciiTheme="majorHAnsi" w:hAnsiTheme="majorHAnsi"/>
          <w:sz w:val="24"/>
          <w:szCs w:val="24"/>
        </w:rPr>
        <w:t>which</w:t>
      </w:r>
      <w:r>
        <w:rPr>
          <w:rFonts w:asciiTheme="majorHAnsi" w:hAnsiTheme="majorHAnsi"/>
          <w:sz w:val="24"/>
          <w:szCs w:val="24"/>
        </w:rPr>
        <w:t xml:space="preserve"> focus </w:t>
      </w:r>
      <w:r w:rsidR="0047659D">
        <w:rPr>
          <w:rFonts w:asciiTheme="majorHAnsi" w:hAnsiTheme="majorHAnsi"/>
          <w:sz w:val="24"/>
          <w:szCs w:val="24"/>
        </w:rPr>
        <w:t xml:space="preserve">on </w:t>
      </w:r>
      <w:r>
        <w:rPr>
          <w:rFonts w:asciiTheme="majorHAnsi" w:hAnsiTheme="majorHAnsi"/>
          <w:sz w:val="24"/>
          <w:szCs w:val="24"/>
        </w:rPr>
        <w:t>undertaking a “</w:t>
      </w:r>
      <w:r w:rsidRPr="00260677">
        <w:rPr>
          <w:rFonts w:asciiTheme="majorHAnsi" w:hAnsiTheme="majorHAnsi"/>
          <w:i/>
          <w:iCs/>
          <w:sz w:val="24"/>
          <w:szCs w:val="24"/>
        </w:rPr>
        <w:t>provision-by-provision examination of the ITRs, focusing on the 2012 ITRs, taking into account new trends in telecommunications/ICT and emerging issues in international telecommunications/ICT environment</w:t>
      </w:r>
      <w:r>
        <w:rPr>
          <w:rFonts w:asciiTheme="majorHAnsi" w:hAnsiTheme="majorHAnsi"/>
          <w:sz w:val="24"/>
          <w:szCs w:val="24"/>
        </w:rPr>
        <w:t xml:space="preserve">” and submitting a report reflecting all views on the ITRs review to Council 2022 </w:t>
      </w:r>
      <w:r w:rsidRPr="00260677">
        <w:rPr>
          <w:rFonts w:asciiTheme="majorHAnsi" w:hAnsiTheme="majorHAnsi"/>
          <w:sz w:val="24"/>
          <w:szCs w:val="24"/>
        </w:rPr>
        <w:t xml:space="preserve">for examination and submission to the 2022 Plenipotentiary Conference </w:t>
      </w:r>
      <w:r w:rsidR="00C20591">
        <w:rPr>
          <w:rFonts w:asciiTheme="majorHAnsi" w:hAnsiTheme="majorHAnsi"/>
          <w:sz w:val="24"/>
          <w:szCs w:val="24"/>
        </w:rPr>
        <w:t xml:space="preserve">(PP) </w:t>
      </w:r>
      <w:r w:rsidRPr="00260677">
        <w:rPr>
          <w:rFonts w:asciiTheme="majorHAnsi" w:hAnsiTheme="majorHAnsi"/>
          <w:sz w:val="24"/>
          <w:szCs w:val="24"/>
        </w:rPr>
        <w:t>with the Council’s comments.</w:t>
      </w:r>
      <w:r w:rsidR="00DB0871">
        <w:rPr>
          <w:rFonts w:asciiTheme="majorHAnsi" w:hAnsiTheme="majorHAnsi"/>
          <w:sz w:val="24"/>
          <w:szCs w:val="24"/>
        </w:rPr>
        <w:t xml:space="preserve"> </w:t>
      </w:r>
      <w:r w:rsidR="0047659D">
        <w:rPr>
          <w:rFonts w:asciiTheme="majorHAnsi" w:hAnsiTheme="majorHAnsi"/>
          <w:sz w:val="24"/>
          <w:szCs w:val="24"/>
        </w:rPr>
        <w:t xml:space="preserve">These members were of the view that the Group has achieved its mandate by completing a provision-by-provision review of the ITRs, and </w:t>
      </w:r>
      <w:r w:rsidR="00C124B8">
        <w:rPr>
          <w:rFonts w:asciiTheme="majorHAnsi" w:hAnsiTheme="majorHAnsi"/>
          <w:sz w:val="24"/>
          <w:szCs w:val="24"/>
        </w:rPr>
        <w:t xml:space="preserve">that </w:t>
      </w:r>
      <w:r w:rsidR="0047659D">
        <w:rPr>
          <w:rFonts w:asciiTheme="majorHAnsi" w:hAnsiTheme="majorHAnsi"/>
          <w:sz w:val="24"/>
          <w:szCs w:val="24"/>
        </w:rPr>
        <w:t>a factual report of this review, the Examination Table, and any related discussions is sufficient for the purpose of reporting</w:t>
      </w:r>
      <w:r w:rsidR="00C124B8">
        <w:rPr>
          <w:rFonts w:asciiTheme="majorHAnsi" w:hAnsiTheme="majorHAnsi"/>
          <w:sz w:val="24"/>
          <w:szCs w:val="24"/>
        </w:rPr>
        <w:t xml:space="preserve"> </w:t>
      </w:r>
      <w:r w:rsidR="0047659D">
        <w:rPr>
          <w:rFonts w:asciiTheme="majorHAnsi" w:hAnsiTheme="majorHAnsi"/>
          <w:sz w:val="24"/>
          <w:szCs w:val="24"/>
        </w:rPr>
        <w:t xml:space="preserve">to Council 2022, </w:t>
      </w:r>
      <w:r w:rsidR="00C124B8">
        <w:rPr>
          <w:rFonts w:asciiTheme="majorHAnsi" w:hAnsiTheme="majorHAnsi"/>
          <w:sz w:val="24"/>
          <w:szCs w:val="24"/>
        </w:rPr>
        <w:t xml:space="preserve">while also </w:t>
      </w:r>
      <w:r w:rsidR="0047659D">
        <w:rPr>
          <w:rFonts w:asciiTheme="majorHAnsi" w:hAnsiTheme="majorHAnsi"/>
          <w:sz w:val="24"/>
          <w:szCs w:val="24"/>
        </w:rPr>
        <w:t>stating that there is no consensus within the Group on the way forward.</w:t>
      </w:r>
      <w:r w:rsidR="00C20591">
        <w:rPr>
          <w:rFonts w:asciiTheme="majorHAnsi" w:hAnsiTheme="majorHAnsi"/>
          <w:sz w:val="24"/>
          <w:szCs w:val="24"/>
        </w:rPr>
        <w:t xml:space="preserve"> Discussions on the way forward may be left up to Council and </w:t>
      </w:r>
      <w:r w:rsidR="00C124B8">
        <w:rPr>
          <w:rFonts w:asciiTheme="majorHAnsi" w:hAnsiTheme="majorHAnsi"/>
          <w:sz w:val="24"/>
          <w:szCs w:val="24"/>
        </w:rPr>
        <w:t>ITU Plenipotentiary Conference 2022</w:t>
      </w:r>
      <w:r w:rsidR="00C20591">
        <w:rPr>
          <w:rFonts w:asciiTheme="majorHAnsi" w:hAnsiTheme="majorHAnsi"/>
          <w:sz w:val="24"/>
          <w:szCs w:val="24"/>
        </w:rPr>
        <w:t>.</w:t>
      </w:r>
    </w:p>
    <w:p w14:paraId="60BA35B8" w14:textId="5C9A2A1D" w:rsidR="00260677" w:rsidRDefault="00260677" w:rsidP="00292917">
      <w:pPr>
        <w:spacing w:before="120" w:after="120" w:line="240" w:lineRule="auto"/>
        <w:jc w:val="both"/>
        <w:rPr>
          <w:rFonts w:asciiTheme="majorHAnsi" w:hAnsiTheme="majorHAnsi"/>
          <w:bCs/>
          <w:sz w:val="24"/>
          <w:szCs w:val="24"/>
        </w:rPr>
      </w:pPr>
      <w:r w:rsidRPr="00260677">
        <w:rPr>
          <w:rFonts w:asciiTheme="majorHAnsi" w:hAnsiTheme="majorHAnsi"/>
          <w:b/>
          <w:bCs/>
          <w:sz w:val="24"/>
          <w:szCs w:val="24"/>
        </w:rPr>
        <w:t>4.2.</w:t>
      </w:r>
      <w:r w:rsidR="00C20591">
        <w:rPr>
          <w:rFonts w:asciiTheme="majorHAnsi" w:hAnsiTheme="majorHAnsi"/>
          <w:b/>
          <w:bCs/>
          <w:sz w:val="24"/>
          <w:szCs w:val="24"/>
        </w:rPr>
        <w:t>3</w:t>
      </w:r>
      <w:r>
        <w:rPr>
          <w:rFonts w:asciiTheme="majorHAnsi" w:hAnsiTheme="majorHAnsi"/>
          <w:b/>
          <w:bCs/>
          <w:sz w:val="24"/>
          <w:szCs w:val="24"/>
        </w:rPr>
        <w:tab/>
      </w:r>
      <w:r w:rsidR="00C20591">
        <w:rPr>
          <w:rFonts w:asciiTheme="majorHAnsi" w:hAnsiTheme="majorHAnsi"/>
          <w:bCs/>
          <w:sz w:val="24"/>
          <w:szCs w:val="24"/>
        </w:rPr>
        <w:t xml:space="preserve">Some members were of the opinion that the ITRs continue to remain relevant and </w:t>
      </w:r>
      <w:proofErr w:type="gramStart"/>
      <w:r w:rsidR="00C20591">
        <w:rPr>
          <w:rFonts w:asciiTheme="majorHAnsi" w:hAnsiTheme="majorHAnsi"/>
          <w:bCs/>
          <w:sz w:val="24"/>
          <w:szCs w:val="24"/>
        </w:rPr>
        <w:t>applicable, and</w:t>
      </w:r>
      <w:proofErr w:type="gramEnd"/>
      <w:r w:rsidR="00C20591">
        <w:rPr>
          <w:rFonts w:asciiTheme="majorHAnsi" w:hAnsiTheme="majorHAnsi"/>
          <w:bCs/>
          <w:sz w:val="24"/>
          <w:szCs w:val="24"/>
        </w:rPr>
        <w:t xml:space="preserve"> are currently in use by operators within their region. They suggested that the current difficulties caused by having two different versions of the treaties can only be resolved by harmonizing the two treaties</w:t>
      </w:r>
      <w:r w:rsidR="004236F6">
        <w:rPr>
          <w:rFonts w:asciiTheme="majorHAnsi" w:hAnsiTheme="majorHAnsi"/>
          <w:bCs/>
          <w:sz w:val="24"/>
          <w:szCs w:val="24"/>
        </w:rPr>
        <w:t>, and by updating the ITRs to reflect the new trends in the telecommunication</w:t>
      </w:r>
      <w:r w:rsidR="00523CB6">
        <w:rPr>
          <w:rFonts w:asciiTheme="majorHAnsi" w:hAnsiTheme="majorHAnsi"/>
          <w:bCs/>
          <w:sz w:val="24"/>
          <w:szCs w:val="24"/>
        </w:rPr>
        <w:t>/ICT</w:t>
      </w:r>
      <w:r w:rsidR="004236F6">
        <w:rPr>
          <w:rFonts w:asciiTheme="majorHAnsi" w:hAnsiTheme="majorHAnsi"/>
          <w:bCs/>
          <w:sz w:val="24"/>
          <w:szCs w:val="24"/>
        </w:rPr>
        <w:t xml:space="preserve"> environment. These members proposed</w:t>
      </w:r>
      <w:r w:rsidR="00C20591">
        <w:rPr>
          <w:rFonts w:asciiTheme="majorHAnsi" w:hAnsiTheme="majorHAnsi"/>
          <w:bCs/>
          <w:sz w:val="24"/>
          <w:szCs w:val="24"/>
        </w:rPr>
        <w:t xml:space="preserve"> </w:t>
      </w:r>
      <w:r w:rsidR="004236F6">
        <w:rPr>
          <w:rFonts w:asciiTheme="majorHAnsi" w:hAnsiTheme="majorHAnsi"/>
          <w:bCs/>
          <w:sz w:val="24"/>
          <w:szCs w:val="24"/>
        </w:rPr>
        <w:t xml:space="preserve">finding ways to </w:t>
      </w:r>
      <w:r w:rsidR="00C20591">
        <w:rPr>
          <w:rFonts w:asciiTheme="majorHAnsi" w:hAnsiTheme="majorHAnsi"/>
          <w:bCs/>
          <w:sz w:val="24"/>
          <w:szCs w:val="24"/>
        </w:rPr>
        <w:t>reach</w:t>
      </w:r>
      <w:r w:rsidR="004236F6">
        <w:rPr>
          <w:rFonts w:asciiTheme="majorHAnsi" w:hAnsiTheme="majorHAnsi"/>
          <w:bCs/>
          <w:sz w:val="24"/>
          <w:szCs w:val="24"/>
        </w:rPr>
        <w:t xml:space="preserve"> </w:t>
      </w:r>
      <w:r w:rsidR="00C20591">
        <w:rPr>
          <w:rFonts w:asciiTheme="majorHAnsi" w:hAnsiTheme="majorHAnsi"/>
          <w:bCs/>
          <w:sz w:val="24"/>
          <w:szCs w:val="24"/>
        </w:rPr>
        <w:t>consensu</w:t>
      </w:r>
      <w:r w:rsidR="004236F6">
        <w:rPr>
          <w:rFonts w:asciiTheme="majorHAnsi" w:hAnsiTheme="majorHAnsi"/>
          <w:bCs/>
          <w:sz w:val="24"/>
          <w:szCs w:val="24"/>
        </w:rPr>
        <w:t>s</w:t>
      </w:r>
      <w:r w:rsidR="00C20591">
        <w:rPr>
          <w:rFonts w:asciiTheme="majorHAnsi" w:hAnsiTheme="majorHAnsi"/>
          <w:bCs/>
          <w:sz w:val="24"/>
          <w:szCs w:val="24"/>
        </w:rPr>
        <w:t xml:space="preserve"> on the way forward</w:t>
      </w:r>
      <w:r w:rsidR="004236F6">
        <w:rPr>
          <w:rFonts w:asciiTheme="majorHAnsi" w:hAnsiTheme="majorHAnsi"/>
          <w:bCs/>
          <w:sz w:val="24"/>
          <w:szCs w:val="24"/>
        </w:rPr>
        <w:t xml:space="preserve"> in this regard</w:t>
      </w:r>
      <w:r w:rsidR="00C20591">
        <w:rPr>
          <w:rFonts w:asciiTheme="majorHAnsi" w:hAnsiTheme="majorHAnsi"/>
          <w:bCs/>
          <w:sz w:val="24"/>
          <w:szCs w:val="24"/>
        </w:rPr>
        <w:t>, including by discussing specific areas of concern and proposing revisions/additions</w:t>
      </w:r>
      <w:proofErr w:type="gramStart"/>
      <w:r w:rsidR="00C20591">
        <w:rPr>
          <w:rFonts w:asciiTheme="majorHAnsi" w:hAnsiTheme="majorHAnsi"/>
          <w:bCs/>
          <w:sz w:val="24"/>
          <w:szCs w:val="24"/>
        </w:rPr>
        <w:t>, as the case may be, to</w:t>
      </w:r>
      <w:proofErr w:type="gramEnd"/>
      <w:r w:rsidR="00C20591">
        <w:rPr>
          <w:rFonts w:asciiTheme="majorHAnsi" w:hAnsiTheme="majorHAnsi"/>
          <w:bCs/>
          <w:sz w:val="24"/>
          <w:szCs w:val="24"/>
        </w:rPr>
        <w:t xml:space="preserve"> address such concerns.</w:t>
      </w:r>
      <w:r w:rsidR="004236F6">
        <w:rPr>
          <w:rFonts w:asciiTheme="majorHAnsi" w:hAnsiTheme="majorHAnsi"/>
          <w:bCs/>
          <w:sz w:val="24"/>
          <w:szCs w:val="24"/>
        </w:rPr>
        <w:t xml:space="preserve"> </w:t>
      </w:r>
    </w:p>
    <w:p w14:paraId="5773B0CD" w14:textId="537EE0AF" w:rsidR="00FE3F1A" w:rsidRDefault="00FE3F1A" w:rsidP="00292917">
      <w:pPr>
        <w:spacing w:before="120" w:after="120" w:line="240" w:lineRule="auto"/>
        <w:jc w:val="both"/>
      </w:pPr>
      <w:r>
        <w:rPr>
          <w:rFonts w:asciiTheme="majorHAnsi" w:hAnsiTheme="majorHAnsi"/>
          <w:bCs/>
          <w:sz w:val="24"/>
          <w:szCs w:val="24"/>
        </w:rPr>
        <w:tab/>
        <w:t>Some members were of the opinion that the existence of two versions of the ITRs negatively impacts the image of the ITU as the UN agency responsible for telecommunications/</w:t>
      </w:r>
      <w:proofErr w:type="gramStart"/>
      <w:r>
        <w:rPr>
          <w:rFonts w:asciiTheme="majorHAnsi" w:hAnsiTheme="majorHAnsi"/>
          <w:bCs/>
          <w:sz w:val="24"/>
          <w:szCs w:val="24"/>
        </w:rPr>
        <w:t>ICTs, and</w:t>
      </w:r>
      <w:proofErr w:type="gramEnd"/>
      <w:r>
        <w:rPr>
          <w:rFonts w:asciiTheme="majorHAnsi" w:hAnsiTheme="majorHAnsi"/>
          <w:bCs/>
          <w:sz w:val="24"/>
          <w:szCs w:val="24"/>
        </w:rPr>
        <w:t xml:space="preserve"> cancelling the ITRs is better for the image of ITU than having two sets of the treaty.  These members were of the view that harmonizing views</w:t>
      </w:r>
      <w:r w:rsidR="008F16D9">
        <w:rPr>
          <w:rFonts w:asciiTheme="majorHAnsi" w:hAnsiTheme="majorHAnsi"/>
          <w:bCs/>
          <w:sz w:val="24"/>
          <w:szCs w:val="24"/>
        </w:rPr>
        <w:t xml:space="preserve"> to achieving one set of the treaty</w:t>
      </w:r>
      <w:r>
        <w:rPr>
          <w:rFonts w:asciiTheme="majorHAnsi" w:hAnsiTheme="majorHAnsi"/>
          <w:bCs/>
          <w:sz w:val="24"/>
          <w:szCs w:val="24"/>
        </w:rPr>
        <w:t xml:space="preserve"> is crucial and </w:t>
      </w:r>
      <w:r w:rsidRPr="008F16D9">
        <w:rPr>
          <w:rFonts w:asciiTheme="majorHAnsi" w:hAnsiTheme="majorHAnsi"/>
          <w:bCs/>
          <w:sz w:val="24"/>
          <w:szCs w:val="24"/>
        </w:rPr>
        <w:t>possible, just as Members were able to find compromised solutions in other issues.</w:t>
      </w:r>
      <w:r>
        <w:t xml:space="preserve">  </w:t>
      </w:r>
      <w:r w:rsidR="005435AA">
        <w:t xml:space="preserve">It was also suggested that Members who believe that ITRs are no longer relevant may make a proposal on the way forward, including abrogating the treaty. </w:t>
      </w:r>
      <w:r>
        <w:t xml:space="preserve"> </w:t>
      </w:r>
    </w:p>
    <w:p w14:paraId="1CA0F97C" w14:textId="457E6BEC" w:rsidR="00C20591" w:rsidRDefault="00FE3F1A" w:rsidP="00292917">
      <w:pPr>
        <w:spacing w:before="120" w:after="120" w:line="240" w:lineRule="auto"/>
        <w:jc w:val="both"/>
        <w:rPr>
          <w:rFonts w:asciiTheme="majorHAnsi" w:hAnsiTheme="majorHAnsi"/>
          <w:bCs/>
          <w:sz w:val="24"/>
          <w:szCs w:val="24"/>
        </w:rPr>
      </w:pPr>
      <w:r>
        <w:rPr>
          <w:rFonts w:asciiTheme="majorHAnsi" w:hAnsiTheme="majorHAnsi"/>
          <w:bCs/>
          <w:sz w:val="24"/>
          <w:szCs w:val="24"/>
        </w:rPr>
        <w:lastRenderedPageBreak/>
        <w:t xml:space="preserve"> </w:t>
      </w:r>
      <w:r w:rsidR="00C20591">
        <w:rPr>
          <w:rFonts w:asciiTheme="majorHAnsi" w:hAnsiTheme="majorHAnsi"/>
          <w:bCs/>
          <w:sz w:val="24"/>
          <w:szCs w:val="24"/>
        </w:rPr>
        <w:tab/>
        <w:t xml:space="preserve">Some members were of the opinion that the ITRs are no longer relevant or </w:t>
      </w:r>
      <w:proofErr w:type="gramStart"/>
      <w:r w:rsidR="00C20591">
        <w:rPr>
          <w:rFonts w:asciiTheme="majorHAnsi" w:hAnsiTheme="majorHAnsi"/>
          <w:bCs/>
          <w:sz w:val="24"/>
          <w:szCs w:val="24"/>
        </w:rPr>
        <w:t>applicable, and</w:t>
      </w:r>
      <w:proofErr w:type="gramEnd"/>
      <w:r w:rsidR="00C20591">
        <w:rPr>
          <w:rFonts w:asciiTheme="majorHAnsi" w:hAnsiTheme="majorHAnsi"/>
          <w:bCs/>
          <w:sz w:val="24"/>
          <w:szCs w:val="24"/>
        </w:rPr>
        <w:t xml:space="preserve"> are not in use within their region.</w:t>
      </w:r>
      <w:r w:rsidR="00523CB6">
        <w:rPr>
          <w:rFonts w:asciiTheme="majorHAnsi" w:hAnsiTheme="majorHAnsi"/>
          <w:bCs/>
          <w:sz w:val="24"/>
          <w:szCs w:val="24"/>
        </w:rPr>
        <w:t xml:space="preserve"> The development of telecommunications/ICTs</w:t>
      </w:r>
      <w:r w:rsidR="00C20591">
        <w:rPr>
          <w:rFonts w:asciiTheme="majorHAnsi" w:hAnsiTheme="majorHAnsi"/>
          <w:bCs/>
          <w:sz w:val="24"/>
          <w:szCs w:val="24"/>
        </w:rPr>
        <w:t xml:space="preserve"> </w:t>
      </w:r>
      <w:r w:rsidR="00523CB6">
        <w:rPr>
          <w:rFonts w:asciiTheme="majorHAnsi" w:hAnsiTheme="majorHAnsi"/>
          <w:bCs/>
          <w:sz w:val="24"/>
          <w:szCs w:val="24"/>
        </w:rPr>
        <w:t xml:space="preserve">has flourished regardless of the application of the 2012 ITRs. </w:t>
      </w:r>
      <w:r w:rsidR="00C20591">
        <w:rPr>
          <w:rFonts w:asciiTheme="majorHAnsi" w:hAnsiTheme="majorHAnsi"/>
          <w:bCs/>
          <w:sz w:val="24"/>
          <w:szCs w:val="24"/>
        </w:rPr>
        <w:t>They further stated that the participation by Member States and Sector Members in this Group was low, highlighting the fact that these treaties are no longer useful for most countries and operators.</w:t>
      </w:r>
    </w:p>
    <w:p w14:paraId="4D26F86E" w14:textId="65937489" w:rsidR="00523CB6" w:rsidRDefault="00523CB6" w:rsidP="00292917">
      <w:pPr>
        <w:spacing w:before="120" w:after="120" w:line="240" w:lineRule="auto"/>
        <w:jc w:val="both"/>
        <w:rPr>
          <w:rFonts w:asciiTheme="majorHAnsi" w:hAnsiTheme="majorHAnsi"/>
          <w:bCs/>
          <w:sz w:val="24"/>
          <w:szCs w:val="24"/>
        </w:rPr>
      </w:pPr>
      <w:r w:rsidRPr="00D9154E">
        <w:rPr>
          <w:rFonts w:asciiTheme="majorHAnsi" w:hAnsiTheme="majorHAnsi"/>
          <w:b/>
          <w:sz w:val="24"/>
          <w:szCs w:val="24"/>
        </w:rPr>
        <w:t>4.2.4</w:t>
      </w:r>
      <w:r>
        <w:rPr>
          <w:rFonts w:asciiTheme="majorHAnsi" w:hAnsiTheme="majorHAnsi"/>
          <w:bCs/>
          <w:sz w:val="24"/>
          <w:szCs w:val="24"/>
        </w:rPr>
        <w:tab/>
        <w:t xml:space="preserve">With respect to overall observations on the </w:t>
      </w:r>
      <w:hyperlink r:id="rId23" w:history="1">
        <w:r w:rsidRPr="00A737AB">
          <w:rPr>
            <w:rStyle w:val="Hyperlink"/>
            <w:rFonts w:asciiTheme="majorHAnsi" w:hAnsiTheme="majorHAnsi"/>
            <w:bCs/>
            <w:sz w:val="24"/>
            <w:szCs w:val="24"/>
          </w:rPr>
          <w:t>Examination Table</w:t>
        </w:r>
        <w:r w:rsidR="00A737AB" w:rsidRPr="00A737AB">
          <w:rPr>
            <w:rStyle w:val="Hyperlink"/>
            <w:rFonts w:asciiTheme="majorHAnsi" w:hAnsiTheme="majorHAnsi"/>
            <w:bCs/>
            <w:sz w:val="24"/>
            <w:szCs w:val="24"/>
          </w:rPr>
          <w:t xml:space="preserve"> as set out in DL 1</w:t>
        </w:r>
      </w:hyperlink>
      <w:r>
        <w:rPr>
          <w:rFonts w:asciiTheme="majorHAnsi" w:hAnsiTheme="majorHAnsi"/>
          <w:bCs/>
          <w:sz w:val="24"/>
          <w:szCs w:val="24"/>
        </w:rPr>
        <w:t xml:space="preserve">, members agreed that the </w:t>
      </w:r>
      <w:r w:rsidR="00D9154E">
        <w:rPr>
          <w:rFonts w:asciiTheme="majorHAnsi" w:hAnsiTheme="majorHAnsi"/>
          <w:bCs/>
          <w:sz w:val="24"/>
          <w:szCs w:val="24"/>
        </w:rPr>
        <w:t>views reflected therein were representative of the different perspectives on the ITRs within the Group.</w:t>
      </w:r>
    </w:p>
    <w:p w14:paraId="0B801E21" w14:textId="2DC7F2D1" w:rsidR="00D9154E" w:rsidRDefault="00D9154E" w:rsidP="00292917">
      <w:pPr>
        <w:spacing w:before="120" w:after="120" w:line="240" w:lineRule="auto"/>
        <w:jc w:val="both"/>
        <w:rPr>
          <w:rFonts w:asciiTheme="majorHAnsi" w:hAnsiTheme="majorHAnsi"/>
          <w:bCs/>
          <w:sz w:val="24"/>
          <w:szCs w:val="24"/>
        </w:rPr>
      </w:pPr>
      <w:r>
        <w:rPr>
          <w:rFonts w:asciiTheme="majorHAnsi" w:hAnsiTheme="majorHAnsi"/>
          <w:bCs/>
          <w:sz w:val="24"/>
          <w:szCs w:val="24"/>
        </w:rPr>
        <w:tab/>
        <w:t>Some members were of the view that the different opinions captured in the Examination Table evidence the need to update the ITRs, while other members were of the view that the Examination Table has accurately captured the different views of the Group regarding the applicability and flexibility of the ITRs indicating the lack of consensus on the usefulness and way forward in respect of the ITRs.</w:t>
      </w:r>
    </w:p>
    <w:p w14:paraId="6ABAF4DE" w14:textId="0D1EB8FF" w:rsidR="00D9154E" w:rsidRDefault="00D9154E" w:rsidP="00292917">
      <w:pPr>
        <w:spacing w:before="120" w:after="120" w:line="240" w:lineRule="auto"/>
        <w:jc w:val="both"/>
        <w:rPr>
          <w:rFonts w:asciiTheme="majorHAnsi" w:hAnsiTheme="majorHAnsi"/>
          <w:bCs/>
          <w:sz w:val="24"/>
          <w:szCs w:val="24"/>
        </w:rPr>
      </w:pPr>
      <w:r w:rsidRPr="00D9154E">
        <w:rPr>
          <w:rFonts w:asciiTheme="majorHAnsi" w:hAnsiTheme="majorHAnsi"/>
          <w:b/>
          <w:sz w:val="24"/>
          <w:szCs w:val="24"/>
        </w:rPr>
        <w:t>4.2.5</w:t>
      </w:r>
      <w:r>
        <w:rPr>
          <w:rFonts w:asciiTheme="majorHAnsi" w:hAnsiTheme="majorHAnsi"/>
          <w:bCs/>
          <w:sz w:val="24"/>
          <w:szCs w:val="24"/>
        </w:rPr>
        <w:tab/>
        <w:t>Members agreed that any report to Council from the Group should reflect all the discussions and positions within the Group, as well as reference the different contributions received.</w:t>
      </w:r>
    </w:p>
    <w:p w14:paraId="0000007F" w14:textId="0B87C947" w:rsidR="00D044C6" w:rsidRDefault="00135243" w:rsidP="00292917">
      <w:pPr>
        <w:spacing w:before="360" w:after="120" w:line="240" w:lineRule="auto"/>
        <w:jc w:val="both"/>
        <w:outlineLvl w:val="0"/>
        <w:rPr>
          <w:rFonts w:asciiTheme="majorHAnsi" w:hAnsiTheme="majorHAnsi"/>
          <w:b/>
          <w:sz w:val="24"/>
          <w:szCs w:val="24"/>
        </w:rPr>
      </w:pPr>
      <w:r w:rsidRPr="006B7A0C">
        <w:rPr>
          <w:rFonts w:asciiTheme="majorHAnsi" w:hAnsiTheme="majorHAnsi"/>
          <w:b/>
          <w:sz w:val="24"/>
          <w:szCs w:val="24"/>
        </w:rPr>
        <w:t>5</w:t>
      </w:r>
      <w:r w:rsidR="009B05F6" w:rsidRPr="006B7A0C">
        <w:rPr>
          <w:rFonts w:asciiTheme="majorHAnsi" w:hAnsiTheme="majorHAnsi"/>
          <w:b/>
          <w:sz w:val="24"/>
          <w:szCs w:val="24"/>
        </w:rPr>
        <w:tab/>
      </w:r>
      <w:r w:rsidRPr="006B7A0C">
        <w:rPr>
          <w:rFonts w:asciiTheme="majorHAnsi" w:hAnsiTheme="majorHAnsi"/>
          <w:b/>
          <w:sz w:val="24"/>
          <w:szCs w:val="24"/>
        </w:rPr>
        <w:t>Discussion on Contributions received on the first draft of the final report to Council 2022</w:t>
      </w:r>
      <w:r w:rsidR="00FF4B0A">
        <w:rPr>
          <w:rFonts w:asciiTheme="majorHAnsi" w:hAnsiTheme="majorHAnsi"/>
          <w:b/>
          <w:sz w:val="24"/>
          <w:szCs w:val="24"/>
        </w:rPr>
        <w:t xml:space="preserve"> </w:t>
      </w:r>
    </w:p>
    <w:p w14:paraId="6A47AEF8" w14:textId="0D6074A7" w:rsidR="00A737AB" w:rsidRDefault="00260677" w:rsidP="00292917">
      <w:pPr>
        <w:spacing w:before="120" w:after="120" w:line="240" w:lineRule="auto"/>
        <w:jc w:val="both"/>
        <w:rPr>
          <w:rFonts w:asciiTheme="majorHAnsi" w:hAnsiTheme="majorHAnsi"/>
          <w:b/>
          <w:sz w:val="24"/>
          <w:szCs w:val="24"/>
        </w:rPr>
      </w:pPr>
      <w:r>
        <w:rPr>
          <w:rFonts w:asciiTheme="majorHAnsi" w:hAnsiTheme="majorHAnsi"/>
          <w:b/>
          <w:sz w:val="24"/>
          <w:szCs w:val="24"/>
        </w:rPr>
        <w:t>5.1</w:t>
      </w:r>
      <w:r>
        <w:rPr>
          <w:rFonts w:asciiTheme="majorHAnsi" w:hAnsiTheme="majorHAnsi"/>
          <w:b/>
          <w:sz w:val="24"/>
          <w:szCs w:val="24"/>
        </w:rPr>
        <w:tab/>
      </w:r>
      <w:r w:rsidR="00A737AB" w:rsidRPr="00A737AB">
        <w:rPr>
          <w:rFonts w:asciiTheme="majorHAnsi" w:hAnsiTheme="majorHAnsi"/>
          <w:bCs/>
          <w:sz w:val="24"/>
          <w:szCs w:val="24"/>
        </w:rPr>
        <w:t>The Group discussed</w:t>
      </w:r>
      <w:r w:rsidR="00A737AB">
        <w:rPr>
          <w:rFonts w:asciiTheme="majorHAnsi" w:hAnsiTheme="majorHAnsi"/>
          <w:bCs/>
          <w:sz w:val="24"/>
          <w:szCs w:val="24"/>
        </w:rPr>
        <w:t xml:space="preserve"> their views on</w:t>
      </w:r>
      <w:r w:rsidR="00A737AB" w:rsidRPr="00A737AB">
        <w:rPr>
          <w:rFonts w:asciiTheme="majorHAnsi" w:hAnsiTheme="majorHAnsi"/>
          <w:bCs/>
          <w:sz w:val="24"/>
          <w:szCs w:val="24"/>
        </w:rPr>
        <w:t xml:space="preserve"> </w:t>
      </w:r>
      <w:hyperlink r:id="rId24" w:history="1">
        <w:r w:rsidR="00A737AB" w:rsidRPr="00A737AB">
          <w:rPr>
            <w:rStyle w:val="Hyperlink"/>
            <w:rFonts w:asciiTheme="majorHAnsi" w:hAnsiTheme="majorHAnsi"/>
            <w:bCs/>
            <w:sz w:val="24"/>
            <w:szCs w:val="24"/>
          </w:rPr>
          <w:t>DL 2 - Draft Final report of the Expert Group on the International Telecommunication Regulations (EG-ITRS)</w:t>
        </w:r>
      </w:hyperlink>
      <w:r w:rsidR="007F5418">
        <w:rPr>
          <w:rStyle w:val="Hyperlink"/>
          <w:rFonts w:asciiTheme="majorHAnsi" w:hAnsiTheme="majorHAnsi"/>
          <w:bCs/>
          <w:sz w:val="24"/>
          <w:szCs w:val="24"/>
        </w:rPr>
        <w:t xml:space="preserve"> </w:t>
      </w:r>
      <w:r w:rsidR="007F5418">
        <w:rPr>
          <w:rFonts w:asciiTheme="majorHAnsi" w:hAnsiTheme="majorHAnsi"/>
          <w:bCs/>
          <w:sz w:val="24"/>
          <w:szCs w:val="24"/>
        </w:rPr>
        <w:t>that will be presented to Council 2022 f</w:t>
      </w:r>
      <w:r w:rsidR="007F5418" w:rsidRPr="007F5418">
        <w:rPr>
          <w:rFonts w:asciiTheme="majorHAnsi" w:hAnsiTheme="majorHAnsi"/>
          <w:bCs/>
          <w:sz w:val="24"/>
          <w:szCs w:val="24"/>
        </w:rPr>
        <w:t xml:space="preserve">or examination and submission to the 2022 Plenipotentiary Conference with the Council’s comments.  </w:t>
      </w:r>
      <w:r w:rsidR="00A737AB" w:rsidRPr="00A737AB">
        <w:rPr>
          <w:rFonts w:asciiTheme="majorHAnsi" w:hAnsiTheme="majorHAnsi"/>
          <w:b/>
          <w:sz w:val="24"/>
          <w:szCs w:val="24"/>
        </w:rPr>
        <w:t>   </w:t>
      </w:r>
    </w:p>
    <w:p w14:paraId="6EE61DC5" w14:textId="736C56DA" w:rsidR="00260677" w:rsidRDefault="00A737AB" w:rsidP="00292917">
      <w:pPr>
        <w:spacing w:before="120" w:after="120" w:line="240" w:lineRule="auto"/>
        <w:jc w:val="both"/>
        <w:rPr>
          <w:rFonts w:asciiTheme="majorHAnsi" w:hAnsiTheme="majorHAnsi"/>
          <w:sz w:val="24"/>
          <w:szCs w:val="24"/>
        </w:rPr>
      </w:pPr>
      <w:r w:rsidRPr="00D75773">
        <w:rPr>
          <w:rFonts w:asciiTheme="majorHAnsi" w:hAnsiTheme="majorHAnsi"/>
          <w:b/>
          <w:sz w:val="24"/>
          <w:szCs w:val="24"/>
        </w:rPr>
        <w:t>5.2</w:t>
      </w:r>
      <w:r>
        <w:rPr>
          <w:rFonts w:asciiTheme="majorHAnsi" w:hAnsiTheme="majorHAnsi"/>
          <w:bCs/>
          <w:sz w:val="24"/>
          <w:szCs w:val="24"/>
        </w:rPr>
        <w:tab/>
      </w:r>
      <w:r w:rsidR="00260677">
        <w:rPr>
          <w:rFonts w:asciiTheme="majorHAnsi" w:hAnsiTheme="majorHAnsi"/>
          <w:bCs/>
          <w:sz w:val="24"/>
          <w:szCs w:val="24"/>
        </w:rPr>
        <w:t>Members</w:t>
      </w:r>
      <w:r w:rsidR="00260677" w:rsidRPr="00276870">
        <w:rPr>
          <w:rFonts w:asciiTheme="majorHAnsi" w:hAnsiTheme="majorHAnsi"/>
          <w:bCs/>
          <w:sz w:val="24"/>
          <w:szCs w:val="24"/>
        </w:rPr>
        <w:t xml:space="preserve"> </w:t>
      </w:r>
      <w:r w:rsidR="00FF4B0A">
        <w:rPr>
          <w:rFonts w:asciiTheme="majorHAnsi" w:hAnsiTheme="majorHAnsi"/>
          <w:bCs/>
          <w:sz w:val="24"/>
          <w:szCs w:val="24"/>
        </w:rPr>
        <w:t xml:space="preserve">broadly </w:t>
      </w:r>
      <w:r w:rsidR="00260677" w:rsidRPr="00276870">
        <w:rPr>
          <w:rFonts w:asciiTheme="majorHAnsi" w:hAnsiTheme="majorHAnsi"/>
          <w:bCs/>
          <w:sz w:val="24"/>
          <w:szCs w:val="24"/>
        </w:rPr>
        <w:t>agreed</w:t>
      </w:r>
      <w:r w:rsidR="00260677">
        <w:rPr>
          <w:rFonts w:asciiTheme="majorHAnsi" w:hAnsiTheme="majorHAnsi"/>
          <w:sz w:val="24"/>
          <w:szCs w:val="24"/>
        </w:rPr>
        <w:t xml:space="preserve"> </w:t>
      </w:r>
      <w:r w:rsidR="00FF4B0A">
        <w:rPr>
          <w:rFonts w:asciiTheme="majorHAnsi" w:hAnsiTheme="majorHAnsi"/>
          <w:sz w:val="24"/>
          <w:szCs w:val="24"/>
        </w:rPr>
        <w:t xml:space="preserve">on the structure of the Final Report of EG-ITRs to Council 2022 (Council Report) and that it should reflect </w:t>
      </w:r>
      <w:r w:rsidR="00260677">
        <w:rPr>
          <w:rFonts w:asciiTheme="majorHAnsi" w:hAnsiTheme="majorHAnsi"/>
          <w:sz w:val="24"/>
          <w:szCs w:val="24"/>
        </w:rPr>
        <w:t xml:space="preserve">the </w:t>
      </w:r>
      <w:r w:rsidR="00FF4B0A">
        <w:rPr>
          <w:rFonts w:asciiTheme="majorHAnsi" w:hAnsiTheme="majorHAnsi"/>
          <w:sz w:val="24"/>
          <w:szCs w:val="24"/>
        </w:rPr>
        <w:t xml:space="preserve">different positions and perspectives expressed by </w:t>
      </w:r>
      <w:r w:rsidR="00260677">
        <w:rPr>
          <w:rFonts w:asciiTheme="majorHAnsi" w:hAnsiTheme="majorHAnsi"/>
          <w:sz w:val="24"/>
          <w:szCs w:val="24"/>
        </w:rPr>
        <w:t xml:space="preserve">the Group </w:t>
      </w:r>
      <w:r w:rsidR="00FF4B0A">
        <w:rPr>
          <w:rFonts w:asciiTheme="majorHAnsi" w:hAnsiTheme="majorHAnsi"/>
          <w:sz w:val="24"/>
          <w:szCs w:val="24"/>
        </w:rPr>
        <w:t xml:space="preserve">on the ITRs and the way forward, the various meeting reports of the EG-ITRs and the contributions received, </w:t>
      </w:r>
      <w:r>
        <w:rPr>
          <w:rFonts w:asciiTheme="majorHAnsi" w:hAnsiTheme="majorHAnsi"/>
          <w:sz w:val="24"/>
          <w:szCs w:val="24"/>
        </w:rPr>
        <w:t>as well as</w:t>
      </w:r>
      <w:r w:rsidR="00FF4B0A">
        <w:rPr>
          <w:rFonts w:asciiTheme="majorHAnsi" w:hAnsiTheme="majorHAnsi"/>
          <w:sz w:val="24"/>
          <w:szCs w:val="24"/>
        </w:rPr>
        <w:t xml:space="preserve"> the consolidated Examination Table </w:t>
      </w:r>
      <w:r>
        <w:rPr>
          <w:rFonts w:asciiTheme="majorHAnsi" w:hAnsiTheme="majorHAnsi"/>
          <w:sz w:val="24"/>
          <w:szCs w:val="24"/>
        </w:rPr>
        <w:t xml:space="preserve">which is to be </w:t>
      </w:r>
      <w:r w:rsidR="00FF4B0A">
        <w:rPr>
          <w:rFonts w:asciiTheme="majorHAnsi" w:hAnsiTheme="majorHAnsi"/>
          <w:sz w:val="24"/>
          <w:szCs w:val="24"/>
        </w:rPr>
        <w:t>attached as an Annex.</w:t>
      </w:r>
      <w:r w:rsidR="00260677" w:rsidRPr="006B7A0C">
        <w:rPr>
          <w:rFonts w:asciiTheme="majorHAnsi" w:hAnsiTheme="majorHAnsi"/>
          <w:sz w:val="24"/>
          <w:szCs w:val="24"/>
        </w:rPr>
        <w:tab/>
      </w:r>
    </w:p>
    <w:p w14:paraId="43FFB715" w14:textId="0CA6E533" w:rsidR="00B3743B" w:rsidRDefault="00A737AB" w:rsidP="00292917">
      <w:pPr>
        <w:spacing w:before="120" w:after="120" w:line="240" w:lineRule="auto"/>
        <w:jc w:val="both"/>
        <w:rPr>
          <w:rFonts w:asciiTheme="majorHAnsi" w:hAnsiTheme="majorHAnsi"/>
          <w:sz w:val="24"/>
          <w:szCs w:val="24"/>
        </w:rPr>
      </w:pPr>
      <w:r w:rsidRPr="00D75773">
        <w:rPr>
          <w:rFonts w:asciiTheme="majorHAnsi" w:hAnsiTheme="majorHAnsi"/>
          <w:b/>
          <w:bCs/>
          <w:sz w:val="24"/>
          <w:szCs w:val="24"/>
        </w:rPr>
        <w:t>5.3</w:t>
      </w:r>
      <w:r>
        <w:rPr>
          <w:rFonts w:asciiTheme="majorHAnsi" w:hAnsiTheme="majorHAnsi"/>
          <w:sz w:val="24"/>
          <w:szCs w:val="24"/>
        </w:rPr>
        <w:tab/>
        <w:t xml:space="preserve">Some members suggested including an Appendix to the Council Report or adding an additional column to the Examination Table which sets out all the inputs received from members of the EG-ITRs. Some members suggested adding summaries of the specific proposals received on the way forward with respect to the ITRs under Section 4 of the Council Report. </w:t>
      </w:r>
    </w:p>
    <w:p w14:paraId="79B38E52" w14:textId="4867D766" w:rsidR="00B3743B" w:rsidRDefault="00B3743B" w:rsidP="00292917">
      <w:pPr>
        <w:spacing w:before="120" w:after="120" w:line="240" w:lineRule="auto"/>
        <w:jc w:val="both"/>
        <w:rPr>
          <w:rFonts w:asciiTheme="majorHAnsi" w:hAnsiTheme="majorHAnsi"/>
          <w:sz w:val="24"/>
          <w:szCs w:val="24"/>
        </w:rPr>
      </w:pPr>
      <w:r>
        <w:rPr>
          <w:rFonts w:asciiTheme="majorHAnsi" w:hAnsiTheme="majorHAnsi"/>
          <w:sz w:val="24"/>
          <w:szCs w:val="24"/>
        </w:rPr>
        <w:t xml:space="preserve">             Some members </w:t>
      </w:r>
      <w:r w:rsidR="00C31383">
        <w:rPr>
          <w:rFonts w:asciiTheme="majorHAnsi" w:hAnsiTheme="majorHAnsi"/>
          <w:sz w:val="24"/>
          <w:szCs w:val="24"/>
        </w:rPr>
        <w:t xml:space="preserve">also, </w:t>
      </w:r>
      <w:r>
        <w:rPr>
          <w:rFonts w:asciiTheme="majorHAnsi" w:hAnsiTheme="majorHAnsi"/>
          <w:sz w:val="24"/>
          <w:szCs w:val="24"/>
        </w:rPr>
        <w:t>echoed and reiterated the importance of reflecting</w:t>
      </w:r>
      <w:r w:rsidR="008374FD">
        <w:rPr>
          <w:rFonts w:asciiTheme="majorHAnsi" w:hAnsiTheme="majorHAnsi"/>
          <w:sz w:val="24"/>
          <w:szCs w:val="24"/>
        </w:rPr>
        <w:t>,</w:t>
      </w:r>
      <w:r>
        <w:rPr>
          <w:rFonts w:asciiTheme="majorHAnsi" w:hAnsiTheme="majorHAnsi"/>
          <w:sz w:val="24"/>
          <w:szCs w:val="24"/>
        </w:rPr>
        <w:t xml:space="preserve"> </w:t>
      </w:r>
      <w:r w:rsidR="007F5418">
        <w:rPr>
          <w:rFonts w:asciiTheme="majorHAnsi" w:hAnsiTheme="majorHAnsi"/>
          <w:sz w:val="24"/>
          <w:szCs w:val="24"/>
        </w:rPr>
        <w:t>i</w:t>
      </w:r>
      <w:r>
        <w:rPr>
          <w:rFonts w:asciiTheme="majorHAnsi" w:hAnsiTheme="majorHAnsi"/>
          <w:sz w:val="24"/>
          <w:szCs w:val="24"/>
        </w:rPr>
        <w:t xml:space="preserve">n </w:t>
      </w:r>
      <w:r w:rsidR="00D33C65">
        <w:rPr>
          <w:rFonts w:asciiTheme="majorHAnsi" w:hAnsiTheme="majorHAnsi"/>
          <w:sz w:val="24"/>
          <w:szCs w:val="24"/>
        </w:rPr>
        <w:t xml:space="preserve">the </w:t>
      </w:r>
      <w:r>
        <w:rPr>
          <w:rFonts w:asciiTheme="majorHAnsi" w:hAnsiTheme="majorHAnsi"/>
          <w:sz w:val="24"/>
          <w:szCs w:val="24"/>
        </w:rPr>
        <w:t xml:space="preserve">final report of the Expert Group on the International Telecommunication Regulations (EG-ITRs) to </w:t>
      </w:r>
      <w:r w:rsidR="008374FD">
        <w:rPr>
          <w:rFonts w:asciiTheme="majorHAnsi" w:hAnsiTheme="majorHAnsi"/>
          <w:sz w:val="24"/>
          <w:szCs w:val="24"/>
        </w:rPr>
        <w:t>ITU Council</w:t>
      </w:r>
      <w:r>
        <w:rPr>
          <w:rFonts w:asciiTheme="majorHAnsi" w:hAnsiTheme="majorHAnsi"/>
          <w:sz w:val="24"/>
          <w:szCs w:val="24"/>
        </w:rPr>
        <w:t xml:space="preserve"> 2022, views expressed, during EG-ITRs meetings, on the various contributions received, in line </w:t>
      </w:r>
      <w:r w:rsidR="008374FD">
        <w:rPr>
          <w:rFonts w:asciiTheme="majorHAnsi" w:hAnsiTheme="majorHAnsi"/>
          <w:sz w:val="24"/>
          <w:szCs w:val="24"/>
        </w:rPr>
        <w:t>with RULE</w:t>
      </w:r>
      <w:r w:rsidR="005A33CF">
        <w:rPr>
          <w:rFonts w:asciiTheme="majorHAnsi" w:hAnsiTheme="majorHAnsi"/>
          <w:sz w:val="24"/>
          <w:szCs w:val="24"/>
        </w:rPr>
        <w:t xml:space="preserve"> </w:t>
      </w:r>
      <w:r w:rsidR="008374FD">
        <w:rPr>
          <w:rFonts w:asciiTheme="majorHAnsi" w:hAnsiTheme="majorHAnsi"/>
          <w:sz w:val="24"/>
          <w:szCs w:val="24"/>
        </w:rPr>
        <w:t>12, point N° 5 of the Rules of Procedure of the Council of the International Telecommunication Union</w:t>
      </w:r>
      <w:r w:rsidR="00DC3331">
        <w:rPr>
          <w:rFonts w:asciiTheme="majorHAnsi" w:hAnsiTheme="majorHAnsi"/>
          <w:sz w:val="24"/>
          <w:szCs w:val="24"/>
        </w:rPr>
        <w:t xml:space="preserve">. This will allow the Council to have the big picture of the views expressed and adequately deliberate to the Plenipotentiary Conference for an appropriate </w:t>
      </w:r>
      <w:proofErr w:type="spellStart"/>
      <w:r w:rsidR="00DC3331">
        <w:rPr>
          <w:rFonts w:asciiTheme="majorHAnsi" w:hAnsiTheme="majorHAnsi"/>
          <w:sz w:val="24"/>
          <w:szCs w:val="24"/>
        </w:rPr>
        <w:t>wa</w:t>
      </w:r>
      <w:proofErr w:type="spellEnd"/>
      <w:r w:rsidR="00D64FE7" w:rsidRPr="00C55DDE">
        <w:rPr>
          <w:rFonts w:asciiTheme="majorHAnsi" w:hAnsiTheme="majorHAnsi"/>
          <w:sz w:val="24"/>
          <w:szCs w:val="24"/>
          <w:lang w:val="en-US"/>
        </w:rPr>
        <w:t>y</w:t>
      </w:r>
      <w:r w:rsidR="00DC3331">
        <w:rPr>
          <w:rFonts w:asciiTheme="majorHAnsi" w:hAnsiTheme="majorHAnsi"/>
          <w:sz w:val="24"/>
          <w:szCs w:val="24"/>
        </w:rPr>
        <w:t xml:space="preserve"> forward. </w:t>
      </w:r>
    </w:p>
    <w:p w14:paraId="3F56F9D6" w14:textId="7FEA5D6D" w:rsidR="00A737AB" w:rsidRDefault="00A737AB" w:rsidP="00292917">
      <w:pPr>
        <w:spacing w:before="120" w:after="120" w:line="240" w:lineRule="auto"/>
        <w:ind w:firstLine="720"/>
        <w:jc w:val="both"/>
        <w:rPr>
          <w:rFonts w:asciiTheme="majorHAnsi" w:hAnsiTheme="majorHAnsi"/>
          <w:sz w:val="24"/>
          <w:szCs w:val="24"/>
        </w:rPr>
      </w:pPr>
      <w:r>
        <w:rPr>
          <w:rFonts w:asciiTheme="majorHAnsi" w:hAnsiTheme="majorHAnsi"/>
          <w:sz w:val="24"/>
          <w:szCs w:val="24"/>
        </w:rPr>
        <w:t xml:space="preserve">Some members </w:t>
      </w:r>
      <w:proofErr w:type="gramStart"/>
      <w:r>
        <w:rPr>
          <w:rFonts w:asciiTheme="majorHAnsi" w:hAnsiTheme="majorHAnsi"/>
          <w:sz w:val="24"/>
          <w:szCs w:val="24"/>
        </w:rPr>
        <w:t>were of the opinion that</w:t>
      </w:r>
      <w:proofErr w:type="gramEnd"/>
      <w:r>
        <w:rPr>
          <w:rFonts w:asciiTheme="majorHAnsi" w:hAnsiTheme="majorHAnsi"/>
          <w:sz w:val="24"/>
          <w:szCs w:val="24"/>
        </w:rPr>
        <w:t xml:space="preserve"> the </w:t>
      </w:r>
      <w:r w:rsidR="006335A6">
        <w:rPr>
          <w:rFonts w:asciiTheme="majorHAnsi" w:hAnsiTheme="majorHAnsi"/>
          <w:sz w:val="24"/>
          <w:szCs w:val="24"/>
        </w:rPr>
        <w:t xml:space="preserve">Council </w:t>
      </w:r>
      <w:r>
        <w:rPr>
          <w:rFonts w:asciiTheme="majorHAnsi" w:hAnsiTheme="majorHAnsi"/>
          <w:sz w:val="24"/>
          <w:szCs w:val="24"/>
        </w:rPr>
        <w:t>Report will be referencing all the meeting reports which contain summaries and links to all the contributions received for that meeting as well as an overview of the discussions in that meeting.</w:t>
      </w:r>
    </w:p>
    <w:p w14:paraId="3EB5DA3B" w14:textId="70080646" w:rsidR="006335A6" w:rsidRDefault="006335A6" w:rsidP="00292917">
      <w:pPr>
        <w:spacing w:before="120" w:after="120" w:line="240" w:lineRule="auto"/>
        <w:ind w:firstLine="720"/>
        <w:jc w:val="both"/>
        <w:rPr>
          <w:rFonts w:asciiTheme="majorHAnsi" w:hAnsiTheme="majorHAnsi"/>
          <w:sz w:val="24"/>
          <w:szCs w:val="24"/>
        </w:rPr>
      </w:pPr>
      <w:r>
        <w:rPr>
          <w:rFonts w:asciiTheme="majorHAnsi" w:hAnsiTheme="majorHAnsi"/>
          <w:sz w:val="24"/>
          <w:szCs w:val="24"/>
        </w:rPr>
        <w:lastRenderedPageBreak/>
        <w:t>It was decided that a cluster of links for all the contributions received would be included in the Council Report under the corresponding sections that summarize each meeting of the EG-ITRs and hyperlink the meeting report.</w:t>
      </w:r>
    </w:p>
    <w:p w14:paraId="0D40D190" w14:textId="438CDE90" w:rsidR="00A737AB" w:rsidRDefault="006335A6" w:rsidP="00292917">
      <w:pPr>
        <w:spacing w:before="120" w:after="120" w:line="240" w:lineRule="auto"/>
        <w:jc w:val="both"/>
        <w:rPr>
          <w:rFonts w:asciiTheme="majorHAnsi" w:hAnsiTheme="majorHAnsi"/>
          <w:sz w:val="24"/>
          <w:szCs w:val="24"/>
        </w:rPr>
      </w:pPr>
      <w:r w:rsidRPr="00D75773">
        <w:rPr>
          <w:rFonts w:asciiTheme="majorHAnsi" w:hAnsiTheme="majorHAnsi"/>
          <w:b/>
          <w:bCs/>
          <w:sz w:val="24"/>
          <w:szCs w:val="24"/>
        </w:rPr>
        <w:t>5.4</w:t>
      </w:r>
      <w:r>
        <w:rPr>
          <w:rFonts w:asciiTheme="majorHAnsi" w:hAnsiTheme="majorHAnsi"/>
          <w:sz w:val="24"/>
          <w:szCs w:val="24"/>
        </w:rPr>
        <w:tab/>
        <w:t xml:space="preserve">Members agreed that all references to </w:t>
      </w:r>
      <w:hyperlink r:id="rId25" w:history="1">
        <w:r w:rsidRPr="0047659D">
          <w:rPr>
            <w:rStyle w:val="Hyperlink"/>
            <w:rFonts w:asciiTheme="majorHAnsi" w:hAnsiTheme="majorHAnsi"/>
            <w:sz w:val="24"/>
            <w:szCs w:val="24"/>
          </w:rPr>
          <w:t>PP Resolution 146 (Rev. Dubai 2018)</w:t>
        </w:r>
      </w:hyperlink>
      <w:r>
        <w:rPr>
          <w:rFonts w:asciiTheme="majorHAnsi" w:hAnsiTheme="majorHAnsi"/>
          <w:sz w:val="24"/>
          <w:szCs w:val="24"/>
        </w:rPr>
        <w:t xml:space="preserve"> and </w:t>
      </w:r>
      <w:hyperlink r:id="rId26" w:history="1">
        <w:r w:rsidRPr="00DB0871">
          <w:rPr>
            <w:rStyle w:val="Hyperlink"/>
            <w:rFonts w:asciiTheme="majorHAnsi" w:hAnsiTheme="majorHAnsi"/>
            <w:sz w:val="24"/>
            <w:szCs w:val="24"/>
          </w:rPr>
          <w:t>Council Resolution 1379 (Mod. 2019)</w:t>
        </w:r>
      </w:hyperlink>
      <w:r>
        <w:rPr>
          <w:rFonts w:asciiTheme="majorHAnsi" w:hAnsiTheme="majorHAnsi"/>
          <w:sz w:val="24"/>
          <w:szCs w:val="24"/>
        </w:rPr>
        <w:t xml:space="preserve"> in the Council Report would be hyperlinked. They also agreed to include in the Council Report, where relevant, the contributions submitted by the Directors of the Bureaux to the various meetings of the EG-ITRs.</w:t>
      </w:r>
    </w:p>
    <w:p w14:paraId="04FCC392" w14:textId="0E43065E" w:rsidR="00135243" w:rsidRDefault="00135243" w:rsidP="00292917">
      <w:pPr>
        <w:spacing w:before="360" w:after="120" w:line="240" w:lineRule="auto"/>
        <w:jc w:val="both"/>
        <w:outlineLvl w:val="0"/>
        <w:rPr>
          <w:rFonts w:asciiTheme="majorHAnsi" w:hAnsiTheme="majorHAnsi"/>
          <w:b/>
          <w:sz w:val="24"/>
          <w:szCs w:val="24"/>
        </w:rPr>
      </w:pPr>
      <w:r w:rsidRPr="006B7A0C">
        <w:rPr>
          <w:rFonts w:asciiTheme="majorHAnsi" w:hAnsiTheme="majorHAnsi"/>
          <w:b/>
          <w:sz w:val="24"/>
          <w:szCs w:val="24"/>
        </w:rPr>
        <w:t>6</w:t>
      </w:r>
      <w:r w:rsidRPr="006B7A0C">
        <w:rPr>
          <w:rFonts w:asciiTheme="majorHAnsi" w:hAnsiTheme="majorHAnsi"/>
          <w:b/>
          <w:sz w:val="24"/>
          <w:szCs w:val="24"/>
        </w:rPr>
        <w:tab/>
        <w:t>Discussion on any other Contributions received</w:t>
      </w:r>
    </w:p>
    <w:p w14:paraId="3C5805A3" w14:textId="38B10899" w:rsidR="006335A6" w:rsidRPr="006335A6" w:rsidRDefault="006335A6" w:rsidP="00292917">
      <w:pPr>
        <w:spacing w:before="120" w:after="120" w:line="240" w:lineRule="auto"/>
        <w:jc w:val="both"/>
        <w:outlineLvl w:val="0"/>
        <w:rPr>
          <w:rFonts w:asciiTheme="majorHAnsi" w:hAnsiTheme="majorHAnsi"/>
          <w:bCs/>
          <w:sz w:val="24"/>
          <w:szCs w:val="24"/>
        </w:rPr>
      </w:pPr>
      <w:r w:rsidRPr="006335A6">
        <w:rPr>
          <w:rFonts w:asciiTheme="majorHAnsi" w:hAnsiTheme="majorHAnsi"/>
          <w:bCs/>
          <w:sz w:val="24"/>
          <w:szCs w:val="24"/>
        </w:rPr>
        <w:t>There were no discussions under this Agenda Item.</w:t>
      </w:r>
    </w:p>
    <w:p w14:paraId="1AEA2D66" w14:textId="2EC66179" w:rsidR="00135243" w:rsidRDefault="00135243" w:rsidP="00292917">
      <w:pPr>
        <w:spacing w:before="360" w:after="120" w:line="240" w:lineRule="auto"/>
        <w:jc w:val="both"/>
        <w:outlineLvl w:val="0"/>
        <w:rPr>
          <w:rFonts w:asciiTheme="majorHAnsi" w:hAnsiTheme="majorHAnsi"/>
          <w:b/>
          <w:sz w:val="24"/>
          <w:szCs w:val="24"/>
        </w:rPr>
      </w:pPr>
      <w:r w:rsidRPr="006B7A0C">
        <w:rPr>
          <w:rFonts w:asciiTheme="majorHAnsi" w:hAnsiTheme="majorHAnsi"/>
          <w:b/>
          <w:sz w:val="24"/>
          <w:szCs w:val="24"/>
        </w:rPr>
        <w:t>7</w:t>
      </w:r>
      <w:r w:rsidRPr="006B7A0C">
        <w:rPr>
          <w:rFonts w:asciiTheme="majorHAnsi" w:hAnsiTheme="majorHAnsi"/>
          <w:b/>
          <w:sz w:val="24"/>
          <w:szCs w:val="24"/>
        </w:rPr>
        <w:tab/>
        <w:t>Next Steps</w:t>
      </w:r>
    </w:p>
    <w:p w14:paraId="0B963C3F" w14:textId="3E7F3917" w:rsidR="00D75773" w:rsidRDefault="00D75773" w:rsidP="00292917">
      <w:pPr>
        <w:spacing w:before="120" w:after="120" w:line="240" w:lineRule="auto"/>
        <w:jc w:val="both"/>
        <w:outlineLvl w:val="0"/>
        <w:rPr>
          <w:rFonts w:asciiTheme="majorHAnsi" w:hAnsiTheme="majorHAnsi"/>
          <w:bCs/>
          <w:sz w:val="24"/>
          <w:szCs w:val="24"/>
        </w:rPr>
      </w:pPr>
      <w:r>
        <w:rPr>
          <w:rFonts w:asciiTheme="majorHAnsi" w:hAnsiTheme="majorHAnsi"/>
          <w:b/>
          <w:sz w:val="24"/>
          <w:szCs w:val="24"/>
        </w:rPr>
        <w:t>7.1</w:t>
      </w:r>
      <w:r>
        <w:rPr>
          <w:rFonts w:asciiTheme="majorHAnsi" w:hAnsiTheme="majorHAnsi"/>
          <w:b/>
          <w:sz w:val="24"/>
          <w:szCs w:val="24"/>
        </w:rPr>
        <w:tab/>
      </w:r>
      <w:r w:rsidRPr="00D75773">
        <w:rPr>
          <w:rFonts w:asciiTheme="majorHAnsi" w:hAnsiTheme="majorHAnsi"/>
          <w:bCs/>
          <w:sz w:val="24"/>
          <w:szCs w:val="24"/>
        </w:rPr>
        <w:t xml:space="preserve">The </w:t>
      </w:r>
      <w:r>
        <w:rPr>
          <w:rFonts w:asciiTheme="majorHAnsi" w:hAnsiTheme="majorHAnsi"/>
          <w:bCs/>
          <w:sz w:val="24"/>
          <w:szCs w:val="24"/>
        </w:rPr>
        <w:t xml:space="preserve">Chairman presented </w:t>
      </w:r>
      <w:hyperlink r:id="rId27" w:history="1">
        <w:r w:rsidRPr="00D75773">
          <w:rPr>
            <w:rStyle w:val="Hyperlink"/>
            <w:rFonts w:asciiTheme="majorHAnsi" w:hAnsiTheme="majorHAnsi"/>
            <w:bCs/>
            <w:sz w:val="24"/>
            <w:szCs w:val="24"/>
          </w:rPr>
          <w:t>DL 3 on Next Steps</w:t>
        </w:r>
      </w:hyperlink>
      <w:r>
        <w:rPr>
          <w:rFonts w:asciiTheme="majorHAnsi" w:hAnsiTheme="majorHAnsi"/>
          <w:bCs/>
          <w:sz w:val="24"/>
          <w:szCs w:val="24"/>
        </w:rPr>
        <w:t xml:space="preserve"> which sets out the procedure for completing the Meeting Report as well as for developing a draft of the Council Report. </w:t>
      </w:r>
    </w:p>
    <w:p w14:paraId="31BDF80E" w14:textId="6EC8C74C" w:rsidR="00D75773" w:rsidRPr="006B7A0C" w:rsidRDefault="00D75773" w:rsidP="00292917">
      <w:pPr>
        <w:spacing w:before="120" w:after="120" w:line="240" w:lineRule="auto"/>
        <w:jc w:val="both"/>
        <w:outlineLvl w:val="0"/>
        <w:rPr>
          <w:rFonts w:asciiTheme="majorHAnsi" w:hAnsiTheme="majorHAnsi"/>
          <w:b/>
          <w:sz w:val="24"/>
          <w:szCs w:val="24"/>
        </w:rPr>
      </w:pPr>
      <w:r w:rsidRPr="00D75773">
        <w:rPr>
          <w:rFonts w:asciiTheme="majorHAnsi" w:hAnsiTheme="majorHAnsi"/>
          <w:b/>
          <w:sz w:val="24"/>
          <w:szCs w:val="24"/>
        </w:rPr>
        <w:t>7.2</w:t>
      </w:r>
      <w:r>
        <w:rPr>
          <w:rFonts w:asciiTheme="majorHAnsi" w:hAnsiTheme="majorHAnsi"/>
          <w:bCs/>
          <w:sz w:val="24"/>
          <w:szCs w:val="24"/>
        </w:rPr>
        <w:t xml:space="preserve"> </w:t>
      </w:r>
      <w:r>
        <w:rPr>
          <w:rFonts w:asciiTheme="majorHAnsi" w:hAnsiTheme="majorHAnsi"/>
          <w:bCs/>
          <w:sz w:val="24"/>
          <w:szCs w:val="24"/>
        </w:rPr>
        <w:tab/>
        <w:t xml:space="preserve">The Meeting Report will be posted online by 22 October 2021, following the process previously </w:t>
      </w:r>
      <w:r w:rsidR="00C124B8">
        <w:rPr>
          <w:rFonts w:asciiTheme="majorHAnsi" w:hAnsiTheme="majorHAnsi"/>
          <w:bCs/>
          <w:sz w:val="24"/>
          <w:szCs w:val="24"/>
        </w:rPr>
        <w:t>adopted by the EG-ITRs</w:t>
      </w:r>
      <w:r>
        <w:rPr>
          <w:rFonts w:asciiTheme="majorHAnsi" w:hAnsiTheme="majorHAnsi"/>
          <w:bCs/>
          <w:sz w:val="24"/>
          <w:szCs w:val="24"/>
        </w:rPr>
        <w:t xml:space="preserve"> for this purpose. The draft Council Report will be shared with all the participants of the fifth meeting of the EG-ITRs, as well as </w:t>
      </w:r>
      <w:r w:rsidR="00C124B8">
        <w:rPr>
          <w:rFonts w:asciiTheme="majorHAnsi" w:hAnsiTheme="majorHAnsi"/>
          <w:bCs/>
          <w:sz w:val="24"/>
          <w:szCs w:val="24"/>
        </w:rPr>
        <w:t xml:space="preserve">with </w:t>
      </w:r>
      <w:r>
        <w:rPr>
          <w:rFonts w:asciiTheme="majorHAnsi" w:hAnsiTheme="majorHAnsi"/>
          <w:bCs/>
          <w:sz w:val="24"/>
          <w:szCs w:val="24"/>
        </w:rPr>
        <w:t>the Vice-Chairs</w:t>
      </w:r>
      <w:r w:rsidR="00C124B8">
        <w:rPr>
          <w:rFonts w:asciiTheme="majorHAnsi" w:hAnsiTheme="majorHAnsi"/>
          <w:bCs/>
          <w:sz w:val="24"/>
          <w:szCs w:val="24"/>
        </w:rPr>
        <w:t>,</w:t>
      </w:r>
      <w:r>
        <w:rPr>
          <w:rFonts w:asciiTheme="majorHAnsi" w:hAnsiTheme="majorHAnsi"/>
          <w:bCs/>
          <w:sz w:val="24"/>
          <w:szCs w:val="24"/>
        </w:rPr>
        <w:t xml:space="preserve"> for regional consultation</w:t>
      </w:r>
      <w:r w:rsidR="00C124B8">
        <w:rPr>
          <w:rFonts w:asciiTheme="majorHAnsi" w:hAnsiTheme="majorHAnsi"/>
          <w:bCs/>
          <w:sz w:val="24"/>
          <w:szCs w:val="24"/>
        </w:rPr>
        <w:t xml:space="preserve"> </w:t>
      </w:r>
      <w:r>
        <w:rPr>
          <w:rFonts w:asciiTheme="majorHAnsi" w:hAnsiTheme="majorHAnsi"/>
          <w:bCs/>
          <w:sz w:val="24"/>
          <w:szCs w:val="24"/>
        </w:rPr>
        <w:t xml:space="preserve">on 12 November, </w:t>
      </w:r>
      <w:r w:rsidR="00C124B8">
        <w:rPr>
          <w:rFonts w:asciiTheme="majorHAnsi" w:hAnsiTheme="majorHAnsi"/>
          <w:bCs/>
          <w:sz w:val="24"/>
          <w:szCs w:val="24"/>
        </w:rPr>
        <w:t xml:space="preserve">and, </w:t>
      </w:r>
      <w:r>
        <w:rPr>
          <w:rFonts w:asciiTheme="majorHAnsi" w:hAnsiTheme="majorHAnsi"/>
          <w:bCs/>
          <w:sz w:val="24"/>
          <w:szCs w:val="24"/>
        </w:rPr>
        <w:t xml:space="preserve">following the process set out in DL 3 (Rev. 1), it will be published on 13 December as an input document for the sixth meeting of the EG-ITRs. </w:t>
      </w:r>
    </w:p>
    <w:p w14:paraId="00000086" w14:textId="45F52B5B" w:rsidR="00D044C6" w:rsidRPr="006B7A0C" w:rsidRDefault="00135243" w:rsidP="00292917">
      <w:pPr>
        <w:spacing w:before="360" w:after="120" w:line="240" w:lineRule="auto"/>
        <w:outlineLvl w:val="0"/>
        <w:rPr>
          <w:rFonts w:asciiTheme="majorHAnsi" w:hAnsiTheme="majorHAnsi"/>
          <w:b/>
          <w:sz w:val="24"/>
          <w:szCs w:val="24"/>
        </w:rPr>
      </w:pPr>
      <w:r w:rsidRPr="006B7A0C">
        <w:rPr>
          <w:rFonts w:asciiTheme="majorHAnsi" w:hAnsiTheme="majorHAnsi"/>
          <w:b/>
          <w:sz w:val="24"/>
          <w:szCs w:val="24"/>
        </w:rPr>
        <w:t>8</w:t>
      </w:r>
      <w:r w:rsidR="009B05F6" w:rsidRPr="006B7A0C">
        <w:rPr>
          <w:rFonts w:asciiTheme="majorHAnsi" w:hAnsiTheme="majorHAnsi"/>
          <w:b/>
          <w:sz w:val="24"/>
          <w:szCs w:val="24"/>
        </w:rPr>
        <w:tab/>
        <w:t>Closing of the Meeting</w:t>
      </w:r>
    </w:p>
    <w:p w14:paraId="00000087" w14:textId="1AEEABBA" w:rsidR="00D044C6" w:rsidRPr="006B7A0C" w:rsidRDefault="009B05F6" w:rsidP="00292917">
      <w:pPr>
        <w:spacing w:before="120" w:after="120" w:line="240" w:lineRule="auto"/>
        <w:ind w:firstLine="720"/>
        <w:jc w:val="both"/>
        <w:rPr>
          <w:rFonts w:asciiTheme="majorHAnsi" w:hAnsiTheme="majorHAnsi"/>
          <w:sz w:val="24"/>
          <w:szCs w:val="24"/>
        </w:rPr>
      </w:pPr>
      <w:r w:rsidRPr="006B7A0C">
        <w:rPr>
          <w:rFonts w:asciiTheme="majorHAnsi" w:hAnsiTheme="majorHAnsi"/>
          <w:sz w:val="24"/>
          <w:szCs w:val="24"/>
        </w:rPr>
        <w:t xml:space="preserve">In closing, the Chairman thanked all the ITU Member States and Sector Members who made contributions and participated in the work of the Expert Group, the Vice-Chairmen, and ITU Elected Officials, </w:t>
      </w:r>
      <w:r w:rsidR="007B6199" w:rsidRPr="006B7A0C">
        <w:rPr>
          <w:rFonts w:asciiTheme="majorHAnsi" w:hAnsiTheme="majorHAnsi"/>
          <w:sz w:val="24"/>
          <w:szCs w:val="24"/>
        </w:rPr>
        <w:t xml:space="preserve">and </w:t>
      </w:r>
      <w:r w:rsidRPr="006B7A0C">
        <w:rPr>
          <w:rFonts w:asciiTheme="majorHAnsi" w:hAnsiTheme="majorHAnsi"/>
          <w:sz w:val="24"/>
          <w:szCs w:val="24"/>
        </w:rPr>
        <w:t xml:space="preserve">the Secretariat and the interpreters for their efficient assistance during the meeting. </w:t>
      </w:r>
    </w:p>
    <w:p w14:paraId="00000088" w14:textId="77777777" w:rsidR="00D044C6" w:rsidRPr="006B7A0C" w:rsidRDefault="009B05F6" w:rsidP="00292917">
      <w:pPr>
        <w:spacing w:before="120" w:after="120" w:line="240" w:lineRule="auto"/>
        <w:ind w:firstLine="720"/>
        <w:rPr>
          <w:rFonts w:asciiTheme="majorHAnsi" w:hAnsiTheme="majorHAnsi"/>
          <w:sz w:val="24"/>
          <w:szCs w:val="24"/>
        </w:rPr>
      </w:pPr>
      <w:r w:rsidRPr="006B7A0C">
        <w:rPr>
          <w:rFonts w:asciiTheme="majorHAnsi" w:hAnsiTheme="majorHAnsi"/>
          <w:sz w:val="24"/>
          <w:szCs w:val="24"/>
        </w:rPr>
        <w:t>The Group thanked the Chairman and Secretariat for their effective organization and management of the Group.</w:t>
      </w:r>
    </w:p>
    <w:p w14:paraId="4DAEF6F7" w14:textId="59D8BFDA" w:rsidR="007B6199" w:rsidRPr="006B7A0C" w:rsidRDefault="007B6199" w:rsidP="0061073F">
      <w:pPr>
        <w:tabs>
          <w:tab w:val="left" w:pos="4536"/>
        </w:tabs>
        <w:spacing w:before="360" w:after="120" w:line="240" w:lineRule="auto"/>
        <w:jc w:val="right"/>
        <w:outlineLvl w:val="0"/>
        <w:rPr>
          <w:rFonts w:asciiTheme="majorHAnsi" w:hAnsiTheme="majorHAnsi"/>
          <w:b/>
          <w:sz w:val="24"/>
          <w:szCs w:val="24"/>
        </w:rPr>
      </w:pPr>
      <w:r w:rsidRPr="006B7A0C">
        <w:rPr>
          <w:rFonts w:asciiTheme="majorHAnsi" w:hAnsiTheme="majorHAnsi"/>
          <w:b/>
          <w:sz w:val="24"/>
          <w:szCs w:val="24"/>
        </w:rPr>
        <w:t xml:space="preserve">Chairman: Mr. </w:t>
      </w:r>
      <w:proofErr w:type="spellStart"/>
      <w:r w:rsidRPr="006B7A0C">
        <w:rPr>
          <w:rFonts w:asciiTheme="majorHAnsi" w:hAnsiTheme="majorHAnsi"/>
          <w:b/>
          <w:sz w:val="24"/>
          <w:szCs w:val="24"/>
        </w:rPr>
        <w:t>Lwando</w:t>
      </w:r>
      <w:proofErr w:type="spellEnd"/>
      <w:r w:rsidRPr="006B7A0C">
        <w:rPr>
          <w:rFonts w:asciiTheme="majorHAnsi" w:hAnsiTheme="majorHAnsi"/>
          <w:b/>
          <w:sz w:val="24"/>
          <w:szCs w:val="24"/>
        </w:rPr>
        <w:t xml:space="preserve"> </w:t>
      </w:r>
      <w:proofErr w:type="spellStart"/>
      <w:r w:rsidRPr="006B7A0C">
        <w:rPr>
          <w:rFonts w:asciiTheme="majorHAnsi" w:hAnsiTheme="majorHAnsi"/>
          <w:b/>
          <w:sz w:val="24"/>
          <w:szCs w:val="24"/>
        </w:rPr>
        <w:t>Bbuku</w:t>
      </w:r>
      <w:proofErr w:type="spellEnd"/>
      <w:r w:rsidRPr="006B7A0C">
        <w:rPr>
          <w:rFonts w:asciiTheme="majorHAnsi" w:hAnsiTheme="majorHAnsi"/>
          <w:b/>
          <w:sz w:val="24"/>
          <w:szCs w:val="24"/>
        </w:rPr>
        <w:t xml:space="preserve"> (Zambia)</w:t>
      </w:r>
    </w:p>
    <w:p w14:paraId="3237650F" w14:textId="77777777" w:rsidR="00265D77" w:rsidRDefault="00265D77" w:rsidP="00265D77">
      <w:pPr>
        <w:spacing w:before="840" w:line="240" w:lineRule="auto"/>
        <w:jc w:val="center"/>
        <w:rPr>
          <w:rFonts w:cstheme="majorBidi"/>
          <w:szCs w:val="20"/>
          <w:lang w:eastAsia="ja-JP"/>
        </w:rPr>
      </w:pPr>
      <w:r>
        <w:t>_______________</w:t>
      </w:r>
    </w:p>
    <w:p w14:paraId="5C05C52A" w14:textId="79540550" w:rsidR="006A6B73" w:rsidRPr="006B7A0C" w:rsidRDefault="006A6B73" w:rsidP="00292917">
      <w:pPr>
        <w:spacing w:before="120" w:after="120" w:line="240" w:lineRule="auto"/>
        <w:outlineLvl w:val="0"/>
        <w:rPr>
          <w:rFonts w:asciiTheme="majorHAnsi" w:hAnsiTheme="majorHAnsi"/>
          <w:sz w:val="24"/>
          <w:szCs w:val="24"/>
        </w:rPr>
      </w:pPr>
    </w:p>
    <w:sectPr w:rsidR="006A6B73" w:rsidRPr="006B7A0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09D8" w14:textId="77777777" w:rsidR="003D6288" w:rsidRDefault="003D6288" w:rsidP="00406C7A">
      <w:pPr>
        <w:spacing w:line="240" w:lineRule="auto"/>
      </w:pPr>
      <w:r>
        <w:separator/>
      </w:r>
    </w:p>
  </w:endnote>
  <w:endnote w:type="continuationSeparator" w:id="0">
    <w:p w14:paraId="638E90E9" w14:textId="77777777" w:rsidR="003D6288" w:rsidRDefault="003D6288" w:rsidP="00406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5A38" w14:textId="77777777" w:rsidR="003D6288" w:rsidRDefault="003D6288" w:rsidP="00406C7A">
      <w:pPr>
        <w:spacing w:line="240" w:lineRule="auto"/>
      </w:pPr>
      <w:r>
        <w:separator/>
      </w:r>
    </w:p>
  </w:footnote>
  <w:footnote w:type="continuationSeparator" w:id="0">
    <w:p w14:paraId="35200ABC" w14:textId="77777777" w:rsidR="003D6288" w:rsidRDefault="003D6288" w:rsidP="00406C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C6"/>
    <w:rsid w:val="00021FF0"/>
    <w:rsid w:val="00024577"/>
    <w:rsid w:val="000417F0"/>
    <w:rsid w:val="000563E0"/>
    <w:rsid w:val="00063EA3"/>
    <w:rsid w:val="000840E3"/>
    <w:rsid w:val="000A635E"/>
    <w:rsid w:val="000B2CC6"/>
    <w:rsid w:val="000C19A9"/>
    <w:rsid w:val="000E284F"/>
    <w:rsid w:val="000E4B2B"/>
    <w:rsid w:val="00105B40"/>
    <w:rsid w:val="0011573F"/>
    <w:rsid w:val="00122378"/>
    <w:rsid w:val="001340DF"/>
    <w:rsid w:val="00135243"/>
    <w:rsid w:val="0014586C"/>
    <w:rsid w:val="00145D3E"/>
    <w:rsid w:val="00163A36"/>
    <w:rsid w:val="001656F9"/>
    <w:rsid w:val="00166316"/>
    <w:rsid w:val="00166CE7"/>
    <w:rsid w:val="001739CE"/>
    <w:rsid w:val="00173F16"/>
    <w:rsid w:val="00175613"/>
    <w:rsid w:val="00175AE1"/>
    <w:rsid w:val="00183F58"/>
    <w:rsid w:val="00185646"/>
    <w:rsid w:val="001940DC"/>
    <w:rsid w:val="001A2F1F"/>
    <w:rsid w:val="001B10E6"/>
    <w:rsid w:val="001B1522"/>
    <w:rsid w:val="001B78D4"/>
    <w:rsid w:val="001D41FE"/>
    <w:rsid w:val="001E1297"/>
    <w:rsid w:val="00201799"/>
    <w:rsid w:val="002142AE"/>
    <w:rsid w:val="0022347F"/>
    <w:rsid w:val="00241390"/>
    <w:rsid w:val="00254A6B"/>
    <w:rsid w:val="00260677"/>
    <w:rsid w:val="002636D0"/>
    <w:rsid w:val="00265D77"/>
    <w:rsid w:val="00265F1E"/>
    <w:rsid w:val="00276870"/>
    <w:rsid w:val="00276EC2"/>
    <w:rsid w:val="00292917"/>
    <w:rsid w:val="002A070C"/>
    <w:rsid w:val="002A1F7F"/>
    <w:rsid w:val="002C3385"/>
    <w:rsid w:val="002C5144"/>
    <w:rsid w:val="002D2BE7"/>
    <w:rsid w:val="002D4369"/>
    <w:rsid w:val="002E7928"/>
    <w:rsid w:val="002F48FA"/>
    <w:rsid w:val="003152DC"/>
    <w:rsid w:val="003263B4"/>
    <w:rsid w:val="003419C6"/>
    <w:rsid w:val="00341ACB"/>
    <w:rsid w:val="00353A90"/>
    <w:rsid w:val="0035512B"/>
    <w:rsid w:val="00355B77"/>
    <w:rsid w:val="00364581"/>
    <w:rsid w:val="00376239"/>
    <w:rsid w:val="003A18F3"/>
    <w:rsid w:val="003C52E7"/>
    <w:rsid w:val="003C6ADA"/>
    <w:rsid w:val="003D6288"/>
    <w:rsid w:val="00406C7A"/>
    <w:rsid w:val="004236F6"/>
    <w:rsid w:val="004309EE"/>
    <w:rsid w:val="00431565"/>
    <w:rsid w:val="00441DBE"/>
    <w:rsid w:val="004556C2"/>
    <w:rsid w:val="00460A7D"/>
    <w:rsid w:val="0047659D"/>
    <w:rsid w:val="0048645A"/>
    <w:rsid w:val="00487424"/>
    <w:rsid w:val="0049640F"/>
    <w:rsid w:val="004A354A"/>
    <w:rsid w:val="004E20E5"/>
    <w:rsid w:val="00504429"/>
    <w:rsid w:val="00521988"/>
    <w:rsid w:val="00523CB6"/>
    <w:rsid w:val="00524054"/>
    <w:rsid w:val="005435AA"/>
    <w:rsid w:val="00546842"/>
    <w:rsid w:val="00561E00"/>
    <w:rsid w:val="00563AF5"/>
    <w:rsid w:val="00565164"/>
    <w:rsid w:val="0057581C"/>
    <w:rsid w:val="00587CE1"/>
    <w:rsid w:val="005A33CF"/>
    <w:rsid w:val="005D35A1"/>
    <w:rsid w:val="005E6FE3"/>
    <w:rsid w:val="005F4517"/>
    <w:rsid w:val="00607449"/>
    <w:rsid w:val="0061073F"/>
    <w:rsid w:val="00626F5F"/>
    <w:rsid w:val="006335A6"/>
    <w:rsid w:val="00633F9A"/>
    <w:rsid w:val="00640C5C"/>
    <w:rsid w:val="00643597"/>
    <w:rsid w:val="00650026"/>
    <w:rsid w:val="00661E22"/>
    <w:rsid w:val="006714F3"/>
    <w:rsid w:val="00672FC9"/>
    <w:rsid w:val="006951B9"/>
    <w:rsid w:val="006A2461"/>
    <w:rsid w:val="006A3D53"/>
    <w:rsid w:val="006A6B73"/>
    <w:rsid w:val="006B7A0C"/>
    <w:rsid w:val="006B7EB5"/>
    <w:rsid w:val="006D56D0"/>
    <w:rsid w:val="00722193"/>
    <w:rsid w:val="00722F88"/>
    <w:rsid w:val="00764F7E"/>
    <w:rsid w:val="007679FB"/>
    <w:rsid w:val="00773B98"/>
    <w:rsid w:val="00774845"/>
    <w:rsid w:val="00775C28"/>
    <w:rsid w:val="00783114"/>
    <w:rsid w:val="007845C9"/>
    <w:rsid w:val="00787F65"/>
    <w:rsid w:val="00792FAC"/>
    <w:rsid w:val="007A224D"/>
    <w:rsid w:val="007A489E"/>
    <w:rsid w:val="007B328A"/>
    <w:rsid w:val="007B6199"/>
    <w:rsid w:val="007C6D70"/>
    <w:rsid w:val="007D000B"/>
    <w:rsid w:val="007D5A26"/>
    <w:rsid w:val="007F4E06"/>
    <w:rsid w:val="007F5418"/>
    <w:rsid w:val="00802D72"/>
    <w:rsid w:val="00803207"/>
    <w:rsid w:val="008135BB"/>
    <w:rsid w:val="008173CE"/>
    <w:rsid w:val="008374FD"/>
    <w:rsid w:val="00876129"/>
    <w:rsid w:val="008814CE"/>
    <w:rsid w:val="00887EAA"/>
    <w:rsid w:val="00893A81"/>
    <w:rsid w:val="0089594B"/>
    <w:rsid w:val="008A0316"/>
    <w:rsid w:val="008A4B0A"/>
    <w:rsid w:val="008A6BFB"/>
    <w:rsid w:val="008B0677"/>
    <w:rsid w:val="008B5424"/>
    <w:rsid w:val="008D4217"/>
    <w:rsid w:val="008E4F2F"/>
    <w:rsid w:val="008F16D9"/>
    <w:rsid w:val="009218B1"/>
    <w:rsid w:val="0092347C"/>
    <w:rsid w:val="00941DBD"/>
    <w:rsid w:val="00941F25"/>
    <w:rsid w:val="00951959"/>
    <w:rsid w:val="0096152E"/>
    <w:rsid w:val="00973EA5"/>
    <w:rsid w:val="00991E6A"/>
    <w:rsid w:val="009A2ADB"/>
    <w:rsid w:val="009B05F6"/>
    <w:rsid w:val="009B7CF9"/>
    <w:rsid w:val="009C0465"/>
    <w:rsid w:val="009D10B8"/>
    <w:rsid w:val="009F1A52"/>
    <w:rsid w:val="009F36F6"/>
    <w:rsid w:val="00A05240"/>
    <w:rsid w:val="00A0681A"/>
    <w:rsid w:val="00A07D20"/>
    <w:rsid w:val="00A354AD"/>
    <w:rsid w:val="00A37118"/>
    <w:rsid w:val="00A51350"/>
    <w:rsid w:val="00A6257B"/>
    <w:rsid w:val="00A737AB"/>
    <w:rsid w:val="00A8187E"/>
    <w:rsid w:val="00A857BA"/>
    <w:rsid w:val="00A908A8"/>
    <w:rsid w:val="00AB374C"/>
    <w:rsid w:val="00AB745B"/>
    <w:rsid w:val="00AC05FC"/>
    <w:rsid w:val="00AC2FED"/>
    <w:rsid w:val="00AC54D1"/>
    <w:rsid w:val="00AE39AB"/>
    <w:rsid w:val="00AF201E"/>
    <w:rsid w:val="00B15DDB"/>
    <w:rsid w:val="00B21905"/>
    <w:rsid w:val="00B229E5"/>
    <w:rsid w:val="00B3743B"/>
    <w:rsid w:val="00B457EA"/>
    <w:rsid w:val="00B57565"/>
    <w:rsid w:val="00BA57D5"/>
    <w:rsid w:val="00BB1FD7"/>
    <w:rsid w:val="00BD24CA"/>
    <w:rsid w:val="00BE33C5"/>
    <w:rsid w:val="00C11031"/>
    <w:rsid w:val="00C124B8"/>
    <w:rsid w:val="00C17076"/>
    <w:rsid w:val="00C178A4"/>
    <w:rsid w:val="00C20591"/>
    <w:rsid w:val="00C31383"/>
    <w:rsid w:val="00C3772E"/>
    <w:rsid w:val="00C40085"/>
    <w:rsid w:val="00C55DDE"/>
    <w:rsid w:val="00C61E04"/>
    <w:rsid w:val="00C77AE0"/>
    <w:rsid w:val="00C9132C"/>
    <w:rsid w:val="00C94377"/>
    <w:rsid w:val="00CE4978"/>
    <w:rsid w:val="00CF5CE0"/>
    <w:rsid w:val="00D02852"/>
    <w:rsid w:val="00D044C6"/>
    <w:rsid w:val="00D16FA4"/>
    <w:rsid w:val="00D2147F"/>
    <w:rsid w:val="00D27B36"/>
    <w:rsid w:val="00D30405"/>
    <w:rsid w:val="00D32538"/>
    <w:rsid w:val="00D33C65"/>
    <w:rsid w:val="00D40947"/>
    <w:rsid w:val="00D51CF5"/>
    <w:rsid w:val="00D64FE7"/>
    <w:rsid w:val="00D75773"/>
    <w:rsid w:val="00D84690"/>
    <w:rsid w:val="00D9154E"/>
    <w:rsid w:val="00DA0B61"/>
    <w:rsid w:val="00DB0871"/>
    <w:rsid w:val="00DB2576"/>
    <w:rsid w:val="00DC229C"/>
    <w:rsid w:val="00DC3331"/>
    <w:rsid w:val="00DC5DDB"/>
    <w:rsid w:val="00DD0AB7"/>
    <w:rsid w:val="00DE1052"/>
    <w:rsid w:val="00DE4FD2"/>
    <w:rsid w:val="00DE76C7"/>
    <w:rsid w:val="00E0537B"/>
    <w:rsid w:val="00E06116"/>
    <w:rsid w:val="00E261DC"/>
    <w:rsid w:val="00E41FC6"/>
    <w:rsid w:val="00EA14D0"/>
    <w:rsid w:val="00EB6C38"/>
    <w:rsid w:val="00EC066D"/>
    <w:rsid w:val="00EC37AA"/>
    <w:rsid w:val="00EC6FDC"/>
    <w:rsid w:val="00EE086D"/>
    <w:rsid w:val="00EF3070"/>
    <w:rsid w:val="00EF78E8"/>
    <w:rsid w:val="00EF7F39"/>
    <w:rsid w:val="00F05189"/>
    <w:rsid w:val="00F2081F"/>
    <w:rsid w:val="00F2333A"/>
    <w:rsid w:val="00F42DEE"/>
    <w:rsid w:val="00F52C63"/>
    <w:rsid w:val="00F872EC"/>
    <w:rsid w:val="00F8797B"/>
    <w:rsid w:val="00FB732A"/>
    <w:rsid w:val="00FE3A9A"/>
    <w:rsid w:val="00FE3F1A"/>
    <w:rsid w:val="00FF4B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A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D436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369"/>
    <w:rPr>
      <w:rFonts w:ascii="Times New Roman" w:hAnsi="Times New Roman" w:cs="Times New Roman"/>
      <w:sz w:val="18"/>
      <w:szCs w:val="18"/>
    </w:rPr>
  </w:style>
  <w:style w:type="paragraph" w:customStyle="1" w:styleId="dnum">
    <w:name w:val="dnum"/>
    <w:basedOn w:val="Normal"/>
    <w:rsid w:val="002D4369"/>
    <w:pPr>
      <w:framePr w:hSpace="181" w:wrap="around" w:vAnchor="page" w:hAnchor="margin" w:y="852"/>
      <w:shd w:val="solid" w:color="FFFFFF" w:fill="FFFFFF"/>
      <w:tabs>
        <w:tab w:val="left" w:pos="1871"/>
      </w:tabs>
      <w:spacing w:after="160" w:line="259" w:lineRule="auto"/>
    </w:pPr>
    <w:rPr>
      <w:rFonts w:asciiTheme="minorHAnsi" w:eastAsiaTheme="minorHAnsi" w:hAnsiTheme="minorHAnsi" w:cstheme="minorBidi"/>
      <w:b/>
      <w:bCs/>
      <w:lang w:eastAsia="en-US"/>
    </w:rPr>
  </w:style>
  <w:style w:type="paragraph" w:styleId="ListParagraph">
    <w:name w:val="List Paragraph"/>
    <w:basedOn w:val="Normal"/>
    <w:uiPriority w:val="34"/>
    <w:qFormat/>
    <w:rsid w:val="002D4369"/>
    <w:pPr>
      <w:ind w:left="720"/>
      <w:contextualSpacing/>
    </w:pPr>
  </w:style>
  <w:style w:type="paragraph" w:styleId="CommentSubject">
    <w:name w:val="annotation subject"/>
    <w:basedOn w:val="CommentText"/>
    <w:next w:val="CommentText"/>
    <w:link w:val="CommentSubjectChar"/>
    <w:uiPriority w:val="99"/>
    <w:semiHidden/>
    <w:unhideWhenUsed/>
    <w:rsid w:val="00376239"/>
    <w:rPr>
      <w:b/>
      <w:bCs/>
      <w:sz w:val="20"/>
      <w:szCs w:val="20"/>
    </w:rPr>
  </w:style>
  <w:style w:type="character" w:customStyle="1" w:styleId="CommentSubjectChar">
    <w:name w:val="Comment Subject Char"/>
    <w:basedOn w:val="CommentTextChar"/>
    <w:link w:val="CommentSubject"/>
    <w:uiPriority w:val="99"/>
    <w:semiHidden/>
    <w:rsid w:val="00376239"/>
    <w:rPr>
      <w:b/>
      <w:bCs/>
      <w:sz w:val="20"/>
      <w:szCs w:val="20"/>
    </w:rPr>
  </w:style>
  <w:style w:type="character" w:styleId="Hyperlink">
    <w:name w:val="Hyperlink"/>
    <w:basedOn w:val="DefaultParagraphFont"/>
    <w:uiPriority w:val="99"/>
    <w:unhideWhenUsed/>
    <w:rsid w:val="002142AE"/>
    <w:rPr>
      <w:color w:val="0000FF" w:themeColor="hyperlink"/>
      <w:u w:val="single"/>
    </w:rPr>
  </w:style>
  <w:style w:type="paragraph" w:styleId="Revision">
    <w:name w:val="Revision"/>
    <w:hidden/>
    <w:uiPriority w:val="99"/>
    <w:semiHidden/>
    <w:rsid w:val="009B05F6"/>
    <w:pPr>
      <w:spacing w:line="240" w:lineRule="auto"/>
    </w:pPr>
  </w:style>
  <w:style w:type="character" w:customStyle="1" w:styleId="UnresolvedMention1">
    <w:name w:val="Unresolved Mention1"/>
    <w:basedOn w:val="DefaultParagraphFont"/>
    <w:uiPriority w:val="99"/>
    <w:semiHidden/>
    <w:unhideWhenUsed/>
    <w:rsid w:val="00F8797B"/>
    <w:rPr>
      <w:color w:val="605E5C"/>
      <w:shd w:val="clear" w:color="auto" w:fill="E1DFDD"/>
    </w:rPr>
  </w:style>
  <w:style w:type="paragraph" w:styleId="NormalWeb">
    <w:name w:val="Normal (Web)"/>
    <w:basedOn w:val="Normal"/>
    <w:uiPriority w:val="99"/>
    <w:semiHidden/>
    <w:unhideWhenUsed/>
    <w:rsid w:val="00D51C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6C7A"/>
    <w:pPr>
      <w:tabs>
        <w:tab w:val="center" w:pos="4513"/>
        <w:tab w:val="right" w:pos="9026"/>
      </w:tabs>
      <w:spacing w:line="240" w:lineRule="auto"/>
    </w:pPr>
  </w:style>
  <w:style w:type="character" w:customStyle="1" w:styleId="HeaderChar">
    <w:name w:val="Header Char"/>
    <w:basedOn w:val="DefaultParagraphFont"/>
    <w:link w:val="Header"/>
    <w:uiPriority w:val="99"/>
    <w:rsid w:val="00406C7A"/>
  </w:style>
  <w:style w:type="paragraph" w:styleId="Footer">
    <w:name w:val="footer"/>
    <w:basedOn w:val="Normal"/>
    <w:link w:val="FooterChar"/>
    <w:uiPriority w:val="99"/>
    <w:unhideWhenUsed/>
    <w:rsid w:val="00406C7A"/>
    <w:pPr>
      <w:tabs>
        <w:tab w:val="center" w:pos="4513"/>
        <w:tab w:val="right" w:pos="9026"/>
      </w:tabs>
      <w:spacing w:line="240" w:lineRule="auto"/>
    </w:pPr>
  </w:style>
  <w:style w:type="character" w:customStyle="1" w:styleId="FooterChar">
    <w:name w:val="Footer Char"/>
    <w:basedOn w:val="DefaultParagraphFont"/>
    <w:link w:val="Footer"/>
    <w:uiPriority w:val="99"/>
    <w:rsid w:val="00406C7A"/>
  </w:style>
  <w:style w:type="character" w:customStyle="1" w:styleId="UnresolvedMention2">
    <w:name w:val="Unresolved Mention2"/>
    <w:basedOn w:val="DefaultParagraphFont"/>
    <w:uiPriority w:val="99"/>
    <w:semiHidden/>
    <w:unhideWhenUsed/>
    <w:rsid w:val="001B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7606">
      <w:bodyDiv w:val="1"/>
      <w:marLeft w:val="0"/>
      <w:marRight w:val="0"/>
      <w:marTop w:val="0"/>
      <w:marBottom w:val="0"/>
      <w:divBdr>
        <w:top w:val="none" w:sz="0" w:space="0" w:color="auto"/>
        <w:left w:val="none" w:sz="0" w:space="0" w:color="auto"/>
        <w:bottom w:val="none" w:sz="0" w:space="0" w:color="auto"/>
        <w:right w:val="none" w:sz="0" w:space="0" w:color="auto"/>
      </w:divBdr>
    </w:div>
    <w:div w:id="355275723">
      <w:bodyDiv w:val="1"/>
      <w:marLeft w:val="0"/>
      <w:marRight w:val="0"/>
      <w:marTop w:val="0"/>
      <w:marBottom w:val="0"/>
      <w:divBdr>
        <w:top w:val="none" w:sz="0" w:space="0" w:color="auto"/>
        <w:left w:val="none" w:sz="0" w:space="0" w:color="auto"/>
        <w:bottom w:val="none" w:sz="0" w:space="0" w:color="auto"/>
        <w:right w:val="none" w:sz="0" w:space="0" w:color="auto"/>
      </w:divBdr>
    </w:div>
    <w:div w:id="628556947">
      <w:bodyDiv w:val="1"/>
      <w:marLeft w:val="0"/>
      <w:marRight w:val="0"/>
      <w:marTop w:val="0"/>
      <w:marBottom w:val="0"/>
      <w:divBdr>
        <w:top w:val="none" w:sz="0" w:space="0" w:color="auto"/>
        <w:left w:val="none" w:sz="0" w:space="0" w:color="auto"/>
        <w:bottom w:val="none" w:sz="0" w:space="0" w:color="auto"/>
        <w:right w:val="none" w:sz="0" w:space="0" w:color="auto"/>
      </w:divBdr>
    </w:div>
    <w:div w:id="771902483">
      <w:bodyDiv w:val="1"/>
      <w:marLeft w:val="0"/>
      <w:marRight w:val="0"/>
      <w:marTop w:val="0"/>
      <w:marBottom w:val="0"/>
      <w:divBdr>
        <w:top w:val="none" w:sz="0" w:space="0" w:color="auto"/>
        <w:left w:val="none" w:sz="0" w:space="0" w:color="auto"/>
        <w:bottom w:val="none" w:sz="0" w:space="0" w:color="auto"/>
        <w:right w:val="none" w:sz="0" w:space="0" w:color="auto"/>
      </w:divBdr>
    </w:div>
    <w:div w:id="837579608">
      <w:bodyDiv w:val="1"/>
      <w:marLeft w:val="0"/>
      <w:marRight w:val="0"/>
      <w:marTop w:val="0"/>
      <w:marBottom w:val="0"/>
      <w:divBdr>
        <w:top w:val="none" w:sz="0" w:space="0" w:color="auto"/>
        <w:left w:val="none" w:sz="0" w:space="0" w:color="auto"/>
        <w:bottom w:val="none" w:sz="0" w:space="0" w:color="auto"/>
        <w:right w:val="none" w:sz="0" w:space="0" w:color="auto"/>
      </w:divBdr>
    </w:div>
    <w:div w:id="876360385">
      <w:bodyDiv w:val="1"/>
      <w:marLeft w:val="0"/>
      <w:marRight w:val="0"/>
      <w:marTop w:val="0"/>
      <w:marBottom w:val="0"/>
      <w:divBdr>
        <w:top w:val="none" w:sz="0" w:space="0" w:color="auto"/>
        <w:left w:val="none" w:sz="0" w:space="0" w:color="auto"/>
        <w:bottom w:val="none" w:sz="0" w:space="0" w:color="auto"/>
        <w:right w:val="none" w:sz="0" w:space="0" w:color="auto"/>
      </w:divBdr>
    </w:div>
    <w:div w:id="978649123">
      <w:bodyDiv w:val="1"/>
      <w:marLeft w:val="0"/>
      <w:marRight w:val="0"/>
      <w:marTop w:val="0"/>
      <w:marBottom w:val="0"/>
      <w:divBdr>
        <w:top w:val="none" w:sz="0" w:space="0" w:color="auto"/>
        <w:left w:val="none" w:sz="0" w:space="0" w:color="auto"/>
        <w:bottom w:val="none" w:sz="0" w:space="0" w:color="auto"/>
        <w:right w:val="none" w:sz="0" w:space="0" w:color="auto"/>
      </w:divBdr>
    </w:div>
    <w:div w:id="1011638760">
      <w:bodyDiv w:val="1"/>
      <w:marLeft w:val="0"/>
      <w:marRight w:val="0"/>
      <w:marTop w:val="0"/>
      <w:marBottom w:val="0"/>
      <w:divBdr>
        <w:top w:val="none" w:sz="0" w:space="0" w:color="auto"/>
        <w:left w:val="none" w:sz="0" w:space="0" w:color="auto"/>
        <w:bottom w:val="none" w:sz="0" w:space="0" w:color="auto"/>
        <w:right w:val="none" w:sz="0" w:space="0" w:color="auto"/>
      </w:divBdr>
    </w:div>
    <w:div w:id="1289703448">
      <w:bodyDiv w:val="1"/>
      <w:marLeft w:val="0"/>
      <w:marRight w:val="0"/>
      <w:marTop w:val="0"/>
      <w:marBottom w:val="0"/>
      <w:divBdr>
        <w:top w:val="none" w:sz="0" w:space="0" w:color="auto"/>
        <w:left w:val="none" w:sz="0" w:space="0" w:color="auto"/>
        <w:bottom w:val="none" w:sz="0" w:space="0" w:color="auto"/>
        <w:right w:val="none" w:sz="0" w:space="0" w:color="auto"/>
      </w:divBdr>
    </w:div>
    <w:div w:id="1305240041">
      <w:bodyDiv w:val="1"/>
      <w:marLeft w:val="0"/>
      <w:marRight w:val="0"/>
      <w:marTop w:val="0"/>
      <w:marBottom w:val="0"/>
      <w:divBdr>
        <w:top w:val="none" w:sz="0" w:space="0" w:color="auto"/>
        <w:left w:val="none" w:sz="0" w:space="0" w:color="auto"/>
        <w:bottom w:val="none" w:sz="0" w:space="0" w:color="auto"/>
        <w:right w:val="none" w:sz="0" w:space="0" w:color="auto"/>
      </w:divBdr>
    </w:div>
    <w:div w:id="1456677047">
      <w:bodyDiv w:val="1"/>
      <w:marLeft w:val="0"/>
      <w:marRight w:val="0"/>
      <w:marTop w:val="0"/>
      <w:marBottom w:val="0"/>
      <w:divBdr>
        <w:top w:val="none" w:sz="0" w:space="0" w:color="auto"/>
        <w:left w:val="none" w:sz="0" w:space="0" w:color="auto"/>
        <w:bottom w:val="none" w:sz="0" w:space="0" w:color="auto"/>
        <w:right w:val="none" w:sz="0" w:space="0" w:color="auto"/>
      </w:divBdr>
    </w:div>
    <w:div w:id="1490056361">
      <w:bodyDiv w:val="1"/>
      <w:marLeft w:val="0"/>
      <w:marRight w:val="0"/>
      <w:marTop w:val="0"/>
      <w:marBottom w:val="0"/>
      <w:divBdr>
        <w:top w:val="none" w:sz="0" w:space="0" w:color="auto"/>
        <w:left w:val="none" w:sz="0" w:space="0" w:color="auto"/>
        <w:bottom w:val="none" w:sz="0" w:space="0" w:color="auto"/>
        <w:right w:val="none" w:sz="0" w:space="0" w:color="auto"/>
      </w:divBdr>
    </w:div>
    <w:div w:id="1822696902">
      <w:bodyDiv w:val="1"/>
      <w:marLeft w:val="0"/>
      <w:marRight w:val="0"/>
      <w:marTop w:val="0"/>
      <w:marBottom w:val="0"/>
      <w:divBdr>
        <w:top w:val="none" w:sz="0" w:space="0" w:color="auto"/>
        <w:left w:val="none" w:sz="0" w:space="0" w:color="auto"/>
        <w:bottom w:val="none" w:sz="0" w:space="0" w:color="auto"/>
        <w:right w:val="none" w:sz="0" w:space="0" w:color="auto"/>
      </w:divBdr>
    </w:div>
    <w:div w:id="1869879025">
      <w:bodyDiv w:val="1"/>
      <w:marLeft w:val="0"/>
      <w:marRight w:val="0"/>
      <w:marTop w:val="0"/>
      <w:marBottom w:val="0"/>
      <w:divBdr>
        <w:top w:val="none" w:sz="0" w:space="0" w:color="auto"/>
        <w:left w:val="none" w:sz="0" w:space="0" w:color="auto"/>
        <w:bottom w:val="none" w:sz="0" w:space="0" w:color="auto"/>
        <w:right w:val="none" w:sz="0" w:space="0" w:color="auto"/>
      </w:divBdr>
      <w:divsChild>
        <w:div w:id="482165831">
          <w:marLeft w:val="0"/>
          <w:marRight w:val="0"/>
          <w:marTop w:val="0"/>
          <w:marBottom w:val="0"/>
          <w:divBdr>
            <w:top w:val="none" w:sz="0" w:space="0" w:color="auto"/>
            <w:left w:val="none" w:sz="0" w:space="0" w:color="auto"/>
            <w:bottom w:val="none" w:sz="0" w:space="0" w:color="auto"/>
            <w:right w:val="none" w:sz="0" w:space="0" w:color="auto"/>
          </w:divBdr>
          <w:divsChild>
            <w:div w:id="1195994844">
              <w:marLeft w:val="0"/>
              <w:marRight w:val="0"/>
              <w:marTop w:val="0"/>
              <w:marBottom w:val="0"/>
              <w:divBdr>
                <w:top w:val="none" w:sz="0" w:space="0" w:color="auto"/>
                <w:left w:val="none" w:sz="0" w:space="0" w:color="auto"/>
                <w:bottom w:val="none" w:sz="0" w:space="0" w:color="auto"/>
                <w:right w:val="none" w:sz="0" w:space="0" w:color="auto"/>
              </w:divBdr>
              <w:divsChild>
                <w:div w:id="1799183899">
                  <w:marLeft w:val="0"/>
                  <w:marRight w:val="0"/>
                  <w:marTop w:val="0"/>
                  <w:marBottom w:val="0"/>
                  <w:divBdr>
                    <w:top w:val="none" w:sz="0" w:space="0" w:color="auto"/>
                    <w:left w:val="none" w:sz="0" w:space="0" w:color="auto"/>
                    <w:bottom w:val="none" w:sz="0" w:space="0" w:color="auto"/>
                    <w:right w:val="none" w:sz="0" w:space="0" w:color="auto"/>
                  </w:divBdr>
                  <w:divsChild>
                    <w:div w:id="324673918">
                      <w:marLeft w:val="0"/>
                      <w:marRight w:val="0"/>
                      <w:marTop w:val="0"/>
                      <w:marBottom w:val="0"/>
                      <w:divBdr>
                        <w:top w:val="none" w:sz="0" w:space="0" w:color="auto"/>
                        <w:left w:val="none" w:sz="0" w:space="0" w:color="auto"/>
                        <w:bottom w:val="none" w:sz="0" w:space="0" w:color="auto"/>
                        <w:right w:val="none" w:sz="0" w:space="0" w:color="auto"/>
                      </w:divBdr>
                      <w:divsChild>
                        <w:div w:id="2133088860">
                          <w:marLeft w:val="0"/>
                          <w:marRight w:val="0"/>
                          <w:marTop w:val="0"/>
                          <w:marBottom w:val="0"/>
                          <w:divBdr>
                            <w:top w:val="none" w:sz="0" w:space="0" w:color="auto"/>
                            <w:left w:val="none" w:sz="0" w:space="0" w:color="auto"/>
                            <w:bottom w:val="none" w:sz="0" w:space="0" w:color="auto"/>
                            <w:right w:val="none" w:sz="0" w:space="0" w:color="auto"/>
                          </w:divBdr>
                          <w:divsChild>
                            <w:div w:id="81267379">
                              <w:marLeft w:val="0"/>
                              <w:marRight w:val="0"/>
                              <w:marTop w:val="0"/>
                              <w:marBottom w:val="0"/>
                              <w:divBdr>
                                <w:top w:val="none" w:sz="0" w:space="0" w:color="auto"/>
                                <w:left w:val="none" w:sz="0" w:space="0" w:color="auto"/>
                                <w:bottom w:val="none" w:sz="0" w:space="0" w:color="auto"/>
                                <w:right w:val="none" w:sz="0" w:space="0" w:color="auto"/>
                              </w:divBdr>
                              <w:divsChild>
                                <w:div w:id="1205480478">
                                  <w:marLeft w:val="0"/>
                                  <w:marRight w:val="0"/>
                                  <w:marTop w:val="0"/>
                                  <w:marBottom w:val="0"/>
                                  <w:divBdr>
                                    <w:top w:val="none" w:sz="0" w:space="0" w:color="auto"/>
                                    <w:left w:val="none" w:sz="0" w:space="0" w:color="auto"/>
                                    <w:bottom w:val="none" w:sz="0" w:space="0" w:color="auto"/>
                                    <w:right w:val="none" w:sz="0" w:space="0" w:color="auto"/>
                                  </w:divBdr>
                                  <w:divsChild>
                                    <w:div w:id="1633630714">
                                      <w:marLeft w:val="0"/>
                                      <w:marRight w:val="0"/>
                                      <w:marTop w:val="0"/>
                                      <w:marBottom w:val="0"/>
                                      <w:divBdr>
                                        <w:top w:val="none" w:sz="0" w:space="0" w:color="auto"/>
                                        <w:left w:val="none" w:sz="0" w:space="0" w:color="auto"/>
                                        <w:bottom w:val="none" w:sz="0" w:space="0" w:color="auto"/>
                                        <w:right w:val="none" w:sz="0" w:space="0" w:color="auto"/>
                                      </w:divBdr>
                                      <w:divsChild>
                                        <w:div w:id="496304851">
                                          <w:marLeft w:val="0"/>
                                          <w:marRight w:val="0"/>
                                          <w:marTop w:val="0"/>
                                          <w:marBottom w:val="0"/>
                                          <w:divBdr>
                                            <w:top w:val="none" w:sz="0" w:space="0" w:color="auto"/>
                                            <w:left w:val="none" w:sz="0" w:space="0" w:color="auto"/>
                                            <w:bottom w:val="none" w:sz="0" w:space="0" w:color="auto"/>
                                            <w:right w:val="none" w:sz="0" w:space="0" w:color="auto"/>
                                          </w:divBdr>
                                          <w:divsChild>
                                            <w:div w:id="137961051">
                                              <w:marLeft w:val="0"/>
                                              <w:marRight w:val="0"/>
                                              <w:marTop w:val="0"/>
                                              <w:marBottom w:val="0"/>
                                              <w:divBdr>
                                                <w:top w:val="none" w:sz="0" w:space="0" w:color="auto"/>
                                                <w:left w:val="none" w:sz="0" w:space="0" w:color="auto"/>
                                                <w:bottom w:val="none" w:sz="0" w:space="0" w:color="auto"/>
                                                <w:right w:val="none" w:sz="0" w:space="0" w:color="auto"/>
                                              </w:divBdr>
                                              <w:divsChild>
                                                <w:div w:id="17767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767564">
      <w:bodyDiv w:val="1"/>
      <w:marLeft w:val="0"/>
      <w:marRight w:val="0"/>
      <w:marTop w:val="0"/>
      <w:marBottom w:val="0"/>
      <w:divBdr>
        <w:top w:val="none" w:sz="0" w:space="0" w:color="auto"/>
        <w:left w:val="none" w:sz="0" w:space="0" w:color="auto"/>
        <w:bottom w:val="none" w:sz="0" w:space="0" w:color="auto"/>
        <w:right w:val="none" w:sz="0" w:space="0" w:color="auto"/>
      </w:divBdr>
    </w:div>
    <w:div w:id="206493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5-210930-DL-0001/en" TargetMode="External"/><Relationship Id="rId18" Type="http://schemas.openxmlformats.org/officeDocument/2006/relationships/hyperlink" Target="https://www.itu.int/md/S21-EGITR5-C-0007/en" TargetMode="External"/><Relationship Id="rId26" Type="http://schemas.openxmlformats.org/officeDocument/2006/relationships/hyperlink" Target="https://www.itu.int/md/S19-CL-C-0139/en" TargetMode="External"/><Relationship Id="rId3" Type="http://schemas.openxmlformats.org/officeDocument/2006/relationships/styles" Target="styles.xml"/><Relationship Id="rId21" Type="http://schemas.openxmlformats.org/officeDocument/2006/relationships/hyperlink" Target="https://www.itu.int/en/council/Documents/basic-texts/RES-146-E.pdf" TargetMode="External"/><Relationship Id="rId7" Type="http://schemas.openxmlformats.org/officeDocument/2006/relationships/endnotes" Target="endnotes.xml"/><Relationship Id="rId12" Type="http://schemas.openxmlformats.org/officeDocument/2006/relationships/hyperlink" Target="https://www.itu.int/md/S21-EGITR5-INF-0001/en" TargetMode="External"/><Relationship Id="rId17" Type="http://schemas.openxmlformats.org/officeDocument/2006/relationships/hyperlink" Target="https://www.itu.int/md/S21-EGITR5-C-0006/en" TargetMode="External"/><Relationship Id="rId25" Type="http://schemas.openxmlformats.org/officeDocument/2006/relationships/hyperlink" Target="https://www.itu.int/en/council/Documents/basic-texts/RES-146-E.pdf" TargetMode="External"/><Relationship Id="rId2" Type="http://schemas.openxmlformats.org/officeDocument/2006/relationships/numbering" Target="numbering.xml"/><Relationship Id="rId16" Type="http://schemas.openxmlformats.org/officeDocument/2006/relationships/hyperlink" Target="https://www.itu.int/md/S21-EGITR5-C-0005/en" TargetMode="External"/><Relationship Id="rId20" Type="http://schemas.openxmlformats.org/officeDocument/2006/relationships/hyperlink" Target="https://www.itu.int/md/S21-EGITR5-C-000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9/en" TargetMode="External"/><Relationship Id="rId24" Type="http://schemas.openxmlformats.org/officeDocument/2006/relationships/hyperlink" Target="https://www.itu.int/md/S21-EGITR5-210930-DL-0002/en" TargetMode="External"/><Relationship Id="rId5" Type="http://schemas.openxmlformats.org/officeDocument/2006/relationships/webSettings" Target="webSettings.xml"/><Relationship Id="rId15" Type="http://schemas.openxmlformats.org/officeDocument/2006/relationships/hyperlink" Target="https://www.itu.int/md/S21-EGITR5-C-0004/en" TargetMode="External"/><Relationship Id="rId23" Type="http://schemas.openxmlformats.org/officeDocument/2006/relationships/hyperlink" Target="https://www.itu.int/md/S21-EGITR5-210930-DL-0001/en" TargetMode="External"/><Relationship Id="rId28" Type="http://schemas.openxmlformats.org/officeDocument/2006/relationships/fontTable" Target="fontTable.xml"/><Relationship Id="rId10" Type="http://schemas.openxmlformats.org/officeDocument/2006/relationships/hyperlink" Target="https://www.itu.int/md/S21-EGITR5-INF-0001/en" TargetMode="External"/><Relationship Id="rId19" Type="http://schemas.openxmlformats.org/officeDocument/2006/relationships/hyperlink" Target="https://www.itu.int/md/S21-EGITR5-C-0008/en" TargetMode="External"/><Relationship Id="rId4" Type="http://schemas.openxmlformats.org/officeDocument/2006/relationships/settings" Target="settings.xml"/><Relationship Id="rId9" Type="http://schemas.openxmlformats.org/officeDocument/2006/relationships/hyperlink" Target="https://www.itu.int/md/S21-EGITR5-C-0001/en" TargetMode="External"/><Relationship Id="rId14" Type="http://schemas.openxmlformats.org/officeDocument/2006/relationships/hyperlink" Target="https://www.itu.int/md/S21-EGITR5-C-0002/en" TargetMode="External"/><Relationship Id="rId22" Type="http://schemas.openxmlformats.org/officeDocument/2006/relationships/hyperlink" Target="https://www.itu.int/md/S19-CL-C-0139/en" TargetMode="External"/><Relationship Id="rId27" Type="http://schemas.openxmlformats.org/officeDocument/2006/relationships/hyperlink" Target="https://www.itu.int/md/S21-EGITR5-210930-DL-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43E18B-22B6-4CAD-A5FE-C4DD00CA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virtual meeting of the Expert Group on the International Telecommunication Regulations (EG-ITRs)</dc:title>
  <dc:subject>EG-ITRs</dc:subject>
  <dc:creator/>
  <cp:keywords>EG-ITRs</cp:keywords>
  <cp:lastModifiedBy/>
  <cp:revision>1</cp:revision>
  <dcterms:created xsi:type="dcterms:W3CDTF">2021-10-22T09:00:00Z</dcterms:created>
  <dcterms:modified xsi:type="dcterms:W3CDTF">2021-10-22T09:32:00Z</dcterms:modified>
</cp:coreProperties>
</file>