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000" w:firstRow="0" w:lastRow="0" w:firstColumn="0" w:lastColumn="0" w:noHBand="0" w:noVBand="0"/>
      </w:tblPr>
      <w:tblGrid>
        <w:gridCol w:w="6469"/>
        <w:gridCol w:w="3561"/>
      </w:tblGrid>
      <w:tr w:rsidR="00923A1B" w:rsidRPr="00790F2A" w14:paraId="6E1681AE" w14:textId="77777777" w:rsidTr="00162982">
        <w:trPr>
          <w:cantSplit/>
          <w:trHeight w:val="851"/>
        </w:trPr>
        <w:tc>
          <w:tcPr>
            <w:tcW w:w="6469" w:type="dxa"/>
            <w:vAlign w:val="center"/>
          </w:tcPr>
          <w:p w14:paraId="29D32417" w14:textId="6B731704" w:rsidR="00923A1B" w:rsidRPr="00790F2A" w:rsidRDefault="000854C6" w:rsidP="00A244B9">
            <w:pPr>
              <w:shd w:val="solid" w:color="FFFFFF" w:fill="FFFFFF"/>
              <w:spacing w:before="40" w:after="120" w:line="240" w:lineRule="auto"/>
              <w:rPr>
                <w:rFonts w:cs="Times"/>
                <w:b/>
              </w:rPr>
            </w:pPr>
            <w:r w:rsidRPr="00790F2A">
              <w:rPr>
                <w:rFonts w:cs="Times"/>
                <w:b/>
                <w:sz w:val="30"/>
                <w:szCs w:val="30"/>
              </w:rPr>
              <w:t>Expert Group on the International</w:t>
            </w:r>
            <w:r w:rsidRPr="00790F2A">
              <w:rPr>
                <w:rFonts w:cs="Times"/>
                <w:b/>
                <w:sz w:val="30"/>
                <w:szCs w:val="30"/>
              </w:rPr>
              <w:br/>
              <w:t>Telecommunication Regulations (EG-ITRs)</w:t>
            </w:r>
            <w:r w:rsidR="00162982" w:rsidRPr="00790F2A">
              <w:rPr>
                <w:rFonts w:cs="Times"/>
                <w:b/>
                <w:sz w:val="32"/>
                <w:szCs w:val="32"/>
              </w:rPr>
              <w:br/>
            </w:r>
            <w:r w:rsidR="000349C4">
              <w:rPr>
                <w:b/>
                <w:bCs/>
                <w:sz w:val="24"/>
                <w:szCs w:val="24"/>
              </w:rPr>
              <w:t>Fifth</w:t>
            </w:r>
            <w:r w:rsidR="002C2D6C" w:rsidRPr="00790F2A">
              <w:rPr>
                <w:b/>
                <w:bCs/>
                <w:sz w:val="24"/>
                <w:szCs w:val="24"/>
              </w:rPr>
              <w:t xml:space="preserve"> </w:t>
            </w:r>
            <w:r w:rsidR="00162982" w:rsidRPr="00790F2A">
              <w:rPr>
                <w:b/>
                <w:bCs/>
                <w:sz w:val="24"/>
                <w:szCs w:val="24"/>
              </w:rPr>
              <w:t xml:space="preserve">meeting </w:t>
            </w:r>
            <w:r w:rsidR="002C2D6C" w:rsidRPr="00790F2A">
              <w:rPr>
                <w:b/>
                <w:bCs/>
                <w:sz w:val="24"/>
                <w:szCs w:val="24"/>
              </w:rPr>
              <w:t>–</w:t>
            </w:r>
            <w:r w:rsidR="00162982" w:rsidRPr="00790F2A">
              <w:rPr>
                <w:b/>
                <w:bCs/>
                <w:sz w:val="24"/>
                <w:szCs w:val="24"/>
              </w:rPr>
              <w:t xml:space="preserve"> </w:t>
            </w:r>
            <w:r w:rsidR="002C2D6C" w:rsidRPr="00790F2A">
              <w:rPr>
                <w:b/>
                <w:bCs/>
                <w:sz w:val="24"/>
                <w:szCs w:val="24"/>
              </w:rPr>
              <w:t>Virtual meeting</w:t>
            </w:r>
            <w:r w:rsidR="00162982" w:rsidRPr="00790F2A">
              <w:rPr>
                <w:b/>
                <w:bCs/>
                <w:sz w:val="24"/>
                <w:szCs w:val="24"/>
              </w:rPr>
              <w:t xml:space="preserve">, </w:t>
            </w:r>
            <w:r w:rsidR="00BD434A">
              <w:rPr>
                <w:b/>
                <w:bCs/>
                <w:sz w:val="24"/>
                <w:szCs w:val="24"/>
              </w:rPr>
              <w:t>3</w:t>
            </w:r>
            <w:r w:rsidR="000349C4">
              <w:rPr>
                <w:b/>
                <w:bCs/>
                <w:sz w:val="24"/>
                <w:szCs w:val="24"/>
              </w:rPr>
              <w:t>0 September</w:t>
            </w:r>
            <w:r w:rsidR="00BD434A">
              <w:rPr>
                <w:b/>
                <w:bCs/>
                <w:sz w:val="24"/>
                <w:szCs w:val="24"/>
              </w:rPr>
              <w:t>-</w:t>
            </w:r>
            <w:r w:rsidR="000349C4">
              <w:rPr>
                <w:b/>
                <w:bCs/>
                <w:sz w:val="24"/>
                <w:szCs w:val="24"/>
              </w:rPr>
              <w:t>1 October</w:t>
            </w:r>
            <w:r w:rsidR="002C2D6C" w:rsidRPr="00790F2A">
              <w:rPr>
                <w:b/>
                <w:bCs/>
                <w:sz w:val="24"/>
                <w:szCs w:val="24"/>
              </w:rPr>
              <w:t xml:space="preserve"> 202</w:t>
            </w:r>
            <w:r w:rsidR="00BD434A">
              <w:rPr>
                <w:b/>
                <w:bCs/>
                <w:sz w:val="24"/>
                <w:szCs w:val="24"/>
              </w:rPr>
              <w:t>1</w:t>
            </w:r>
          </w:p>
        </w:tc>
        <w:tc>
          <w:tcPr>
            <w:tcW w:w="3561" w:type="dxa"/>
            <w:vAlign w:val="center"/>
          </w:tcPr>
          <w:p w14:paraId="241C55DB" w14:textId="785EB79F" w:rsidR="00923A1B" w:rsidRPr="00790F2A" w:rsidRDefault="00B36E39" w:rsidP="00A244B9">
            <w:pPr>
              <w:pStyle w:val="dnum"/>
              <w:framePr w:hSpace="0" w:wrap="auto" w:vAnchor="margin" w:hAnchor="text" w:yAlign="inline"/>
              <w:spacing w:after="0" w:line="240" w:lineRule="auto"/>
            </w:pPr>
            <w:r w:rsidRPr="00790F2A">
              <w:rPr>
                <w:noProof/>
              </w:rPr>
              <w:drawing>
                <wp:inline distT="0" distB="0" distL="0" distR="0" wp14:anchorId="64B7344A" wp14:editId="74C16E67">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923A1B" w:rsidRPr="00790F2A" w14:paraId="406D6FB1" w14:textId="77777777" w:rsidTr="00162982">
        <w:trPr>
          <w:cantSplit/>
          <w:trHeight w:val="138"/>
        </w:trPr>
        <w:tc>
          <w:tcPr>
            <w:tcW w:w="6469" w:type="dxa"/>
            <w:tcBorders>
              <w:top w:val="single" w:sz="12" w:space="0" w:color="auto"/>
            </w:tcBorders>
          </w:tcPr>
          <w:p w14:paraId="1D6AF3F8" w14:textId="77777777" w:rsidR="00923A1B" w:rsidRPr="00790F2A" w:rsidRDefault="00923A1B" w:rsidP="00A244B9">
            <w:pPr>
              <w:shd w:val="solid" w:color="FFFFFF" w:fill="FFFFFF"/>
              <w:spacing w:after="0" w:line="240" w:lineRule="auto"/>
              <w:ind w:right="284"/>
            </w:pPr>
          </w:p>
        </w:tc>
        <w:tc>
          <w:tcPr>
            <w:tcW w:w="3561" w:type="dxa"/>
            <w:tcBorders>
              <w:top w:val="single" w:sz="12" w:space="0" w:color="auto"/>
            </w:tcBorders>
          </w:tcPr>
          <w:p w14:paraId="2B1E31E9" w14:textId="77777777" w:rsidR="00923A1B" w:rsidRPr="00790F2A" w:rsidRDefault="00923A1B" w:rsidP="00A244B9">
            <w:pPr>
              <w:tabs>
                <w:tab w:val="left" w:pos="851"/>
              </w:tabs>
              <w:spacing w:after="0" w:line="240" w:lineRule="auto"/>
              <w:ind w:right="284"/>
              <w:rPr>
                <w:rFonts w:ascii="Times New Roman Bold" w:hAnsi="Times New Roman Bold" w:cs="Times New Roman Bold"/>
                <w:b/>
              </w:rPr>
            </w:pPr>
          </w:p>
        </w:tc>
      </w:tr>
      <w:tr w:rsidR="00923A1B" w:rsidRPr="00267B6A" w14:paraId="1BBCA794" w14:textId="77777777" w:rsidTr="00162982">
        <w:trPr>
          <w:cantSplit/>
          <w:trHeight w:val="138"/>
        </w:trPr>
        <w:tc>
          <w:tcPr>
            <w:tcW w:w="6469" w:type="dxa"/>
          </w:tcPr>
          <w:p w14:paraId="4162AE0B" w14:textId="31302F2B" w:rsidR="00923A1B" w:rsidRPr="00EE28ED" w:rsidRDefault="00923A1B" w:rsidP="00A244B9">
            <w:pPr>
              <w:spacing w:after="0" w:line="240" w:lineRule="auto"/>
              <w:rPr>
                <w:b/>
                <w:bCs/>
                <w:sz w:val="24"/>
                <w:szCs w:val="24"/>
              </w:rPr>
            </w:pPr>
          </w:p>
        </w:tc>
        <w:tc>
          <w:tcPr>
            <w:tcW w:w="3561" w:type="dxa"/>
          </w:tcPr>
          <w:p w14:paraId="01BBC68C" w14:textId="7326F239" w:rsidR="00923A1B" w:rsidRPr="009340E2" w:rsidRDefault="00923A1B" w:rsidP="00A244B9">
            <w:pPr>
              <w:spacing w:after="0" w:line="240" w:lineRule="auto"/>
              <w:rPr>
                <w:b/>
                <w:bCs/>
                <w:sz w:val="24"/>
                <w:szCs w:val="24"/>
                <w:lang w:val="fr-CH"/>
              </w:rPr>
            </w:pPr>
            <w:r w:rsidRPr="009340E2">
              <w:rPr>
                <w:b/>
                <w:bCs/>
                <w:sz w:val="24"/>
                <w:szCs w:val="24"/>
                <w:lang w:val="fr-CH"/>
              </w:rPr>
              <w:t xml:space="preserve">Document </w:t>
            </w:r>
            <w:r w:rsidR="000854C6" w:rsidRPr="009340E2">
              <w:rPr>
                <w:b/>
                <w:bCs/>
                <w:sz w:val="24"/>
                <w:szCs w:val="24"/>
                <w:lang w:val="fr-CH"/>
              </w:rPr>
              <w:t>EG-ITRs</w:t>
            </w:r>
            <w:r w:rsidR="00A7440D" w:rsidRPr="009340E2">
              <w:rPr>
                <w:b/>
                <w:bCs/>
                <w:sz w:val="24"/>
                <w:szCs w:val="24"/>
                <w:lang w:val="fr-CH"/>
              </w:rPr>
              <w:t>-</w:t>
            </w:r>
            <w:r w:rsidR="000349C4" w:rsidRPr="009340E2">
              <w:rPr>
                <w:b/>
                <w:bCs/>
                <w:sz w:val="24"/>
                <w:szCs w:val="24"/>
                <w:lang w:val="fr-CH"/>
              </w:rPr>
              <w:t>5</w:t>
            </w:r>
            <w:r w:rsidR="00236464" w:rsidRPr="009340E2">
              <w:rPr>
                <w:b/>
                <w:bCs/>
                <w:sz w:val="24"/>
                <w:szCs w:val="24"/>
                <w:lang w:val="fr-CH"/>
              </w:rPr>
              <w:t>/</w:t>
            </w:r>
            <w:r w:rsidR="00006213">
              <w:rPr>
                <w:b/>
                <w:bCs/>
                <w:sz w:val="24"/>
                <w:szCs w:val="24"/>
                <w:lang w:val="fr-CH"/>
              </w:rPr>
              <w:t>9</w:t>
            </w:r>
            <w:r w:rsidR="00267B6A">
              <w:rPr>
                <w:b/>
                <w:bCs/>
                <w:sz w:val="24"/>
                <w:szCs w:val="24"/>
                <w:lang w:val="fr-CH"/>
              </w:rPr>
              <w:t>-E</w:t>
            </w:r>
          </w:p>
        </w:tc>
      </w:tr>
      <w:tr w:rsidR="00923A1B" w:rsidRPr="00EE28ED" w14:paraId="100AEFFF" w14:textId="77777777" w:rsidTr="00162982">
        <w:trPr>
          <w:cantSplit/>
          <w:trHeight w:val="138"/>
        </w:trPr>
        <w:tc>
          <w:tcPr>
            <w:tcW w:w="6469" w:type="dxa"/>
          </w:tcPr>
          <w:p w14:paraId="2F758D85" w14:textId="77777777" w:rsidR="00923A1B" w:rsidRPr="009340E2" w:rsidRDefault="00923A1B" w:rsidP="00A244B9">
            <w:pPr>
              <w:shd w:val="solid" w:color="FFFFFF" w:fill="FFFFFF"/>
              <w:spacing w:after="0" w:line="240" w:lineRule="auto"/>
              <w:ind w:right="284"/>
              <w:rPr>
                <w:sz w:val="24"/>
                <w:szCs w:val="24"/>
                <w:highlight w:val="yellow"/>
                <w:lang w:val="fr-CH"/>
              </w:rPr>
            </w:pPr>
          </w:p>
        </w:tc>
        <w:tc>
          <w:tcPr>
            <w:tcW w:w="3561" w:type="dxa"/>
          </w:tcPr>
          <w:p w14:paraId="4BC2ED00" w14:textId="769D7FC4" w:rsidR="00923A1B" w:rsidRPr="000349C4" w:rsidRDefault="00657816" w:rsidP="00A244B9">
            <w:pPr>
              <w:tabs>
                <w:tab w:val="left" w:pos="851"/>
              </w:tabs>
              <w:spacing w:after="0" w:line="240" w:lineRule="auto"/>
              <w:ind w:right="284"/>
              <w:rPr>
                <w:b/>
                <w:sz w:val="24"/>
                <w:szCs w:val="24"/>
                <w:highlight w:val="yellow"/>
              </w:rPr>
            </w:pPr>
            <w:r>
              <w:rPr>
                <w:b/>
                <w:sz w:val="24"/>
                <w:szCs w:val="24"/>
              </w:rPr>
              <w:t>27</w:t>
            </w:r>
            <w:r w:rsidR="00933C23" w:rsidRPr="00933C23">
              <w:rPr>
                <w:b/>
                <w:sz w:val="24"/>
                <w:szCs w:val="24"/>
              </w:rPr>
              <w:t xml:space="preserve"> </w:t>
            </w:r>
            <w:r w:rsidR="00AE73AD">
              <w:rPr>
                <w:b/>
                <w:sz w:val="24"/>
                <w:szCs w:val="24"/>
              </w:rPr>
              <w:t>September</w:t>
            </w:r>
            <w:r w:rsidR="000C5350" w:rsidRPr="00933C23">
              <w:rPr>
                <w:b/>
                <w:sz w:val="24"/>
                <w:szCs w:val="24"/>
              </w:rPr>
              <w:t xml:space="preserve"> 202</w:t>
            </w:r>
            <w:r w:rsidR="00933C23" w:rsidRPr="00933C23">
              <w:rPr>
                <w:b/>
                <w:sz w:val="24"/>
                <w:szCs w:val="24"/>
              </w:rPr>
              <w:t>1</w:t>
            </w:r>
          </w:p>
        </w:tc>
      </w:tr>
      <w:tr w:rsidR="00923A1B" w:rsidRPr="00790F2A" w14:paraId="71FD0A17" w14:textId="77777777" w:rsidTr="00162982">
        <w:trPr>
          <w:cantSplit/>
          <w:trHeight w:val="138"/>
        </w:trPr>
        <w:tc>
          <w:tcPr>
            <w:tcW w:w="6469" w:type="dxa"/>
          </w:tcPr>
          <w:p w14:paraId="0EA5B8B2" w14:textId="77777777" w:rsidR="00923A1B" w:rsidRPr="00790F2A" w:rsidRDefault="00923A1B" w:rsidP="00A244B9">
            <w:pPr>
              <w:shd w:val="solid" w:color="FFFFFF" w:fill="FFFFFF"/>
              <w:spacing w:after="0" w:line="240" w:lineRule="auto"/>
              <w:ind w:right="284"/>
              <w:rPr>
                <w:sz w:val="24"/>
                <w:szCs w:val="24"/>
              </w:rPr>
            </w:pPr>
          </w:p>
        </w:tc>
        <w:tc>
          <w:tcPr>
            <w:tcW w:w="3561" w:type="dxa"/>
          </w:tcPr>
          <w:p w14:paraId="06AB3AD7" w14:textId="07B5AE29" w:rsidR="00923A1B" w:rsidRPr="00790F2A" w:rsidRDefault="00AB5B56" w:rsidP="00A244B9">
            <w:pPr>
              <w:tabs>
                <w:tab w:val="left" w:pos="851"/>
              </w:tabs>
              <w:spacing w:after="0" w:line="240" w:lineRule="auto"/>
              <w:ind w:right="284"/>
              <w:rPr>
                <w:b/>
                <w:sz w:val="24"/>
                <w:szCs w:val="24"/>
              </w:rPr>
            </w:pPr>
            <w:r>
              <w:rPr>
                <w:b/>
                <w:sz w:val="24"/>
                <w:szCs w:val="24"/>
              </w:rPr>
              <w:t>Original: English</w:t>
            </w:r>
          </w:p>
        </w:tc>
      </w:tr>
      <w:tr w:rsidR="000854C6" w:rsidRPr="00790F2A" w14:paraId="27824CBA" w14:textId="77777777" w:rsidTr="00162982">
        <w:trPr>
          <w:cantSplit/>
          <w:trHeight w:val="138"/>
        </w:trPr>
        <w:tc>
          <w:tcPr>
            <w:tcW w:w="10030" w:type="dxa"/>
            <w:gridSpan w:val="2"/>
          </w:tcPr>
          <w:p w14:paraId="3C367A2B" w14:textId="0CD05B7E" w:rsidR="00AB5B56" w:rsidRPr="00A244B9" w:rsidRDefault="00841CF5" w:rsidP="00A244B9">
            <w:pPr>
              <w:spacing w:before="840" w:after="120" w:line="240" w:lineRule="auto"/>
              <w:jc w:val="center"/>
              <w:rPr>
                <w:b/>
                <w:bCs/>
                <w:sz w:val="28"/>
                <w:szCs w:val="28"/>
              </w:rPr>
            </w:pPr>
            <w:bookmarkStart w:id="0" w:name="_Hlk81929864"/>
            <w:r w:rsidRPr="00841CF5">
              <w:rPr>
                <w:b/>
                <w:bCs/>
                <w:sz w:val="28"/>
                <w:szCs w:val="28"/>
              </w:rPr>
              <w:t>AT&amp;T, Bell Mobility Canada, KDDI, NTT DOCOMO, Telefonica</w:t>
            </w:r>
            <w:r w:rsidR="00657816">
              <w:rPr>
                <w:b/>
                <w:bCs/>
                <w:sz w:val="28"/>
                <w:szCs w:val="28"/>
              </w:rPr>
              <w:t>,</w:t>
            </w:r>
            <w:r w:rsidR="00657816" w:rsidRPr="00657816">
              <w:rPr>
                <w:b/>
                <w:bCs/>
                <w:sz w:val="28"/>
                <w:szCs w:val="28"/>
              </w:rPr>
              <w:t xml:space="preserve"> Verizon</w:t>
            </w:r>
          </w:p>
          <w:p w14:paraId="545CF7D9" w14:textId="77777777" w:rsidR="00006213" w:rsidRDefault="00006213" w:rsidP="00006213">
            <w:pPr>
              <w:pStyle w:val="Title2"/>
              <w:spacing w:line="240" w:lineRule="auto"/>
            </w:pPr>
            <w:r>
              <w:t xml:space="preserve">SECTOR MEMBER CONTRIBUTION ON </w:t>
            </w:r>
          </w:p>
          <w:p w14:paraId="11774442" w14:textId="0D9D1BFF" w:rsidR="00C80D79" w:rsidRPr="00790F2A" w:rsidRDefault="00006213" w:rsidP="00006213">
            <w:pPr>
              <w:pStyle w:val="Title2"/>
              <w:spacing w:line="240" w:lineRule="auto"/>
            </w:pPr>
            <w:r>
              <w:t>OVERALL OBSERVATIONS BASED ON THE PROVISION-BY-PROVISION EXAMINATION OF THE 2012 INTERNATIONAL TELECOMMUNICATION REGULATIONS</w:t>
            </w:r>
            <w:bookmarkEnd w:id="0"/>
          </w:p>
        </w:tc>
      </w:tr>
    </w:tbl>
    <w:p w14:paraId="6F651B71" w14:textId="4E0C29DE" w:rsidR="00006213" w:rsidRPr="00006213" w:rsidRDefault="00006213" w:rsidP="00552FF4">
      <w:pPr>
        <w:spacing w:before="360" w:after="120" w:line="240" w:lineRule="auto"/>
        <w:rPr>
          <w:sz w:val="24"/>
          <w:szCs w:val="24"/>
        </w:rPr>
      </w:pPr>
      <w:r w:rsidRPr="00006213">
        <w:rPr>
          <w:sz w:val="24"/>
          <w:szCs w:val="24"/>
        </w:rPr>
        <w:t>The above-referenced ITU Sector Members have contributed to the work of the Expert Group on the International Telecommunication Regulations (EG-ITRs) through both participation in meetings and written contributions. We appreciate the opportunity to share our observations on the provision-by-provision examination of the 2012 ITRs and reiterate the following perspectives:</w:t>
      </w:r>
    </w:p>
    <w:p w14:paraId="255D2566" w14:textId="1E6D1EA4" w:rsidR="00006213" w:rsidRPr="00006213" w:rsidRDefault="00006213" w:rsidP="00552FF4">
      <w:pPr>
        <w:numPr>
          <w:ilvl w:val="0"/>
          <w:numId w:val="27"/>
        </w:numPr>
        <w:spacing w:before="360" w:after="120" w:line="240" w:lineRule="auto"/>
        <w:ind w:left="714" w:hanging="357"/>
        <w:contextualSpacing/>
        <w:rPr>
          <w:sz w:val="24"/>
          <w:szCs w:val="24"/>
        </w:rPr>
      </w:pPr>
      <w:r w:rsidRPr="00006213">
        <w:rPr>
          <w:sz w:val="24"/>
          <w:szCs w:val="24"/>
        </w:rPr>
        <w:t>It is our view that the ITRs are not applicable to fostering the development of international networks and services, and not flexible enough to accommodate today’s dynamic marketplace and evolving technological landscape.</w:t>
      </w:r>
    </w:p>
    <w:p w14:paraId="01708057" w14:textId="77777777" w:rsidR="00006213" w:rsidRPr="00006213" w:rsidRDefault="00006213" w:rsidP="00552FF4">
      <w:pPr>
        <w:numPr>
          <w:ilvl w:val="0"/>
          <w:numId w:val="27"/>
        </w:numPr>
        <w:spacing w:before="120" w:after="120" w:line="240" w:lineRule="auto"/>
        <w:contextualSpacing/>
        <w:rPr>
          <w:sz w:val="24"/>
          <w:szCs w:val="24"/>
        </w:rPr>
      </w:pPr>
      <w:r w:rsidRPr="00006213">
        <w:rPr>
          <w:sz w:val="24"/>
          <w:szCs w:val="24"/>
        </w:rPr>
        <w:t>Treaty provisions cannot keep pace with the rapid speed of technology development and innovation and become quickly outdated. Moreover, efforts to address technical issues in a treaty instrument may have the unintended consequence of impeding network operators’ ability to quickly respond to changing network environments.</w:t>
      </w:r>
    </w:p>
    <w:p w14:paraId="53F84B9E" w14:textId="6D4C2D27" w:rsidR="00006213" w:rsidRPr="00006213" w:rsidRDefault="00006213" w:rsidP="00552FF4">
      <w:pPr>
        <w:numPr>
          <w:ilvl w:val="0"/>
          <w:numId w:val="27"/>
        </w:numPr>
        <w:spacing w:before="120" w:after="120" w:line="240" w:lineRule="auto"/>
        <w:contextualSpacing/>
        <w:rPr>
          <w:sz w:val="24"/>
          <w:szCs w:val="24"/>
        </w:rPr>
      </w:pPr>
      <w:r w:rsidRPr="00006213">
        <w:rPr>
          <w:sz w:val="24"/>
          <w:szCs w:val="24"/>
        </w:rPr>
        <w:t xml:space="preserve">The continued successful deployment and use of telecommunication infrastructure and services worldwide is mostly realized through flexible policy frameworks that support ongoing innovation, market-based competition, </w:t>
      </w:r>
      <w:proofErr w:type="gramStart"/>
      <w:r w:rsidRPr="00006213">
        <w:rPr>
          <w:sz w:val="24"/>
          <w:szCs w:val="24"/>
        </w:rPr>
        <w:t>mutually-agreed</w:t>
      </w:r>
      <w:proofErr w:type="gramEnd"/>
      <w:r w:rsidRPr="00006213">
        <w:rPr>
          <w:sz w:val="24"/>
          <w:szCs w:val="24"/>
        </w:rPr>
        <w:t xml:space="preserve"> commercial agreements between providers, and private sector investment, and not through a treaty instrument such as the ITRs.</w:t>
      </w:r>
    </w:p>
    <w:p w14:paraId="15DC4D9E" w14:textId="7E0D6DA5" w:rsidR="00006213" w:rsidRPr="00006213" w:rsidRDefault="00006213" w:rsidP="00552FF4">
      <w:pPr>
        <w:spacing w:before="240" w:after="120" w:line="240" w:lineRule="auto"/>
        <w:rPr>
          <w:sz w:val="24"/>
          <w:szCs w:val="24"/>
        </w:rPr>
      </w:pPr>
      <w:r w:rsidRPr="00006213">
        <w:rPr>
          <w:sz w:val="24"/>
          <w:szCs w:val="24"/>
        </w:rPr>
        <w:t>Based on discussions during the previous EG-ITRs meetings and as reflected in the Examination Table, we recognize that some EG-ITRs participants share our views, while others do not. Given these divergent positions it is not clear to us how any further discussions regarding the applicability and flexibility, or review of the ITRs, would lead to a different result. For that reason, we would not see a benefit in dedicating additional ITU resources to conduct future work on this matter</w:t>
      </w:r>
      <w:r w:rsidRPr="00006213">
        <w:t xml:space="preserve"> </w:t>
      </w:r>
      <w:r w:rsidRPr="00006213">
        <w:rPr>
          <w:sz w:val="24"/>
          <w:szCs w:val="24"/>
        </w:rPr>
        <w:t>once this EG-ITRs has fulfilled its Terms of Reference.</w:t>
      </w:r>
    </w:p>
    <w:p w14:paraId="21AA1EB3" w14:textId="77777777" w:rsidR="00006213" w:rsidRPr="00006213" w:rsidRDefault="00006213" w:rsidP="00552FF4">
      <w:pPr>
        <w:spacing w:before="240" w:after="120" w:line="240" w:lineRule="auto"/>
        <w:rPr>
          <w:sz w:val="24"/>
          <w:szCs w:val="24"/>
        </w:rPr>
      </w:pPr>
      <w:r w:rsidRPr="00006213">
        <w:rPr>
          <w:sz w:val="24"/>
          <w:szCs w:val="24"/>
        </w:rPr>
        <w:t>We have appreciated the opportunity to contribute to the EG-ITRs discussions and wish to commend the EG-ITRs Chairman and Regional Vice Chairs for their excellent leadership in supporting the work of this group.</w:t>
      </w:r>
    </w:p>
    <w:p w14:paraId="122F36ED" w14:textId="11F95EDE" w:rsidR="009340E2" w:rsidRDefault="009340E2" w:rsidP="00552FF4">
      <w:pPr>
        <w:spacing w:before="360" w:after="0" w:line="240" w:lineRule="auto"/>
        <w:jc w:val="center"/>
        <w:rPr>
          <w:rFonts w:cstheme="majorBidi"/>
          <w:szCs w:val="20"/>
          <w:lang w:eastAsia="ja-JP"/>
        </w:rPr>
      </w:pPr>
      <w:r>
        <w:t>_______________</w:t>
      </w:r>
    </w:p>
    <w:sectPr w:rsidR="009340E2" w:rsidSect="004D1851">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CCC8" w14:textId="77777777" w:rsidR="005B3CFD" w:rsidRDefault="005B3CFD">
      <w:r>
        <w:separator/>
      </w:r>
    </w:p>
  </w:endnote>
  <w:endnote w:type="continuationSeparator" w:id="0">
    <w:p w14:paraId="0642223C" w14:textId="77777777" w:rsidR="005B3CFD" w:rsidRDefault="005B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3082"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8A801" w14:textId="77777777" w:rsidR="005B3CFD" w:rsidRDefault="005B3CFD">
      <w:r>
        <w:t>____________________</w:t>
      </w:r>
    </w:p>
  </w:footnote>
  <w:footnote w:type="continuationSeparator" w:id="0">
    <w:p w14:paraId="071DC0BE" w14:textId="77777777" w:rsidR="005B3CFD" w:rsidRDefault="005B3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970D" w14:textId="24A199F5" w:rsidR="00542BAB" w:rsidRDefault="00542BAB" w:rsidP="000854C6">
    <w:pPr>
      <w:pStyle w:val="Header"/>
      <w:spacing w:after="120"/>
    </w:pPr>
    <w:r>
      <w:fldChar w:fldCharType="begin"/>
    </w:r>
    <w:r>
      <w:instrText xml:space="preserve"> PAGE   \* MERGEFORMAT </w:instrText>
    </w:r>
    <w:r>
      <w:fldChar w:fldCharType="separate"/>
    </w:r>
    <w:r w:rsidR="003657E2">
      <w:rPr>
        <w:noProof/>
      </w:rPr>
      <w:t>2</w:t>
    </w:r>
    <w:r>
      <w:rPr>
        <w:noProof/>
      </w:rPr>
      <w:fldChar w:fldCharType="end"/>
    </w:r>
    <w:r>
      <w:rPr>
        <w:noProof/>
      </w:rPr>
      <w:br/>
    </w:r>
    <w:r w:rsidR="000854C6">
      <w:rPr>
        <w:noProof/>
      </w:rPr>
      <w:t>EG-ITRs</w:t>
    </w:r>
    <w:r w:rsidR="00965A18">
      <w:rPr>
        <w:noProof/>
      </w:rPr>
      <w:t>-</w:t>
    </w:r>
    <w:r w:rsidR="00F01842">
      <w:rPr>
        <w:noProof/>
      </w:rPr>
      <w:t>5</w:t>
    </w:r>
    <w:r w:rsidR="000854C6">
      <w:rPr>
        <w:noProof/>
      </w:rPr>
      <w:t>\</w:t>
    </w:r>
    <w:r w:rsidR="00552FF4">
      <w:rPr>
        <w:noProof/>
      </w:rPr>
      <w:t>9</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F6708"/>
    <w:multiLevelType w:val="hybridMultilevel"/>
    <w:tmpl w:val="C100A8FA"/>
    <w:lvl w:ilvl="0" w:tplc="C1EAA074">
      <w:start w:val="1"/>
      <w:numFmt w:val="bullet"/>
      <w:lvlText w:val=""/>
      <w:lvlJc w:val="left"/>
      <w:pPr>
        <w:ind w:left="1491" w:hanging="360"/>
      </w:pPr>
      <w:rPr>
        <w:rFonts w:ascii="Symbol" w:hAnsi="Symbol" w:hint="default"/>
      </w:rPr>
    </w:lvl>
    <w:lvl w:ilvl="1" w:tplc="04090003">
      <w:start w:val="1"/>
      <w:numFmt w:val="bullet"/>
      <w:lvlText w:val="o"/>
      <w:lvlJc w:val="left"/>
      <w:pPr>
        <w:ind w:left="2211" w:hanging="360"/>
      </w:pPr>
      <w:rPr>
        <w:rFonts w:ascii="Courier New" w:hAnsi="Courier New" w:cs="Courier New" w:hint="default"/>
      </w:rPr>
    </w:lvl>
    <w:lvl w:ilvl="2" w:tplc="04090005">
      <w:start w:val="1"/>
      <w:numFmt w:val="bullet"/>
      <w:lvlText w:val=""/>
      <w:lvlJc w:val="left"/>
      <w:pPr>
        <w:ind w:left="2931" w:hanging="360"/>
      </w:pPr>
      <w:rPr>
        <w:rFonts w:ascii="Wingdings" w:hAnsi="Wingdings" w:hint="default"/>
      </w:rPr>
    </w:lvl>
    <w:lvl w:ilvl="3" w:tplc="04090001">
      <w:start w:val="1"/>
      <w:numFmt w:val="bullet"/>
      <w:lvlText w:val=""/>
      <w:lvlJc w:val="left"/>
      <w:pPr>
        <w:ind w:left="3651" w:hanging="360"/>
      </w:pPr>
      <w:rPr>
        <w:rFonts w:ascii="Symbol" w:hAnsi="Symbol" w:hint="default"/>
      </w:rPr>
    </w:lvl>
    <w:lvl w:ilvl="4" w:tplc="04090003">
      <w:start w:val="1"/>
      <w:numFmt w:val="bullet"/>
      <w:lvlText w:val="o"/>
      <w:lvlJc w:val="left"/>
      <w:pPr>
        <w:ind w:left="4371" w:hanging="360"/>
      </w:pPr>
      <w:rPr>
        <w:rFonts w:ascii="Courier New" w:hAnsi="Courier New" w:cs="Courier New" w:hint="default"/>
      </w:rPr>
    </w:lvl>
    <w:lvl w:ilvl="5" w:tplc="04090005">
      <w:start w:val="1"/>
      <w:numFmt w:val="bullet"/>
      <w:lvlText w:val=""/>
      <w:lvlJc w:val="left"/>
      <w:pPr>
        <w:ind w:left="5091" w:hanging="360"/>
      </w:pPr>
      <w:rPr>
        <w:rFonts w:ascii="Wingdings" w:hAnsi="Wingdings" w:hint="default"/>
      </w:rPr>
    </w:lvl>
    <w:lvl w:ilvl="6" w:tplc="04090001">
      <w:start w:val="1"/>
      <w:numFmt w:val="bullet"/>
      <w:lvlText w:val=""/>
      <w:lvlJc w:val="left"/>
      <w:pPr>
        <w:ind w:left="5811" w:hanging="360"/>
      </w:pPr>
      <w:rPr>
        <w:rFonts w:ascii="Symbol" w:hAnsi="Symbol" w:hint="default"/>
      </w:rPr>
    </w:lvl>
    <w:lvl w:ilvl="7" w:tplc="04090003">
      <w:start w:val="1"/>
      <w:numFmt w:val="bullet"/>
      <w:lvlText w:val="o"/>
      <w:lvlJc w:val="left"/>
      <w:pPr>
        <w:ind w:left="6531" w:hanging="360"/>
      </w:pPr>
      <w:rPr>
        <w:rFonts w:ascii="Courier New" w:hAnsi="Courier New" w:cs="Courier New" w:hint="default"/>
      </w:rPr>
    </w:lvl>
    <w:lvl w:ilvl="8" w:tplc="04090005">
      <w:start w:val="1"/>
      <w:numFmt w:val="bullet"/>
      <w:lvlText w:val=""/>
      <w:lvlJc w:val="left"/>
      <w:pPr>
        <w:ind w:left="7251" w:hanging="360"/>
      </w:pPr>
      <w:rPr>
        <w:rFonts w:ascii="Wingdings" w:hAnsi="Wingdings" w:hint="default"/>
      </w:rPr>
    </w:lvl>
  </w:abstractNum>
  <w:abstractNum w:abstractNumId="11"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D668C1"/>
    <w:multiLevelType w:val="hybridMultilevel"/>
    <w:tmpl w:val="C8D8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0E25E4"/>
    <w:multiLevelType w:val="hybridMultilevel"/>
    <w:tmpl w:val="053064CC"/>
    <w:lvl w:ilvl="0" w:tplc="F73E9906">
      <w:start w:val="27"/>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76220D"/>
    <w:multiLevelType w:val="hybridMultilevel"/>
    <w:tmpl w:val="F25A3170"/>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9054BE"/>
    <w:multiLevelType w:val="hybridMultilevel"/>
    <w:tmpl w:val="9042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49EF2724"/>
    <w:multiLevelType w:val="hybridMultilevel"/>
    <w:tmpl w:val="B9408138"/>
    <w:lvl w:ilvl="0" w:tplc="C1EAA074">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3"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6846AD9"/>
    <w:multiLevelType w:val="hybridMultilevel"/>
    <w:tmpl w:val="9D94CB4A"/>
    <w:lvl w:ilvl="0" w:tplc="1D628B84">
      <w:start w:val="1"/>
      <w:numFmt w:val="bullet"/>
      <w:lvlText w:val=""/>
      <w:lvlJc w:val="left"/>
      <w:pPr>
        <w:tabs>
          <w:tab w:val="num" w:pos="720"/>
        </w:tabs>
        <w:ind w:left="720" w:hanging="360"/>
      </w:pPr>
      <w:rPr>
        <w:rFonts w:ascii="Symbol" w:hAnsi="Symbol" w:cs="Times New Roman" w:hint="default"/>
        <w:sz w:val="20"/>
      </w:rPr>
    </w:lvl>
    <w:lvl w:ilvl="1" w:tplc="AE9ABBB0">
      <w:start w:val="1"/>
      <w:numFmt w:val="bullet"/>
      <w:lvlText w:val="o"/>
      <w:lvlJc w:val="left"/>
      <w:pPr>
        <w:tabs>
          <w:tab w:val="num" w:pos="1440"/>
        </w:tabs>
        <w:ind w:left="1440" w:hanging="360"/>
      </w:pPr>
      <w:rPr>
        <w:rFonts w:ascii="Courier New" w:hAnsi="Courier New" w:cs="Courier New" w:hint="default"/>
        <w:sz w:val="20"/>
      </w:rPr>
    </w:lvl>
    <w:lvl w:ilvl="2" w:tplc="EF32F888">
      <w:start w:val="1"/>
      <w:numFmt w:val="bullet"/>
      <w:lvlText w:val=""/>
      <w:lvlJc w:val="left"/>
      <w:pPr>
        <w:tabs>
          <w:tab w:val="num" w:pos="2160"/>
        </w:tabs>
        <w:ind w:left="2160" w:hanging="360"/>
      </w:pPr>
      <w:rPr>
        <w:rFonts w:ascii="Wingdings" w:hAnsi="Wingdings" w:cs="Times New Roman" w:hint="default"/>
        <w:sz w:val="20"/>
      </w:rPr>
    </w:lvl>
    <w:lvl w:ilvl="3" w:tplc="184220D6">
      <w:start w:val="1"/>
      <w:numFmt w:val="bullet"/>
      <w:lvlText w:val=""/>
      <w:lvlJc w:val="left"/>
      <w:pPr>
        <w:tabs>
          <w:tab w:val="num" w:pos="2880"/>
        </w:tabs>
        <w:ind w:left="2880" w:hanging="360"/>
      </w:pPr>
      <w:rPr>
        <w:rFonts w:ascii="Wingdings" w:hAnsi="Wingdings" w:cs="Times New Roman" w:hint="default"/>
        <w:sz w:val="20"/>
      </w:rPr>
    </w:lvl>
    <w:lvl w:ilvl="4" w:tplc="0A14F0FA">
      <w:start w:val="1"/>
      <w:numFmt w:val="bullet"/>
      <w:lvlText w:val=""/>
      <w:lvlJc w:val="left"/>
      <w:pPr>
        <w:tabs>
          <w:tab w:val="num" w:pos="3600"/>
        </w:tabs>
        <w:ind w:left="3600" w:hanging="360"/>
      </w:pPr>
      <w:rPr>
        <w:rFonts w:ascii="Wingdings" w:hAnsi="Wingdings" w:cs="Times New Roman" w:hint="default"/>
        <w:sz w:val="20"/>
      </w:rPr>
    </w:lvl>
    <w:lvl w:ilvl="5" w:tplc="57AE33FE">
      <w:start w:val="1"/>
      <w:numFmt w:val="bullet"/>
      <w:lvlText w:val=""/>
      <w:lvlJc w:val="left"/>
      <w:pPr>
        <w:tabs>
          <w:tab w:val="num" w:pos="4320"/>
        </w:tabs>
        <w:ind w:left="4320" w:hanging="360"/>
      </w:pPr>
      <w:rPr>
        <w:rFonts w:ascii="Wingdings" w:hAnsi="Wingdings" w:cs="Times New Roman" w:hint="default"/>
        <w:sz w:val="20"/>
      </w:rPr>
    </w:lvl>
    <w:lvl w:ilvl="6" w:tplc="1102BC7E">
      <w:start w:val="1"/>
      <w:numFmt w:val="bullet"/>
      <w:lvlText w:val=""/>
      <w:lvlJc w:val="left"/>
      <w:pPr>
        <w:tabs>
          <w:tab w:val="num" w:pos="5040"/>
        </w:tabs>
        <w:ind w:left="5040" w:hanging="360"/>
      </w:pPr>
      <w:rPr>
        <w:rFonts w:ascii="Wingdings" w:hAnsi="Wingdings" w:cs="Times New Roman" w:hint="default"/>
        <w:sz w:val="20"/>
      </w:rPr>
    </w:lvl>
    <w:lvl w:ilvl="7" w:tplc="D7D23608">
      <w:start w:val="1"/>
      <w:numFmt w:val="bullet"/>
      <w:lvlText w:val=""/>
      <w:lvlJc w:val="left"/>
      <w:pPr>
        <w:tabs>
          <w:tab w:val="num" w:pos="5760"/>
        </w:tabs>
        <w:ind w:left="5760" w:hanging="360"/>
      </w:pPr>
      <w:rPr>
        <w:rFonts w:ascii="Wingdings" w:hAnsi="Wingdings" w:cs="Times New Roman" w:hint="default"/>
        <w:sz w:val="20"/>
      </w:rPr>
    </w:lvl>
    <w:lvl w:ilvl="8" w:tplc="31004E18">
      <w:start w:val="1"/>
      <w:numFmt w:val="bullet"/>
      <w:lvlText w:val=""/>
      <w:lvlJc w:val="left"/>
      <w:pPr>
        <w:tabs>
          <w:tab w:val="num" w:pos="6480"/>
        </w:tabs>
        <w:ind w:left="6480" w:hanging="360"/>
      </w:pPr>
      <w:rPr>
        <w:rFonts w:ascii="Wingdings" w:hAnsi="Wingdings" w:cs="Times New Roman" w:hint="default"/>
        <w:sz w:val="20"/>
      </w:rPr>
    </w:lvl>
  </w:abstractNum>
  <w:abstractNum w:abstractNumId="26"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3"/>
  </w:num>
  <w:num w:numId="3">
    <w:abstractNumId w:val="12"/>
  </w:num>
  <w:num w:numId="4">
    <w:abstractNumId w:val="18"/>
  </w:num>
  <w:num w:numId="5">
    <w:abstractNumId w:val="26"/>
  </w:num>
  <w:num w:numId="6">
    <w:abstractNumId w:val="14"/>
  </w:num>
  <w:num w:numId="7">
    <w:abstractNumId w:val="24"/>
  </w:num>
  <w:num w:numId="8">
    <w:abstractNumId w:val="21"/>
  </w:num>
  <w:num w:numId="9">
    <w:abstractNumId w:val="15"/>
  </w:num>
  <w:num w:numId="10">
    <w:abstractNumId w:val="11"/>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6"/>
  </w:num>
  <w:num w:numId="22">
    <w:abstractNumId w:val="25"/>
  </w:num>
  <w:num w:numId="23">
    <w:abstractNumId w:val="17"/>
  </w:num>
  <w:num w:numId="24">
    <w:abstractNumId w:val="22"/>
  </w:num>
  <w:num w:numId="25">
    <w:abstractNumId w:val="10"/>
  </w:num>
  <w:num w:numId="26">
    <w:abstractNumId w:val="1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1MLIwMTQyNrQ0MTFX0lEKTi0uzszPAykwqgUA2aYgsiwAAAA="/>
  </w:docVars>
  <w:rsids>
    <w:rsidRoot w:val="00E378C5"/>
    <w:rsid w:val="0000609D"/>
    <w:rsid w:val="00006213"/>
    <w:rsid w:val="00030247"/>
    <w:rsid w:val="0003420F"/>
    <w:rsid w:val="000349C4"/>
    <w:rsid w:val="00036F06"/>
    <w:rsid w:val="0005540C"/>
    <w:rsid w:val="00063016"/>
    <w:rsid w:val="00064823"/>
    <w:rsid w:val="00066DF5"/>
    <w:rsid w:val="00076AF6"/>
    <w:rsid w:val="00083635"/>
    <w:rsid w:val="000854C6"/>
    <w:rsid w:val="00085CF2"/>
    <w:rsid w:val="000915E5"/>
    <w:rsid w:val="000B1705"/>
    <w:rsid w:val="000C0529"/>
    <w:rsid w:val="000C2903"/>
    <w:rsid w:val="000C2F74"/>
    <w:rsid w:val="000C37C9"/>
    <w:rsid w:val="000C5350"/>
    <w:rsid w:val="000C548F"/>
    <w:rsid w:val="000D75B2"/>
    <w:rsid w:val="001121F5"/>
    <w:rsid w:val="00140CE1"/>
    <w:rsid w:val="00143690"/>
    <w:rsid w:val="00144165"/>
    <w:rsid w:val="0016020C"/>
    <w:rsid w:val="00162982"/>
    <w:rsid w:val="001633C1"/>
    <w:rsid w:val="00171F42"/>
    <w:rsid w:val="0017539C"/>
    <w:rsid w:val="00175AC2"/>
    <w:rsid w:val="0017609F"/>
    <w:rsid w:val="00177E9C"/>
    <w:rsid w:val="00195328"/>
    <w:rsid w:val="001B1941"/>
    <w:rsid w:val="001C4FB5"/>
    <w:rsid w:val="001C628E"/>
    <w:rsid w:val="001D6BEF"/>
    <w:rsid w:val="001E0F7B"/>
    <w:rsid w:val="001F4FF7"/>
    <w:rsid w:val="001F7552"/>
    <w:rsid w:val="002119FD"/>
    <w:rsid w:val="002130E0"/>
    <w:rsid w:val="00221C8F"/>
    <w:rsid w:val="002238C4"/>
    <w:rsid w:val="00236464"/>
    <w:rsid w:val="002418AE"/>
    <w:rsid w:val="0025471D"/>
    <w:rsid w:val="00256D0F"/>
    <w:rsid w:val="00257BDE"/>
    <w:rsid w:val="00265875"/>
    <w:rsid w:val="002667C5"/>
    <w:rsid w:val="00267B6A"/>
    <w:rsid w:val="0027303B"/>
    <w:rsid w:val="00273127"/>
    <w:rsid w:val="0028109B"/>
    <w:rsid w:val="00286D1E"/>
    <w:rsid w:val="00293DE5"/>
    <w:rsid w:val="00295397"/>
    <w:rsid w:val="002B1870"/>
    <w:rsid w:val="002B1F58"/>
    <w:rsid w:val="002C1C7A"/>
    <w:rsid w:val="002C2D6C"/>
    <w:rsid w:val="002C5285"/>
    <w:rsid w:val="002D1E7F"/>
    <w:rsid w:val="002D494F"/>
    <w:rsid w:val="002D703E"/>
    <w:rsid w:val="0030160F"/>
    <w:rsid w:val="0032195E"/>
    <w:rsid w:val="00322D0D"/>
    <w:rsid w:val="00326D48"/>
    <w:rsid w:val="0033276E"/>
    <w:rsid w:val="00337854"/>
    <w:rsid w:val="00337B4A"/>
    <w:rsid w:val="00337CE2"/>
    <w:rsid w:val="003439CB"/>
    <w:rsid w:val="00346F7E"/>
    <w:rsid w:val="003639FE"/>
    <w:rsid w:val="003657E2"/>
    <w:rsid w:val="003662CE"/>
    <w:rsid w:val="003735DF"/>
    <w:rsid w:val="0037461E"/>
    <w:rsid w:val="00375F3C"/>
    <w:rsid w:val="0038108D"/>
    <w:rsid w:val="00384706"/>
    <w:rsid w:val="0038487A"/>
    <w:rsid w:val="00384DD6"/>
    <w:rsid w:val="0039110F"/>
    <w:rsid w:val="003914A7"/>
    <w:rsid w:val="003942D4"/>
    <w:rsid w:val="00394B33"/>
    <w:rsid w:val="003958A8"/>
    <w:rsid w:val="003A71C2"/>
    <w:rsid w:val="003C0228"/>
    <w:rsid w:val="003C2533"/>
    <w:rsid w:val="003D15D8"/>
    <w:rsid w:val="003D6F32"/>
    <w:rsid w:val="003E10DE"/>
    <w:rsid w:val="003E3D3E"/>
    <w:rsid w:val="0040435A"/>
    <w:rsid w:val="00407B9C"/>
    <w:rsid w:val="00415736"/>
    <w:rsid w:val="00416A24"/>
    <w:rsid w:val="00431D9E"/>
    <w:rsid w:val="00433805"/>
    <w:rsid w:val="00433CE8"/>
    <w:rsid w:val="0043412A"/>
    <w:rsid w:val="00434145"/>
    <w:rsid w:val="00434A5C"/>
    <w:rsid w:val="00437504"/>
    <w:rsid w:val="00443D1A"/>
    <w:rsid w:val="004449F3"/>
    <w:rsid w:val="00451A5A"/>
    <w:rsid w:val="0045337A"/>
    <w:rsid w:val="004535DE"/>
    <w:rsid w:val="004544D9"/>
    <w:rsid w:val="004617B3"/>
    <w:rsid w:val="0046438A"/>
    <w:rsid w:val="004648CF"/>
    <w:rsid w:val="00480571"/>
    <w:rsid w:val="00483A6B"/>
    <w:rsid w:val="004841B7"/>
    <w:rsid w:val="00490E72"/>
    <w:rsid w:val="004921C8"/>
    <w:rsid w:val="0049335F"/>
    <w:rsid w:val="004A29FF"/>
    <w:rsid w:val="004A45DD"/>
    <w:rsid w:val="004B3241"/>
    <w:rsid w:val="004B5D1C"/>
    <w:rsid w:val="004D0B58"/>
    <w:rsid w:val="004D0C40"/>
    <w:rsid w:val="004D1851"/>
    <w:rsid w:val="004D599D"/>
    <w:rsid w:val="004E2EA5"/>
    <w:rsid w:val="004E3AEB"/>
    <w:rsid w:val="00500C7D"/>
    <w:rsid w:val="00501014"/>
    <w:rsid w:val="0050223C"/>
    <w:rsid w:val="005243FF"/>
    <w:rsid w:val="00542AE7"/>
    <w:rsid w:val="00542BAB"/>
    <w:rsid w:val="00544CA6"/>
    <w:rsid w:val="005467AE"/>
    <w:rsid w:val="005471D2"/>
    <w:rsid w:val="00552FF4"/>
    <w:rsid w:val="00564FBC"/>
    <w:rsid w:val="00574BE4"/>
    <w:rsid w:val="0057569B"/>
    <w:rsid w:val="00582442"/>
    <w:rsid w:val="0058499C"/>
    <w:rsid w:val="005A1D86"/>
    <w:rsid w:val="005A3B8A"/>
    <w:rsid w:val="005B3CFD"/>
    <w:rsid w:val="005B4351"/>
    <w:rsid w:val="005C01F3"/>
    <w:rsid w:val="005C37A0"/>
    <w:rsid w:val="005D32DC"/>
    <w:rsid w:val="005D6131"/>
    <w:rsid w:val="005F2D25"/>
    <w:rsid w:val="005F40A4"/>
    <w:rsid w:val="00605347"/>
    <w:rsid w:val="00634931"/>
    <w:rsid w:val="00644D3E"/>
    <w:rsid w:val="006535F1"/>
    <w:rsid w:val="0065557D"/>
    <w:rsid w:val="00657816"/>
    <w:rsid w:val="00661B4B"/>
    <w:rsid w:val="00662984"/>
    <w:rsid w:val="0066736B"/>
    <w:rsid w:val="006716BB"/>
    <w:rsid w:val="006771E7"/>
    <w:rsid w:val="006824DA"/>
    <w:rsid w:val="006A39B5"/>
    <w:rsid w:val="006B5954"/>
    <w:rsid w:val="006B6DCC"/>
    <w:rsid w:val="006B7318"/>
    <w:rsid w:val="006C3576"/>
    <w:rsid w:val="006D3B24"/>
    <w:rsid w:val="006D3B29"/>
    <w:rsid w:val="00732CA8"/>
    <w:rsid w:val="00733B71"/>
    <w:rsid w:val="00741793"/>
    <w:rsid w:val="0074569D"/>
    <w:rsid w:val="0075051B"/>
    <w:rsid w:val="00761ADA"/>
    <w:rsid w:val="00763E73"/>
    <w:rsid w:val="00774AB4"/>
    <w:rsid w:val="00782C0B"/>
    <w:rsid w:val="00790142"/>
    <w:rsid w:val="007901DA"/>
    <w:rsid w:val="00790F2A"/>
    <w:rsid w:val="00794D34"/>
    <w:rsid w:val="00796694"/>
    <w:rsid w:val="007A34B1"/>
    <w:rsid w:val="007B5F2B"/>
    <w:rsid w:val="007C116C"/>
    <w:rsid w:val="007C2E8B"/>
    <w:rsid w:val="007C6293"/>
    <w:rsid w:val="007D134F"/>
    <w:rsid w:val="007D7FD5"/>
    <w:rsid w:val="00813D27"/>
    <w:rsid w:val="00813E5E"/>
    <w:rsid w:val="0081547A"/>
    <w:rsid w:val="00820BAF"/>
    <w:rsid w:val="0083581B"/>
    <w:rsid w:val="00841CF5"/>
    <w:rsid w:val="008479E4"/>
    <w:rsid w:val="00854664"/>
    <w:rsid w:val="00855BA7"/>
    <w:rsid w:val="00864AFF"/>
    <w:rsid w:val="008662BD"/>
    <w:rsid w:val="008911FB"/>
    <w:rsid w:val="0089474C"/>
    <w:rsid w:val="008A16A8"/>
    <w:rsid w:val="008A4009"/>
    <w:rsid w:val="008B4A6A"/>
    <w:rsid w:val="008C7E27"/>
    <w:rsid w:val="008E3733"/>
    <w:rsid w:val="008F1108"/>
    <w:rsid w:val="008F3912"/>
    <w:rsid w:val="00904212"/>
    <w:rsid w:val="00915A48"/>
    <w:rsid w:val="00917052"/>
    <w:rsid w:val="009173EF"/>
    <w:rsid w:val="00923A1B"/>
    <w:rsid w:val="00926B92"/>
    <w:rsid w:val="00932906"/>
    <w:rsid w:val="00933C23"/>
    <w:rsid w:val="00933CC0"/>
    <w:rsid w:val="009340E2"/>
    <w:rsid w:val="00944BC2"/>
    <w:rsid w:val="00961B0B"/>
    <w:rsid w:val="00965A18"/>
    <w:rsid w:val="00984F5D"/>
    <w:rsid w:val="00987D95"/>
    <w:rsid w:val="00990B53"/>
    <w:rsid w:val="00996E42"/>
    <w:rsid w:val="009A4E24"/>
    <w:rsid w:val="009A56C8"/>
    <w:rsid w:val="009B2407"/>
    <w:rsid w:val="009B38C3"/>
    <w:rsid w:val="009C6A0F"/>
    <w:rsid w:val="009D629C"/>
    <w:rsid w:val="009D7C70"/>
    <w:rsid w:val="009E17BD"/>
    <w:rsid w:val="00A04CEC"/>
    <w:rsid w:val="00A244B9"/>
    <w:rsid w:val="00A27F92"/>
    <w:rsid w:val="00A30574"/>
    <w:rsid w:val="00A32257"/>
    <w:rsid w:val="00A36066"/>
    <w:rsid w:val="00A36D20"/>
    <w:rsid w:val="00A462B5"/>
    <w:rsid w:val="00A54FD8"/>
    <w:rsid w:val="00A550D1"/>
    <w:rsid w:val="00A55622"/>
    <w:rsid w:val="00A56000"/>
    <w:rsid w:val="00A620DA"/>
    <w:rsid w:val="00A7440D"/>
    <w:rsid w:val="00A83502"/>
    <w:rsid w:val="00A8487E"/>
    <w:rsid w:val="00AB2815"/>
    <w:rsid w:val="00AB393C"/>
    <w:rsid w:val="00AB5B56"/>
    <w:rsid w:val="00AC393D"/>
    <w:rsid w:val="00AD69F9"/>
    <w:rsid w:val="00AE5A46"/>
    <w:rsid w:val="00AE73AD"/>
    <w:rsid w:val="00AF6E49"/>
    <w:rsid w:val="00B04A67"/>
    <w:rsid w:val="00B0583C"/>
    <w:rsid w:val="00B077CB"/>
    <w:rsid w:val="00B11C44"/>
    <w:rsid w:val="00B131C2"/>
    <w:rsid w:val="00B16013"/>
    <w:rsid w:val="00B3673E"/>
    <w:rsid w:val="00B36E39"/>
    <w:rsid w:val="00B37038"/>
    <w:rsid w:val="00B40A81"/>
    <w:rsid w:val="00B447F3"/>
    <w:rsid w:val="00B44910"/>
    <w:rsid w:val="00B473A4"/>
    <w:rsid w:val="00B47B8F"/>
    <w:rsid w:val="00B71F52"/>
    <w:rsid w:val="00B72267"/>
    <w:rsid w:val="00B769F8"/>
    <w:rsid w:val="00B76EB6"/>
    <w:rsid w:val="00B824C8"/>
    <w:rsid w:val="00B85905"/>
    <w:rsid w:val="00BA74C0"/>
    <w:rsid w:val="00BB1653"/>
    <w:rsid w:val="00BC251A"/>
    <w:rsid w:val="00BD032B"/>
    <w:rsid w:val="00BD23BA"/>
    <w:rsid w:val="00BD434A"/>
    <w:rsid w:val="00BD6810"/>
    <w:rsid w:val="00BE2640"/>
    <w:rsid w:val="00BE30A1"/>
    <w:rsid w:val="00BF27F0"/>
    <w:rsid w:val="00BF30E1"/>
    <w:rsid w:val="00C01189"/>
    <w:rsid w:val="00C03DBE"/>
    <w:rsid w:val="00C10E06"/>
    <w:rsid w:val="00C11946"/>
    <w:rsid w:val="00C374DE"/>
    <w:rsid w:val="00C37D85"/>
    <w:rsid w:val="00C413A2"/>
    <w:rsid w:val="00C47AD4"/>
    <w:rsid w:val="00C52D81"/>
    <w:rsid w:val="00C55198"/>
    <w:rsid w:val="00C664FA"/>
    <w:rsid w:val="00C67EE1"/>
    <w:rsid w:val="00C8040F"/>
    <w:rsid w:val="00C80D79"/>
    <w:rsid w:val="00CA4FA5"/>
    <w:rsid w:val="00CA6393"/>
    <w:rsid w:val="00CB05C9"/>
    <w:rsid w:val="00CB18FF"/>
    <w:rsid w:val="00CB6CC0"/>
    <w:rsid w:val="00CC5EF0"/>
    <w:rsid w:val="00CD0C08"/>
    <w:rsid w:val="00CE03FB"/>
    <w:rsid w:val="00CE433C"/>
    <w:rsid w:val="00CF33F3"/>
    <w:rsid w:val="00D00FA2"/>
    <w:rsid w:val="00D0338D"/>
    <w:rsid w:val="00D04754"/>
    <w:rsid w:val="00D06183"/>
    <w:rsid w:val="00D15B67"/>
    <w:rsid w:val="00D20CD2"/>
    <w:rsid w:val="00D22C42"/>
    <w:rsid w:val="00D3247C"/>
    <w:rsid w:val="00D3608E"/>
    <w:rsid w:val="00D65041"/>
    <w:rsid w:val="00D84BBD"/>
    <w:rsid w:val="00D9148E"/>
    <w:rsid w:val="00D945E6"/>
    <w:rsid w:val="00DA51F3"/>
    <w:rsid w:val="00DA6905"/>
    <w:rsid w:val="00DD4EB3"/>
    <w:rsid w:val="00DE2B20"/>
    <w:rsid w:val="00DF0F5D"/>
    <w:rsid w:val="00E00F7D"/>
    <w:rsid w:val="00E10E80"/>
    <w:rsid w:val="00E124F0"/>
    <w:rsid w:val="00E1313D"/>
    <w:rsid w:val="00E378C5"/>
    <w:rsid w:val="00E37B16"/>
    <w:rsid w:val="00E50695"/>
    <w:rsid w:val="00E51EC9"/>
    <w:rsid w:val="00E60F04"/>
    <w:rsid w:val="00E8096B"/>
    <w:rsid w:val="00E8113B"/>
    <w:rsid w:val="00E9013A"/>
    <w:rsid w:val="00E90544"/>
    <w:rsid w:val="00EA48F9"/>
    <w:rsid w:val="00EB0D6F"/>
    <w:rsid w:val="00EB2232"/>
    <w:rsid w:val="00EB52A2"/>
    <w:rsid w:val="00EC1A42"/>
    <w:rsid w:val="00EC5337"/>
    <w:rsid w:val="00EE28ED"/>
    <w:rsid w:val="00EE2A3B"/>
    <w:rsid w:val="00F0045C"/>
    <w:rsid w:val="00F01842"/>
    <w:rsid w:val="00F2150A"/>
    <w:rsid w:val="00F231D8"/>
    <w:rsid w:val="00F31144"/>
    <w:rsid w:val="00F334D6"/>
    <w:rsid w:val="00F44ED7"/>
    <w:rsid w:val="00F46C5F"/>
    <w:rsid w:val="00F54A63"/>
    <w:rsid w:val="00F56D59"/>
    <w:rsid w:val="00F60A27"/>
    <w:rsid w:val="00F70098"/>
    <w:rsid w:val="00F73F49"/>
    <w:rsid w:val="00F83DA1"/>
    <w:rsid w:val="00F856EC"/>
    <w:rsid w:val="00F94A63"/>
    <w:rsid w:val="00F96CA1"/>
    <w:rsid w:val="00FB7596"/>
    <w:rsid w:val="00FC08D9"/>
    <w:rsid w:val="00FC3AA9"/>
    <w:rsid w:val="00FD60B3"/>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F79E142"/>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816"/>
    <w:pPr>
      <w:spacing w:after="160" w:line="259" w:lineRule="auto"/>
    </w:pPr>
    <w:rPr>
      <w:rFonts w:asciiTheme="minorHAnsi" w:eastAsiaTheme="minorEastAsia" w:hAnsiTheme="minorHAnsi" w:cstheme="minorBidi"/>
      <w:sz w:val="22"/>
      <w:szCs w:val="22"/>
      <w:lang w:val="en-GB"/>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6578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7816"/>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162982"/>
    <w:pPr>
      <w:spacing w:before="720" w:after="0"/>
      <w:jc w:val="center"/>
    </w:pPr>
    <w:rPr>
      <w:b/>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table" w:customStyle="1" w:styleId="TableGrid1">
    <w:name w:val="Table Grid1"/>
    <w:basedOn w:val="TableNormal"/>
    <w:next w:val="TableGrid"/>
    <w:uiPriority w:val="59"/>
    <w:rsid w:val="00D20CD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83645-E85F-4F8A-BE11-B7585138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2136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Contribution by Australia, Canada, and the United States of America</vt:lpstr>
    </vt:vector>
  </TitlesOfParts>
  <Manager>General Secretariat - Pool</Manager>
  <Company>International Telecommunication Union (ITU)</Company>
  <LinksUpToDate>false</LinksUpToDate>
  <CharactersWithSpaces>2473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Member contribution on overall observations based on the provision-by-provision examination of the 2012 International Telecommunication Regulations</dc:title>
  <dc:subject>EG-ITRs</dc:subject>
  <dc:creator>Brouard, Ricarda</dc:creator>
  <cp:keywords>EG-ITRs</cp:keywords>
  <dc:description/>
  <cp:lastModifiedBy>Xue, Kun</cp:lastModifiedBy>
  <cp:revision>2</cp:revision>
  <cp:lastPrinted>2000-07-18T13:30:00Z</cp:lastPrinted>
  <dcterms:created xsi:type="dcterms:W3CDTF">2021-09-28T10:33:00Z</dcterms:created>
  <dcterms:modified xsi:type="dcterms:W3CDTF">2021-09-28T10:33:00Z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