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FA21C15" w14:textId="77777777">
        <w:trPr>
          <w:cantSplit/>
        </w:trPr>
        <w:tc>
          <w:tcPr>
            <w:tcW w:w="6911" w:type="dxa"/>
          </w:tcPr>
          <w:p w14:paraId="3E0290FE" w14:textId="77777777" w:rsidR="00700D1F" w:rsidRPr="00DF23FC" w:rsidRDefault="00C06DEB" w:rsidP="00C06DE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03813A31" w14:textId="77777777" w:rsidR="00700D1F" w:rsidRDefault="0041142C" w:rsidP="000D3B1A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12FA658" wp14:editId="1C0D40A8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0BF742B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91C0088" w14:textId="77777777" w:rsidR="00700D1F" w:rsidRPr="00617BE4" w:rsidRDefault="002129D1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第五次会议</w:t>
            </w:r>
            <w:r>
              <w:rPr>
                <w:b/>
                <w:smallCaps/>
                <w:szCs w:val="24"/>
                <w:lang w:eastAsia="zh-CN"/>
              </w:rPr>
              <w:t xml:space="preserve"> – </w:t>
            </w:r>
            <w:r>
              <w:rPr>
                <w:rFonts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，</w:t>
            </w:r>
            <w:bookmarkStart w:id="1" w:name="_Hlk80387812"/>
            <w:r>
              <w:rPr>
                <w:b/>
                <w:smallCaps/>
                <w:szCs w:val="24"/>
                <w:lang w:eastAsia="zh-CN"/>
              </w:rPr>
              <w:t>2021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年</w:t>
            </w:r>
            <w:r>
              <w:rPr>
                <w:b/>
                <w:smallCaps/>
                <w:szCs w:val="24"/>
                <w:lang w:eastAsia="zh-CN"/>
              </w:rPr>
              <w:t>9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30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日</w:t>
            </w:r>
            <w:bookmarkEnd w:id="1"/>
            <w:r w:rsidR="00202342">
              <w:rPr>
                <w:rFonts w:hint="eastAsia"/>
                <w:b/>
                <w:smallCaps/>
                <w:szCs w:val="24"/>
                <w:lang w:eastAsia="zh-CN"/>
              </w:rPr>
              <w:t>-</w:t>
            </w:r>
            <w:r>
              <w:rPr>
                <w:b/>
                <w:smallCaps/>
                <w:szCs w:val="24"/>
                <w:lang w:eastAsia="zh-CN"/>
              </w:rPr>
              <w:t>10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D565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14:paraId="030891B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C850C3" w14:textId="77777777" w:rsidR="00700D1F" w:rsidRPr="00D96EFC" w:rsidRDefault="00700D1F" w:rsidP="00CA29F7">
            <w:pPr>
              <w:spacing w:before="0" w:after="48"/>
              <w:rPr>
                <w:b/>
                <w:bCs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CF053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202342" w14:paraId="5A3917B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ACAAE75" w14:textId="77777777" w:rsidR="00202342" w:rsidRPr="00FC5386" w:rsidRDefault="00202342" w:rsidP="00202342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4C93B950" w14:textId="1DE8517A" w:rsidR="00202342" w:rsidRPr="00486526" w:rsidRDefault="00202342" w:rsidP="00202342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205911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B931AB">
              <w:rPr>
                <w:rFonts w:hint="eastAsia"/>
                <w:b/>
                <w:bCs/>
                <w:szCs w:val="24"/>
                <w:lang w:val="fr-CH" w:eastAsia="zh-CN"/>
              </w:rPr>
              <w:t xml:space="preserve"> </w:t>
            </w:r>
            <w:r w:rsidRPr="008537D7">
              <w:rPr>
                <w:rFonts w:eastAsia="Calibri" w:cs="Calibri"/>
                <w:b/>
                <w:bCs/>
                <w:color w:val="000000"/>
                <w:szCs w:val="24"/>
                <w:lang w:eastAsia="zh-CN"/>
              </w:rPr>
              <w:t>EG-ITRs-</w:t>
            </w:r>
            <w:r>
              <w:rPr>
                <w:rFonts w:asciiTheme="minorHAnsi" w:hAnsiTheme="minorHAnsi" w:cstheme="minorHAnsi" w:hint="eastAsia"/>
                <w:b/>
                <w:bCs/>
                <w:color w:val="000000"/>
                <w:szCs w:val="24"/>
                <w:lang w:eastAsia="zh-CN"/>
              </w:rPr>
              <w:t>5</w:t>
            </w:r>
            <w:r w:rsidRPr="008537D7">
              <w:rPr>
                <w:rFonts w:eastAsia="Calibri" w:cs="Calibri"/>
                <w:b/>
                <w:bCs/>
                <w:color w:val="000000"/>
                <w:szCs w:val="24"/>
                <w:lang w:eastAsia="zh-CN"/>
              </w:rPr>
              <w:t>/</w:t>
            </w:r>
            <w:r>
              <w:rPr>
                <w:rFonts w:eastAsia="Calibri" w:cs="Calibri"/>
                <w:b/>
                <w:bCs/>
                <w:color w:val="000000"/>
                <w:szCs w:val="24"/>
                <w:lang w:eastAsia="zh-CN"/>
              </w:rPr>
              <w:t>9</w:t>
            </w:r>
            <w:r w:rsidRPr="008537D7">
              <w:rPr>
                <w:rFonts w:cs="Arial"/>
                <w:b/>
                <w:szCs w:val="22"/>
                <w:lang w:val="fr-FR" w:eastAsia="zh-CN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2342" w14:paraId="57156F26" w14:textId="77777777">
        <w:trPr>
          <w:cantSplit/>
          <w:trHeight w:val="23"/>
        </w:trPr>
        <w:tc>
          <w:tcPr>
            <w:tcW w:w="6911" w:type="dxa"/>
            <w:vMerge/>
          </w:tcPr>
          <w:p w14:paraId="5B509A28" w14:textId="77777777" w:rsidR="00202342" w:rsidRDefault="00202342" w:rsidP="00202342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E36CAF8" w14:textId="36B6B81E" w:rsidR="00202342" w:rsidRPr="00205911" w:rsidRDefault="00202342" w:rsidP="0020234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20591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B54EB">
              <w:rPr>
                <w:rFonts w:cs="Calibri"/>
                <w:b/>
                <w:bCs/>
                <w:szCs w:val="24"/>
                <w:lang w:eastAsia="zh-CN"/>
              </w:rPr>
              <w:t>27</w:t>
            </w:r>
            <w:r w:rsidRPr="00205911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2342" w14:paraId="0EE27A36" w14:textId="77777777">
        <w:trPr>
          <w:cantSplit/>
          <w:trHeight w:val="23"/>
        </w:trPr>
        <w:tc>
          <w:tcPr>
            <w:tcW w:w="6911" w:type="dxa"/>
            <w:vMerge/>
          </w:tcPr>
          <w:p w14:paraId="6C55E396" w14:textId="77777777" w:rsidR="00202342" w:rsidRDefault="00202342" w:rsidP="00202342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608E914" w14:textId="77777777" w:rsidR="00202342" w:rsidRPr="00205911" w:rsidRDefault="00202342" w:rsidP="00202342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39AFCC1" w14:textId="77777777">
        <w:trPr>
          <w:cantSplit/>
        </w:trPr>
        <w:tc>
          <w:tcPr>
            <w:tcW w:w="10031" w:type="dxa"/>
          </w:tcPr>
          <w:p w14:paraId="21772A35" w14:textId="00A1A921" w:rsidR="0093362E" w:rsidRPr="00202342" w:rsidRDefault="000437CF" w:rsidP="00343927">
            <w:pPr>
              <w:pStyle w:val="Source"/>
              <w:rPr>
                <w:rFonts w:cs="Arial"/>
                <w:bCs/>
                <w:lang w:val="en-US" w:eastAsia="zh-CN"/>
              </w:rPr>
            </w:pPr>
            <w:bookmarkStart w:id="3" w:name="_Hlk50119285"/>
            <w:bookmarkStart w:id="4" w:name="lt_pId010"/>
            <w:r w:rsidRPr="0038530D">
              <w:rPr>
                <w:lang w:eastAsia="zh-CN"/>
              </w:rPr>
              <w:t>AT&amp;T</w:t>
            </w:r>
            <w:r>
              <w:rPr>
                <w:rFonts w:hint="eastAsia"/>
                <w:lang w:eastAsia="zh-CN"/>
              </w:rPr>
              <w:t>公司</w:t>
            </w:r>
            <w:r w:rsidRPr="0038530D">
              <w:rPr>
                <w:rFonts w:hint="eastAsia"/>
                <w:lang w:eastAsia="zh-CN"/>
              </w:rPr>
              <w:t>、</w:t>
            </w:r>
            <w:r w:rsidR="00202342" w:rsidRPr="00291C62">
              <w:rPr>
                <w:rFonts w:hint="eastAsia"/>
                <w:lang w:eastAsia="zh-CN"/>
              </w:rPr>
              <w:t>贝尔移动公司（加拿大）</w:t>
            </w:r>
            <w:bookmarkEnd w:id="3"/>
            <w:r w:rsidR="00E433EB" w:rsidRPr="00291C62">
              <w:rPr>
                <w:rFonts w:cs="Arial" w:hint="eastAsia"/>
                <w:lang w:val="en-US" w:eastAsia="zh-CN"/>
              </w:rPr>
              <w:t>、</w:t>
            </w:r>
            <w:r w:rsidR="00202342" w:rsidRPr="00291C62">
              <w:rPr>
                <w:lang w:eastAsia="zh-CN"/>
              </w:rPr>
              <w:t>KDDI</w:t>
            </w:r>
            <w:r w:rsidR="00202342" w:rsidRPr="00291C62">
              <w:rPr>
                <w:rFonts w:hint="eastAsia"/>
                <w:lang w:eastAsia="zh-CN"/>
              </w:rPr>
              <w:t>株式会社</w:t>
            </w:r>
            <w:r w:rsidR="00202342" w:rsidRPr="00291C62">
              <w:rPr>
                <w:rFonts w:cs="Arial" w:hint="eastAsia"/>
                <w:lang w:val="en-US" w:eastAsia="zh-CN"/>
              </w:rPr>
              <w:t>、</w:t>
            </w:r>
            <w:r w:rsidR="00291C62">
              <w:rPr>
                <w:rFonts w:cs="Arial"/>
                <w:lang w:val="en-US" w:eastAsia="zh-CN"/>
              </w:rPr>
              <w:br/>
            </w:r>
            <w:r w:rsidR="00202342" w:rsidRPr="00291C62">
              <w:rPr>
                <w:rFonts w:cs="Arial"/>
                <w:lang w:val="en-US" w:eastAsia="zh-CN"/>
              </w:rPr>
              <w:t>NTT DOCOMO</w:t>
            </w:r>
            <w:r w:rsidR="00202342" w:rsidRPr="00291C62">
              <w:rPr>
                <w:rFonts w:cs="Arial" w:hint="eastAsia"/>
                <w:lang w:val="en-US" w:eastAsia="zh-CN"/>
              </w:rPr>
              <w:t>有限公司</w:t>
            </w:r>
            <w:r w:rsidR="00E433EB" w:rsidRPr="00291C62">
              <w:rPr>
                <w:rFonts w:cs="Arial" w:hint="eastAsia"/>
                <w:lang w:val="en-US" w:eastAsia="zh-CN"/>
              </w:rPr>
              <w:t>、</w:t>
            </w:r>
            <w:r w:rsidR="00D22513" w:rsidRPr="00291C62">
              <w:rPr>
                <w:rFonts w:hint="eastAsia"/>
                <w:lang w:eastAsia="zh-CN"/>
              </w:rPr>
              <w:t>西班牙电信（</w:t>
            </w:r>
            <w:r w:rsidR="00202342" w:rsidRPr="00291C62">
              <w:rPr>
                <w:rFonts w:cs="Arial"/>
                <w:bCs/>
                <w:lang w:val="en-US" w:eastAsia="zh-CN"/>
              </w:rPr>
              <w:t>Telefonica</w:t>
            </w:r>
            <w:bookmarkEnd w:id="4"/>
            <w:r w:rsidR="00D22513" w:rsidRPr="00291C62">
              <w:rPr>
                <w:rFonts w:cs="Arial" w:hint="eastAsia"/>
                <w:bCs/>
                <w:lang w:val="en-US" w:eastAsia="zh-CN"/>
              </w:rPr>
              <w:t>）</w:t>
            </w:r>
            <w:r w:rsidR="00FB54EB">
              <w:rPr>
                <w:rFonts w:hint="eastAsia"/>
                <w:bCs/>
                <w:lang w:eastAsia="zh-CN"/>
              </w:rPr>
              <w:t>、</w:t>
            </w:r>
            <w:r w:rsidR="00FB54EB" w:rsidRPr="00FB54EB">
              <w:rPr>
                <w:rFonts w:hint="eastAsia"/>
                <w:bCs/>
                <w:lang w:eastAsia="zh-CN"/>
              </w:rPr>
              <w:t>威瑞森</w:t>
            </w:r>
            <w:r w:rsidR="00FB54EB">
              <w:rPr>
                <w:rFonts w:hint="eastAsia"/>
                <w:bCs/>
                <w:lang w:eastAsia="zh-CN"/>
              </w:rPr>
              <w:t>公司（</w:t>
            </w:r>
            <w:r w:rsidR="00FB54EB" w:rsidRPr="00657816">
              <w:rPr>
                <w:bCs/>
              </w:rPr>
              <w:t>Verizon</w:t>
            </w:r>
            <w:r w:rsidR="00FB54EB">
              <w:rPr>
                <w:rFonts w:hint="eastAsia"/>
                <w:bCs/>
                <w:lang w:eastAsia="zh-CN"/>
              </w:rPr>
              <w:t>）</w:t>
            </w:r>
          </w:p>
        </w:tc>
      </w:tr>
      <w:tr w:rsidR="0093362E" w14:paraId="682E608D" w14:textId="77777777">
        <w:trPr>
          <w:cantSplit/>
        </w:trPr>
        <w:tc>
          <w:tcPr>
            <w:tcW w:w="10031" w:type="dxa"/>
          </w:tcPr>
          <w:p w14:paraId="166F1624" w14:textId="6D5F7C66" w:rsidR="00A0685A" w:rsidRDefault="000437CF" w:rsidP="00343927">
            <w:pPr>
              <w:pStyle w:val="Title1"/>
              <w:rPr>
                <w:lang w:eastAsia="zh-CN"/>
              </w:rPr>
            </w:pPr>
            <w:bookmarkStart w:id="5" w:name="lt_pId011"/>
            <w:r>
              <w:rPr>
                <w:rFonts w:hint="eastAsia"/>
                <w:lang w:eastAsia="zh-CN"/>
              </w:rPr>
              <w:t>部门</w:t>
            </w:r>
            <w:r w:rsidRPr="005F7EAA">
              <w:rPr>
                <w:rFonts w:hint="eastAsia"/>
                <w:lang w:eastAsia="zh-CN"/>
              </w:rPr>
              <w:t>成员</w:t>
            </w:r>
            <w:r w:rsidR="0020790B">
              <w:rPr>
                <w:rFonts w:hint="eastAsia"/>
                <w:lang w:eastAsia="zh-CN"/>
              </w:rPr>
              <w:t>关于</w:t>
            </w:r>
            <w:r w:rsidR="00A0685A">
              <w:rPr>
                <w:rFonts w:hint="eastAsia"/>
                <w:lang w:eastAsia="zh-CN"/>
              </w:rPr>
              <w:t>在</w:t>
            </w:r>
            <w:r w:rsidR="00392956" w:rsidRPr="005F7EAA">
              <w:rPr>
                <w:rFonts w:hint="eastAsia"/>
                <w:lang w:eastAsia="zh-CN"/>
              </w:rPr>
              <w:t>2012</w:t>
            </w:r>
            <w:r w:rsidR="00392956" w:rsidRPr="005F7EAA">
              <w:rPr>
                <w:rFonts w:hint="eastAsia"/>
                <w:lang w:eastAsia="zh-CN"/>
              </w:rPr>
              <w:t>年版《国际电信规则》</w:t>
            </w:r>
            <w:r w:rsidRPr="000437CF">
              <w:rPr>
                <w:rFonts w:hint="eastAsia"/>
                <w:lang w:eastAsia="zh-CN"/>
              </w:rPr>
              <w:t>逐款审</w:t>
            </w:r>
            <w:r w:rsidR="00A0685A">
              <w:rPr>
                <w:rFonts w:hint="eastAsia"/>
                <w:lang w:eastAsia="zh-CN"/>
              </w:rPr>
              <w:t>查</w:t>
            </w:r>
            <w:r w:rsidRPr="000437CF">
              <w:rPr>
                <w:rFonts w:hint="eastAsia"/>
                <w:lang w:eastAsia="zh-CN"/>
              </w:rPr>
              <w:t>基础上</w:t>
            </w:r>
          </w:p>
          <w:p w14:paraId="1BDF7F96" w14:textId="2A5EE775" w:rsidR="0093362E" w:rsidRDefault="0020790B" w:rsidP="0034392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形成</w:t>
            </w:r>
            <w:r w:rsidR="000437CF" w:rsidRPr="000437CF">
              <w:rPr>
                <w:rFonts w:hint="eastAsia"/>
                <w:lang w:eastAsia="zh-CN"/>
              </w:rPr>
              <w:t>的总体意见</w:t>
            </w:r>
            <w:r>
              <w:rPr>
                <w:rFonts w:hint="eastAsia"/>
                <w:lang w:eastAsia="zh-CN"/>
              </w:rPr>
              <w:t>的</w:t>
            </w:r>
            <w:r w:rsidR="000437CF">
              <w:rPr>
                <w:rFonts w:hint="eastAsia"/>
                <w:lang w:eastAsia="zh-CN"/>
              </w:rPr>
              <w:t>文稿</w:t>
            </w:r>
            <w:bookmarkEnd w:id="5"/>
          </w:p>
        </w:tc>
      </w:tr>
    </w:tbl>
    <w:p w14:paraId="563AF0DD" w14:textId="5C347125" w:rsidR="00202342" w:rsidRPr="00343927" w:rsidRDefault="00202342" w:rsidP="00343927">
      <w:pPr>
        <w:pStyle w:val="Normalaftertitle"/>
        <w:ind w:firstLineChars="200" w:firstLine="480"/>
        <w:rPr>
          <w:lang w:eastAsia="zh-CN"/>
        </w:rPr>
      </w:pPr>
      <w:bookmarkStart w:id="6" w:name="lt_pId013"/>
      <w:r w:rsidRPr="00343927">
        <w:rPr>
          <w:rFonts w:hint="eastAsia"/>
          <w:lang w:eastAsia="zh-CN"/>
        </w:rPr>
        <w:t>上述</w:t>
      </w:r>
      <w:r w:rsidRPr="00343927">
        <w:rPr>
          <w:lang w:eastAsia="zh-CN"/>
        </w:rPr>
        <w:t>国际电联部门成员通过出席</w:t>
      </w:r>
      <w:r w:rsidRPr="00343927">
        <w:rPr>
          <w:rFonts w:hint="eastAsia"/>
          <w:lang w:eastAsia="zh-CN"/>
        </w:rPr>
        <w:t>会议</w:t>
      </w:r>
      <w:r w:rsidRPr="00343927">
        <w:rPr>
          <w:lang w:eastAsia="zh-CN"/>
        </w:rPr>
        <w:t>和提交书面文稿</w:t>
      </w:r>
      <w:r w:rsidRPr="00343927">
        <w:rPr>
          <w:rFonts w:hint="eastAsia"/>
          <w:lang w:eastAsia="zh-CN"/>
        </w:rPr>
        <w:t>为</w:t>
      </w:r>
      <w:r w:rsidRPr="00343927">
        <w:rPr>
          <w:lang w:eastAsia="zh-CN"/>
        </w:rPr>
        <w:t>《</w:t>
      </w:r>
      <w:r w:rsidRPr="00343927">
        <w:rPr>
          <w:rFonts w:hint="eastAsia"/>
          <w:lang w:eastAsia="zh-CN"/>
        </w:rPr>
        <w:t>国际</w:t>
      </w:r>
      <w:r w:rsidRPr="00343927">
        <w:rPr>
          <w:lang w:eastAsia="zh-CN"/>
        </w:rPr>
        <w:t>电信规则》</w:t>
      </w:r>
      <w:r w:rsidRPr="00343927">
        <w:rPr>
          <w:rFonts w:hint="eastAsia"/>
          <w:lang w:eastAsia="zh-CN"/>
        </w:rPr>
        <w:t>专家组</w:t>
      </w:r>
      <w:r w:rsidR="00343927">
        <w:rPr>
          <w:rFonts w:hint="eastAsia"/>
          <w:lang w:eastAsia="zh-CN"/>
        </w:rPr>
        <w:t>（</w:t>
      </w:r>
      <w:r w:rsidR="00291C62" w:rsidRPr="00343927">
        <w:rPr>
          <w:lang w:eastAsia="zh-CN"/>
        </w:rPr>
        <w:t>EG</w:t>
      </w:r>
      <w:r w:rsidR="00380EFB" w:rsidRPr="00343927">
        <w:rPr>
          <w:lang w:eastAsia="zh-CN"/>
        </w:rPr>
        <w:noBreakHyphen/>
      </w:r>
      <w:r w:rsidR="00291C62" w:rsidRPr="00343927">
        <w:rPr>
          <w:lang w:eastAsia="zh-CN"/>
        </w:rPr>
        <w:t>ITRs</w:t>
      </w:r>
      <w:r w:rsidR="00291C62" w:rsidRPr="00343927">
        <w:rPr>
          <w:rFonts w:hint="eastAsia"/>
          <w:lang w:eastAsia="zh-CN"/>
        </w:rPr>
        <w:t>）</w:t>
      </w:r>
      <w:r w:rsidRPr="00343927">
        <w:rPr>
          <w:rFonts w:hint="eastAsia"/>
          <w:lang w:eastAsia="zh-CN"/>
        </w:rPr>
        <w:t>的</w:t>
      </w:r>
      <w:r w:rsidRPr="00343927">
        <w:rPr>
          <w:lang w:eastAsia="zh-CN"/>
        </w:rPr>
        <w:t>工作献计献策</w:t>
      </w:r>
      <w:r w:rsidRPr="00343927">
        <w:rPr>
          <w:rFonts w:hint="eastAsia"/>
          <w:lang w:eastAsia="zh-CN"/>
        </w:rPr>
        <w:t>。</w:t>
      </w:r>
      <w:bookmarkStart w:id="7" w:name="lt_pId014"/>
      <w:bookmarkEnd w:id="6"/>
      <w:r w:rsidR="00392956" w:rsidRPr="00343927">
        <w:rPr>
          <w:rFonts w:hint="eastAsia"/>
          <w:lang w:eastAsia="zh-CN"/>
        </w:rPr>
        <w:t>我们感谢有机会分享我们对</w:t>
      </w:r>
      <w:r w:rsidR="00392956" w:rsidRPr="00343927">
        <w:rPr>
          <w:rFonts w:hint="eastAsia"/>
          <w:lang w:eastAsia="zh-CN"/>
        </w:rPr>
        <w:t>2012</w:t>
      </w:r>
      <w:r w:rsidR="00392956" w:rsidRPr="00343927">
        <w:rPr>
          <w:rFonts w:hint="eastAsia"/>
          <w:lang w:eastAsia="zh-CN"/>
        </w:rPr>
        <w:t>年</w:t>
      </w:r>
      <w:r w:rsidR="0038139C" w:rsidRPr="00343927">
        <w:rPr>
          <w:rFonts w:hint="eastAsia"/>
          <w:lang w:eastAsia="zh-CN"/>
        </w:rPr>
        <w:t>版</w:t>
      </w:r>
      <w:r w:rsidR="00392956" w:rsidRPr="00343927">
        <w:rPr>
          <w:rFonts w:hint="eastAsia"/>
          <w:lang w:eastAsia="zh-CN"/>
        </w:rPr>
        <w:t>《国际电信规则》逐款审议的意见，并</w:t>
      </w:r>
      <w:r w:rsidR="0038139C" w:rsidRPr="00343927">
        <w:rPr>
          <w:rFonts w:hint="eastAsia"/>
          <w:lang w:eastAsia="zh-CN"/>
        </w:rPr>
        <w:t>且</w:t>
      </w:r>
      <w:r w:rsidR="00392956" w:rsidRPr="00343927">
        <w:rPr>
          <w:rFonts w:hint="eastAsia"/>
          <w:lang w:eastAsia="zh-CN"/>
        </w:rPr>
        <w:t>重申以下观点：</w:t>
      </w:r>
      <w:bookmarkEnd w:id="7"/>
    </w:p>
    <w:p w14:paraId="2E3740DA" w14:textId="0ED14BC5" w:rsidR="00202342" w:rsidRPr="00343927" w:rsidRDefault="00202342" w:rsidP="00343927">
      <w:pPr>
        <w:pStyle w:val="enumlev1"/>
        <w:rPr>
          <w:lang w:eastAsia="zh-CN"/>
        </w:rPr>
      </w:pPr>
      <w:bookmarkStart w:id="8" w:name="lt_pId015"/>
      <w:r w:rsidRPr="00343927">
        <w:rPr>
          <w:lang w:eastAsia="zh-CN"/>
        </w:rPr>
        <w:t>•</w:t>
      </w:r>
      <w:r w:rsidRPr="00343927">
        <w:rPr>
          <w:lang w:eastAsia="zh-CN"/>
        </w:rPr>
        <w:tab/>
      </w:r>
      <w:r w:rsidRPr="00343927">
        <w:rPr>
          <w:rFonts w:hint="eastAsia"/>
          <w:lang w:eastAsia="zh-CN"/>
        </w:rPr>
        <w:t>我们认为，</w:t>
      </w:r>
      <w:r w:rsidR="00392956" w:rsidRPr="00343927">
        <w:rPr>
          <w:rFonts w:hint="eastAsia"/>
          <w:lang w:eastAsia="zh-CN"/>
        </w:rPr>
        <w:t>《国际电信规则》</w:t>
      </w:r>
      <w:r w:rsidRPr="00343927">
        <w:rPr>
          <w:rFonts w:hint="eastAsia"/>
          <w:lang w:eastAsia="zh-CN"/>
        </w:rPr>
        <w:t>不适用于促进国际网络和服务的发展，而且不够灵活</w:t>
      </w:r>
      <w:r w:rsidR="00343927">
        <w:rPr>
          <w:rFonts w:hint="eastAsia"/>
          <w:lang w:eastAsia="zh-CN"/>
        </w:rPr>
        <w:t>，</w:t>
      </w:r>
      <w:r w:rsidRPr="00343927">
        <w:rPr>
          <w:rFonts w:hint="eastAsia"/>
          <w:lang w:eastAsia="zh-CN"/>
        </w:rPr>
        <w:t>无法适应当今动态市场和不断推陈出新的技术格局。</w:t>
      </w:r>
      <w:bookmarkEnd w:id="8"/>
    </w:p>
    <w:p w14:paraId="18BFBA9F" w14:textId="72C9C200" w:rsidR="00202342" w:rsidRPr="00343927" w:rsidRDefault="008764EA" w:rsidP="00343927">
      <w:pPr>
        <w:pStyle w:val="enumlev1"/>
        <w:rPr>
          <w:lang w:eastAsia="zh-CN"/>
        </w:rPr>
      </w:pPr>
      <w:bookmarkStart w:id="9" w:name="lt_pId016"/>
      <w:r w:rsidRPr="00343927">
        <w:rPr>
          <w:lang w:eastAsia="zh-CN"/>
        </w:rPr>
        <w:t>•</w:t>
      </w:r>
      <w:r w:rsidRPr="00343927">
        <w:rPr>
          <w:lang w:eastAsia="zh-CN"/>
        </w:rPr>
        <w:tab/>
      </w:r>
      <w:r w:rsidRPr="00343927">
        <w:rPr>
          <w:rFonts w:hint="eastAsia"/>
          <w:lang w:eastAsia="zh-CN"/>
        </w:rPr>
        <w:t>条约的条款无法跟上技术开发和创新的快速发展</w:t>
      </w:r>
      <w:r w:rsidR="00392956" w:rsidRPr="00343927">
        <w:rPr>
          <w:rFonts w:hint="eastAsia"/>
          <w:lang w:eastAsia="zh-CN"/>
        </w:rPr>
        <w:t>，很快就会过时</w:t>
      </w:r>
      <w:r w:rsidRPr="00343927">
        <w:rPr>
          <w:rFonts w:hint="eastAsia"/>
          <w:lang w:eastAsia="zh-CN"/>
        </w:rPr>
        <w:t>。</w:t>
      </w:r>
      <w:r w:rsidR="00392956" w:rsidRPr="00343927">
        <w:rPr>
          <w:rFonts w:hint="eastAsia"/>
          <w:lang w:eastAsia="zh-CN"/>
        </w:rPr>
        <w:t>此外，</w:t>
      </w:r>
      <w:r w:rsidRPr="00343927">
        <w:rPr>
          <w:rFonts w:hint="eastAsia"/>
          <w:lang w:eastAsia="zh-CN"/>
        </w:rPr>
        <w:t>试图在条约文书中解决</w:t>
      </w:r>
      <w:r w:rsidR="00392956" w:rsidRPr="00343927">
        <w:rPr>
          <w:rFonts w:hint="eastAsia"/>
          <w:lang w:eastAsia="zh-CN"/>
        </w:rPr>
        <w:t>技术</w:t>
      </w:r>
      <w:r w:rsidRPr="00343927">
        <w:rPr>
          <w:rFonts w:hint="eastAsia"/>
          <w:lang w:eastAsia="zh-CN"/>
        </w:rPr>
        <w:t>问题可能会产生意想不到的后果，即，阻碍网络运营商快速响应不断变化的网络环境的能力。</w:t>
      </w:r>
      <w:bookmarkEnd w:id="9"/>
    </w:p>
    <w:p w14:paraId="0E672DEC" w14:textId="76BF75FD" w:rsidR="00202342" w:rsidRPr="00343927" w:rsidRDefault="00202342" w:rsidP="00343927">
      <w:pPr>
        <w:pStyle w:val="enumlev1"/>
        <w:rPr>
          <w:lang w:eastAsia="zh-CN"/>
        </w:rPr>
      </w:pPr>
      <w:bookmarkStart w:id="10" w:name="lt_pId018"/>
      <w:r w:rsidRPr="00343927">
        <w:rPr>
          <w:lang w:eastAsia="zh-CN"/>
        </w:rPr>
        <w:t>•</w:t>
      </w:r>
      <w:r w:rsidRPr="00343927">
        <w:rPr>
          <w:lang w:eastAsia="zh-CN"/>
        </w:rPr>
        <w:tab/>
      </w:r>
      <w:r w:rsidRPr="00343927">
        <w:rPr>
          <w:rFonts w:hint="eastAsia"/>
          <w:lang w:eastAsia="zh-CN"/>
        </w:rPr>
        <w:t>电信基础设施和服务在世界范围内</w:t>
      </w:r>
      <w:r w:rsidR="0092165C" w:rsidRPr="00343927">
        <w:rPr>
          <w:rFonts w:hint="eastAsia"/>
          <w:lang w:eastAsia="zh-CN"/>
        </w:rPr>
        <w:t>持续</w:t>
      </w:r>
      <w:r w:rsidRPr="00343927">
        <w:rPr>
          <w:rFonts w:hint="eastAsia"/>
          <w:lang w:eastAsia="zh-CN"/>
        </w:rPr>
        <w:t>成功部署和使用，主要是通过灵活的政策框架来实现的，这些政策框架支持不断开展的创新、基于市场的竞争、提供商之间相互</w:t>
      </w:r>
      <w:r w:rsidR="0092165C" w:rsidRPr="00343927">
        <w:rPr>
          <w:rFonts w:hint="eastAsia"/>
          <w:lang w:eastAsia="zh-CN"/>
        </w:rPr>
        <w:t>认可</w:t>
      </w:r>
      <w:r w:rsidRPr="00343927">
        <w:rPr>
          <w:rFonts w:hint="eastAsia"/>
          <w:lang w:eastAsia="zh-CN"/>
        </w:rPr>
        <w:t>的</w:t>
      </w:r>
      <w:r w:rsidR="0092165C" w:rsidRPr="00343927">
        <w:rPr>
          <w:rFonts w:hint="eastAsia"/>
          <w:lang w:eastAsia="zh-CN"/>
        </w:rPr>
        <w:t>商业</w:t>
      </w:r>
      <w:r w:rsidRPr="00343927">
        <w:rPr>
          <w:rFonts w:hint="eastAsia"/>
          <w:lang w:eastAsia="zh-CN"/>
        </w:rPr>
        <w:t>协议以及私营部门投资；而不是通过《国际电信规则》之类的条约</w:t>
      </w:r>
      <w:r w:rsidR="0092165C" w:rsidRPr="00343927">
        <w:rPr>
          <w:rFonts w:hint="eastAsia"/>
          <w:lang w:eastAsia="zh-CN"/>
        </w:rPr>
        <w:t>文书</w:t>
      </w:r>
      <w:r w:rsidRPr="00343927">
        <w:rPr>
          <w:rFonts w:hint="eastAsia"/>
          <w:lang w:eastAsia="zh-CN"/>
        </w:rPr>
        <w:t>。</w:t>
      </w:r>
      <w:bookmarkEnd w:id="10"/>
    </w:p>
    <w:p w14:paraId="27596724" w14:textId="4533781B" w:rsidR="00202342" w:rsidRPr="00202342" w:rsidRDefault="0092165C" w:rsidP="00343927">
      <w:pPr>
        <w:pStyle w:val="NormalCH"/>
        <w:ind w:firstLine="480"/>
        <w:rPr>
          <w:lang w:val="en-US"/>
        </w:rPr>
      </w:pPr>
      <w:bookmarkStart w:id="11" w:name="lt_pId019"/>
      <w:r w:rsidRPr="0092165C">
        <w:rPr>
          <w:rFonts w:hint="eastAsia"/>
          <w:lang w:val="en-US"/>
        </w:rPr>
        <w:t>根据以往</w:t>
      </w:r>
      <w:r w:rsidR="00D22513" w:rsidRPr="00202342">
        <w:t>《</w:t>
      </w:r>
      <w:r w:rsidR="00D22513" w:rsidRPr="00202342">
        <w:rPr>
          <w:rFonts w:hint="eastAsia"/>
        </w:rPr>
        <w:t>国际</w:t>
      </w:r>
      <w:r w:rsidR="00D22513" w:rsidRPr="00202342">
        <w:t>电信规则》</w:t>
      </w:r>
      <w:r w:rsidR="00D22513" w:rsidRPr="00202342">
        <w:rPr>
          <w:rFonts w:hint="eastAsia"/>
        </w:rPr>
        <w:t>专家组</w:t>
      </w:r>
      <w:r w:rsidRPr="0092165C">
        <w:rPr>
          <w:rFonts w:hint="eastAsia"/>
          <w:lang w:val="en-US"/>
        </w:rPr>
        <w:t>会议期间的讨论，并如</w:t>
      </w:r>
      <w:r w:rsidR="00A0685A">
        <w:rPr>
          <w:rFonts w:hint="eastAsia"/>
          <w:lang w:val="en-US"/>
        </w:rPr>
        <w:t>“</w:t>
      </w:r>
      <w:r w:rsidRPr="0092165C">
        <w:rPr>
          <w:rFonts w:hint="eastAsia"/>
          <w:lang w:val="en-US"/>
        </w:rPr>
        <w:t>审查表</w:t>
      </w:r>
      <w:r w:rsidR="00A0685A">
        <w:rPr>
          <w:rFonts w:hint="eastAsia"/>
          <w:lang w:val="en-US"/>
        </w:rPr>
        <w:t>”</w:t>
      </w:r>
      <w:r w:rsidRPr="0092165C">
        <w:rPr>
          <w:rFonts w:hint="eastAsia"/>
          <w:lang w:val="en-US"/>
        </w:rPr>
        <w:t>所反映的那样，我们认识到</w:t>
      </w:r>
      <w:r w:rsidR="00D22513" w:rsidRPr="00202342">
        <w:t>《</w:t>
      </w:r>
      <w:r w:rsidR="00D22513" w:rsidRPr="00202342">
        <w:rPr>
          <w:rFonts w:hint="eastAsia"/>
        </w:rPr>
        <w:t>国际</w:t>
      </w:r>
      <w:r w:rsidR="00D22513" w:rsidRPr="00202342">
        <w:t>电信规则》</w:t>
      </w:r>
      <w:r w:rsidR="00D22513" w:rsidRPr="00202342">
        <w:rPr>
          <w:rFonts w:hint="eastAsia"/>
        </w:rPr>
        <w:t>专家组</w:t>
      </w:r>
      <w:r w:rsidRPr="0092165C">
        <w:rPr>
          <w:rFonts w:hint="eastAsia"/>
          <w:lang w:val="en-US"/>
        </w:rPr>
        <w:t>的一些</w:t>
      </w:r>
      <w:r>
        <w:rPr>
          <w:rFonts w:hint="eastAsia"/>
          <w:lang w:val="en-US"/>
        </w:rPr>
        <w:t>与会</w:t>
      </w:r>
      <w:r w:rsidRPr="0092165C">
        <w:rPr>
          <w:rFonts w:hint="eastAsia"/>
          <w:lang w:val="en-US"/>
        </w:rPr>
        <w:t>者赞同我们的观点，而另一些</w:t>
      </w:r>
      <w:r>
        <w:rPr>
          <w:rFonts w:hint="eastAsia"/>
          <w:lang w:val="en-US"/>
        </w:rPr>
        <w:t>与会</w:t>
      </w:r>
      <w:r w:rsidRPr="0092165C">
        <w:rPr>
          <w:rFonts w:hint="eastAsia"/>
          <w:lang w:val="en-US"/>
        </w:rPr>
        <w:t>者则不赞同。鉴于这些不同的立场，我们不清楚关于适用性和灵活性的任何</w:t>
      </w:r>
      <w:r w:rsidR="0099780F" w:rsidRPr="0092165C">
        <w:rPr>
          <w:rFonts w:hint="eastAsia"/>
          <w:lang w:val="en-US"/>
        </w:rPr>
        <w:t>进一步讨论</w:t>
      </w:r>
      <w:r w:rsidR="0099780F">
        <w:rPr>
          <w:rFonts w:hint="eastAsia"/>
          <w:lang w:val="en-US"/>
        </w:rPr>
        <w:t>或</w:t>
      </w:r>
      <w:r w:rsidRPr="0092165C">
        <w:rPr>
          <w:rFonts w:hint="eastAsia"/>
          <w:lang w:val="en-US"/>
        </w:rPr>
        <w:t>对</w:t>
      </w:r>
      <w:r w:rsidR="00D22513" w:rsidRPr="00392956">
        <w:rPr>
          <w:rFonts w:hint="eastAsia"/>
          <w:lang w:val="en-US"/>
        </w:rPr>
        <w:t>《国际电信规则》</w:t>
      </w:r>
      <w:r w:rsidRPr="0092165C">
        <w:rPr>
          <w:rFonts w:hint="eastAsia"/>
          <w:lang w:val="en-US"/>
        </w:rPr>
        <w:t>的审查</w:t>
      </w:r>
      <w:r w:rsidR="0099780F">
        <w:rPr>
          <w:rFonts w:hint="eastAsia"/>
          <w:lang w:val="en-US"/>
        </w:rPr>
        <w:t>是否</w:t>
      </w:r>
      <w:r w:rsidRPr="0092165C">
        <w:rPr>
          <w:rFonts w:hint="eastAsia"/>
          <w:lang w:val="en-US"/>
        </w:rPr>
        <w:t>会</w:t>
      </w:r>
      <w:r w:rsidR="00A0685A">
        <w:rPr>
          <w:rFonts w:hint="eastAsia"/>
          <w:lang w:val="en-US"/>
        </w:rPr>
        <w:t>导致</w:t>
      </w:r>
      <w:r w:rsidR="0099780F">
        <w:rPr>
          <w:rFonts w:hint="eastAsia"/>
          <w:lang w:val="en-US"/>
        </w:rPr>
        <w:t>取得</w:t>
      </w:r>
      <w:r w:rsidRPr="0092165C">
        <w:rPr>
          <w:rFonts w:hint="eastAsia"/>
          <w:lang w:val="en-US"/>
        </w:rPr>
        <w:t>不同的结果。</w:t>
      </w:r>
      <w:r w:rsidR="00A0685A">
        <w:rPr>
          <w:rFonts w:hint="eastAsia"/>
          <w:lang w:val="en-US"/>
        </w:rPr>
        <w:t>为</w:t>
      </w:r>
      <w:r w:rsidRPr="0092165C">
        <w:rPr>
          <w:rFonts w:hint="eastAsia"/>
          <w:lang w:val="en-US"/>
        </w:rPr>
        <w:t>此，一</w:t>
      </w:r>
      <w:r w:rsidR="00A0685A">
        <w:rPr>
          <w:rFonts w:hint="eastAsia"/>
          <w:lang w:val="en-US"/>
        </w:rPr>
        <w:t>俟此</w:t>
      </w:r>
      <w:r w:rsidRPr="00202342">
        <w:t>《</w:t>
      </w:r>
      <w:r w:rsidRPr="00202342">
        <w:rPr>
          <w:rFonts w:hint="eastAsia"/>
        </w:rPr>
        <w:t>国际</w:t>
      </w:r>
      <w:r w:rsidRPr="00202342">
        <w:t>电信规则》</w:t>
      </w:r>
      <w:r w:rsidRPr="00202342">
        <w:rPr>
          <w:rFonts w:hint="eastAsia"/>
        </w:rPr>
        <w:t>专家组</w:t>
      </w:r>
      <w:r w:rsidRPr="0092165C">
        <w:rPr>
          <w:rFonts w:hint="eastAsia"/>
          <w:lang w:val="en-US"/>
        </w:rPr>
        <w:t>完成其职</w:t>
      </w:r>
      <w:r w:rsidR="00A0685A">
        <w:rPr>
          <w:rFonts w:hint="eastAsia"/>
          <w:lang w:val="en-US"/>
        </w:rPr>
        <w:t>责</w:t>
      </w:r>
      <w:r w:rsidR="00D22513">
        <w:rPr>
          <w:rFonts w:hint="eastAsia"/>
          <w:lang w:val="en-US"/>
        </w:rPr>
        <w:t>任务</w:t>
      </w:r>
      <w:r w:rsidRPr="0092165C">
        <w:rPr>
          <w:rFonts w:hint="eastAsia"/>
          <w:lang w:val="en-US"/>
        </w:rPr>
        <w:t>，我们</w:t>
      </w:r>
      <w:r w:rsidR="00A0685A">
        <w:rPr>
          <w:rFonts w:hint="eastAsia"/>
          <w:lang w:val="en-US"/>
        </w:rPr>
        <w:t>看不出</w:t>
      </w:r>
      <w:r w:rsidR="00D22513">
        <w:rPr>
          <w:rFonts w:hint="eastAsia"/>
          <w:lang w:val="en-US"/>
        </w:rPr>
        <w:t>再</w:t>
      </w:r>
      <w:r w:rsidRPr="0092165C">
        <w:rPr>
          <w:rFonts w:hint="eastAsia"/>
          <w:lang w:val="en-US"/>
        </w:rPr>
        <w:t>将国际电联的资源</w:t>
      </w:r>
      <w:r w:rsidR="00A0685A">
        <w:rPr>
          <w:rFonts w:hint="eastAsia"/>
          <w:lang w:val="en-US"/>
        </w:rPr>
        <w:t>专门</w:t>
      </w:r>
      <w:r w:rsidRPr="0092165C">
        <w:rPr>
          <w:rFonts w:hint="eastAsia"/>
          <w:lang w:val="en-US"/>
        </w:rPr>
        <w:t>用于</w:t>
      </w:r>
      <w:r w:rsidR="00A0685A">
        <w:rPr>
          <w:rFonts w:hint="eastAsia"/>
          <w:lang w:val="en-US"/>
        </w:rPr>
        <w:t>就此</w:t>
      </w:r>
      <w:r w:rsidR="00A0685A" w:rsidRPr="0092165C">
        <w:rPr>
          <w:rFonts w:hint="eastAsia"/>
          <w:lang w:val="en-US"/>
        </w:rPr>
        <w:t>事项</w:t>
      </w:r>
      <w:r w:rsidR="00A0685A">
        <w:rPr>
          <w:rFonts w:hint="eastAsia"/>
          <w:lang w:val="en-US"/>
        </w:rPr>
        <w:t>开展</w:t>
      </w:r>
      <w:r w:rsidR="00D22513">
        <w:rPr>
          <w:rFonts w:hint="eastAsia"/>
          <w:lang w:val="en-US"/>
        </w:rPr>
        <w:t>未来</w:t>
      </w:r>
      <w:r w:rsidRPr="0092165C">
        <w:rPr>
          <w:rFonts w:hint="eastAsia"/>
          <w:lang w:val="en-US"/>
        </w:rPr>
        <w:t>工作会</w:t>
      </w:r>
      <w:r w:rsidR="00A0685A">
        <w:rPr>
          <w:rFonts w:hint="eastAsia"/>
          <w:lang w:val="en-US"/>
        </w:rPr>
        <w:t>有何益处</w:t>
      </w:r>
      <w:r w:rsidRPr="0092165C">
        <w:rPr>
          <w:rFonts w:hint="eastAsia"/>
          <w:lang w:val="en-US"/>
        </w:rPr>
        <w:t>。</w:t>
      </w:r>
      <w:bookmarkEnd w:id="11"/>
    </w:p>
    <w:p w14:paraId="2BD69098" w14:textId="7A128F6F" w:rsidR="00202342" w:rsidRPr="00202342" w:rsidRDefault="00202342" w:rsidP="00343927">
      <w:pPr>
        <w:pStyle w:val="NormalCH"/>
        <w:ind w:firstLine="480"/>
        <w:rPr>
          <w:rFonts w:cs="Calibri"/>
          <w:b/>
          <w:color w:val="800000"/>
          <w:sz w:val="22"/>
          <w:lang w:val="en-US"/>
        </w:rPr>
      </w:pPr>
      <w:bookmarkStart w:id="12" w:name="lt_pId022"/>
      <w:r w:rsidRPr="00202342">
        <w:rPr>
          <w:rFonts w:hint="eastAsia"/>
        </w:rPr>
        <w:t>我们</w:t>
      </w:r>
      <w:r w:rsidR="00A0685A">
        <w:rPr>
          <w:rFonts w:hint="eastAsia"/>
        </w:rPr>
        <w:t>很感谢能</w:t>
      </w:r>
      <w:r w:rsidRPr="00202342">
        <w:t>有机会参加</w:t>
      </w:r>
      <w:r w:rsidR="00D22513" w:rsidRPr="00202342">
        <w:t>《</w:t>
      </w:r>
      <w:r w:rsidR="00D22513" w:rsidRPr="00202342">
        <w:rPr>
          <w:rFonts w:hint="eastAsia"/>
        </w:rPr>
        <w:t>国际</w:t>
      </w:r>
      <w:r w:rsidR="00D22513" w:rsidRPr="00202342">
        <w:t>电信规则》</w:t>
      </w:r>
      <w:r w:rsidR="00D22513" w:rsidRPr="00202342">
        <w:rPr>
          <w:rFonts w:hint="eastAsia"/>
        </w:rPr>
        <w:t>专家组</w:t>
      </w:r>
      <w:r w:rsidRPr="00202342">
        <w:rPr>
          <w:rFonts w:hint="eastAsia"/>
          <w:lang w:val="en-US"/>
        </w:rPr>
        <w:t>的</w:t>
      </w:r>
      <w:r w:rsidRPr="00202342">
        <w:rPr>
          <w:lang w:val="en-US"/>
        </w:rPr>
        <w:t>讨论，感谢</w:t>
      </w:r>
      <w:r w:rsidR="00D22513" w:rsidRPr="00202342">
        <w:t>《</w:t>
      </w:r>
      <w:r w:rsidR="00D22513" w:rsidRPr="00202342">
        <w:rPr>
          <w:rFonts w:hint="eastAsia"/>
        </w:rPr>
        <w:t>国际</w:t>
      </w:r>
      <w:r w:rsidR="00D22513" w:rsidRPr="00202342">
        <w:t>电信规则》</w:t>
      </w:r>
      <w:r w:rsidR="00D22513" w:rsidRPr="00202342">
        <w:rPr>
          <w:rFonts w:hint="eastAsia"/>
        </w:rPr>
        <w:t>专家组</w:t>
      </w:r>
      <w:r w:rsidRPr="00202342">
        <w:rPr>
          <w:rFonts w:hint="eastAsia"/>
          <w:lang w:val="en-US"/>
        </w:rPr>
        <w:t>主席</w:t>
      </w:r>
      <w:r w:rsidR="00A0685A">
        <w:rPr>
          <w:rFonts w:hint="eastAsia"/>
          <w:lang w:val="en-US"/>
        </w:rPr>
        <w:t>以及各位</w:t>
      </w:r>
      <w:r w:rsidRPr="00202342">
        <w:rPr>
          <w:lang w:val="en-US"/>
        </w:rPr>
        <w:t>区域副主席在</w:t>
      </w:r>
      <w:r w:rsidR="00D22513">
        <w:rPr>
          <w:rFonts w:hint="eastAsia"/>
          <w:lang w:val="en-US"/>
        </w:rPr>
        <w:t>支持</w:t>
      </w:r>
      <w:proofErr w:type="gramStart"/>
      <w:r w:rsidR="00A0685A">
        <w:rPr>
          <w:rFonts w:hint="eastAsia"/>
          <w:lang w:val="en-US"/>
        </w:rPr>
        <w:t>此专家</w:t>
      </w:r>
      <w:proofErr w:type="gramEnd"/>
      <w:r w:rsidRPr="00202342">
        <w:rPr>
          <w:lang w:val="en-US"/>
        </w:rPr>
        <w:t>组工作</w:t>
      </w:r>
      <w:r w:rsidR="00D22513">
        <w:rPr>
          <w:rFonts w:hint="eastAsia"/>
          <w:lang w:val="en-US"/>
        </w:rPr>
        <w:t>的过程</w:t>
      </w:r>
      <w:r w:rsidRPr="00202342">
        <w:rPr>
          <w:lang w:val="en-US"/>
        </w:rPr>
        <w:t>中发挥的出色领导作用。</w:t>
      </w:r>
      <w:bookmarkEnd w:id="12"/>
    </w:p>
    <w:p w14:paraId="6175D9C1" w14:textId="77777777" w:rsidR="00202342" w:rsidRPr="00993EA6" w:rsidRDefault="00202342" w:rsidP="00202342">
      <w:pPr>
        <w:spacing w:before="360"/>
        <w:jc w:val="center"/>
      </w:pPr>
      <w:r w:rsidRPr="00993EA6">
        <w:t>______________</w:t>
      </w:r>
    </w:p>
    <w:sectPr w:rsidR="00202342" w:rsidRPr="00993EA6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63BA" w14:textId="77777777" w:rsidR="00202342" w:rsidRDefault="00202342">
      <w:r>
        <w:separator/>
      </w:r>
    </w:p>
  </w:endnote>
  <w:endnote w:type="continuationSeparator" w:id="0">
    <w:p w14:paraId="1FB63BAE" w14:textId="77777777" w:rsidR="00202342" w:rsidRDefault="0020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59E1" w14:textId="77777777" w:rsidR="00B40A53" w:rsidRPr="00202342" w:rsidRDefault="00202342" w:rsidP="0020234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>
      <w:rPr>
        <w:rFonts w:asciiTheme="minorHAnsi" w:hAnsiTheme="minorHAnsi"/>
        <w:lang w:val="fr-CH"/>
      </w:rPr>
      <w:t>P:\TRAD\C\SG\CONSEIL\EG-ITR\EG-ITR-5\000\009C-montage.docx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</w:t>
    </w:r>
    <w:r>
      <w:rPr>
        <w:rFonts w:asciiTheme="minorHAnsi" w:hAnsiTheme="minorHAnsi"/>
        <w:lang w:val="fr-CH"/>
      </w:rPr>
      <w:t>494497</w:t>
    </w:r>
    <w:r w:rsidRPr="00E603D2">
      <w:rPr>
        <w:rFonts w:asciiTheme="minorHAnsi" w:hAnsiTheme="minorHAnsi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E8B5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39D6" w14:textId="77777777" w:rsidR="00202342" w:rsidRDefault="00202342">
      <w:r>
        <w:t>____________________</w:t>
      </w:r>
    </w:p>
  </w:footnote>
  <w:footnote w:type="continuationSeparator" w:id="0">
    <w:p w14:paraId="69431819" w14:textId="77777777" w:rsidR="00202342" w:rsidRDefault="0020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673B" w14:textId="77777777" w:rsidR="00AC516F" w:rsidRPr="00202342" w:rsidRDefault="00202342" w:rsidP="00202342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50BE">
      <w:rPr>
        <w:noProof/>
      </w:rPr>
      <w:t>2</w:t>
    </w:r>
    <w:r>
      <w:rPr>
        <w:noProof/>
      </w:rPr>
      <w:fldChar w:fldCharType="end"/>
    </w:r>
    <w:r>
      <w:rPr>
        <w:noProof/>
      </w:rPr>
      <w:br/>
      <w:t>EG-ITRs-5\9-</w:t>
    </w:r>
    <w:r>
      <w:rPr>
        <w:rFonts w:hint="eastAsia"/>
        <w:noProof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42"/>
    <w:rsid w:val="00001B77"/>
    <w:rsid w:val="0000517A"/>
    <w:rsid w:val="00025445"/>
    <w:rsid w:val="00031E72"/>
    <w:rsid w:val="000404D2"/>
    <w:rsid w:val="000437CF"/>
    <w:rsid w:val="00077A91"/>
    <w:rsid w:val="000853C0"/>
    <w:rsid w:val="000A1C21"/>
    <w:rsid w:val="000D15EA"/>
    <w:rsid w:val="000D3B1A"/>
    <w:rsid w:val="00100D84"/>
    <w:rsid w:val="00124C9D"/>
    <w:rsid w:val="00157773"/>
    <w:rsid w:val="0018251A"/>
    <w:rsid w:val="00190272"/>
    <w:rsid w:val="00191A7C"/>
    <w:rsid w:val="00193244"/>
    <w:rsid w:val="00195C6C"/>
    <w:rsid w:val="00195FED"/>
    <w:rsid w:val="001A4BD6"/>
    <w:rsid w:val="001B1F99"/>
    <w:rsid w:val="001D5A18"/>
    <w:rsid w:val="001E30F1"/>
    <w:rsid w:val="00202342"/>
    <w:rsid w:val="0020790B"/>
    <w:rsid w:val="002129D1"/>
    <w:rsid w:val="002559A9"/>
    <w:rsid w:val="00280EB8"/>
    <w:rsid w:val="00291C62"/>
    <w:rsid w:val="002A6670"/>
    <w:rsid w:val="00303502"/>
    <w:rsid w:val="00325C25"/>
    <w:rsid w:val="00343927"/>
    <w:rsid w:val="00372C8F"/>
    <w:rsid w:val="00380ECE"/>
    <w:rsid w:val="00380EFB"/>
    <w:rsid w:val="0038139C"/>
    <w:rsid w:val="00392956"/>
    <w:rsid w:val="00393DDF"/>
    <w:rsid w:val="00397F55"/>
    <w:rsid w:val="003B4454"/>
    <w:rsid w:val="003C2E37"/>
    <w:rsid w:val="003F1415"/>
    <w:rsid w:val="0040144C"/>
    <w:rsid w:val="00403EB7"/>
    <w:rsid w:val="0041142C"/>
    <w:rsid w:val="00414E90"/>
    <w:rsid w:val="00430BF0"/>
    <w:rsid w:val="004672E6"/>
    <w:rsid w:val="00474ED1"/>
    <w:rsid w:val="00493085"/>
    <w:rsid w:val="004A36EC"/>
    <w:rsid w:val="004D163F"/>
    <w:rsid w:val="004E4BFF"/>
    <w:rsid w:val="004F2598"/>
    <w:rsid w:val="00531EA0"/>
    <w:rsid w:val="005403F7"/>
    <w:rsid w:val="00540632"/>
    <w:rsid w:val="00541CF4"/>
    <w:rsid w:val="005451E8"/>
    <w:rsid w:val="005507F2"/>
    <w:rsid w:val="005759CC"/>
    <w:rsid w:val="00584EAD"/>
    <w:rsid w:val="005A72E1"/>
    <w:rsid w:val="005C6632"/>
    <w:rsid w:val="005D1C9E"/>
    <w:rsid w:val="005F1361"/>
    <w:rsid w:val="00624C59"/>
    <w:rsid w:val="00625EF6"/>
    <w:rsid w:val="00654257"/>
    <w:rsid w:val="0065435A"/>
    <w:rsid w:val="006A2DD3"/>
    <w:rsid w:val="006A5AF8"/>
    <w:rsid w:val="006C36CD"/>
    <w:rsid w:val="006D73EF"/>
    <w:rsid w:val="00700D1F"/>
    <w:rsid w:val="007205CB"/>
    <w:rsid w:val="00726073"/>
    <w:rsid w:val="00734FE8"/>
    <w:rsid w:val="007360CE"/>
    <w:rsid w:val="007550BE"/>
    <w:rsid w:val="00772315"/>
    <w:rsid w:val="00775157"/>
    <w:rsid w:val="007813AE"/>
    <w:rsid w:val="007A2509"/>
    <w:rsid w:val="007A37DB"/>
    <w:rsid w:val="007E189D"/>
    <w:rsid w:val="00811259"/>
    <w:rsid w:val="00813AA2"/>
    <w:rsid w:val="008173A3"/>
    <w:rsid w:val="0086059C"/>
    <w:rsid w:val="00864589"/>
    <w:rsid w:val="008764EA"/>
    <w:rsid w:val="00890AFB"/>
    <w:rsid w:val="00890FC4"/>
    <w:rsid w:val="00895905"/>
    <w:rsid w:val="00897398"/>
    <w:rsid w:val="009164A9"/>
    <w:rsid w:val="0092165C"/>
    <w:rsid w:val="009258CB"/>
    <w:rsid w:val="0093362E"/>
    <w:rsid w:val="00944563"/>
    <w:rsid w:val="00953160"/>
    <w:rsid w:val="009625D8"/>
    <w:rsid w:val="0098459B"/>
    <w:rsid w:val="00993EA6"/>
    <w:rsid w:val="00997185"/>
    <w:rsid w:val="0099780F"/>
    <w:rsid w:val="009C2458"/>
    <w:rsid w:val="009C4A7B"/>
    <w:rsid w:val="009C6123"/>
    <w:rsid w:val="009F1E3E"/>
    <w:rsid w:val="00A0685A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1AB"/>
    <w:rsid w:val="00BD1A5A"/>
    <w:rsid w:val="00BD7A9B"/>
    <w:rsid w:val="00BD7BE1"/>
    <w:rsid w:val="00BF416B"/>
    <w:rsid w:val="00C06DEB"/>
    <w:rsid w:val="00C14D95"/>
    <w:rsid w:val="00C27820"/>
    <w:rsid w:val="00C64E4E"/>
    <w:rsid w:val="00C66E64"/>
    <w:rsid w:val="00C761A0"/>
    <w:rsid w:val="00C85F7E"/>
    <w:rsid w:val="00CA29F7"/>
    <w:rsid w:val="00CD47F0"/>
    <w:rsid w:val="00CD5566"/>
    <w:rsid w:val="00CD64D7"/>
    <w:rsid w:val="00CE6F22"/>
    <w:rsid w:val="00CF41F6"/>
    <w:rsid w:val="00CF7D3E"/>
    <w:rsid w:val="00D02B4E"/>
    <w:rsid w:val="00D22513"/>
    <w:rsid w:val="00D36817"/>
    <w:rsid w:val="00D5666C"/>
    <w:rsid w:val="00D666BC"/>
    <w:rsid w:val="00D81264"/>
    <w:rsid w:val="00D83542"/>
    <w:rsid w:val="00D87099"/>
    <w:rsid w:val="00D92F45"/>
    <w:rsid w:val="00D94637"/>
    <w:rsid w:val="00D96EFC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3EB"/>
    <w:rsid w:val="00E43A12"/>
    <w:rsid w:val="00E63D70"/>
    <w:rsid w:val="00E67C67"/>
    <w:rsid w:val="00E77476"/>
    <w:rsid w:val="00E8228B"/>
    <w:rsid w:val="00EB2337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54EB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E35574"/>
  <w15:docId w15:val="{A8B74384-1961-4DB8-9BB9-2883AFC2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F050-BE28-4E38-BA7F-E52F73DC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2</TotalTime>
  <Pages>1</Pages>
  <Words>740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AT&amp;T, Bell Mobility Canada, KDDI, NTT DOCOMO, Telefonica - Sector Member contribution on overall observations based on the provision-by-provision examination of the 2012 International Telecommunication Regulations</vt:lpstr>
    </vt:vector>
  </TitlesOfParts>
  <Manager>General Secretariat - Pool</Manager>
  <Company>International Telecommunication Union (ITU)</Company>
  <LinksUpToDate>false</LinksUpToDate>
  <CharactersWithSpaces>863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AT&amp;T, Bell Mobility Canada, KDDI, NTT DOCOMO, Telefonica, Verizon - Sector Member contribution on overall observations based on the provision-by-provision examination of the 2012 International Telecommunication Regulations</dc:title>
  <dc:subject>EG-ITRs</dc:subject>
  <dc:creator>LI, Ziqian</dc:creator>
  <cp:keywords>EG-ITRs</cp:keywords>
  <dc:description/>
  <cp:lastModifiedBy>Xue, Kun</cp:lastModifiedBy>
  <cp:revision>3</cp:revision>
  <cp:lastPrinted>2015-02-24T13:23:00Z</cp:lastPrinted>
  <dcterms:created xsi:type="dcterms:W3CDTF">2021-09-28T14:03:00Z</dcterms:created>
  <dcterms:modified xsi:type="dcterms:W3CDTF">2021-09-28T14:04:00Z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