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000" w:firstRow="0" w:lastRow="0" w:firstColumn="0" w:lastColumn="0" w:noHBand="0" w:noVBand="0"/>
      </w:tblPr>
      <w:tblGrid>
        <w:gridCol w:w="6469"/>
        <w:gridCol w:w="3561"/>
      </w:tblGrid>
      <w:tr w:rsidR="00923A1B" w:rsidRPr="00790F2A" w14:paraId="6E1681AE" w14:textId="77777777" w:rsidTr="00162982">
        <w:trPr>
          <w:cantSplit/>
          <w:trHeight w:val="851"/>
        </w:trPr>
        <w:tc>
          <w:tcPr>
            <w:tcW w:w="6469" w:type="dxa"/>
            <w:vAlign w:val="center"/>
          </w:tcPr>
          <w:p w14:paraId="29D32417" w14:textId="6B731704" w:rsidR="00923A1B" w:rsidRPr="00790F2A" w:rsidRDefault="000854C6" w:rsidP="00A244B9">
            <w:pPr>
              <w:shd w:val="solid" w:color="FFFFFF" w:fill="FFFFFF"/>
              <w:spacing w:before="40" w:after="120" w:line="240" w:lineRule="auto"/>
              <w:rPr>
                <w:rFonts w:cs="Times"/>
                <w:b/>
              </w:rPr>
            </w:pPr>
            <w:r w:rsidRPr="00790F2A">
              <w:rPr>
                <w:rFonts w:cs="Times"/>
                <w:b/>
                <w:sz w:val="30"/>
                <w:szCs w:val="30"/>
              </w:rPr>
              <w:t>Expert Group on the International</w:t>
            </w:r>
            <w:r w:rsidRPr="00790F2A">
              <w:rPr>
                <w:rFonts w:cs="Times"/>
                <w:b/>
                <w:sz w:val="30"/>
                <w:szCs w:val="30"/>
              </w:rPr>
              <w:br/>
              <w:t>Telecommunication Regulations (EG-ITRs)</w:t>
            </w:r>
            <w:r w:rsidR="00162982" w:rsidRPr="00790F2A">
              <w:rPr>
                <w:rFonts w:cs="Times"/>
                <w:b/>
                <w:sz w:val="32"/>
                <w:szCs w:val="32"/>
              </w:rPr>
              <w:br/>
            </w:r>
            <w:r w:rsidR="000349C4">
              <w:rPr>
                <w:b/>
                <w:bCs/>
                <w:sz w:val="24"/>
                <w:szCs w:val="24"/>
              </w:rPr>
              <w:t>Fifth</w:t>
            </w:r>
            <w:r w:rsidR="002C2D6C" w:rsidRPr="00790F2A">
              <w:rPr>
                <w:b/>
                <w:bCs/>
                <w:sz w:val="24"/>
                <w:szCs w:val="24"/>
              </w:rPr>
              <w:t xml:space="preserve"> </w:t>
            </w:r>
            <w:r w:rsidR="00162982" w:rsidRPr="00790F2A">
              <w:rPr>
                <w:b/>
                <w:bCs/>
                <w:sz w:val="24"/>
                <w:szCs w:val="24"/>
              </w:rPr>
              <w:t xml:space="preserve">meeting </w:t>
            </w:r>
            <w:r w:rsidR="002C2D6C" w:rsidRPr="00790F2A">
              <w:rPr>
                <w:b/>
                <w:bCs/>
                <w:sz w:val="24"/>
                <w:szCs w:val="24"/>
              </w:rPr>
              <w:t>–</w:t>
            </w:r>
            <w:r w:rsidR="00162982" w:rsidRPr="00790F2A">
              <w:rPr>
                <w:b/>
                <w:bCs/>
                <w:sz w:val="24"/>
                <w:szCs w:val="24"/>
              </w:rPr>
              <w:t xml:space="preserve"> </w:t>
            </w:r>
            <w:r w:rsidR="002C2D6C" w:rsidRPr="00790F2A">
              <w:rPr>
                <w:b/>
                <w:bCs/>
                <w:sz w:val="24"/>
                <w:szCs w:val="24"/>
              </w:rPr>
              <w:t>Virtual meeting</w:t>
            </w:r>
            <w:r w:rsidR="00162982" w:rsidRPr="00790F2A">
              <w:rPr>
                <w:b/>
                <w:bCs/>
                <w:sz w:val="24"/>
                <w:szCs w:val="24"/>
              </w:rPr>
              <w:t xml:space="preserve">, </w:t>
            </w:r>
            <w:r w:rsidR="00BD434A">
              <w:rPr>
                <w:b/>
                <w:bCs/>
                <w:sz w:val="24"/>
                <w:szCs w:val="24"/>
              </w:rPr>
              <w:t>3</w:t>
            </w:r>
            <w:r w:rsidR="000349C4">
              <w:rPr>
                <w:b/>
                <w:bCs/>
                <w:sz w:val="24"/>
                <w:szCs w:val="24"/>
              </w:rPr>
              <w:t>0 September</w:t>
            </w:r>
            <w:r w:rsidR="00BD434A">
              <w:rPr>
                <w:b/>
                <w:bCs/>
                <w:sz w:val="24"/>
                <w:szCs w:val="24"/>
              </w:rPr>
              <w:t>-</w:t>
            </w:r>
            <w:r w:rsidR="000349C4">
              <w:rPr>
                <w:b/>
                <w:bCs/>
                <w:sz w:val="24"/>
                <w:szCs w:val="24"/>
              </w:rPr>
              <w:t>1 October</w:t>
            </w:r>
            <w:r w:rsidR="002C2D6C" w:rsidRPr="00790F2A">
              <w:rPr>
                <w:b/>
                <w:bCs/>
                <w:sz w:val="24"/>
                <w:szCs w:val="24"/>
              </w:rPr>
              <w:t xml:space="preserve"> 202</w:t>
            </w:r>
            <w:r w:rsidR="00BD434A">
              <w:rPr>
                <w:b/>
                <w:bCs/>
                <w:sz w:val="24"/>
                <w:szCs w:val="24"/>
              </w:rPr>
              <w:t>1</w:t>
            </w:r>
          </w:p>
        </w:tc>
        <w:tc>
          <w:tcPr>
            <w:tcW w:w="3561" w:type="dxa"/>
            <w:vAlign w:val="center"/>
          </w:tcPr>
          <w:p w14:paraId="241C55DB" w14:textId="785EB79F" w:rsidR="00923A1B" w:rsidRPr="00790F2A" w:rsidRDefault="00B36E39" w:rsidP="00A244B9">
            <w:pPr>
              <w:pStyle w:val="dnum"/>
              <w:framePr w:hSpace="0" w:wrap="auto" w:vAnchor="margin" w:hAnchor="text" w:yAlign="inline"/>
              <w:spacing w:after="0" w:line="240" w:lineRule="auto"/>
            </w:pPr>
            <w:r w:rsidRPr="00790F2A">
              <w:rPr>
                <w:noProof/>
              </w:rPr>
              <w:drawing>
                <wp:inline distT="0" distB="0" distL="0" distR="0" wp14:anchorId="64B7344A" wp14:editId="74C16E67">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923A1B" w:rsidRPr="00790F2A" w14:paraId="406D6FB1" w14:textId="77777777" w:rsidTr="00162982">
        <w:trPr>
          <w:cantSplit/>
          <w:trHeight w:val="138"/>
        </w:trPr>
        <w:tc>
          <w:tcPr>
            <w:tcW w:w="6469" w:type="dxa"/>
            <w:tcBorders>
              <w:top w:val="single" w:sz="12" w:space="0" w:color="auto"/>
            </w:tcBorders>
          </w:tcPr>
          <w:p w14:paraId="1D6AF3F8" w14:textId="77777777" w:rsidR="00923A1B" w:rsidRPr="00790F2A" w:rsidRDefault="00923A1B" w:rsidP="00A244B9">
            <w:pPr>
              <w:shd w:val="solid" w:color="FFFFFF" w:fill="FFFFFF"/>
              <w:spacing w:after="0" w:line="240" w:lineRule="auto"/>
              <w:ind w:right="284"/>
            </w:pPr>
          </w:p>
        </w:tc>
        <w:tc>
          <w:tcPr>
            <w:tcW w:w="3561" w:type="dxa"/>
            <w:tcBorders>
              <w:top w:val="single" w:sz="12" w:space="0" w:color="auto"/>
            </w:tcBorders>
          </w:tcPr>
          <w:p w14:paraId="2B1E31E9" w14:textId="77777777" w:rsidR="00923A1B" w:rsidRPr="00790F2A" w:rsidRDefault="00923A1B" w:rsidP="00A244B9">
            <w:pPr>
              <w:tabs>
                <w:tab w:val="left" w:pos="851"/>
              </w:tabs>
              <w:spacing w:after="0" w:line="240" w:lineRule="auto"/>
              <w:ind w:right="284"/>
              <w:rPr>
                <w:rFonts w:ascii="Times New Roman Bold" w:hAnsi="Times New Roman Bold" w:cs="Times New Roman Bold"/>
                <w:b/>
              </w:rPr>
            </w:pPr>
          </w:p>
        </w:tc>
      </w:tr>
      <w:tr w:rsidR="00923A1B" w:rsidRPr="00267B6A" w14:paraId="1BBCA794" w14:textId="77777777" w:rsidTr="00162982">
        <w:trPr>
          <w:cantSplit/>
          <w:trHeight w:val="138"/>
        </w:trPr>
        <w:tc>
          <w:tcPr>
            <w:tcW w:w="6469" w:type="dxa"/>
          </w:tcPr>
          <w:p w14:paraId="4162AE0B" w14:textId="31302F2B" w:rsidR="00923A1B" w:rsidRPr="00EE28ED" w:rsidRDefault="00923A1B" w:rsidP="00A244B9">
            <w:pPr>
              <w:spacing w:after="0" w:line="240" w:lineRule="auto"/>
              <w:rPr>
                <w:b/>
                <w:bCs/>
                <w:sz w:val="24"/>
                <w:szCs w:val="24"/>
              </w:rPr>
            </w:pPr>
          </w:p>
        </w:tc>
        <w:tc>
          <w:tcPr>
            <w:tcW w:w="3561" w:type="dxa"/>
          </w:tcPr>
          <w:p w14:paraId="01BBC68C" w14:textId="252D52BB" w:rsidR="00923A1B" w:rsidRPr="009340E2" w:rsidRDefault="00923A1B" w:rsidP="00A244B9">
            <w:pPr>
              <w:spacing w:after="0" w:line="240" w:lineRule="auto"/>
              <w:rPr>
                <w:b/>
                <w:bCs/>
                <w:sz w:val="24"/>
                <w:szCs w:val="24"/>
                <w:lang w:val="fr-CH"/>
              </w:rPr>
            </w:pPr>
            <w:r w:rsidRPr="009340E2">
              <w:rPr>
                <w:b/>
                <w:bCs/>
                <w:sz w:val="24"/>
                <w:szCs w:val="24"/>
                <w:lang w:val="fr-CH"/>
              </w:rPr>
              <w:t xml:space="preserve">Document </w:t>
            </w:r>
            <w:r w:rsidR="000854C6" w:rsidRPr="009340E2">
              <w:rPr>
                <w:b/>
                <w:bCs/>
                <w:sz w:val="24"/>
                <w:szCs w:val="24"/>
                <w:lang w:val="fr-CH"/>
              </w:rPr>
              <w:t>EG-ITRs</w:t>
            </w:r>
            <w:r w:rsidR="00A7440D" w:rsidRPr="009340E2">
              <w:rPr>
                <w:b/>
                <w:bCs/>
                <w:sz w:val="24"/>
                <w:szCs w:val="24"/>
                <w:lang w:val="fr-CH"/>
              </w:rPr>
              <w:t>-</w:t>
            </w:r>
            <w:r w:rsidR="000349C4" w:rsidRPr="009340E2">
              <w:rPr>
                <w:b/>
                <w:bCs/>
                <w:sz w:val="24"/>
                <w:szCs w:val="24"/>
                <w:lang w:val="fr-CH"/>
              </w:rPr>
              <w:t>5</w:t>
            </w:r>
            <w:r w:rsidR="00236464" w:rsidRPr="009340E2">
              <w:rPr>
                <w:b/>
                <w:bCs/>
                <w:sz w:val="24"/>
                <w:szCs w:val="24"/>
                <w:lang w:val="fr-CH"/>
              </w:rPr>
              <w:t>/</w:t>
            </w:r>
            <w:r w:rsidR="00A244B9">
              <w:rPr>
                <w:b/>
                <w:bCs/>
                <w:sz w:val="24"/>
                <w:szCs w:val="24"/>
                <w:lang w:val="fr-CH"/>
              </w:rPr>
              <w:t>8</w:t>
            </w:r>
            <w:r w:rsidR="00267B6A">
              <w:rPr>
                <w:b/>
                <w:bCs/>
                <w:sz w:val="24"/>
                <w:szCs w:val="24"/>
                <w:lang w:val="fr-CH"/>
              </w:rPr>
              <w:t>-E</w:t>
            </w:r>
          </w:p>
        </w:tc>
      </w:tr>
      <w:tr w:rsidR="00923A1B" w:rsidRPr="00EE28ED" w14:paraId="100AEFFF" w14:textId="77777777" w:rsidTr="00162982">
        <w:trPr>
          <w:cantSplit/>
          <w:trHeight w:val="138"/>
        </w:trPr>
        <w:tc>
          <w:tcPr>
            <w:tcW w:w="6469" w:type="dxa"/>
          </w:tcPr>
          <w:p w14:paraId="2F758D85" w14:textId="77777777" w:rsidR="00923A1B" w:rsidRPr="009340E2" w:rsidRDefault="00923A1B" w:rsidP="00A244B9">
            <w:pPr>
              <w:shd w:val="solid" w:color="FFFFFF" w:fill="FFFFFF"/>
              <w:spacing w:after="0" w:line="240" w:lineRule="auto"/>
              <w:ind w:right="284"/>
              <w:rPr>
                <w:sz w:val="24"/>
                <w:szCs w:val="24"/>
                <w:highlight w:val="yellow"/>
                <w:lang w:val="fr-CH"/>
              </w:rPr>
            </w:pPr>
          </w:p>
        </w:tc>
        <w:tc>
          <w:tcPr>
            <w:tcW w:w="3561" w:type="dxa"/>
          </w:tcPr>
          <w:p w14:paraId="4BC2ED00" w14:textId="7720D7E4" w:rsidR="00923A1B" w:rsidRPr="000349C4" w:rsidRDefault="00267B6A" w:rsidP="00A244B9">
            <w:pPr>
              <w:tabs>
                <w:tab w:val="left" w:pos="851"/>
              </w:tabs>
              <w:spacing w:after="0" w:line="240" w:lineRule="auto"/>
              <w:ind w:right="284"/>
              <w:rPr>
                <w:b/>
                <w:sz w:val="24"/>
                <w:szCs w:val="24"/>
                <w:highlight w:val="yellow"/>
              </w:rPr>
            </w:pPr>
            <w:r>
              <w:rPr>
                <w:b/>
                <w:sz w:val="24"/>
                <w:szCs w:val="24"/>
              </w:rPr>
              <w:t>1</w:t>
            </w:r>
            <w:r w:rsidR="00A244B9">
              <w:rPr>
                <w:b/>
                <w:sz w:val="24"/>
                <w:szCs w:val="24"/>
              </w:rPr>
              <w:t>6</w:t>
            </w:r>
            <w:r w:rsidR="00933C23" w:rsidRPr="00933C23">
              <w:rPr>
                <w:b/>
                <w:sz w:val="24"/>
                <w:szCs w:val="24"/>
              </w:rPr>
              <w:t xml:space="preserve"> </w:t>
            </w:r>
            <w:r w:rsidR="00AE73AD">
              <w:rPr>
                <w:b/>
                <w:sz w:val="24"/>
                <w:szCs w:val="24"/>
              </w:rPr>
              <w:t>September</w:t>
            </w:r>
            <w:r w:rsidR="000C5350" w:rsidRPr="00933C23">
              <w:rPr>
                <w:b/>
                <w:sz w:val="24"/>
                <w:szCs w:val="24"/>
              </w:rPr>
              <w:t xml:space="preserve"> 202</w:t>
            </w:r>
            <w:r w:rsidR="00933C23" w:rsidRPr="00933C23">
              <w:rPr>
                <w:b/>
                <w:sz w:val="24"/>
                <w:szCs w:val="24"/>
              </w:rPr>
              <w:t>1</w:t>
            </w:r>
          </w:p>
        </w:tc>
      </w:tr>
      <w:tr w:rsidR="00923A1B" w:rsidRPr="00790F2A" w14:paraId="71FD0A17" w14:textId="77777777" w:rsidTr="00162982">
        <w:trPr>
          <w:cantSplit/>
          <w:trHeight w:val="138"/>
        </w:trPr>
        <w:tc>
          <w:tcPr>
            <w:tcW w:w="6469" w:type="dxa"/>
          </w:tcPr>
          <w:p w14:paraId="0EA5B8B2" w14:textId="77777777" w:rsidR="00923A1B" w:rsidRPr="00790F2A" w:rsidRDefault="00923A1B" w:rsidP="00A244B9">
            <w:pPr>
              <w:shd w:val="solid" w:color="FFFFFF" w:fill="FFFFFF"/>
              <w:spacing w:after="0" w:line="240" w:lineRule="auto"/>
              <w:ind w:right="284"/>
              <w:rPr>
                <w:sz w:val="24"/>
                <w:szCs w:val="24"/>
              </w:rPr>
            </w:pPr>
          </w:p>
        </w:tc>
        <w:tc>
          <w:tcPr>
            <w:tcW w:w="3561" w:type="dxa"/>
          </w:tcPr>
          <w:p w14:paraId="06AB3AD7" w14:textId="07B5AE29" w:rsidR="00923A1B" w:rsidRPr="00790F2A" w:rsidRDefault="00AB5B56" w:rsidP="00A244B9">
            <w:pPr>
              <w:tabs>
                <w:tab w:val="left" w:pos="851"/>
              </w:tabs>
              <w:spacing w:after="0" w:line="240" w:lineRule="auto"/>
              <w:ind w:right="284"/>
              <w:rPr>
                <w:b/>
                <w:sz w:val="24"/>
                <w:szCs w:val="24"/>
              </w:rPr>
            </w:pPr>
            <w:r>
              <w:rPr>
                <w:b/>
                <w:sz w:val="24"/>
                <w:szCs w:val="24"/>
              </w:rPr>
              <w:t>Original: English</w:t>
            </w:r>
          </w:p>
        </w:tc>
      </w:tr>
      <w:tr w:rsidR="000854C6" w:rsidRPr="00790F2A" w14:paraId="27824CBA" w14:textId="77777777" w:rsidTr="00162982">
        <w:trPr>
          <w:cantSplit/>
          <w:trHeight w:val="138"/>
        </w:trPr>
        <w:tc>
          <w:tcPr>
            <w:tcW w:w="10030" w:type="dxa"/>
            <w:gridSpan w:val="2"/>
          </w:tcPr>
          <w:p w14:paraId="3C367A2B" w14:textId="2B09FFBE" w:rsidR="00AB5B56" w:rsidRPr="00A244B9" w:rsidRDefault="00A244B9" w:rsidP="00A244B9">
            <w:pPr>
              <w:spacing w:before="840" w:after="120" w:line="240" w:lineRule="auto"/>
              <w:jc w:val="center"/>
              <w:rPr>
                <w:b/>
                <w:bCs/>
                <w:sz w:val="28"/>
                <w:szCs w:val="28"/>
              </w:rPr>
            </w:pPr>
            <w:bookmarkStart w:id="0" w:name="_Hlk81929864"/>
            <w:r w:rsidRPr="00A244B9">
              <w:rPr>
                <w:b/>
                <w:bCs/>
                <w:sz w:val="28"/>
                <w:szCs w:val="28"/>
              </w:rPr>
              <w:t>Contribution by Australia, Canada, and the United States of America</w:t>
            </w:r>
          </w:p>
          <w:p w14:paraId="11774442" w14:textId="32D8FB12" w:rsidR="00C80D79" w:rsidRPr="00790F2A" w:rsidRDefault="00A244B9" w:rsidP="00A244B9">
            <w:pPr>
              <w:pStyle w:val="Title2"/>
              <w:spacing w:line="240" w:lineRule="auto"/>
            </w:pPr>
            <w:r w:rsidRPr="00A244B9">
              <w:t>OVERALL OBSERVATIONS BASED ON THE PROVISION-BY-PROVISION EXAMINATION OF THE 2012 INTERNATIONAL TELECOMMUNICATION REGULATIONS</w:t>
            </w:r>
            <w:bookmarkEnd w:id="0"/>
          </w:p>
        </w:tc>
      </w:tr>
    </w:tbl>
    <w:p w14:paraId="6C1F319E" w14:textId="77777777" w:rsidR="00A244B9" w:rsidRPr="00A244B9" w:rsidRDefault="00A244B9" w:rsidP="00A244B9">
      <w:pPr>
        <w:spacing w:before="600" w:after="120" w:line="240" w:lineRule="auto"/>
        <w:rPr>
          <w:b/>
          <w:bCs/>
          <w:sz w:val="24"/>
          <w:szCs w:val="24"/>
        </w:rPr>
      </w:pPr>
      <w:r w:rsidRPr="00A244B9">
        <w:rPr>
          <w:b/>
          <w:bCs/>
          <w:sz w:val="24"/>
          <w:szCs w:val="24"/>
        </w:rPr>
        <w:t>Introduction</w:t>
      </w:r>
    </w:p>
    <w:p w14:paraId="63DD96F8" w14:textId="77777777" w:rsidR="00A244B9" w:rsidRPr="00A244B9" w:rsidRDefault="00A244B9" w:rsidP="00A244B9">
      <w:pPr>
        <w:spacing w:before="120" w:after="120" w:line="240" w:lineRule="auto"/>
        <w:rPr>
          <w:sz w:val="24"/>
          <w:szCs w:val="24"/>
        </w:rPr>
      </w:pPr>
      <w:r w:rsidRPr="00A244B9">
        <w:rPr>
          <w:sz w:val="24"/>
          <w:szCs w:val="24"/>
        </w:rPr>
        <w:t>As active participants in the four previous meetings of the Expert Group on the International Telecommunication Regulations (EG-ITRs), Australia, Canada, and the United States wish to offer their overall observations based on the provision-by-provision examination of the 2012 ITRs. In our view, this provision-by-provision examination has repeatedly demonstrated that the ITRs are neither applicable nor flexible in today’s communications environment. Moreover, this exercise has resulted in a continued lack of consensus.</w:t>
      </w:r>
    </w:p>
    <w:p w14:paraId="561E819F" w14:textId="77777777" w:rsidR="00A244B9" w:rsidRPr="00A244B9" w:rsidRDefault="00A244B9" w:rsidP="00A244B9">
      <w:pPr>
        <w:spacing w:before="360" w:after="120" w:line="240" w:lineRule="auto"/>
        <w:rPr>
          <w:b/>
          <w:bCs/>
          <w:sz w:val="24"/>
          <w:szCs w:val="24"/>
        </w:rPr>
      </w:pPr>
      <w:r w:rsidRPr="00A244B9">
        <w:rPr>
          <w:b/>
          <w:bCs/>
          <w:sz w:val="24"/>
          <w:szCs w:val="24"/>
        </w:rPr>
        <w:t>Discussion</w:t>
      </w:r>
    </w:p>
    <w:p w14:paraId="4C54DC1B" w14:textId="77777777" w:rsidR="00A244B9" w:rsidRPr="00A244B9" w:rsidRDefault="00A244B9" w:rsidP="00A244B9">
      <w:pPr>
        <w:spacing w:before="120" w:after="120" w:line="240" w:lineRule="auto"/>
        <w:rPr>
          <w:sz w:val="24"/>
          <w:szCs w:val="24"/>
        </w:rPr>
      </w:pPr>
      <w:r w:rsidRPr="00A244B9">
        <w:rPr>
          <w:sz w:val="24"/>
          <w:szCs w:val="24"/>
        </w:rPr>
        <w:t>In earlier contributions to the previous EG-ITR meetings, we have provided detailed analyses demonstrating the limited relevance of the ITRs in today’s international telecommunications marketplace. Consistent with these conclusions, we wish to reiterate several overall observations that highlight the inapplicability and inflexibility of the 2012 ITRs:</w:t>
      </w:r>
    </w:p>
    <w:p w14:paraId="2DCC0287" w14:textId="77777777" w:rsidR="00A244B9" w:rsidRPr="00A244B9" w:rsidRDefault="00A244B9" w:rsidP="00A244B9">
      <w:pPr>
        <w:pStyle w:val="ListParagraph"/>
        <w:numPr>
          <w:ilvl w:val="0"/>
          <w:numId w:val="26"/>
        </w:numPr>
        <w:shd w:val="clear" w:color="auto" w:fill="FFFFFF"/>
        <w:spacing w:before="120" w:after="120" w:line="240" w:lineRule="auto"/>
        <w:ind w:left="360"/>
        <w:contextualSpacing w:val="0"/>
        <w:textAlignment w:val="baseline"/>
        <w:rPr>
          <w:rFonts w:eastAsia="Times New Roman" w:cstheme="minorHAnsi"/>
          <w:sz w:val="24"/>
          <w:szCs w:val="24"/>
        </w:rPr>
      </w:pPr>
      <w:r w:rsidRPr="00A244B9">
        <w:rPr>
          <w:b/>
          <w:bCs/>
          <w:i/>
          <w:iCs/>
          <w:sz w:val="24"/>
          <w:szCs w:val="24"/>
        </w:rPr>
        <w:t xml:space="preserve">Many provisions have limited value-add. </w:t>
      </w:r>
      <w:r w:rsidRPr="00A244B9">
        <w:rPr>
          <w:sz w:val="24"/>
          <w:szCs w:val="24"/>
        </w:rPr>
        <w:t xml:space="preserve">For example, Article 6 (security and robustness of network) and Article 7 (unsolicited bulk electronic communications, e.g., SPAM), have little practical application. Technical solutions can continue to address such issues far more flexibly than any regulatory provisions in the ITRs, and any attempts to revise these provisions would be outdated immediately, given the rapid evolution of technological advancement in these areas. </w:t>
      </w:r>
    </w:p>
    <w:p w14:paraId="6C23B031" w14:textId="77777777" w:rsidR="00A244B9" w:rsidRPr="00A244B9" w:rsidRDefault="00A244B9" w:rsidP="00A244B9">
      <w:pPr>
        <w:pStyle w:val="ListParagraph"/>
        <w:numPr>
          <w:ilvl w:val="0"/>
          <w:numId w:val="26"/>
        </w:numPr>
        <w:spacing w:before="120" w:after="120" w:line="240" w:lineRule="auto"/>
        <w:ind w:left="360"/>
        <w:contextualSpacing w:val="0"/>
        <w:rPr>
          <w:sz w:val="24"/>
          <w:szCs w:val="24"/>
        </w:rPr>
      </w:pPr>
      <w:r w:rsidRPr="00A244B9">
        <w:rPr>
          <w:b/>
          <w:bCs/>
          <w:i/>
          <w:iCs/>
          <w:sz w:val="24"/>
          <w:szCs w:val="24"/>
        </w:rPr>
        <w:t>Many provisions are redundant.</w:t>
      </w:r>
      <w:r w:rsidRPr="00A244B9">
        <w:rPr>
          <w:sz w:val="24"/>
          <w:szCs w:val="24"/>
        </w:rPr>
        <w:t xml:space="preserve"> For example, Article 11 (energy efficiency/e-waste) and Article 12 (accessibility) repeat points already elaborated in </w:t>
      </w:r>
      <w:r w:rsidRPr="00A244B9">
        <w:rPr>
          <w:rFonts w:cstheme="minorHAnsi"/>
          <w:sz w:val="24"/>
          <w:szCs w:val="24"/>
        </w:rPr>
        <w:t>Plenipotentiary Resolutions, making them unnecessary to duplicate in a sector-specific instrument like the ITRs.</w:t>
      </w:r>
      <w:r w:rsidRPr="00A244B9">
        <w:rPr>
          <w:rStyle w:val="FootnoteReference"/>
          <w:rFonts w:cstheme="minorHAnsi"/>
          <w:sz w:val="18"/>
          <w:szCs w:val="18"/>
        </w:rPr>
        <w:footnoteReference w:id="1"/>
      </w:r>
      <w:r w:rsidRPr="00A244B9">
        <w:rPr>
          <w:rFonts w:cstheme="minorHAnsi"/>
          <w:sz w:val="24"/>
          <w:szCs w:val="24"/>
        </w:rPr>
        <w:t xml:space="preserve"> Similarly, </w:t>
      </w:r>
      <w:r w:rsidRPr="00A244B9">
        <w:rPr>
          <w:sz w:val="24"/>
          <w:szCs w:val="24"/>
        </w:rPr>
        <w:lastRenderedPageBreak/>
        <w:t>many articles are essentially duplicative of corresponding provisions of the ITU Constitution &amp; Convention (CS/CV).</w:t>
      </w:r>
      <w:r w:rsidRPr="00A244B9">
        <w:rPr>
          <w:rStyle w:val="FootnoteReference"/>
          <w:sz w:val="18"/>
          <w:szCs w:val="18"/>
        </w:rPr>
        <w:footnoteReference w:id="2"/>
      </w:r>
      <w:r w:rsidRPr="00A244B9">
        <w:rPr>
          <w:sz w:val="24"/>
          <w:szCs w:val="24"/>
        </w:rPr>
        <w:t xml:space="preserve"> We believe the general provisions already included in the CS/CV are sufficiently resilient to withstand dynamic, competitive market conditions, such that the repeat provisions in the ITRs do not offer any additional relevance or flexibility to ITU Members.</w:t>
      </w:r>
    </w:p>
    <w:p w14:paraId="02FE1396" w14:textId="77777777" w:rsidR="00A244B9" w:rsidRPr="00A244B9" w:rsidRDefault="00A244B9" w:rsidP="00A244B9">
      <w:pPr>
        <w:pStyle w:val="ListParagraph"/>
        <w:numPr>
          <w:ilvl w:val="0"/>
          <w:numId w:val="26"/>
        </w:numPr>
        <w:spacing w:before="120" w:after="120" w:line="240" w:lineRule="auto"/>
        <w:ind w:left="360"/>
        <w:contextualSpacing w:val="0"/>
        <w:rPr>
          <w:sz w:val="24"/>
          <w:szCs w:val="24"/>
        </w:rPr>
      </w:pPr>
      <w:r w:rsidRPr="00A244B9">
        <w:rPr>
          <w:b/>
          <w:bCs/>
          <w:i/>
          <w:iCs/>
          <w:sz w:val="24"/>
          <w:szCs w:val="24"/>
        </w:rPr>
        <w:t>Many provisions have become (and will perpetually remain) obsolete.</w:t>
      </w:r>
      <w:r w:rsidRPr="00A244B9">
        <w:rPr>
          <w:sz w:val="24"/>
          <w:szCs w:val="24"/>
        </w:rPr>
        <w:t xml:space="preserve"> For example, </w:t>
      </w:r>
      <w:proofErr w:type="gramStart"/>
      <w:r w:rsidRPr="00A244B9">
        <w:rPr>
          <w:sz w:val="24"/>
          <w:szCs w:val="24"/>
        </w:rPr>
        <w:t>the vast majority of</w:t>
      </w:r>
      <w:proofErr w:type="gramEnd"/>
      <w:r w:rsidRPr="00A244B9">
        <w:rPr>
          <w:sz w:val="24"/>
          <w:szCs w:val="24"/>
        </w:rPr>
        <w:t xml:space="preserve"> traffic is no longer exchanged under the accounting rate regime presumed by Article 8 and Appendices 1 and 2. As new business models and new technologies have reduced the need for government-run accounting authorities, these provisions are no longer applicable to the current international telecommunications environment. Trying to apply the accounting rate provisions or even revise them in line with current market-based arrangements would impede the flow of international traffic and deter the innovation that improves services and lowers prices for consumers. As we have consistently maintained, treaty provisions relating to telecommunications must be flexible enough to endure constant changes in the market. Any attempt to revise the 2012 ITRs would meet the same fate as the current provisions – because of the ever-evolving market and regulatory environment, detailed treaty provisions will constantly become outdated.</w:t>
      </w:r>
    </w:p>
    <w:p w14:paraId="49BB24D0" w14:textId="77777777" w:rsidR="00A244B9" w:rsidRPr="00A244B9" w:rsidRDefault="00A244B9" w:rsidP="00A244B9">
      <w:pPr>
        <w:spacing w:before="120" w:after="120" w:line="240" w:lineRule="auto"/>
        <w:rPr>
          <w:sz w:val="24"/>
          <w:szCs w:val="24"/>
        </w:rPr>
      </w:pPr>
      <w:r w:rsidRPr="00A244B9">
        <w:rPr>
          <w:sz w:val="24"/>
          <w:szCs w:val="24"/>
        </w:rPr>
        <w:t>We recognize that ITU Members hold differing opinions on this topic, as reflected in the Examination Table. Accordingly, we observe that the only overarching conclusion that can be drawn from the provision-by-provision examination of the 2012 ITRs is a lack of consensus, both as to the applicability and flexibility of the ITRs in today’s telecommunications landscape, and as to the need to revise the treaty. We find it unlikely that any further discussions on the subject would result in a different outcome.</w:t>
      </w:r>
    </w:p>
    <w:p w14:paraId="6B13A4D5" w14:textId="77777777" w:rsidR="00A244B9" w:rsidRPr="00A244B9" w:rsidRDefault="00A244B9" w:rsidP="00A244B9">
      <w:pPr>
        <w:spacing w:before="360" w:after="120" w:line="240" w:lineRule="auto"/>
        <w:rPr>
          <w:b/>
          <w:bCs/>
          <w:sz w:val="24"/>
          <w:szCs w:val="24"/>
        </w:rPr>
      </w:pPr>
      <w:r w:rsidRPr="00A244B9">
        <w:rPr>
          <w:b/>
          <w:bCs/>
          <w:sz w:val="24"/>
          <w:szCs w:val="24"/>
        </w:rPr>
        <w:t>Conclusion</w:t>
      </w:r>
    </w:p>
    <w:p w14:paraId="0F6F7B93" w14:textId="77777777" w:rsidR="00A244B9" w:rsidRPr="00A244B9" w:rsidRDefault="00A244B9" w:rsidP="00A244B9">
      <w:pPr>
        <w:spacing w:before="120" w:after="120" w:line="240" w:lineRule="auto"/>
        <w:rPr>
          <w:sz w:val="24"/>
          <w:szCs w:val="24"/>
        </w:rPr>
      </w:pPr>
      <w:r w:rsidRPr="00A244B9">
        <w:rPr>
          <w:sz w:val="24"/>
          <w:szCs w:val="24"/>
        </w:rPr>
        <w:t xml:space="preserve">We commend the EG-ITRs on successfully completing the provision-by-provision examination of the 2012 ITRs, and we thank the EG-ITRs Chairman, Mr. </w:t>
      </w:r>
      <w:proofErr w:type="spellStart"/>
      <w:r w:rsidRPr="00A244B9">
        <w:rPr>
          <w:sz w:val="24"/>
          <w:szCs w:val="24"/>
        </w:rPr>
        <w:t>Lwando</w:t>
      </w:r>
      <w:proofErr w:type="spellEnd"/>
      <w:r w:rsidRPr="00A244B9">
        <w:rPr>
          <w:sz w:val="24"/>
          <w:szCs w:val="24"/>
        </w:rPr>
        <w:t xml:space="preserve"> </w:t>
      </w:r>
      <w:proofErr w:type="spellStart"/>
      <w:r w:rsidRPr="00A244B9">
        <w:rPr>
          <w:sz w:val="24"/>
          <w:szCs w:val="24"/>
        </w:rPr>
        <w:t>Bbuku</w:t>
      </w:r>
      <w:proofErr w:type="spellEnd"/>
      <w:r w:rsidRPr="00A244B9">
        <w:rPr>
          <w:sz w:val="24"/>
          <w:szCs w:val="24"/>
        </w:rPr>
        <w:t xml:space="preserve"> (Zambia), for his able leadership. </w:t>
      </w:r>
    </w:p>
    <w:p w14:paraId="515C9BC9" w14:textId="77777777" w:rsidR="00A244B9" w:rsidRPr="00A244B9" w:rsidRDefault="00A244B9" w:rsidP="00A244B9">
      <w:pPr>
        <w:spacing w:before="120" w:after="120" w:line="240" w:lineRule="auto"/>
        <w:rPr>
          <w:sz w:val="24"/>
          <w:szCs w:val="24"/>
        </w:rPr>
      </w:pPr>
      <w:r w:rsidRPr="00A244B9">
        <w:rPr>
          <w:sz w:val="24"/>
          <w:szCs w:val="24"/>
        </w:rPr>
        <w:t xml:space="preserve">In our view, however, it remains unclear </w:t>
      </w:r>
      <w:r w:rsidRPr="00A244B9">
        <w:rPr>
          <w:rFonts w:cstheme="minorHAnsi"/>
          <w:sz w:val="24"/>
          <w:szCs w:val="24"/>
        </w:rPr>
        <w:t xml:space="preserve">how a static, sector-specific treaty with limited real-world applicability could help </w:t>
      </w:r>
      <w:r w:rsidRPr="00A244B9">
        <w:rPr>
          <w:rFonts w:eastAsia="Times New Roman" w:cstheme="minorHAnsi"/>
          <w:sz w:val="24"/>
          <w:szCs w:val="24"/>
        </w:rPr>
        <w:t xml:space="preserve">foster the development of international telecommunication/ICT services and </w:t>
      </w:r>
      <w:proofErr w:type="gramStart"/>
      <w:r w:rsidRPr="00A244B9">
        <w:rPr>
          <w:rFonts w:eastAsia="Times New Roman" w:cstheme="minorHAnsi"/>
          <w:sz w:val="24"/>
          <w:szCs w:val="24"/>
        </w:rPr>
        <w:t>networks, or</w:t>
      </w:r>
      <w:proofErr w:type="gramEnd"/>
      <w:r w:rsidRPr="00A244B9">
        <w:rPr>
          <w:rFonts w:eastAsia="Times New Roman" w:cstheme="minorHAnsi"/>
          <w:sz w:val="24"/>
          <w:szCs w:val="24"/>
        </w:rPr>
        <w:t xml:space="preserve"> prove flexible enough to accommodate new trends and emerging issues in the international telecommunications/ICT environment.</w:t>
      </w:r>
      <w:r w:rsidRPr="00A244B9">
        <w:rPr>
          <w:sz w:val="24"/>
          <w:szCs w:val="24"/>
        </w:rPr>
        <w:t xml:space="preserve"> </w:t>
      </w:r>
      <w:r w:rsidRPr="00A244B9">
        <w:rPr>
          <w:rFonts w:eastAsia="Times New Roman" w:cstheme="minorHAnsi"/>
          <w:sz w:val="24"/>
          <w:szCs w:val="24"/>
        </w:rPr>
        <w:t>As the EG-ITRs prepares its final report to Council 2022, we note the continued lack of consensus to this end.</w:t>
      </w:r>
    </w:p>
    <w:p w14:paraId="122F36ED" w14:textId="11F95EDE" w:rsidR="009340E2" w:rsidRDefault="009340E2" w:rsidP="00A244B9">
      <w:pPr>
        <w:spacing w:before="840" w:after="0" w:line="240" w:lineRule="auto"/>
        <w:jc w:val="center"/>
        <w:rPr>
          <w:rFonts w:cstheme="majorBidi"/>
          <w:szCs w:val="20"/>
          <w:lang w:eastAsia="ja-JP"/>
        </w:rPr>
      </w:pPr>
      <w:r>
        <w:t>_______________</w:t>
      </w:r>
    </w:p>
    <w:sectPr w:rsidR="009340E2"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CCC8" w14:textId="77777777" w:rsidR="005B3CFD" w:rsidRDefault="005B3CFD">
      <w:r>
        <w:separator/>
      </w:r>
    </w:p>
  </w:endnote>
  <w:endnote w:type="continuationSeparator" w:id="0">
    <w:p w14:paraId="0642223C" w14:textId="77777777" w:rsidR="005B3CFD" w:rsidRDefault="005B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A801" w14:textId="77777777" w:rsidR="005B3CFD" w:rsidRDefault="005B3CFD">
      <w:r>
        <w:t>____________________</w:t>
      </w:r>
    </w:p>
  </w:footnote>
  <w:footnote w:type="continuationSeparator" w:id="0">
    <w:p w14:paraId="071DC0BE" w14:textId="77777777" w:rsidR="005B3CFD" w:rsidRDefault="005B3CFD">
      <w:r>
        <w:continuationSeparator/>
      </w:r>
    </w:p>
  </w:footnote>
  <w:footnote w:id="1">
    <w:p w14:paraId="22816B87" w14:textId="77777777" w:rsidR="00A244B9" w:rsidRPr="000F5970" w:rsidRDefault="00A244B9" w:rsidP="00A244B9">
      <w:pPr>
        <w:pStyle w:val="FootnoteText"/>
        <w:tabs>
          <w:tab w:val="clear" w:pos="256"/>
          <w:tab w:val="left" w:pos="180"/>
        </w:tabs>
        <w:ind w:left="180" w:hanging="180"/>
        <w:contextualSpacing/>
        <w:rPr>
          <w:sz w:val="20"/>
          <w:szCs w:val="20"/>
        </w:rPr>
      </w:pPr>
      <w:r>
        <w:rPr>
          <w:rStyle w:val="FootnoteReference"/>
        </w:rPr>
        <w:footnoteRef/>
      </w:r>
      <w:r>
        <w:t xml:space="preserve"> </w:t>
      </w:r>
      <w:r w:rsidRPr="00DD602D">
        <w:rPr>
          <w:i/>
          <w:iCs/>
          <w:sz w:val="20"/>
        </w:rPr>
        <w:t>See</w:t>
      </w:r>
      <w:r>
        <w:rPr>
          <w:i/>
          <w:iCs/>
          <w:sz w:val="20"/>
        </w:rPr>
        <w:t xml:space="preserve"> </w:t>
      </w:r>
      <w:r w:rsidRPr="00DD602D">
        <w:rPr>
          <w:sz w:val="20"/>
        </w:rPr>
        <w:t xml:space="preserve">Resolution 182 (Rev. </w:t>
      </w:r>
      <w:r>
        <w:rPr>
          <w:sz w:val="20"/>
        </w:rPr>
        <w:t>Busan, 2014</w:t>
      </w:r>
      <w:r w:rsidRPr="00DD602D">
        <w:rPr>
          <w:sz w:val="20"/>
        </w:rPr>
        <w:t xml:space="preserve">) of the Plenipotentiary Conference on </w:t>
      </w:r>
      <w:r>
        <w:rPr>
          <w:sz w:val="20"/>
        </w:rPr>
        <w:t>t</w:t>
      </w:r>
      <w:r w:rsidRPr="00DD602D">
        <w:rPr>
          <w:sz w:val="20"/>
        </w:rPr>
        <w:t>he role of</w:t>
      </w:r>
      <w:r>
        <w:rPr>
          <w:sz w:val="20"/>
        </w:rPr>
        <w:t xml:space="preserve"> </w:t>
      </w:r>
      <w:r w:rsidRPr="00DD602D">
        <w:rPr>
          <w:sz w:val="20"/>
        </w:rPr>
        <w:t>telecommunications/information and communication</w:t>
      </w:r>
      <w:r>
        <w:rPr>
          <w:sz w:val="20"/>
        </w:rPr>
        <w:t xml:space="preserve"> </w:t>
      </w:r>
      <w:r w:rsidRPr="00DD602D">
        <w:rPr>
          <w:sz w:val="20"/>
        </w:rPr>
        <w:t xml:space="preserve">technologies </w:t>
      </w:r>
      <w:proofErr w:type="gramStart"/>
      <w:r w:rsidRPr="00DD602D">
        <w:rPr>
          <w:sz w:val="20"/>
        </w:rPr>
        <w:t>in regard to</w:t>
      </w:r>
      <w:proofErr w:type="gramEnd"/>
      <w:r w:rsidRPr="00DD602D">
        <w:rPr>
          <w:sz w:val="20"/>
        </w:rPr>
        <w:t xml:space="preserve"> climate change and</w:t>
      </w:r>
      <w:r>
        <w:rPr>
          <w:sz w:val="20"/>
        </w:rPr>
        <w:t xml:space="preserve"> </w:t>
      </w:r>
      <w:r w:rsidRPr="00DD602D">
        <w:rPr>
          <w:sz w:val="20"/>
        </w:rPr>
        <w:t>the protection of the environment</w:t>
      </w:r>
      <w:r>
        <w:rPr>
          <w:sz w:val="20"/>
        </w:rPr>
        <w:t xml:space="preserve">; </w:t>
      </w:r>
      <w:r w:rsidRPr="00DD602D">
        <w:rPr>
          <w:sz w:val="20"/>
        </w:rPr>
        <w:t xml:space="preserve">Resolution 175 (Rev. Dubai 2018) of the Plenipotentiary Conference on </w:t>
      </w:r>
      <w:r>
        <w:rPr>
          <w:sz w:val="20"/>
        </w:rPr>
        <w:t>t</w:t>
      </w:r>
      <w:r w:rsidRPr="00DD602D">
        <w:rPr>
          <w:sz w:val="20"/>
        </w:rPr>
        <w:t xml:space="preserve">elecommunication/information and communication technology accessibility for persons with disabilities and </w:t>
      </w:r>
      <w:r w:rsidRPr="000F5970">
        <w:rPr>
          <w:sz w:val="20"/>
          <w:szCs w:val="20"/>
        </w:rPr>
        <w:t>persons with specific needs (respectively).</w:t>
      </w:r>
    </w:p>
  </w:footnote>
  <w:footnote w:id="2">
    <w:p w14:paraId="5A06D8D5" w14:textId="77777777" w:rsidR="00A244B9" w:rsidRDefault="00A244B9" w:rsidP="00A244B9">
      <w:pPr>
        <w:pStyle w:val="FootnoteText"/>
        <w:tabs>
          <w:tab w:val="clear" w:pos="256"/>
          <w:tab w:val="left" w:pos="180"/>
        </w:tabs>
        <w:ind w:left="180" w:hanging="180"/>
        <w:contextualSpacing/>
      </w:pPr>
      <w:r w:rsidRPr="000F5970">
        <w:rPr>
          <w:rStyle w:val="FootnoteReference"/>
          <w:sz w:val="20"/>
          <w:szCs w:val="20"/>
        </w:rPr>
        <w:footnoteRef/>
      </w:r>
      <w:r w:rsidRPr="000F5970">
        <w:rPr>
          <w:sz w:val="20"/>
          <w:szCs w:val="20"/>
        </w:rPr>
        <w:t xml:space="preserve"> </w:t>
      </w:r>
      <w:r w:rsidRPr="000F5970">
        <w:rPr>
          <w:i/>
          <w:iCs/>
          <w:sz w:val="20"/>
          <w:szCs w:val="20"/>
        </w:rPr>
        <w:t>See</w:t>
      </w:r>
      <w:r>
        <w:rPr>
          <w:i/>
          <w:iCs/>
          <w:sz w:val="20"/>
          <w:szCs w:val="20"/>
        </w:rPr>
        <w:t>, e.g.</w:t>
      </w:r>
      <w:r w:rsidRPr="000F5970">
        <w:rPr>
          <w:sz w:val="20"/>
          <w:szCs w:val="20"/>
        </w:rPr>
        <w:t>,</w:t>
      </w:r>
      <w:r w:rsidRPr="000F5970">
        <w:rPr>
          <w:i/>
          <w:iCs/>
          <w:sz w:val="20"/>
          <w:szCs w:val="20"/>
        </w:rPr>
        <w:t xml:space="preserve"> </w:t>
      </w:r>
      <w:r w:rsidRPr="000F5970">
        <w:rPr>
          <w:sz w:val="20"/>
          <w:szCs w:val="20"/>
        </w:rPr>
        <w:t>Article 9 (suspension of services), Article 10 (dissemination of information), Article 13 (special arrangements), and Article 14 (final provisions)</w:t>
      </w:r>
      <w:r>
        <w:rPr>
          <w:sz w:val="20"/>
          <w:szCs w:val="20"/>
        </w:rPr>
        <w:t xml:space="preserve">; </w:t>
      </w:r>
      <w:r w:rsidRPr="000F5970">
        <w:rPr>
          <w:i/>
          <w:iCs/>
          <w:sz w:val="20"/>
          <w:szCs w:val="20"/>
        </w:rPr>
        <w:t>see generally</w:t>
      </w:r>
      <w:r>
        <w:rPr>
          <w:sz w:val="20"/>
        </w:rPr>
        <w:t xml:space="preserve"> </w:t>
      </w:r>
      <w:r w:rsidRPr="00BA5DD5">
        <w:rPr>
          <w:sz w:val="20"/>
        </w:rPr>
        <w:t>Expert Group to Review the ITRs (2007</w:t>
      </w:r>
      <w:r>
        <w:rPr>
          <w:sz w:val="20"/>
        </w:rPr>
        <w:t>-</w:t>
      </w:r>
      <w:r w:rsidRPr="00BA5DD5">
        <w:rPr>
          <w:sz w:val="20"/>
        </w:rPr>
        <w:t>2009), Information Document 5 on Relation between the ITRs and Constitution and Convention</w:t>
      </w:r>
      <w:r>
        <w:rPr>
          <w:sz w:val="20"/>
        </w:rPr>
        <w:t>,</w:t>
      </w:r>
      <w:r w:rsidRPr="00BA5DD5">
        <w:rPr>
          <w:sz w:val="20"/>
        </w:rPr>
        <w:t xml:space="preserve"> available at</w:t>
      </w:r>
      <w:r>
        <w:rPr>
          <w:sz w:val="20"/>
        </w:rPr>
        <w:t>:</w:t>
      </w:r>
      <w:r w:rsidRPr="00BA5DD5">
        <w:rPr>
          <w:sz w:val="20"/>
        </w:rPr>
        <w:t xml:space="preserve"> </w:t>
      </w:r>
      <w:hyperlink r:id="rId1" w:history="1">
        <w:r w:rsidRPr="00BA5DD5">
          <w:rPr>
            <w:rStyle w:val="Hyperlink"/>
            <w:sz w:val="20"/>
          </w:rPr>
          <w:t>https://www.itu.int/md/T05-ITR.EG-INF-0005/en</w:t>
        </w:r>
      </w:hyperlink>
      <w:r w:rsidRPr="00BA5DD5">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970D" w14:textId="35025BDE" w:rsidR="00542BAB" w:rsidRDefault="00542BAB" w:rsidP="000854C6">
    <w:pPr>
      <w:pStyle w:val="Header"/>
      <w:spacing w:after="120"/>
    </w:pPr>
    <w:r>
      <w:fldChar w:fldCharType="begin"/>
    </w:r>
    <w:r>
      <w:instrText xml:space="preserve"> PAGE   \* MERGEFORMAT </w:instrText>
    </w:r>
    <w:r>
      <w:fldChar w:fldCharType="separate"/>
    </w:r>
    <w:r w:rsidR="003657E2">
      <w:rPr>
        <w:noProof/>
      </w:rPr>
      <w:t>2</w:t>
    </w:r>
    <w:r>
      <w:rPr>
        <w:noProof/>
      </w:rPr>
      <w:fldChar w:fldCharType="end"/>
    </w:r>
    <w:r>
      <w:rPr>
        <w:noProof/>
      </w:rPr>
      <w:br/>
    </w:r>
    <w:r w:rsidR="000854C6">
      <w:rPr>
        <w:noProof/>
      </w:rPr>
      <w:t>EG-ITRs</w:t>
    </w:r>
    <w:r w:rsidR="00965A18">
      <w:rPr>
        <w:noProof/>
      </w:rPr>
      <w:t>-</w:t>
    </w:r>
    <w:r w:rsidR="00F01842">
      <w:rPr>
        <w:noProof/>
      </w:rPr>
      <w:t>5</w:t>
    </w:r>
    <w:r w:rsidR="000854C6">
      <w:rPr>
        <w:noProof/>
      </w:rPr>
      <w:t>\</w:t>
    </w:r>
    <w:r w:rsidR="00A244B9">
      <w:rPr>
        <w:noProof/>
      </w:rPr>
      <w:t>8</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F6708"/>
    <w:multiLevelType w:val="hybridMultilevel"/>
    <w:tmpl w:val="C100A8FA"/>
    <w:lvl w:ilvl="0" w:tplc="C1EAA074">
      <w:start w:val="1"/>
      <w:numFmt w:val="bullet"/>
      <w:lvlText w:val=""/>
      <w:lvlJc w:val="left"/>
      <w:pPr>
        <w:ind w:left="1491" w:hanging="360"/>
      </w:pPr>
      <w:rPr>
        <w:rFonts w:ascii="Symbol" w:hAnsi="Symbol" w:hint="default"/>
      </w:rPr>
    </w:lvl>
    <w:lvl w:ilvl="1" w:tplc="04090003">
      <w:start w:val="1"/>
      <w:numFmt w:val="bullet"/>
      <w:lvlText w:val="o"/>
      <w:lvlJc w:val="left"/>
      <w:pPr>
        <w:ind w:left="2211" w:hanging="360"/>
      </w:pPr>
      <w:rPr>
        <w:rFonts w:ascii="Courier New" w:hAnsi="Courier New" w:cs="Courier New" w:hint="default"/>
      </w:rPr>
    </w:lvl>
    <w:lvl w:ilvl="2" w:tplc="04090005">
      <w:start w:val="1"/>
      <w:numFmt w:val="bullet"/>
      <w:lvlText w:val=""/>
      <w:lvlJc w:val="left"/>
      <w:pPr>
        <w:ind w:left="2931" w:hanging="360"/>
      </w:pPr>
      <w:rPr>
        <w:rFonts w:ascii="Wingdings" w:hAnsi="Wingdings" w:hint="default"/>
      </w:rPr>
    </w:lvl>
    <w:lvl w:ilvl="3" w:tplc="04090001">
      <w:start w:val="1"/>
      <w:numFmt w:val="bullet"/>
      <w:lvlText w:val=""/>
      <w:lvlJc w:val="left"/>
      <w:pPr>
        <w:ind w:left="3651" w:hanging="360"/>
      </w:pPr>
      <w:rPr>
        <w:rFonts w:ascii="Symbol" w:hAnsi="Symbol" w:hint="default"/>
      </w:rPr>
    </w:lvl>
    <w:lvl w:ilvl="4" w:tplc="04090003">
      <w:start w:val="1"/>
      <w:numFmt w:val="bullet"/>
      <w:lvlText w:val="o"/>
      <w:lvlJc w:val="left"/>
      <w:pPr>
        <w:ind w:left="4371" w:hanging="360"/>
      </w:pPr>
      <w:rPr>
        <w:rFonts w:ascii="Courier New" w:hAnsi="Courier New" w:cs="Courier New" w:hint="default"/>
      </w:rPr>
    </w:lvl>
    <w:lvl w:ilvl="5" w:tplc="04090005">
      <w:start w:val="1"/>
      <w:numFmt w:val="bullet"/>
      <w:lvlText w:val=""/>
      <w:lvlJc w:val="left"/>
      <w:pPr>
        <w:ind w:left="5091" w:hanging="360"/>
      </w:pPr>
      <w:rPr>
        <w:rFonts w:ascii="Wingdings" w:hAnsi="Wingdings" w:hint="default"/>
      </w:rPr>
    </w:lvl>
    <w:lvl w:ilvl="6" w:tplc="04090001">
      <w:start w:val="1"/>
      <w:numFmt w:val="bullet"/>
      <w:lvlText w:val=""/>
      <w:lvlJc w:val="left"/>
      <w:pPr>
        <w:ind w:left="5811" w:hanging="360"/>
      </w:pPr>
      <w:rPr>
        <w:rFonts w:ascii="Symbol" w:hAnsi="Symbol" w:hint="default"/>
      </w:rPr>
    </w:lvl>
    <w:lvl w:ilvl="7" w:tplc="04090003">
      <w:start w:val="1"/>
      <w:numFmt w:val="bullet"/>
      <w:lvlText w:val="o"/>
      <w:lvlJc w:val="left"/>
      <w:pPr>
        <w:ind w:left="6531" w:hanging="360"/>
      </w:pPr>
      <w:rPr>
        <w:rFonts w:ascii="Courier New" w:hAnsi="Courier New" w:cs="Courier New" w:hint="default"/>
      </w:rPr>
    </w:lvl>
    <w:lvl w:ilvl="8" w:tplc="04090005">
      <w:start w:val="1"/>
      <w:numFmt w:val="bullet"/>
      <w:lvlText w:val=""/>
      <w:lvlJc w:val="left"/>
      <w:pPr>
        <w:ind w:left="7251" w:hanging="360"/>
      </w:pPr>
      <w:rPr>
        <w:rFonts w:ascii="Wingdings" w:hAnsi="Wingdings" w:hint="default"/>
      </w:rPr>
    </w:lvl>
  </w:abstractNum>
  <w:abstractNum w:abstractNumId="11"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D668C1"/>
    <w:multiLevelType w:val="hybridMultilevel"/>
    <w:tmpl w:val="C8D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E25E4"/>
    <w:multiLevelType w:val="hybridMultilevel"/>
    <w:tmpl w:val="053064CC"/>
    <w:lvl w:ilvl="0" w:tplc="F73E9906">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6220D"/>
    <w:multiLevelType w:val="hybridMultilevel"/>
    <w:tmpl w:val="F25A3170"/>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9EF2724"/>
    <w:multiLevelType w:val="hybridMultilevel"/>
    <w:tmpl w:val="B9408138"/>
    <w:lvl w:ilvl="0" w:tplc="C1EAA074">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2"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846AD9"/>
    <w:multiLevelType w:val="hybridMultilevel"/>
    <w:tmpl w:val="9D94CB4A"/>
    <w:lvl w:ilvl="0" w:tplc="1D628B84">
      <w:start w:val="1"/>
      <w:numFmt w:val="bullet"/>
      <w:lvlText w:val=""/>
      <w:lvlJc w:val="left"/>
      <w:pPr>
        <w:tabs>
          <w:tab w:val="num" w:pos="720"/>
        </w:tabs>
        <w:ind w:left="720" w:hanging="360"/>
      </w:pPr>
      <w:rPr>
        <w:rFonts w:ascii="Symbol" w:hAnsi="Symbol" w:cs="Times New Roman" w:hint="default"/>
        <w:sz w:val="20"/>
      </w:rPr>
    </w:lvl>
    <w:lvl w:ilvl="1" w:tplc="AE9ABBB0">
      <w:start w:val="1"/>
      <w:numFmt w:val="bullet"/>
      <w:lvlText w:val="o"/>
      <w:lvlJc w:val="left"/>
      <w:pPr>
        <w:tabs>
          <w:tab w:val="num" w:pos="1440"/>
        </w:tabs>
        <w:ind w:left="1440" w:hanging="360"/>
      </w:pPr>
      <w:rPr>
        <w:rFonts w:ascii="Courier New" w:hAnsi="Courier New" w:cs="Courier New" w:hint="default"/>
        <w:sz w:val="20"/>
      </w:rPr>
    </w:lvl>
    <w:lvl w:ilvl="2" w:tplc="EF32F888">
      <w:start w:val="1"/>
      <w:numFmt w:val="bullet"/>
      <w:lvlText w:val=""/>
      <w:lvlJc w:val="left"/>
      <w:pPr>
        <w:tabs>
          <w:tab w:val="num" w:pos="2160"/>
        </w:tabs>
        <w:ind w:left="2160" w:hanging="360"/>
      </w:pPr>
      <w:rPr>
        <w:rFonts w:ascii="Wingdings" w:hAnsi="Wingdings" w:cs="Times New Roman" w:hint="default"/>
        <w:sz w:val="20"/>
      </w:rPr>
    </w:lvl>
    <w:lvl w:ilvl="3" w:tplc="184220D6">
      <w:start w:val="1"/>
      <w:numFmt w:val="bullet"/>
      <w:lvlText w:val=""/>
      <w:lvlJc w:val="left"/>
      <w:pPr>
        <w:tabs>
          <w:tab w:val="num" w:pos="2880"/>
        </w:tabs>
        <w:ind w:left="2880" w:hanging="360"/>
      </w:pPr>
      <w:rPr>
        <w:rFonts w:ascii="Wingdings" w:hAnsi="Wingdings" w:cs="Times New Roman" w:hint="default"/>
        <w:sz w:val="20"/>
      </w:rPr>
    </w:lvl>
    <w:lvl w:ilvl="4" w:tplc="0A14F0FA">
      <w:start w:val="1"/>
      <w:numFmt w:val="bullet"/>
      <w:lvlText w:val=""/>
      <w:lvlJc w:val="left"/>
      <w:pPr>
        <w:tabs>
          <w:tab w:val="num" w:pos="3600"/>
        </w:tabs>
        <w:ind w:left="3600" w:hanging="360"/>
      </w:pPr>
      <w:rPr>
        <w:rFonts w:ascii="Wingdings" w:hAnsi="Wingdings" w:cs="Times New Roman" w:hint="default"/>
        <w:sz w:val="20"/>
      </w:rPr>
    </w:lvl>
    <w:lvl w:ilvl="5" w:tplc="57AE33FE">
      <w:start w:val="1"/>
      <w:numFmt w:val="bullet"/>
      <w:lvlText w:val=""/>
      <w:lvlJc w:val="left"/>
      <w:pPr>
        <w:tabs>
          <w:tab w:val="num" w:pos="4320"/>
        </w:tabs>
        <w:ind w:left="4320" w:hanging="360"/>
      </w:pPr>
      <w:rPr>
        <w:rFonts w:ascii="Wingdings" w:hAnsi="Wingdings" w:cs="Times New Roman" w:hint="default"/>
        <w:sz w:val="20"/>
      </w:rPr>
    </w:lvl>
    <w:lvl w:ilvl="6" w:tplc="1102BC7E">
      <w:start w:val="1"/>
      <w:numFmt w:val="bullet"/>
      <w:lvlText w:val=""/>
      <w:lvlJc w:val="left"/>
      <w:pPr>
        <w:tabs>
          <w:tab w:val="num" w:pos="5040"/>
        </w:tabs>
        <w:ind w:left="5040" w:hanging="360"/>
      </w:pPr>
      <w:rPr>
        <w:rFonts w:ascii="Wingdings" w:hAnsi="Wingdings" w:cs="Times New Roman" w:hint="default"/>
        <w:sz w:val="20"/>
      </w:rPr>
    </w:lvl>
    <w:lvl w:ilvl="7" w:tplc="D7D23608">
      <w:start w:val="1"/>
      <w:numFmt w:val="bullet"/>
      <w:lvlText w:val=""/>
      <w:lvlJc w:val="left"/>
      <w:pPr>
        <w:tabs>
          <w:tab w:val="num" w:pos="5760"/>
        </w:tabs>
        <w:ind w:left="5760" w:hanging="360"/>
      </w:pPr>
      <w:rPr>
        <w:rFonts w:ascii="Wingdings" w:hAnsi="Wingdings" w:cs="Times New Roman" w:hint="default"/>
        <w:sz w:val="20"/>
      </w:rPr>
    </w:lvl>
    <w:lvl w:ilvl="8" w:tplc="31004E18">
      <w:start w:val="1"/>
      <w:numFmt w:val="bullet"/>
      <w:lvlText w:val=""/>
      <w:lvlJc w:val="left"/>
      <w:pPr>
        <w:tabs>
          <w:tab w:val="num" w:pos="6480"/>
        </w:tabs>
        <w:ind w:left="6480" w:hanging="360"/>
      </w:pPr>
      <w:rPr>
        <w:rFonts w:ascii="Wingdings" w:hAnsi="Wingdings" w:cs="Times New Roman" w:hint="default"/>
        <w:sz w:val="20"/>
      </w:rPr>
    </w:lvl>
  </w:abstractNum>
  <w:abstractNum w:abstractNumId="25"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12"/>
  </w:num>
  <w:num w:numId="4">
    <w:abstractNumId w:val="18"/>
  </w:num>
  <w:num w:numId="5">
    <w:abstractNumId w:val="25"/>
  </w:num>
  <w:num w:numId="6">
    <w:abstractNumId w:val="14"/>
  </w:num>
  <w:num w:numId="7">
    <w:abstractNumId w:val="23"/>
  </w:num>
  <w:num w:numId="8">
    <w:abstractNumId w:val="20"/>
  </w:num>
  <w:num w:numId="9">
    <w:abstractNumId w:val="15"/>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6"/>
  </w:num>
  <w:num w:numId="22">
    <w:abstractNumId w:val="24"/>
  </w:num>
  <w:num w:numId="23">
    <w:abstractNumId w:val="17"/>
  </w:num>
  <w:num w:numId="24">
    <w:abstractNumId w:val="21"/>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MLIwMTQyNrQ0MTFX0lEKTi0uzszPAykwqgUA2aYgsiwAAAA="/>
  </w:docVars>
  <w:rsids>
    <w:rsidRoot w:val="00E378C5"/>
    <w:rsid w:val="0000609D"/>
    <w:rsid w:val="00030247"/>
    <w:rsid w:val="0003420F"/>
    <w:rsid w:val="000349C4"/>
    <w:rsid w:val="00036F06"/>
    <w:rsid w:val="0005540C"/>
    <w:rsid w:val="00063016"/>
    <w:rsid w:val="00064823"/>
    <w:rsid w:val="00066DF5"/>
    <w:rsid w:val="00076AF6"/>
    <w:rsid w:val="00083635"/>
    <w:rsid w:val="000854C6"/>
    <w:rsid w:val="00085CF2"/>
    <w:rsid w:val="000915E5"/>
    <w:rsid w:val="000B1705"/>
    <w:rsid w:val="000C0529"/>
    <w:rsid w:val="000C2903"/>
    <w:rsid w:val="000C2F74"/>
    <w:rsid w:val="000C37C9"/>
    <w:rsid w:val="000C5350"/>
    <w:rsid w:val="000C548F"/>
    <w:rsid w:val="000D75B2"/>
    <w:rsid w:val="001121F5"/>
    <w:rsid w:val="00140CE1"/>
    <w:rsid w:val="00143690"/>
    <w:rsid w:val="00144165"/>
    <w:rsid w:val="0016020C"/>
    <w:rsid w:val="00162982"/>
    <w:rsid w:val="001633C1"/>
    <w:rsid w:val="00171F42"/>
    <w:rsid w:val="0017539C"/>
    <w:rsid w:val="00175AC2"/>
    <w:rsid w:val="0017609F"/>
    <w:rsid w:val="00177E9C"/>
    <w:rsid w:val="00195328"/>
    <w:rsid w:val="001B1941"/>
    <w:rsid w:val="001C4FB5"/>
    <w:rsid w:val="001C628E"/>
    <w:rsid w:val="001D6BEF"/>
    <w:rsid w:val="001E0F7B"/>
    <w:rsid w:val="001F4FF7"/>
    <w:rsid w:val="001F7552"/>
    <w:rsid w:val="002119FD"/>
    <w:rsid w:val="002130E0"/>
    <w:rsid w:val="00221C8F"/>
    <w:rsid w:val="002238C4"/>
    <w:rsid w:val="00236464"/>
    <w:rsid w:val="002418AE"/>
    <w:rsid w:val="0025471D"/>
    <w:rsid w:val="00256D0F"/>
    <w:rsid w:val="00257BDE"/>
    <w:rsid w:val="00265875"/>
    <w:rsid w:val="002667C5"/>
    <w:rsid w:val="00267B6A"/>
    <w:rsid w:val="0027303B"/>
    <w:rsid w:val="0028109B"/>
    <w:rsid w:val="00286D1E"/>
    <w:rsid w:val="00293DE5"/>
    <w:rsid w:val="00295397"/>
    <w:rsid w:val="002B1870"/>
    <w:rsid w:val="002B1F58"/>
    <w:rsid w:val="002C1C7A"/>
    <w:rsid w:val="002C2D6C"/>
    <w:rsid w:val="002C5285"/>
    <w:rsid w:val="002D1E7F"/>
    <w:rsid w:val="002D494F"/>
    <w:rsid w:val="002D703E"/>
    <w:rsid w:val="0030160F"/>
    <w:rsid w:val="0032195E"/>
    <w:rsid w:val="00322D0D"/>
    <w:rsid w:val="00326D48"/>
    <w:rsid w:val="0033276E"/>
    <w:rsid w:val="00337854"/>
    <w:rsid w:val="00337B4A"/>
    <w:rsid w:val="00337CE2"/>
    <w:rsid w:val="003439CB"/>
    <w:rsid w:val="00346F7E"/>
    <w:rsid w:val="003639FE"/>
    <w:rsid w:val="003657E2"/>
    <w:rsid w:val="003662CE"/>
    <w:rsid w:val="003735DF"/>
    <w:rsid w:val="0037461E"/>
    <w:rsid w:val="00375F3C"/>
    <w:rsid w:val="0038108D"/>
    <w:rsid w:val="00384706"/>
    <w:rsid w:val="0038487A"/>
    <w:rsid w:val="00384DD6"/>
    <w:rsid w:val="0039110F"/>
    <w:rsid w:val="003914A7"/>
    <w:rsid w:val="003942D4"/>
    <w:rsid w:val="00394B33"/>
    <w:rsid w:val="003958A8"/>
    <w:rsid w:val="003A71C2"/>
    <w:rsid w:val="003C0228"/>
    <w:rsid w:val="003C2533"/>
    <w:rsid w:val="003D15D8"/>
    <w:rsid w:val="003D6F32"/>
    <w:rsid w:val="003E10DE"/>
    <w:rsid w:val="003E3D3E"/>
    <w:rsid w:val="0040435A"/>
    <w:rsid w:val="00407B9C"/>
    <w:rsid w:val="00415736"/>
    <w:rsid w:val="00416A24"/>
    <w:rsid w:val="00431D9E"/>
    <w:rsid w:val="00433805"/>
    <w:rsid w:val="00433CE8"/>
    <w:rsid w:val="0043412A"/>
    <w:rsid w:val="00434145"/>
    <w:rsid w:val="00434A5C"/>
    <w:rsid w:val="00437504"/>
    <w:rsid w:val="00443D1A"/>
    <w:rsid w:val="004449F3"/>
    <w:rsid w:val="00451A5A"/>
    <w:rsid w:val="0045337A"/>
    <w:rsid w:val="004535DE"/>
    <w:rsid w:val="004544D9"/>
    <w:rsid w:val="004617B3"/>
    <w:rsid w:val="0046438A"/>
    <w:rsid w:val="004648CF"/>
    <w:rsid w:val="00480571"/>
    <w:rsid w:val="00483A6B"/>
    <w:rsid w:val="004841B7"/>
    <w:rsid w:val="00490E72"/>
    <w:rsid w:val="004921C8"/>
    <w:rsid w:val="0049335F"/>
    <w:rsid w:val="004A29FF"/>
    <w:rsid w:val="004A45DD"/>
    <w:rsid w:val="004B3241"/>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4BE4"/>
    <w:rsid w:val="0057569B"/>
    <w:rsid w:val="00582442"/>
    <w:rsid w:val="0058499C"/>
    <w:rsid w:val="005A1D86"/>
    <w:rsid w:val="005A3B8A"/>
    <w:rsid w:val="005B3CFD"/>
    <w:rsid w:val="005B4351"/>
    <w:rsid w:val="005C01F3"/>
    <w:rsid w:val="005C37A0"/>
    <w:rsid w:val="005D32DC"/>
    <w:rsid w:val="005D6131"/>
    <w:rsid w:val="005F2D25"/>
    <w:rsid w:val="005F40A4"/>
    <w:rsid w:val="00605347"/>
    <w:rsid w:val="00634931"/>
    <w:rsid w:val="006535F1"/>
    <w:rsid w:val="0065557D"/>
    <w:rsid w:val="00661B4B"/>
    <w:rsid w:val="00662984"/>
    <w:rsid w:val="0066736B"/>
    <w:rsid w:val="006716BB"/>
    <w:rsid w:val="006771E7"/>
    <w:rsid w:val="006824DA"/>
    <w:rsid w:val="006A39B5"/>
    <w:rsid w:val="006B5954"/>
    <w:rsid w:val="006B6DCC"/>
    <w:rsid w:val="006B7318"/>
    <w:rsid w:val="006C3576"/>
    <w:rsid w:val="006D3B24"/>
    <w:rsid w:val="006D3B29"/>
    <w:rsid w:val="00732CA8"/>
    <w:rsid w:val="00733B71"/>
    <w:rsid w:val="00741793"/>
    <w:rsid w:val="0074569D"/>
    <w:rsid w:val="0075051B"/>
    <w:rsid w:val="00761ADA"/>
    <w:rsid w:val="00763E73"/>
    <w:rsid w:val="00774AB4"/>
    <w:rsid w:val="00782C0B"/>
    <w:rsid w:val="00790142"/>
    <w:rsid w:val="007901DA"/>
    <w:rsid w:val="00790F2A"/>
    <w:rsid w:val="00794D34"/>
    <w:rsid w:val="00796694"/>
    <w:rsid w:val="007A34B1"/>
    <w:rsid w:val="007B5F2B"/>
    <w:rsid w:val="007C116C"/>
    <w:rsid w:val="007C2E8B"/>
    <w:rsid w:val="007C6293"/>
    <w:rsid w:val="007D134F"/>
    <w:rsid w:val="007D7FD5"/>
    <w:rsid w:val="00813D27"/>
    <w:rsid w:val="00813E5E"/>
    <w:rsid w:val="0081547A"/>
    <w:rsid w:val="00820BAF"/>
    <w:rsid w:val="0083581B"/>
    <w:rsid w:val="008479E4"/>
    <w:rsid w:val="00854664"/>
    <w:rsid w:val="00855BA7"/>
    <w:rsid w:val="00864AFF"/>
    <w:rsid w:val="008662BD"/>
    <w:rsid w:val="008911FB"/>
    <w:rsid w:val="0089474C"/>
    <w:rsid w:val="008A16A8"/>
    <w:rsid w:val="008A4009"/>
    <w:rsid w:val="008B4A6A"/>
    <w:rsid w:val="008C7E27"/>
    <w:rsid w:val="008E3733"/>
    <w:rsid w:val="008F1108"/>
    <w:rsid w:val="008F3912"/>
    <w:rsid w:val="00904212"/>
    <w:rsid w:val="00915A48"/>
    <w:rsid w:val="00917052"/>
    <w:rsid w:val="009173EF"/>
    <w:rsid w:val="00923A1B"/>
    <w:rsid w:val="00926B92"/>
    <w:rsid w:val="00932906"/>
    <w:rsid w:val="00933C23"/>
    <w:rsid w:val="00933CC0"/>
    <w:rsid w:val="009340E2"/>
    <w:rsid w:val="00944BC2"/>
    <w:rsid w:val="00961B0B"/>
    <w:rsid w:val="00965A18"/>
    <w:rsid w:val="00984F5D"/>
    <w:rsid w:val="00987D95"/>
    <w:rsid w:val="00990B53"/>
    <w:rsid w:val="00996E42"/>
    <w:rsid w:val="009A4E24"/>
    <w:rsid w:val="009A56C8"/>
    <w:rsid w:val="009B2407"/>
    <w:rsid w:val="009B38C3"/>
    <w:rsid w:val="009C6A0F"/>
    <w:rsid w:val="009D629C"/>
    <w:rsid w:val="009D7C70"/>
    <w:rsid w:val="009E17BD"/>
    <w:rsid w:val="00A04CEC"/>
    <w:rsid w:val="00A244B9"/>
    <w:rsid w:val="00A27F92"/>
    <w:rsid w:val="00A30574"/>
    <w:rsid w:val="00A32257"/>
    <w:rsid w:val="00A36066"/>
    <w:rsid w:val="00A36D20"/>
    <w:rsid w:val="00A462B5"/>
    <w:rsid w:val="00A54FD8"/>
    <w:rsid w:val="00A550D1"/>
    <w:rsid w:val="00A55622"/>
    <w:rsid w:val="00A56000"/>
    <w:rsid w:val="00A620DA"/>
    <w:rsid w:val="00A7440D"/>
    <w:rsid w:val="00A83502"/>
    <w:rsid w:val="00AB2815"/>
    <w:rsid w:val="00AB393C"/>
    <w:rsid w:val="00AB5B56"/>
    <w:rsid w:val="00AC393D"/>
    <w:rsid w:val="00AD69F9"/>
    <w:rsid w:val="00AE5A46"/>
    <w:rsid w:val="00AE73AD"/>
    <w:rsid w:val="00AF6E49"/>
    <w:rsid w:val="00B04A67"/>
    <w:rsid w:val="00B0583C"/>
    <w:rsid w:val="00B077CB"/>
    <w:rsid w:val="00B11C44"/>
    <w:rsid w:val="00B131C2"/>
    <w:rsid w:val="00B16013"/>
    <w:rsid w:val="00B3673E"/>
    <w:rsid w:val="00B36E39"/>
    <w:rsid w:val="00B37038"/>
    <w:rsid w:val="00B40A81"/>
    <w:rsid w:val="00B447F3"/>
    <w:rsid w:val="00B44910"/>
    <w:rsid w:val="00B473A4"/>
    <w:rsid w:val="00B47B8F"/>
    <w:rsid w:val="00B71F52"/>
    <w:rsid w:val="00B72267"/>
    <w:rsid w:val="00B769F8"/>
    <w:rsid w:val="00B76EB6"/>
    <w:rsid w:val="00B824C8"/>
    <w:rsid w:val="00B85905"/>
    <w:rsid w:val="00BA74C0"/>
    <w:rsid w:val="00BB1653"/>
    <w:rsid w:val="00BC251A"/>
    <w:rsid w:val="00BD032B"/>
    <w:rsid w:val="00BD23BA"/>
    <w:rsid w:val="00BD434A"/>
    <w:rsid w:val="00BD6810"/>
    <w:rsid w:val="00BE2640"/>
    <w:rsid w:val="00BE30A1"/>
    <w:rsid w:val="00BF27F0"/>
    <w:rsid w:val="00BF30E1"/>
    <w:rsid w:val="00C01189"/>
    <w:rsid w:val="00C03DBE"/>
    <w:rsid w:val="00C10E06"/>
    <w:rsid w:val="00C11946"/>
    <w:rsid w:val="00C374DE"/>
    <w:rsid w:val="00C37D85"/>
    <w:rsid w:val="00C413A2"/>
    <w:rsid w:val="00C47AD4"/>
    <w:rsid w:val="00C52D81"/>
    <w:rsid w:val="00C55198"/>
    <w:rsid w:val="00C664FA"/>
    <w:rsid w:val="00C67EE1"/>
    <w:rsid w:val="00C8040F"/>
    <w:rsid w:val="00C80D79"/>
    <w:rsid w:val="00CA4FA5"/>
    <w:rsid w:val="00CA6393"/>
    <w:rsid w:val="00CB05C9"/>
    <w:rsid w:val="00CB18FF"/>
    <w:rsid w:val="00CB6CC0"/>
    <w:rsid w:val="00CC5EF0"/>
    <w:rsid w:val="00CD0C08"/>
    <w:rsid w:val="00CE03FB"/>
    <w:rsid w:val="00CE433C"/>
    <w:rsid w:val="00CF33F3"/>
    <w:rsid w:val="00D00FA2"/>
    <w:rsid w:val="00D0338D"/>
    <w:rsid w:val="00D04754"/>
    <w:rsid w:val="00D06183"/>
    <w:rsid w:val="00D15B67"/>
    <w:rsid w:val="00D20CD2"/>
    <w:rsid w:val="00D22C42"/>
    <w:rsid w:val="00D3247C"/>
    <w:rsid w:val="00D3608E"/>
    <w:rsid w:val="00D65041"/>
    <w:rsid w:val="00D84BBD"/>
    <w:rsid w:val="00D9148E"/>
    <w:rsid w:val="00D945E6"/>
    <w:rsid w:val="00DA51F3"/>
    <w:rsid w:val="00DA6905"/>
    <w:rsid w:val="00DD4EB3"/>
    <w:rsid w:val="00DE2B20"/>
    <w:rsid w:val="00DF0F5D"/>
    <w:rsid w:val="00E00F7D"/>
    <w:rsid w:val="00E10E80"/>
    <w:rsid w:val="00E124F0"/>
    <w:rsid w:val="00E1313D"/>
    <w:rsid w:val="00E378C5"/>
    <w:rsid w:val="00E37B16"/>
    <w:rsid w:val="00E50695"/>
    <w:rsid w:val="00E51EC9"/>
    <w:rsid w:val="00E60F04"/>
    <w:rsid w:val="00E8096B"/>
    <w:rsid w:val="00E8113B"/>
    <w:rsid w:val="00E9013A"/>
    <w:rsid w:val="00E90544"/>
    <w:rsid w:val="00EA48F9"/>
    <w:rsid w:val="00EB0D6F"/>
    <w:rsid w:val="00EB2232"/>
    <w:rsid w:val="00EB52A2"/>
    <w:rsid w:val="00EC1A42"/>
    <w:rsid w:val="00EC5337"/>
    <w:rsid w:val="00EE28ED"/>
    <w:rsid w:val="00EE2A3B"/>
    <w:rsid w:val="00F0045C"/>
    <w:rsid w:val="00F01842"/>
    <w:rsid w:val="00F2150A"/>
    <w:rsid w:val="00F231D8"/>
    <w:rsid w:val="00F31144"/>
    <w:rsid w:val="00F334D6"/>
    <w:rsid w:val="00F44ED7"/>
    <w:rsid w:val="00F46C5F"/>
    <w:rsid w:val="00F54A63"/>
    <w:rsid w:val="00F56D59"/>
    <w:rsid w:val="00F60A27"/>
    <w:rsid w:val="00F70098"/>
    <w:rsid w:val="00F73F49"/>
    <w:rsid w:val="00F83DA1"/>
    <w:rsid w:val="00F856EC"/>
    <w:rsid w:val="00F94A63"/>
    <w:rsid w:val="00F96CA1"/>
    <w:rsid w:val="00FB7596"/>
    <w:rsid w:val="00FC08D9"/>
    <w:rsid w:val="00FC3AA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4B9"/>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A244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44B9"/>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162982"/>
    <w:pPr>
      <w:spacing w:before="72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customStyle="1" w:styleId="TableGrid1">
    <w:name w:val="Table Grid1"/>
    <w:basedOn w:val="TableNormal"/>
    <w:next w:val="TableGrid"/>
    <w:uiPriority w:val="59"/>
    <w:rsid w:val="00D20C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05-ITR.EG-INF-000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3645-E85F-4F8A-BE11-B7585138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 Director's input to the Expert Group on International Telecommunication Regulations</vt:lpstr>
    </vt:vector>
  </TitlesOfParts>
  <Manager>General Secretariat - Pool</Manager>
  <Company>International Telecommunication Union (ITU)</Company>
  <LinksUpToDate>false</LinksUpToDate>
  <CharactersWithSpaces>4629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Australia, Canada, and the United States of America</dc:title>
  <dc:subject>EG-ITRs</dc:subject>
  <dc:creator>Brouard, Ricarda</dc:creator>
  <cp:keywords>EG-ITRs</cp:keywords>
  <dc:description/>
  <cp:lastModifiedBy>Brouard, Ricarda</cp:lastModifiedBy>
  <cp:revision>2</cp:revision>
  <cp:lastPrinted>2000-07-18T13:30:00Z</cp:lastPrinted>
  <dcterms:created xsi:type="dcterms:W3CDTF">2021-09-16T12:04:00Z</dcterms:created>
  <dcterms:modified xsi:type="dcterms:W3CDTF">2021-09-16T12:04:00Z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