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3AD76301" w14:textId="3DBEB577" w:rsidR="00FB4CEC" w:rsidRDefault="00FB4CEC" w:rsidP="00A244B9">
            <w:pPr>
              <w:shd w:val="solid" w:color="FFFFFF" w:fill="FFFFFF"/>
              <w:spacing w:before="40" w:after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《国际电信规则》专家组（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EG-ITR</w:t>
            </w:r>
            <w:r w:rsidR="005C0D04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）</w:t>
            </w:r>
          </w:p>
          <w:p w14:paraId="29D32417" w14:textId="6D002D51" w:rsidR="00923A1B" w:rsidRPr="00790F2A" w:rsidRDefault="00162982" w:rsidP="00A244B9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2"/>
                <w:szCs w:val="32"/>
              </w:rPr>
              <w:br/>
            </w:r>
            <w:r w:rsidR="00FB4CEC">
              <w:rPr>
                <w:rFonts w:hint="eastAsia"/>
                <w:b/>
                <w:smallCaps/>
                <w:szCs w:val="24"/>
              </w:rPr>
              <w:t>第五次会议</w:t>
            </w:r>
            <w:r w:rsidR="00FB4CEC">
              <w:rPr>
                <w:b/>
                <w:smallCaps/>
                <w:szCs w:val="24"/>
              </w:rPr>
              <w:t xml:space="preserve"> – </w:t>
            </w:r>
            <w:r w:rsidR="00FB4CEC">
              <w:rPr>
                <w:rFonts w:hint="eastAsia"/>
                <w:b/>
                <w:bCs/>
                <w:smallCaps/>
                <w:szCs w:val="24"/>
              </w:rPr>
              <w:t>虚拟会议</w:t>
            </w:r>
            <w:r w:rsidR="00FB4CEC">
              <w:rPr>
                <w:rFonts w:hint="eastAsia"/>
                <w:b/>
                <w:smallCaps/>
                <w:szCs w:val="24"/>
              </w:rPr>
              <w:t>，</w:t>
            </w:r>
            <w:bookmarkStart w:id="0" w:name="_Hlk80387812"/>
            <w:r w:rsidR="00FB4CEC">
              <w:rPr>
                <w:b/>
                <w:smallCaps/>
                <w:szCs w:val="24"/>
              </w:rPr>
              <w:t>2021</w:t>
            </w:r>
            <w:r w:rsidR="00FB4CEC">
              <w:rPr>
                <w:rFonts w:hint="eastAsia"/>
                <w:b/>
                <w:smallCaps/>
                <w:szCs w:val="24"/>
              </w:rPr>
              <w:t>年</w:t>
            </w:r>
            <w:r w:rsidR="00FB4CEC">
              <w:rPr>
                <w:b/>
                <w:smallCaps/>
                <w:szCs w:val="24"/>
              </w:rPr>
              <w:t>9</w:t>
            </w:r>
            <w:r w:rsidR="00FB4CEC">
              <w:rPr>
                <w:rFonts w:hint="eastAsia"/>
                <w:b/>
                <w:smallCaps/>
                <w:szCs w:val="24"/>
              </w:rPr>
              <w:t>月</w:t>
            </w:r>
            <w:r w:rsidR="00FB4CEC">
              <w:rPr>
                <w:b/>
                <w:smallCaps/>
                <w:szCs w:val="24"/>
              </w:rPr>
              <w:t>30</w:t>
            </w:r>
            <w:r w:rsidR="00FB4CEC">
              <w:rPr>
                <w:rFonts w:hint="eastAsia"/>
                <w:b/>
                <w:smallCaps/>
                <w:szCs w:val="24"/>
              </w:rPr>
              <w:t>日</w:t>
            </w:r>
            <w:bookmarkEnd w:id="0"/>
            <w:r w:rsidR="00FB4CEC">
              <w:rPr>
                <w:b/>
                <w:smallCaps/>
                <w:szCs w:val="24"/>
              </w:rPr>
              <w:t xml:space="preserve"> – 10</w:t>
            </w:r>
            <w:r w:rsidR="00FB4CEC">
              <w:rPr>
                <w:rFonts w:hint="eastAsia"/>
                <w:b/>
                <w:smallCaps/>
                <w:szCs w:val="24"/>
              </w:rPr>
              <w:t>月</w:t>
            </w:r>
            <w:r w:rsidR="00FB4CEC">
              <w:rPr>
                <w:b/>
                <w:smallCaps/>
                <w:szCs w:val="24"/>
              </w:rPr>
              <w:t>1</w:t>
            </w:r>
            <w:r w:rsidR="00FB4CEC">
              <w:rPr>
                <w:rFonts w:hint="eastAsia"/>
                <w:b/>
                <w:smallCaps/>
                <w:szCs w:val="24"/>
              </w:rPr>
              <w:t>日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A244B9">
            <w:pPr>
              <w:pStyle w:val="dnum"/>
              <w:framePr w:hSpace="0" w:wrap="auto" w:vAnchor="margin" w:hAnchor="text" w:yAlign="inline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A244B9">
            <w:pPr>
              <w:shd w:val="solid" w:color="FFFFFF" w:fill="FFFFFF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A244B9">
            <w:pPr>
              <w:tabs>
                <w:tab w:val="left" w:pos="851"/>
              </w:tabs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A17652" w:rsidRPr="00267B6A" w14:paraId="1BBCA794" w14:textId="77777777" w:rsidTr="00162982">
        <w:trPr>
          <w:cantSplit/>
          <w:trHeight w:val="138"/>
        </w:trPr>
        <w:tc>
          <w:tcPr>
            <w:tcW w:w="6469" w:type="dxa"/>
            <w:vMerge w:val="restart"/>
          </w:tcPr>
          <w:p w14:paraId="4162AE0B" w14:textId="31302F2B" w:rsidR="00A17652" w:rsidRPr="00EE28ED" w:rsidRDefault="00A17652" w:rsidP="00A17652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</w:tcPr>
          <w:p w14:paraId="01BBC68C" w14:textId="0603D118" w:rsidR="00A17652" w:rsidRPr="00A17652" w:rsidRDefault="00A17652" w:rsidP="00A17652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fr-CH"/>
              </w:rPr>
            </w:pPr>
            <w:r w:rsidRPr="00C50855">
              <w:rPr>
                <w:rFonts w:hint="eastAsia"/>
                <w:b/>
                <w:bCs/>
                <w:szCs w:val="24"/>
                <w:lang w:val="fr-CH"/>
              </w:rPr>
              <w:t>文件</w:t>
            </w:r>
            <w:r w:rsidRPr="00C50855">
              <w:rPr>
                <w:b/>
                <w:bCs/>
                <w:sz w:val="20"/>
              </w:rPr>
              <w:t xml:space="preserve"> </w:t>
            </w:r>
            <w:r w:rsidRPr="00C50855">
              <w:rPr>
                <w:rFonts w:cs="Times New Roman Bold"/>
                <w:b/>
                <w:spacing w:val="-4"/>
                <w:lang w:val="de-CH"/>
              </w:rPr>
              <w:t>EG-ITRs-5/</w:t>
            </w:r>
            <w:r>
              <w:rPr>
                <w:rFonts w:cs="Times New Roman Bold"/>
                <w:b/>
                <w:spacing w:val="-4"/>
                <w:lang w:val="de-CH"/>
              </w:rPr>
              <w:t>8</w:t>
            </w:r>
            <w:r w:rsidRPr="00C50855">
              <w:rPr>
                <w:rFonts w:cs="Times New Roman Bold"/>
                <w:b/>
                <w:spacing w:val="-4"/>
                <w:lang w:val="de-CH"/>
              </w:rPr>
              <w:t>-</w:t>
            </w:r>
            <w:r w:rsidRPr="00C50855">
              <w:rPr>
                <w:b/>
                <w:bCs/>
                <w:szCs w:val="24"/>
              </w:rPr>
              <w:t>C</w:t>
            </w:r>
          </w:p>
        </w:tc>
      </w:tr>
      <w:tr w:rsidR="00A17652" w:rsidRPr="00EE28ED" w14:paraId="100AEFFF" w14:textId="77777777" w:rsidTr="00C10BB5">
        <w:trPr>
          <w:cantSplit/>
          <w:trHeight w:val="211"/>
        </w:trPr>
        <w:tc>
          <w:tcPr>
            <w:tcW w:w="6469" w:type="dxa"/>
            <w:vMerge/>
          </w:tcPr>
          <w:p w14:paraId="2F758D85" w14:textId="77777777" w:rsidR="00A17652" w:rsidRPr="009340E2" w:rsidRDefault="00A17652" w:rsidP="00A17652">
            <w:pPr>
              <w:shd w:val="solid" w:color="FFFFFF" w:fill="FFFFFF"/>
              <w:ind w:right="284"/>
              <w:rPr>
                <w:szCs w:val="24"/>
                <w:highlight w:val="yellow"/>
                <w:lang w:val="fr-CH"/>
              </w:rPr>
            </w:pPr>
          </w:p>
        </w:tc>
        <w:tc>
          <w:tcPr>
            <w:tcW w:w="3561" w:type="dxa"/>
          </w:tcPr>
          <w:p w14:paraId="4BC2ED00" w14:textId="528E9C1D" w:rsidR="00A17652" w:rsidRPr="00A17652" w:rsidRDefault="00A17652" w:rsidP="00A17652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fr-CH"/>
              </w:rPr>
            </w:pPr>
            <w:r w:rsidRPr="00C50855">
              <w:rPr>
                <w:b/>
                <w:bCs/>
                <w:szCs w:val="24"/>
              </w:rPr>
              <w:t>202</w:t>
            </w:r>
            <w:r w:rsidRPr="00C50855">
              <w:rPr>
                <w:rFonts w:hint="eastAsia"/>
                <w:b/>
                <w:bCs/>
                <w:szCs w:val="24"/>
              </w:rPr>
              <w:t>1</w:t>
            </w:r>
            <w:r w:rsidRPr="00C50855">
              <w:rPr>
                <w:rFonts w:hint="eastAsia"/>
                <w:b/>
                <w:bCs/>
                <w:szCs w:val="24"/>
              </w:rPr>
              <w:t>年</w:t>
            </w:r>
            <w:r w:rsidRPr="00C50855">
              <w:rPr>
                <w:rFonts w:cstheme="minorHAnsi"/>
                <w:b/>
                <w:bCs/>
                <w:szCs w:val="24"/>
              </w:rPr>
              <w:t>9</w:t>
            </w:r>
            <w:r w:rsidRPr="00C50855">
              <w:rPr>
                <w:rFonts w:hint="eastAsia"/>
                <w:b/>
                <w:bCs/>
                <w:szCs w:val="24"/>
              </w:rPr>
              <w:t>月</w:t>
            </w:r>
            <w:r w:rsidRPr="00C50855">
              <w:rPr>
                <w:rFonts w:cstheme="minorHAnsi"/>
                <w:b/>
                <w:bCs/>
                <w:szCs w:val="24"/>
              </w:rPr>
              <w:t>1</w:t>
            </w:r>
            <w:r>
              <w:rPr>
                <w:rFonts w:cstheme="minorHAnsi"/>
                <w:b/>
                <w:bCs/>
                <w:szCs w:val="24"/>
              </w:rPr>
              <w:t>6</w:t>
            </w:r>
            <w:r w:rsidRPr="00C50855">
              <w:rPr>
                <w:rFonts w:hint="eastAsia"/>
                <w:b/>
                <w:bCs/>
                <w:szCs w:val="24"/>
              </w:rPr>
              <w:t>日</w:t>
            </w:r>
          </w:p>
        </w:tc>
      </w:tr>
      <w:tr w:rsidR="00A17652" w:rsidRPr="00790F2A" w14:paraId="71FD0A17" w14:textId="77777777" w:rsidTr="00162982">
        <w:trPr>
          <w:cantSplit/>
          <w:trHeight w:val="138"/>
        </w:trPr>
        <w:tc>
          <w:tcPr>
            <w:tcW w:w="6469" w:type="dxa"/>
            <w:vMerge/>
          </w:tcPr>
          <w:p w14:paraId="0EA5B8B2" w14:textId="77777777" w:rsidR="00A17652" w:rsidRPr="00790F2A" w:rsidRDefault="00A17652" w:rsidP="00A17652">
            <w:pPr>
              <w:shd w:val="solid" w:color="FFFFFF" w:fill="FFFFFF"/>
              <w:ind w:right="284"/>
              <w:rPr>
                <w:szCs w:val="24"/>
              </w:rPr>
            </w:pPr>
          </w:p>
        </w:tc>
        <w:tc>
          <w:tcPr>
            <w:tcW w:w="3561" w:type="dxa"/>
          </w:tcPr>
          <w:p w14:paraId="06AB3AD7" w14:textId="1B0237B1" w:rsidR="00A17652" w:rsidRPr="00A17652" w:rsidRDefault="00A17652" w:rsidP="00A17652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SimSun" w:hAnsi="Calibri" w:cs="Times New Roman"/>
                <w:b/>
                <w:bCs/>
                <w:sz w:val="24"/>
                <w:szCs w:val="24"/>
                <w:lang w:val="fr-CH"/>
              </w:rPr>
            </w:pPr>
            <w:r w:rsidRPr="00FC5386">
              <w:rPr>
                <w:rFonts w:hint="eastAsia"/>
                <w:b/>
                <w:bCs/>
                <w:szCs w:val="24"/>
              </w:rPr>
              <w:t>原文：</w:t>
            </w:r>
            <w:r>
              <w:rPr>
                <w:rFonts w:hint="eastAsia"/>
                <w:b/>
                <w:bCs/>
                <w:szCs w:val="24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</w:rPr>
              <w:t>文</w:t>
            </w:r>
          </w:p>
        </w:tc>
      </w:tr>
      <w:tr w:rsidR="00A17652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123A7E67" w14:textId="45A8D18F" w:rsidR="00A17652" w:rsidRPr="00A244B9" w:rsidRDefault="00A17652" w:rsidP="00A17652">
            <w:pPr>
              <w:spacing w:before="840" w:after="120"/>
              <w:jc w:val="center"/>
              <w:rPr>
                <w:b/>
                <w:bCs/>
                <w:sz w:val="28"/>
                <w:szCs w:val="28"/>
              </w:rPr>
            </w:pPr>
            <w:bookmarkStart w:id="1" w:name="_Hlk81929864"/>
            <w:r>
              <w:rPr>
                <w:rFonts w:hint="eastAsia"/>
                <w:b/>
                <w:bCs/>
                <w:sz w:val="28"/>
                <w:szCs w:val="28"/>
              </w:rPr>
              <w:t>澳大利亚、加拿大和美国的文稿</w:t>
            </w:r>
          </w:p>
          <w:bookmarkEnd w:id="1"/>
          <w:p w14:paraId="11774442" w14:textId="041F887B" w:rsidR="00A17652" w:rsidRPr="00790F2A" w:rsidRDefault="00A17652" w:rsidP="00A17652">
            <w:pPr>
              <w:pStyle w:val="Title2"/>
            </w:pPr>
            <w:r>
              <w:rPr>
                <w:rFonts w:hint="eastAsia"/>
              </w:rPr>
              <w:t>在</w:t>
            </w:r>
            <w:r w:rsidRPr="004D1CDE">
              <w:t>2012</w:t>
            </w:r>
            <w:r w:rsidRPr="004D1CDE">
              <w:t>年</w:t>
            </w:r>
            <w:r>
              <w:rPr>
                <w:rFonts w:hint="eastAsia"/>
              </w:rPr>
              <w:t>版</w:t>
            </w:r>
            <w:r w:rsidRPr="004D1CDE">
              <w:t>《国际电信</w:t>
            </w:r>
            <w:r w:rsidRPr="004D1CDE">
              <w:rPr>
                <w:rFonts w:hint="eastAsia"/>
              </w:rPr>
              <w:t>规则</w:t>
            </w:r>
            <w:r w:rsidRPr="004D1CDE">
              <w:t>》</w:t>
            </w:r>
            <w:r>
              <w:rPr>
                <w:rFonts w:hint="eastAsia"/>
              </w:rPr>
              <w:t>逐条</w:t>
            </w:r>
            <w:r w:rsidRPr="004D1CDE">
              <w:t>审查</w:t>
            </w:r>
            <w:r>
              <w:rPr>
                <w:rFonts w:hint="eastAsia"/>
              </w:rPr>
              <w:t>基础上</w:t>
            </w:r>
            <w:r w:rsidRPr="004D1CDE">
              <w:t>的总体</w:t>
            </w:r>
            <w:r>
              <w:rPr>
                <w:rFonts w:hint="eastAsia"/>
              </w:rPr>
              <w:t>意见</w:t>
            </w:r>
          </w:p>
        </w:tc>
      </w:tr>
    </w:tbl>
    <w:p w14:paraId="6C1F319E" w14:textId="031644E0" w:rsidR="00A244B9" w:rsidRPr="00A244B9" w:rsidRDefault="00CC6297" w:rsidP="00AD5CFE">
      <w:pPr>
        <w:pStyle w:val="Headingb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360" w:after="0" w:line="240" w:lineRule="auto"/>
        <w:ind w:left="567" w:hanging="567"/>
        <w:textAlignment w:val="baseline"/>
        <w:rPr>
          <w:b w:val="0"/>
          <w:bCs/>
          <w:szCs w:val="24"/>
        </w:rPr>
      </w:pPr>
      <w:r>
        <w:rPr>
          <w:rFonts w:hint="eastAsia"/>
          <w:bCs/>
          <w:szCs w:val="24"/>
        </w:rPr>
        <w:t>引言</w:t>
      </w:r>
    </w:p>
    <w:p w14:paraId="1CAF158D" w14:textId="0FA1E5A1" w:rsidR="004D1CDE" w:rsidRPr="00A244B9" w:rsidRDefault="003C40FC" w:rsidP="003C40FC">
      <w:pPr>
        <w:spacing w:before="120" w:after="120"/>
        <w:ind w:firstLineChars="200" w:firstLine="440"/>
        <w:rPr>
          <w:szCs w:val="24"/>
        </w:rPr>
      </w:pPr>
      <w:r>
        <w:rPr>
          <w:rFonts w:hint="eastAsia"/>
          <w:szCs w:val="24"/>
        </w:rPr>
        <w:t>作为</w:t>
      </w:r>
      <w:r w:rsidR="004D1CDE" w:rsidRPr="004D1CDE">
        <w:rPr>
          <w:rFonts w:hint="eastAsia"/>
          <w:szCs w:val="24"/>
        </w:rPr>
        <w:t>《国际电信规则》专家组前四次会议</w:t>
      </w:r>
      <w:r>
        <w:rPr>
          <w:rFonts w:hint="eastAsia"/>
          <w:szCs w:val="24"/>
        </w:rPr>
        <w:t>的积极参与者</w:t>
      </w:r>
      <w:r w:rsidR="004D1CDE" w:rsidRPr="004D1CDE">
        <w:rPr>
          <w:rFonts w:hint="eastAsia"/>
          <w:szCs w:val="24"/>
        </w:rPr>
        <w:t>，</w:t>
      </w:r>
      <w:r w:rsidRPr="004D1CDE">
        <w:rPr>
          <w:rFonts w:hint="eastAsia"/>
          <w:szCs w:val="24"/>
        </w:rPr>
        <w:t>澳大利亚、加拿大和美国</w:t>
      </w:r>
      <w:r w:rsidR="004D1CDE" w:rsidRPr="004D1CDE">
        <w:rPr>
          <w:rFonts w:hint="eastAsia"/>
          <w:szCs w:val="24"/>
        </w:rPr>
        <w:t>希望</w:t>
      </w:r>
      <w:r w:rsidR="004D1CDE">
        <w:rPr>
          <w:rFonts w:hint="eastAsia"/>
          <w:szCs w:val="24"/>
        </w:rPr>
        <w:t>基于</w:t>
      </w:r>
      <w:r w:rsidR="00D220F0">
        <w:rPr>
          <w:rFonts w:hint="eastAsia"/>
          <w:szCs w:val="24"/>
        </w:rPr>
        <w:t>对</w:t>
      </w:r>
      <w:r w:rsidR="004D1CDE" w:rsidRPr="004D1CDE">
        <w:rPr>
          <w:szCs w:val="24"/>
        </w:rPr>
        <w:t>2012</w:t>
      </w:r>
      <w:r w:rsidR="004D1CDE" w:rsidRPr="004D1CDE">
        <w:rPr>
          <w:szCs w:val="24"/>
        </w:rPr>
        <w:t>年</w:t>
      </w:r>
      <w:r w:rsidR="004D1CDE" w:rsidRPr="004D1CDE">
        <w:rPr>
          <w:rFonts w:hint="eastAsia"/>
          <w:szCs w:val="24"/>
        </w:rPr>
        <w:t>版</w:t>
      </w:r>
      <w:r w:rsidR="004D1CDE" w:rsidRPr="004D1CDE">
        <w:rPr>
          <w:szCs w:val="24"/>
        </w:rPr>
        <w:t>《国际电信</w:t>
      </w:r>
      <w:r w:rsidR="004D1CDE" w:rsidRPr="004D1CDE">
        <w:rPr>
          <w:rFonts w:hint="eastAsia"/>
          <w:szCs w:val="24"/>
        </w:rPr>
        <w:t>规则</w:t>
      </w:r>
      <w:r w:rsidR="004D1CDE" w:rsidRPr="004D1CDE">
        <w:rPr>
          <w:szCs w:val="24"/>
        </w:rPr>
        <w:t>》</w:t>
      </w:r>
      <w:r w:rsidR="00D220F0">
        <w:rPr>
          <w:rFonts w:hint="eastAsia"/>
          <w:szCs w:val="24"/>
        </w:rPr>
        <w:t>的</w:t>
      </w:r>
      <w:r w:rsidR="004D1CDE" w:rsidRPr="004D1CDE">
        <w:rPr>
          <w:rFonts w:hint="eastAsia"/>
          <w:szCs w:val="24"/>
        </w:rPr>
        <w:t>逐条</w:t>
      </w:r>
      <w:r w:rsidR="004D1CDE" w:rsidRPr="004D1CDE">
        <w:rPr>
          <w:szCs w:val="24"/>
        </w:rPr>
        <w:t>审查</w:t>
      </w:r>
      <w:r w:rsidR="004D1CDE">
        <w:rPr>
          <w:rFonts w:hint="eastAsia"/>
          <w:szCs w:val="24"/>
        </w:rPr>
        <w:t>，提出</w:t>
      </w:r>
      <w:r w:rsidR="00D220F0">
        <w:rPr>
          <w:rFonts w:hint="eastAsia"/>
          <w:szCs w:val="24"/>
        </w:rPr>
        <w:t>我们</w:t>
      </w:r>
      <w:r w:rsidR="004D1CDE" w:rsidRPr="004D1CDE">
        <w:rPr>
          <w:szCs w:val="24"/>
        </w:rPr>
        <w:t>的总体</w:t>
      </w:r>
      <w:r w:rsidR="004D1CDE" w:rsidRPr="004D1CDE">
        <w:rPr>
          <w:rFonts w:hint="eastAsia"/>
          <w:szCs w:val="24"/>
        </w:rPr>
        <w:t>意见。我们认为，这种</w:t>
      </w:r>
      <w:r w:rsidR="00D220F0" w:rsidRPr="00D220F0">
        <w:rPr>
          <w:rFonts w:hint="eastAsia"/>
          <w:szCs w:val="24"/>
        </w:rPr>
        <w:t>逐条</w:t>
      </w:r>
      <w:r w:rsidR="00D220F0" w:rsidRPr="00D220F0">
        <w:rPr>
          <w:szCs w:val="24"/>
        </w:rPr>
        <w:t>审查</w:t>
      </w:r>
      <w:r w:rsidR="004D1CDE" w:rsidRPr="004D1CDE">
        <w:rPr>
          <w:rFonts w:hint="eastAsia"/>
          <w:szCs w:val="24"/>
        </w:rPr>
        <w:t>一再表明，</w:t>
      </w:r>
      <w:r w:rsidR="00D220F0" w:rsidRPr="004D1CDE">
        <w:rPr>
          <w:szCs w:val="24"/>
        </w:rPr>
        <w:t>《国际电信</w:t>
      </w:r>
      <w:r w:rsidR="00D220F0" w:rsidRPr="004D1CDE">
        <w:rPr>
          <w:rFonts w:hint="eastAsia"/>
          <w:szCs w:val="24"/>
        </w:rPr>
        <w:t>规则</w:t>
      </w:r>
      <w:r w:rsidR="00D220F0" w:rsidRPr="004D1CDE">
        <w:rPr>
          <w:szCs w:val="24"/>
        </w:rPr>
        <w:t>》</w:t>
      </w:r>
      <w:r w:rsidR="004D1CDE" w:rsidRPr="004D1CDE">
        <w:rPr>
          <w:rFonts w:hint="eastAsia"/>
          <w:szCs w:val="24"/>
        </w:rPr>
        <w:t>在当今的通信环境中既不适用也不灵活。此外，这项工作导致</w:t>
      </w:r>
      <w:r w:rsidR="0090749D" w:rsidRPr="004D1CDE">
        <w:rPr>
          <w:rFonts w:hint="eastAsia"/>
          <w:szCs w:val="24"/>
        </w:rPr>
        <w:t>持续</w:t>
      </w:r>
      <w:r w:rsidR="004D1CDE" w:rsidRPr="004D1CDE">
        <w:rPr>
          <w:rFonts w:hint="eastAsia"/>
          <w:szCs w:val="24"/>
        </w:rPr>
        <w:t>缺乏共识。</w:t>
      </w:r>
    </w:p>
    <w:p w14:paraId="561E819F" w14:textId="085CF5DB" w:rsidR="00A244B9" w:rsidRPr="00A244B9" w:rsidRDefault="00CC6297" w:rsidP="00AD5CFE">
      <w:pPr>
        <w:pStyle w:val="Headingb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360" w:after="0" w:line="240" w:lineRule="auto"/>
        <w:ind w:left="567" w:hanging="567"/>
        <w:textAlignment w:val="baseline"/>
        <w:rPr>
          <w:b w:val="0"/>
          <w:bCs/>
          <w:szCs w:val="24"/>
        </w:rPr>
      </w:pPr>
      <w:r>
        <w:rPr>
          <w:rFonts w:hint="eastAsia"/>
          <w:bCs/>
          <w:szCs w:val="24"/>
        </w:rPr>
        <w:t>讨论</w:t>
      </w:r>
    </w:p>
    <w:p w14:paraId="4C54DC1B" w14:textId="34A0DBAC" w:rsidR="00A244B9" w:rsidRPr="00A244B9" w:rsidRDefault="0090749D" w:rsidP="003C40FC">
      <w:pPr>
        <w:spacing w:before="120" w:after="120"/>
        <w:ind w:firstLineChars="200" w:firstLine="440"/>
        <w:rPr>
          <w:szCs w:val="24"/>
        </w:rPr>
      </w:pPr>
      <w:r w:rsidRPr="0090749D">
        <w:rPr>
          <w:rFonts w:hint="eastAsia"/>
          <w:szCs w:val="24"/>
        </w:rPr>
        <w:t>在</w:t>
      </w:r>
      <w:r w:rsidR="000E7EFA" w:rsidRPr="004D1CDE">
        <w:rPr>
          <w:rFonts w:hint="eastAsia"/>
          <w:szCs w:val="24"/>
        </w:rPr>
        <w:t>《国际电信规则》专家组</w:t>
      </w:r>
      <w:r w:rsidR="003C40FC">
        <w:rPr>
          <w:rFonts w:hint="eastAsia"/>
          <w:szCs w:val="24"/>
        </w:rPr>
        <w:t>以往的</w:t>
      </w:r>
      <w:r w:rsidRPr="0090749D">
        <w:rPr>
          <w:rFonts w:hint="eastAsia"/>
          <w:szCs w:val="24"/>
        </w:rPr>
        <w:t>会议上，我们提供了详细的分析，证明了</w:t>
      </w:r>
      <w:r w:rsidR="000E7EFA" w:rsidRPr="004D1CDE">
        <w:rPr>
          <w:rFonts w:hint="eastAsia"/>
          <w:szCs w:val="24"/>
        </w:rPr>
        <w:t>《国际电信规则》</w:t>
      </w:r>
      <w:r w:rsidRPr="0090749D">
        <w:rPr>
          <w:rFonts w:hint="eastAsia"/>
          <w:szCs w:val="24"/>
        </w:rPr>
        <w:t>在当今国际电信市场的</w:t>
      </w:r>
      <w:r w:rsidR="000E7EFA">
        <w:rPr>
          <w:rFonts w:hint="eastAsia"/>
          <w:szCs w:val="24"/>
        </w:rPr>
        <w:t>相关性</w:t>
      </w:r>
      <w:r w:rsidRPr="0090749D">
        <w:rPr>
          <w:rFonts w:hint="eastAsia"/>
          <w:szCs w:val="24"/>
        </w:rPr>
        <w:t>有限。根据这些结论，我们希望重申几条总体意见，强调</w:t>
      </w:r>
      <w:r w:rsidR="000E7EFA" w:rsidRPr="004D1CDE">
        <w:rPr>
          <w:szCs w:val="24"/>
        </w:rPr>
        <w:t>2012</w:t>
      </w:r>
      <w:r w:rsidR="000E7EFA" w:rsidRPr="004D1CDE">
        <w:rPr>
          <w:szCs w:val="24"/>
        </w:rPr>
        <w:t>年</w:t>
      </w:r>
      <w:r w:rsidR="000E7EFA" w:rsidRPr="004D1CDE">
        <w:rPr>
          <w:rFonts w:hint="eastAsia"/>
          <w:szCs w:val="24"/>
        </w:rPr>
        <w:t>版</w:t>
      </w:r>
      <w:r w:rsidR="000E7EFA" w:rsidRPr="004D1CDE">
        <w:rPr>
          <w:szCs w:val="24"/>
        </w:rPr>
        <w:t>《国际电信</w:t>
      </w:r>
      <w:r w:rsidR="000E7EFA" w:rsidRPr="004D1CDE">
        <w:rPr>
          <w:rFonts w:hint="eastAsia"/>
          <w:szCs w:val="24"/>
        </w:rPr>
        <w:t>规则</w:t>
      </w:r>
      <w:r w:rsidR="000E7EFA" w:rsidRPr="004D1CDE">
        <w:rPr>
          <w:szCs w:val="24"/>
        </w:rPr>
        <w:t>》</w:t>
      </w:r>
      <w:r w:rsidR="000E7EFA" w:rsidRPr="00E7745C">
        <w:rPr>
          <w:rFonts w:ascii="Calibri" w:hAnsi="Calibri" w:cs="Calibri" w:hint="eastAsia"/>
          <w:szCs w:val="24"/>
        </w:rPr>
        <w:t>既不适用也不灵活</w:t>
      </w:r>
      <w:r w:rsidR="000E7EFA">
        <w:rPr>
          <w:rFonts w:hint="eastAsia"/>
          <w:szCs w:val="24"/>
        </w:rPr>
        <w:t>：</w:t>
      </w:r>
    </w:p>
    <w:p w14:paraId="7AC37C4D" w14:textId="3569B5F2" w:rsidR="000E7EFA" w:rsidRPr="00CB2EF4" w:rsidRDefault="000E7EFA" w:rsidP="00AD5CFE">
      <w:pPr>
        <w:pStyle w:val="enumlev1"/>
        <w:numPr>
          <w:ilvl w:val="0"/>
          <w:numId w:val="26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theme="minorHAnsi"/>
          <w:szCs w:val="24"/>
        </w:rPr>
      </w:pPr>
      <w:r w:rsidRPr="000E7EFA">
        <w:rPr>
          <w:rFonts w:ascii="STKaiti" w:eastAsia="STKaiti" w:hAnsi="STKaiti" w:hint="eastAsia"/>
          <w:b/>
          <w:bCs/>
          <w:szCs w:val="24"/>
        </w:rPr>
        <w:t>许多条款的附加值有限。</w:t>
      </w:r>
      <w:r w:rsidRPr="000E7EFA">
        <w:rPr>
          <w:rFonts w:hint="eastAsia"/>
          <w:szCs w:val="24"/>
        </w:rPr>
        <w:t>例如，第</w:t>
      </w:r>
      <w:r w:rsidRPr="000E7EFA">
        <w:rPr>
          <w:rFonts w:hint="eastAsia"/>
          <w:szCs w:val="24"/>
        </w:rPr>
        <w:t>6</w:t>
      </w:r>
      <w:r w:rsidRPr="000E7EFA">
        <w:rPr>
          <w:rFonts w:hint="eastAsia"/>
          <w:szCs w:val="24"/>
        </w:rPr>
        <w:t>条（网络安全性和</w:t>
      </w:r>
      <w:r>
        <w:rPr>
          <w:rFonts w:hint="eastAsia"/>
          <w:szCs w:val="24"/>
        </w:rPr>
        <w:t>健壮性</w:t>
      </w:r>
      <w:r w:rsidRPr="000E7EFA">
        <w:rPr>
          <w:rFonts w:hint="eastAsia"/>
          <w:szCs w:val="24"/>
        </w:rPr>
        <w:t>）和第</w:t>
      </w:r>
      <w:r w:rsidRPr="000E7EFA">
        <w:rPr>
          <w:rFonts w:hint="eastAsia"/>
          <w:szCs w:val="24"/>
        </w:rPr>
        <w:t>7</w:t>
      </w:r>
      <w:r w:rsidRPr="000E7EFA">
        <w:rPr>
          <w:rFonts w:hint="eastAsia"/>
          <w:szCs w:val="24"/>
        </w:rPr>
        <w:t>条（</w:t>
      </w:r>
      <w:r w:rsidRPr="000E7EFA">
        <w:rPr>
          <w:szCs w:val="24"/>
        </w:rPr>
        <w:t>未经请求的群发电子通信</w:t>
      </w:r>
      <w:r w:rsidRPr="000E7EFA">
        <w:rPr>
          <w:rFonts w:hint="eastAsia"/>
          <w:szCs w:val="24"/>
        </w:rPr>
        <w:t>，如</w:t>
      </w:r>
      <w:r>
        <w:rPr>
          <w:rFonts w:hint="eastAsia"/>
          <w:szCs w:val="24"/>
        </w:rPr>
        <w:t>垃圾信息</w:t>
      </w:r>
      <w:r w:rsidRPr="000E7EFA">
        <w:rPr>
          <w:rFonts w:hint="eastAsia"/>
          <w:szCs w:val="24"/>
        </w:rPr>
        <w:t>）几乎没有</w:t>
      </w:r>
      <w:r>
        <w:rPr>
          <w:rFonts w:hint="eastAsia"/>
          <w:szCs w:val="24"/>
        </w:rPr>
        <w:t>实践</w:t>
      </w:r>
      <w:r w:rsidRPr="000E7EFA">
        <w:rPr>
          <w:rFonts w:hint="eastAsia"/>
          <w:szCs w:val="24"/>
        </w:rPr>
        <w:t>应用。技术解决方案可以继续解决这些问题，</w:t>
      </w:r>
      <w:r>
        <w:rPr>
          <w:rFonts w:hint="eastAsia"/>
          <w:szCs w:val="24"/>
        </w:rPr>
        <w:t>比</w:t>
      </w:r>
      <w:r w:rsidRPr="004D1CDE">
        <w:rPr>
          <w:rFonts w:hint="eastAsia"/>
          <w:szCs w:val="24"/>
        </w:rPr>
        <w:t>《国际电信规则》</w:t>
      </w:r>
      <w:r>
        <w:rPr>
          <w:rFonts w:hint="eastAsia"/>
          <w:szCs w:val="24"/>
        </w:rPr>
        <w:t>的任何监管</w:t>
      </w:r>
      <w:r w:rsidR="00CB2EF4">
        <w:rPr>
          <w:rFonts w:hint="eastAsia"/>
          <w:szCs w:val="24"/>
        </w:rPr>
        <w:t>规定</w:t>
      </w:r>
      <w:r>
        <w:rPr>
          <w:rFonts w:hint="eastAsia"/>
          <w:szCs w:val="24"/>
        </w:rPr>
        <w:t>灵活得多。</w:t>
      </w:r>
      <w:r w:rsidRPr="000E7EFA">
        <w:rPr>
          <w:rFonts w:hint="eastAsia"/>
          <w:szCs w:val="24"/>
        </w:rPr>
        <w:t>鉴于这些领域技术进步的快速发展，任何试图修订这些</w:t>
      </w:r>
      <w:r w:rsidR="00F36F73">
        <w:rPr>
          <w:rFonts w:hint="eastAsia"/>
          <w:szCs w:val="24"/>
        </w:rPr>
        <w:t>条款</w:t>
      </w:r>
      <w:r w:rsidRPr="000E7EFA">
        <w:rPr>
          <w:rFonts w:hint="eastAsia"/>
          <w:szCs w:val="24"/>
        </w:rPr>
        <w:t>的做法</w:t>
      </w:r>
      <w:r w:rsidR="00CB2EF4">
        <w:rPr>
          <w:rFonts w:ascii="Calibri" w:hAnsi="Calibri" w:cs="Calibri" w:hint="eastAsia"/>
        </w:rPr>
        <w:t>将迅速过时</w:t>
      </w:r>
      <w:r w:rsidRPr="000E7EFA">
        <w:rPr>
          <w:rFonts w:hint="eastAsia"/>
          <w:szCs w:val="24"/>
        </w:rPr>
        <w:t>。</w:t>
      </w:r>
    </w:p>
    <w:p w14:paraId="20F43B43" w14:textId="4E29C890" w:rsidR="00CB2EF4" w:rsidRDefault="00CB2EF4" w:rsidP="00AD5CFE">
      <w:pPr>
        <w:pStyle w:val="enumlev1"/>
        <w:numPr>
          <w:ilvl w:val="0"/>
          <w:numId w:val="26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szCs w:val="24"/>
        </w:rPr>
      </w:pPr>
      <w:r w:rsidRPr="00CB2EF4">
        <w:rPr>
          <w:rFonts w:ascii="STKaiti" w:eastAsia="STKaiti" w:hAnsi="STKaiti" w:hint="eastAsia"/>
          <w:b/>
          <w:bCs/>
          <w:szCs w:val="24"/>
        </w:rPr>
        <w:t>许多条款是</w:t>
      </w:r>
      <w:r>
        <w:rPr>
          <w:rFonts w:ascii="STKaiti" w:eastAsia="STKaiti" w:hAnsi="STKaiti" w:hint="eastAsia"/>
          <w:b/>
          <w:bCs/>
          <w:szCs w:val="24"/>
        </w:rPr>
        <w:t>冗余</w:t>
      </w:r>
      <w:r w:rsidRPr="00CB2EF4">
        <w:rPr>
          <w:rFonts w:ascii="STKaiti" w:eastAsia="STKaiti" w:hAnsi="STKaiti" w:hint="eastAsia"/>
          <w:b/>
          <w:bCs/>
          <w:szCs w:val="24"/>
        </w:rPr>
        <w:t>的。</w:t>
      </w:r>
      <w:r w:rsidRPr="00CB2EF4">
        <w:rPr>
          <w:rFonts w:hint="eastAsia"/>
          <w:szCs w:val="24"/>
        </w:rPr>
        <w:t>例如，第</w:t>
      </w:r>
      <w:r w:rsidRPr="00CB2EF4">
        <w:rPr>
          <w:rFonts w:hint="eastAsia"/>
          <w:szCs w:val="24"/>
        </w:rPr>
        <w:t>11</w:t>
      </w:r>
      <w:r w:rsidRPr="00CB2EF4">
        <w:rPr>
          <w:rFonts w:hint="eastAsia"/>
          <w:szCs w:val="24"/>
        </w:rPr>
        <w:t>条（</w:t>
      </w:r>
      <w:r>
        <w:rPr>
          <w:rFonts w:hint="eastAsia"/>
          <w:szCs w:val="24"/>
        </w:rPr>
        <w:t>节能</w:t>
      </w:r>
      <w:r w:rsidRPr="00CB2EF4">
        <w:rPr>
          <w:rFonts w:hint="eastAsia"/>
          <w:szCs w:val="24"/>
        </w:rPr>
        <w:t>/</w:t>
      </w:r>
      <w:r w:rsidRPr="00CB2EF4">
        <w:rPr>
          <w:rFonts w:hint="eastAsia"/>
          <w:szCs w:val="24"/>
        </w:rPr>
        <w:t>电子</w:t>
      </w:r>
      <w:r>
        <w:rPr>
          <w:rFonts w:hint="eastAsia"/>
          <w:szCs w:val="24"/>
        </w:rPr>
        <w:t>废弃物</w:t>
      </w:r>
      <w:r w:rsidRPr="00CB2EF4">
        <w:rPr>
          <w:rFonts w:hint="eastAsia"/>
          <w:szCs w:val="24"/>
        </w:rPr>
        <w:t>）和第</w:t>
      </w:r>
      <w:r w:rsidRPr="00CB2EF4">
        <w:rPr>
          <w:rFonts w:hint="eastAsia"/>
          <w:szCs w:val="24"/>
        </w:rPr>
        <w:t>12</w:t>
      </w:r>
      <w:r w:rsidRPr="00CB2EF4">
        <w:rPr>
          <w:rFonts w:hint="eastAsia"/>
          <w:szCs w:val="24"/>
        </w:rPr>
        <w:t>条（无障碍</w:t>
      </w:r>
      <w:r>
        <w:rPr>
          <w:rFonts w:hint="eastAsia"/>
          <w:szCs w:val="24"/>
        </w:rPr>
        <w:t>获取</w:t>
      </w:r>
      <w:r w:rsidRPr="00CB2EF4">
        <w:rPr>
          <w:rFonts w:hint="eastAsia"/>
          <w:szCs w:val="24"/>
        </w:rPr>
        <w:t>）重复了全权代表</w:t>
      </w:r>
      <w:r w:rsidR="00F36F73">
        <w:rPr>
          <w:rFonts w:hint="eastAsia"/>
          <w:szCs w:val="24"/>
        </w:rPr>
        <w:t>大会</w:t>
      </w:r>
      <w:r w:rsidRPr="00CB2EF4">
        <w:rPr>
          <w:rFonts w:hint="eastAsia"/>
          <w:szCs w:val="24"/>
        </w:rPr>
        <w:t>决议中已经阐述的要点，没有必要在</w:t>
      </w:r>
      <w:r w:rsidRPr="00510002">
        <w:rPr>
          <w:rFonts w:cstheme="minorHAnsi"/>
        </w:rPr>
        <w:t>像《国际电信规则》这样的</w:t>
      </w:r>
      <w:r w:rsidRPr="00CB2EF4">
        <w:rPr>
          <w:rFonts w:hint="eastAsia"/>
          <w:szCs w:val="24"/>
        </w:rPr>
        <w:t>特定部门文书中</w:t>
      </w:r>
      <w:r w:rsidR="00C15D3A">
        <w:rPr>
          <w:rFonts w:hint="eastAsia"/>
          <w:szCs w:val="24"/>
        </w:rPr>
        <w:t>继续</w:t>
      </w:r>
      <w:r w:rsidRPr="00CB2EF4">
        <w:rPr>
          <w:rFonts w:hint="eastAsia"/>
          <w:szCs w:val="24"/>
        </w:rPr>
        <w:t>重复</w:t>
      </w:r>
      <w:r w:rsidRPr="00A244B9">
        <w:rPr>
          <w:rStyle w:val="FootnoteReference"/>
          <w:rFonts w:cstheme="minorHAnsi"/>
          <w:sz w:val="18"/>
          <w:szCs w:val="18"/>
        </w:rPr>
        <w:footnoteReference w:id="1"/>
      </w:r>
      <w:r w:rsidRPr="00CB2EF4">
        <w:rPr>
          <w:rFonts w:hint="eastAsia"/>
          <w:szCs w:val="24"/>
        </w:rPr>
        <w:t>。同样，许多条款</w:t>
      </w:r>
      <w:r w:rsidR="00C15D3A" w:rsidRPr="00510002">
        <w:rPr>
          <w:rFonts w:cstheme="minorHAnsi"/>
        </w:rPr>
        <w:t>基本上</w:t>
      </w:r>
      <w:r w:rsidRPr="00CB2EF4">
        <w:rPr>
          <w:rFonts w:hint="eastAsia"/>
          <w:szCs w:val="24"/>
        </w:rPr>
        <w:t>与</w:t>
      </w:r>
      <w:r w:rsidR="00C15D3A">
        <w:rPr>
          <w:rFonts w:hint="eastAsia"/>
          <w:szCs w:val="24"/>
        </w:rPr>
        <w:t>国际电联</w:t>
      </w:r>
      <w:r w:rsidRPr="00CB2EF4">
        <w:rPr>
          <w:rFonts w:hint="eastAsia"/>
          <w:szCs w:val="24"/>
        </w:rPr>
        <w:t>《</w:t>
      </w:r>
      <w:r w:rsidR="00C15D3A">
        <w:rPr>
          <w:rFonts w:hint="eastAsia"/>
          <w:szCs w:val="24"/>
        </w:rPr>
        <w:t>组织法</w:t>
      </w:r>
      <w:r w:rsidRPr="00CB2EF4">
        <w:rPr>
          <w:rFonts w:hint="eastAsia"/>
          <w:szCs w:val="24"/>
        </w:rPr>
        <w:t>》</w:t>
      </w:r>
      <w:r w:rsidR="00C15D3A">
        <w:rPr>
          <w:rFonts w:hint="eastAsia"/>
          <w:szCs w:val="24"/>
        </w:rPr>
        <w:t>和《公约》</w:t>
      </w:r>
      <w:r w:rsidRPr="00CB2EF4">
        <w:rPr>
          <w:rFonts w:hint="eastAsia"/>
          <w:szCs w:val="24"/>
        </w:rPr>
        <w:t>（</w:t>
      </w:r>
      <w:r w:rsidRPr="00CB2EF4">
        <w:rPr>
          <w:rFonts w:hint="eastAsia"/>
          <w:szCs w:val="24"/>
        </w:rPr>
        <w:t>CS/CV</w:t>
      </w:r>
      <w:r w:rsidRPr="00CB2EF4">
        <w:rPr>
          <w:rFonts w:hint="eastAsia"/>
          <w:szCs w:val="24"/>
        </w:rPr>
        <w:t>）</w:t>
      </w:r>
      <w:r w:rsidR="00C15D3A" w:rsidRPr="00A244B9">
        <w:rPr>
          <w:rStyle w:val="FootnoteReference"/>
          <w:sz w:val="18"/>
          <w:szCs w:val="18"/>
        </w:rPr>
        <w:footnoteReference w:id="2"/>
      </w:r>
      <w:r w:rsidRPr="00CB2EF4">
        <w:rPr>
          <w:rFonts w:hint="eastAsia"/>
          <w:szCs w:val="24"/>
        </w:rPr>
        <w:t>的相应条款重复。我们认为，</w:t>
      </w:r>
      <w:r w:rsidR="00C15D3A" w:rsidRPr="00510002">
        <w:rPr>
          <w:rFonts w:cstheme="minorHAnsi"/>
        </w:rPr>
        <w:t>《组织法》</w:t>
      </w:r>
      <w:r w:rsidR="00C15D3A" w:rsidRPr="00510002">
        <w:rPr>
          <w:rFonts w:cstheme="minorHAnsi"/>
        </w:rPr>
        <w:t>/</w:t>
      </w:r>
      <w:r w:rsidR="00C15D3A" w:rsidRPr="00510002">
        <w:rPr>
          <w:rFonts w:cstheme="minorHAnsi"/>
        </w:rPr>
        <w:t>《公约》中已经包含的一般条款具有足够的弹性，能够承受不断</w:t>
      </w:r>
      <w:r w:rsidR="00C15D3A" w:rsidRPr="00510002">
        <w:rPr>
          <w:rFonts w:cstheme="minorHAnsi"/>
        </w:rPr>
        <w:lastRenderedPageBreak/>
        <w:t>变化的</w:t>
      </w:r>
      <w:r w:rsidR="00274FE8">
        <w:rPr>
          <w:rFonts w:cstheme="minorHAnsi" w:hint="eastAsia"/>
        </w:rPr>
        <w:t>竞争性</w:t>
      </w:r>
      <w:r w:rsidR="00C15D3A" w:rsidRPr="00510002">
        <w:rPr>
          <w:rFonts w:cstheme="minorHAnsi"/>
        </w:rPr>
        <w:t>市场环境，在《国际电信规则》中重复这些条款</w:t>
      </w:r>
      <w:r w:rsidR="00274FE8">
        <w:rPr>
          <w:rFonts w:cstheme="minorHAnsi" w:hint="eastAsia"/>
        </w:rPr>
        <w:t>无法为</w:t>
      </w:r>
      <w:r w:rsidR="00C15D3A" w:rsidRPr="00510002">
        <w:rPr>
          <w:rFonts w:cstheme="minorHAnsi"/>
        </w:rPr>
        <w:t>国际电联成员</w:t>
      </w:r>
      <w:r w:rsidR="00274FE8">
        <w:rPr>
          <w:rFonts w:cstheme="minorHAnsi" w:hint="eastAsia"/>
        </w:rPr>
        <w:t>带来额外的</w:t>
      </w:r>
      <w:r w:rsidR="0077405B">
        <w:rPr>
          <w:rFonts w:cstheme="minorHAnsi" w:hint="eastAsia"/>
        </w:rPr>
        <w:t>相关性或灵活性</w:t>
      </w:r>
      <w:r w:rsidR="00C15D3A">
        <w:rPr>
          <w:rFonts w:cstheme="minorHAnsi" w:hint="eastAsia"/>
        </w:rPr>
        <w:t>。</w:t>
      </w:r>
    </w:p>
    <w:p w14:paraId="23140409" w14:textId="1760B6F8" w:rsidR="000E7EFA" w:rsidRDefault="000E7EFA" w:rsidP="00AD5CFE">
      <w:pPr>
        <w:pStyle w:val="enumlev1"/>
        <w:numPr>
          <w:ilvl w:val="0"/>
          <w:numId w:val="26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szCs w:val="24"/>
        </w:rPr>
      </w:pPr>
      <w:r w:rsidRPr="000E7EFA">
        <w:rPr>
          <w:rFonts w:ascii="STKaiti" w:eastAsia="STKaiti" w:hAnsi="STKaiti" w:hint="eastAsia"/>
          <w:b/>
          <w:bCs/>
          <w:szCs w:val="24"/>
        </w:rPr>
        <w:t>许多条款已经变得（并将永远保持）过时。</w:t>
      </w:r>
      <w:r w:rsidRPr="000E7EFA">
        <w:rPr>
          <w:rFonts w:hint="eastAsia"/>
          <w:szCs w:val="24"/>
        </w:rPr>
        <w:t>例如，绝大多数流量不再</w:t>
      </w:r>
      <w:r w:rsidR="00DB3343">
        <w:rPr>
          <w:rFonts w:hint="eastAsia"/>
          <w:szCs w:val="24"/>
        </w:rPr>
        <w:t>是</w:t>
      </w:r>
      <w:r w:rsidR="00274FE8">
        <w:rPr>
          <w:rFonts w:hint="eastAsia"/>
          <w:szCs w:val="24"/>
        </w:rPr>
        <w:t>按照</w:t>
      </w:r>
      <w:r w:rsidRPr="000E7EFA">
        <w:rPr>
          <w:rFonts w:hint="eastAsia"/>
          <w:szCs w:val="24"/>
        </w:rPr>
        <w:t>第</w:t>
      </w:r>
      <w:r w:rsidR="00B4390B">
        <w:rPr>
          <w:szCs w:val="24"/>
        </w:rPr>
        <w:t>8</w:t>
      </w:r>
      <w:r w:rsidRPr="000E7EFA">
        <w:rPr>
          <w:rFonts w:hint="eastAsia"/>
          <w:szCs w:val="24"/>
        </w:rPr>
        <w:t>条和附录</w:t>
      </w:r>
      <w:r w:rsidRPr="000E7EFA">
        <w:rPr>
          <w:rFonts w:hint="eastAsia"/>
          <w:szCs w:val="24"/>
        </w:rPr>
        <w:t>1</w:t>
      </w:r>
      <w:r w:rsidRPr="000E7EFA">
        <w:rPr>
          <w:rFonts w:hint="eastAsia"/>
          <w:szCs w:val="24"/>
        </w:rPr>
        <w:t>和</w:t>
      </w:r>
      <w:r w:rsidR="00274FE8">
        <w:rPr>
          <w:rFonts w:hint="eastAsia"/>
          <w:szCs w:val="24"/>
        </w:rPr>
        <w:t>附录</w:t>
      </w:r>
      <w:r w:rsidRPr="000E7EFA">
        <w:rPr>
          <w:rFonts w:hint="eastAsia"/>
          <w:szCs w:val="24"/>
        </w:rPr>
        <w:t>2</w:t>
      </w:r>
      <w:r w:rsidRPr="000E7EFA">
        <w:rPr>
          <w:rFonts w:hint="eastAsia"/>
          <w:szCs w:val="24"/>
        </w:rPr>
        <w:t>所假定的</w:t>
      </w:r>
      <w:r w:rsidR="00274FE8">
        <w:rPr>
          <w:rFonts w:hint="eastAsia"/>
          <w:szCs w:val="24"/>
        </w:rPr>
        <w:t>结算</w:t>
      </w:r>
      <w:r w:rsidRPr="000E7EFA">
        <w:rPr>
          <w:rFonts w:hint="eastAsia"/>
          <w:szCs w:val="24"/>
        </w:rPr>
        <w:t>费率制度</w:t>
      </w:r>
      <w:r w:rsidR="00274FE8">
        <w:rPr>
          <w:rFonts w:hint="eastAsia"/>
          <w:szCs w:val="24"/>
        </w:rPr>
        <w:t>进行</w:t>
      </w:r>
      <w:r w:rsidRPr="000E7EFA">
        <w:rPr>
          <w:rFonts w:hint="eastAsia"/>
          <w:szCs w:val="24"/>
        </w:rPr>
        <w:t>交换</w:t>
      </w:r>
      <w:r w:rsidR="00DB3343">
        <w:rPr>
          <w:rFonts w:hint="eastAsia"/>
          <w:szCs w:val="24"/>
        </w:rPr>
        <w:t>的</w:t>
      </w:r>
      <w:r w:rsidRPr="000E7EFA">
        <w:rPr>
          <w:rFonts w:hint="eastAsia"/>
          <w:szCs w:val="24"/>
        </w:rPr>
        <w:t>。</w:t>
      </w:r>
      <w:r w:rsidR="00274FE8">
        <w:rPr>
          <w:rFonts w:hint="eastAsia"/>
          <w:szCs w:val="24"/>
        </w:rPr>
        <w:t>由于</w:t>
      </w:r>
      <w:r w:rsidR="00274FE8" w:rsidRPr="003A6821">
        <w:rPr>
          <w:rFonts w:hint="eastAsia"/>
        </w:rPr>
        <w:t>新的商业模式和新技术</w:t>
      </w:r>
      <w:r w:rsidR="00274FE8">
        <w:rPr>
          <w:rFonts w:hint="eastAsia"/>
        </w:rPr>
        <w:t>降低</w:t>
      </w:r>
      <w:r w:rsidR="00274FE8" w:rsidRPr="003A6821">
        <w:rPr>
          <w:rFonts w:hint="eastAsia"/>
        </w:rPr>
        <w:t>了</w:t>
      </w:r>
      <w:r w:rsidR="00274FE8">
        <w:rPr>
          <w:rFonts w:hint="eastAsia"/>
        </w:rPr>
        <w:t>对</w:t>
      </w:r>
      <w:r w:rsidR="00274FE8" w:rsidRPr="003A6821">
        <w:rPr>
          <w:rFonts w:hint="eastAsia"/>
        </w:rPr>
        <w:t>政府经营的</w:t>
      </w:r>
      <w:r w:rsidR="00274FE8">
        <w:rPr>
          <w:rFonts w:hint="eastAsia"/>
        </w:rPr>
        <w:t>结算</w:t>
      </w:r>
      <w:r w:rsidR="00274FE8" w:rsidRPr="003A6821">
        <w:rPr>
          <w:rFonts w:hint="eastAsia"/>
        </w:rPr>
        <w:t>机构的</w:t>
      </w:r>
      <w:r w:rsidR="00274FE8">
        <w:rPr>
          <w:rFonts w:hint="eastAsia"/>
        </w:rPr>
        <w:t>需求</w:t>
      </w:r>
      <w:r w:rsidRPr="000E7EFA">
        <w:rPr>
          <w:rFonts w:hint="eastAsia"/>
          <w:szCs w:val="24"/>
        </w:rPr>
        <w:t>，这些规定不再适用于当前的国际电信环境。试图适用</w:t>
      </w:r>
      <w:r w:rsidR="00DB3343">
        <w:rPr>
          <w:rFonts w:hint="eastAsia"/>
          <w:szCs w:val="24"/>
        </w:rPr>
        <w:t>这些</w:t>
      </w:r>
      <w:r w:rsidR="00274FE8">
        <w:rPr>
          <w:rFonts w:hint="eastAsia"/>
          <w:szCs w:val="24"/>
        </w:rPr>
        <w:t>结算费率规定</w:t>
      </w:r>
      <w:r w:rsidRPr="000E7EFA">
        <w:rPr>
          <w:rFonts w:hint="eastAsia"/>
          <w:szCs w:val="24"/>
        </w:rPr>
        <w:t>，甚至根据目前基于市场的安排对其进行修订，将阻碍国际</w:t>
      </w:r>
      <w:r w:rsidR="00274FE8">
        <w:rPr>
          <w:rFonts w:hint="eastAsia"/>
          <w:szCs w:val="24"/>
        </w:rPr>
        <w:t>流量</w:t>
      </w:r>
      <w:r w:rsidRPr="000E7EFA">
        <w:rPr>
          <w:rFonts w:hint="eastAsia"/>
          <w:szCs w:val="24"/>
        </w:rPr>
        <w:t>的流动，</w:t>
      </w:r>
      <w:r w:rsidR="00274FE8">
        <w:rPr>
          <w:rFonts w:hint="eastAsia"/>
          <w:szCs w:val="24"/>
        </w:rPr>
        <w:t>妨碍在</w:t>
      </w:r>
      <w:r w:rsidRPr="000E7EFA">
        <w:rPr>
          <w:rFonts w:hint="eastAsia"/>
          <w:szCs w:val="24"/>
        </w:rPr>
        <w:t>改善服务和降低消费者价格</w:t>
      </w:r>
      <w:r w:rsidR="00274FE8">
        <w:rPr>
          <w:rFonts w:hint="eastAsia"/>
          <w:szCs w:val="24"/>
        </w:rPr>
        <w:t>方面</w:t>
      </w:r>
      <w:r w:rsidRPr="000E7EFA">
        <w:rPr>
          <w:rFonts w:hint="eastAsia"/>
          <w:szCs w:val="24"/>
        </w:rPr>
        <w:t>的创新。正如我们一贯坚持的那样，</w:t>
      </w:r>
      <w:r w:rsidR="00274FE8" w:rsidRPr="003A6821">
        <w:rPr>
          <w:rFonts w:hint="eastAsia"/>
        </w:rPr>
        <w:t>与电信有关的条约</w:t>
      </w:r>
      <w:r w:rsidR="00DB3343">
        <w:rPr>
          <w:rFonts w:hint="eastAsia"/>
        </w:rPr>
        <w:t>性</w:t>
      </w:r>
      <w:r w:rsidR="00274FE8">
        <w:rPr>
          <w:rFonts w:hint="eastAsia"/>
        </w:rPr>
        <w:t>条款</w:t>
      </w:r>
      <w:r w:rsidR="00274FE8" w:rsidRPr="003A6821">
        <w:rPr>
          <w:rFonts w:hint="eastAsia"/>
        </w:rPr>
        <w:t>必须</w:t>
      </w:r>
      <w:r w:rsidR="00DB3343">
        <w:rPr>
          <w:rFonts w:hint="eastAsia"/>
        </w:rPr>
        <w:t>具备</w:t>
      </w:r>
      <w:r w:rsidR="00274FE8" w:rsidRPr="003A6821">
        <w:rPr>
          <w:rFonts w:hint="eastAsia"/>
        </w:rPr>
        <w:t>足够的灵活性，</w:t>
      </w:r>
      <w:r w:rsidRPr="000E7EFA">
        <w:rPr>
          <w:rFonts w:hint="eastAsia"/>
          <w:szCs w:val="24"/>
        </w:rPr>
        <w:t>以承受市场的不断变化。任何</w:t>
      </w:r>
      <w:r w:rsidR="00A659F6">
        <w:rPr>
          <w:rFonts w:hint="eastAsia"/>
          <w:szCs w:val="24"/>
        </w:rPr>
        <w:t>试图</w:t>
      </w:r>
      <w:r w:rsidRPr="000E7EFA">
        <w:rPr>
          <w:rFonts w:hint="eastAsia"/>
          <w:szCs w:val="24"/>
        </w:rPr>
        <w:t>修订</w:t>
      </w:r>
      <w:r w:rsidRPr="000E7EFA">
        <w:rPr>
          <w:rFonts w:hint="eastAsia"/>
          <w:szCs w:val="24"/>
        </w:rPr>
        <w:t>2012</w:t>
      </w:r>
      <w:r w:rsidRPr="000E7EFA">
        <w:rPr>
          <w:rFonts w:hint="eastAsia"/>
          <w:szCs w:val="24"/>
        </w:rPr>
        <w:t>年</w:t>
      </w:r>
      <w:r w:rsidR="00A659F6">
        <w:rPr>
          <w:rFonts w:hint="eastAsia"/>
          <w:szCs w:val="24"/>
        </w:rPr>
        <w:t>版《</w:t>
      </w:r>
      <w:r w:rsidRPr="000E7EFA">
        <w:rPr>
          <w:rFonts w:hint="eastAsia"/>
          <w:szCs w:val="24"/>
        </w:rPr>
        <w:t>国际电信</w:t>
      </w:r>
      <w:r w:rsidR="00A659F6">
        <w:rPr>
          <w:rFonts w:hint="eastAsia"/>
          <w:szCs w:val="24"/>
        </w:rPr>
        <w:t>规则》</w:t>
      </w:r>
      <w:r w:rsidRPr="000E7EFA">
        <w:rPr>
          <w:rFonts w:hint="eastAsia"/>
          <w:szCs w:val="24"/>
        </w:rPr>
        <w:t>的尝试都会遇到与当前</w:t>
      </w:r>
      <w:r w:rsidR="00A659F6">
        <w:rPr>
          <w:rFonts w:hint="eastAsia"/>
          <w:szCs w:val="24"/>
        </w:rPr>
        <w:t>条款</w:t>
      </w:r>
      <w:r w:rsidRPr="000E7EFA">
        <w:rPr>
          <w:rFonts w:hint="eastAsia"/>
          <w:szCs w:val="24"/>
        </w:rPr>
        <w:t>相同的命运</w:t>
      </w:r>
      <w:r w:rsidR="00A659F6">
        <w:rPr>
          <w:rFonts w:hint="eastAsia"/>
          <w:szCs w:val="24"/>
        </w:rPr>
        <w:t>——</w:t>
      </w:r>
      <w:r w:rsidRPr="000E7EFA">
        <w:rPr>
          <w:rFonts w:hint="eastAsia"/>
          <w:szCs w:val="24"/>
        </w:rPr>
        <w:t>由于市场和监管环境的不断变化，详细的</w:t>
      </w:r>
      <w:r w:rsidR="00A659F6" w:rsidRPr="001408BC">
        <w:t>条约性条款</w:t>
      </w:r>
      <w:r w:rsidRPr="000E7EFA">
        <w:rPr>
          <w:rFonts w:hint="eastAsia"/>
          <w:szCs w:val="24"/>
        </w:rPr>
        <w:t>将</w:t>
      </w:r>
      <w:r w:rsidR="00A659F6" w:rsidRPr="001408BC">
        <w:t>将</w:t>
      </w:r>
      <w:r w:rsidR="00A659F6">
        <w:rPr>
          <w:rFonts w:hint="eastAsia"/>
        </w:rPr>
        <w:t>不断</w:t>
      </w:r>
      <w:r w:rsidR="00A659F6" w:rsidRPr="001408BC">
        <w:t>面临过时</w:t>
      </w:r>
      <w:r w:rsidRPr="000E7EFA">
        <w:rPr>
          <w:rFonts w:hint="eastAsia"/>
          <w:szCs w:val="24"/>
        </w:rPr>
        <w:t>。</w:t>
      </w:r>
      <w:r w:rsidR="00A659F6">
        <w:rPr>
          <w:rFonts w:hint="eastAsia"/>
        </w:rPr>
        <w:t xml:space="preserve"> </w:t>
      </w:r>
    </w:p>
    <w:p w14:paraId="257E963D" w14:textId="57DDCEAE" w:rsidR="00527FED" w:rsidRPr="000E7EFA" w:rsidRDefault="00527FED" w:rsidP="00DB3343">
      <w:pPr>
        <w:spacing w:before="120" w:after="120"/>
        <w:ind w:firstLineChars="200" w:firstLine="440"/>
        <w:rPr>
          <w:szCs w:val="24"/>
        </w:rPr>
      </w:pPr>
      <w:r w:rsidRPr="00527FED">
        <w:rPr>
          <w:rFonts w:hint="eastAsia"/>
          <w:szCs w:val="24"/>
        </w:rPr>
        <w:t>我们认识到，正如审查表所反映的那样，国际电联成员对这一问题持有不同的意见。因此，我们认为，</w:t>
      </w:r>
      <w:r w:rsidRPr="000E7EFA">
        <w:rPr>
          <w:rFonts w:hint="eastAsia"/>
          <w:szCs w:val="24"/>
        </w:rPr>
        <w:t>从对</w:t>
      </w:r>
      <w:r w:rsidRPr="004D1CDE">
        <w:rPr>
          <w:szCs w:val="24"/>
        </w:rPr>
        <w:t>2012</w:t>
      </w:r>
      <w:r w:rsidRPr="004D1CDE">
        <w:rPr>
          <w:szCs w:val="24"/>
        </w:rPr>
        <w:t>年</w:t>
      </w:r>
      <w:r w:rsidRPr="004D1CDE">
        <w:rPr>
          <w:rFonts w:hint="eastAsia"/>
          <w:szCs w:val="24"/>
        </w:rPr>
        <w:t>版</w:t>
      </w:r>
      <w:r w:rsidRPr="004D1CDE">
        <w:rPr>
          <w:szCs w:val="24"/>
        </w:rPr>
        <w:t>《国际电信</w:t>
      </w:r>
      <w:r w:rsidRPr="004D1CDE">
        <w:rPr>
          <w:rFonts w:hint="eastAsia"/>
          <w:szCs w:val="24"/>
        </w:rPr>
        <w:t>规则</w:t>
      </w:r>
      <w:r w:rsidRPr="004D1CDE">
        <w:rPr>
          <w:szCs w:val="24"/>
        </w:rPr>
        <w:t>》</w:t>
      </w:r>
      <w:r w:rsidRPr="000E7EFA">
        <w:rPr>
          <w:rFonts w:hint="eastAsia"/>
          <w:szCs w:val="24"/>
        </w:rPr>
        <w:t>的逐条审查中可以得出的唯一总体结论是，</w:t>
      </w:r>
      <w:r w:rsidRPr="00527FED">
        <w:rPr>
          <w:rFonts w:hint="eastAsia"/>
          <w:szCs w:val="24"/>
        </w:rPr>
        <w:t>对于</w:t>
      </w:r>
      <w:r w:rsidRPr="004D1CDE">
        <w:rPr>
          <w:szCs w:val="24"/>
        </w:rPr>
        <w:t>《国际电信</w:t>
      </w:r>
      <w:r w:rsidRPr="004D1CDE">
        <w:rPr>
          <w:rFonts w:hint="eastAsia"/>
          <w:szCs w:val="24"/>
        </w:rPr>
        <w:t>规则</w:t>
      </w:r>
      <w:r w:rsidRPr="004D1CDE">
        <w:rPr>
          <w:szCs w:val="24"/>
        </w:rPr>
        <w:t>》</w:t>
      </w:r>
      <w:r w:rsidRPr="00527FED">
        <w:rPr>
          <w:rFonts w:hint="eastAsia"/>
          <w:szCs w:val="24"/>
        </w:rPr>
        <w:t>在当今电信领域的适用性和灵活性，以及对于修订</w:t>
      </w:r>
      <w:r w:rsidR="00DB3343">
        <w:rPr>
          <w:rFonts w:hint="eastAsia"/>
          <w:szCs w:val="24"/>
        </w:rPr>
        <w:t>该</w:t>
      </w:r>
      <w:r w:rsidRPr="00527FED">
        <w:rPr>
          <w:rFonts w:hint="eastAsia"/>
          <w:szCs w:val="24"/>
        </w:rPr>
        <w:t>条约的必要性，都缺乏共识。我们认为，关于这个问题的任何进一步讨论都不太可能</w:t>
      </w:r>
      <w:r w:rsidR="00D0283E">
        <w:rPr>
          <w:rFonts w:hint="eastAsia"/>
          <w:szCs w:val="24"/>
        </w:rPr>
        <w:t>带来</w:t>
      </w:r>
      <w:r w:rsidRPr="00527FED">
        <w:rPr>
          <w:rFonts w:hint="eastAsia"/>
          <w:szCs w:val="24"/>
        </w:rPr>
        <w:t>不同的结果</w:t>
      </w:r>
      <w:r>
        <w:rPr>
          <w:rFonts w:hint="eastAsia"/>
          <w:szCs w:val="24"/>
        </w:rPr>
        <w:t>。</w:t>
      </w:r>
    </w:p>
    <w:p w14:paraId="6B13A4D5" w14:textId="4AF05DAD" w:rsidR="00A244B9" w:rsidRPr="00A244B9" w:rsidRDefault="00CC6297" w:rsidP="00AD5CFE">
      <w:pPr>
        <w:pStyle w:val="Headingb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360" w:after="0" w:line="240" w:lineRule="auto"/>
        <w:ind w:left="567" w:hanging="567"/>
        <w:textAlignment w:val="baseline"/>
        <w:rPr>
          <w:b w:val="0"/>
          <w:bCs/>
          <w:szCs w:val="24"/>
        </w:rPr>
      </w:pPr>
      <w:r>
        <w:rPr>
          <w:rFonts w:hint="eastAsia"/>
          <w:bCs/>
          <w:szCs w:val="24"/>
        </w:rPr>
        <w:t>结论</w:t>
      </w:r>
    </w:p>
    <w:p w14:paraId="6CC51503" w14:textId="3528BCDA" w:rsidR="00527FED" w:rsidRPr="00A14FD9" w:rsidRDefault="00527FED" w:rsidP="00922769">
      <w:pPr>
        <w:spacing w:before="120" w:after="120"/>
        <w:ind w:firstLineChars="200" w:firstLine="440"/>
        <w:rPr>
          <w:szCs w:val="24"/>
        </w:rPr>
      </w:pPr>
      <w:r w:rsidRPr="00A14FD9">
        <w:rPr>
          <w:rFonts w:hint="eastAsia"/>
          <w:szCs w:val="24"/>
        </w:rPr>
        <w:t>我们</w:t>
      </w:r>
      <w:r>
        <w:rPr>
          <w:rFonts w:hint="eastAsia"/>
          <w:szCs w:val="24"/>
        </w:rPr>
        <w:t>对</w:t>
      </w:r>
      <w:r w:rsidRPr="004D1CDE">
        <w:rPr>
          <w:rFonts w:hint="eastAsia"/>
          <w:szCs w:val="24"/>
        </w:rPr>
        <w:t>《国际电信规则》专家组</w:t>
      </w:r>
      <w:r w:rsidRPr="00A14FD9">
        <w:rPr>
          <w:rFonts w:hint="eastAsia"/>
          <w:szCs w:val="24"/>
        </w:rPr>
        <w:t>成功地完成</w:t>
      </w:r>
      <w:r w:rsidRPr="00A14FD9">
        <w:rPr>
          <w:rFonts w:hint="eastAsia"/>
          <w:szCs w:val="24"/>
        </w:rPr>
        <w:t>2012</w:t>
      </w:r>
      <w:r w:rsidRPr="00A14FD9">
        <w:rPr>
          <w:rFonts w:hint="eastAsia"/>
          <w:szCs w:val="24"/>
        </w:rPr>
        <w:t>年</w:t>
      </w:r>
      <w:r>
        <w:rPr>
          <w:rFonts w:hint="eastAsia"/>
          <w:szCs w:val="24"/>
        </w:rPr>
        <w:t>版</w:t>
      </w:r>
      <w:r w:rsidRPr="004D1CDE">
        <w:rPr>
          <w:rFonts w:hint="eastAsia"/>
          <w:szCs w:val="24"/>
        </w:rPr>
        <w:t>《国际电信规则》</w:t>
      </w:r>
      <w:r w:rsidRPr="00A14FD9">
        <w:rPr>
          <w:rFonts w:hint="eastAsia"/>
          <w:szCs w:val="24"/>
        </w:rPr>
        <w:t>的逐条审查</w:t>
      </w:r>
      <w:r>
        <w:rPr>
          <w:rFonts w:hint="eastAsia"/>
          <w:szCs w:val="24"/>
        </w:rPr>
        <w:t>表示赞赏</w:t>
      </w:r>
      <w:r w:rsidRPr="00A14FD9">
        <w:rPr>
          <w:rFonts w:hint="eastAsia"/>
          <w:szCs w:val="24"/>
        </w:rPr>
        <w:t>，并感谢</w:t>
      </w:r>
      <w:r w:rsidRPr="004D1CDE">
        <w:rPr>
          <w:rFonts w:hint="eastAsia"/>
          <w:szCs w:val="24"/>
        </w:rPr>
        <w:t>《国际电信规则》专家组</w:t>
      </w:r>
      <w:r w:rsidRPr="00A14FD9">
        <w:rPr>
          <w:rFonts w:hint="eastAsia"/>
          <w:szCs w:val="24"/>
        </w:rPr>
        <w:t>主席</w:t>
      </w:r>
      <w:proofErr w:type="spellStart"/>
      <w:r w:rsidRPr="00A14FD9">
        <w:rPr>
          <w:rFonts w:hint="eastAsia"/>
          <w:szCs w:val="24"/>
        </w:rPr>
        <w:t>Lwando</w:t>
      </w:r>
      <w:proofErr w:type="spellEnd"/>
      <w:r w:rsidRPr="00A14FD9">
        <w:rPr>
          <w:rFonts w:hint="eastAsia"/>
          <w:szCs w:val="24"/>
        </w:rPr>
        <w:t xml:space="preserve"> </w:t>
      </w:r>
      <w:proofErr w:type="spellStart"/>
      <w:r w:rsidRPr="00A14FD9">
        <w:rPr>
          <w:rFonts w:hint="eastAsia"/>
          <w:szCs w:val="24"/>
        </w:rPr>
        <w:t>Bbuku</w:t>
      </w:r>
      <w:proofErr w:type="spellEnd"/>
      <w:r w:rsidRPr="00A14FD9">
        <w:rPr>
          <w:rFonts w:hint="eastAsia"/>
          <w:szCs w:val="24"/>
        </w:rPr>
        <w:t>先生（赞比亚）的得力领导。</w:t>
      </w:r>
    </w:p>
    <w:p w14:paraId="22421C8B" w14:textId="745817F7" w:rsidR="00A14FD9" w:rsidRPr="00A244B9" w:rsidRDefault="00A14FD9" w:rsidP="00922769">
      <w:pPr>
        <w:spacing w:before="120" w:after="120"/>
        <w:ind w:firstLineChars="200" w:firstLine="440"/>
        <w:rPr>
          <w:szCs w:val="24"/>
        </w:rPr>
      </w:pPr>
      <w:r w:rsidRPr="00A14FD9">
        <w:rPr>
          <w:rFonts w:hint="eastAsia"/>
          <w:szCs w:val="24"/>
        </w:rPr>
        <w:t>然而，我们认为，一</w:t>
      </w:r>
      <w:r w:rsidR="00922769">
        <w:rPr>
          <w:rFonts w:hint="eastAsia"/>
          <w:szCs w:val="24"/>
        </w:rPr>
        <w:t>项</w:t>
      </w:r>
      <w:r w:rsidRPr="00A14FD9">
        <w:rPr>
          <w:rFonts w:hint="eastAsia"/>
          <w:szCs w:val="24"/>
        </w:rPr>
        <w:t>静态的、针对具体部门的、在现实世界中适用性有限的条约如何</w:t>
      </w:r>
      <w:r w:rsidR="00527FED">
        <w:rPr>
          <w:rFonts w:hint="eastAsia"/>
          <w:szCs w:val="24"/>
        </w:rPr>
        <w:t>有助于</w:t>
      </w:r>
      <w:r w:rsidRPr="00A14FD9">
        <w:rPr>
          <w:rFonts w:hint="eastAsia"/>
          <w:szCs w:val="24"/>
        </w:rPr>
        <w:t>促进国际电信</w:t>
      </w:r>
      <w:r w:rsidRPr="00A14FD9">
        <w:rPr>
          <w:rFonts w:hint="eastAsia"/>
          <w:szCs w:val="24"/>
        </w:rPr>
        <w:t>/</w:t>
      </w:r>
      <w:r w:rsidR="00527FED">
        <w:rPr>
          <w:rFonts w:hint="eastAsia"/>
          <w:szCs w:val="24"/>
        </w:rPr>
        <w:t>ICT</w:t>
      </w:r>
      <w:r w:rsidRPr="00A14FD9">
        <w:rPr>
          <w:rFonts w:hint="eastAsia"/>
          <w:szCs w:val="24"/>
        </w:rPr>
        <w:t>服务和网络的发展，或者</w:t>
      </w:r>
      <w:r w:rsidR="00527FED">
        <w:rPr>
          <w:rFonts w:hint="eastAsia"/>
          <w:szCs w:val="24"/>
        </w:rPr>
        <w:t>如何</w:t>
      </w:r>
      <w:r w:rsidRPr="00A14FD9">
        <w:rPr>
          <w:rFonts w:hint="eastAsia"/>
          <w:szCs w:val="24"/>
        </w:rPr>
        <w:t>证明</w:t>
      </w:r>
      <w:r w:rsidR="00527FED">
        <w:rPr>
          <w:rFonts w:hint="eastAsia"/>
          <w:szCs w:val="24"/>
        </w:rPr>
        <w:t>其</w:t>
      </w:r>
      <w:r w:rsidR="00922769">
        <w:rPr>
          <w:rFonts w:hint="eastAsia"/>
          <w:szCs w:val="24"/>
        </w:rPr>
        <w:t>具备</w:t>
      </w:r>
      <w:r w:rsidRPr="00A14FD9">
        <w:rPr>
          <w:rFonts w:hint="eastAsia"/>
          <w:szCs w:val="24"/>
        </w:rPr>
        <w:t>足够</w:t>
      </w:r>
      <w:r w:rsidR="00527FED">
        <w:rPr>
          <w:rFonts w:hint="eastAsia"/>
          <w:szCs w:val="24"/>
        </w:rPr>
        <w:t>的</w:t>
      </w:r>
      <w:r w:rsidRPr="00A14FD9">
        <w:rPr>
          <w:rFonts w:hint="eastAsia"/>
          <w:szCs w:val="24"/>
        </w:rPr>
        <w:t>灵活</w:t>
      </w:r>
      <w:r w:rsidR="00527FED">
        <w:rPr>
          <w:rFonts w:hint="eastAsia"/>
          <w:szCs w:val="24"/>
        </w:rPr>
        <w:t>性</w:t>
      </w:r>
      <w:r w:rsidRPr="00A14FD9">
        <w:rPr>
          <w:rFonts w:hint="eastAsia"/>
          <w:szCs w:val="24"/>
        </w:rPr>
        <w:t>以适应国际电信</w:t>
      </w:r>
      <w:r w:rsidRPr="00A14FD9">
        <w:rPr>
          <w:rFonts w:hint="eastAsia"/>
          <w:szCs w:val="24"/>
        </w:rPr>
        <w:t>/</w:t>
      </w:r>
      <w:r w:rsidR="00527FED">
        <w:rPr>
          <w:rFonts w:hint="eastAsia"/>
          <w:szCs w:val="24"/>
        </w:rPr>
        <w:t>ICT</w:t>
      </w:r>
      <w:r w:rsidRPr="00A14FD9">
        <w:rPr>
          <w:rFonts w:hint="eastAsia"/>
          <w:szCs w:val="24"/>
        </w:rPr>
        <w:t>环境中的新趋势和新问题，</w:t>
      </w:r>
      <w:r w:rsidR="00527FED">
        <w:rPr>
          <w:rFonts w:hint="eastAsia"/>
          <w:szCs w:val="24"/>
        </w:rPr>
        <w:t>这一问题</w:t>
      </w:r>
      <w:r w:rsidR="00527FED" w:rsidRPr="00A14FD9">
        <w:rPr>
          <w:rFonts w:hint="eastAsia"/>
          <w:szCs w:val="24"/>
        </w:rPr>
        <w:t>尚不清楚</w:t>
      </w:r>
      <w:r w:rsidRPr="00A14FD9">
        <w:rPr>
          <w:rFonts w:hint="eastAsia"/>
          <w:szCs w:val="24"/>
        </w:rPr>
        <w:t>。在</w:t>
      </w:r>
      <w:r w:rsidR="00527FED" w:rsidRPr="004D1CDE">
        <w:rPr>
          <w:rFonts w:hint="eastAsia"/>
          <w:szCs w:val="24"/>
        </w:rPr>
        <w:t>《国际电信规则》专家组</w:t>
      </w:r>
      <w:r w:rsidR="00527FED">
        <w:rPr>
          <w:rFonts w:hint="eastAsia"/>
          <w:szCs w:val="24"/>
        </w:rPr>
        <w:t>编写</w:t>
      </w:r>
      <w:r w:rsidRPr="00A14FD9">
        <w:rPr>
          <w:rFonts w:hint="eastAsia"/>
          <w:szCs w:val="24"/>
        </w:rPr>
        <w:t>提交给理事会</w:t>
      </w:r>
      <w:r w:rsidRPr="00A14FD9">
        <w:rPr>
          <w:rFonts w:hint="eastAsia"/>
          <w:szCs w:val="24"/>
        </w:rPr>
        <w:t>2022</w:t>
      </w:r>
      <w:r w:rsidRPr="00A14FD9">
        <w:rPr>
          <w:rFonts w:hint="eastAsia"/>
          <w:szCs w:val="24"/>
        </w:rPr>
        <w:t>年</w:t>
      </w:r>
      <w:r w:rsidR="00527FED">
        <w:rPr>
          <w:rFonts w:hint="eastAsia"/>
          <w:szCs w:val="24"/>
        </w:rPr>
        <w:t>会议</w:t>
      </w:r>
      <w:r w:rsidRPr="00A14FD9">
        <w:rPr>
          <w:rFonts w:hint="eastAsia"/>
          <w:szCs w:val="24"/>
        </w:rPr>
        <w:t>的最后报告时，我们注意到，在这方面仍然缺乏共识。</w:t>
      </w:r>
    </w:p>
    <w:p w14:paraId="122F36ED" w14:textId="11F95EDE" w:rsidR="009340E2" w:rsidRDefault="009340E2" w:rsidP="00A244B9">
      <w:pPr>
        <w:spacing w:before="840"/>
        <w:jc w:val="center"/>
        <w:rPr>
          <w:rFonts w:cstheme="majorBidi"/>
          <w:szCs w:val="20"/>
          <w:lang w:eastAsia="ja-JP"/>
        </w:rPr>
      </w:pPr>
      <w:r>
        <w:t>_______________</w:t>
      </w:r>
    </w:p>
    <w:sectPr w:rsidR="009340E2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280C" w14:textId="77777777" w:rsidR="00C43F99" w:rsidRDefault="00C43F99">
      <w:r>
        <w:separator/>
      </w:r>
    </w:p>
  </w:endnote>
  <w:endnote w:type="continuationSeparator" w:id="0">
    <w:p w14:paraId="5668BD7A" w14:textId="77777777" w:rsidR="00C43F99" w:rsidRDefault="00C4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EB4A" w14:textId="2D6786C9" w:rsidR="00B80501" w:rsidRPr="00876D03" w:rsidRDefault="00876D03" w:rsidP="00B80501">
    <w:pPr>
      <w:pStyle w:val="Footer"/>
      <w:rPr>
        <w:color w:val="F2F2F2" w:themeColor="background1" w:themeShade="F2"/>
      </w:rPr>
    </w:pPr>
    <w:r w:rsidRPr="00876D03">
      <w:rPr>
        <w:color w:val="F2F2F2" w:themeColor="background1" w:themeShade="F2"/>
      </w:rPr>
      <w:fldChar w:fldCharType="begin"/>
    </w:r>
    <w:r w:rsidRPr="00876D03">
      <w:rPr>
        <w:color w:val="F2F2F2" w:themeColor="background1" w:themeShade="F2"/>
      </w:rPr>
      <w:instrText xml:space="preserve"> FILENAME \p  \* MERGEFORMAT </w:instrText>
    </w:r>
    <w:r w:rsidRPr="00876D03">
      <w:rPr>
        <w:color w:val="F2F2F2" w:themeColor="background1" w:themeShade="F2"/>
      </w:rPr>
      <w:fldChar w:fldCharType="separate"/>
    </w:r>
    <w:r w:rsidR="00B80501" w:rsidRPr="00876D03">
      <w:rPr>
        <w:color w:val="F2F2F2" w:themeColor="background1" w:themeShade="F2"/>
      </w:rPr>
      <w:t>P:\CHI\SG\CONSEIL\EG-ITR\EG-ITR-5\000\008C.docx</w:t>
    </w:r>
    <w:r w:rsidRPr="00876D03">
      <w:rPr>
        <w:color w:val="F2F2F2" w:themeColor="background1" w:themeShade="F2"/>
      </w:rPr>
      <w:fldChar w:fldCharType="end"/>
    </w:r>
    <w:r w:rsidR="00B80501" w:rsidRPr="00876D03">
      <w:rPr>
        <w:color w:val="F2F2F2" w:themeColor="background1" w:themeShade="F2"/>
      </w:rPr>
      <w:t xml:space="preserve"> (494485)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B49C" w14:textId="77777777" w:rsidR="00C43F99" w:rsidRDefault="00C43F99">
      <w:r>
        <w:t>____________________</w:t>
      </w:r>
    </w:p>
  </w:footnote>
  <w:footnote w:type="continuationSeparator" w:id="0">
    <w:p w14:paraId="64CC1A7F" w14:textId="77777777" w:rsidR="00C43F99" w:rsidRDefault="00C43F99">
      <w:r>
        <w:continuationSeparator/>
      </w:r>
    </w:p>
  </w:footnote>
  <w:footnote w:id="1">
    <w:p w14:paraId="61F15C80" w14:textId="3D1428D9" w:rsidR="00AC1DE5" w:rsidRPr="000F5970" w:rsidRDefault="00CB2EF4" w:rsidP="00CB2EF4">
      <w:pPr>
        <w:pStyle w:val="FootnoteText"/>
        <w:tabs>
          <w:tab w:val="clear" w:pos="256"/>
          <w:tab w:val="left" w:pos="180"/>
        </w:tabs>
        <w:ind w:left="180" w:hanging="180"/>
        <w:contextualSpacing/>
        <w:rPr>
          <w:sz w:val="20"/>
          <w:szCs w:val="20"/>
        </w:rPr>
      </w:pPr>
      <w:r>
        <w:rPr>
          <w:rStyle w:val="FootnoteReference"/>
        </w:rPr>
        <w:footnoteRef/>
      </w:r>
      <w:r w:rsidR="00AC1DE5">
        <w:rPr>
          <w:rFonts w:ascii="STKaiti" w:eastAsia="STKaiti" w:hAnsi="STKaiti" w:hint="eastAsia"/>
          <w:sz w:val="20"/>
          <w:szCs w:val="20"/>
        </w:rPr>
        <w:t xml:space="preserve"> </w:t>
      </w:r>
      <w:r w:rsidR="00956BCE" w:rsidRPr="00956BCE">
        <w:rPr>
          <w:rFonts w:ascii="STKaiti" w:eastAsia="STKaiti" w:hAnsi="STKaiti"/>
          <w:sz w:val="20"/>
          <w:szCs w:val="20"/>
        </w:rPr>
        <w:t>参见</w:t>
      </w:r>
      <w:r w:rsidR="00AC1DE5" w:rsidRPr="00AC1DE5">
        <w:rPr>
          <w:sz w:val="20"/>
          <w:szCs w:val="20"/>
        </w:rPr>
        <w:t>全权代表大会第</w:t>
      </w:r>
      <w:r w:rsidR="00AC1DE5" w:rsidRPr="00AC1DE5">
        <w:rPr>
          <w:sz w:val="20"/>
          <w:szCs w:val="20"/>
        </w:rPr>
        <w:t>182</w:t>
      </w:r>
      <w:r w:rsidR="00AC1DE5" w:rsidRPr="00AC1DE5">
        <w:rPr>
          <w:sz w:val="20"/>
          <w:szCs w:val="20"/>
        </w:rPr>
        <w:t>号决议（</w:t>
      </w:r>
      <w:r w:rsidR="00AC1DE5" w:rsidRPr="00AC1DE5">
        <w:rPr>
          <w:sz w:val="20"/>
          <w:szCs w:val="20"/>
        </w:rPr>
        <w:t>2014</w:t>
      </w:r>
      <w:r w:rsidR="00AC1DE5" w:rsidRPr="00AC1DE5">
        <w:rPr>
          <w:sz w:val="20"/>
          <w:szCs w:val="20"/>
        </w:rPr>
        <w:t>年，釜山，修订版）</w:t>
      </w:r>
      <w:r w:rsidR="00AC1DE5" w:rsidRPr="00AC1DE5">
        <w:rPr>
          <w:rFonts w:hint="eastAsia"/>
          <w:sz w:val="20"/>
          <w:szCs w:val="20"/>
        </w:rPr>
        <w:t>“</w:t>
      </w:r>
      <w:r w:rsidR="00AC1DE5" w:rsidRPr="00AC1DE5">
        <w:rPr>
          <w:sz w:val="20"/>
          <w:szCs w:val="20"/>
        </w:rPr>
        <w:t>关于电信</w:t>
      </w:r>
      <w:r w:rsidR="00AC1DE5" w:rsidRPr="00AC1DE5">
        <w:rPr>
          <w:sz w:val="20"/>
          <w:szCs w:val="20"/>
        </w:rPr>
        <w:t>/</w:t>
      </w:r>
      <w:r w:rsidR="00AC1DE5" w:rsidRPr="00AC1DE5">
        <w:rPr>
          <w:sz w:val="20"/>
          <w:szCs w:val="20"/>
        </w:rPr>
        <w:t>信息通信技术在气候变化和环境保护方面的作用</w:t>
      </w:r>
      <w:r w:rsidR="00AC1DE5" w:rsidRPr="00AC1DE5">
        <w:rPr>
          <w:rFonts w:hint="eastAsia"/>
          <w:sz w:val="20"/>
          <w:szCs w:val="20"/>
        </w:rPr>
        <w:t>”；</w:t>
      </w:r>
      <w:r w:rsidR="00AC1DE5" w:rsidRPr="00AC1DE5">
        <w:rPr>
          <w:sz w:val="20"/>
          <w:szCs w:val="20"/>
        </w:rPr>
        <w:t>全权代表大会第</w:t>
      </w:r>
      <w:r w:rsidR="00AC1DE5" w:rsidRPr="00AC1DE5">
        <w:rPr>
          <w:sz w:val="20"/>
          <w:szCs w:val="20"/>
        </w:rPr>
        <w:t>175</w:t>
      </w:r>
      <w:r w:rsidR="00AC1DE5" w:rsidRPr="00AC1DE5">
        <w:rPr>
          <w:sz w:val="20"/>
          <w:szCs w:val="20"/>
        </w:rPr>
        <w:t>号决议（</w:t>
      </w:r>
      <w:r w:rsidR="00AC1DE5" w:rsidRPr="00AC1DE5">
        <w:rPr>
          <w:sz w:val="20"/>
          <w:szCs w:val="20"/>
        </w:rPr>
        <w:t>2018</w:t>
      </w:r>
      <w:r w:rsidR="00AC1DE5" w:rsidRPr="00AC1DE5">
        <w:rPr>
          <w:sz w:val="20"/>
          <w:szCs w:val="20"/>
        </w:rPr>
        <w:t>年，迪拜，修订版）</w:t>
      </w:r>
      <w:r w:rsidR="00AC1DE5" w:rsidRPr="00AC1DE5">
        <w:rPr>
          <w:rFonts w:hint="eastAsia"/>
          <w:sz w:val="20"/>
          <w:szCs w:val="20"/>
        </w:rPr>
        <w:t>“</w:t>
      </w:r>
      <w:r w:rsidR="00AC1DE5" w:rsidRPr="00AC1DE5">
        <w:rPr>
          <w:sz w:val="20"/>
          <w:szCs w:val="20"/>
        </w:rPr>
        <w:t>残疾人和有具体需求人士无障碍地获取电信</w:t>
      </w:r>
      <w:r w:rsidR="00AC1DE5" w:rsidRPr="00AC1DE5">
        <w:rPr>
          <w:sz w:val="20"/>
          <w:szCs w:val="20"/>
        </w:rPr>
        <w:t>/</w:t>
      </w:r>
      <w:r w:rsidR="00AC1DE5" w:rsidRPr="00AC1DE5">
        <w:rPr>
          <w:sz w:val="20"/>
          <w:szCs w:val="20"/>
        </w:rPr>
        <w:t>信息通信技术</w:t>
      </w:r>
      <w:r w:rsidR="00AC1DE5" w:rsidRPr="00AC1DE5">
        <w:rPr>
          <w:rFonts w:hint="eastAsia"/>
          <w:sz w:val="20"/>
          <w:szCs w:val="20"/>
        </w:rPr>
        <w:t>”。</w:t>
      </w:r>
    </w:p>
  </w:footnote>
  <w:footnote w:id="2">
    <w:p w14:paraId="4F79CC06" w14:textId="7872074A" w:rsidR="00C15D3A" w:rsidRDefault="00C15D3A" w:rsidP="00C15D3A">
      <w:pPr>
        <w:pStyle w:val="FootnoteText"/>
        <w:tabs>
          <w:tab w:val="clear" w:pos="256"/>
          <w:tab w:val="left" w:pos="180"/>
        </w:tabs>
        <w:ind w:left="180" w:hanging="180"/>
        <w:contextualSpacing/>
      </w:pPr>
      <w:r w:rsidRPr="000F5970">
        <w:rPr>
          <w:rStyle w:val="FootnoteReference"/>
          <w:sz w:val="20"/>
          <w:szCs w:val="20"/>
        </w:rPr>
        <w:footnoteRef/>
      </w:r>
      <w:r w:rsidRPr="000F5970">
        <w:rPr>
          <w:sz w:val="20"/>
          <w:szCs w:val="20"/>
        </w:rPr>
        <w:t xml:space="preserve"> </w:t>
      </w:r>
      <w:r w:rsidR="00956BCE" w:rsidRPr="00956BCE">
        <w:rPr>
          <w:rFonts w:ascii="STKaiti" w:eastAsia="STKaiti" w:hAnsi="STKaiti"/>
          <w:sz w:val="20"/>
          <w:szCs w:val="20"/>
        </w:rPr>
        <w:t>参见</w:t>
      </w:r>
      <w:r w:rsidR="00956BCE" w:rsidRPr="00956BCE">
        <w:rPr>
          <w:rFonts w:hint="eastAsia"/>
          <w:sz w:val="20"/>
          <w:szCs w:val="20"/>
        </w:rPr>
        <w:t>例如，第</w:t>
      </w:r>
      <w:r w:rsidR="00956BCE" w:rsidRPr="00956BCE">
        <w:rPr>
          <w:rFonts w:hint="eastAsia"/>
          <w:sz w:val="20"/>
          <w:szCs w:val="20"/>
        </w:rPr>
        <w:t>9</w:t>
      </w:r>
      <w:r w:rsidR="00956BCE" w:rsidRPr="00956BCE">
        <w:rPr>
          <w:rFonts w:hint="eastAsia"/>
          <w:sz w:val="20"/>
          <w:szCs w:val="20"/>
        </w:rPr>
        <w:t>条（</w:t>
      </w:r>
      <w:r w:rsidR="00956BCE" w:rsidRPr="00956BCE">
        <w:rPr>
          <w:sz w:val="20"/>
          <w:szCs w:val="20"/>
        </w:rPr>
        <w:t>业务的中止</w:t>
      </w:r>
      <w:r w:rsidR="00956BCE" w:rsidRPr="00956BCE">
        <w:rPr>
          <w:rFonts w:hint="eastAsia"/>
          <w:sz w:val="20"/>
          <w:szCs w:val="20"/>
        </w:rPr>
        <w:t>）、第</w:t>
      </w:r>
      <w:r w:rsidR="00956BCE" w:rsidRPr="00956BCE">
        <w:rPr>
          <w:rFonts w:hint="eastAsia"/>
          <w:sz w:val="20"/>
          <w:szCs w:val="20"/>
        </w:rPr>
        <w:t>10</w:t>
      </w:r>
      <w:r w:rsidR="00956BCE" w:rsidRPr="00956BCE">
        <w:rPr>
          <w:rFonts w:hint="eastAsia"/>
          <w:sz w:val="20"/>
          <w:szCs w:val="20"/>
        </w:rPr>
        <w:t>条（</w:t>
      </w:r>
      <w:r w:rsidR="00956BCE" w:rsidRPr="00956BCE">
        <w:rPr>
          <w:sz w:val="20"/>
          <w:szCs w:val="20"/>
        </w:rPr>
        <w:t>资料的转发</w:t>
      </w:r>
      <w:r w:rsidR="00956BCE" w:rsidRPr="00956BCE">
        <w:rPr>
          <w:rFonts w:hint="eastAsia"/>
          <w:sz w:val="20"/>
          <w:szCs w:val="20"/>
        </w:rPr>
        <w:t>）、第</w:t>
      </w:r>
      <w:r w:rsidR="00956BCE" w:rsidRPr="00956BCE">
        <w:rPr>
          <w:rFonts w:hint="eastAsia"/>
          <w:sz w:val="20"/>
          <w:szCs w:val="20"/>
        </w:rPr>
        <w:t>13</w:t>
      </w:r>
      <w:r w:rsidR="00956BCE" w:rsidRPr="00956BCE">
        <w:rPr>
          <w:rFonts w:hint="eastAsia"/>
          <w:sz w:val="20"/>
          <w:szCs w:val="20"/>
        </w:rPr>
        <w:t>条（特殊安排）和第</w:t>
      </w:r>
      <w:r w:rsidR="00956BCE" w:rsidRPr="00956BCE">
        <w:rPr>
          <w:rFonts w:hint="eastAsia"/>
          <w:sz w:val="20"/>
          <w:szCs w:val="20"/>
        </w:rPr>
        <w:t>14</w:t>
      </w:r>
      <w:r w:rsidR="00956BCE" w:rsidRPr="00956BCE">
        <w:rPr>
          <w:rFonts w:hint="eastAsia"/>
          <w:sz w:val="20"/>
          <w:szCs w:val="20"/>
        </w:rPr>
        <w:t>条（</w:t>
      </w:r>
      <w:r w:rsidR="00956BCE">
        <w:rPr>
          <w:rFonts w:hint="eastAsia"/>
          <w:sz w:val="20"/>
          <w:szCs w:val="20"/>
        </w:rPr>
        <w:t>最后条款</w:t>
      </w:r>
      <w:r w:rsidR="00956BCE" w:rsidRPr="00956BCE">
        <w:rPr>
          <w:rFonts w:hint="eastAsia"/>
          <w:sz w:val="20"/>
          <w:szCs w:val="20"/>
        </w:rPr>
        <w:t>）；</w:t>
      </w:r>
      <w:r w:rsidR="00956BCE" w:rsidRPr="00956BCE">
        <w:rPr>
          <w:rFonts w:ascii="STKaiti" w:eastAsia="STKaiti" w:hAnsi="STKaiti"/>
          <w:sz w:val="20"/>
          <w:szCs w:val="20"/>
        </w:rPr>
        <w:t>一般可参见</w:t>
      </w:r>
      <w:r w:rsidR="00956BCE" w:rsidRPr="00956BCE">
        <w:rPr>
          <w:sz w:val="20"/>
          <w:szCs w:val="20"/>
        </w:rPr>
        <w:t>审议《国际电信规则》专家组（</w:t>
      </w:r>
      <w:r w:rsidR="00956BCE" w:rsidRPr="00956BCE">
        <w:rPr>
          <w:sz w:val="20"/>
          <w:szCs w:val="20"/>
        </w:rPr>
        <w:t>2007-2009</w:t>
      </w:r>
      <w:r w:rsidR="00956BCE" w:rsidRPr="00956BCE">
        <w:rPr>
          <w:sz w:val="20"/>
          <w:szCs w:val="20"/>
        </w:rPr>
        <w:t>年）关于《国际电信规则》与《组织法》和《公约》之间关系的</w:t>
      </w:r>
      <w:r w:rsidR="00956BCE" w:rsidRPr="00956BCE">
        <w:rPr>
          <w:sz w:val="20"/>
          <w:szCs w:val="20"/>
        </w:rPr>
        <w:t>5</w:t>
      </w:r>
      <w:r w:rsidR="00956BCE" w:rsidRPr="00956BCE">
        <w:rPr>
          <w:sz w:val="20"/>
          <w:szCs w:val="20"/>
        </w:rPr>
        <w:t>号情况通报文件</w:t>
      </w:r>
      <w:r w:rsidR="00956BCE">
        <w:rPr>
          <w:rFonts w:hint="eastAsia"/>
          <w:sz w:val="20"/>
          <w:szCs w:val="20"/>
        </w:rPr>
        <w:t>：</w:t>
      </w:r>
      <w:hyperlink r:id="rId1" w:history="1">
        <w:r w:rsidRPr="00BA5DD5">
          <w:rPr>
            <w:rStyle w:val="Hyperlink"/>
            <w:sz w:val="20"/>
          </w:rPr>
          <w:t>https://www.itu.int/md/T05-ITR.EG-INF-0005/en</w:t>
        </w:r>
      </w:hyperlink>
      <w:r w:rsidRPr="00BA5DD5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35025BDE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</w:t>
    </w:r>
    <w:r w:rsidR="00F01842">
      <w:rPr>
        <w:noProof/>
      </w:rPr>
      <w:t>5</w:t>
    </w:r>
    <w:r w:rsidR="000854C6">
      <w:rPr>
        <w:noProof/>
      </w:rPr>
      <w:t>\</w:t>
    </w:r>
    <w:r w:rsidR="00A244B9">
      <w:rPr>
        <w:noProof/>
      </w:rPr>
      <w:t>8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F6708"/>
    <w:multiLevelType w:val="hybridMultilevel"/>
    <w:tmpl w:val="C100A8FA"/>
    <w:lvl w:ilvl="0" w:tplc="C1EAA074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668C1"/>
    <w:multiLevelType w:val="hybridMultilevel"/>
    <w:tmpl w:val="C8D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9EF2724"/>
    <w:multiLevelType w:val="hybridMultilevel"/>
    <w:tmpl w:val="B9408138"/>
    <w:lvl w:ilvl="0" w:tplc="C1EAA0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846AD9"/>
    <w:multiLevelType w:val="hybridMultilevel"/>
    <w:tmpl w:val="9D94CB4A"/>
    <w:lvl w:ilvl="0" w:tplc="1D628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AE9AB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EF32F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18422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0A14F0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57AE33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1102BC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D7D236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31004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18"/>
  </w:num>
  <w:num w:numId="5">
    <w:abstractNumId w:val="25"/>
  </w:num>
  <w:num w:numId="6">
    <w:abstractNumId w:val="14"/>
  </w:num>
  <w:num w:numId="7">
    <w:abstractNumId w:val="23"/>
  </w:num>
  <w:num w:numId="8">
    <w:abstractNumId w:val="20"/>
  </w:num>
  <w:num w:numId="9">
    <w:abstractNumId w:val="15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6"/>
  </w:num>
  <w:num w:numId="22">
    <w:abstractNumId w:val="24"/>
  </w:num>
  <w:num w:numId="23">
    <w:abstractNumId w:val="17"/>
  </w:num>
  <w:num w:numId="24">
    <w:abstractNumId w:val="21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LIwMTQyNrQ0MTFX0lEKTi0uzszPAykwqgUA2aYgsiwAAAA="/>
  </w:docVars>
  <w:rsids>
    <w:rsidRoot w:val="00E378C5"/>
    <w:rsid w:val="0000609D"/>
    <w:rsid w:val="00030247"/>
    <w:rsid w:val="0003420F"/>
    <w:rsid w:val="000349C4"/>
    <w:rsid w:val="00036F06"/>
    <w:rsid w:val="0005540C"/>
    <w:rsid w:val="00063016"/>
    <w:rsid w:val="00064823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C548F"/>
    <w:rsid w:val="000D75B2"/>
    <w:rsid w:val="000E7EFA"/>
    <w:rsid w:val="0010487A"/>
    <w:rsid w:val="001121F5"/>
    <w:rsid w:val="00140CE1"/>
    <w:rsid w:val="00143690"/>
    <w:rsid w:val="00144165"/>
    <w:rsid w:val="0016020C"/>
    <w:rsid w:val="00162982"/>
    <w:rsid w:val="001633C1"/>
    <w:rsid w:val="00171F42"/>
    <w:rsid w:val="0017539C"/>
    <w:rsid w:val="00175AC2"/>
    <w:rsid w:val="0017609F"/>
    <w:rsid w:val="00177E9C"/>
    <w:rsid w:val="00195328"/>
    <w:rsid w:val="001B1941"/>
    <w:rsid w:val="001C4FB5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67B6A"/>
    <w:rsid w:val="0027303B"/>
    <w:rsid w:val="00274FE8"/>
    <w:rsid w:val="0028109B"/>
    <w:rsid w:val="00286D1E"/>
    <w:rsid w:val="00293DE5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C40FC"/>
    <w:rsid w:val="003D15D8"/>
    <w:rsid w:val="003D6F32"/>
    <w:rsid w:val="003E10DE"/>
    <w:rsid w:val="003E3D3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3D1A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3A6B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1CDE"/>
    <w:rsid w:val="004D599D"/>
    <w:rsid w:val="004E2EA5"/>
    <w:rsid w:val="004E3AEB"/>
    <w:rsid w:val="00500C7D"/>
    <w:rsid w:val="00501014"/>
    <w:rsid w:val="0050223C"/>
    <w:rsid w:val="005243FF"/>
    <w:rsid w:val="00527FED"/>
    <w:rsid w:val="00542AE7"/>
    <w:rsid w:val="00542BAB"/>
    <w:rsid w:val="00544CA6"/>
    <w:rsid w:val="005467AE"/>
    <w:rsid w:val="005471D2"/>
    <w:rsid w:val="00564FBC"/>
    <w:rsid w:val="00574BE4"/>
    <w:rsid w:val="0057569B"/>
    <w:rsid w:val="00582442"/>
    <w:rsid w:val="0058499C"/>
    <w:rsid w:val="005A1D86"/>
    <w:rsid w:val="005A3B8A"/>
    <w:rsid w:val="005B3CFD"/>
    <w:rsid w:val="005B4351"/>
    <w:rsid w:val="005B455D"/>
    <w:rsid w:val="005C01F3"/>
    <w:rsid w:val="005C0D04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824DA"/>
    <w:rsid w:val="00683613"/>
    <w:rsid w:val="006A39B5"/>
    <w:rsid w:val="006B5954"/>
    <w:rsid w:val="006B6DCC"/>
    <w:rsid w:val="006B7318"/>
    <w:rsid w:val="006C3576"/>
    <w:rsid w:val="006D3B24"/>
    <w:rsid w:val="006D3B29"/>
    <w:rsid w:val="00732CA8"/>
    <w:rsid w:val="00733B71"/>
    <w:rsid w:val="00741793"/>
    <w:rsid w:val="0074569D"/>
    <w:rsid w:val="0075051B"/>
    <w:rsid w:val="00761ADA"/>
    <w:rsid w:val="00763E73"/>
    <w:rsid w:val="0077405B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D27"/>
    <w:rsid w:val="00813E5E"/>
    <w:rsid w:val="0081547A"/>
    <w:rsid w:val="00820BAF"/>
    <w:rsid w:val="0083581B"/>
    <w:rsid w:val="008479E4"/>
    <w:rsid w:val="00854664"/>
    <w:rsid w:val="00855BA7"/>
    <w:rsid w:val="00864AFF"/>
    <w:rsid w:val="008662BD"/>
    <w:rsid w:val="00876D03"/>
    <w:rsid w:val="008911FB"/>
    <w:rsid w:val="0089474C"/>
    <w:rsid w:val="008A16A8"/>
    <w:rsid w:val="008A4009"/>
    <w:rsid w:val="008B4A6A"/>
    <w:rsid w:val="008C7E27"/>
    <w:rsid w:val="008E3733"/>
    <w:rsid w:val="008F1108"/>
    <w:rsid w:val="008F3912"/>
    <w:rsid w:val="00904212"/>
    <w:rsid w:val="0090749D"/>
    <w:rsid w:val="00915A48"/>
    <w:rsid w:val="00917052"/>
    <w:rsid w:val="009173EF"/>
    <w:rsid w:val="00922769"/>
    <w:rsid w:val="00923A1B"/>
    <w:rsid w:val="00926B92"/>
    <w:rsid w:val="00932906"/>
    <w:rsid w:val="00933C23"/>
    <w:rsid w:val="00933CC0"/>
    <w:rsid w:val="009340E2"/>
    <w:rsid w:val="00944BC2"/>
    <w:rsid w:val="00956BCE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2CEF"/>
    <w:rsid w:val="009D629C"/>
    <w:rsid w:val="009D7C70"/>
    <w:rsid w:val="009E17BD"/>
    <w:rsid w:val="00A04CEC"/>
    <w:rsid w:val="00A14FD9"/>
    <w:rsid w:val="00A17652"/>
    <w:rsid w:val="00A244B9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659F6"/>
    <w:rsid w:val="00A7440D"/>
    <w:rsid w:val="00A83502"/>
    <w:rsid w:val="00AB2815"/>
    <w:rsid w:val="00AB393C"/>
    <w:rsid w:val="00AB5B56"/>
    <w:rsid w:val="00AC1DE5"/>
    <w:rsid w:val="00AC393D"/>
    <w:rsid w:val="00AD5CFE"/>
    <w:rsid w:val="00AD69F9"/>
    <w:rsid w:val="00AE5A46"/>
    <w:rsid w:val="00AE73AD"/>
    <w:rsid w:val="00AF6E49"/>
    <w:rsid w:val="00B04A67"/>
    <w:rsid w:val="00B0583C"/>
    <w:rsid w:val="00B077CB"/>
    <w:rsid w:val="00B11C44"/>
    <w:rsid w:val="00B131C2"/>
    <w:rsid w:val="00B16013"/>
    <w:rsid w:val="00B3673E"/>
    <w:rsid w:val="00B36E39"/>
    <w:rsid w:val="00B37038"/>
    <w:rsid w:val="00B40A81"/>
    <w:rsid w:val="00B4390B"/>
    <w:rsid w:val="00B447F3"/>
    <w:rsid w:val="00B44910"/>
    <w:rsid w:val="00B473A4"/>
    <w:rsid w:val="00B47B8F"/>
    <w:rsid w:val="00B71F52"/>
    <w:rsid w:val="00B72267"/>
    <w:rsid w:val="00B769F8"/>
    <w:rsid w:val="00B76EB6"/>
    <w:rsid w:val="00B80501"/>
    <w:rsid w:val="00B824C8"/>
    <w:rsid w:val="00B85905"/>
    <w:rsid w:val="00BA74C0"/>
    <w:rsid w:val="00BB1653"/>
    <w:rsid w:val="00BC251A"/>
    <w:rsid w:val="00BD032B"/>
    <w:rsid w:val="00BD23BA"/>
    <w:rsid w:val="00BD434A"/>
    <w:rsid w:val="00BD6810"/>
    <w:rsid w:val="00BE2640"/>
    <w:rsid w:val="00BE30A1"/>
    <w:rsid w:val="00BF27F0"/>
    <w:rsid w:val="00BF30E1"/>
    <w:rsid w:val="00C01189"/>
    <w:rsid w:val="00C036F8"/>
    <w:rsid w:val="00C03DBE"/>
    <w:rsid w:val="00C10BB5"/>
    <w:rsid w:val="00C10E06"/>
    <w:rsid w:val="00C11946"/>
    <w:rsid w:val="00C15D3A"/>
    <w:rsid w:val="00C374DE"/>
    <w:rsid w:val="00C37D85"/>
    <w:rsid w:val="00C413A2"/>
    <w:rsid w:val="00C43F99"/>
    <w:rsid w:val="00C47AD4"/>
    <w:rsid w:val="00C52D81"/>
    <w:rsid w:val="00C55198"/>
    <w:rsid w:val="00C664FA"/>
    <w:rsid w:val="00C67EE1"/>
    <w:rsid w:val="00C7661B"/>
    <w:rsid w:val="00C8040F"/>
    <w:rsid w:val="00C80D79"/>
    <w:rsid w:val="00CA2DFB"/>
    <w:rsid w:val="00CA4FA5"/>
    <w:rsid w:val="00CA6393"/>
    <w:rsid w:val="00CB05C9"/>
    <w:rsid w:val="00CB18FF"/>
    <w:rsid w:val="00CB2EF4"/>
    <w:rsid w:val="00CB6CC0"/>
    <w:rsid w:val="00CC5EF0"/>
    <w:rsid w:val="00CC6297"/>
    <w:rsid w:val="00CD0C08"/>
    <w:rsid w:val="00CE03FB"/>
    <w:rsid w:val="00CE433C"/>
    <w:rsid w:val="00CF33F3"/>
    <w:rsid w:val="00D00FA2"/>
    <w:rsid w:val="00D0283E"/>
    <w:rsid w:val="00D0338D"/>
    <w:rsid w:val="00D04754"/>
    <w:rsid w:val="00D06183"/>
    <w:rsid w:val="00D15B67"/>
    <w:rsid w:val="00D20CD2"/>
    <w:rsid w:val="00D220F0"/>
    <w:rsid w:val="00D22C42"/>
    <w:rsid w:val="00D3247C"/>
    <w:rsid w:val="00D3608E"/>
    <w:rsid w:val="00D65041"/>
    <w:rsid w:val="00D84BBD"/>
    <w:rsid w:val="00D9148E"/>
    <w:rsid w:val="00D945E6"/>
    <w:rsid w:val="00DA51F3"/>
    <w:rsid w:val="00DA6905"/>
    <w:rsid w:val="00DB3343"/>
    <w:rsid w:val="00DD4EB3"/>
    <w:rsid w:val="00DE2B20"/>
    <w:rsid w:val="00DF0F5D"/>
    <w:rsid w:val="00E00F7D"/>
    <w:rsid w:val="00E10E80"/>
    <w:rsid w:val="00E124F0"/>
    <w:rsid w:val="00E1313D"/>
    <w:rsid w:val="00E378C5"/>
    <w:rsid w:val="00E37B16"/>
    <w:rsid w:val="00E40A18"/>
    <w:rsid w:val="00E50695"/>
    <w:rsid w:val="00E51EC9"/>
    <w:rsid w:val="00E60F04"/>
    <w:rsid w:val="00E8096B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0045C"/>
    <w:rsid w:val="00F01842"/>
    <w:rsid w:val="00F2150A"/>
    <w:rsid w:val="00F231D8"/>
    <w:rsid w:val="00F31144"/>
    <w:rsid w:val="00F334D6"/>
    <w:rsid w:val="00F36F73"/>
    <w:rsid w:val="00F44ED7"/>
    <w:rsid w:val="00F46C5F"/>
    <w:rsid w:val="00F54A63"/>
    <w:rsid w:val="00F56D59"/>
    <w:rsid w:val="00F60A27"/>
    <w:rsid w:val="00F70098"/>
    <w:rsid w:val="00F73F49"/>
    <w:rsid w:val="00F83DA1"/>
    <w:rsid w:val="00F856EC"/>
    <w:rsid w:val="00F94A63"/>
    <w:rsid w:val="00F96CA1"/>
    <w:rsid w:val="00FB4CEC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D0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76D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6D03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numPr>
        <w:ilvl w:val="0"/>
        <w:numId w:val="0"/>
      </w:num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D20C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">
    <w:name w:val="bri"/>
    <w:basedOn w:val="DefaultParagraphFont"/>
    <w:rsid w:val="0095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05-ITR.EG-INF-000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1319</Words>
  <Characters>129</Characters>
  <Application>Microsoft Office Word</Application>
  <DocSecurity>4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Australia, Canada, and the United States of America</vt:lpstr>
    </vt:vector>
  </TitlesOfParts>
  <Manager>General Secretariat - Pool</Manager>
  <Company>International Telecommunication Union (ITU)</Company>
  <LinksUpToDate>false</LinksUpToDate>
  <CharactersWithSpaces>1446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nternational Telecommunication Regulations</dc:title>
  <dc:subject>EG-ITRs</dc:subject>
  <dc:creator>Brouard, Ricarda</dc:creator>
  <cp:keywords>EG-ITRs</cp:keywords>
  <dc:description/>
  <cp:lastModifiedBy>Xue, Kun</cp:lastModifiedBy>
  <cp:revision>2</cp:revision>
  <cp:lastPrinted>2000-07-18T13:30:00Z</cp:lastPrinted>
  <dcterms:created xsi:type="dcterms:W3CDTF">2021-09-28T11:16:00Z</dcterms:created>
  <dcterms:modified xsi:type="dcterms:W3CDTF">2021-09-28T11:16:00Z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