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000" w:firstRow="0" w:lastRow="0" w:firstColumn="0" w:lastColumn="0" w:noHBand="0" w:noVBand="0"/>
      </w:tblPr>
      <w:tblGrid>
        <w:gridCol w:w="6469"/>
        <w:gridCol w:w="3561"/>
      </w:tblGrid>
      <w:tr w:rsidR="00923A1B" w:rsidRPr="00790F2A" w14:paraId="6E1681AE" w14:textId="77777777" w:rsidTr="00162982">
        <w:trPr>
          <w:cantSplit/>
          <w:trHeight w:val="851"/>
        </w:trPr>
        <w:tc>
          <w:tcPr>
            <w:tcW w:w="6469" w:type="dxa"/>
            <w:vAlign w:val="center"/>
          </w:tcPr>
          <w:p w14:paraId="29D32417" w14:textId="6B731704" w:rsidR="00923A1B" w:rsidRPr="00790F2A" w:rsidRDefault="000854C6" w:rsidP="00A7440D">
            <w:pPr>
              <w:shd w:val="solid" w:color="FFFFFF" w:fill="FFFFFF"/>
              <w:spacing w:before="40" w:after="120"/>
              <w:rPr>
                <w:rFonts w:cs="Times"/>
                <w:b/>
              </w:rPr>
            </w:pPr>
            <w:r w:rsidRPr="00790F2A">
              <w:rPr>
                <w:rFonts w:cs="Times"/>
                <w:b/>
                <w:sz w:val="30"/>
                <w:szCs w:val="30"/>
              </w:rPr>
              <w:t>Expert Group on the International</w:t>
            </w:r>
            <w:r w:rsidRPr="00790F2A">
              <w:rPr>
                <w:rFonts w:cs="Times"/>
                <w:b/>
                <w:sz w:val="30"/>
                <w:szCs w:val="30"/>
              </w:rPr>
              <w:br/>
              <w:t>Telecommunication Regulations (EG-ITRs)</w:t>
            </w:r>
            <w:r w:rsidR="00162982" w:rsidRPr="00790F2A">
              <w:rPr>
                <w:rFonts w:cs="Times"/>
                <w:b/>
                <w:sz w:val="32"/>
                <w:szCs w:val="32"/>
              </w:rPr>
              <w:br/>
            </w:r>
            <w:r w:rsidR="000349C4">
              <w:rPr>
                <w:b/>
                <w:bCs/>
                <w:sz w:val="24"/>
                <w:szCs w:val="24"/>
              </w:rPr>
              <w:t>Fifth</w:t>
            </w:r>
            <w:r w:rsidR="002C2D6C" w:rsidRPr="00790F2A">
              <w:rPr>
                <w:b/>
                <w:bCs/>
                <w:sz w:val="24"/>
                <w:szCs w:val="24"/>
              </w:rPr>
              <w:t xml:space="preserve"> </w:t>
            </w:r>
            <w:r w:rsidR="00162982" w:rsidRPr="00790F2A">
              <w:rPr>
                <w:b/>
                <w:bCs/>
                <w:sz w:val="24"/>
                <w:szCs w:val="24"/>
              </w:rPr>
              <w:t xml:space="preserve">meeting </w:t>
            </w:r>
            <w:r w:rsidR="002C2D6C" w:rsidRPr="00790F2A">
              <w:rPr>
                <w:b/>
                <w:bCs/>
                <w:sz w:val="24"/>
                <w:szCs w:val="24"/>
              </w:rPr>
              <w:t>–</w:t>
            </w:r>
            <w:r w:rsidR="00162982" w:rsidRPr="00790F2A">
              <w:rPr>
                <w:b/>
                <w:bCs/>
                <w:sz w:val="24"/>
                <w:szCs w:val="24"/>
              </w:rPr>
              <w:t xml:space="preserve"> </w:t>
            </w:r>
            <w:r w:rsidR="002C2D6C" w:rsidRPr="00790F2A">
              <w:rPr>
                <w:b/>
                <w:bCs/>
                <w:sz w:val="24"/>
                <w:szCs w:val="24"/>
              </w:rPr>
              <w:t>Virtual meeting</w:t>
            </w:r>
            <w:r w:rsidR="00162982" w:rsidRPr="00790F2A">
              <w:rPr>
                <w:b/>
                <w:bCs/>
                <w:sz w:val="24"/>
                <w:szCs w:val="24"/>
              </w:rPr>
              <w:t xml:space="preserve">, </w:t>
            </w:r>
            <w:r w:rsidR="00BD434A">
              <w:rPr>
                <w:b/>
                <w:bCs/>
                <w:sz w:val="24"/>
                <w:szCs w:val="24"/>
              </w:rPr>
              <w:t>3</w:t>
            </w:r>
            <w:r w:rsidR="000349C4">
              <w:rPr>
                <w:b/>
                <w:bCs/>
                <w:sz w:val="24"/>
                <w:szCs w:val="24"/>
              </w:rPr>
              <w:t>0 September</w:t>
            </w:r>
            <w:r w:rsidR="00BD434A">
              <w:rPr>
                <w:b/>
                <w:bCs/>
                <w:sz w:val="24"/>
                <w:szCs w:val="24"/>
              </w:rPr>
              <w:t>-</w:t>
            </w:r>
            <w:r w:rsidR="000349C4">
              <w:rPr>
                <w:b/>
                <w:bCs/>
                <w:sz w:val="24"/>
                <w:szCs w:val="24"/>
              </w:rPr>
              <w:t>1 October</w:t>
            </w:r>
            <w:r w:rsidR="002C2D6C" w:rsidRPr="00790F2A">
              <w:rPr>
                <w:b/>
                <w:bCs/>
                <w:sz w:val="24"/>
                <w:szCs w:val="24"/>
              </w:rPr>
              <w:t xml:space="preserve"> 202</w:t>
            </w:r>
            <w:r w:rsidR="00BD434A">
              <w:rPr>
                <w:b/>
                <w:bCs/>
                <w:sz w:val="24"/>
                <w:szCs w:val="24"/>
              </w:rPr>
              <w:t>1</w:t>
            </w:r>
          </w:p>
        </w:tc>
        <w:tc>
          <w:tcPr>
            <w:tcW w:w="3561" w:type="dxa"/>
            <w:vAlign w:val="center"/>
          </w:tcPr>
          <w:p w14:paraId="241C55DB" w14:textId="785EB79F" w:rsidR="00923A1B" w:rsidRPr="00790F2A" w:rsidRDefault="00B36E39" w:rsidP="00162982">
            <w:pPr>
              <w:pStyle w:val="dnum"/>
              <w:framePr w:hSpace="0" w:wrap="auto" w:vAnchor="margin" w:hAnchor="text" w:yAlign="inline"/>
              <w:spacing w:after="0"/>
            </w:pPr>
            <w:r w:rsidRPr="00790F2A">
              <w:rPr>
                <w:noProof/>
              </w:rPr>
              <w:drawing>
                <wp:inline distT="0" distB="0" distL="0" distR="0" wp14:anchorId="64B7344A" wp14:editId="74C16E67">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923A1B" w:rsidRPr="00790F2A" w14:paraId="406D6FB1" w14:textId="77777777" w:rsidTr="00162982">
        <w:trPr>
          <w:cantSplit/>
          <w:trHeight w:val="138"/>
        </w:trPr>
        <w:tc>
          <w:tcPr>
            <w:tcW w:w="6469" w:type="dxa"/>
            <w:tcBorders>
              <w:top w:val="single" w:sz="12" w:space="0" w:color="auto"/>
            </w:tcBorders>
          </w:tcPr>
          <w:p w14:paraId="1D6AF3F8" w14:textId="77777777" w:rsidR="00923A1B" w:rsidRPr="00790F2A" w:rsidRDefault="00923A1B" w:rsidP="00162982">
            <w:pPr>
              <w:shd w:val="solid" w:color="FFFFFF" w:fill="FFFFFF"/>
              <w:spacing w:after="0"/>
              <w:ind w:right="284"/>
            </w:pPr>
          </w:p>
        </w:tc>
        <w:tc>
          <w:tcPr>
            <w:tcW w:w="3561" w:type="dxa"/>
            <w:tcBorders>
              <w:top w:val="single" w:sz="12" w:space="0" w:color="auto"/>
            </w:tcBorders>
          </w:tcPr>
          <w:p w14:paraId="2B1E31E9" w14:textId="77777777" w:rsidR="00923A1B" w:rsidRPr="00790F2A" w:rsidRDefault="00923A1B" w:rsidP="00162982">
            <w:pPr>
              <w:tabs>
                <w:tab w:val="left" w:pos="851"/>
              </w:tabs>
              <w:spacing w:after="0"/>
              <w:ind w:right="284"/>
              <w:rPr>
                <w:rFonts w:ascii="Times New Roman Bold" w:hAnsi="Times New Roman Bold" w:cs="Times New Roman Bold"/>
                <w:b/>
              </w:rPr>
            </w:pPr>
          </w:p>
        </w:tc>
      </w:tr>
      <w:tr w:rsidR="00923A1B" w:rsidRPr="00267B6A" w14:paraId="1BBCA794" w14:textId="77777777" w:rsidTr="00162982">
        <w:trPr>
          <w:cantSplit/>
          <w:trHeight w:val="138"/>
        </w:trPr>
        <w:tc>
          <w:tcPr>
            <w:tcW w:w="6469" w:type="dxa"/>
          </w:tcPr>
          <w:p w14:paraId="4162AE0B" w14:textId="31302F2B" w:rsidR="00923A1B" w:rsidRPr="00EE28ED" w:rsidRDefault="00923A1B" w:rsidP="00162982">
            <w:pPr>
              <w:spacing w:after="0"/>
              <w:rPr>
                <w:b/>
                <w:bCs/>
                <w:sz w:val="24"/>
                <w:szCs w:val="24"/>
              </w:rPr>
            </w:pPr>
          </w:p>
        </w:tc>
        <w:tc>
          <w:tcPr>
            <w:tcW w:w="3561" w:type="dxa"/>
          </w:tcPr>
          <w:p w14:paraId="01BBC68C" w14:textId="7476EA48" w:rsidR="00923A1B" w:rsidRPr="009340E2" w:rsidRDefault="00923A1B" w:rsidP="00162982">
            <w:pPr>
              <w:spacing w:after="0"/>
              <w:rPr>
                <w:b/>
                <w:bCs/>
                <w:sz w:val="24"/>
                <w:szCs w:val="24"/>
                <w:lang w:val="fr-CH"/>
              </w:rPr>
            </w:pPr>
            <w:r w:rsidRPr="009340E2">
              <w:rPr>
                <w:b/>
                <w:bCs/>
                <w:sz w:val="24"/>
                <w:szCs w:val="24"/>
                <w:lang w:val="fr-CH"/>
              </w:rPr>
              <w:t xml:space="preserve">Document </w:t>
            </w:r>
            <w:r w:rsidR="000854C6" w:rsidRPr="009340E2">
              <w:rPr>
                <w:b/>
                <w:bCs/>
                <w:sz w:val="24"/>
                <w:szCs w:val="24"/>
                <w:lang w:val="fr-CH"/>
              </w:rPr>
              <w:t>EG-ITRs</w:t>
            </w:r>
            <w:r w:rsidR="00A7440D" w:rsidRPr="009340E2">
              <w:rPr>
                <w:b/>
                <w:bCs/>
                <w:sz w:val="24"/>
                <w:szCs w:val="24"/>
                <w:lang w:val="fr-CH"/>
              </w:rPr>
              <w:t>-</w:t>
            </w:r>
            <w:r w:rsidR="000349C4" w:rsidRPr="009340E2">
              <w:rPr>
                <w:b/>
                <w:bCs/>
                <w:sz w:val="24"/>
                <w:szCs w:val="24"/>
                <w:lang w:val="fr-CH"/>
              </w:rPr>
              <w:t>5</w:t>
            </w:r>
            <w:r w:rsidR="00236464" w:rsidRPr="009340E2">
              <w:rPr>
                <w:b/>
                <w:bCs/>
                <w:sz w:val="24"/>
                <w:szCs w:val="24"/>
                <w:lang w:val="fr-CH"/>
              </w:rPr>
              <w:t>/</w:t>
            </w:r>
            <w:r w:rsidR="00242528">
              <w:rPr>
                <w:b/>
                <w:bCs/>
                <w:sz w:val="24"/>
                <w:szCs w:val="24"/>
                <w:lang w:val="fr-CH"/>
              </w:rPr>
              <w:t>4</w:t>
            </w:r>
            <w:r w:rsidR="00267B6A">
              <w:rPr>
                <w:b/>
                <w:bCs/>
                <w:sz w:val="24"/>
                <w:szCs w:val="24"/>
                <w:lang w:val="fr-CH"/>
              </w:rPr>
              <w:t>-E</w:t>
            </w:r>
          </w:p>
        </w:tc>
      </w:tr>
      <w:tr w:rsidR="00923A1B" w:rsidRPr="00EE28ED" w14:paraId="100AEFFF" w14:textId="77777777" w:rsidTr="00162982">
        <w:trPr>
          <w:cantSplit/>
          <w:trHeight w:val="138"/>
        </w:trPr>
        <w:tc>
          <w:tcPr>
            <w:tcW w:w="6469" w:type="dxa"/>
          </w:tcPr>
          <w:p w14:paraId="2F758D85" w14:textId="77777777" w:rsidR="00923A1B" w:rsidRPr="009340E2" w:rsidRDefault="00923A1B" w:rsidP="00162982">
            <w:pPr>
              <w:shd w:val="solid" w:color="FFFFFF" w:fill="FFFFFF"/>
              <w:spacing w:after="0"/>
              <w:ind w:right="284"/>
              <w:rPr>
                <w:sz w:val="24"/>
                <w:szCs w:val="24"/>
                <w:highlight w:val="yellow"/>
                <w:lang w:val="fr-CH"/>
              </w:rPr>
            </w:pPr>
          </w:p>
        </w:tc>
        <w:tc>
          <w:tcPr>
            <w:tcW w:w="3561" w:type="dxa"/>
          </w:tcPr>
          <w:p w14:paraId="4BC2ED00" w14:textId="1569758C" w:rsidR="00923A1B" w:rsidRPr="000349C4" w:rsidRDefault="00267B6A" w:rsidP="000C5350">
            <w:pPr>
              <w:tabs>
                <w:tab w:val="left" w:pos="851"/>
              </w:tabs>
              <w:spacing w:after="0"/>
              <w:ind w:right="284"/>
              <w:rPr>
                <w:b/>
                <w:sz w:val="24"/>
                <w:szCs w:val="24"/>
                <w:highlight w:val="yellow"/>
              </w:rPr>
            </w:pPr>
            <w:r>
              <w:rPr>
                <w:b/>
                <w:sz w:val="24"/>
                <w:szCs w:val="24"/>
              </w:rPr>
              <w:t>1</w:t>
            </w:r>
            <w:r w:rsidR="00BD2FF8">
              <w:rPr>
                <w:rFonts w:hint="eastAsia"/>
                <w:b/>
                <w:sz w:val="24"/>
                <w:szCs w:val="24"/>
              </w:rPr>
              <w:t>3</w:t>
            </w:r>
            <w:r w:rsidR="00933C23" w:rsidRPr="00933C23">
              <w:rPr>
                <w:b/>
                <w:sz w:val="24"/>
                <w:szCs w:val="24"/>
              </w:rPr>
              <w:t xml:space="preserve"> </w:t>
            </w:r>
            <w:r w:rsidR="00AE73AD">
              <w:rPr>
                <w:b/>
                <w:sz w:val="24"/>
                <w:szCs w:val="24"/>
              </w:rPr>
              <w:t>September</w:t>
            </w:r>
            <w:r w:rsidR="000C5350" w:rsidRPr="00933C23">
              <w:rPr>
                <w:b/>
                <w:sz w:val="24"/>
                <w:szCs w:val="24"/>
              </w:rPr>
              <w:t xml:space="preserve"> 202</w:t>
            </w:r>
            <w:r w:rsidR="00933C23" w:rsidRPr="00933C23">
              <w:rPr>
                <w:b/>
                <w:sz w:val="24"/>
                <w:szCs w:val="24"/>
              </w:rPr>
              <w:t>1</w:t>
            </w:r>
          </w:p>
        </w:tc>
      </w:tr>
      <w:tr w:rsidR="00923A1B" w:rsidRPr="00790F2A" w14:paraId="71FD0A17" w14:textId="77777777" w:rsidTr="00162982">
        <w:trPr>
          <w:cantSplit/>
          <w:trHeight w:val="138"/>
        </w:trPr>
        <w:tc>
          <w:tcPr>
            <w:tcW w:w="6469" w:type="dxa"/>
          </w:tcPr>
          <w:p w14:paraId="0EA5B8B2" w14:textId="77777777" w:rsidR="00923A1B" w:rsidRPr="00790F2A" w:rsidRDefault="00923A1B" w:rsidP="00162982">
            <w:pPr>
              <w:shd w:val="solid" w:color="FFFFFF" w:fill="FFFFFF"/>
              <w:spacing w:after="0"/>
              <w:ind w:right="284"/>
              <w:rPr>
                <w:sz w:val="24"/>
                <w:szCs w:val="24"/>
              </w:rPr>
            </w:pPr>
          </w:p>
        </w:tc>
        <w:tc>
          <w:tcPr>
            <w:tcW w:w="3561" w:type="dxa"/>
          </w:tcPr>
          <w:p w14:paraId="06AB3AD7" w14:textId="07B5AE29" w:rsidR="00923A1B" w:rsidRPr="00790F2A" w:rsidRDefault="00AB5B56" w:rsidP="00162982">
            <w:pPr>
              <w:tabs>
                <w:tab w:val="left" w:pos="851"/>
              </w:tabs>
              <w:spacing w:after="0"/>
              <w:ind w:right="284"/>
              <w:rPr>
                <w:b/>
                <w:sz w:val="24"/>
                <w:szCs w:val="24"/>
              </w:rPr>
            </w:pPr>
            <w:r>
              <w:rPr>
                <w:b/>
                <w:sz w:val="24"/>
                <w:szCs w:val="24"/>
              </w:rPr>
              <w:t>Original: English</w:t>
            </w:r>
          </w:p>
        </w:tc>
      </w:tr>
      <w:tr w:rsidR="000854C6" w:rsidRPr="00790F2A" w14:paraId="27824CBA" w14:textId="77777777" w:rsidTr="00162982">
        <w:trPr>
          <w:cantSplit/>
          <w:trHeight w:val="138"/>
        </w:trPr>
        <w:tc>
          <w:tcPr>
            <w:tcW w:w="10030" w:type="dxa"/>
            <w:gridSpan w:val="2"/>
          </w:tcPr>
          <w:p w14:paraId="3C367A2B" w14:textId="31B890BF" w:rsidR="00AB5B56" w:rsidRPr="00AB5B56" w:rsidRDefault="00BD2FF8" w:rsidP="002A0DB3">
            <w:pPr>
              <w:pStyle w:val="Title2"/>
              <w:spacing w:line="240" w:lineRule="auto"/>
              <w:rPr>
                <w:b/>
                <w:bCs/>
              </w:rPr>
            </w:pPr>
            <w:bookmarkStart w:id="0" w:name="_Hlk81929864"/>
            <w:r w:rsidRPr="00BD2FF8">
              <w:rPr>
                <w:b/>
                <w:bCs/>
              </w:rPr>
              <w:t>China (People's Republic of)</w:t>
            </w:r>
          </w:p>
          <w:p w14:paraId="11774442" w14:textId="1591BC86" w:rsidR="00C80D79" w:rsidRPr="00790F2A" w:rsidRDefault="00BD2FF8" w:rsidP="002A0DB3">
            <w:pPr>
              <w:pStyle w:val="Title2"/>
              <w:spacing w:line="240" w:lineRule="auto"/>
            </w:pPr>
            <w:r w:rsidRPr="00BD2FF8">
              <w:t>Recommendations of the Next Step of the Expert Group on the International Telecommunication Regulations (EG-ITRs)</w:t>
            </w:r>
            <w:r w:rsidR="000349C4">
              <w:br/>
            </w:r>
            <w:bookmarkEnd w:id="0"/>
          </w:p>
        </w:tc>
      </w:tr>
    </w:tbl>
    <w:p w14:paraId="03B3DBC0" w14:textId="05586206" w:rsidR="00BD2FF8" w:rsidRPr="00BD2FF8" w:rsidRDefault="00BD2FF8" w:rsidP="002A0DB3">
      <w:pPr>
        <w:widowControl w:val="0"/>
        <w:numPr>
          <w:ilvl w:val="0"/>
          <w:numId w:val="26"/>
        </w:numPr>
        <w:spacing w:before="360" w:after="120" w:line="240" w:lineRule="auto"/>
        <w:jc w:val="both"/>
        <w:rPr>
          <w:rFonts w:ascii="Calibri" w:eastAsia="SimSun" w:hAnsi="Calibri" w:cs="Calibri"/>
          <w:b/>
          <w:bCs/>
          <w:kern w:val="2"/>
          <w:sz w:val="26"/>
          <w:szCs w:val="26"/>
          <w:lang w:val="en-US"/>
        </w:rPr>
      </w:pPr>
      <w:r w:rsidRPr="00BD2FF8">
        <w:rPr>
          <w:rFonts w:ascii="Calibri" w:eastAsia="SimSun" w:hAnsi="Calibri" w:cs="Calibri"/>
          <w:b/>
          <w:bCs/>
          <w:kern w:val="2"/>
          <w:sz w:val="26"/>
          <w:szCs w:val="26"/>
          <w:lang w:val="en-US"/>
        </w:rPr>
        <w:t>Introduction</w:t>
      </w:r>
    </w:p>
    <w:p w14:paraId="2601F7AB" w14:textId="72D0F7D4" w:rsidR="00BD2FF8" w:rsidRPr="00BD2FF8" w:rsidRDefault="00BD2FF8" w:rsidP="002A0DB3">
      <w:pPr>
        <w:widowControl w:val="0"/>
        <w:spacing w:before="120" w:after="120" w:line="240" w:lineRule="auto"/>
        <w:jc w:val="both"/>
        <w:rPr>
          <w:rFonts w:ascii="Calibri" w:eastAsia="SimSun" w:hAnsi="Calibri" w:cs="Calibri"/>
          <w:kern w:val="2"/>
          <w:sz w:val="24"/>
          <w:szCs w:val="24"/>
          <w:lang w:val="en-US"/>
        </w:rPr>
      </w:pPr>
      <w:r w:rsidRPr="00BD2FF8">
        <w:rPr>
          <w:rFonts w:ascii="Calibri" w:eastAsia="SimSun" w:hAnsi="Calibri" w:cs="Calibri"/>
          <w:kern w:val="2"/>
          <w:sz w:val="24"/>
          <w:szCs w:val="24"/>
          <w:lang w:val="en-US"/>
        </w:rPr>
        <w:t>Resolution 146 (Rev. Dubai, 2018) adopted by PP-18 resolves to conduct a comprehensive review of the International Telecommunication Regulations (ITRs) and instructs the Secretary-General to reconvene an EG-ITRs to review the ITRs. ITU Council Resolution 1379 (Modified 2019) identified the terms of reference (TOR) of the EG-ITRs.</w:t>
      </w:r>
    </w:p>
    <w:p w14:paraId="34872753" w14:textId="55C06F0F" w:rsidR="00BD2FF8" w:rsidRPr="00BD2FF8" w:rsidRDefault="00BD2FF8" w:rsidP="002A0DB3">
      <w:pPr>
        <w:widowControl w:val="0"/>
        <w:spacing w:before="120" w:after="120" w:line="240" w:lineRule="auto"/>
        <w:jc w:val="both"/>
        <w:rPr>
          <w:rFonts w:ascii="Calibri" w:eastAsia="SimSun" w:hAnsi="Calibri" w:cs="Calibri"/>
          <w:kern w:val="2"/>
          <w:sz w:val="24"/>
          <w:szCs w:val="24"/>
          <w:lang w:val="en-US"/>
        </w:rPr>
      </w:pPr>
      <w:r w:rsidRPr="00BD2FF8">
        <w:rPr>
          <w:rFonts w:ascii="Calibri" w:eastAsia="SimSun" w:hAnsi="Calibri" w:cs="Calibri"/>
          <w:kern w:val="2"/>
          <w:sz w:val="24"/>
          <w:szCs w:val="24"/>
          <w:lang w:val="en-US"/>
        </w:rPr>
        <w:t>In September 2019, EG-ITRs held its first meeting in Geneva. All parties agreed on the working methods and work plans for the review of ITRs and developed a template (known as "Examination Table") for reviewing the ITRs provision-by-provision in accordance with the TOR of the EG-ITRs and the "Work Plan" approved by all parties.</w:t>
      </w:r>
    </w:p>
    <w:p w14:paraId="3FFC6A94" w14:textId="77777777" w:rsidR="00BD2FF8" w:rsidRPr="00BD2FF8" w:rsidRDefault="00BD2FF8" w:rsidP="002A0DB3">
      <w:pPr>
        <w:widowControl w:val="0"/>
        <w:spacing w:before="120" w:after="120" w:line="240" w:lineRule="auto"/>
        <w:jc w:val="both"/>
        <w:rPr>
          <w:rFonts w:ascii="Calibri" w:eastAsia="SimSun" w:hAnsi="Calibri" w:cs="Calibri"/>
          <w:kern w:val="2"/>
          <w:sz w:val="24"/>
          <w:szCs w:val="24"/>
          <w:lang w:val="en-US"/>
        </w:rPr>
      </w:pPr>
      <w:r w:rsidRPr="00BD2FF8">
        <w:rPr>
          <w:rFonts w:ascii="Calibri" w:eastAsia="SimSun" w:hAnsi="Calibri" w:cs="Calibri"/>
          <w:kern w:val="2"/>
          <w:sz w:val="24"/>
          <w:szCs w:val="24"/>
          <w:lang w:val="en-US"/>
        </w:rPr>
        <w:t>In accordance with the Work Plan, the EG-ITRs held their second, third and fourth meetings from February 2020 to February 2021. During this period, the EG-ITRs successfully completed the provision-by-provision examination of the 2012 edition of the ITRs.</w:t>
      </w:r>
    </w:p>
    <w:p w14:paraId="519177EC" w14:textId="77777777" w:rsidR="00BD2FF8" w:rsidRPr="00BD2FF8" w:rsidRDefault="00BD2FF8" w:rsidP="002A0DB3">
      <w:pPr>
        <w:widowControl w:val="0"/>
        <w:numPr>
          <w:ilvl w:val="0"/>
          <w:numId w:val="26"/>
        </w:numPr>
        <w:shd w:val="clear" w:color="auto" w:fill="FFFFFF"/>
        <w:spacing w:before="360" w:after="120" w:line="240" w:lineRule="auto"/>
        <w:jc w:val="both"/>
        <w:rPr>
          <w:rFonts w:ascii="Calibri" w:eastAsia="SimSun" w:hAnsi="Calibri" w:cs="Calibri"/>
          <w:b/>
          <w:bCs/>
          <w:color w:val="333333"/>
          <w:sz w:val="26"/>
          <w:szCs w:val="26"/>
          <w:lang w:val="en-US"/>
        </w:rPr>
      </w:pPr>
      <w:r w:rsidRPr="00BD2FF8">
        <w:rPr>
          <w:rFonts w:ascii="Calibri" w:eastAsia="SimSun" w:hAnsi="Calibri" w:cs="Calibri"/>
          <w:b/>
          <w:bCs/>
          <w:color w:val="333333"/>
          <w:sz w:val="26"/>
          <w:szCs w:val="26"/>
          <w:lang w:val="en-US"/>
        </w:rPr>
        <w:t>Recommendations for the Next Step</w:t>
      </w:r>
    </w:p>
    <w:p w14:paraId="54B26F80" w14:textId="77777777" w:rsidR="00BD2FF8" w:rsidRPr="00BD2FF8" w:rsidRDefault="00BD2FF8" w:rsidP="002A0DB3">
      <w:pPr>
        <w:shd w:val="clear" w:color="auto" w:fill="FFFFFF"/>
        <w:spacing w:before="120" w:after="120" w:line="240" w:lineRule="auto"/>
        <w:jc w:val="both"/>
        <w:rPr>
          <w:rFonts w:ascii="Calibri" w:eastAsia="SimSun" w:hAnsi="Calibri" w:cs="Calibri"/>
          <w:color w:val="333333"/>
          <w:sz w:val="24"/>
          <w:szCs w:val="24"/>
          <w:lang w:val="en-US"/>
        </w:rPr>
      </w:pPr>
      <w:r w:rsidRPr="00BD2FF8">
        <w:rPr>
          <w:rFonts w:ascii="Calibri" w:eastAsia="SimSun" w:hAnsi="Calibri" w:cs="Calibri"/>
          <w:color w:val="333333"/>
          <w:sz w:val="24"/>
          <w:szCs w:val="24"/>
          <w:lang w:val="en-US"/>
        </w:rPr>
        <w:t>In accordance with Resolution 1379 (Modified 2019) and the approved Work Plan, the EG-ITRs will discuss the overall observations of members on the 2012 edition of the ITRs based on the provision-by-provision exanimation conducted during the first four meetings and complete the report of the EG-ITRs to be summitted to Council 2022 .Based on the TOR of EG-ITRs and the consensus reached at the previous four meetings, China would like to put forward the following recommendations for the next step of the EG-ITRs:</w:t>
      </w:r>
    </w:p>
    <w:p w14:paraId="5C6C6860" w14:textId="46939E03" w:rsidR="00BD2FF8" w:rsidRPr="00BD2FF8" w:rsidRDefault="00BD2FF8" w:rsidP="002A0DB3">
      <w:pPr>
        <w:shd w:val="clear" w:color="auto" w:fill="FFFFFF"/>
        <w:spacing w:before="120" w:after="120" w:line="240" w:lineRule="auto"/>
        <w:jc w:val="both"/>
        <w:rPr>
          <w:rFonts w:ascii="Calibri" w:eastAsia="SimSun" w:hAnsi="Calibri" w:cs="Calibri"/>
          <w:color w:val="333333"/>
          <w:sz w:val="24"/>
          <w:szCs w:val="24"/>
          <w:lang w:val="en-US"/>
        </w:rPr>
      </w:pPr>
      <w:r w:rsidRPr="00BD2FF8">
        <w:rPr>
          <w:rFonts w:ascii="Calibri" w:eastAsia="SimSun" w:hAnsi="Calibri" w:cs="Calibri"/>
          <w:color w:val="333333"/>
          <w:sz w:val="24"/>
          <w:szCs w:val="24"/>
          <w:lang w:val="en-US"/>
        </w:rPr>
        <w:t>1.</w:t>
      </w:r>
      <w:r w:rsidR="002A0DB3">
        <w:rPr>
          <w:rFonts w:ascii="Calibri" w:eastAsia="SimSun" w:hAnsi="Calibri" w:cs="Calibri"/>
          <w:color w:val="333333"/>
          <w:sz w:val="24"/>
          <w:szCs w:val="24"/>
          <w:lang w:val="en-US"/>
        </w:rPr>
        <w:tab/>
      </w:r>
      <w:r w:rsidRPr="00BD2FF8">
        <w:rPr>
          <w:rFonts w:ascii="Calibri" w:eastAsia="SimSun" w:hAnsi="Calibri" w:cs="Calibri"/>
          <w:color w:val="333333"/>
          <w:sz w:val="24"/>
          <w:szCs w:val="24"/>
          <w:lang w:val="en-US"/>
        </w:rPr>
        <w:t>It is proposed that the outcome of the review of the first four EG-ITRS meetings be fully recognized and utilized. The EG-ITRs has completed the provision-by-provision review of the 2012 edition of the ITRs and has formed the opinions on each provision in terms of “applicability in fostering provision and development of networks and services” and “flexibility to accommodate new trends and emergent issues”. The Summary</w:t>
      </w:r>
      <w:r w:rsidRPr="00BD2FF8">
        <w:rPr>
          <w:rFonts w:ascii="Calibri" w:eastAsia="SimSun" w:hAnsi="Calibri" w:cs="Calibri"/>
          <w:color w:val="000000"/>
          <w:sz w:val="24"/>
          <w:szCs w:val="24"/>
          <w:shd w:val="clear" w:color="auto" w:fill="FFFFFF"/>
          <w:lang w:val="en-US"/>
        </w:rPr>
        <w:t xml:space="preserve"> Outcome, which was filled as agreed by members,</w:t>
      </w:r>
      <w:r w:rsidRPr="00BD2FF8">
        <w:rPr>
          <w:rFonts w:ascii="Calibri" w:eastAsia="SimSun" w:hAnsi="Calibri" w:cs="Calibri"/>
          <w:color w:val="333333"/>
          <w:sz w:val="24"/>
          <w:szCs w:val="24"/>
          <w:lang w:val="en-US"/>
        </w:rPr>
        <w:t xml:space="preserve"> is the fundamental basis for all parties to discuss their overall observations on the 2012 edition of the ITRs and an important foundation for the EG-ITRS to carry out the next-step work.</w:t>
      </w:r>
    </w:p>
    <w:p w14:paraId="45ED13C6" w14:textId="5C9091B1" w:rsidR="00BD2FF8" w:rsidRPr="00BD2FF8" w:rsidRDefault="00BD2FF8" w:rsidP="002A0DB3">
      <w:pPr>
        <w:shd w:val="clear" w:color="auto" w:fill="FFFFFF"/>
        <w:spacing w:before="120" w:after="120" w:line="240" w:lineRule="auto"/>
        <w:jc w:val="both"/>
        <w:rPr>
          <w:rFonts w:ascii="Calibri" w:eastAsia="SimSun" w:hAnsi="Calibri" w:cs="Calibri"/>
          <w:color w:val="333333"/>
          <w:sz w:val="24"/>
          <w:szCs w:val="24"/>
          <w:lang w:val="en-US"/>
        </w:rPr>
      </w:pPr>
      <w:r w:rsidRPr="00BD2FF8">
        <w:rPr>
          <w:rFonts w:ascii="Calibri" w:eastAsia="SimSun" w:hAnsi="Calibri" w:cs="Calibri"/>
          <w:color w:val="333333"/>
          <w:sz w:val="24"/>
          <w:szCs w:val="24"/>
          <w:lang w:val="en-US"/>
        </w:rPr>
        <w:lastRenderedPageBreak/>
        <w:t>2.</w:t>
      </w:r>
      <w:r w:rsidR="002A0DB3">
        <w:rPr>
          <w:rFonts w:ascii="Calibri" w:eastAsia="SimSun" w:hAnsi="Calibri" w:cs="Calibri"/>
          <w:color w:val="333333"/>
          <w:sz w:val="24"/>
          <w:szCs w:val="24"/>
          <w:lang w:val="en-US"/>
        </w:rPr>
        <w:tab/>
      </w:r>
      <w:r w:rsidRPr="00BD2FF8">
        <w:rPr>
          <w:rFonts w:ascii="Calibri" w:eastAsia="SimSun" w:hAnsi="Calibri" w:cs="Calibri"/>
          <w:color w:val="333333"/>
          <w:sz w:val="24"/>
          <w:szCs w:val="24"/>
          <w:lang w:val="en-US"/>
        </w:rPr>
        <w:t>Respect the patterns of technological development and promote the development of rules in parallel. ITU Council Resolution 1379 (Modified 2019) states the need to take into account new trends in telecommunications/ICT and emerging issues in international telecommunications/ICT environment. It is proposed that the parties look at the review of ITRs in a spirit of seeking truth from facts and from the perspective to promoting the development of the international telecommunications/ICTs to, fully understand new trends in telecommunications/ICT and emerging issues that have occurred or may occur as a result, conduct accurate analysis on the applicability of ITRs in fostering provision and development of networks and services, and the flexibility of ITRs to accommodate new trends and emergent issues, to make objective and reasonable judgments.</w:t>
      </w:r>
    </w:p>
    <w:p w14:paraId="331C7829" w14:textId="6C595FC5" w:rsidR="00BD2FF8" w:rsidRPr="00BD2FF8" w:rsidRDefault="00BD2FF8" w:rsidP="002A0DB3">
      <w:pPr>
        <w:shd w:val="clear" w:color="auto" w:fill="FFFFFF"/>
        <w:spacing w:before="120" w:after="120" w:line="240" w:lineRule="auto"/>
        <w:jc w:val="both"/>
        <w:rPr>
          <w:rFonts w:ascii="Calibri" w:eastAsia="SimSun" w:hAnsi="Calibri" w:cs="Calibri"/>
          <w:sz w:val="24"/>
          <w:szCs w:val="24"/>
          <w:lang w:val="en-US"/>
        </w:rPr>
      </w:pPr>
      <w:r w:rsidRPr="00BD2FF8">
        <w:rPr>
          <w:rFonts w:ascii="Calibri" w:eastAsia="SimSun" w:hAnsi="Calibri" w:cs="Calibri"/>
          <w:color w:val="333333"/>
          <w:sz w:val="24"/>
          <w:szCs w:val="24"/>
          <w:lang w:val="en-US"/>
        </w:rPr>
        <w:t>3.</w:t>
      </w:r>
      <w:r w:rsidR="002A0DB3">
        <w:rPr>
          <w:rFonts w:ascii="Calibri" w:eastAsia="SimSun" w:hAnsi="Calibri" w:cs="Calibri"/>
          <w:color w:val="333333"/>
          <w:sz w:val="24"/>
          <w:szCs w:val="24"/>
          <w:lang w:val="en-US"/>
        </w:rPr>
        <w:tab/>
      </w:r>
      <w:r w:rsidRPr="00BD2FF8">
        <w:rPr>
          <w:rFonts w:ascii="Calibri" w:eastAsia="SimSun" w:hAnsi="Calibri" w:cs="Calibri"/>
          <w:color w:val="333333"/>
          <w:sz w:val="24"/>
          <w:szCs w:val="24"/>
          <w:lang w:val="en-US"/>
        </w:rPr>
        <w:t>Identify specific differences and put forward effective solutions. New trends and emerging issues in international telecommunication /ICT need to be addressed and resolved through international rules agreed by the international community. Legal rules always fall behind, which is determined by their own nature, and need to be constantly improved with the changes of their regulated objects and adjusted legal relationship. The same is true to the ITRs. In light of the examinations conducted so far, there were basically three views on the vast majority of the provisions: some members were of the view that there was no need to change the provision for it was applicable and flexible; some members expressed the view that the provision was not necessary as it was no longer applicable or flexible; other members suggested that the provision needed to be updated to reflect changes in the provision of telecommunications /ICT services to end users. We therefore propose that, based on the Examination Table, especially the Summary Outcome, the parties put forward their specific options on whether and how to amend the relevant provisions of the ITRs, which should be included in the overall observations on the 2012 edition of the ITRs and the report of the EG-ITRs to be submitted to Council 2022.</w:t>
      </w:r>
    </w:p>
    <w:p w14:paraId="122F36ED" w14:textId="11F95EDE" w:rsidR="009340E2" w:rsidRDefault="009340E2" w:rsidP="00267B6A">
      <w:pPr>
        <w:spacing w:before="840" w:after="0"/>
        <w:jc w:val="center"/>
        <w:rPr>
          <w:rFonts w:cstheme="majorBidi"/>
          <w:szCs w:val="20"/>
          <w:lang w:eastAsia="ja-JP"/>
        </w:rPr>
      </w:pPr>
      <w:r>
        <w:t>_______________</w:t>
      </w:r>
    </w:p>
    <w:sectPr w:rsidR="009340E2" w:rsidSect="004D1851">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CCC8" w14:textId="77777777" w:rsidR="005B3CFD" w:rsidRDefault="005B3CFD">
      <w:r>
        <w:separator/>
      </w:r>
    </w:p>
  </w:endnote>
  <w:endnote w:type="continuationSeparator" w:id="0">
    <w:p w14:paraId="0642223C" w14:textId="77777777" w:rsidR="005B3CFD" w:rsidRDefault="005B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A801" w14:textId="77777777" w:rsidR="005B3CFD" w:rsidRDefault="005B3CFD">
      <w:r>
        <w:t>____________________</w:t>
      </w:r>
    </w:p>
  </w:footnote>
  <w:footnote w:type="continuationSeparator" w:id="0">
    <w:p w14:paraId="071DC0BE" w14:textId="77777777" w:rsidR="005B3CFD" w:rsidRDefault="005B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970D" w14:textId="1CB14765" w:rsidR="00542BAB" w:rsidRDefault="00542BAB" w:rsidP="000854C6">
    <w:pPr>
      <w:pStyle w:val="Header"/>
      <w:spacing w:after="120"/>
    </w:pPr>
    <w:r>
      <w:fldChar w:fldCharType="begin"/>
    </w:r>
    <w:r>
      <w:instrText xml:space="preserve"> PAGE   \* MERGEFORMAT </w:instrText>
    </w:r>
    <w:r>
      <w:fldChar w:fldCharType="separate"/>
    </w:r>
    <w:r w:rsidR="003657E2">
      <w:rPr>
        <w:noProof/>
      </w:rPr>
      <w:t>2</w:t>
    </w:r>
    <w:r>
      <w:rPr>
        <w:noProof/>
      </w:rPr>
      <w:fldChar w:fldCharType="end"/>
    </w:r>
    <w:r>
      <w:rPr>
        <w:noProof/>
      </w:rPr>
      <w:br/>
    </w:r>
    <w:r w:rsidR="000854C6">
      <w:rPr>
        <w:noProof/>
      </w:rPr>
      <w:t>EG-ITRs</w:t>
    </w:r>
    <w:r w:rsidR="00965A18">
      <w:rPr>
        <w:noProof/>
      </w:rPr>
      <w:t>-</w:t>
    </w:r>
    <w:r w:rsidR="00F01842">
      <w:rPr>
        <w:noProof/>
      </w:rPr>
      <w:t>5</w:t>
    </w:r>
    <w:r w:rsidR="000854C6">
      <w:rPr>
        <w:noProof/>
      </w:rPr>
      <w:t>\</w:t>
    </w:r>
    <w:r w:rsidR="003869F6">
      <w:rPr>
        <w:noProof/>
      </w:rPr>
      <w:t>4</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7633B"/>
    <w:multiLevelType w:val="hybridMultilevel"/>
    <w:tmpl w:val="011A8442"/>
    <w:lvl w:ilvl="0" w:tplc="C2DC0102">
      <w:start w:val="1"/>
      <w:numFmt w:val="upperRoman"/>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6CF6708"/>
    <w:multiLevelType w:val="hybridMultilevel"/>
    <w:tmpl w:val="C100A8FA"/>
    <w:lvl w:ilvl="0" w:tplc="C1EAA074">
      <w:start w:val="1"/>
      <w:numFmt w:val="bullet"/>
      <w:lvlText w:val=""/>
      <w:lvlJc w:val="left"/>
      <w:pPr>
        <w:ind w:left="1491" w:hanging="360"/>
      </w:pPr>
      <w:rPr>
        <w:rFonts w:ascii="Symbol" w:hAnsi="Symbol" w:hint="default"/>
      </w:rPr>
    </w:lvl>
    <w:lvl w:ilvl="1" w:tplc="04090003">
      <w:start w:val="1"/>
      <w:numFmt w:val="bullet"/>
      <w:lvlText w:val="o"/>
      <w:lvlJc w:val="left"/>
      <w:pPr>
        <w:ind w:left="2211" w:hanging="360"/>
      </w:pPr>
      <w:rPr>
        <w:rFonts w:ascii="Courier New" w:hAnsi="Courier New" w:cs="Courier New" w:hint="default"/>
      </w:rPr>
    </w:lvl>
    <w:lvl w:ilvl="2" w:tplc="04090005">
      <w:start w:val="1"/>
      <w:numFmt w:val="bullet"/>
      <w:lvlText w:val=""/>
      <w:lvlJc w:val="left"/>
      <w:pPr>
        <w:ind w:left="2931" w:hanging="360"/>
      </w:pPr>
      <w:rPr>
        <w:rFonts w:ascii="Wingdings" w:hAnsi="Wingdings" w:hint="default"/>
      </w:rPr>
    </w:lvl>
    <w:lvl w:ilvl="3" w:tplc="04090001">
      <w:start w:val="1"/>
      <w:numFmt w:val="bullet"/>
      <w:lvlText w:val=""/>
      <w:lvlJc w:val="left"/>
      <w:pPr>
        <w:ind w:left="3651" w:hanging="360"/>
      </w:pPr>
      <w:rPr>
        <w:rFonts w:ascii="Symbol" w:hAnsi="Symbol" w:hint="default"/>
      </w:rPr>
    </w:lvl>
    <w:lvl w:ilvl="4" w:tplc="04090003">
      <w:start w:val="1"/>
      <w:numFmt w:val="bullet"/>
      <w:lvlText w:val="o"/>
      <w:lvlJc w:val="left"/>
      <w:pPr>
        <w:ind w:left="4371" w:hanging="360"/>
      </w:pPr>
      <w:rPr>
        <w:rFonts w:ascii="Courier New" w:hAnsi="Courier New" w:cs="Courier New" w:hint="default"/>
      </w:rPr>
    </w:lvl>
    <w:lvl w:ilvl="5" w:tplc="04090005">
      <w:start w:val="1"/>
      <w:numFmt w:val="bullet"/>
      <w:lvlText w:val=""/>
      <w:lvlJc w:val="left"/>
      <w:pPr>
        <w:ind w:left="5091" w:hanging="360"/>
      </w:pPr>
      <w:rPr>
        <w:rFonts w:ascii="Wingdings" w:hAnsi="Wingdings" w:hint="default"/>
      </w:rPr>
    </w:lvl>
    <w:lvl w:ilvl="6" w:tplc="04090001">
      <w:start w:val="1"/>
      <w:numFmt w:val="bullet"/>
      <w:lvlText w:val=""/>
      <w:lvlJc w:val="left"/>
      <w:pPr>
        <w:ind w:left="5811" w:hanging="360"/>
      </w:pPr>
      <w:rPr>
        <w:rFonts w:ascii="Symbol" w:hAnsi="Symbol" w:hint="default"/>
      </w:rPr>
    </w:lvl>
    <w:lvl w:ilvl="7" w:tplc="04090003">
      <w:start w:val="1"/>
      <w:numFmt w:val="bullet"/>
      <w:lvlText w:val="o"/>
      <w:lvlJc w:val="left"/>
      <w:pPr>
        <w:ind w:left="6531" w:hanging="360"/>
      </w:pPr>
      <w:rPr>
        <w:rFonts w:ascii="Courier New" w:hAnsi="Courier New" w:cs="Courier New" w:hint="default"/>
      </w:rPr>
    </w:lvl>
    <w:lvl w:ilvl="8" w:tplc="04090005">
      <w:start w:val="1"/>
      <w:numFmt w:val="bullet"/>
      <w:lvlText w:val=""/>
      <w:lvlJc w:val="left"/>
      <w:pPr>
        <w:ind w:left="7251" w:hanging="360"/>
      </w:pPr>
      <w:rPr>
        <w:rFonts w:ascii="Wingdings" w:hAnsi="Wingdings" w:hint="default"/>
      </w:rPr>
    </w:lvl>
  </w:abstractNum>
  <w:abstractNum w:abstractNumId="12"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E25E4"/>
    <w:multiLevelType w:val="hybridMultilevel"/>
    <w:tmpl w:val="053064CC"/>
    <w:lvl w:ilvl="0" w:tplc="F73E9906">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6220D"/>
    <w:multiLevelType w:val="hybridMultilevel"/>
    <w:tmpl w:val="F25A3170"/>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9EF2724"/>
    <w:multiLevelType w:val="hybridMultilevel"/>
    <w:tmpl w:val="B9408138"/>
    <w:lvl w:ilvl="0" w:tplc="C1EAA074">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2"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6846AD9"/>
    <w:multiLevelType w:val="hybridMultilevel"/>
    <w:tmpl w:val="9D94CB4A"/>
    <w:lvl w:ilvl="0" w:tplc="1D628B84">
      <w:start w:val="1"/>
      <w:numFmt w:val="bullet"/>
      <w:lvlText w:val=""/>
      <w:lvlJc w:val="left"/>
      <w:pPr>
        <w:tabs>
          <w:tab w:val="num" w:pos="720"/>
        </w:tabs>
        <w:ind w:left="720" w:hanging="360"/>
      </w:pPr>
      <w:rPr>
        <w:rFonts w:ascii="Symbol" w:hAnsi="Symbol" w:cs="Times New Roman" w:hint="default"/>
        <w:sz w:val="20"/>
      </w:rPr>
    </w:lvl>
    <w:lvl w:ilvl="1" w:tplc="AE9ABBB0">
      <w:start w:val="1"/>
      <w:numFmt w:val="bullet"/>
      <w:lvlText w:val="o"/>
      <w:lvlJc w:val="left"/>
      <w:pPr>
        <w:tabs>
          <w:tab w:val="num" w:pos="1440"/>
        </w:tabs>
        <w:ind w:left="1440" w:hanging="360"/>
      </w:pPr>
      <w:rPr>
        <w:rFonts w:ascii="Courier New" w:hAnsi="Courier New" w:cs="Courier New" w:hint="default"/>
        <w:sz w:val="20"/>
      </w:rPr>
    </w:lvl>
    <w:lvl w:ilvl="2" w:tplc="EF32F888">
      <w:start w:val="1"/>
      <w:numFmt w:val="bullet"/>
      <w:lvlText w:val=""/>
      <w:lvlJc w:val="left"/>
      <w:pPr>
        <w:tabs>
          <w:tab w:val="num" w:pos="2160"/>
        </w:tabs>
        <w:ind w:left="2160" w:hanging="360"/>
      </w:pPr>
      <w:rPr>
        <w:rFonts w:ascii="Wingdings" w:hAnsi="Wingdings" w:cs="Times New Roman" w:hint="default"/>
        <w:sz w:val="20"/>
      </w:rPr>
    </w:lvl>
    <w:lvl w:ilvl="3" w:tplc="184220D6">
      <w:start w:val="1"/>
      <w:numFmt w:val="bullet"/>
      <w:lvlText w:val=""/>
      <w:lvlJc w:val="left"/>
      <w:pPr>
        <w:tabs>
          <w:tab w:val="num" w:pos="2880"/>
        </w:tabs>
        <w:ind w:left="2880" w:hanging="360"/>
      </w:pPr>
      <w:rPr>
        <w:rFonts w:ascii="Wingdings" w:hAnsi="Wingdings" w:cs="Times New Roman" w:hint="default"/>
        <w:sz w:val="20"/>
      </w:rPr>
    </w:lvl>
    <w:lvl w:ilvl="4" w:tplc="0A14F0FA">
      <w:start w:val="1"/>
      <w:numFmt w:val="bullet"/>
      <w:lvlText w:val=""/>
      <w:lvlJc w:val="left"/>
      <w:pPr>
        <w:tabs>
          <w:tab w:val="num" w:pos="3600"/>
        </w:tabs>
        <w:ind w:left="3600" w:hanging="360"/>
      </w:pPr>
      <w:rPr>
        <w:rFonts w:ascii="Wingdings" w:hAnsi="Wingdings" w:cs="Times New Roman" w:hint="default"/>
        <w:sz w:val="20"/>
      </w:rPr>
    </w:lvl>
    <w:lvl w:ilvl="5" w:tplc="57AE33FE">
      <w:start w:val="1"/>
      <w:numFmt w:val="bullet"/>
      <w:lvlText w:val=""/>
      <w:lvlJc w:val="left"/>
      <w:pPr>
        <w:tabs>
          <w:tab w:val="num" w:pos="4320"/>
        </w:tabs>
        <w:ind w:left="4320" w:hanging="360"/>
      </w:pPr>
      <w:rPr>
        <w:rFonts w:ascii="Wingdings" w:hAnsi="Wingdings" w:cs="Times New Roman" w:hint="default"/>
        <w:sz w:val="20"/>
      </w:rPr>
    </w:lvl>
    <w:lvl w:ilvl="6" w:tplc="1102BC7E">
      <w:start w:val="1"/>
      <w:numFmt w:val="bullet"/>
      <w:lvlText w:val=""/>
      <w:lvlJc w:val="left"/>
      <w:pPr>
        <w:tabs>
          <w:tab w:val="num" w:pos="5040"/>
        </w:tabs>
        <w:ind w:left="5040" w:hanging="360"/>
      </w:pPr>
      <w:rPr>
        <w:rFonts w:ascii="Wingdings" w:hAnsi="Wingdings" w:cs="Times New Roman" w:hint="default"/>
        <w:sz w:val="20"/>
      </w:rPr>
    </w:lvl>
    <w:lvl w:ilvl="7" w:tplc="D7D23608">
      <w:start w:val="1"/>
      <w:numFmt w:val="bullet"/>
      <w:lvlText w:val=""/>
      <w:lvlJc w:val="left"/>
      <w:pPr>
        <w:tabs>
          <w:tab w:val="num" w:pos="5760"/>
        </w:tabs>
        <w:ind w:left="5760" w:hanging="360"/>
      </w:pPr>
      <w:rPr>
        <w:rFonts w:ascii="Wingdings" w:hAnsi="Wingdings" w:cs="Times New Roman" w:hint="default"/>
        <w:sz w:val="20"/>
      </w:rPr>
    </w:lvl>
    <w:lvl w:ilvl="8" w:tplc="31004E18">
      <w:start w:val="1"/>
      <w:numFmt w:val="bullet"/>
      <w:lvlText w:val=""/>
      <w:lvlJc w:val="left"/>
      <w:pPr>
        <w:tabs>
          <w:tab w:val="num" w:pos="6480"/>
        </w:tabs>
        <w:ind w:left="6480" w:hanging="360"/>
      </w:pPr>
      <w:rPr>
        <w:rFonts w:ascii="Wingdings" w:hAnsi="Wingdings" w:cs="Times New Roman" w:hint="default"/>
        <w:sz w:val="20"/>
      </w:rPr>
    </w:lvl>
  </w:abstractNum>
  <w:abstractNum w:abstractNumId="25"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2"/>
  </w:num>
  <w:num w:numId="3">
    <w:abstractNumId w:val="13"/>
  </w:num>
  <w:num w:numId="4">
    <w:abstractNumId w:val="18"/>
  </w:num>
  <w:num w:numId="5">
    <w:abstractNumId w:val="25"/>
  </w:num>
  <w:num w:numId="6">
    <w:abstractNumId w:val="14"/>
  </w:num>
  <w:num w:numId="7">
    <w:abstractNumId w:val="23"/>
  </w:num>
  <w:num w:numId="8">
    <w:abstractNumId w:val="20"/>
  </w:num>
  <w:num w:numId="9">
    <w:abstractNumId w:val="15"/>
  </w:num>
  <w:num w:numId="10">
    <w:abstractNumId w:val="12"/>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6"/>
  </w:num>
  <w:num w:numId="22">
    <w:abstractNumId w:val="24"/>
  </w:num>
  <w:num w:numId="23">
    <w:abstractNumId w:val="17"/>
  </w:num>
  <w:num w:numId="24">
    <w:abstractNumId w:val="21"/>
  </w:num>
  <w:num w:numId="25">
    <w:abstractNumId w:val="1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MLIwMTQyNrQ0MTFX0lEKTi0uzszPAykwqgUA2aYgsiwAAAA="/>
  </w:docVars>
  <w:rsids>
    <w:rsidRoot w:val="00E378C5"/>
    <w:rsid w:val="0000609D"/>
    <w:rsid w:val="00030247"/>
    <w:rsid w:val="0003420F"/>
    <w:rsid w:val="000349C4"/>
    <w:rsid w:val="00036F06"/>
    <w:rsid w:val="0005540C"/>
    <w:rsid w:val="00063016"/>
    <w:rsid w:val="00064823"/>
    <w:rsid w:val="00066DF5"/>
    <w:rsid w:val="00076AF6"/>
    <w:rsid w:val="00083635"/>
    <w:rsid w:val="000854C6"/>
    <w:rsid w:val="00085CF2"/>
    <w:rsid w:val="000915E5"/>
    <w:rsid w:val="000B1705"/>
    <w:rsid w:val="000C0529"/>
    <w:rsid w:val="000C2903"/>
    <w:rsid w:val="000C2F74"/>
    <w:rsid w:val="000C37C9"/>
    <w:rsid w:val="000C5350"/>
    <w:rsid w:val="000C548F"/>
    <w:rsid w:val="000D75B2"/>
    <w:rsid w:val="001121F5"/>
    <w:rsid w:val="00122903"/>
    <w:rsid w:val="00140CE1"/>
    <w:rsid w:val="00143690"/>
    <w:rsid w:val="00144165"/>
    <w:rsid w:val="0016020C"/>
    <w:rsid w:val="00162982"/>
    <w:rsid w:val="001633C1"/>
    <w:rsid w:val="00171F42"/>
    <w:rsid w:val="0017539C"/>
    <w:rsid w:val="00175AC2"/>
    <w:rsid w:val="0017609F"/>
    <w:rsid w:val="00177E9C"/>
    <w:rsid w:val="00195328"/>
    <w:rsid w:val="001B1941"/>
    <w:rsid w:val="001C4FB5"/>
    <w:rsid w:val="001C628E"/>
    <w:rsid w:val="001D6BEF"/>
    <w:rsid w:val="001E0F7B"/>
    <w:rsid w:val="001F4FF7"/>
    <w:rsid w:val="001F7552"/>
    <w:rsid w:val="002119FD"/>
    <w:rsid w:val="002130E0"/>
    <w:rsid w:val="00221C8F"/>
    <w:rsid w:val="002238C4"/>
    <w:rsid w:val="00236464"/>
    <w:rsid w:val="002418AE"/>
    <w:rsid w:val="00242528"/>
    <w:rsid w:val="0025471D"/>
    <w:rsid w:val="00256D0F"/>
    <w:rsid w:val="00257BDE"/>
    <w:rsid w:val="00265875"/>
    <w:rsid w:val="002667C5"/>
    <w:rsid w:val="00267B6A"/>
    <w:rsid w:val="0027303B"/>
    <w:rsid w:val="0028109B"/>
    <w:rsid w:val="00286D1E"/>
    <w:rsid w:val="00293DE5"/>
    <w:rsid w:val="00295397"/>
    <w:rsid w:val="002A0DB3"/>
    <w:rsid w:val="002B1870"/>
    <w:rsid w:val="002B1F58"/>
    <w:rsid w:val="002C1C7A"/>
    <w:rsid w:val="002C2D6C"/>
    <w:rsid w:val="002C5285"/>
    <w:rsid w:val="002D1E7F"/>
    <w:rsid w:val="002D494F"/>
    <w:rsid w:val="002D703E"/>
    <w:rsid w:val="0030160F"/>
    <w:rsid w:val="0032195E"/>
    <w:rsid w:val="00322D0D"/>
    <w:rsid w:val="00326D48"/>
    <w:rsid w:val="0033276E"/>
    <w:rsid w:val="00337854"/>
    <w:rsid w:val="00337B4A"/>
    <w:rsid w:val="00337CE2"/>
    <w:rsid w:val="003439CB"/>
    <w:rsid w:val="00346F7E"/>
    <w:rsid w:val="003639FE"/>
    <w:rsid w:val="003657E2"/>
    <w:rsid w:val="003662CE"/>
    <w:rsid w:val="003735DF"/>
    <w:rsid w:val="0037461E"/>
    <w:rsid w:val="00375F3C"/>
    <w:rsid w:val="0038108D"/>
    <w:rsid w:val="00384706"/>
    <w:rsid w:val="0038487A"/>
    <w:rsid w:val="00384DD6"/>
    <w:rsid w:val="003869F6"/>
    <w:rsid w:val="0039110F"/>
    <w:rsid w:val="003914A7"/>
    <w:rsid w:val="003942D4"/>
    <w:rsid w:val="00394B33"/>
    <w:rsid w:val="003958A8"/>
    <w:rsid w:val="003A71C2"/>
    <w:rsid w:val="003C0228"/>
    <w:rsid w:val="003C2533"/>
    <w:rsid w:val="003D15D8"/>
    <w:rsid w:val="003D6F32"/>
    <w:rsid w:val="003E10DE"/>
    <w:rsid w:val="003E3D3E"/>
    <w:rsid w:val="0040435A"/>
    <w:rsid w:val="00407B9C"/>
    <w:rsid w:val="00415736"/>
    <w:rsid w:val="00416A24"/>
    <w:rsid w:val="00431D9E"/>
    <w:rsid w:val="00433805"/>
    <w:rsid w:val="00433CE8"/>
    <w:rsid w:val="0043412A"/>
    <w:rsid w:val="00434145"/>
    <w:rsid w:val="00434A5C"/>
    <w:rsid w:val="00437504"/>
    <w:rsid w:val="00443D1A"/>
    <w:rsid w:val="004449F3"/>
    <w:rsid w:val="00451A5A"/>
    <w:rsid w:val="0045337A"/>
    <w:rsid w:val="004535DE"/>
    <w:rsid w:val="004544D9"/>
    <w:rsid w:val="004617B3"/>
    <w:rsid w:val="0046438A"/>
    <w:rsid w:val="004648CF"/>
    <w:rsid w:val="00480571"/>
    <w:rsid w:val="00483A6B"/>
    <w:rsid w:val="004841B7"/>
    <w:rsid w:val="00490E72"/>
    <w:rsid w:val="004921C8"/>
    <w:rsid w:val="0049335F"/>
    <w:rsid w:val="004A29FF"/>
    <w:rsid w:val="004A45DD"/>
    <w:rsid w:val="004B3241"/>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4BE4"/>
    <w:rsid w:val="0057569B"/>
    <w:rsid w:val="00582442"/>
    <w:rsid w:val="0058499C"/>
    <w:rsid w:val="005A1D86"/>
    <w:rsid w:val="005A3B8A"/>
    <w:rsid w:val="005B3CFD"/>
    <w:rsid w:val="005B4351"/>
    <w:rsid w:val="005C01F3"/>
    <w:rsid w:val="005C37A0"/>
    <w:rsid w:val="005D32DC"/>
    <w:rsid w:val="005D6131"/>
    <w:rsid w:val="005F2D25"/>
    <w:rsid w:val="005F40A4"/>
    <w:rsid w:val="00605347"/>
    <w:rsid w:val="00634931"/>
    <w:rsid w:val="006535F1"/>
    <w:rsid w:val="0065557D"/>
    <w:rsid w:val="00661B4B"/>
    <w:rsid w:val="00662984"/>
    <w:rsid w:val="0066736B"/>
    <w:rsid w:val="006716BB"/>
    <w:rsid w:val="006771E7"/>
    <w:rsid w:val="006824DA"/>
    <w:rsid w:val="006A39B5"/>
    <w:rsid w:val="006B5954"/>
    <w:rsid w:val="006B6DCC"/>
    <w:rsid w:val="006B7318"/>
    <w:rsid w:val="006C3576"/>
    <w:rsid w:val="006D3B24"/>
    <w:rsid w:val="006D3B29"/>
    <w:rsid w:val="00732CA8"/>
    <w:rsid w:val="00733B71"/>
    <w:rsid w:val="00741793"/>
    <w:rsid w:val="0074569D"/>
    <w:rsid w:val="0075051B"/>
    <w:rsid w:val="00761ADA"/>
    <w:rsid w:val="00763E73"/>
    <w:rsid w:val="00774AB4"/>
    <w:rsid w:val="00782C0B"/>
    <w:rsid w:val="00790142"/>
    <w:rsid w:val="007901DA"/>
    <w:rsid w:val="00790F2A"/>
    <w:rsid w:val="00794D34"/>
    <w:rsid w:val="00796694"/>
    <w:rsid w:val="007A34B1"/>
    <w:rsid w:val="007B5F2B"/>
    <w:rsid w:val="007C116C"/>
    <w:rsid w:val="007C2E8B"/>
    <w:rsid w:val="007C6293"/>
    <w:rsid w:val="007D134F"/>
    <w:rsid w:val="007D7FD5"/>
    <w:rsid w:val="00813D27"/>
    <w:rsid w:val="00813E5E"/>
    <w:rsid w:val="0081547A"/>
    <w:rsid w:val="00820BAF"/>
    <w:rsid w:val="0083581B"/>
    <w:rsid w:val="008479E4"/>
    <w:rsid w:val="00854664"/>
    <w:rsid w:val="00855BA7"/>
    <w:rsid w:val="00864AFF"/>
    <w:rsid w:val="008662BD"/>
    <w:rsid w:val="008911FB"/>
    <w:rsid w:val="0089474C"/>
    <w:rsid w:val="008A16A8"/>
    <w:rsid w:val="008A4009"/>
    <w:rsid w:val="008B4A6A"/>
    <w:rsid w:val="008C7E27"/>
    <w:rsid w:val="008E3733"/>
    <w:rsid w:val="008F1108"/>
    <w:rsid w:val="008F3912"/>
    <w:rsid w:val="00904212"/>
    <w:rsid w:val="00915A48"/>
    <w:rsid w:val="00917052"/>
    <w:rsid w:val="009173EF"/>
    <w:rsid w:val="00923A1B"/>
    <w:rsid w:val="00926B92"/>
    <w:rsid w:val="00932906"/>
    <w:rsid w:val="00933C23"/>
    <w:rsid w:val="00933CC0"/>
    <w:rsid w:val="009340E2"/>
    <w:rsid w:val="00944BC2"/>
    <w:rsid w:val="00961B0B"/>
    <w:rsid w:val="00965A18"/>
    <w:rsid w:val="00984F5D"/>
    <w:rsid w:val="00987D95"/>
    <w:rsid w:val="00990B53"/>
    <w:rsid w:val="00996E42"/>
    <w:rsid w:val="009A4E24"/>
    <w:rsid w:val="009A56C8"/>
    <w:rsid w:val="009B2407"/>
    <w:rsid w:val="009B38C3"/>
    <w:rsid w:val="009C6A0F"/>
    <w:rsid w:val="009D629C"/>
    <w:rsid w:val="009D7C70"/>
    <w:rsid w:val="009E17BD"/>
    <w:rsid w:val="00A04CEC"/>
    <w:rsid w:val="00A27F92"/>
    <w:rsid w:val="00A30574"/>
    <w:rsid w:val="00A32257"/>
    <w:rsid w:val="00A36066"/>
    <w:rsid w:val="00A36D20"/>
    <w:rsid w:val="00A462B5"/>
    <w:rsid w:val="00A54FD8"/>
    <w:rsid w:val="00A550D1"/>
    <w:rsid w:val="00A55622"/>
    <w:rsid w:val="00A56000"/>
    <w:rsid w:val="00A620DA"/>
    <w:rsid w:val="00A7440D"/>
    <w:rsid w:val="00A83502"/>
    <w:rsid w:val="00AB2815"/>
    <w:rsid w:val="00AB393C"/>
    <w:rsid w:val="00AB5B56"/>
    <w:rsid w:val="00AC393D"/>
    <w:rsid w:val="00AD69F9"/>
    <w:rsid w:val="00AE5A46"/>
    <w:rsid w:val="00AE73AD"/>
    <w:rsid w:val="00AF6E49"/>
    <w:rsid w:val="00B04A67"/>
    <w:rsid w:val="00B0583C"/>
    <w:rsid w:val="00B077CB"/>
    <w:rsid w:val="00B11C44"/>
    <w:rsid w:val="00B131C2"/>
    <w:rsid w:val="00B16013"/>
    <w:rsid w:val="00B3673E"/>
    <w:rsid w:val="00B36E39"/>
    <w:rsid w:val="00B37038"/>
    <w:rsid w:val="00B40A81"/>
    <w:rsid w:val="00B447F3"/>
    <w:rsid w:val="00B44910"/>
    <w:rsid w:val="00B473A4"/>
    <w:rsid w:val="00B47B8F"/>
    <w:rsid w:val="00B71F52"/>
    <w:rsid w:val="00B72267"/>
    <w:rsid w:val="00B769F8"/>
    <w:rsid w:val="00B76EB6"/>
    <w:rsid w:val="00B824C8"/>
    <w:rsid w:val="00B85905"/>
    <w:rsid w:val="00BA74C0"/>
    <w:rsid w:val="00BB1653"/>
    <w:rsid w:val="00BC251A"/>
    <w:rsid w:val="00BD032B"/>
    <w:rsid w:val="00BD23BA"/>
    <w:rsid w:val="00BD2FF8"/>
    <w:rsid w:val="00BD434A"/>
    <w:rsid w:val="00BD6810"/>
    <w:rsid w:val="00BE2640"/>
    <w:rsid w:val="00BE30A1"/>
    <w:rsid w:val="00BF27F0"/>
    <w:rsid w:val="00BF30E1"/>
    <w:rsid w:val="00C01189"/>
    <w:rsid w:val="00C03DBE"/>
    <w:rsid w:val="00C10E06"/>
    <w:rsid w:val="00C11946"/>
    <w:rsid w:val="00C374DE"/>
    <w:rsid w:val="00C37D85"/>
    <w:rsid w:val="00C413A2"/>
    <w:rsid w:val="00C47AD4"/>
    <w:rsid w:val="00C52D81"/>
    <w:rsid w:val="00C55198"/>
    <w:rsid w:val="00C664FA"/>
    <w:rsid w:val="00C67EE1"/>
    <w:rsid w:val="00C8040F"/>
    <w:rsid w:val="00C80D79"/>
    <w:rsid w:val="00CA4FA5"/>
    <w:rsid w:val="00CA6393"/>
    <w:rsid w:val="00CB05C9"/>
    <w:rsid w:val="00CB18FF"/>
    <w:rsid w:val="00CB6CC0"/>
    <w:rsid w:val="00CC5EF0"/>
    <w:rsid w:val="00CD0C08"/>
    <w:rsid w:val="00CE03FB"/>
    <w:rsid w:val="00CE433C"/>
    <w:rsid w:val="00CF33F3"/>
    <w:rsid w:val="00D00FA2"/>
    <w:rsid w:val="00D0338D"/>
    <w:rsid w:val="00D04754"/>
    <w:rsid w:val="00D06183"/>
    <w:rsid w:val="00D15B67"/>
    <w:rsid w:val="00D20CD2"/>
    <w:rsid w:val="00D22C42"/>
    <w:rsid w:val="00D3247C"/>
    <w:rsid w:val="00D3608E"/>
    <w:rsid w:val="00D65041"/>
    <w:rsid w:val="00D84BBD"/>
    <w:rsid w:val="00D9148E"/>
    <w:rsid w:val="00D945E6"/>
    <w:rsid w:val="00DA51F3"/>
    <w:rsid w:val="00DA6905"/>
    <w:rsid w:val="00DD4EB3"/>
    <w:rsid w:val="00DE2B20"/>
    <w:rsid w:val="00DF0F5D"/>
    <w:rsid w:val="00E00F7D"/>
    <w:rsid w:val="00E10E80"/>
    <w:rsid w:val="00E124F0"/>
    <w:rsid w:val="00E1313D"/>
    <w:rsid w:val="00E378C5"/>
    <w:rsid w:val="00E37B16"/>
    <w:rsid w:val="00E50695"/>
    <w:rsid w:val="00E51EC9"/>
    <w:rsid w:val="00E60F04"/>
    <w:rsid w:val="00E8096B"/>
    <w:rsid w:val="00E8113B"/>
    <w:rsid w:val="00E9013A"/>
    <w:rsid w:val="00E90544"/>
    <w:rsid w:val="00EA48F9"/>
    <w:rsid w:val="00EB0D6F"/>
    <w:rsid w:val="00EB2232"/>
    <w:rsid w:val="00EB52A2"/>
    <w:rsid w:val="00EC1A42"/>
    <w:rsid w:val="00EC5337"/>
    <w:rsid w:val="00EE28ED"/>
    <w:rsid w:val="00EE2A3B"/>
    <w:rsid w:val="00F0045C"/>
    <w:rsid w:val="00F01842"/>
    <w:rsid w:val="00F2150A"/>
    <w:rsid w:val="00F231D8"/>
    <w:rsid w:val="00F31144"/>
    <w:rsid w:val="00F334D6"/>
    <w:rsid w:val="00F44ED7"/>
    <w:rsid w:val="00F46C5F"/>
    <w:rsid w:val="00F54A63"/>
    <w:rsid w:val="00F56D59"/>
    <w:rsid w:val="00F60A27"/>
    <w:rsid w:val="00F70098"/>
    <w:rsid w:val="00F73F49"/>
    <w:rsid w:val="00F83DA1"/>
    <w:rsid w:val="00F856EC"/>
    <w:rsid w:val="00F94A63"/>
    <w:rsid w:val="00F96CA1"/>
    <w:rsid w:val="00FB7596"/>
    <w:rsid w:val="00FC08D9"/>
    <w:rsid w:val="00FC3AA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528"/>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2425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2528"/>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162982"/>
    <w:pPr>
      <w:spacing w:before="72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customStyle="1" w:styleId="TableGrid1">
    <w:name w:val="Table Grid1"/>
    <w:basedOn w:val="TableNormal"/>
    <w:next w:val="TableGrid"/>
    <w:uiPriority w:val="59"/>
    <w:rsid w:val="00D20C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81566">
      <w:bodyDiv w:val="1"/>
      <w:marLeft w:val="0"/>
      <w:marRight w:val="0"/>
      <w:marTop w:val="0"/>
      <w:marBottom w:val="0"/>
      <w:divBdr>
        <w:top w:val="none" w:sz="0" w:space="0" w:color="auto"/>
        <w:left w:val="none" w:sz="0" w:space="0" w:color="auto"/>
        <w:bottom w:val="none" w:sz="0" w:space="0" w:color="auto"/>
        <w:right w:val="none" w:sz="0" w:space="0" w:color="auto"/>
      </w:divBdr>
    </w:div>
    <w:div w:id="19656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3645-E85F-4F8A-BE11-B7585138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715</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Contribution by China- Recommendations of the Next Step of the Expert Group on the International Telecommunication Regulations (EG-ITRs)</vt:lpstr>
    </vt:vector>
  </TitlesOfParts>
  <Manager>General Secretariat - Pool</Manager>
  <Company>International Telecommunication Union (ITU)</Company>
  <LinksUpToDate>false</LinksUpToDate>
  <CharactersWithSpaces>4655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China- Recommendations of the Next Step of the Expert Group on the International Telecommunication Regulations (EG-ITRs)</dc:title>
  <dc:subject>EG-ITRs</dc:subject>
  <dc:creator>Brouard, Ricarda</dc:creator>
  <cp:keywords>EG-ITRs</cp:keywords>
  <dc:description/>
  <cp:lastModifiedBy>Xue, Kun</cp:lastModifiedBy>
  <cp:revision>6</cp:revision>
  <cp:lastPrinted>2000-07-18T13:30:00Z</cp:lastPrinted>
  <dcterms:created xsi:type="dcterms:W3CDTF">2021-09-14T12:50:00Z</dcterms:created>
  <dcterms:modified xsi:type="dcterms:W3CDTF">2021-09-14T19:25:00Z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