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973"/>
        <w:gridCol w:w="2699"/>
      </w:tblGrid>
      <w:tr w:rsidR="005A0F49" w:rsidRPr="00AF6B5C" w14:paraId="66710EB4" w14:textId="77777777" w:rsidTr="00FC1040">
        <w:trPr>
          <w:cantSplit/>
          <w:trHeight w:val="1306"/>
        </w:trPr>
        <w:tc>
          <w:tcPr>
            <w:tcW w:w="6973" w:type="dxa"/>
          </w:tcPr>
          <w:p w14:paraId="22FD6367" w14:textId="57D37E78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فريق</w:t>
            </w:r>
            <w:r w:rsidR="0037207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الخبراء</w:t>
            </w:r>
            <w:r w:rsidR="0037207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المعني</w:t>
            </w:r>
            <w:r w:rsidR="0037207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بلوائح</w:t>
            </w:r>
            <w:r w:rsidR="0037207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الاتصالات</w:t>
            </w:r>
            <w:r w:rsidR="0037207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الدولية</w:t>
            </w:r>
            <w:r w:rsidR="0037207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6DDB27AE" w14:textId="2E71FC04" w:rsidR="005A0F49" w:rsidRPr="00A56DA0" w:rsidRDefault="005A0F49" w:rsidP="005A0F49">
            <w:pPr>
              <w:spacing w:before="16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الاجتماع</w:t>
            </w:r>
            <w:r w:rsidR="00372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 w:rsidRPr="00A56DA0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  <w:r w:rsidR="00372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56DA0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372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06300"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</w:t>
            </w:r>
            <w:r w:rsidR="00372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06300"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افتراضي</w:t>
            </w: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r w:rsidR="00372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 w:rsidRPr="00A56DA0">
              <w:rPr>
                <w:b/>
                <w:bCs/>
                <w:sz w:val="24"/>
                <w:szCs w:val="24"/>
                <w:lang w:bidi="ar-EG"/>
              </w:rPr>
              <w:t>30</w:t>
            </w:r>
            <w:r w:rsidR="00372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سبتمبر</w:t>
            </w:r>
            <w:r w:rsidR="00372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 w:rsidRPr="00A56DA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</w:t>
            </w:r>
            <w:r w:rsidR="00372073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692B84" w:rsidRPr="00A56DA0">
              <w:rPr>
                <w:b/>
                <w:bCs/>
                <w:sz w:val="24"/>
                <w:szCs w:val="24"/>
                <w:lang w:bidi="ar-SY"/>
              </w:rPr>
              <w:t>1</w:t>
            </w:r>
            <w:r w:rsidR="00372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أكتوبر</w:t>
            </w:r>
            <w:r w:rsidR="0037207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46CDD" w:rsidRPr="00A56DA0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699" w:type="dxa"/>
            <w:vAlign w:val="center"/>
          </w:tcPr>
          <w:p w14:paraId="0B8E2012" w14:textId="77777777" w:rsidR="005A0F49" w:rsidRPr="00AF6B5C" w:rsidRDefault="005A0F49" w:rsidP="00FC1040">
            <w:pPr>
              <w:spacing w:after="12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39938821" wp14:editId="6BDA2A3C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46F5D133" w14:textId="77777777" w:rsidTr="00FC1040">
        <w:trPr>
          <w:cantSplit/>
          <w:trHeight w:val="20"/>
        </w:trPr>
        <w:tc>
          <w:tcPr>
            <w:tcW w:w="6973" w:type="dxa"/>
            <w:tcBorders>
              <w:top w:val="single" w:sz="12" w:space="0" w:color="auto"/>
            </w:tcBorders>
          </w:tcPr>
          <w:p w14:paraId="1A4E0A20" w14:textId="77777777" w:rsidR="00AF6B5C" w:rsidRPr="00AF6B5C" w:rsidRDefault="00AF6B5C" w:rsidP="00876C32">
            <w:pPr>
              <w:spacing w:before="40" w:after="4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</w:tcPr>
          <w:p w14:paraId="3EE73555" w14:textId="77777777" w:rsidR="00AF6B5C" w:rsidRPr="00AF6B5C" w:rsidRDefault="00AF6B5C" w:rsidP="00876C32">
            <w:pPr>
              <w:spacing w:before="40" w:after="40" w:line="240" w:lineRule="exact"/>
              <w:rPr>
                <w:b/>
                <w:bCs/>
                <w:lang w:bidi="ar-EG"/>
              </w:rPr>
            </w:pPr>
          </w:p>
        </w:tc>
      </w:tr>
      <w:tr w:rsidR="00AF6B5C" w:rsidRPr="00AF6B5C" w14:paraId="173AF08E" w14:textId="77777777" w:rsidTr="00FC1040">
        <w:trPr>
          <w:cantSplit/>
        </w:trPr>
        <w:tc>
          <w:tcPr>
            <w:tcW w:w="6973" w:type="dxa"/>
            <w:vMerge w:val="restart"/>
          </w:tcPr>
          <w:p w14:paraId="5F676AC4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1D77C7DB" w14:textId="108F124F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rFonts w:hint="cs"/>
                <w:b/>
                <w:bCs/>
                <w:rtl/>
                <w:lang w:bidi="ar-EG"/>
              </w:rPr>
              <w:t>الوثيقة</w:t>
            </w:r>
            <w:r w:rsidR="0037207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F6B5C">
              <w:rPr>
                <w:b/>
                <w:bCs/>
                <w:lang w:bidi="ar-EG"/>
              </w:rPr>
              <w:t>EG-ITR-</w:t>
            </w:r>
            <w:r w:rsidR="00246CDD">
              <w:rPr>
                <w:b/>
                <w:bCs/>
                <w:lang w:bidi="ar-EG"/>
              </w:rPr>
              <w:t>5</w:t>
            </w:r>
            <w:r w:rsidRPr="00AF6B5C">
              <w:rPr>
                <w:b/>
                <w:bCs/>
                <w:lang w:bidi="ar-EG"/>
              </w:rPr>
              <w:t>/</w:t>
            </w:r>
            <w:r w:rsidR="008042A3">
              <w:rPr>
                <w:b/>
                <w:bCs/>
                <w:lang w:bidi="ar-EG"/>
              </w:rPr>
              <w:t>2</w:t>
            </w:r>
            <w:r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37A54BC7" w14:textId="77777777" w:rsidTr="00FC1040">
        <w:trPr>
          <w:cantSplit/>
        </w:trPr>
        <w:tc>
          <w:tcPr>
            <w:tcW w:w="6973" w:type="dxa"/>
            <w:vMerge/>
          </w:tcPr>
          <w:p w14:paraId="4B2B42D0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55AF0D7D" w14:textId="6A2398B7" w:rsidR="00AF6B5C" w:rsidRPr="00AF6B5C" w:rsidRDefault="008042A3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9</w:t>
            </w:r>
            <w:r w:rsidR="0037207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="0037207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F6B5C">
              <w:rPr>
                <w:b/>
                <w:bCs/>
                <w:lang w:bidi="ar-EG"/>
              </w:rPr>
              <w:t>202</w:t>
            </w:r>
            <w:r w:rsidR="00435AFF">
              <w:rPr>
                <w:b/>
                <w:bCs/>
                <w:lang w:bidi="ar-EG"/>
              </w:rPr>
              <w:t>1</w:t>
            </w:r>
          </w:p>
        </w:tc>
      </w:tr>
      <w:tr w:rsidR="00AF6B5C" w:rsidRPr="00AF6B5C" w14:paraId="23736C29" w14:textId="77777777" w:rsidTr="00FC1040">
        <w:trPr>
          <w:cantSplit/>
        </w:trPr>
        <w:tc>
          <w:tcPr>
            <w:tcW w:w="6973" w:type="dxa"/>
            <w:vMerge/>
          </w:tcPr>
          <w:p w14:paraId="5B58E330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7C1096BB" w14:textId="02E3B5CA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>الأصل</w:t>
            </w:r>
            <w:r w:rsidR="00372073">
              <w:rPr>
                <w:b/>
                <w:bCs/>
                <w:rtl/>
                <w:lang w:bidi="ar-EG"/>
              </w:rPr>
              <w:t xml:space="preserve">: </w:t>
            </w:r>
            <w:r w:rsidR="00180649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AF6B5C" w:rsidRPr="00AF6B5C" w14:paraId="6130A636" w14:textId="77777777" w:rsidTr="00F03E94">
        <w:trPr>
          <w:cantSplit/>
        </w:trPr>
        <w:tc>
          <w:tcPr>
            <w:tcW w:w="9672" w:type="dxa"/>
            <w:gridSpan w:val="2"/>
          </w:tcPr>
          <w:p w14:paraId="1E092DD9" w14:textId="11AEA056" w:rsidR="00AF6B5C" w:rsidRPr="00AF6B5C" w:rsidRDefault="00E51B56" w:rsidP="00AF6B5C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الاتحاد</w:t>
            </w:r>
            <w:r w:rsidR="00372073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الروسي</w:t>
            </w:r>
            <w:r w:rsidR="00372073">
              <w:rPr>
                <w:rFonts w:hint="cs"/>
                <w:rtl/>
                <w:lang w:bidi="ar-EG"/>
              </w:rPr>
              <w:t xml:space="preserve"> </w:t>
            </w:r>
          </w:p>
        </w:tc>
      </w:tr>
      <w:tr w:rsidR="00AF6B5C" w:rsidRPr="00AF6B5C" w14:paraId="23EC5E66" w14:textId="77777777" w:rsidTr="00F03E94">
        <w:trPr>
          <w:cantSplit/>
        </w:trPr>
        <w:tc>
          <w:tcPr>
            <w:tcW w:w="9672" w:type="dxa"/>
            <w:gridSpan w:val="2"/>
          </w:tcPr>
          <w:p w14:paraId="2265514B" w14:textId="0DBD78C3" w:rsidR="00AF6B5C" w:rsidRPr="00AF6B5C" w:rsidRDefault="00372073" w:rsidP="00AF6B5C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لوائح الاتصالات الدولية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تطو</w:t>
            </w:r>
            <w:r w:rsidR="00E20FBA">
              <w:rPr>
                <w:rFonts w:hint="cs"/>
                <w:rtl/>
                <w:lang w:bidi="ar-EG"/>
              </w:rPr>
              <w:t>ي</w:t>
            </w:r>
            <w:r>
              <w:rPr>
                <w:rFonts w:hint="cs"/>
                <w:rtl/>
                <w:lang w:bidi="ar-EG"/>
              </w:rPr>
              <w:t xml:space="preserve">رها في المستقبل وتقييم تطبيقها ولمحة عامة عن أفضل الممارسات </w:t>
            </w:r>
          </w:p>
        </w:tc>
      </w:tr>
    </w:tbl>
    <w:p w14:paraId="3C2D6A0A" w14:textId="253080AE" w:rsidR="0006468A" w:rsidRDefault="008042A3" w:rsidP="008042A3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372073">
        <w:rPr>
          <w:rFonts w:hint="cs"/>
          <w:rtl/>
          <w:lang w:bidi="ar-EG"/>
        </w:rPr>
        <w:t>ملخص</w:t>
      </w:r>
    </w:p>
    <w:p w14:paraId="4CF380D6" w14:textId="61AD43CE" w:rsidR="00372073" w:rsidRDefault="00372073" w:rsidP="00A81067">
      <w:pPr>
        <w:rPr>
          <w:rtl/>
          <w:lang w:bidi="ar-EG"/>
        </w:rPr>
      </w:pPr>
      <w:r>
        <w:rPr>
          <w:rtl/>
          <w:lang w:bidi="ar-EG"/>
        </w:rPr>
        <w:t xml:space="preserve">يُقترح اعتبار </w:t>
      </w:r>
      <w:r>
        <w:rPr>
          <w:rFonts w:hint="cs"/>
          <w:rtl/>
          <w:lang w:bidi="ar-EG"/>
        </w:rPr>
        <w:t>التحديد الرقمي لهوية المستعملين</w:t>
      </w:r>
      <w:r>
        <w:rPr>
          <w:rtl/>
          <w:lang w:bidi="ar-EG"/>
        </w:rPr>
        <w:t xml:space="preserve"> والمنتجات والخدمات و/أو التحقق من</w:t>
      </w:r>
      <w:r w:rsidR="00297D78">
        <w:rPr>
          <w:rFonts w:hint="cs"/>
          <w:rtl/>
          <w:lang w:bidi="ar-EG"/>
        </w:rPr>
        <w:t>ها رقمياً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كمجال من مجالات تطوير لوائح الاتصالات الدولية</w:t>
      </w:r>
      <w:r w:rsidR="00297D78">
        <w:rPr>
          <w:rFonts w:hint="cs"/>
          <w:rtl/>
          <w:lang w:bidi="ar-EG"/>
        </w:rPr>
        <w:t xml:space="preserve"> في </w:t>
      </w:r>
      <w:r w:rsidR="00297D78">
        <w:rPr>
          <w:rtl/>
          <w:lang w:bidi="ar-EG"/>
        </w:rPr>
        <w:t>المستقب</w:t>
      </w:r>
      <w:r w:rsidR="00297D78">
        <w:rPr>
          <w:rFonts w:hint="cs"/>
          <w:rtl/>
          <w:lang w:bidi="ar-EG"/>
        </w:rPr>
        <w:t>ل</w:t>
      </w:r>
      <w:r>
        <w:rPr>
          <w:rtl/>
          <w:lang w:bidi="ar-EG"/>
        </w:rPr>
        <w:t>.</w:t>
      </w:r>
    </w:p>
    <w:p w14:paraId="34A27E17" w14:textId="31C072FC" w:rsidR="00372073" w:rsidRDefault="00297D78" w:rsidP="00A81067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72073">
        <w:rPr>
          <w:rtl/>
          <w:lang w:bidi="ar-EG"/>
        </w:rPr>
        <w:t xml:space="preserve">في إطار </w:t>
      </w:r>
      <w:r w:rsidRPr="00297D78">
        <w:rPr>
          <w:rtl/>
          <w:lang w:bidi="ar-EG"/>
        </w:rPr>
        <w:t>فريق الخبراء المعني بلوائح الاتصالات الدولية</w:t>
      </w:r>
      <w:r w:rsidR="00372073">
        <w:rPr>
          <w:rtl/>
          <w:lang w:bidi="ar-EG"/>
        </w:rPr>
        <w:t xml:space="preserve">، يُقترح البدء في </w:t>
      </w:r>
      <w:r w:rsidR="00142191">
        <w:rPr>
          <w:rFonts w:hint="cs"/>
          <w:rtl/>
          <w:lang w:bidi="ar-EG"/>
        </w:rPr>
        <w:t>إعداد</w:t>
      </w:r>
      <w:r w:rsidR="00372073">
        <w:rPr>
          <w:rtl/>
          <w:lang w:bidi="ar-EG"/>
        </w:rPr>
        <w:t xml:space="preserve"> لمحة عامة عن أفضل الممارسات المتعلقة بتطبيق لوائح الاتصالات الدولية، أو </w:t>
      </w:r>
      <w:r>
        <w:rPr>
          <w:rFonts w:hint="cs"/>
          <w:rtl/>
          <w:lang w:bidi="ar-EG"/>
        </w:rPr>
        <w:t>عن</w:t>
      </w:r>
      <w:r w:rsidR="00372073">
        <w:rPr>
          <w:rtl/>
          <w:lang w:bidi="ar-EG"/>
        </w:rPr>
        <w:t xml:space="preserve"> </w:t>
      </w:r>
      <w:r w:rsidR="00142191">
        <w:rPr>
          <w:rFonts w:hint="cs"/>
          <w:rtl/>
          <w:lang w:bidi="ar-EG"/>
        </w:rPr>
        <w:t>ال</w:t>
      </w:r>
      <w:r w:rsidR="00372073">
        <w:rPr>
          <w:rtl/>
          <w:lang w:bidi="ar-EG"/>
        </w:rPr>
        <w:t xml:space="preserve">توصيات </w:t>
      </w:r>
      <w:r w:rsidR="00142191">
        <w:rPr>
          <w:rFonts w:hint="cs"/>
          <w:rtl/>
          <w:lang w:bidi="ar-EG"/>
        </w:rPr>
        <w:t>المتعلقة ب</w:t>
      </w:r>
      <w:r w:rsidR="00372073">
        <w:rPr>
          <w:rtl/>
          <w:lang w:bidi="ar-EG"/>
        </w:rPr>
        <w:t xml:space="preserve">تطبيق الحلول التي تهدف إلى تلبية المتطلبات (الحالية والمستقبلية) للوائح الاتصالات الدولية. ويمكن أن تأخذ هذه </w:t>
      </w:r>
      <w:r>
        <w:rPr>
          <w:rFonts w:hint="cs"/>
          <w:rtl/>
          <w:lang w:bidi="ar-EG"/>
        </w:rPr>
        <w:t>اللمحة</w:t>
      </w:r>
      <w:r w:rsidR="00372073">
        <w:rPr>
          <w:rtl/>
          <w:lang w:bidi="ar-EG"/>
        </w:rPr>
        <w:t xml:space="preserve"> العامة شكل تقرير تقني أو </w:t>
      </w:r>
      <w:r w:rsidR="00142191">
        <w:rPr>
          <w:rFonts w:hint="cs"/>
          <w:rtl/>
          <w:lang w:bidi="ar-EG"/>
        </w:rPr>
        <w:t>ملحق</w:t>
      </w:r>
      <w:r w:rsidR="00372073">
        <w:rPr>
          <w:rtl/>
          <w:lang w:bidi="ar-EG"/>
        </w:rPr>
        <w:t xml:space="preserve"> أو مشروع خطة.</w:t>
      </w:r>
    </w:p>
    <w:p w14:paraId="6E8E4147" w14:textId="1A975EBA" w:rsidR="008042A3" w:rsidRDefault="008042A3" w:rsidP="008042A3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372073">
        <w:rPr>
          <w:rFonts w:hint="cs"/>
          <w:rtl/>
          <w:lang w:bidi="ar-EG"/>
        </w:rPr>
        <w:t xml:space="preserve">المقترح </w:t>
      </w:r>
      <w:r w:rsidR="00372073">
        <w:rPr>
          <w:lang w:val="en-CA" w:bidi="ar-EG"/>
        </w:rPr>
        <w:t>1</w:t>
      </w:r>
    </w:p>
    <w:p w14:paraId="14A8D3AE" w14:textId="5C0D7C79" w:rsidR="00372073" w:rsidRDefault="00372073" w:rsidP="00A81067">
      <w:pPr>
        <w:rPr>
          <w:rtl/>
          <w:lang w:bidi="ar-EG"/>
        </w:rPr>
      </w:pPr>
      <w:r>
        <w:rPr>
          <w:rtl/>
          <w:lang w:bidi="ar-EG"/>
        </w:rPr>
        <w:t>أد</w:t>
      </w:r>
      <w:r w:rsidR="005E5E75"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 جائحة</w:t>
      </w:r>
      <w:r w:rsidR="005E5E75">
        <w:rPr>
          <w:rFonts w:hint="cs"/>
          <w:rtl/>
          <w:lang w:bidi="ar-EG"/>
        </w:rPr>
        <w:t xml:space="preserve"> فيروس كورونا</w:t>
      </w:r>
      <w:r>
        <w:rPr>
          <w:rtl/>
          <w:lang w:bidi="ar-EG"/>
        </w:rPr>
        <w:t xml:space="preserve"> </w:t>
      </w:r>
      <w:r w:rsidR="005E5E75">
        <w:rPr>
          <w:lang w:val="en-CA" w:bidi="ar-EG"/>
        </w:rPr>
        <w:t>(</w:t>
      </w:r>
      <w:r>
        <w:rPr>
          <w:lang w:bidi="ar-EG"/>
        </w:rPr>
        <w:t>COVID-19</w:t>
      </w:r>
      <w:r w:rsidR="00A81067">
        <w:rPr>
          <w:lang w:bidi="ar-EG"/>
        </w:rPr>
        <w:t>)</w:t>
      </w:r>
      <w:r>
        <w:rPr>
          <w:rtl/>
          <w:lang w:bidi="ar-EG"/>
        </w:rPr>
        <w:t xml:space="preserve"> إلى الحد من الاتصال الجسدي بين الناس </w:t>
      </w:r>
      <w:r w:rsidR="00142191">
        <w:rPr>
          <w:rtl/>
          <w:lang w:bidi="ar-EG"/>
        </w:rPr>
        <w:t xml:space="preserve">بشكل كبير </w:t>
      </w:r>
      <w:r>
        <w:rPr>
          <w:rtl/>
          <w:lang w:bidi="ar-EG"/>
        </w:rPr>
        <w:t>و</w:t>
      </w:r>
      <w:r w:rsidR="005E5E75">
        <w:rPr>
          <w:rFonts w:hint="cs"/>
          <w:rtl/>
          <w:lang w:bidi="ar-EG"/>
        </w:rPr>
        <w:t>إلى ت</w:t>
      </w:r>
      <w:r>
        <w:rPr>
          <w:rtl/>
          <w:lang w:bidi="ar-EG"/>
        </w:rPr>
        <w:t xml:space="preserve">فاقم الحاجة الملحة </w:t>
      </w:r>
      <w:r w:rsidR="005E5E75">
        <w:rPr>
          <w:rFonts w:hint="cs"/>
          <w:rtl/>
          <w:lang w:bidi="ar-EG"/>
        </w:rPr>
        <w:t xml:space="preserve">إلى </w:t>
      </w:r>
      <w:r>
        <w:rPr>
          <w:rtl/>
          <w:lang w:bidi="ar-EG"/>
        </w:rPr>
        <w:t xml:space="preserve">تطوير أنظمة </w:t>
      </w:r>
      <w:r w:rsidR="00142191">
        <w:rPr>
          <w:rtl/>
          <w:lang w:bidi="ar-EG"/>
        </w:rPr>
        <w:t xml:space="preserve">رقمية </w:t>
      </w:r>
      <w:r w:rsidR="00142191"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تحديد الهوية/التحقق </w:t>
      </w:r>
      <w:r w:rsidR="00142191">
        <w:rPr>
          <w:rFonts w:hint="cs"/>
          <w:rtl/>
          <w:lang w:bidi="ar-EG"/>
        </w:rPr>
        <w:t xml:space="preserve">منها </w:t>
      </w:r>
      <w:r>
        <w:rPr>
          <w:rtl/>
          <w:lang w:bidi="ar-EG"/>
        </w:rPr>
        <w:t>وضمان الاعتراف المتبادل بها على المستوى الدولي (على سبيل المثال، شهادات التطعيم الرقمية الدولية ل</w:t>
      </w:r>
      <w:r w:rsidR="00142191">
        <w:rPr>
          <w:rFonts w:hint="cs"/>
          <w:rtl/>
          <w:lang w:bidi="ar-EG"/>
        </w:rPr>
        <w:t>جائحة</w:t>
      </w:r>
      <w:r>
        <w:rPr>
          <w:rtl/>
          <w:lang w:bidi="ar-EG"/>
        </w:rPr>
        <w:t xml:space="preserve"> </w:t>
      </w:r>
      <w:r>
        <w:rPr>
          <w:lang w:bidi="ar-EG"/>
        </w:rPr>
        <w:t>COVID-19</w:t>
      </w:r>
      <w:r>
        <w:rPr>
          <w:rtl/>
          <w:lang w:bidi="ar-EG"/>
        </w:rPr>
        <w:t>). و</w:t>
      </w:r>
      <w:r w:rsidR="00142191">
        <w:rPr>
          <w:rFonts w:hint="cs"/>
          <w:rtl/>
          <w:lang w:bidi="ar-EG"/>
        </w:rPr>
        <w:t>قد و</w:t>
      </w:r>
      <w:r>
        <w:rPr>
          <w:rtl/>
          <w:lang w:bidi="ar-EG"/>
        </w:rPr>
        <w:t xml:space="preserve">افقت لجنة الدراسات </w:t>
      </w:r>
      <w:r w:rsidR="00142191">
        <w:rPr>
          <w:lang w:bidi="ar-EG"/>
        </w:rPr>
        <w:t>2</w:t>
      </w:r>
      <w:r>
        <w:rPr>
          <w:rtl/>
          <w:lang w:bidi="ar-EG"/>
        </w:rPr>
        <w:t xml:space="preserve"> التابعة لقطاع تقييس الاتصالات على نسخة جديدة من التوصية </w:t>
      </w:r>
      <w:r>
        <w:rPr>
          <w:lang w:bidi="ar-EG"/>
        </w:rPr>
        <w:t>E.157</w:t>
      </w:r>
      <w:r>
        <w:rPr>
          <w:rtl/>
          <w:lang w:bidi="ar-EG"/>
        </w:rPr>
        <w:t xml:space="preserve"> بهدف إلغاء </w:t>
      </w:r>
      <w:r w:rsidR="00142191">
        <w:rPr>
          <w:rFonts w:hint="cs"/>
          <w:rtl/>
          <w:lang w:bidi="ar-EG"/>
        </w:rPr>
        <w:t xml:space="preserve">إخفاء </w:t>
      </w:r>
      <w:r>
        <w:rPr>
          <w:rtl/>
          <w:lang w:bidi="ar-EG"/>
        </w:rPr>
        <w:t>هوية المكالمات عبر شبكات الاتصالات الدولية و</w:t>
      </w:r>
      <w:r w:rsidR="00142191">
        <w:rPr>
          <w:rFonts w:hint="cs"/>
          <w:rtl/>
          <w:lang w:bidi="ar-EG"/>
        </w:rPr>
        <w:t>وضع</w:t>
      </w:r>
      <w:r>
        <w:rPr>
          <w:rtl/>
          <w:lang w:bidi="ar-EG"/>
        </w:rPr>
        <w:t xml:space="preserve"> المسؤولية عن إجراء </w:t>
      </w:r>
      <w:r w:rsidR="00142191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مكالمة على الطرف الطالب، بما في ذلك المشغل الذي حدد نفسه على أنه </w:t>
      </w:r>
      <w:r w:rsidR="00142191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مسؤول عن المكالمة. ويوفر هذا العمل الأساس التقني للوفاء بمتطلبات المادة </w:t>
      </w:r>
      <w:r w:rsidR="00142191">
        <w:rPr>
          <w:lang w:bidi="ar-EG"/>
        </w:rPr>
        <w:t>6.3</w:t>
      </w:r>
      <w:r>
        <w:rPr>
          <w:rtl/>
          <w:lang w:bidi="ar-EG"/>
        </w:rPr>
        <w:t xml:space="preserve"> من لوائح الاتصالات الدولية لعام </w:t>
      </w:r>
      <w:r>
        <w:rPr>
          <w:lang w:bidi="ar-EG"/>
        </w:rPr>
        <w:t>2012</w:t>
      </w:r>
      <w:r>
        <w:rPr>
          <w:rtl/>
          <w:lang w:bidi="ar-EG"/>
        </w:rPr>
        <w:t>. و</w:t>
      </w:r>
      <w:r w:rsidR="00142191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افقت لجنة الدراسات </w:t>
      </w:r>
      <w:r>
        <w:rPr>
          <w:lang w:bidi="ar-EG"/>
        </w:rPr>
        <w:t>17</w:t>
      </w:r>
      <w:r>
        <w:rPr>
          <w:rtl/>
          <w:lang w:bidi="ar-EG"/>
        </w:rPr>
        <w:t xml:space="preserve"> ولا تزال توافق على توصيات جديدة و</w:t>
      </w:r>
      <w:r w:rsidR="00142191">
        <w:rPr>
          <w:rFonts w:hint="cs"/>
          <w:rtl/>
          <w:lang w:bidi="ar-EG"/>
        </w:rPr>
        <w:t xml:space="preserve">توصيات </w:t>
      </w:r>
      <w:r>
        <w:rPr>
          <w:rtl/>
          <w:lang w:bidi="ar-EG"/>
        </w:rPr>
        <w:t xml:space="preserve">مراجعة </w:t>
      </w:r>
      <w:r w:rsidR="00142191">
        <w:rPr>
          <w:rFonts w:hint="cs"/>
          <w:rtl/>
          <w:lang w:bidi="ar-EG"/>
        </w:rPr>
        <w:t>تهدف</w:t>
      </w:r>
      <w:r>
        <w:rPr>
          <w:rtl/>
          <w:lang w:bidi="ar-EG"/>
        </w:rPr>
        <w:t xml:space="preserve"> إلى مكافحة الرسائل الاقتحامية، والتي ترتبط أيض</w:t>
      </w:r>
      <w:r w:rsidR="00142191">
        <w:rPr>
          <w:rtl/>
          <w:lang w:bidi="ar-EG"/>
        </w:rPr>
        <w:t>اً</w:t>
      </w:r>
      <w:r>
        <w:rPr>
          <w:rtl/>
          <w:lang w:bidi="ar-EG"/>
        </w:rPr>
        <w:t xml:space="preserve"> بالمتطلبات المتعلقة بالحاجة إلى تحديد </w:t>
      </w:r>
      <w:r w:rsidR="00142191">
        <w:rPr>
          <w:rFonts w:hint="cs"/>
          <w:rtl/>
          <w:lang w:bidi="ar-EG"/>
        </w:rPr>
        <w:t xml:space="preserve">مصدر </w:t>
      </w:r>
      <w:r>
        <w:rPr>
          <w:rtl/>
          <w:lang w:bidi="ar-EG"/>
        </w:rPr>
        <w:t xml:space="preserve">الرسائل الاقتحامية. ويوفر هذا العمل الأساس التقني للوفاء بمتطلبات المادة </w:t>
      </w:r>
      <w:r>
        <w:rPr>
          <w:lang w:bidi="ar-EG"/>
        </w:rPr>
        <w:t>1.7</w:t>
      </w:r>
      <w:r>
        <w:rPr>
          <w:rtl/>
          <w:lang w:bidi="ar-EG"/>
        </w:rPr>
        <w:t xml:space="preserve"> من لوائح الاتصالات الدولية لعام </w:t>
      </w:r>
      <w:r>
        <w:rPr>
          <w:lang w:bidi="ar-EG"/>
        </w:rPr>
        <w:t>2012</w:t>
      </w:r>
      <w:r>
        <w:rPr>
          <w:rtl/>
          <w:lang w:bidi="ar-EG"/>
        </w:rPr>
        <w:t>. ويعد تنفيذ عدد من قرارات الجمعية العالمية لتقييس الاتصالات صعب</w:t>
      </w:r>
      <w:r w:rsidR="00142191">
        <w:rPr>
          <w:rtl/>
          <w:lang w:bidi="ar-EG"/>
        </w:rPr>
        <w:t>اً</w:t>
      </w:r>
      <w:r>
        <w:rPr>
          <w:rtl/>
          <w:lang w:bidi="ar-EG"/>
        </w:rPr>
        <w:t xml:space="preserve"> إلى حد ما أو مستحيل</w:t>
      </w:r>
      <w:r w:rsidR="00142191"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تمام</w:t>
      </w:r>
      <w:r w:rsidR="00142191">
        <w:rPr>
          <w:rtl/>
          <w:lang w:bidi="ar-EG"/>
        </w:rPr>
        <w:t>اً</w:t>
      </w:r>
      <w:r>
        <w:rPr>
          <w:rtl/>
          <w:lang w:bidi="ar-EG"/>
        </w:rPr>
        <w:t xml:space="preserve"> </w:t>
      </w:r>
      <w:r w:rsidR="00142191">
        <w:rPr>
          <w:rFonts w:hint="cs"/>
          <w:rtl/>
          <w:lang w:bidi="ar-EG"/>
        </w:rPr>
        <w:t>ب</w:t>
      </w:r>
      <w:r>
        <w:rPr>
          <w:rtl/>
          <w:lang w:bidi="ar-EG"/>
        </w:rPr>
        <w:t xml:space="preserve">دون حل مشكلة </w:t>
      </w:r>
      <w:r w:rsidR="00142191">
        <w:rPr>
          <w:rFonts w:hint="cs"/>
          <w:rtl/>
          <w:lang w:bidi="ar-EG"/>
        </w:rPr>
        <w:t>التحديد</w:t>
      </w:r>
      <w:r>
        <w:rPr>
          <w:rtl/>
          <w:lang w:bidi="ar-EG"/>
        </w:rPr>
        <w:t xml:space="preserve"> الرقمي ل</w:t>
      </w:r>
      <w:r w:rsidR="00142191">
        <w:rPr>
          <w:rFonts w:hint="cs"/>
          <w:rtl/>
          <w:lang w:bidi="ar-EG"/>
        </w:rPr>
        <w:t>هوية ا</w:t>
      </w:r>
      <w:r>
        <w:rPr>
          <w:rtl/>
          <w:lang w:bidi="ar-EG"/>
        </w:rPr>
        <w:t>لم</w:t>
      </w:r>
      <w:r w:rsidR="00E20FBA">
        <w:rPr>
          <w:rtl/>
          <w:lang w:bidi="ar-EG"/>
        </w:rPr>
        <w:t>ستعمل</w:t>
      </w:r>
      <w:r>
        <w:rPr>
          <w:rtl/>
          <w:lang w:bidi="ar-EG"/>
        </w:rPr>
        <w:t>ين والخدمات. ويعمل الم</w:t>
      </w:r>
      <w:r w:rsidR="00501A57"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شرعون الوطنيون في عدد من البلدان (بما في ذلك الاتحاد الروسي </w:t>
      </w:r>
      <w:r w:rsidR="00501A57">
        <w:rPr>
          <w:rFonts w:hint="cs"/>
          <w:rtl/>
          <w:lang w:bidi="ar-EG"/>
        </w:rPr>
        <w:t>والبلدان</w:t>
      </w:r>
      <w:r>
        <w:rPr>
          <w:rtl/>
          <w:lang w:bidi="ar-EG"/>
        </w:rPr>
        <w:t xml:space="preserve"> الأوروبية والولايات المتحدة الأمريكية وكندا) بنشاط على تنظيم تطبيق </w:t>
      </w:r>
      <w:r w:rsidR="00501A57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حلول لتحديد الهوية/التحقق </w:t>
      </w:r>
      <w:r w:rsidR="00501A57">
        <w:rPr>
          <w:rFonts w:hint="cs"/>
          <w:rtl/>
          <w:lang w:bidi="ar-EG"/>
        </w:rPr>
        <w:t>منها بوسائل رقمية</w:t>
      </w:r>
      <w:r>
        <w:rPr>
          <w:rtl/>
          <w:lang w:bidi="ar-EG"/>
        </w:rPr>
        <w:t>، بما في ذلك عبر شبكات الاتصال.</w:t>
      </w:r>
    </w:p>
    <w:p w14:paraId="2BCD7EEC" w14:textId="4485DB4E" w:rsidR="00372073" w:rsidRDefault="00372073" w:rsidP="00372073">
      <w:pPr>
        <w:rPr>
          <w:rtl/>
          <w:lang w:bidi="ar-EG"/>
        </w:rPr>
      </w:pPr>
      <w:r>
        <w:rPr>
          <w:rtl/>
          <w:lang w:bidi="ar-EG"/>
        </w:rPr>
        <w:t xml:space="preserve">وبالتالي، </w:t>
      </w:r>
      <w:r w:rsidRPr="005E5E75">
        <w:rPr>
          <w:b/>
          <w:bCs/>
          <w:rtl/>
          <w:lang w:bidi="ar-EG"/>
        </w:rPr>
        <w:t>يقترح الاتحاد الروسي:</w:t>
      </w:r>
    </w:p>
    <w:p w14:paraId="058AECDE" w14:textId="29E31E58" w:rsidR="00372073" w:rsidRDefault="00372073" w:rsidP="00A81067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المقترح</w:t>
      </w:r>
      <w:r>
        <w:rPr>
          <w:rtl/>
          <w:lang w:bidi="ar-EG"/>
        </w:rPr>
        <w:t xml:space="preserve"> </w:t>
      </w:r>
      <w:r>
        <w:rPr>
          <w:lang w:bidi="ar-EG"/>
        </w:rPr>
        <w:t>1</w:t>
      </w:r>
    </w:p>
    <w:p w14:paraId="3DADBEEA" w14:textId="1018F2F7" w:rsidR="00372073" w:rsidRDefault="00A81067" w:rsidP="00A81067">
      <w:pPr>
        <w:ind w:left="794" w:hanging="794"/>
        <w:rPr>
          <w:rtl/>
          <w:lang w:bidi="ar-EG"/>
        </w:rPr>
      </w:pPr>
      <w:r>
        <w:rPr>
          <w:rtl/>
          <w:lang w:bidi="ar-EG"/>
        </w:rPr>
        <w:tab/>
      </w:r>
      <w:r w:rsidR="00E20FBA">
        <w:rPr>
          <w:rFonts w:hint="cs"/>
          <w:rtl/>
          <w:lang w:bidi="ar-EG"/>
        </w:rPr>
        <w:t xml:space="preserve">اختيار </w:t>
      </w:r>
      <w:r w:rsidR="00372073">
        <w:rPr>
          <w:rtl/>
          <w:lang w:bidi="ar-EG"/>
        </w:rPr>
        <w:t>تحديد هوية الم</w:t>
      </w:r>
      <w:r w:rsidR="00E20FBA">
        <w:rPr>
          <w:rtl/>
          <w:lang w:bidi="ar-EG"/>
        </w:rPr>
        <w:t>ستعمل</w:t>
      </w:r>
      <w:r w:rsidR="00372073">
        <w:rPr>
          <w:rtl/>
          <w:lang w:bidi="ar-EG"/>
        </w:rPr>
        <w:t>ين والمنتجات والخدمات</w:t>
      </w:r>
      <w:r w:rsidR="00501A57">
        <w:rPr>
          <w:rFonts w:hint="cs"/>
          <w:rtl/>
          <w:lang w:bidi="ar-EG"/>
        </w:rPr>
        <w:t xml:space="preserve"> و</w:t>
      </w:r>
      <w:r w:rsidR="00501A57">
        <w:rPr>
          <w:rtl/>
          <w:lang w:bidi="ar-EG"/>
        </w:rPr>
        <w:t>التحقق من</w:t>
      </w:r>
      <w:r w:rsidR="00501A57">
        <w:rPr>
          <w:rFonts w:hint="cs"/>
          <w:rtl/>
          <w:lang w:bidi="ar-EG"/>
        </w:rPr>
        <w:t xml:space="preserve">ها بوسائل </w:t>
      </w:r>
      <w:r w:rsidR="00501A57">
        <w:rPr>
          <w:rtl/>
          <w:lang w:bidi="ar-EG"/>
        </w:rPr>
        <w:t>رقمية</w:t>
      </w:r>
      <w:r w:rsidR="00372073">
        <w:rPr>
          <w:rtl/>
          <w:lang w:bidi="ar-EG"/>
        </w:rPr>
        <w:t xml:space="preserve">، إلى جانب الاعتراف المتبادل بهذا </w:t>
      </w:r>
      <w:r w:rsidR="00501A57">
        <w:rPr>
          <w:rFonts w:hint="cs"/>
          <w:rtl/>
          <w:lang w:bidi="ar-EG"/>
        </w:rPr>
        <w:t>التحديد</w:t>
      </w:r>
      <w:r w:rsidR="00372073">
        <w:rPr>
          <w:rtl/>
          <w:lang w:bidi="ar-EG"/>
        </w:rPr>
        <w:t xml:space="preserve">/التحقق الرقمي، كأحد المجالات </w:t>
      </w:r>
      <w:r w:rsidR="00501A57">
        <w:rPr>
          <w:rFonts w:hint="cs"/>
          <w:rtl/>
          <w:lang w:bidi="ar-EG"/>
        </w:rPr>
        <w:t>لاستعراض</w:t>
      </w:r>
      <w:r w:rsidR="00372073">
        <w:rPr>
          <w:rtl/>
          <w:lang w:bidi="ar-EG"/>
        </w:rPr>
        <w:t xml:space="preserve"> لوائح الاتصالات الدولية.</w:t>
      </w:r>
    </w:p>
    <w:p w14:paraId="1EED4390" w14:textId="08559C1A" w:rsidR="008042A3" w:rsidRPr="00A81067" w:rsidRDefault="008042A3" w:rsidP="00A81067">
      <w:pPr>
        <w:pStyle w:val="Heading1"/>
      </w:pPr>
      <w:r w:rsidRPr="00A81067">
        <w:lastRenderedPageBreak/>
        <w:t>3</w:t>
      </w:r>
      <w:r w:rsidRPr="00A81067">
        <w:rPr>
          <w:rtl/>
        </w:rPr>
        <w:tab/>
      </w:r>
      <w:r w:rsidR="00372073" w:rsidRPr="00A81067">
        <w:rPr>
          <w:rFonts w:hint="cs"/>
          <w:rtl/>
        </w:rPr>
        <w:t xml:space="preserve">المقترح </w:t>
      </w:r>
      <w:r w:rsidR="00372073" w:rsidRPr="00A81067">
        <w:t>2</w:t>
      </w:r>
    </w:p>
    <w:p w14:paraId="21FAA7C3" w14:textId="43DA437B" w:rsidR="00372073" w:rsidRDefault="00372073" w:rsidP="00372073">
      <w:pPr>
        <w:rPr>
          <w:rtl/>
          <w:lang w:bidi="ar-EG"/>
        </w:rPr>
      </w:pPr>
      <w:r>
        <w:rPr>
          <w:rtl/>
          <w:lang w:bidi="ar-EG"/>
        </w:rPr>
        <w:t xml:space="preserve">بالإضافة إلى صياغة التوصيات، تسمح أساليب عمل الاتحاد </w:t>
      </w:r>
      <w:r w:rsidR="00501A57">
        <w:rPr>
          <w:rFonts w:hint="cs"/>
          <w:rtl/>
          <w:lang w:bidi="ar-EG"/>
        </w:rPr>
        <w:t>بإعداد</w:t>
      </w:r>
      <w:r>
        <w:rPr>
          <w:rtl/>
          <w:lang w:bidi="ar-EG"/>
        </w:rPr>
        <w:t xml:space="preserve"> عدد من الوثائق الأخرى، بما في ذلك التقارير التقنية والوثائق التقنية وال</w:t>
      </w:r>
      <w:r w:rsidR="00142191">
        <w:rPr>
          <w:rFonts w:hint="cs"/>
          <w:rtl/>
          <w:lang w:bidi="ar-EG"/>
        </w:rPr>
        <w:t>ملحق</w:t>
      </w:r>
      <w:r>
        <w:rPr>
          <w:rtl/>
          <w:lang w:bidi="ar-EG"/>
        </w:rPr>
        <w:t xml:space="preserve">ات ومشاريع الخطط (في لجنة الدراسات </w:t>
      </w:r>
      <w:r>
        <w:rPr>
          <w:lang w:bidi="ar-EG"/>
        </w:rPr>
        <w:t>15</w:t>
      </w:r>
      <w:r>
        <w:rPr>
          <w:rtl/>
          <w:lang w:bidi="ar-EG"/>
        </w:rPr>
        <w:t xml:space="preserve"> بشأن شبكات النفاذ و</w:t>
      </w:r>
      <w:r w:rsidR="00501A57">
        <w:rPr>
          <w:rFonts w:hint="cs"/>
          <w:rtl/>
          <w:lang w:bidi="ar-EG"/>
        </w:rPr>
        <w:t xml:space="preserve">في </w:t>
      </w:r>
      <w:r>
        <w:rPr>
          <w:rtl/>
          <w:lang w:bidi="ar-EG"/>
        </w:rPr>
        <w:t xml:space="preserve">لجنة الدراسات </w:t>
      </w:r>
      <w:r>
        <w:rPr>
          <w:lang w:bidi="ar-EG"/>
        </w:rPr>
        <w:t>2</w:t>
      </w:r>
      <w:r>
        <w:rPr>
          <w:rtl/>
          <w:lang w:bidi="ar-EG"/>
        </w:rPr>
        <w:t xml:space="preserve"> بشأن إدارة الاتصالات)، </w:t>
      </w:r>
      <w:r w:rsidR="00501A57">
        <w:rPr>
          <w:rFonts w:hint="cs"/>
          <w:rtl/>
          <w:lang w:bidi="ar-EG"/>
        </w:rPr>
        <w:t xml:space="preserve">فضلاً عن </w:t>
      </w:r>
      <w:r>
        <w:rPr>
          <w:rtl/>
          <w:lang w:bidi="ar-EG"/>
        </w:rPr>
        <w:t xml:space="preserve">وثائق أخرى </w:t>
      </w:r>
      <w:r w:rsidR="00501A57">
        <w:rPr>
          <w:rFonts w:hint="cs"/>
          <w:rtl/>
          <w:lang w:bidi="ar-EG"/>
        </w:rPr>
        <w:t>لاستكمال</w:t>
      </w:r>
      <w:r>
        <w:rPr>
          <w:rtl/>
          <w:lang w:bidi="ar-EG"/>
        </w:rPr>
        <w:t xml:space="preserve"> وتوضيح وتنسيق أحكام توصيات فردية أو سلسلة </w:t>
      </w:r>
      <w:r w:rsidR="00501A57">
        <w:rPr>
          <w:rFonts w:hint="cs"/>
          <w:rtl/>
          <w:lang w:bidi="ar-EG"/>
        </w:rPr>
        <w:t xml:space="preserve">من </w:t>
      </w:r>
      <w:r>
        <w:rPr>
          <w:rtl/>
          <w:lang w:bidi="ar-EG"/>
        </w:rPr>
        <w:t>التوصيات أو مجالات عمل شاملة داخل الاتحاد وفي جميع أنحاء العالم. ويبدو من المستحسن بدء العمل على مثل هذ</w:t>
      </w:r>
      <w:r w:rsidR="00501A57">
        <w:rPr>
          <w:rFonts w:hint="cs"/>
          <w:rtl/>
          <w:lang w:bidi="ar-EG"/>
        </w:rPr>
        <w:t>ه الوثيقة</w:t>
      </w:r>
      <w:r>
        <w:rPr>
          <w:rtl/>
          <w:lang w:bidi="ar-EG"/>
        </w:rPr>
        <w:t xml:space="preserve">، على سبيل المثال مشروع خطة، في إطار </w:t>
      </w:r>
      <w:r w:rsidR="00297D78">
        <w:rPr>
          <w:rtl/>
          <w:lang w:bidi="ar-EG"/>
        </w:rPr>
        <w:t>فريق الخبراء المعني بلوائح الاتصالات الدولية</w:t>
      </w:r>
      <w:r>
        <w:rPr>
          <w:rtl/>
          <w:lang w:bidi="ar-EG"/>
        </w:rPr>
        <w:t xml:space="preserve">، على أساس المساهمات. ويمكن أن تتضمن هذه الوثيقة توصيات محددة لقطاع تقييس الاتصالات توضح أحكام مواد معينة من لوائح الاتصالات الدولية (الحالية أو المستقبلية) ووثائق/قوانين معيارية دولية ومحلية محددة (أو مقتطفات منها) تشير إلى المجالات المحتملة </w:t>
      </w:r>
      <w:r w:rsidR="00501A57">
        <w:rPr>
          <w:rFonts w:hint="cs"/>
          <w:rtl/>
          <w:lang w:bidi="ar-EG"/>
        </w:rPr>
        <w:t>لوضع</w:t>
      </w:r>
      <w:r>
        <w:rPr>
          <w:rtl/>
          <w:lang w:bidi="ar-EG"/>
        </w:rPr>
        <w:t xml:space="preserve"> التشريعات المحلية والدولية </w:t>
      </w:r>
      <w:r w:rsidR="00501A57"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دعم الوفاء بمتطلبات لوائح الاتصالات الدولية. ويمكن </w:t>
      </w:r>
      <w:r w:rsidR="00501A57">
        <w:rPr>
          <w:rFonts w:hint="cs"/>
          <w:rtl/>
          <w:lang w:bidi="ar-EG"/>
        </w:rPr>
        <w:t>أن تعمل</w:t>
      </w:r>
      <w:r>
        <w:rPr>
          <w:rtl/>
          <w:lang w:bidi="ar-EG"/>
        </w:rPr>
        <w:t xml:space="preserve"> الوثيقة </w:t>
      </w:r>
      <w:r w:rsidR="00501A57" w:rsidRPr="00501A57">
        <w:rPr>
          <w:lang w:bidi="ar-EG"/>
        </w:rPr>
        <w:t>EG-ITRs-5/INF/1-E</w:t>
      </w:r>
      <w:r>
        <w:rPr>
          <w:rtl/>
          <w:lang w:bidi="ar-EG"/>
        </w:rPr>
        <w:t xml:space="preserve"> كنقطة انطلاق لهذا العمل.</w:t>
      </w:r>
    </w:p>
    <w:p w14:paraId="2802B344" w14:textId="6EEF9DC9" w:rsidR="00372073" w:rsidRDefault="00372073" w:rsidP="00372073">
      <w:pPr>
        <w:rPr>
          <w:rtl/>
          <w:lang w:bidi="ar-EG"/>
        </w:rPr>
      </w:pPr>
      <w:r>
        <w:rPr>
          <w:rtl/>
          <w:lang w:bidi="ar-EG"/>
        </w:rPr>
        <w:t xml:space="preserve">وبالتالي، </w:t>
      </w:r>
      <w:r w:rsidRPr="00501A57">
        <w:rPr>
          <w:b/>
          <w:bCs/>
          <w:rtl/>
          <w:lang w:bidi="ar-EG"/>
        </w:rPr>
        <w:t>يقترح الاتحاد الروسي</w:t>
      </w:r>
      <w:r>
        <w:rPr>
          <w:rtl/>
          <w:lang w:bidi="ar-EG"/>
        </w:rPr>
        <w:t>:</w:t>
      </w:r>
    </w:p>
    <w:p w14:paraId="71CCACD7" w14:textId="639FDAB5" w:rsidR="008042A3" w:rsidRPr="00A81067" w:rsidRDefault="00372073" w:rsidP="00A81067">
      <w:pPr>
        <w:pStyle w:val="Headingb"/>
      </w:pPr>
      <w:r w:rsidRPr="00A81067">
        <w:rPr>
          <w:rFonts w:hint="cs"/>
          <w:rtl/>
        </w:rPr>
        <w:t xml:space="preserve">المقترح </w:t>
      </w:r>
      <w:r w:rsidR="008042A3" w:rsidRPr="00A81067">
        <w:t>1</w:t>
      </w:r>
      <w:r w:rsidRPr="00A81067">
        <w:t>.</w:t>
      </w:r>
      <w:r w:rsidR="008042A3" w:rsidRPr="00A81067">
        <w:t>2</w:t>
      </w:r>
    </w:p>
    <w:p w14:paraId="6E2F8A5E" w14:textId="677339C9" w:rsidR="00372073" w:rsidRDefault="00A81067" w:rsidP="00A81067">
      <w:pPr>
        <w:rPr>
          <w:rtl/>
          <w:lang w:bidi="ar-EG"/>
        </w:rPr>
      </w:pPr>
      <w:r>
        <w:rPr>
          <w:rtl/>
          <w:lang w:bidi="ar-EG"/>
        </w:rPr>
        <w:tab/>
      </w:r>
      <w:r w:rsidR="00501A57">
        <w:rPr>
          <w:rFonts w:hint="cs"/>
          <w:rtl/>
          <w:lang w:bidi="ar-EG"/>
        </w:rPr>
        <w:t>البدء</w:t>
      </w:r>
      <w:r w:rsidR="00372073">
        <w:rPr>
          <w:rtl/>
          <w:lang w:bidi="ar-EG"/>
        </w:rPr>
        <w:t xml:space="preserve"> في </w:t>
      </w:r>
      <w:r w:rsidR="00501A57">
        <w:rPr>
          <w:rFonts w:hint="cs"/>
          <w:rtl/>
          <w:lang w:bidi="ar-EG"/>
        </w:rPr>
        <w:t>إعداد</w:t>
      </w:r>
      <w:r w:rsidR="00372073">
        <w:rPr>
          <w:rtl/>
          <w:lang w:bidi="ar-EG"/>
        </w:rPr>
        <w:t xml:space="preserve"> مشروع خطة لدعم الوفاء بمتطلبات لوائح الاتصالات الدولية.</w:t>
      </w:r>
    </w:p>
    <w:p w14:paraId="2B8257F1" w14:textId="23EE4224" w:rsidR="008042A3" w:rsidRPr="00A81067" w:rsidRDefault="00372073" w:rsidP="00A81067">
      <w:pPr>
        <w:pStyle w:val="Headingb"/>
      </w:pPr>
      <w:r w:rsidRPr="00A81067">
        <w:rPr>
          <w:rFonts w:hint="cs"/>
          <w:rtl/>
        </w:rPr>
        <w:t xml:space="preserve">المقترح </w:t>
      </w:r>
      <w:r w:rsidR="008042A3" w:rsidRPr="00A81067">
        <w:t>2</w:t>
      </w:r>
      <w:r w:rsidRPr="00A81067">
        <w:t>.</w:t>
      </w:r>
      <w:r w:rsidR="008042A3" w:rsidRPr="00A81067">
        <w:t>2</w:t>
      </w:r>
    </w:p>
    <w:p w14:paraId="24006BA6" w14:textId="4A7CB880" w:rsidR="005E1D7E" w:rsidRDefault="00A81067" w:rsidP="00A81067">
      <w:pPr>
        <w:rPr>
          <w:b/>
          <w:bCs/>
          <w:rtl/>
          <w:lang w:bidi="ar-EG"/>
        </w:rPr>
      </w:pPr>
      <w:r>
        <w:rPr>
          <w:rtl/>
          <w:lang w:bidi="ar-EG"/>
        </w:rPr>
        <w:tab/>
      </w:r>
      <w:r w:rsidR="00372073">
        <w:rPr>
          <w:rtl/>
          <w:lang w:bidi="ar-EG"/>
        </w:rPr>
        <w:t xml:space="preserve">تقترح إدارة روسيا على الاجتماع ترشيح السيد </w:t>
      </w:r>
      <w:r w:rsidR="00501A57">
        <w:rPr>
          <w:rFonts w:hint="cs"/>
          <w:rtl/>
          <w:lang w:bidi="ar-EG"/>
        </w:rPr>
        <w:t>د. ف.</w:t>
      </w:r>
      <w:r w:rsidR="00372073">
        <w:rPr>
          <w:rtl/>
          <w:lang w:bidi="ar-EG"/>
        </w:rPr>
        <w:t xml:space="preserve"> </w:t>
      </w:r>
      <w:proofErr w:type="spellStart"/>
      <w:r w:rsidR="00372073">
        <w:rPr>
          <w:rtl/>
          <w:lang w:bidi="ar-EG"/>
        </w:rPr>
        <w:t>تشيركيسوف</w:t>
      </w:r>
      <w:proofErr w:type="spellEnd"/>
      <w:r w:rsidR="00372073">
        <w:rPr>
          <w:rtl/>
          <w:lang w:bidi="ar-EG"/>
        </w:rPr>
        <w:t xml:space="preserve"> كمحرر لمشروع الخطة</w:t>
      </w:r>
      <w:r w:rsidR="00E20FBA">
        <w:rPr>
          <w:rFonts w:hint="cs"/>
          <w:rtl/>
          <w:lang w:bidi="ar-EG"/>
        </w:rPr>
        <w:t>، للموافقة عليه</w:t>
      </w:r>
      <w:r w:rsidR="00372073">
        <w:rPr>
          <w:rtl/>
          <w:lang w:bidi="ar-EG"/>
        </w:rPr>
        <w:t>.</w:t>
      </w:r>
    </w:p>
    <w:p w14:paraId="0C47CD16" w14:textId="77777777" w:rsidR="006F3BD6" w:rsidRDefault="006F3BD6" w:rsidP="006F3BD6">
      <w:pPr>
        <w:spacing w:before="600"/>
        <w:jc w:val="center"/>
        <w:rPr>
          <w:rtl/>
          <w:lang w:bidi="ar-EG"/>
        </w:rPr>
      </w:pPr>
      <w:r w:rsidRPr="006F3BD6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F3BD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CCBA" w14:textId="77777777" w:rsidR="008042A3" w:rsidRDefault="008042A3" w:rsidP="006C3242">
      <w:pPr>
        <w:spacing w:before="0" w:line="240" w:lineRule="auto"/>
      </w:pPr>
      <w:r>
        <w:separator/>
      </w:r>
    </w:p>
  </w:endnote>
  <w:endnote w:type="continuationSeparator" w:id="0">
    <w:p w14:paraId="5E115357" w14:textId="77777777" w:rsidR="008042A3" w:rsidRDefault="008042A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7D7C" w14:textId="089BB848" w:rsidR="006C3242" w:rsidRPr="0026255A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26255A">
      <w:rPr>
        <w:color w:val="F2F2F2" w:themeColor="background1" w:themeShade="F2"/>
        <w:sz w:val="16"/>
        <w:szCs w:val="16"/>
        <w:lang w:val="fr-FR"/>
      </w:rPr>
      <w:fldChar w:fldCharType="begin"/>
    </w:r>
    <w:r w:rsidRPr="0026255A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26255A">
      <w:rPr>
        <w:color w:val="F2F2F2" w:themeColor="background1" w:themeShade="F2"/>
        <w:sz w:val="16"/>
        <w:szCs w:val="16"/>
        <w:lang w:val="fr-FR"/>
      </w:rPr>
      <w:fldChar w:fldCharType="separate"/>
    </w:r>
    <w:r w:rsidR="00645780" w:rsidRPr="0026255A">
      <w:rPr>
        <w:noProof/>
        <w:color w:val="F2F2F2" w:themeColor="background1" w:themeShade="F2"/>
        <w:sz w:val="16"/>
        <w:szCs w:val="16"/>
        <w:lang w:val="fr-FR"/>
      </w:rPr>
      <w:t>P:\ARA\SG\CONSEIL\EG-ITR\EG-ITR-5\000\002A.docx</w:t>
    </w:r>
    <w:r w:rsidRPr="0026255A">
      <w:rPr>
        <w:color w:val="F2F2F2" w:themeColor="background1" w:themeShade="F2"/>
        <w:sz w:val="16"/>
        <w:szCs w:val="16"/>
      </w:rPr>
      <w:fldChar w:fldCharType="end"/>
    </w:r>
    <w:proofErr w:type="gramStart"/>
    <w:r w:rsidRPr="0026255A">
      <w:rPr>
        <w:color w:val="F2F2F2" w:themeColor="background1" w:themeShade="F2"/>
        <w:sz w:val="16"/>
        <w:szCs w:val="16"/>
      </w:rPr>
      <w:t xml:space="preserve">  </w:t>
    </w:r>
    <w:r w:rsidRPr="0026255A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8042A3" w:rsidRPr="0026255A">
      <w:rPr>
        <w:color w:val="F2F2F2" w:themeColor="background1" w:themeShade="F2"/>
        <w:sz w:val="16"/>
        <w:szCs w:val="16"/>
        <w:lang w:val="fr-FR"/>
      </w:rPr>
      <w:t>494200</w:t>
    </w:r>
    <w:r w:rsidRPr="0026255A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71DD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2E3E" w14:textId="77777777" w:rsidR="008042A3" w:rsidRDefault="008042A3" w:rsidP="006C3242">
      <w:pPr>
        <w:spacing w:before="0" w:line="240" w:lineRule="auto"/>
      </w:pPr>
      <w:r>
        <w:separator/>
      </w:r>
    </w:p>
  </w:footnote>
  <w:footnote w:type="continuationSeparator" w:id="0">
    <w:p w14:paraId="6B878487" w14:textId="77777777" w:rsidR="008042A3" w:rsidRDefault="008042A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778D" w14:textId="2A9F5995" w:rsidR="00447F32" w:rsidRPr="00447F32" w:rsidRDefault="0026255A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246CDD">
          <w:rPr>
            <w:rFonts w:cs="Calibri"/>
            <w:noProof/>
            <w:sz w:val="20"/>
            <w:szCs w:val="20"/>
          </w:rPr>
          <w:t>5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8042A3">
          <w:rPr>
            <w:rFonts w:cs="Calibri"/>
            <w:noProof/>
            <w:sz w:val="20"/>
            <w:szCs w:val="20"/>
          </w:rPr>
          <w:t>2</w:t>
        </w:r>
        <w:r w:rsidR="00AF6B5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A3"/>
    <w:rsid w:val="00056A9A"/>
    <w:rsid w:val="0006468A"/>
    <w:rsid w:val="00090574"/>
    <w:rsid w:val="000C1C0E"/>
    <w:rsid w:val="000C548A"/>
    <w:rsid w:val="00142191"/>
    <w:rsid w:val="00161111"/>
    <w:rsid w:val="001664DB"/>
    <w:rsid w:val="00180649"/>
    <w:rsid w:val="001810C9"/>
    <w:rsid w:val="001C0169"/>
    <w:rsid w:val="001D19F6"/>
    <w:rsid w:val="001D1D50"/>
    <w:rsid w:val="001D6745"/>
    <w:rsid w:val="001E446E"/>
    <w:rsid w:val="001E5EC0"/>
    <w:rsid w:val="00206300"/>
    <w:rsid w:val="002154EE"/>
    <w:rsid w:val="002276D2"/>
    <w:rsid w:val="0023283D"/>
    <w:rsid w:val="002431BE"/>
    <w:rsid w:val="00246CDD"/>
    <w:rsid w:val="0026255A"/>
    <w:rsid w:val="0026373E"/>
    <w:rsid w:val="00271C43"/>
    <w:rsid w:val="00290728"/>
    <w:rsid w:val="002978F4"/>
    <w:rsid w:val="00297D78"/>
    <w:rsid w:val="002B028D"/>
    <w:rsid w:val="002E196B"/>
    <w:rsid w:val="002E1CEA"/>
    <w:rsid w:val="002E6541"/>
    <w:rsid w:val="00334924"/>
    <w:rsid w:val="003409BC"/>
    <w:rsid w:val="00357185"/>
    <w:rsid w:val="00372073"/>
    <w:rsid w:val="00383829"/>
    <w:rsid w:val="003C7D38"/>
    <w:rsid w:val="003F4B29"/>
    <w:rsid w:val="00404828"/>
    <w:rsid w:val="0042686F"/>
    <w:rsid w:val="004317D8"/>
    <w:rsid w:val="00434183"/>
    <w:rsid w:val="00435AFF"/>
    <w:rsid w:val="00443869"/>
    <w:rsid w:val="00447F32"/>
    <w:rsid w:val="004E11DC"/>
    <w:rsid w:val="00501A57"/>
    <w:rsid w:val="00525DDD"/>
    <w:rsid w:val="005409AC"/>
    <w:rsid w:val="0055516A"/>
    <w:rsid w:val="0058491B"/>
    <w:rsid w:val="00592EA5"/>
    <w:rsid w:val="005A0F49"/>
    <w:rsid w:val="005A3170"/>
    <w:rsid w:val="005E1D7E"/>
    <w:rsid w:val="005E5E75"/>
    <w:rsid w:val="0060140C"/>
    <w:rsid w:val="00645780"/>
    <w:rsid w:val="00677396"/>
    <w:rsid w:val="0069200F"/>
    <w:rsid w:val="00692B84"/>
    <w:rsid w:val="006A65CB"/>
    <w:rsid w:val="006C3242"/>
    <w:rsid w:val="006C7CC0"/>
    <w:rsid w:val="006F3BD6"/>
    <w:rsid w:val="006F63F7"/>
    <w:rsid w:val="007025C7"/>
    <w:rsid w:val="00706D7A"/>
    <w:rsid w:val="00722F0D"/>
    <w:rsid w:val="00733B21"/>
    <w:rsid w:val="0074420E"/>
    <w:rsid w:val="00783E26"/>
    <w:rsid w:val="007C3BC7"/>
    <w:rsid w:val="007C3BCD"/>
    <w:rsid w:val="007D4ACF"/>
    <w:rsid w:val="007F0787"/>
    <w:rsid w:val="008042A3"/>
    <w:rsid w:val="00810B7B"/>
    <w:rsid w:val="0082358A"/>
    <w:rsid w:val="008235CD"/>
    <w:rsid w:val="008247DE"/>
    <w:rsid w:val="00840B10"/>
    <w:rsid w:val="008513CB"/>
    <w:rsid w:val="00876C32"/>
    <w:rsid w:val="008A7F84"/>
    <w:rsid w:val="0091702E"/>
    <w:rsid w:val="00923B0C"/>
    <w:rsid w:val="0094021C"/>
    <w:rsid w:val="00952F86"/>
    <w:rsid w:val="00982B28"/>
    <w:rsid w:val="009D313F"/>
    <w:rsid w:val="009F501F"/>
    <w:rsid w:val="00A47A5A"/>
    <w:rsid w:val="00A56DA0"/>
    <w:rsid w:val="00A6683B"/>
    <w:rsid w:val="00A81067"/>
    <w:rsid w:val="00A97F94"/>
    <w:rsid w:val="00AA7EA2"/>
    <w:rsid w:val="00AF6B5C"/>
    <w:rsid w:val="00B03099"/>
    <w:rsid w:val="00B05BC8"/>
    <w:rsid w:val="00B64B47"/>
    <w:rsid w:val="00BA375C"/>
    <w:rsid w:val="00BF382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20FBA"/>
    <w:rsid w:val="00E45211"/>
    <w:rsid w:val="00E473C5"/>
    <w:rsid w:val="00E51B56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104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EF78C2"/>
  <w15:chartTrackingRefBased/>
  <w15:docId w15:val="{E5DF15F6-9F22-4069-A997-ACF87C7C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 - ITRs - Development areas, application assessments, best practice overview</dc:title>
  <dc:subject>EG-ITRs</dc:subject>
  <dc:creator>Almidani, Ahmad Alaa</dc:creator>
  <cp:keywords>EG-ITRs</cp:keywords>
  <dc:description/>
  <cp:lastModifiedBy>Xue, Kun</cp:lastModifiedBy>
  <cp:revision>2</cp:revision>
  <dcterms:created xsi:type="dcterms:W3CDTF">2021-09-22T10:22:00Z</dcterms:created>
  <dcterms:modified xsi:type="dcterms:W3CDTF">2021-09-22T10:22:00Z</dcterms:modified>
</cp:coreProperties>
</file>