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832"/>
        <w:gridCol w:w="2840"/>
      </w:tblGrid>
      <w:tr w:rsidR="005A0F49" w:rsidRPr="00AF6B5C" w14:paraId="74521F49" w14:textId="77777777" w:rsidTr="00882C8E">
        <w:trPr>
          <w:cantSplit/>
          <w:trHeight w:val="1306"/>
        </w:trPr>
        <w:tc>
          <w:tcPr>
            <w:tcW w:w="6832" w:type="dxa"/>
          </w:tcPr>
          <w:p w14:paraId="0385D9A5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40FB3BF9" w14:textId="77777777" w:rsidR="005A0F49" w:rsidRPr="00AF6B5C" w:rsidRDefault="005A0F49" w:rsidP="005A0F49">
            <w:pPr>
              <w:spacing w:before="16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404828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0630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اجتماع افتراضي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404828">
              <w:rPr>
                <w:b/>
                <w:bCs/>
                <w:sz w:val="24"/>
                <w:szCs w:val="24"/>
                <w:lang w:bidi="ar-EG"/>
              </w:rPr>
              <w:t>4-3</w:t>
            </w:r>
            <w:r w:rsidRPr="00AF6B5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0482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435AFF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2840" w:type="dxa"/>
            <w:vAlign w:val="center"/>
          </w:tcPr>
          <w:p w14:paraId="01389FAB" w14:textId="77777777" w:rsidR="005A0F49" w:rsidRPr="00AF6B5C" w:rsidRDefault="005A0F49" w:rsidP="00882C8E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398AAFB7" wp14:editId="1883BF8C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09D93832" w14:textId="77777777" w:rsidTr="00882C8E">
        <w:trPr>
          <w:cantSplit/>
          <w:trHeight w:val="20"/>
        </w:trPr>
        <w:tc>
          <w:tcPr>
            <w:tcW w:w="6832" w:type="dxa"/>
            <w:tcBorders>
              <w:top w:val="single" w:sz="12" w:space="0" w:color="auto"/>
            </w:tcBorders>
          </w:tcPr>
          <w:p w14:paraId="0D872E42" w14:textId="77777777" w:rsidR="00AF6B5C" w:rsidRPr="00AF6B5C" w:rsidRDefault="00AF6B5C" w:rsidP="00B31DF9">
            <w:pPr>
              <w:spacing w:before="0"/>
              <w:rPr>
                <w:b/>
                <w:bCs/>
                <w:rtl/>
                <w:lang w:bidi="ar-EG"/>
              </w:rPr>
            </w:pPr>
          </w:p>
        </w:tc>
        <w:tc>
          <w:tcPr>
            <w:tcW w:w="2840" w:type="dxa"/>
            <w:tcBorders>
              <w:top w:val="single" w:sz="12" w:space="0" w:color="auto"/>
            </w:tcBorders>
          </w:tcPr>
          <w:p w14:paraId="160646DD" w14:textId="77777777" w:rsidR="00AF6B5C" w:rsidRPr="00AF6B5C" w:rsidRDefault="00AF6B5C" w:rsidP="00B31DF9">
            <w:pPr>
              <w:spacing w:before="0"/>
              <w:rPr>
                <w:b/>
                <w:bCs/>
                <w:lang w:bidi="ar-EG"/>
              </w:rPr>
            </w:pPr>
          </w:p>
        </w:tc>
      </w:tr>
      <w:tr w:rsidR="00AF6B5C" w:rsidRPr="00AF6B5C" w14:paraId="25D92DEE" w14:textId="77777777" w:rsidTr="00882C8E">
        <w:trPr>
          <w:cantSplit/>
        </w:trPr>
        <w:tc>
          <w:tcPr>
            <w:tcW w:w="6832" w:type="dxa"/>
            <w:vMerge w:val="restart"/>
          </w:tcPr>
          <w:p w14:paraId="6D4D9A92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840" w:type="dxa"/>
            <w:vAlign w:val="center"/>
          </w:tcPr>
          <w:p w14:paraId="552FCD05" w14:textId="76F9BE78" w:rsidR="00AF6B5C" w:rsidRPr="00AF6B5C" w:rsidRDefault="00AF6B5C" w:rsidP="00B31DF9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404828">
              <w:rPr>
                <w:b/>
                <w:bCs/>
                <w:lang w:bidi="ar-EG"/>
              </w:rPr>
              <w:t>4</w:t>
            </w:r>
            <w:r w:rsidRPr="00AF6B5C">
              <w:rPr>
                <w:b/>
                <w:bCs/>
                <w:lang w:bidi="ar-EG"/>
              </w:rPr>
              <w:t>/</w:t>
            </w:r>
            <w:r w:rsidR="00133288">
              <w:rPr>
                <w:b/>
                <w:bCs/>
                <w:lang w:bidi="ar-EG"/>
              </w:rPr>
              <w:t>6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1AF7E2B1" w14:textId="77777777" w:rsidTr="00882C8E">
        <w:trPr>
          <w:cantSplit/>
        </w:trPr>
        <w:tc>
          <w:tcPr>
            <w:tcW w:w="6832" w:type="dxa"/>
            <w:vMerge/>
          </w:tcPr>
          <w:p w14:paraId="17C3D9A2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840" w:type="dxa"/>
            <w:vAlign w:val="center"/>
          </w:tcPr>
          <w:p w14:paraId="4F80CAFB" w14:textId="1FC6250F" w:rsidR="00AF6B5C" w:rsidRPr="00AF6B5C" w:rsidRDefault="00133288" w:rsidP="00B31DF9">
            <w:pPr>
              <w:spacing w:before="40" w:after="4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يناير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F6B5C">
              <w:rPr>
                <w:b/>
                <w:bCs/>
                <w:lang w:bidi="ar-EG"/>
              </w:rPr>
              <w:t>202</w:t>
            </w:r>
            <w:r w:rsidR="00435AFF">
              <w:rPr>
                <w:b/>
                <w:bCs/>
                <w:lang w:bidi="ar-EG"/>
              </w:rPr>
              <w:t>1</w:t>
            </w:r>
          </w:p>
        </w:tc>
      </w:tr>
      <w:tr w:rsidR="00AF6B5C" w:rsidRPr="00AF6B5C" w14:paraId="4FF792E0" w14:textId="77777777" w:rsidTr="00882C8E">
        <w:trPr>
          <w:cantSplit/>
        </w:trPr>
        <w:tc>
          <w:tcPr>
            <w:tcW w:w="6832" w:type="dxa"/>
            <w:vMerge/>
          </w:tcPr>
          <w:p w14:paraId="32C05C2B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840" w:type="dxa"/>
            <w:vAlign w:val="center"/>
          </w:tcPr>
          <w:p w14:paraId="189CBC7C" w14:textId="77777777" w:rsidR="00AF6B5C" w:rsidRPr="00AF6B5C" w:rsidRDefault="00AF6B5C" w:rsidP="00B31DF9">
            <w:pPr>
              <w:spacing w:before="40" w:after="40" w:line="26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5BCBFE7D" w14:textId="77777777" w:rsidTr="00F03E94">
        <w:trPr>
          <w:cantSplit/>
        </w:trPr>
        <w:tc>
          <w:tcPr>
            <w:tcW w:w="9672" w:type="dxa"/>
            <w:gridSpan w:val="2"/>
          </w:tcPr>
          <w:p w14:paraId="67CA6D32" w14:textId="1F8F3670" w:rsidR="00AF6B5C" w:rsidRPr="00AF6B5C" w:rsidRDefault="00133288" w:rsidP="00AF6B5C">
            <w:pPr>
              <w:pStyle w:val="Source"/>
            </w:pPr>
            <w:r>
              <w:rPr>
                <w:rFonts w:hint="cs"/>
                <w:rtl/>
                <w:lang w:bidi="ar-EG"/>
              </w:rPr>
              <w:t>الولايات المتحدة</w:t>
            </w:r>
            <w:r w:rsidR="00B37996">
              <w:rPr>
                <w:rFonts w:hint="cs"/>
                <w:rtl/>
                <w:lang w:bidi="ar-EG"/>
              </w:rPr>
              <w:t xml:space="preserve"> الأمريكية</w:t>
            </w:r>
          </w:p>
        </w:tc>
      </w:tr>
      <w:tr w:rsidR="00AF6B5C" w:rsidRPr="00AF6B5C" w14:paraId="5823F7FA" w14:textId="77777777" w:rsidTr="00F03E94">
        <w:trPr>
          <w:cantSplit/>
        </w:trPr>
        <w:tc>
          <w:tcPr>
            <w:tcW w:w="9672" w:type="dxa"/>
            <w:gridSpan w:val="2"/>
          </w:tcPr>
          <w:p w14:paraId="3BEEEDC2" w14:textId="0A8B046E" w:rsidR="00AF6B5C" w:rsidRPr="00AF6B5C" w:rsidRDefault="00133288" w:rsidP="00AF6B5C">
            <w:pPr>
              <w:pStyle w:val="Title1"/>
              <w:rPr>
                <w:rtl/>
                <w:lang w:bidi="ar-EG"/>
              </w:rPr>
            </w:pPr>
            <w:r w:rsidRPr="0023223E">
              <w:rPr>
                <w:rFonts w:hint="cs"/>
                <w:rtl/>
                <w:lang w:bidi="ar-EG"/>
              </w:rPr>
              <w:t>وجهات نظر بشأن المواد</w:t>
            </w:r>
            <w:r>
              <w:rPr>
                <w:rFonts w:hint="cs"/>
                <w:rtl/>
                <w:lang w:bidi="ar-EG"/>
              </w:rPr>
              <w:t xml:space="preserve"> من</w:t>
            </w:r>
            <w:r w:rsidRPr="0023223E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val="en-CA" w:bidi="ar-EG"/>
              </w:rPr>
              <w:t>9</w:t>
            </w:r>
            <w:r w:rsidRPr="0023223E">
              <w:rPr>
                <w:rFonts w:hint="cs"/>
                <w:rtl/>
                <w:lang w:val="en-CA" w:bidi="ar-EG"/>
              </w:rPr>
              <w:t xml:space="preserve"> إلى </w:t>
            </w:r>
            <w:r>
              <w:rPr>
                <w:rFonts w:hint="cs"/>
                <w:rtl/>
                <w:lang w:val="en-CA" w:bidi="ar-EG"/>
              </w:rPr>
              <w:t xml:space="preserve">14 </w:t>
            </w:r>
            <w:r w:rsidRPr="0023223E">
              <w:rPr>
                <w:rFonts w:hint="cs"/>
                <w:rtl/>
                <w:lang w:val="en-CA" w:bidi="ar-EG"/>
              </w:rPr>
              <w:t xml:space="preserve">والتذييل </w:t>
            </w:r>
            <w:r>
              <w:rPr>
                <w:rFonts w:hint="cs"/>
                <w:rtl/>
                <w:lang w:val="en-CA" w:bidi="ar-EG"/>
              </w:rPr>
              <w:t>2</w:t>
            </w:r>
            <w:r>
              <w:rPr>
                <w:rtl/>
                <w:lang w:val="en-CA" w:bidi="ar-EG"/>
              </w:rPr>
              <w:br/>
            </w:r>
            <w:r w:rsidRPr="0023223E">
              <w:rPr>
                <w:rFonts w:hint="cs"/>
                <w:rtl/>
                <w:lang w:val="en-CA" w:bidi="ar-EG"/>
              </w:rPr>
              <w:t xml:space="preserve">من لوائح الاتصالات الدولية لعام </w:t>
            </w:r>
            <w:r w:rsidRPr="0023223E">
              <w:rPr>
                <w:lang w:val="en-CA" w:bidi="ar-EG"/>
              </w:rPr>
              <w:t>2012</w:t>
            </w:r>
          </w:p>
        </w:tc>
      </w:tr>
    </w:tbl>
    <w:p w14:paraId="38A10DE3" w14:textId="77777777" w:rsidR="00133288" w:rsidRDefault="00133288" w:rsidP="00133288">
      <w:pPr>
        <w:pStyle w:val="Headingb"/>
        <w:rPr>
          <w:rtl/>
          <w:lang w:bidi="ar-EG"/>
        </w:rPr>
      </w:pPr>
      <w:r>
        <w:rPr>
          <w:rFonts w:hint="cs"/>
          <w:rtl/>
        </w:rPr>
        <w:t>مقدمة</w:t>
      </w:r>
    </w:p>
    <w:p w14:paraId="159E9369" w14:textId="5255D140" w:rsidR="00133288" w:rsidRPr="0023223E" w:rsidRDefault="00133288" w:rsidP="00CD1D94">
      <w:pPr>
        <w:rPr>
          <w:rtl/>
        </w:rPr>
      </w:pPr>
      <w:r w:rsidRPr="000A0EAE">
        <w:rPr>
          <w:rFonts w:hint="cs"/>
          <w:rtl/>
        </w:rPr>
        <w:t>وفقاً لخطة العمل المتفق عليها في اجتماع سبتمبر</w:t>
      </w:r>
      <w:r w:rsidR="00151A10">
        <w:rPr>
          <w:rFonts w:hint="cs"/>
          <w:rtl/>
        </w:rPr>
        <w:t xml:space="preserve"> 2019</w:t>
      </w:r>
      <w:r w:rsidRPr="000A0EAE">
        <w:rPr>
          <w:rFonts w:hint="cs"/>
          <w:rtl/>
        </w:rPr>
        <w:t xml:space="preserve"> لفريق الخبراء المعني بلوائح الاتصالات الدولية </w:t>
      </w:r>
      <w:r w:rsidRPr="000A0EAE">
        <w:rPr>
          <w:lang w:val="en-GB" w:bidi="ar-EG"/>
        </w:rPr>
        <w:t>(EG-ITR)</w:t>
      </w:r>
      <w:r w:rsidRPr="000A0EAE">
        <w:rPr>
          <w:rFonts w:hint="cs"/>
          <w:rtl/>
        </w:rPr>
        <w:t xml:space="preserve">، يسر الولايات المتحدة أن تقدم وجهات نظرها بشأن المواد من </w:t>
      </w:r>
      <w:r w:rsidR="00B37996">
        <w:rPr>
          <w:rFonts w:hint="cs"/>
          <w:rtl/>
        </w:rPr>
        <w:t>9</w:t>
      </w:r>
      <w:r w:rsidR="00B37996" w:rsidRPr="000A0EAE">
        <w:rPr>
          <w:rFonts w:hint="cs"/>
          <w:rtl/>
        </w:rPr>
        <w:t xml:space="preserve"> </w:t>
      </w:r>
      <w:r w:rsidRPr="000A0EAE">
        <w:rPr>
          <w:rFonts w:hint="cs"/>
          <w:rtl/>
        </w:rPr>
        <w:t xml:space="preserve">إلى </w:t>
      </w:r>
      <w:r w:rsidR="00B37996">
        <w:rPr>
          <w:rFonts w:hint="cs"/>
          <w:rtl/>
        </w:rPr>
        <w:t>14</w:t>
      </w:r>
      <w:r w:rsidR="00B37996" w:rsidRPr="000A0EAE">
        <w:rPr>
          <w:rFonts w:hint="cs"/>
          <w:rtl/>
        </w:rPr>
        <w:t xml:space="preserve"> </w:t>
      </w:r>
      <w:r w:rsidRPr="000A0EAE">
        <w:rPr>
          <w:rFonts w:hint="cs"/>
          <w:rtl/>
        </w:rPr>
        <w:t xml:space="preserve">والتذييل </w:t>
      </w:r>
      <w:r w:rsidR="00151A10">
        <w:rPr>
          <w:rFonts w:hint="cs"/>
          <w:rtl/>
        </w:rPr>
        <w:t>2</w:t>
      </w:r>
      <w:r w:rsidRPr="000A0EAE">
        <w:rPr>
          <w:rFonts w:hint="cs"/>
          <w:rtl/>
          <w:lang w:bidi="ar-EG"/>
        </w:rPr>
        <w:t xml:space="preserve"> </w:t>
      </w:r>
      <w:r w:rsidRPr="000A0EAE">
        <w:rPr>
          <w:rFonts w:hint="cs"/>
          <w:rtl/>
        </w:rPr>
        <w:t xml:space="preserve">من لوائح الاتصالات الدولية لعام 2012. </w:t>
      </w:r>
      <w:r w:rsidR="00151A10" w:rsidRPr="00151A10">
        <w:rPr>
          <w:rFonts w:hint="cs"/>
          <w:rtl/>
          <w:lang w:bidi="ar-EG"/>
        </w:rPr>
        <w:t>و</w:t>
      </w:r>
      <w:r w:rsidR="00151A10" w:rsidRPr="00151A10">
        <w:rPr>
          <w:rtl/>
          <w:lang w:bidi="ar-EG"/>
        </w:rPr>
        <w:t xml:space="preserve">تماشياً مع وجهة النظر التي </w:t>
      </w:r>
      <w:r w:rsidR="00151A10" w:rsidRPr="00151A10">
        <w:rPr>
          <w:rFonts w:hint="cs"/>
          <w:rtl/>
          <w:lang w:bidi="ar-EG"/>
        </w:rPr>
        <w:t>أبديناها</w:t>
      </w:r>
      <w:r w:rsidR="00151A10" w:rsidRPr="00151A10">
        <w:rPr>
          <w:rtl/>
          <w:lang w:bidi="ar-EG"/>
        </w:rPr>
        <w:t xml:space="preserve"> في اجتماعات </w:t>
      </w:r>
      <w:r w:rsidR="00151A10" w:rsidRPr="00151A10">
        <w:rPr>
          <w:rFonts w:hint="cs"/>
          <w:rtl/>
        </w:rPr>
        <w:t>فريق الخبراء</w:t>
      </w:r>
      <w:r w:rsidR="00151A10" w:rsidRPr="00151A10">
        <w:rPr>
          <w:rtl/>
          <w:lang w:bidi="ar-EG"/>
        </w:rPr>
        <w:t xml:space="preserve"> الثلاثة السابقة، نكرر </w:t>
      </w:r>
      <w:r w:rsidR="00151A10" w:rsidRPr="00151A10">
        <w:rPr>
          <w:rFonts w:hint="cs"/>
          <w:rtl/>
          <w:lang w:bidi="ar-EG"/>
        </w:rPr>
        <w:t>رأينا</w:t>
      </w:r>
      <w:r w:rsidR="00151A10" w:rsidRPr="00151A10">
        <w:rPr>
          <w:rtl/>
          <w:lang w:bidi="ar-EG"/>
        </w:rPr>
        <w:t xml:space="preserve"> </w:t>
      </w:r>
      <w:r w:rsidR="00151A10" w:rsidRPr="00151A10">
        <w:rPr>
          <w:rFonts w:hint="cs"/>
          <w:rtl/>
          <w:lang w:bidi="ar-EG"/>
        </w:rPr>
        <w:t>قديم العهد</w:t>
      </w:r>
      <w:r w:rsidR="00151A10" w:rsidRPr="00151A10">
        <w:rPr>
          <w:rtl/>
          <w:lang w:bidi="ar-EG"/>
        </w:rPr>
        <w:t xml:space="preserve"> بأن الأحكام قيد النظر ليست قابلة للتطبيق ولا</w:t>
      </w:r>
      <w:r w:rsidR="001B5CA6">
        <w:rPr>
          <w:rFonts w:hint="cs"/>
          <w:rtl/>
          <w:lang w:bidi="ar-EG"/>
        </w:rPr>
        <w:t> </w:t>
      </w:r>
      <w:r w:rsidR="00151A10" w:rsidRPr="00151A10">
        <w:rPr>
          <w:rtl/>
          <w:lang w:bidi="ar-EG"/>
        </w:rPr>
        <w:t>مرنة</w:t>
      </w:r>
      <w:r w:rsidR="00151A10" w:rsidRPr="00151A10">
        <w:rPr>
          <w:rFonts w:hint="cs"/>
          <w:rtl/>
          <w:lang w:bidi="ar-EG"/>
        </w:rPr>
        <w:t xml:space="preserve"> </w:t>
      </w:r>
      <w:r w:rsidRPr="000A0EAE">
        <w:rPr>
          <w:color w:val="000000"/>
          <w:rtl/>
        </w:rPr>
        <w:t>في بيئة الاتصالات المعاصرة</w:t>
      </w:r>
      <w:r w:rsidRPr="000A0EAE">
        <w:rPr>
          <w:rFonts w:hint="cs"/>
          <w:rtl/>
        </w:rPr>
        <w:t>. وأي محاولة لمراجعة هذه اللوائح لمراعاة الظروف الاقتصادية الحالية والتكنولوجيات والخدمات الناشئة ستلقى نفس مصير الأحكام الحالية</w:t>
      </w:r>
      <w:r w:rsidRPr="000A0EAE">
        <w:rPr>
          <w:rFonts w:hint="eastAsia"/>
          <w:rtl/>
        </w:rPr>
        <w:t> </w:t>
      </w:r>
      <w:r w:rsidRPr="000A0EAE">
        <w:rPr>
          <w:rFonts w:hint="cs"/>
          <w:rtl/>
        </w:rPr>
        <w:t>- لأن سرعة التغير في السوق وفي البيئة التنظيمية ستجعل الأحكام التفصيلية للمعاهدة متقادمة على الدوام.</w:t>
      </w:r>
    </w:p>
    <w:p w14:paraId="15BBDA2B" w14:textId="21294D7C" w:rsidR="0006468A" w:rsidRDefault="00133288" w:rsidP="00133288">
      <w:pPr>
        <w:pStyle w:val="Headingb"/>
      </w:pPr>
      <w:r>
        <w:rPr>
          <w:rFonts w:hint="cs"/>
          <w:rtl/>
        </w:rPr>
        <w:t>مناقشة</w:t>
      </w:r>
    </w:p>
    <w:p w14:paraId="488E420C" w14:textId="6E45E970" w:rsidR="00133288" w:rsidRDefault="005A7444" w:rsidP="005A7444">
      <w:pPr>
        <w:rPr>
          <w:rtl/>
        </w:rPr>
      </w:pPr>
      <w:r w:rsidRPr="005A7444">
        <w:rPr>
          <w:rtl/>
          <w:lang w:bidi="ar-EG"/>
        </w:rPr>
        <w:t>في مساهمتنا السابقة في ا</w:t>
      </w:r>
      <w:r w:rsidRPr="005A7444">
        <w:rPr>
          <w:rFonts w:hint="cs"/>
          <w:rtl/>
          <w:lang w:bidi="ar-EG"/>
        </w:rPr>
        <w:t>لا</w:t>
      </w:r>
      <w:r w:rsidRPr="005A7444">
        <w:rPr>
          <w:rtl/>
          <w:lang w:bidi="ar-EG"/>
        </w:rPr>
        <w:t>جتماع الثالث</w:t>
      </w:r>
      <w:r w:rsidRPr="005A7444">
        <w:rPr>
          <w:rFonts w:hint="cs"/>
          <w:rtl/>
        </w:rPr>
        <w:t xml:space="preserve"> لفريق الخبراء المعني بلوائح الاتصالات الدولية </w:t>
      </w:r>
      <w:r w:rsidRPr="005A7444">
        <w:rPr>
          <w:lang w:val="en-GB"/>
        </w:rPr>
        <w:t>(EG-ITR)</w:t>
      </w:r>
      <w:r w:rsidRPr="005A7444">
        <w:rPr>
          <w:rtl/>
          <w:lang w:bidi="ar-EG"/>
        </w:rPr>
        <w:t xml:space="preserve">، </w:t>
      </w:r>
      <w:r w:rsidRPr="005A7444">
        <w:rPr>
          <w:rFonts w:hint="cs"/>
          <w:rtl/>
          <w:lang w:bidi="ar-EG"/>
        </w:rPr>
        <w:t>أبدينا</w:t>
      </w:r>
      <w:r w:rsidRPr="005A7444">
        <w:rPr>
          <w:rtl/>
          <w:lang w:bidi="ar-EG"/>
        </w:rPr>
        <w:t xml:space="preserve"> وجهات نظرنا بشأن عدم قابلية تطبيق العديد من الأحكام السابقة وعدم مرون</w:t>
      </w:r>
      <w:r w:rsidRPr="005A7444">
        <w:rPr>
          <w:rFonts w:hint="cs"/>
          <w:rtl/>
          <w:lang w:bidi="ar-EG"/>
        </w:rPr>
        <w:t>تها</w:t>
      </w:r>
      <w:r w:rsidRPr="005A7444">
        <w:rPr>
          <w:rtl/>
          <w:lang w:bidi="ar-EG"/>
        </w:rPr>
        <w:t xml:space="preserve">. </w:t>
      </w:r>
      <w:r w:rsidRPr="005A7444">
        <w:rPr>
          <w:rFonts w:hint="cs"/>
          <w:rtl/>
          <w:lang w:bidi="ar-EG"/>
        </w:rPr>
        <w:t>و</w:t>
      </w:r>
      <w:r w:rsidRPr="005A7444">
        <w:rPr>
          <w:rtl/>
          <w:lang w:bidi="ar-EG"/>
        </w:rPr>
        <w:t xml:space="preserve">نجد </w:t>
      </w:r>
      <w:r w:rsidRPr="005A7444">
        <w:rPr>
          <w:rFonts w:hint="cs"/>
          <w:rtl/>
          <w:lang w:bidi="ar-EG"/>
        </w:rPr>
        <w:t>الدواعي</w:t>
      </w:r>
      <w:r w:rsidRPr="005A7444">
        <w:rPr>
          <w:rtl/>
          <w:lang w:bidi="ar-EG"/>
        </w:rPr>
        <w:t xml:space="preserve"> المنطقي</w:t>
      </w:r>
      <w:r w:rsidRPr="005A7444">
        <w:rPr>
          <w:rFonts w:hint="cs"/>
          <w:rtl/>
          <w:lang w:bidi="ar-EG"/>
        </w:rPr>
        <w:t>ة</w:t>
      </w:r>
      <w:r w:rsidRPr="005A7444">
        <w:rPr>
          <w:rtl/>
          <w:lang w:bidi="ar-EG"/>
        </w:rPr>
        <w:t xml:space="preserve"> نفس</w:t>
      </w:r>
      <w:r w:rsidRPr="005A7444">
        <w:rPr>
          <w:rFonts w:hint="cs"/>
          <w:rtl/>
          <w:lang w:bidi="ar-EG"/>
        </w:rPr>
        <w:t>ها</w:t>
      </w:r>
      <w:r w:rsidRPr="005A7444">
        <w:rPr>
          <w:rtl/>
          <w:lang w:bidi="ar-EG"/>
        </w:rPr>
        <w:t xml:space="preserve"> </w:t>
      </w:r>
      <w:r w:rsidRPr="005A7444">
        <w:rPr>
          <w:rFonts w:hint="cs"/>
          <w:rtl/>
          <w:lang w:bidi="ar-EG"/>
        </w:rPr>
        <w:t>سارية</w:t>
      </w:r>
      <w:r w:rsidRPr="005A7444">
        <w:rPr>
          <w:rtl/>
          <w:lang w:bidi="ar-EG"/>
        </w:rPr>
        <w:t xml:space="preserve"> على </w:t>
      </w:r>
      <w:r w:rsidRPr="005A7444">
        <w:rPr>
          <w:rFonts w:hint="cs"/>
          <w:rtl/>
          <w:lang w:bidi="ar-EG"/>
        </w:rPr>
        <w:t>الموضوع</w:t>
      </w:r>
      <w:r w:rsidRPr="005A7444">
        <w:rPr>
          <w:rtl/>
          <w:lang w:bidi="ar-EG"/>
        </w:rPr>
        <w:t xml:space="preserve"> الحالي. </w:t>
      </w:r>
      <w:r w:rsidR="00F83DAE">
        <w:rPr>
          <w:rFonts w:hint="cs"/>
          <w:rtl/>
          <w:lang w:bidi="ar-EG"/>
        </w:rPr>
        <w:t>على غرار</w:t>
      </w:r>
      <w:r w:rsidR="00F83DAE" w:rsidRPr="005A7444">
        <w:rPr>
          <w:rFonts w:hint="cs"/>
          <w:rtl/>
          <w:lang w:bidi="ar-EG"/>
        </w:rPr>
        <w:t xml:space="preserve"> </w:t>
      </w:r>
      <w:r w:rsidRPr="005A7444">
        <w:rPr>
          <w:rtl/>
          <w:lang w:bidi="ar-EG"/>
        </w:rPr>
        <w:t xml:space="preserve">المواد 5 و6 و7، </w:t>
      </w:r>
      <w:r w:rsidR="00F83DAE">
        <w:rPr>
          <w:rFonts w:hint="cs"/>
          <w:rtl/>
          <w:lang w:bidi="ar-EG"/>
        </w:rPr>
        <w:t>ف</w:t>
      </w:r>
      <w:r w:rsidRPr="005A7444">
        <w:rPr>
          <w:rtl/>
          <w:lang w:bidi="ar-EG"/>
        </w:rPr>
        <w:t>المادة 11 (كفاءة</w:t>
      </w:r>
      <w:r w:rsidRPr="005A7444">
        <w:rPr>
          <w:rFonts w:hint="cs"/>
          <w:rtl/>
          <w:lang w:bidi="ar-EG"/>
        </w:rPr>
        <w:t xml:space="preserve"> استهلاك</w:t>
      </w:r>
      <w:r w:rsidRPr="005A7444">
        <w:rPr>
          <w:rtl/>
          <w:lang w:bidi="ar-EG"/>
        </w:rPr>
        <w:t xml:space="preserve"> الطاقة/</w:t>
      </w:r>
      <w:r w:rsidRPr="005A7444">
        <w:rPr>
          <w:rFonts w:hint="cs"/>
          <w:rtl/>
          <w:lang w:bidi="ar-EG"/>
        </w:rPr>
        <w:t>المخلفات</w:t>
      </w:r>
      <w:r w:rsidRPr="005A7444">
        <w:rPr>
          <w:rtl/>
          <w:lang w:bidi="ar-EG"/>
        </w:rPr>
        <w:t xml:space="preserve"> الإلكترونية) والمادة 12 (إمكانية النفاذ)، على الرغم من </w:t>
      </w:r>
      <w:r w:rsidR="00F83DAE">
        <w:rPr>
          <w:rFonts w:hint="cs"/>
          <w:rtl/>
          <w:lang w:bidi="ar-EG"/>
        </w:rPr>
        <w:t xml:space="preserve">حُسن </w:t>
      </w:r>
      <w:r w:rsidRPr="005A7444">
        <w:rPr>
          <w:rFonts w:hint="cs"/>
          <w:rtl/>
          <w:lang w:bidi="ar-EG"/>
        </w:rPr>
        <w:t>مقاصده</w:t>
      </w:r>
      <w:r w:rsidR="00F83DAE">
        <w:rPr>
          <w:rFonts w:hint="cs"/>
          <w:rtl/>
          <w:lang w:bidi="ar-EG"/>
        </w:rPr>
        <w:t>م</w:t>
      </w:r>
      <w:r w:rsidRPr="005A7444">
        <w:rPr>
          <w:rFonts w:hint="cs"/>
          <w:rtl/>
          <w:lang w:bidi="ar-EG"/>
        </w:rPr>
        <w:t>ا</w:t>
      </w:r>
      <w:r w:rsidRPr="005A7444">
        <w:rPr>
          <w:rtl/>
          <w:lang w:bidi="ar-EG"/>
        </w:rPr>
        <w:t xml:space="preserve">، </w:t>
      </w:r>
      <w:r w:rsidRPr="005A7444">
        <w:rPr>
          <w:rFonts w:hint="cs"/>
          <w:rtl/>
          <w:lang w:bidi="ar-EG"/>
        </w:rPr>
        <w:t>ت</w:t>
      </w:r>
      <w:r w:rsidRPr="005A7444">
        <w:rPr>
          <w:rtl/>
          <w:lang w:bidi="ar-EG"/>
        </w:rPr>
        <w:t>كرر</w:t>
      </w:r>
      <w:r w:rsidR="00F83DAE">
        <w:rPr>
          <w:rFonts w:hint="cs"/>
          <w:rtl/>
          <w:lang w:bidi="ar-EG"/>
        </w:rPr>
        <w:t>ان</w:t>
      </w:r>
      <w:r w:rsidRPr="005A7444">
        <w:rPr>
          <w:rtl/>
          <w:lang w:bidi="ar-EG"/>
        </w:rPr>
        <w:t xml:space="preserve"> نقاط</w:t>
      </w:r>
      <w:r w:rsidR="00F83DAE">
        <w:rPr>
          <w:rFonts w:hint="cs"/>
          <w:rtl/>
          <w:lang w:bidi="ar-EG"/>
        </w:rPr>
        <w:t>اً</w:t>
      </w:r>
      <w:r w:rsidRPr="005A7444">
        <w:rPr>
          <w:rtl/>
          <w:lang w:bidi="ar-EG"/>
        </w:rPr>
        <w:t xml:space="preserve"> سبق ذكرها في </w:t>
      </w:r>
      <w:r w:rsidRPr="005A7444">
        <w:rPr>
          <w:rFonts w:hint="cs"/>
          <w:rtl/>
          <w:lang w:bidi="ar-EG"/>
        </w:rPr>
        <w:t>مواضع</w:t>
      </w:r>
      <w:r w:rsidRPr="005A7444">
        <w:rPr>
          <w:rtl/>
          <w:lang w:bidi="ar-EG"/>
        </w:rPr>
        <w:t xml:space="preserve"> </w:t>
      </w:r>
      <w:r w:rsidRPr="005A7444">
        <w:rPr>
          <w:rFonts w:hint="cs"/>
          <w:rtl/>
          <w:lang w:bidi="ar-EG"/>
        </w:rPr>
        <w:t>أخرى</w:t>
      </w:r>
      <w:r w:rsidRPr="005A7444">
        <w:rPr>
          <w:rtl/>
          <w:lang w:bidi="ar-EG"/>
        </w:rPr>
        <w:t xml:space="preserve"> </w:t>
      </w:r>
      <w:r w:rsidRPr="005A7444">
        <w:rPr>
          <w:rFonts w:hint="cs"/>
          <w:rtl/>
          <w:lang w:bidi="ar-EG"/>
        </w:rPr>
        <w:t>ط</w:t>
      </w:r>
      <w:r w:rsidRPr="005A7444">
        <w:rPr>
          <w:rtl/>
          <w:lang w:bidi="ar-EG"/>
        </w:rPr>
        <w:t>ي قرارات</w:t>
      </w:r>
      <w:r w:rsidR="00732E3D">
        <w:rPr>
          <w:rFonts w:hint="cs"/>
          <w:rtl/>
          <w:lang w:bidi="ar-EG"/>
        </w:rPr>
        <w:t xml:space="preserve"> مؤتمرات</w:t>
      </w:r>
      <w:r w:rsidRPr="005A7444">
        <w:rPr>
          <w:rFonts w:hint="cs"/>
          <w:rtl/>
          <w:lang w:bidi="ar-EG"/>
        </w:rPr>
        <w:t xml:space="preserve"> المندوبين</w:t>
      </w:r>
      <w:r w:rsidRPr="005A7444">
        <w:rPr>
          <w:rtl/>
          <w:lang w:bidi="ar-EG"/>
        </w:rPr>
        <w:t xml:space="preserve"> المفوضين </w:t>
      </w:r>
      <w:r w:rsidRPr="005A7444">
        <w:rPr>
          <w:rFonts w:hint="cs"/>
          <w:rtl/>
          <w:lang w:bidi="ar-EG"/>
        </w:rPr>
        <w:t>ولا</w:t>
      </w:r>
      <w:r w:rsidRPr="005A7444">
        <w:rPr>
          <w:rtl/>
          <w:lang w:bidi="ar-EG"/>
        </w:rPr>
        <w:t xml:space="preserve"> ضرورة </w:t>
      </w:r>
      <w:r w:rsidRPr="005A7444">
        <w:rPr>
          <w:rFonts w:hint="cs"/>
          <w:rtl/>
          <w:lang w:bidi="ar-EG"/>
        </w:rPr>
        <w:t xml:space="preserve">تدعو </w:t>
      </w:r>
      <w:r w:rsidR="00732E3D">
        <w:rPr>
          <w:rFonts w:hint="cs"/>
          <w:rtl/>
          <w:lang w:bidi="ar-EG"/>
        </w:rPr>
        <w:t xml:space="preserve">إلى </w:t>
      </w:r>
      <w:r w:rsidRPr="005A7444">
        <w:rPr>
          <w:rtl/>
          <w:lang w:bidi="ar-EG"/>
        </w:rPr>
        <w:t>تضمينها في</w:t>
      </w:r>
      <w:r w:rsidR="0053220C">
        <w:rPr>
          <w:rFonts w:hint="cs"/>
          <w:rtl/>
          <w:lang w:bidi="ar-EG"/>
        </w:rPr>
        <w:t> </w:t>
      </w:r>
      <w:r w:rsidRPr="005A7444">
        <w:rPr>
          <w:rtl/>
          <w:lang w:bidi="ar-EG"/>
        </w:rPr>
        <w:t>معاهدة مثل لوائح الاتصالات الدولية.</w:t>
      </w:r>
      <w:r w:rsidR="00133288">
        <w:rPr>
          <w:rStyle w:val="FootnoteReference"/>
          <w:rtl/>
        </w:rPr>
        <w:footnoteReference w:id="1"/>
      </w:r>
      <w:r w:rsidR="0013328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Pr="005A7444">
        <w:rPr>
          <w:rtl/>
          <w:lang w:bidi="ar-EG"/>
        </w:rPr>
        <w:t xml:space="preserve">فيما يتعلق بإمكانية النفاذ، </w:t>
      </w:r>
      <w:r w:rsidRPr="005A7444">
        <w:rPr>
          <w:rFonts w:hint="cs"/>
          <w:rtl/>
          <w:lang w:bidi="ar-EG"/>
        </w:rPr>
        <w:t>تقر</w:t>
      </w:r>
      <w:r w:rsidRPr="005A7444">
        <w:rPr>
          <w:rtl/>
          <w:lang w:bidi="ar-EG"/>
        </w:rPr>
        <w:t xml:space="preserve"> الولايات المتحدة </w:t>
      </w:r>
      <w:r w:rsidRPr="005A7444">
        <w:rPr>
          <w:rFonts w:hint="cs"/>
          <w:rtl/>
          <w:lang w:bidi="ar-EG"/>
        </w:rPr>
        <w:t>ب</w:t>
      </w:r>
      <w:r w:rsidRPr="005A7444">
        <w:rPr>
          <w:rtl/>
          <w:lang w:bidi="ar-EG"/>
        </w:rPr>
        <w:t xml:space="preserve">أن المادة 12 تتناول قضية ذات أهمية </w:t>
      </w:r>
      <w:r w:rsidR="00F83DAE">
        <w:rPr>
          <w:rFonts w:hint="cs"/>
          <w:rtl/>
          <w:lang w:bidi="ar-EG"/>
        </w:rPr>
        <w:t>حاسمة</w:t>
      </w:r>
      <w:r w:rsidR="00F83DAE" w:rsidRPr="005A7444">
        <w:rPr>
          <w:rtl/>
          <w:lang w:bidi="ar-EG"/>
        </w:rPr>
        <w:t xml:space="preserve"> </w:t>
      </w:r>
      <w:r w:rsidRPr="005A7444">
        <w:rPr>
          <w:rtl/>
          <w:lang w:bidi="ar-EG"/>
        </w:rPr>
        <w:t xml:space="preserve">ونحن ندرك قيمة معالجة إمكانية النفاذ في صك معاهدة. </w:t>
      </w:r>
      <w:r w:rsidRPr="005A7444">
        <w:rPr>
          <w:rFonts w:hint="cs"/>
          <w:rtl/>
          <w:lang w:bidi="ar-EG"/>
        </w:rPr>
        <w:t>ولكن</w:t>
      </w:r>
      <w:r w:rsidRPr="005A7444">
        <w:rPr>
          <w:rtl/>
          <w:lang w:bidi="ar-EG"/>
        </w:rPr>
        <w:t xml:space="preserve"> نظراً للقيمة المحدودة للمعاهدة في</w:t>
      </w:r>
      <w:r w:rsidR="00732E3D">
        <w:rPr>
          <w:rFonts w:hint="cs"/>
          <w:rtl/>
          <w:lang w:bidi="ar-EG"/>
        </w:rPr>
        <w:t> </w:t>
      </w:r>
      <w:r w:rsidRPr="005A7444">
        <w:rPr>
          <w:rtl/>
          <w:lang w:bidi="ar-EG"/>
        </w:rPr>
        <w:t xml:space="preserve">سوق سريع التغير، </w:t>
      </w:r>
      <w:r w:rsidRPr="005A7444">
        <w:rPr>
          <w:rFonts w:hint="cs"/>
          <w:rtl/>
          <w:lang w:bidi="ar-EG"/>
        </w:rPr>
        <w:t>لعل</w:t>
      </w:r>
      <w:r w:rsidRPr="005A7444">
        <w:rPr>
          <w:rtl/>
          <w:lang w:bidi="ar-EG"/>
        </w:rPr>
        <w:t xml:space="preserve"> من الأفضل النظر في إدراج حكم مماثل في صك مختلف.</w:t>
      </w:r>
    </w:p>
    <w:p w14:paraId="5FC3977C" w14:textId="33B34B79" w:rsidR="00133288" w:rsidRDefault="00133288" w:rsidP="005A7444">
      <w:pPr>
        <w:rPr>
          <w:rFonts w:hint="cs"/>
          <w:rtl/>
          <w:lang w:bidi="ar-EG"/>
        </w:rPr>
      </w:pPr>
      <w:r w:rsidRPr="0023223E">
        <w:rPr>
          <w:rFonts w:hint="cs"/>
          <w:rtl/>
          <w:lang w:bidi="ar"/>
        </w:rPr>
        <w:t>و</w:t>
      </w:r>
      <w:r w:rsidR="005A7444">
        <w:rPr>
          <w:rFonts w:hint="cs"/>
          <w:rtl/>
          <w:lang w:bidi="ar"/>
        </w:rPr>
        <w:t xml:space="preserve">كما دأبنا على القول، </w:t>
      </w:r>
      <w:r w:rsidRPr="0023223E">
        <w:rPr>
          <w:rFonts w:hint="cs"/>
          <w:rtl/>
          <w:lang w:bidi="ar"/>
        </w:rPr>
        <w:t>يجب أن تكون أحكام المعاهدة المتعلقة بالاتصالات مرنة بما</w:t>
      </w:r>
      <w:r w:rsidRPr="0023223E">
        <w:rPr>
          <w:rFonts w:hint="eastAsia"/>
          <w:rtl/>
          <w:lang w:bidi="ar"/>
        </w:rPr>
        <w:t> </w:t>
      </w:r>
      <w:r w:rsidRPr="0023223E">
        <w:rPr>
          <w:rFonts w:hint="cs"/>
          <w:rtl/>
          <w:lang w:bidi="ar"/>
        </w:rPr>
        <w:t>يكفي لتواكب التغييرات المستمرة في سوق</w:t>
      </w:r>
      <w:r w:rsidR="005A7444">
        <w:rPr>
          <w:rFonts w:hint="cs"/>
          <w:rtl/>
          <w:lang w:bidi="ar"/>
        </w:rPr>
        <w:t xml:space="preserve"> تنافسية ودينامية</w:t>
      </w:r>
      <w:r w:rsidRPr="0023223E">
        <w:rPr>
          <w:rFonts w:hint="cs"/>
          <w:rtl/>
          <w:lang w:bidi="ar"/>
        </w:rPr>
        <w:t>. وستواجه أحكام المعاهدة المصممة لمعالجة جوانب محددة من سوق متطورة تقادماً مستمراً.</w:t>
      </w:r>
      <w:r>
        <w:rPr>
          <w:rFonts w:hint="cs"/>
          <w:rtl/>
          <w:lang w:bidi="ar"/>
        </w:rPr>
        <w:t xml:space="preserve"> </w:t>
      </w:r>
      <w:r w:rsidR="005A7444" w:rsidRPr="005A7444">
        <w:rPr>
          <w:rtl/>
          <w:lang w:bidi="ar-EG"/>
        </w:rPr>
        <w:t>ولهذه الغاية، فإن التحليل نفس</w:t>
      </w:r>
      <w:r w:rsidR="00F83DAE">
        <w:rPr>
          <w:rFonts w:hint="cs"/>
          <w:rtl/>
          <w:lang w:bidi="ar-EG"/>
        </w:rPr>
        <w:t>ه</w:t>
      </w:r>
      <w:r w:rsidR="005A7444" w:rsidRPr="005A7444">
        <w:rPr>
          <w:rtl/>
          <w:lang w:bidi="ar-EG"/>
        </w:rPr>
        <w:t xml:space="preserve"> الذي</w:t>
      </w:r>
      <w:r w:rsidR="005A7444" w:rsidRPr="005A7444">
        <w:rPr>
          <w:rFonts w:hint="cs"/>
          <w:rtl/>
          <w:lang w:bidi="ar-EG"/>
        </w:rPr>
        <w:t xml:space="preserve"> سبق أن</w:t>
      </w:r>
      <w:r w:rsidR="005A7444" w:rsidRPr="005A7444">
        <w:rPr>
          <w:rtl/>
          <w:lang w:bidi="ar-EG"/>
        </w:rPr>
        <w:t xml:space="preserve"> طبقناه على </w:t>
      </w:r>
      <w:r w:rsidR="005A7444" w:rsidRPr="005A7444">
        <w:rPr>
          <w:rFonts w:hint="cs"/>
          <w:rtl/>
          <w:lang w:bidi="ar-EG"/>
        </w:rPr>
        <w:t>التذييل</w:t>
      </w:r>
      <w:r w:rsidR="005A7444" w:rsidRPr="005A7444">
        <w:rPr>
          <w:rtl/>
          <w:lang w:bidi="ar-EG"/>
        </w:rPr>
        <w:t xml:space="preserve"> 1 بشأن </w:t>
      </w:r>
      <w:r w:rsidR="005A7444" w:rsidRPr="005A7444">
        <w:rPr>
          <w:rFonts w:hint="cs"/>
          <w:rtl/>
          <w:lang w:bidi="ar-EG"/>
        </w:rPr>
        <w:t>الترسيم</w:t>
      </w:r>
      <w:r w:rsidR="005A7444" w:rsidRPr="005A7444">
        <w:rPr>
          <w:rtl/>
          <w:lang w:bidi="ar-EG"/>
        </w:rPr>
        <w:t xml:space="preserve"> والمحاسبة يمتد أيضاً </w:t>
      </w:r>
      <w:r w:rsidR="005A7444" w:rsidRPr="005A7444">
        <w:rPr>
          <w:rFonts w:hint="cs"/>
          <w:rtl/>
          <w:lang w:bidi="ar-EG"/>
        </w:rPr>
        <w:t>ليشمل</w:t>
      </w:r>
      <w:r w:rsidR="005A7444" w:rsidRPr="005A7444">
        <w:rPr>
          <w:rtl/>
          <w:lang w:bidi="ar-EG"/>
        </w:rPr>
        <w:t xml:space="preserve"> </w:t>
      </w:r>
      <w:r w:rsidR="005A7444" w:rsidRPr="005A7444">
        <w:rPr>
          <w:rFonts w:hint="cs"/>
          <w:rtl/>
          <w:lang w:bidi="ar-EG"/>
        </w:rPr>
        <w:t>استعراضنا</w:t>
      </w:r>
      <w:r w:rsidR="005A7444" w:rsidRPr="005A7444">
        <w:rPr>
          <w:rtl/>
          <w:lang w:bidi="ar-EG"/>
        </w:rPr>
        <w:t xml:space="preserve"> </w:t>
      </w:r>
      <w:r w:rsidR="005A7444" w:rsidRPr="005A7444">
        <w:rPr>
          <w:rFonts w:hint="cs"/>
          <w:rtl/>
          <w:lang w:bidi="ar-EG"/>
        </w:rPr>
        <w:t>للتذييل</w:t>
      </w:r>
      <w:r w:rsidR="005A7444" w:rsidRPr="005A7444">
        <w:rPr>
          <w:rtl/>
          <w:lang w:bidi="ar-EG"/>
        </w:rPr>
        <w:t xml:space="preserve"> 2 (أحكام إضافية تتعلق بالاتصالات البحرية).</w:t>
      </w:r>
    </w:p>
    <w:p w14:paraId="57A15C48" w14:textId="3C4CEBEB" w:rsidR="00133288" w:rsidRDefault="00C74195" w:rsidP="00C74195">
      <w:pPr>
        <w:rPr>
          <w:rtl/>
          <w:lang w:bidi="ar"/>
        </w:rPr>
      </w:pPr>
      <w:r w:rsidRPr="00C74195">
        <w:rPr>
          <w:rFonts w:hint="cs"/>
          <w:rtl/>
          <w:lang w:bidi="ar-EG"/>
        </w:rPr>
        <w:t>لقد قلصت</w:t>
      </w:r>
      <w:r w:rsidRPr="00C74195">
        <w:rPr>
          <w:rtl/>
          <w:lang w:bidi="ar-EG"/>
        </w:rPr>
        <w:t xml:space="preserve"> نماذج الأعمال الجديدة </w:t>
      </w:r>
      <w:r w:rsidRPr="00C74195">
        <w:rPr>
          <w:rFonts w:hint="cs"/>
          <w:rtl/>
          <w:lang w:bidi="ar-EG"/>
        </w:rPr>
        <w:t>والتكنولوجيات</w:t>
      </w:r>
      <w:r w:rsidRPr="00C74195">
        <w:rPr>
          <w:rtl/>
          <w:lang w:bidi="ar-EG"/>
        </w:rPr>
        <w:t xml:space="preserve"> الجديدة الحاجة إلى سلطات المحاسبة التي تديرها الحكومة، بما في ذلك </w:t>
      </w:r>
      <w:r>
        <w:rPr>
          <w:rFonts w:hint="cs"/>
          <w:rtl/>
          <w:lang w:bidi="ar-EG"/>
        </w:rPr>
        <w:t>ضمن</w:t>
      </w:r>
      <w:r w:rsidRPr="00C74195">
        <w:rPr>
          <w:rtl/>
          <w:lang w:bidi="ar-EG"/>
        </w:rPr>
        <w:t xml:space="preserve"> سياق الاتصالات البحرية.</w:t>
      </w:r>
      <w:r w:rsidRPr="00C74195">
        <w:rPr>
          <w:rFonts w:hint="cs"/>
          <w:rtl/>
          <w:lang w:bidi="ar-EG"/>
        </w:rPr>
        <w:t xml:space="preserve"> إذ تكثر</w:t>
      </w:r>
      <w:r w:rsidRPr="00C74195">
        <w:rPr>
          <w:rtl/>
          <w:lang w:bidi="ar-EG"/>
        </w:rPr>
        <w:t xml:space="preserve"> الخيارات التجارية المتاحة لهيئات المحاسبة الخاصة التي تعتمد على آليات السوق للتعامل مع تسوية الحسابات</w:t>
      </w:r>
      <w:r w:rsidRPr="00C74195">
        <w:rPr>
          <w:rFonts w:hint="cs"/>
          <w:rtl/>
          <w:lang w:bidi="ar-EG"/>
        </w:rPr>
        <w:t>،</w:t>
      </w:r>
      <w:r w:rsidRPr="00C74195">
        <w:rPr>
          <w:rtl/>
          <w:lang w:bidi="ar-EG"/>
        </w:rPr>
        <w:t xml:space="preserve"> </w:t>
      </w:r>
      <w:r w:rsidRPr="00C74195">
        <w:rPr>
          <w:rFonts w:hint="cs"/>
          <w:rtl/>
          <w:lang w:bidi="ar-EG"/>
        </w:rPr>
        <w:t>فت</w:t>
      </w:r>
      <w:r w:rsidRPr="00C74195">
        <w:rPr>
          <w:rtl/>
          <w:lang w:bidi="ar-EG"/>
        </w:rPr>
        <w:t>نتج عنها بالتالي أسعار تنافسية للمستهلكين. علاوة</w:t>
      </w:r>
      <w:r w:rsidR="001F02AC">
        <w:rPr>
          <w:rFonts w:hint="cs"/>
          <w:rtl/>
          <w:lang w:bidi="ar-EG"/>
        </w:rPr>
        <w:t>ً</w:t>
      </w:r>
      <w:r w:rsidRPr="00C74195">
        <w:rPr>
          <w:rtl/>
          <w:lang w:bidi="ar-EG"/>
        </w:rPr>
        <w:t xml:space="preserve"> على ذلك،</w:t>
      </w:r>
      <w:r>
        <w:rPr>
          <w:rFonts w:hint="cs"/>
          <w:rtl/>
          <w:lang w:bidi="ar-EG"/>
        </w:rPr>
        <w:t xml:space="preserve"> </w:t>
      </w:r>
      <w:r w:rsidRPr="00C74195">
        <w:rPr>
          <w:rtl/>
          <w:lang w:bidi="ar-EG"/>
        </w:rPr>
        <w:t xml:space="preserve">يمكن للعديد من أنظمة الجيل التالي من الاتصالات الآن العمل على مستوى العالم بناءً على عقود مباشرة بين المستخدمين ومقدمي الخدمات، دون الاعتماد على سلطات المحاسبة. </w:t>
      </w:r>
      <w:r w:rsidRPr="00C74195">
        <w:rPr>
          <w:rFonts w:hint="cs"/>
          <w:rtl/>
          <w:lang w:bidi="ar-EG"/>
        </w:rPr>
        <w:t>وب</w:t>
      </w:r>
      <w:r w:rsidRPr="00C74195">
        <w:rPr>
          <w:rtl/>
          <w:lang w:bidi="ar-EG"/>
        </w:rPr>
        <w:t xml:space="preserve">النظر إلى هذه التطورات، </w:t>
      </w:r>
      <w:r w:rsidRPr="00C74195">
        <w:rPr>
          <w:rFonts w:hint="cs"/>
          <w:rtl/>
          <w:lang w:bidi="ar-EG"/>
        </w:rPr>
        <w:t>لا</w:t>
      </w:r>
      <w:r w:rsidRPr="00C74195">
        <w:rPr>
          <w:rtl/>
          <w:lang w:bidi="ar-EG"/>
        </w:rPr>
        <w:t xml:space="preserve"> حاجة للأحكام التفصيلية للمادة 2.</w:t>
      </w:r>
    </w:p>
    <w:p w14:paraId="7F23CD8D" w14:textId="26AC6406" w:rsidR="00133288" w:rsidRPr="003607D5" w:rsidRDefault="00C74195" w:rsidP="00410CD4">
      <w:pPr>
        <w:rPr>
          <w:spacing w:val="2"/>
          <w:rtl/>
          <w:lang w:bidi="ar"/>
        </w:rPr>
      </w:pPr>
      <w:r w:rsidRPr="003607D5">
        <w:rPr>
          <w:rFonts w:hint="cs"/>
          <w:spacing w:val="2"/>
          <w:rtl/>
          <w:lang w:bidi="ar-EG"/>
        </w:rPr>
        <w:lastRenderedPageBreak/>
        <w:t>و</w:t>
      </w:r>
      <w:r w:rsidRPr="003607D5">
        <w:rPr>
          <w:spacing w:val="2"/>
          <w:rtl/>
          <w:lang w:bidi="ar-EG"/>
        </w:rPr>
        <w:t>أخيراً، نجد أن</w:t>
      </w:r>
      <w:r w:rsidRPr="003607D5">
        <w:rPr>
          <w:rFonts w:hint="cs"/>
          <w:spacing w:val="2"/>
          <w:rtl/>
          <w:lang w:bidi="ar-EG"/>
        </w:rPr>
        <w:t xml:space="preserve"> سائر</w:t>
      </w:r>
      <w:r w:rsidRPr="003607D5">
        <w:rPr>
          <w:spacing w:val="2"/>
          <w:rtl/>
          <w:lang w:bidi="ar-EG"/>
        </w:rPr>
        <w:t xml:space="preserve"> الأحكام قيد </w:t>
      </w:r>
      <w:r w:rsidRPr="003607D5">
        <w:rPr>
          <w:rFonts w:hint="cs"/>
          <w:spacing w:val="2"/>
          <w:rtl/>
          <w:lang w:bidi="ar-EG"/>
        </w:rPr>
        <w:t>الاستعراض</w:t>
      </w:r>
      <w:r w:rsidRPr="003607D5">
        <w:rPr>
          <w:spacing w:val="2"/>
          <w:rtl/>
          <w:lang w:bidi="ar-EG"/>
        </w:rPr>
        <w:t xml:space="preserve"> حالياً - وهي المادة 9 (تعليق الخدمات)، والمادة 10 (نشر المعلومات)، والمادة</w:t>
      </w:r>
      <w:r w:rsidR="00B31DF9" w:rsidRPr="003607D5">
        <w:rPr>
          <w:rFonts w:hint="cs"/>
          <w:spacing w:val="2"/>
          <w:rtl/>
          <w:lang w:bidi="ar-EG"/>
        </w:rPr>
        <w:t> </w:t>
      </w:r>
      <w:r w:rsidRPr="003607D5">
        <w:rPr>
          <w:spacing w:val="2"/>
          <w:rtl/>
          <w:lang w:bidi="ar-EG"/>
        </w:rPr>
        <w:t xml:space="preserve">13 (الترتيبات الخاصة)، والمادة 14 (الأحكام النهائية) - هي أساساً </w:t>
      </w:r>
      <w:r w:rsidRPr="003607D5">
        <w:rPr>
          <w:rFonts w:hint="cs"/>
          <w:spacing w:val="2"/>
          <w:rtl/>
          <w:lang w:bidi="ar-EG"/>
        </w:rPr>
        <w:t>تكرار</w:t>
      </w:r>
      <w:r w:rsidRPr="003607D5">
        <w:rPr>
          <w:spacing w:val="2"/>
          <w:rtl/>
          <w:lang w:bidi="ar-EG"/>
        </w:rPr>
        <w:t xml:space="preserve"> للأحكام المقابلة </w:t>
      </w:r>
      <w:r w:rsidRPr="003607D5">
        <w:rPr>
          <w:rFonts w:hint="cs"/>
          <w:spacing w:val="2"/>
          <w:rtl/>
          <w:lang w:bidi="ar-EG"/>
        </w:rPr>
        <w:t>في الدستور/الاتفاقية</w:t>
      </w:r>
      <w:r w:rsidR="00133288" w:rsidRPr="003607D5">
        <w:rPr>
          <w:rFonts w:hint="cs"/>
          <w:spacing w:val="2"/>
          <w:rtl/>
          <w:lang w:bidi="ar"/>
        </w:rPr>
        <w:t>.</w:t>
      </w:r>
      <w:r w:rsidR="00133288" w:rsidRPr="003607D5">
        <w:rPr>
          <w:rStyle w:val="FootnoteReference"/>
          <w:spacing w:val="2"/>
          <w:rtl/>
          <w:lang w:bidi="ar"/>
        </w:rPr>
        <w:footnoteReference w:id="2"/>
      </w:r>
      <w:r w:rsidR="00133288" w:rsidRPr="003607D5">
        <w:rPr>
          <w:rFonts w:hint="cs"/>
          <w:spacing w:val="2"/>
          <w:rtl/>
          <w:lang w:bidi="ar"/>
        </w:rPr>
        <w:t xml:space="preserve"> </w:t>
      </w:r>
      <w:r w:rsidR="00410CD4" w:rsidRPr="003607D5">
        <w:rPr>
          <w:rFonts w:hint="cs"/>
          <w:spacing w:val="2"/>
          <w:rtl/>
          <w:lang w:bidi="ar-EG"/>
        </w:rPr>
        <w:t>و</w:t>
      </w:r>
      <w:r w:rsidR="00410CD4" w:rsidRPr="003607D5">
        <w:rPr>
          <w:spacing w:val="2"/>
          <w:rtl/>
          <w:lang w:bidi="ar-EG"/>
        </w:rPr>
        <w:t>بالنظر إلى هذا التكرار، نتساءل عن</w:t>
      </w:r>
      <w:r w:rsidR="00410CD4" w:rsidRPr="003607D5">
        <w:rPr>
          <w:rFonts w:hint="cs"/>
          <w:spacing w:val="2"/>
          <w:rtl/>
          <w:lang w:bidi="ar-EG"/>
        </w:rPr>
        <w:t xml:space="preserve"> </w:t>
      </w:r>
      <w:r w:rsidR="00410CD4" w:rsidRPr="003607D5">
        <w:rPr>
          <w:spacing w:val="2"/>
          <w:rtl/>
          <w:lang w:bidi="ar-EG"/>
        </w:rPr>
        <w:t xml:space="preserve">الدور، إن وجد، الذي </w:t>
      </w:r>
      <w:r w:rsidR="00410CD4" w:rsidRPr="003607D5">
        <w:rPr>
          <w:rFonts w:hint="cs"/>
          <w:spacing w:val="2"/>
          <w:rtl/>
          <w:lang w:bidi="ar-EG"/>
        </w:rPr>
        <w:t>يؤديه صك</w:t>
      </w:r>
      <w:r w:rsidR="00410CD4" w:rsidRPr="003607D5">
        <w:rPr>
          <w:spacing w:val="2"/>
          <w:rtl/>
          <w:lang w:bidi="ar-EG"/>
        </w:rPr>
        <w:t xml:space="preserve"> مثل لوائح الاتصالات الدولية في تعزيز النمو والازدهار المستقبل</w:t>
      </w:r>
      <w:r w:rsidR="00410CD4" w:rsidRPr="003607D5">
        <w:rPr>
          <w:rFonts w:hint="cs"/>
          <w:spacing w:val="2"/>
          <w:rtl/>
          <w:lang w:bidi="ar-EG"/>
        </w:rPr>
        <w:t>ي</w:t>
      </w:r>
      <w:r w:rsidR="00410CD4" w:rsidRPr="003607D5">
        <w:rPr>
          <w:spacing w:val="2"/>
          <w:rtl/>
          <w:lang w:bidi="ar-EG"/>
        </w:rPr>
        <w:t xml:space="preserve"> في سوق الاتصالات الدولية.</w:t>
      </w:r>
      <w:r w:rsidR="00410CD4" w:rsidRPr="003607D5">
        <w:rPr>
          <w:rFonts w:hint="cs"/>
          <w:spacing w:val="2"/>
          <w:rtl/>
          <w:lang w:bidi="ar-EG"/>
        </w:rPr>
        <w:t xml:space="preserve"> إننا </w:t>
      </w:r>
      <w:r w:rsidR="00410CD4" w:rsidRPr="003607D5">
        <w:rPr>
          <w:spacing w:val="2"/>
          <w:rtl/>
          <w:lang w:bidi="ar-EG"/>
        </w:rPr>
        <w:t xml:space="preserve">نعتقد أن الأحكام العامة المدرجة </w:t>
      </w:r>
      <w:r w:rsidR="00410CD4" w:rsidRPr="003607D5">
        <w:rPr>
          <w:rFonts w:hint="cs"/>
          <w:spacing w:val="2"/>
          <w:rtl/>
          <w:lang w:bidi="ar-EG"/>
        </w:rPr>
        <w:t>أصلاً</w:t>
      </w:r>
      <w:r w:rsidR="00410CD4" w:rsidRPr="003607D5">
        <w:rPr>
          <w:spacing w:val="2"/>
          <w:rtl/>
          <w:lang w:bidi="ar-EG"/>
        </w:rPr>
        <w:t xml:space="preserve"> في </w:t>
      </w:r>
      <w:r w:rsidR="00410CD4" w:rsidRPr="003607D5">
        <w:rPr>
          <w:rFonts w:hint="cs"/>
          <w:spacing w:val="2"/>
          <w:rtl/>
          <w:lang w:bidi="ar-EG"/>
        </w:rPr>
        <w:t>الدستور/الاتفاقية</w:t>
      </w:r>
      <w:r w:rsidR="00410CD4" w:rsidRPr="003607D5">
        <w:rPr>
          <w:spacing w:val="2"/>
          <w:rtl/>
          <w:lang w:bidi="ar-EG"/>
        </w:rPr>
        <w:t xml:space="preserve"> </w:t>
      </w:r>
      <w:r w:rsidR="00410CD4" w:rsidRPr="003607D5">
        <w:rPr>
          <w:rFonts w:hint="cs"/>
          <w:spacing w:val="2"/>
          <w:rtl/>
          <w:lang w:bidi="ar-EG"/>
        </w:rPr>
        <w:t>قادرة على الصمود</w:t>
      </w:r>
      <w:r w:rsidR="00410CD4" w:rsidRPr="003607D5">
        <w:rPr>
          <w:spacing w:val="2"/>
          <w:rtl/>
          <w:lang w:bidi="ar-EG"/>
        </w:rPr>
        <w:t xml:space="preserve"> بدرجة كافية وقادرة على تحمل </w:t>
      </w:r>
      <w:r w:rsidR="004B4532" w:rsidRPr="003607D5">
        <w:rPr>
          <w:rFonts w:hint="cs"/>
          <w:spacing w:val="2"/>
          <w:rtl/>
          <w:lang w:bidi="ar-EG"/>
        </w:rPr>
        <w:t>تغير ال</w:t>
      </w:r>
      <w:r w:rsidR="00410CD4" w:rsidRPr="003607D5">
        <w:rPr>
          <w:spacing w:val="2"/>
          <w:rtl/>
          <w:lang w:bidi="ar-EG"/>
        </w:rPr>
        <w:t>سوق وبيئة تكنولوجية متغيرة وأن الأحكام المكررة في لوائح الاتصالات الدولية ليست قابلة للتطبيق ولا</w:t>
      </w:r>
      <w:r w:rsidR="009C5837" w:rsidRPr="003607D5">
        <w:rPr>
          <w:rFonts w:hint="cs"/>
          <w:spacing w:val="2"/>
          <w:rtl/>
          <w:lang w:bidi="ar-EG"/>
        </w:rPr>
        <w:t> </w:t>
      </w:r>
      <w:r w:rsidR="00410CD4" w:rsidRPr="003607D5">
        <w:rPr>
          <w:spacing w:val="2"/>
          <w:rtl/>
          <w:lang w:bidi="ar-EG"/>
        </w:rPr>
        <w:t>مرنة بما</w:t>
      </w:r>
      <w:r w:rsidR="009C5837" w:rsidRPr="003607D5">
        <w:rPr>
          <w:rFonts w:hint="cs"/>
          <w:spacing w:val="2"/>
          <w:rtl/>
          <w:lang w:bidi="ar-EG"/>
        </w:rPr>
        <w:t> </w:t>
      </w:r>
      <w:r w:rsidR="00410CD4" w:rsidRPr="003607D5">
        <w:rPr>
          <w:spacing w:val="2"/>
          <w:rtl/>
          <w:lang w:bidi="ar-EG"/>
        </w:rPr>
        <w:t>يكفي لأعضاء الاتحاد.</w:t>
      </w:r>
    </w:p>
    <w:p w14:paraId="6457D88A" w14:textId="0547F29E" w:rsidR="00133288" w:rsidRDefault="00133288" w:rsidP="00133288">
      <w:pPr>
        <w:pStyle w:val="Headingb"/>
        <w:rPr>
          <w:rtl/>
          <w:lang w:bidi="ar"/>
        </w:rPr>
      </w:pPr>
      <w:r>
        <w:rPr>
          <w:rFonts w:hint="cs"/>
          <w:rtl/>
          <w:lang w:bidi="ar"/>
        </w:rPr>
        <w:t>الخلاصة</w:t>
      </w:r>
    </w:p>
    <w:p w14:paraId="127D79AB" w14:textId="2DA9EB9F" w:rsidR="00151A10" w:rsidRDefault="00151A10" w:rsidP="00410CD4">
      <w:pPr>
        <w:rPr>
          <w:rtl/>
          <w:lang w:bidi="ar-EG"/>
        </w:rPr>
      </w:pPr>
      <w:r>
        <w:rPr>
          <w:rtl/>
          <w:lang w:bidi="ar-EG"/>
        </w:rPr>
        <w:t xml:space="preserve">المواد من 9 إلى 14 </w:t>
      </w:r>
      <w:r w:rsidR="00410CD4" w:rsidRPr="00410CD4">
        <w:rPr>
          <w:rFonts w:hint="cs"/>
          <w:rtl/>
          <w:lang w:bidi="ar-EG"/>
        </w:rPr>
        <w:t xml:space="preserve">والتذييل </w:t>
      </w:r>
      <w:r>
        <w:rPr>
          <w:rtl/>
          <w:lang w:bidi="ar-EG"/>
        </w:rPr>
        <w:t xml:space="preserve">2 من لوائح الاتصالات الدولية لعام 2012 </w:t>
      </w:r>
      <w:r w:rsidR="00410CD4">
        <w:rPr>
          <w:rFonts w:hint="cs"/>
          <w:rtl/>
          <w:lang w:bidi="ar-EG"/>
        </w:rPr>
        <w:t>ليست</w:t>
      </w:r>
      <w:r>
        <w:rPr>
          <w:rtl/>
          <w:lang w:bidi="ar-EG"/>
        </w:rPr>
        <w:t xml:space="preserve"> قابلة للتطبيق أو مرنة بدرجة كافية في بيئة الاتصالات السائدة اليوم. وفي الوقت نفسه، فإن أي </w:t>
      </w:r>
      <w:r w:rsidR="00410CD4">
        <w:rPr>
          <w:rFonts w:hint="cs"/>
          <w:rtl/>
          <w:lang w:bidi="ar-EG"/>
        </w:rPr>
        <w:t>مراجعات</w:t>
      </w:r>
      <w:r>
        <w:rPr>
          <w:rtl/>
          <w:lang w:bidi="ar-EG"/>
        </w:rPr>
        <w:t xml:space="preserve"> محتملة لهذه الأحكام </w:t>
      </w:r>
      <w:r w:rsidR="00410CD4">
        <w:rPr>
          <w:rFonts w:hint="cs"/>
          <w:rtl/>
          <w:lang w:bidi="ar-EG"/>
        </w:rPr>
        <w:t>ستتخلف</w:t>
      </w:r>
      <w:r>
        <w:rPr>
          <w:rtl/>
          <w:lang w:bidi="ar-EG"/>
        </w:rPr>
        <w:t xml:space="preserve"> حتماً </w:t>
      </w:r>
      <w:r w:rsidR="00410CD4">
        <w:rPr>
          <w:rFonts w:hint="cs"/>
          <w:rtl/>
          <w:lang w:bidi="ar-EG"/>
        </w:rPr>
        <w:t>عن</w:t>
      </w:r>
      <w:r>
        <w:rPr>
          <w:rtl/>
          <w:lang w:bidi="ar-EG"/>
        </w:rPr>
        <w:t xml:space="preserve"> مواكبة الوتيرة السريعة للتغير التكنولوجي وتطور السوق.</w:t>
      </w:r>
    </w:p>
    <w:p w14:paraId="226FE401" w14:textId="77777777" w:rsidR="006F3BD6" w:rsidRDefault="006F3BD6" w:rsidP="006F3BD6">
      <w:pPr>
        <w:spacing w:before="600"/>
        <w:jc w:val="center"/>
        <w:rPr>
          <w:rtl/>
          <w:lang w:bidi="ar-EG"/>
        </w:rPr>
      </w:pPr>
      <w:r w:rsidRPr="006F3BD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18BB0" w14:textId="77777777" w:rsidR="00B10B71" w:rsidRDefault="00B10B71" w:rsidP="006C3242">
      <w:pPr>
        <w:spacing w:before="0" w:line="240" w:lineRule="auto"/>
      </w:pPr>
      <w:r>
        <w:separator/>
      </w:r>
    </w:p>
  </w:endnote>
  <w:endnote w:type="continuationSeparator" w:id="0">
    <w:p w14:paraId="59B691E0" w14:textId="77777777" w:rsidR="00B10B71" w:rsidRDefault="00B10B7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456F5" w14:textId="6A4E322C" w:rsidR="006C3242" w:rsidRPr="0026373E" w:rsidRDefault="006C3242" w:rsidP="0056389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423A3">
      <w:rPr>
        <w:noProof/>
        <w:sz w:val="16"/>
        <w:szCs w:val="16"/>
        <w:lang w:val="fr-FR"/>
      </w:rPr>
      <w:t>P:\ARA\SG\CONSEIL\EG-ITR\EG-ITR-4\000\006A.docx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56389C" w:rsidRPr="0056389C">
      <w:rPr>
        <w:sz w:val="16"/>
        <w:szCs w:val="16"/>
      </w:rPr>
      <w:t>482101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318B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05FDD" w14:textId="77777777" w:rsidR="00B10B71" w:rsidRDefault="00B10B71" w:rsidP="006C3242">
      <w:pPr>
        <w:spacing w:before="0" w:line="240" w:lineRule="auto"/>
      </w:pPr>
      <w:r>
        <w:separator/>
      </w:r>
    </w:p>
  </w:footnote>
  <w:footnote w:type="continuationSeparator" w:id="0">
    <w:p w14:paraId="5351C584" w14:textId="77777777" w:rsidR="00B10B71" w:rsidRDefault="00B10B71" w:rsidP="006C3242">
      <w:pPr>
        <w:spacing w:before="0" w:line="240" w:lineRule="auto"/>
      </w:pPr>
      <w:r>
        <w:continuationSeparator/>
      </w:r>
    </w:p>
  </w:footnote>
  <w:footnote w:id="1">
    <w:p w14:paraId="1DB3F339" w14:textId="0EE3313C" w:rsidR="00133288" w:rsidRPr="00133288" w:rsidRDefault="00133288" w:rsidP="00133288">
      <w:pPr>
        <w:pStyle w:val="FootnoteText"/>
        <w:spacing w:line="192" w:lineRule="auto"/>
        <w:rPr>
          <w:sz w:val="18"/>
          <w:szCs w:val="18"/>
          <w:lang w:bidi="ar-EG"/>
        </w:rPr>
      </w:pPr>
      <w:r w:rsidRPr="00133288">
        <w:rPr>
          <w:rStyle w:val="FootnoteReference"/>
        </w:rPr>
        <w:footnoteRef/>
      </w:r>
      <w:r w:rsidRPr="00133288">
        <w:rPr>
          <w:sz w:val="18"/>
          <w:szCs w:val="18"/>
          <w:rtl/>
        </w:rPr>
        <w:t xml:space="preserve"> </w:t>
      </w:r>
      <w:r w:rsidR="00C74195" w:rsidRPr="00C03500">
        <w:rPr>
          <w:rFonts w:hint="cs"/>
          <w:i/>
          <w:iCs/>
          <w:sz w:val="18"/>
          <w:szCs w:val="18"/>
          <w:rtl/>
        </w:rPr>
        <w:t>انظر مثلاً</w:t>
      </w:r>
      <w:r w:rsidRPr="00133288">
        <w:rPr>
          <w:rFonts w:hint="cs"/>
          <w:sz w:val="18"/>
          <w:szCs w:val="18"/>
          <w:rtl/>
        </w:rPr>
        <w:t xml:space="preserve"> القرار 175 (المراجَع في دبي، 2018) لمؤتمر المندوبين المفوضين بشأن </w:t>
      </w:r>
      <w:r w:rsidRPr="00133288">
        <w:rPr>
          <w:sz w:val="18"/>
          <w:szCs w:val="18"/>
          <w:rtl/>
        </w:rPr>
        <w:t>نفاذ الأشخاص ذوي الإعاقة والأشخاص ذوي الاحتياجات المحددة إلى الاتصالات/تكنولوجيا المعلومات والاتصالات</w:t>
      </w:r>
      <w:r w:rsidRPr="00133288">
        <w:rPr>
          <w:rFonts w:hint="cs"/>
          <w:sz w:val="18"/>
          <w:szCs w:val="18"/>
          <w:rtl/>
        </w:rPr>
        <w:t xml:space="preserve"> والقرار </w:t>
      </w:r>
      <w:r>
        <w:rPr>
          <w:rFonts w:hint="cs"/>
          <w:sz w:val="18"/>
          <w:szCs w:val="18"/>
          <w:rtl/>
        </w:rPr>
        <w:t xml:space="preserve">182 (المراجَع في بوسان، 2014) لمؤتمر المندوبين المفوضين بشأن </w:t>
      </w:r>
      <w:r w:rsidRPr="00133288">
        <w:rPr>
          <w:sz w:val="18"/>
          <w:szCs w:val="18"/>
          <w:rtl/>
        </w:rPr>
        <w:t>دور الاتصالات/تكنولوجيا المعلومات والاتصالات فيما يتعلق بتغير المناخ وحماية البيئة</w:t>
      </w:r>
      <w:r>
        <w:rPr>
          <w:rFonts w:hint="cs"/>
          <w:sz w:val="18"/>
          <w:szCs w:val="18"/>
          <w:rtl/>
        </w:rPr>
        <w:t>.</w:t>
      </w:r>
    </w:p>
  </w:footnote>
  <w:footnote w:id="2">
    <w:p w14:paraId="586B7756" w14:textId="6D15B87C" w:rsidR="00133288" w:rsidRDefault="0013328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9376F">
        <w:rPr>
          <w:rFonts w:hint="cs"/>
          <w:i/>
          <w:iCs/>
          <w:sz w:val="18"/>
          <w:szCs w:val="18"/>
          <w:rtl/>
          <w:lang w:bidi="ar-EG"/>
        </w:rPr>
        <w:t>انظر</w:t>
      </w:r>
      <w:r w:rsidR="00C74195" w:rsidRPr="0009376F">
        <w:rPr>
          <w:rFonts w:hint="cs"/>
          <w:i/>
          <w:iCs/>
          <w:sz w:val="18"/>
          <w:szCs w:val="18"/>
          <w:rtl/>
          <w:lang w:bidi="ar-EG"/>
        </w:rPr>
        <w:t xml:space="preserve"> عموماً</w:t>
      </w:r>
      <w:r w:rsidRPr="00410ECD">
        <w:rPr>
          <w:rFonts w:hint="cs"/>
          <w:sz w:val="18"/>
          <w:szCs w:val="18"/>
          <w:rtl/>
          <w:lang w:bidi="ar-EG"/>
        </w:rPr>
        <w:t xml:space="preserve"> </w:t>
      </w:r>
      <w:r w:rsidRPr="00410ECD">
        <w:rPr>
          <w:rFonts w:hint="cs"/>
          <w:sz w:val="18"/>
          <w:szCs w:val="18"/>
          <w:rtl/>
          <w:lang w:val="en-GB" w:bidi="ar-EG"/>
        </w:rPr>
        <w:t>وثيقة المعلومات رقم 5</w:t>
      </w:r>
      <w:r>
        <w:rPr>
          <w:rFonts w:hint="cs"/>
          <w:sz w:val="18"/>
          <w:szCs w:val="18"/>
          <w:rtl/>
          <w:lang w:val="en-GB" w:bidi="ar-EG"/>
        </w:rPr>
        <w:t xml:space="preserve">، </w:t>
      </w:r>
      <w:r w:rsidRPr="00410ECD">
        <w:rPr>
          <w:rFonts w:hint="cs"/>
          <w:sz w:val="18"/>
          <w:szCs w:val="18"/>
          <w:rtl/>
          <w:lang w:bidi="ar-EG"/>
        </w:rPr>
        <w:t xml:space="preserve">فريق الخبراء المعني باستعراض لوائح الاتصالات الدولية </w:t>
      </w:r>
      <w:r w:rsidRPr="00410ECD">
        <w:rPr>
          <w:sz w:val="18"/>
          <w:szCs w:val="18"/>
          <w:lang w:val="en-GB" w:bidi="ar-EG"/>
        </w:rPr>
        <w:t>(2009-2007)</w:t>
      </w:r>
      <w:r w:rsidRPr="00410ECD">
        <w:rPr>
          <w:rFonts w:hint="cs"/>
          <w:sz w:val="18"/>
          <w:szCs w:val="18"/>
          <w:rtl/>
          <w:lang w:val="en-GB" w:bidi="ar-EG"/>
        </w:rPr>
        <w:t>، بشأن العلاقة بين لوائح الاتصالات الدولية والدستور والاتفاقية</w:t>
      </w:r>
      <w:r>
        <w:rPr>
          <w:rFonts w:hint="cs"/>
          <w:sz w:val="18"/>
          <w:szCs w:val="18"/>
          <w:rtl/>
          <w:lang w:val="en-GB" w:bidi="ar-EG"/>
        </w:rPr>
        <w:t>،</w:t>
      </w:r>
      <w:r w:rsidRPr="00410ECD">
        <w:rPr>
          <w:rFonts w:hint="cs"/>
          <w:sz w:val="18"/>
          <w:szCs w:val="18"/>
          <w:rtl/>
          <w:lang w:val="en-GB" w:bidi="ar-EG"/>
        </w:rPr>
        <w:t xml:space="preserve"> المتاحة </w:t>
      </w:r>
      <w:r w:rsidR="00C74195">
        <w:rPr>
          <w:rFonts w:hint="cs"/>
          <w:sz w:val="18"/>
          <w:szCs w:val="18"/>
          <w:rtl/>
          <w:lang w:val="en-GB" w:bidi="ar-EG"/>
        </w:rPr>
        <w:t>عبر الرابط</w:t>
      </w:r>
      <w:r w:rsidRPr="00410ECD">
        <w:rPr>
          <w:rFonts w:hint="cs"/>
          <w:sz w:val="18"/>
          <w:szCs w:val="18"/>
          <w:rtl/>
          <w:lang w:val="en-GB" w:bidi="ar-EG"/>
        </w:rPr>
        <w:t xml:space="preserve"> </w:t>
      </w:r>
      <w:hyperlink r:id="rId1" w:history="1">
        <w:r w:rsidRPr="00410ECD">
          <w:rPr>
            <w:rStyle w:val="Hyperlink"/>
            <w:sz w:val="18"/>
            <w:szCs w:val="18"/>
            <w:lang w:bidi="ar-EG"/>
          </w:rPr>
          <w:t>https://www.itu.int/md/T05-ITR.EG-INF-0005/en</w:t>
        </w:r>
      </w:hyperlink>
      <w:r w:rsidRPr="00410ECD">
        <w:rPr>
          <w:rFonts w:hint="cs"/>
          <w:sz w:val="18"/>
          <w:szCs w:val="1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35E3F" w14:textId="756D4FDF" w:rsidR="00447F32" w:rsidRPr="00447F32" w:rsidRDefault="0009376F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2431BE">
          <w:rPr>
            <w:rFonts w:cs="Calibri"/>
            <w:noProof/>
            <w:sz w:val="20"/>
            <w:szCs w:val="20"/>
          </w:rPr>
          <w:t>4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56389C">
          <w:rPr>
            <w:rFonts w:cs="Calibri"/>
            <w:noProof/>
            <w:sz w:val="20"/>
            <w:szCs w:val="20"/>
          </w:rPr>
          <w:t>6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8"/>
    <w:rsid w:val="00056A9A"/>
    <w:rsid w:val="0006468A"/>
    <w:rsid w:val="00090574"/>
    <w:rsid w:val="0009376F"/>
    <w:rsid w:val="000C1C0E"/>
    <w:rsid w:val="000C548A"/>
    <w:rsid w:val="000F0F96"/>
    <w:rsid w:val="00133288"/>
    <w:rsid w:val="00151A10"/>
    <w:rsid w:val="001723D3"/>
    <w:rsid w:val="001B5CA6"/>
    <w:rsid w:val="001C0169"/>
    <w:rsid w:val="001C1B49"/>
    <w:rsid w:val="001D1D50"/>
    <w:rsid w:val="001D6745"/>
    <w:rsid w:val="001E446E"/>
    <w:rsid w:val="001F02AC"/>
    <w:rsid w:val="00206300"/>
    <w:rsid w:val="002154EE"/>
    <w:rsid w:val="002276D2"/>
    <w:rsid w:val="0023283D"/>
    <w:rsid w:val="002431BE"/>
    <w:rsid w:val="0026373E"/>
    <w:rsid w:val="00271C43"/>
    <w:rsid w:val="00290728"/>
    <w:rsid w:val="002978F4"/>
    <w:rsid w:val="002B028D"/>
    <w:rsid w:val="002E0555"/>
    <w:rsid w:val="002E196B"/>
    <w:rsid w:val="002E6541"/>
    <w:rsid w:val="00334924"/>
    <w:rsid w:val="003409BC"/>
    <w:rsid w:val="00357185"/>
    <w:rsid w:val="003607D5"/>
    <w:rsid w:val="00383829"/>
    <w:rsid w:val="003F4B29"/>
    <w:rsid w:val="00404828"/>
    <w:rsid w:val="00410CD4"/>
    <w:rsid w:val="0042686F"/>
    <w:rsid w:val="004317D8"/>
    <w:rsid w:val="00434183"/>
    <w:rsid w:val="00435AFF"/>
    <w:rsid w:val="00443869"/>
    <w:rsid w:val="00447F32"/>
    <w:rsid w:val="004B4532"/>
    <w:rsid w:val="004E11DC"/>
    <w:rsid w:val="00516900"/>
    <w:rsid w:val="00525DDD"/>
    <w:rsid w:val="0053220C"/>
    <w:rsid w:val="005409AC"/>
    <w:rsid w:val="005423A3"/>
    <w:rsid w:val="0055516A"/>
    <w:rsid w:val="0056389C"/>
    <w:rsid w:val="0058491B"/>
    <w:rsid w:val="00592EA5"/>
    <w:rsid w:val="005A0F49"/>
    <w:rsid w:val="005A3170"/>
    <w:rsid w:val="005A7444"/>
    <w:rsid w:val="0067137F"/>
    <w:rsid w:val="00677396"/>
    <w:rsid w:val="0069200F"/>
    <w:rsid w:val="006A65CB"/>
    <w:rsid w:val="006B2CB8"/>
    <w:rsid w:val="006C3242"/>
    <w:rsid w:val="006C7CC0"/>
    <w:rsid w:val="006F3BD6"/>
    <w:rsid w:val="006F63F7"/>
    <w:rsid w:val="007025C7"/>
    <w:rsid w:val="00706D7A"/>
    <w:rsid w:val="00722F0D"/>
    <w:rsid w:val="00732E3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82C8E"/>
    <w:rsid w:val="008A7F84"/>
    <w:rsid w:val="0091702E"/>
    <w:rsid w:val="00923B0C"/>
    <w:rsid w:val="0094021C"/>
    <w:rsid w:val="00952F86"/>
    <w:rsid w:val="00982B28"/>
    <w:rsid w:val="009C5837"/>
    <w:rsid w:val="009D313F"/>
    <w:rsid w:val="00A47A5A"/>
    <w:rsid w:val="00A6683B"/>
    <w:rsid w:val="00A97F94"/>
    <w:rsid w:val="00AA7EA2"/>
    <w:rsid w:val="00AF6B5C"/>
    <w:rsid w:val="00B03099"/>
    <w:rsid w:val="00B05BC8"/>
    <w:rsid w:val="00B10B71"/>
    <w:rsid w:val="00B31DF9"/>
    <w:rsid w:val="00B37996"/>
    <w:rsid w:val="00B64B47"/>
    <w:rsid w:val="00C002DE"/>
    <w:rsid w:val="00C03500"/>
    <w:rsid w:val="00C53BF8"/>
    <w:rsid w:val="00C66157"/>
    <w:rsid w:val="00C674FE"/>
    <w:rsid w:val="00C67501"/>
    <w:rsid w:val="00C74195"/>
    <w:rsid w:val="00C75633"/>
    <w:rsid w:val="00C767C4"/>
    <w:rsid w:val="00CD1D94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50D2"/>
    <w:rsid w:val="00F24FC4"/>
    <w:rsid w:val="00F2676C"/>
    <w:rsid w:val="00F83DAE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E97961"/>
  <w15:chartTrackingRefBased/>
  <w15:docId w15:val="{9A3417EF-282F-45FD-9E5A-A6DC412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T05-ITR.EG-INF-000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15</cp:revision>
  <dcterms:created xsi:type="dcterms:W3CDTF">2021-01-26T08:08:00Z</dcterms:created>
  <dcterms:modified xsi:type="dcterms:W3CDTF">2021-01-26T08:43:00Z</dcterms:modified>
</cp:coreProperties>
</file>