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3543"/>
        <w:gridCol w:w="284"/>
        <w:gridCol w:w="4536"/>
      </w:tblGrid>
      <w:tr w:rsidR="003476DD" w:rsidRPr="005D594A" w14:paraId="08F037DF" w14:textId="77777777" w:rsidTr="007E3585">
        <w:trPr>
          <w:jc w:val="center"/>
        </w:trPr>
        <w:tc>
          <w:tcPr>
            <w:tcW w:w="9889" w:type="dxa"/>
            <w:gridSpan w:val="4"/>
            <w:shd w:val="clear" w:color="auto" w:fill="auto"/>
          </w:tcPr>
          <w:p w14:paraId="51E2E822" w14:textId="77777777" w:rsidR="003476DD" w:rsidRPr="005D594A" w:rsidRDefault="000A249C" w:rsidP="00B330B7">
            <w:pPr>
              <w:jc w:val="left"/>
              <w:rPr>
                <w:rFonts w:cs="Times New Roman Bold"/>
                <w:b/>
                <w:bCs/>
                <w:color w:val="808080"/>
                <w:sz w:val="28"/>
                <w:szCs w:val="28"/>
              </w:rPr>
            </w:pPr>
            <w:bookmarkStart w:id="0" w:name="Origine"/>
            <w:bookmarkEnd w:id="0"/>
            <w:r w:rsidRPr="005D594A">
              <w:rPr>
                <w:rFonts w:cs="Times New Roman Bold"/>
                <w:b/>
                <w:bCs/>
                <w:color w:val="808080"/>
                <w:sz w:val="28"/>
                <w:szCs w:val="28"/>
              </w:rPr>
              <w:t>Secrétariat général (SG)</w:t>
            </w:r>
          </w:p>
        </w:tc>
      </w:tr>
      <w:tr w:rsidR="003476DD" w:rsidRPr="005D594A" w14:paraId="3A7097BD" w14:textId="77777777" w:rsidTr="007E3585">
        <w:trPr>
          <w:jc w:val="center"/>
        </w:trPr>
        <w:tc>
          <w:tcPr>
            <w:tcW w:w="9889" w:type="dxa"/>
            <w:gridSpan w:val="4"/>
            <w:shd w:val="clear" w:color="auto" w:fill="auto"/>
          </w:tcPr>
          <w:p w14:paraId="029C1F7C" w14:textId="77777777" w:rsidR="003476DD" w:rsidRPr="005D594A" w:rsidRDefault="003476DD" w:rsidP="00B330B7">
            <w:pPr>
              <w:jc w:val="left"/>
            </w:pPr>
          </w:p>
        </w:tc>
      </w:tr>
      <w:tr w:rsidR="003476DD" w:rsidRPr="005D594A" w14:paraId="4BDC2E91" w14:textId="77777777" w:rsidTr="007E3585">
        <w:trPr>
          <w:jc w:val="center"/>
        </w:trPr>
        <w:tc>
          <w:tcPr>
            <w:tcW w:w="5353" w:type="dxa"/>
            <w:gridSpan w:val="3"/>
            <w:shd w:val="clear" w:color="auto" w:fill="auto"/>
          </w:tcPr>
          <w:p w14:paraId="0C79F047" w14:textId="77777777" w:rsidR="003476DD" w:rsidRPr="005D594A" w:rsidRDefault="003476DD" w:rsidP="00B330B7">
            <w:pPr>
              <w:jc w:val="left"/>
            </w:pPr>
          </w:p>
        </w:tc>
        <w:tc>
          <w:tcPr>
            <w:tcW w:w="4536" w:type="dxa"/>
            <w:shd w:val="clear" w:color="auto" w:fill="auto"/>
          </w:tcPr>
          <w:p w14:paraId="3D038A44" w14:textId="081CDDF4" w:rsidR="003476DD" w:rsidRPr="005D594A" w:rsidRDefault="000A249C" w:rsidP="00EC282E">
            <w:pPr>
              <w:spacing w:line="240" w:lineRule="auto"/>
              <w:ind w:right="57"/>
              <w:jc w:val="left"/>
            </w:pPr>
            <w:r w:rsidRPr="005D594A">
              <w:t xml:space="preserve">Genève, le </w:t>
            </w:r>
            <w:sdt>
              <w:sdtPr>
                <w:rPr>
                  <w:rFonts w:cs="Arial"/>
                </w:rPr>
                <w:alias w:val="Date"/>
                <w:tag w:val="Date"/>
                <w:id w:val="-1536891932"/>
                <w:placeholder>
                  <w:docPart w:val="0E91E1F4E630405D87ED20F3F7AB3E34"/>
                </w:placeholder>
                <w:date w:fullDate="2021-04-15T00:00:00Z">
                  <w:dateFormat w:val="d MMMM yyyy"/>
                  <w:lid w:val="fr-FR"/>
                  <w:storeMappedDataAs w:val="date"/>
                  <w:calendar w:val="gregorian"/>
                </w:date>
              </w:sdtPr>
              <w:sdtEndPr/>
              <w:sdtContent>
                <w:r w:rsidR="005E224B" w:rsidRPr="005D594A">
                  <w:rPr>
                    <w:rFonts w:cs="Arial"/>
                  </w:rPr>
                  <w:t>15 avril 2021</w:t>
                </w:r>
              </w:sdtContent>
            </w:sdt>
          </w:p>
        </w:tc>
      </w:tr>
      <w:tr w:rsidR="00757B2B" w:rsidRPr="005D594A" w14:paraId="36D75024" w14:textId="77777777" w:rsidTr="007E35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tcBorders>
              <w:top w:val="nil"/>
              <w:left w:val="nil"/>
              <w:bottom w:val="nil"/>
              <w:right w:val="nil"/>
            </w:tcBorders>
            <w:shd w:val="clear" w:color="auto" w:fill="auto"/>
          </w:tcPr>
          <w:p w14:paraId="58F33EAD" w14:textId="77777777" w:rsidR="00757B2B" w:rsidRPr="005D594A" w:rsidRDefault="000A249C" w:rsidP="000A249C">
            <w:pPr>
              <w:spacing w:before="0" w:line="240" w:lineRule="auto"/>
              <w:jc w:val="left"/>
            </w:pPr>
            <w:proofErr w:type="gramStart"/>
            <w:r w:rsidRPr="005D594A">
              <w:t>Réf.:</w:t>
            </w:r>
            <w:proofErr w:type="gramEnd"/>
          </w:p>
        </w:tc>
        <w:tc>
          <w:tcPr>
            <w:tcW w:w="3827" w:type="dxa"/>
            <w:gridSpan w:val="2"/>
            <w:tcBorders>
              <w:top w:val="nil"/>
              <w:left w:val="nil"/>
              <w:bottom w:val="nil"/>
              <w:right w:val="nil"/>
            </w:tcBorders>
            <w:shd w:val="clear" w:color="auto" w:fill="auto"/>
          </w:tcPr>
          <w:p w14:paraId="06B85010" w14:textId="04C679A2" w:rsidR="00757B2B" w:rsidRPr="005D594A" w:rsidRDefault="005E224B" w:rsidP="000A249C">
            <w:pPr>
              <w:spacing w:before="0" w:line="240" w:lineRule="auto"/>
              <w:jc w:val="left"/>
              <w:rPr>
                <w:b/>
                <w:bCs/>
              </w:rPr>
            </w:pPr>
            <w:r w:rsidRPr="005D594A">
              <w:rPr>
                <w:b/>
                <w:bCs/>
              </w:rPr>
              <w:t>DM-21/1010</w:t>
            </w:r>
          </w:p>
        </w:tc>
        <w:tc>
          <w:tcPr>
            <w:tcW w:w="4536" w:type="dxa"/>
            <w:tcBorders>
              <w:top w:val="nil"/>
              <w:left w:val="nil"/>
              <w:bottom w:val="nil"/>
              <w:right w:val="nil"/>
            </w:tcBorders>
            <w:shd w:val="clear" w:color="auto" w:fill="auto"/>
          </w:tcPr>
          <w:p w14:paraId="67E427CA" w14:textId="77777777" w:rsidR="00757B2B" w:rsidRPr="005D594A" w:rsidRDefault="00757B2B" w:rsidP="000A249C">
            <w:pPr>
              <w:spacing w:before="0" w:line="240" w:lineRule="auto"/>
              <w:jc w:val="left"/>
            </w:pPr>
          </w:p>
        </w:tc>
      </w:tr>
      <w:tr w:rsidR="003476DD" w:rsidRPr="005D594A" w14:paraId="007A2D89" w14:textId="77777777" w:rsidTr="007E35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tcBorders>
              <w:top w:val="nil"/>
              <w:left w:val="nil"/>
              <w:bottom w:val="nil"/>
              <w:right w:val="nil"/>
            </w:tcBorders>
            <w:shd w:val="clear" w:color="auto" w:fill="auto"/>
          </w:tcPr>
          <w:p w14:paraId="7D2A5429" w14:textId="1ACF7FCB" w:rsidR="003476DD" w:rsidRPr="005D594A" w:rsidRDefault="000A249C" w:rsidP="00B330B7">
            <w:pPr>
              <w:spacing w:before="0"/>
              <w:jc w:val="left"/>
              <w:rPr>
                <w:iCs/>
                <w:color w:val="FFFFFF" w:themeColor="background1"/>
              </w:rPr>
            </w:pPr>
            <w:proofErr w:type="gramStart"/>
            <w:r w:rsidRPr="005D594A">
              <w:rPr>
                <w:iCs/>
              </w:rPr>
              <w:t>Contact:</w:t>
            </w:r>
            <w:proofErr w:type="gramEnd"/>
          </w:p>
        </w:tc>
        <w:tc>
          <w:tcPr>
            <w:tcW w:w="3543" w:type="dxa"/>
            <w:tcBorders>
              <w:top w:val="nil"/>
              <w:left w:val="nil"/>
              <w:bottom w:val="nil"/>
              <w:right w:val="nil"/>
            </w:tcBorders>
            <w:shd w:val="clear" w:color="auto" w:fill="auto"/>
          </w:tcPr>
          <w:p w14:paraId="5BEB95FD" w14:textId="720770B6" w:rsidR="003476DD" w:rsidRPr="005D594A" w:rsidRDefault="005E224B" w:rsidP="00B330B7">
            <w:pPr>
              <w:spacing w:before="0"/>
              <w:jc w:val="left"/>
            </w:pPr>
            <w:bookmarkStart w:id="1" w:name="Contact"/>
            <w:bookmarkEnd w:id="1"/>
            <w:r w:rsidRPr="005D594A">
              <w:t>Mme Béatrice Pluchon</w:t>
            </w:r>
          </w:p>
        </w:tc>
        <w:tc>
          <w:tcPr>
            <w:tcW w:w="284" w:type="dxa"/>
            <w:tcBorders>
              <w:top w:val="nil"/>
              <w:left w:val="nil"/>
              <w:bottom w:val="nil"/>
              <w:right w:val="nil"/>
            </w:tcBorders>
            <w:shd w:val="clear" w:color="auto" w:fill="auto"/>
          </w:tcPr>
          <w:p w14:paraId="77E5F6BB" w14:textId="77777777" w:rsidR="003476DD" w:rsidRPr="005D594A" w:rsidRDefault="003476DD" w:rsidP="00B330B7">
            <w:pPr>
              <w:spacing w:before="0"/>
            </w:pPr>
          </w:p>
        </w:tc>
        <w:tc>
          <w:tcPr>
            <w:tcW w:w="4536" w:type="dxa"/>
            <w:vMerge w:val="restart"/>
            <w:tcBorders>
              <w:top w:val="nil"/>
              <w:left w:val="nil"/>
              <w:bottom w:val="nil"/>
              <w:right w:val="nil"/>
            </w:tcBorders>
            <w:shd w:val="clear" w:color="auto" w:fill="auto"/>
            <w:vAlign w:val="center"/>
          </w:tcPr>
          <w:p w14:paraId="4C374C62" w14:textId="3E684910" w:rsidR="005E224B" w:rsidRPr="005D594A" w:rsidRDefault="005E224B" w:rsidP="00A814B7">
            <w:pPr>
              <w:spacing w:before="0" w:line="240" w:lineRule="auto"/>
              <w:jc w:val="left"/>
              <w:rPr>
                <w:color w:val="000000"/>
              </w:rPr>
            </w:pPr>
            <w:r w:rsidRPr="005D594A">
              <w:t>Aux États Membres du Conseil de l'UIT</w:t>
            </w:r>
          </w:p>
        </w:tc>
      </w:tr>
      <w:tr w:rsidR="005E224B" w:rsidRPr="005D594A" w14:paraId="18F71DCA" w14:textId="77777777" w:rsidTr="007E35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tcBorders>
              <w:top w:val="nil"/>
              <w:left w:val="nil"/>
              <w:bottom w:val="nil"/>
              <w:right w:val="nil"/>
            </w:tcBorders>
            <w:shd w:val="clear" w:color="auto" w:fill="auto"/>
          </w:tcPr>
          <w:p w14:paraId="6A31A3C1" w14:textId="6279CEAD" w:rsidR="005E224B" w:rsidRPr="005D594A" w:rsidRDefault="005E224B" w:rsidP="005E224B">
            <w:pPr>
              <w:spacing w:before="0"/>
              <w:jc w:val="left"/>
              <w:rPr>
                <w:iCs/>
                <w:color w:val="FFFFFF" w:themeColor="background1"/>
              </w:rPr>
            </w:pPr>
            <w:proofErr w:type="gramStart"/>
            <w:r w:rsidRPr="005D594A">
              <w:rPr>
                <w:iCs/>
              </w:rPr>
              <w:t>Télécopie:</w:t>
            </w:r>
            <w:proofErr w:type="gramEnd"/>
          </w:p>
        </w:tc>
        <w:tc>
          <w:tcPr>
            <w:tcW w:w="3543" w:type="dxa"/>
            <w:tcBorders>
              <w:top w:val="nil"/>
              <w:left w:val="nil"/>
              <w:bottom w:val="nil"/>
              <w:right w:val="nil"/>
            </w:tcBorders>
            <w:shd w:val="clear" w:color="auto" w:fill="auto"/>
          </w:tcPr>
          <w:p w14:paraId="0D640BCB" w14:textId="537248E1" w:rsidR="005E224B" w:rsidRPr="005D594A" w:rsidRDefault="005E224B" w:rsidP="005E224B">
            <w:pPr>
              <w:spacing w:before="0"/>
              <w:jc w:val="left"/>
            </w:pPr>
            <w:r w:rsidRPr="005D594A">
              <w:t>+41 22 730 6266</w:t>
            </w:r>
          </w:p>
        </w:tc>
        <w:tc>
          <w:tcPr>
            <w:tcW w:w="284" w:type="dxa"/>
            <w:tcBorders>
              <w:top w:val="nil"/>
              <w:left w:val="nil"/>
              <w:bottom w:val="nil"/>
              <w:right w:val="nil"/>
            </w:tcBorders>
            <w:shd w:val="clear" w:color="auto" w:fill="auto"/>
          </w:tcPr>
          <w:p w14:paraId="5225202B" w14:textId="77777777" w:rsidR="005E224B" w:rsidRPr="005D594A" w:rsidRDefault="005E224B" w:rsidP="005E224B">
            <w:pPr>
              <w:spacing w:before="0"/>
            </w:pPr>
          </w:p>
        </w:tc>
        <w:tc>
          <w:tcPr>
            <w:tcW w:w="4536" w:type="dxa"/>
            <w:vMerge/>
            <w:tcBorders>
              <w:top w:val="nil"/>
              <w:left w:val="nil"/>
              <w:bottom w:val="nil"/>
              <w:right w:val="nil"/>
            </w:tcBorders>
            <w:shd w:val="clear" w:color="auto" w:fill="auto"/>
          </w:tcPr>
          <w:p w14:paraId="754FFF03" w14:textId="77777777" w:rsidR="005E224B" w:rsidRPr="005D594A" w:rsidRDefault="005E224B" w:rsidP="005E224B">
            <w:pPr>
              <w:spacing w:before="0"/>
            </w:pPr>
          </w:p>
        </w:tc>
      </w:tr>
      <w:tr w:rsidR="005E224B" w:rsidRPr="005D594A" w14:paraId="6F07A673" w14:textId="77777777" w:rsidTr="007E35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tcBorders>
              <w:top w:val="nil"/>
              <w:left w:val="nil"/>
              <w:bottom w:val="nil"/>
              <w:right w:val="nil"/>
            </w:tcBorders>
            <w:shd w:val="clear" w:color="auto" w:fill="auto"/>
          </w:tcPr>
          <w:p w14:paraId="5B3E800F" w14:textId="77777777" w:rsidR="005E224B" w:rsidRPr="005D594A" w:rsidRDefault="005E224B" w:rsidP="005E224B">
            <w:pPr>
              <w:spacing w:before="0"/>
              <w:jc w:val="left"/>
              <w:rPr>
                <w:iCs/>
                <w:color w:val="FFFFFF" w:themeColor="background1"/>
              </w:rPr>
            </w:pPr>
            <w:proofErr w:type="gramStart"/>
            <w:r w:rsidRPr="005D594A">
              <w:t>Courriel</w:t>
            </w:r>
            <w:r w:rsidRPr="005D594A">
              <w:rPr>
                <w:iCs/>
              </w:rPr>
              <w:t>:</w:t>
            </w:r>
            <w:proofErr w:type="gramEnd"/>
          </w:p>
        </w:tc>
        <w:tc>
          <w:tcPr>
            <w:tcW w:w="3543" w:type="dxa"/>
            <w:tcBorders>
              <w:top w:val="nil"/>
              <w:left w:val="nil"/>
              <w:bottom w:val="nil"/>
              <w:right w:val="nil"/>
            </w:tcBorders>
            <w:shd w:val="clear" w:color="auto" w:fill="auto"/>
          </w:tcPr>
          <w:p w14:paraId="07C3A9B4" w14:textId="5A28CD3F" w:rsidR="005E224B" w:rsidRPr="005D594A" w:rsidRDefault="007C3219" w:rsidP="005E224B">
            <w:pPr>
              <w:spacing w:before="0"/>
              <w:jc w:val="left"/>
            </w:pPr>
            <w:hyperlink r:id="rId8" w:history="1">
              <w:r w:rsidR="005E224B" w:rsidRPr="005D594A">
                <w:rPr>
                  <w:rStyle w:val="Hyperlink"/>
                </w:rPr>
                <w:t>gbs@itu.int</w:t>
              </w:r>
            </w:hyperlink>
          </w:p>
        </w:tc>
        <w:tc>
          <w:tcPr>
            <w:tcW w:w="284" w:type="dxa"/>
            <w:tcBorders>
              <w:top w:val="nil"/>
              <w:left w:val="nil"/>
              <w:bottom w:val="nil"/>
              <w:right w:val="nil"/>
            </w:tcBorders>
            <w:shd w:val="clear" w:color="auto" w:fill="auto"/>
          </w:tcPr>
          <w:p w14:paraId="7852013B" w14:textId="77777777" w:rsidR="005E224B" w:rsidRPr="005D594A" w:rsidRDefault="005E224B" w:rsidP="005E224B">
            <w:pPr>
              <w:spacing w:before="0"/>
            </w:pPr>
          </w:p>
        </w:tc>
        <w:tc>
          <w:tcPr>
            <w:tcW w:w="4536" w:type="dxa"/>
            <w:vMerge/>
            <w:tcBorders>
              <w:top w:val="nil"/>
              <w:left w:val="nil"/>
              <w:bottom w:val="nil"/>
              <w:right w:val="nil"/>
            </w:tcBorders>
            <w:shd w:val="clear" w:color="auto" w:fill="auto"/>
          </w:tcPr>
          <w:p w14:paraId="7D062007" w14:textId="77777777" w:rsidR="005E224B" w:rsidRPr="005D594A" w:rsidRDefault="005E224B" w:rsidP="005E224B">
            <w:pPr>
              <w:spacing w:before="0"/>
            </w:pPr>
          </w:p>
        </w:tc>
      </w:tr>
      <w:tr w:rsidR="003476DD" w:rsidRPr="005D594A" w14:paraId="2EF4CC10" w14:textId="77777777" w:rsidTr="007E35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tcBorders>
              <w:top w:val="nil"/>
              <w:left w:val="nil"/>
              <w:bottom w:val="nil"/>
              <w:right w:val="nil"/>
            </w:tcBorders>
            <w:shd w:val="clear" w:color="auto" w:fill="auto"/>
          </w:tcPr>
          <w:p w14:paraId="13897800" w14:textId="77777777" w:rsidR="003476DD" w:rsidRPr="005D594A" w:rsidRDefault="003476DD" w:rsidP="00072C3E">
            <w:pPr>
              <w:spacing w:before="0"/>
              <w:jc w:val="left"/>
              <w:rPr>
                <w:iCs/>
              </w:rPr>
            </w:pPr>
          </w:p>
        </w:tc>
        <w:tc>
          <w:tcPr>
            <w:tcW w:w="8363" w:type="dxa"/>
            <w:gridSpan w:val="3"/>
            <w:tcBorders>
              <w:top w:val="nil"/>
              <w:left w:val="nil"/>
              <w:bottom w:val="nil"/>
              <w:right w:val="nil"/>
            </w:tcBorders>
            <w:shd w:val="clear" w:color="auto" w:fill="auto"/>
          </w:tcPr>
          <w:p w14:paraId="1BCD52F9" w14:textId="77777777" w:rsidR="003476DD" w:rsidRPr="005D594A" w:rsidRDefault="003476DD" w:rsidP="001D7163">
            <w:pPr>
              <w:spacing w:before="0"/>
              <w:jc w:val="left"/>
              <w:rPr>
                <w:iCs/>
              </w:rPr>
            </w:pPr>
          </w:p>
        </w:tc>
      </w:tr>
      <w:tr w:rsidR="00757B2B" w:rsidRPr="005D594A" w14:paraId="1F612434" w14:textId="77777777" w:rsidTr="007E35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26" w:type="dxa"/>
            <w:tcBorders>
              <w:top w:val="nil"/>
              <w:left w:val="nil"/>
              <w:bottom w:val="nil"/>
              <w:right w:val="nil"/>
            </w:tcBorders>
            <w:shd w:val="clear" w:color="auto" w:fill="auto"/>
          </w:tcPr>
          <w:p w14:paraId="00453EBC" w14:textId="77777777" w:rsidR="00757B2B" w:rsidRPr="005D594A" w:rsidRDefault="000A249C" w:rsidP="00E05026">
            <w:pPr>
              <w:spacing w:before="360" w:line="240" w:lineRule="auto"/>
              <w:jc w:val="left"/>
              <w:rPr>
                <w:color w:val="000000"/>
              </w:rPr>
            </w:pPr>
            <w:proofErr w:type="gramStart"/>
            <w:r w:rsidRPr="005D594A">
              <w:rPr>
                <w:color w:val="000000"/>
              </w:rPr>
              <w:t>Objet:</w:t>
            </w:r>
            <w:proofErr w:type="gramEnd"/>
          </w:p>
        </w:tc>
        <w:tc>
          <w:tcPr>
            <w:tcW w:w="8363" w:type="dxa"/>
            <w:gridSpan w:val="3"/>
            <w:tcBorders>
              <w:top w:val="nil"/>
              <w:left w:val="nil"/>
              <w:bottom w:val="nil"/>
              <w:right w:val="nil"/>
            </w:tcBorders>
            <w:shd w:val="clear" w:color="auto" w:fill="auto"/>
          </w:tcPr>
          <w:p w14:paraId="7B845942" w14:textId="28A480F5" w:rsidR="00757B2B" w:rsidRPr="005D594A" w:rsidRDefault="005E224B" w:rsidP="00E05026">
            <w:pPr>
              <w:spacing w:before="360" w:line="240" w:lineRule="auto"/>
              <w:jc w:val="left"/>
              <w:rPr>
                <w:b/>
                <w:bCs/>
                <w:color w:val="000000"/>
              </w:rPr>
            </w:pPr>
            <w:bookmarkStart w:id="2" w:name="Subject"/>
            <w:bookmarkEnd w:id="2"/>
            <w:r w:rsidRPr="005D594A">
              <w:rPr>
                <w:b/>
                <w:bCs/>
              </w:rPr>
              <w:t>Consultation par correspondance sur le changement des dates de la Conférence mondiale de développement des télécommunications de 2021 (CMDT-21)</w:t>
            </w:r>
          </w:p>
        </w:tc>
      </w:tr>
    </w:tbl>
    <w:p w14:paraId="12B3E67F" w14:textId="1CFC3F8E" w:rsidR="004779E0" w:rsidRPr="005D594A" w:rsidRDefault="000A249C" w:rsidP="004779E0">
      <w:pPr>
        <w:pStyle w:val="Normalaftertitle0"/>
        <w:spacing w:before="240"/>
        <w:rPr>
          <w:lang w:val="fr-FR"/>
        </w:rPr>
      </w:pPr>
      <w:bookmarkStart w:id="3" w:name="CurrentLocation"/>
      <w:bookmarkEnd w:id="3"/>
      <w:r w:rsidRPr="005D594A">
        <w:rPr>
          <w:rFonts w:asciiTheme="minorHAnsi" w:hAnsiTheme="minorHAnsi"/>
          <w:sz w:val="22"/>
          <w:szCs w:val="22"/>
          <w:lang w:val="fr-FR"/>
        </w:rPr>
        <w:t>Madame, Monsieur,</w:t>
      </w:r>
    </w:p>
    <w:p w14:paraId="1A9E57B4" w14:textId="444739AD" w:rsidR="004779E0" w:rsidRPr="005D594A" w:rsidRDefault="008F6485" w:rsidP="00A814B7">
      <w:pPr>
        <w:jc w:val="left"/>
      </w:pPr>
      <w:r w:rsidRPr="005D594A">
        <w:t xml:space="preserve">À la suite de l'invitation </w:t>
      </w:r>
      <w:r w:rsidR="00E37E0A" w:rsidRPr="005D594A">
        <w:t>lancée par le</w:t>
      </w:r>
      <w:r w:rsidRPr="005D594A">
        <w:t xml:space="preserve"> Gouvernement de l'Éthiopie en vue d'accueillir la prochaine Conférence mondiale de développement des télécommunications (CMDT-2021) à Addis-Abeba et de l'accord donné par la majorité des États Membres </w:t>
      </w:r>
      <w:r w:rsidR="004779E0" w:rsidRPr="005D594A">
        <w:t>(</w:t>
      </w:r>
      <w:hyperlink r:id="rId9" w:history="1">
        <w:r w:rsidR="004779E0" w:rsidRPr="005D594A">
          <w:rPr>
            <w:rStyle w:val="Hyperlink"/>
          </w:rPr>
          <w:t>CL-19/45</w:t>
        </w:r>
      </w:hyperlink>
      <w:r w:rsidR="004779E0" w:rsidRPr="005D594A">
        <w:t>),</w:t>
      </w:r>
      <w:r w:rsidRPr="005D594A">
        <w:t xml:space="preserve"> il a été décidé</w:t>
      </w:r>
      <w:r w:rsidR="007E3585">
        <w:t xml:space="preserve"> que la CMDT-21 se tiendrait du </w:t>
      </w:r>
      <w:r w:rsidRPr="005D594A">
        <w:t>8 au 19</w:t>
      </w:r>
      <w:r w:rsidR="00A814B7" w:rsidRPr="005D594A">
        <w:t> </w:t>
      </w:r>
      <w:r w:rsidRPr="005D594A">
        <w:t>novembre</w:t>
      </w:r>
      <w:r w:rsidR="00A814B7" w:rsidRPr="005D594A">
        <w:t> </w:t>
      </w:r>
      <w:r w:rsidRPr="005D594A">
        <w:t xml:space="preserve">2021 et l'invitation à la Conférence </w:t>
      </w:r>
      <w:r w:rsidR="00E37E0A" w:rsidRPr="005D594A">
        <w:t>a</w:t>
      </w:r>
      <w:r w:rsidRPr="005D594A">
        <w:t xml:space="preserve"> été envoyée </w:t>
      </w:r>
      <w:r w:rsidR="004779E0" w:rsidRPr="005D594A">
        <w:t>(</w:t>
      </w:r>
      <w:hyperlink r:id="rId10" w:history="1">
        <w:r w:rsidR="004779E0" w:rsidRPr="005D594A">
          <w:rPr>
            <w:rStyle w:val="Hyperlink"/>
          </w:rPr>
          <w:t>CL-20/52</w:t>
        </w:r>
      </w:hyperlink>
      <w:r w:rsidR="004779E0" w:rsidRPr="005D594A">
        <w:t>).</w:t>
      </w:r>
    </w:p>
    <w:p w14:paraId="2F8E8E1B" w14:textId="3CC44A16" w:rsidR="008F6485" w:rsidRPr="005D594A" w:rsidRDefault="008F6485" w:rsidP="00A814B7">
      <w:pPr>
        <w:jc w:val="left"/>
      </w:pPr>
      <w:r w:rsidRPr="005D594A">
        <w:t>Les activités préparatoires menées par le pays hôte et les membres sont bien avancées. Toutefois, vu la situation sanitaire actuelle, il n'est pas possible de savoir si les restrictions de voyage seront levées d'ici au mois de novembre et si tous les États Membres seront en mesure de participer sur un pied d'égalité. Compte tenu de cette incertitude, le pays hôte a étudié différentes possibilités pour tenir la conférence selon des modalités différentes (hybrides, virtuelles, etc.) et a présenté les résultats de ces études dans une contribution soumise à la Réunion préparatoire interrégionale (IRM) qui s'est tenue le 11 mars 2021. Sur la base de ces études et des discussions à la Réunion préparatoire interrégionale, le pays hôte a adressé une lettre au Secrétaire général afin de proposer de reporter la CMDT-21 pour la tenir du 6 au 15 juin 2022.</w:t>
      </w:r>
    </w:p>
    <w:p w14:paraId="138F0BC9" w14:textId="510B43B6" w:rsidR="00B40E88" w:rsidRPr="005D594A" w:rsidRDefault="00B40E88" w:rsidP="00A814B7">
      <w:pPr>
        <w:jc w:val="left"/>
      </w:pPr>
      <w:r w:rsidRPr="005D594A">
        <w:t xml:space="preserve">Conformément au numéro 42 de la Convention, le lieu précis et les dates exactes d'une CMDT sont déterminés par le Conseil avec l'accord de la majorité des </w:t>
      </w:r>
      <w:r w:rsidR="004C1108" w:rsidRPr="005D594A">
        <w:t>États</w:t>
      </w:r>
      <w:r w:rsidRPr="005D594A">
        <w:t xml:space="preserve"> Membres. Toute modification des décisions correspondantes est également assujettie à la même procédure.</w:t>
      </w:r>
    </w:p>
    <w:p w14:paraId="511D933B" w14:textId="37F9F285" w:rsidR="00B40E88" w:rsidRPr="005D594A" w:rsidRDefault="00B40E88" w:rsidP="00A814B7">
      <w:pPr>
        <w:jc w:val="left"/>
      </w:pPr>
      <w:r w:rsidRPr="005D594A">
        <w:t xml:space="preserve">En conséquence, et conformément au paragraphe 2 de l'Article 3 du Règlement intérieur du Conseil sur les consultations et décisions entre les sessions et au numéro 42 de la Convention, j'invite par la présente les États Membres du Conseil à répondre à la consultation au moyen </w:t>
      </w:r>
      <w:r w:rsidR="00A84FA8">
        <w:t>de l’</w:t>
      </w:r>
      <w:r w:rsidRPr="005D594A">
        <w:t>outil en ligne*, ou du modèle reproduit dans l'</w:t>
      </w:r>
      <w:hyperlink w:anchor="annex1" w:history="1">
        <w:r w:rsidRPr="005D594A">
          <w:rPr>
            <w:rStyle w:val="Hyperlink"/>
          </w:rPr>
          <w:t>Annexe 1</w:t>
        </w:r>
      </w:hyperlink>
      <w:r w:rsidRPr="005D594A">
        <w:t xml:space="preserve"> en envoyant </w:t>
      </w:r>
      <w:r w:rsidRPr="005D594A">
        <w:rPr>
          <w:b/>
          <w:bCs/>
        </w:rPr>
        <w:t>au plus tard le</w:t>
      </w:r>
      <w:r w:rsidRPr="005D594A">
        <w:t xml:space="preserve"> </w:t>
      </w:r>
      <w:r w:rsidRPr="005D594A">
        <w:rPr>
          <w:b/>
          <w:bCs/>
        </w:rPr>
        <w:t>7 mai 2021</w:t>
      </w:r>
      <w:r w:rsidRPr="005D594A">
        <w:t xml:space="preserve"> un courrier électronique à l'adresse </w:t>
      </w:r>
      <w:hyperlink r:id="rId11" w:history="1">
        <w:r w:rsidRPr="005D594A">
          <w:rPr>
            <w:rStyle w:val="Hyperlink"/>
          </w:rPr>
          <w:t>memberstates@itu.int</w:t>
        </w:r>
      </w:hyperlink>
      <w:r w:rsidRPr="005D594A">
        <w:t xml:space="preserve">. </w:t>
      </w:r>
      <w:r w:rsidR="00A715FD" w:rsidRPr="005D594A">
        <w:t xml:space="preserve">L'accord </w:t>
      </w:r>
      <w:r w:rsidR="00740492" w:rsidRPr="005D594A">
        <w:t>du</w:t>
      </w:r>
      <w:r w:rsidR="00A715FD" w:rsidRPr="005D594A">
        <w:t xml:space="preserve"> Conseil</w:t>
      </w:r>
      <w:r w:rsidR="00A715FD" w:rsidRPr="005D594A">
        <w:rPr>
          <w:color w:val="000000"/>
        </w:rPr>
        <w:t xml:space="preserve"> en la matière sera ensuite soumis à l'accord de la majorité des États Membres de l'UIT (conformément au numéro 47 de la Convention de l'UIT).</w:t>
      </w:r>
      <w:r w:rsidR="00A715FD" w:rsidRPr="005D594A">
        <w:t xml:space="preserve"> </w:t>
      </w:r>
      <w:r w:rsidRPr="005D594A">
        <w:t>Le secrétariat reste à votre disposition en cas de besoin.</w:t>
      </w:r>
    </w:p>
    <w:p w14:paraId="3F71D8A3" w14:textId="77777777" w:rsidR="00A814B7" w:rsidRPr="005D594A" w:rsidRDefault="00A814B7" w:rsidP="00A814B7">
      <w:pPr>
        <w:jc w:val="left"/>
      </w:pPr>
      <w:r w:rsidRPr="005D594A">
        <w:br w:type="page"/>
      </w:r>
    </w:p>
    <w:p w14:paraId="76A624B5" w14:textId="42C5F5C2" w:rsidR="00B40E88" w:rsidRPr="005D594A" w:rsidRDefault="00B40E88" w:rsidP="00A814B7">
      <w:pPr>
        <w:jc w:val="left"/>
      </w:pPr>
      <w:r w:rsidRPr="005D594A">
        <w:lastRenderedPageBreak/>
        <w:t>J'attends avec intérêt votre réponse.</w:t>
      </w:r>
    </w:p>
    <w:p w14:paraId="5EDB31A2" w14:textId="77777777" w:rsidR="00B40E88" w:rsidRPr="005D594A" w:rsidRDefault="00B40E88" w:rsidP="00A814B7">
      <w:pPr>
        <w:jc w:val="left"/>
      </w:pPr>
      <w:r w:rsidRPr="005D594A">
        <w:t>Veuillez agréer, Madame, Monsieur, l'assurance de ma considération distinguée.</w:t>
      </w:r>
    </w:p>
    <w:p w14:paraId="4AC8975B" w14:textId="79F99E9A" w:rsidR="00B40E88" w:rsidRPr="005D594A" w:rsidRDefault="00B40E88" w:rsidP="00A814B7">
      <w:pPr>
        <w:spacing w:before="480" w:after="480"/>
        <w:jc w:val="left"/>
        <w:rPr>
          <w:i/>
          <w:iCs/>
        </w:rPr>
      </w:pPr>
      <w:r w:rsidRPr="005D594A">
        <w:rPr>
          <w:i/>
          <w:iCs/>
        </w:rPr>
        <w:t>(</w:t>
      </w:r>
      <w:proofErr w:type="gramStart"/>
      <w:r w:rsidRPr="005D594A">
        <w:rPr>
          <w:i/>
          <w:iCs/>
        </w:rPr>
        <w:t>signé</w:t>
      </w:r>
      <w:proofErr w:type="gramEnd"/>
      <w:r w:rsidRPr="005D594A">
        <w:rPr>
          <w:i/>
          <w:iCs/>
        </w:rPr>
        <w:t>)</w:t>
      </w:r>
    </w:p>
    <w:p w14:paraId="62ED11B8" w14:textId="6F871C09" w:rsidR="004779E0" w:rsidRPr="005D594A" w:rsidRDefault="00740492" w:rsidP="00A814B7">
      <w:pPr>
        <w:spacing w:before="480"/>
        <w:jc w:val="left"/>
      </w:pPr>
      <w:r w:rsidRPr="005D594A">
        <w:t xml:space="preserve">M. </w:t>
      </w:r>
      <w:proofErr w:type="spellStart"/>
      <w:r w:rsidR="004779E0" w:rsidRPr="005D594A">
        <w:t>Elsayed</w:t>
      </w:r>
      <w:proofErr w:type="spellEnd"/>
      <w:r w:rsidR="004779E0" w:rsidRPr="005D594A">
        <w:t xml:space="preserve"> </w:t>
      </w:r>
      <w:proofErr w:type="spellStart"/>
      <w:r w:rsidR="004779E0" w:rsidRPr="005D594A">
        <w:t>Azzouz</w:t>
      </w:r>
      <w:proofErr w:type="spellEnd"/>
      <w:r w:rsidR="004779E0" w:rsidRPr="005D594A">
        <w:br/>
      </w:r>
      <w:r w:rsidR="00A715FD" w:rsidRPr="005D594A">
        <w:t>Président du Conseil</w:t>
      </w:r>
    </w:p>
    <w:p w14:paraId="3BCD9A5C" w14:textId="0A347650" w:rsidR="004779E0" w:rsidRPr="005D594A" w:rsidRDefault="004779E0" w:rsidP="00A814B7">
      <w:pPr>
        <w:tabs>
          <w:tab w:val="left" w:pos="284"/>
        </w:tabs>
        <w:spacing w:before="1200"/>
        <w:jc w:val="left"/>
      </w:pPr>
      <w:r w:rsidRPr="005D594A">
        <w:rPr>
          <w:b/>
          <w:bCs/>
          <w:i/>
          <w:iCs/>
        </w:rPr>
        <w:t>*</w:t>
      </w:r>
      <w:r w:rsidR="00A814B7" w:rsidRPr="005D594A">
        <w:rPr>
          <w:b/>
          <w:bCs/>
          <w:i/>
          <w:iCs/>
        </w:rPr>
        <w:tab/>
      </w:r>
      <w:r w:rsidR="00A715FD" w:rsidRPr="005D594A">
        <w:rPr>
          <w:b/>
          <w:bCs/>
          <w:i/>
          <w:iCs/>
        </w:rPr>
        <w:t xml:space="preserve">Outil en </w:t>
      </w:r>
      <w:proofErr w:type="gramStart"/>
      <w:r w:rsidR="00A715FD" w:rsidRPr="005D594A">
        <w:rPr>
          <w:b/>
          <w:bCs/>
          <w:i/>
          <w:iCs/>
        </w:rPr>
        <w:t>ligne</w:t>
      </w:r>
      <w:r w:rsidRPr="005D594A">
        <w:rPr>
          <w:b/>
          <w:bCs/>
          <w:i/>
          <w:iCs/>
        </w:rPr>
        <w:t>:</w:t>
      </w:r>
      <w:proofErr w:type="gramEnd"/>
      <w:r w:rsidRPr="005D594A">
        <w:rPr>
          <w:b/>
          <w:bCs/>
          <w:i/>
          <w:iCs/>
        </w:rPr>
        <w:t xml:space="preserve"> </w:t>
      </w:r>
      <w:r w:rsidR="00A715FD" w:rsidRPr="005D594A">
        <w:t xml:space="preserve">Chaque État Membre du Conseil souhaitant utiliser l'outil en ligne est invité à indiquer, en écrivant à l'adresse </w:t>
      </w:r>
      <w:hyperlink r:id="rId12" w:history="1">
        <w:r w:rsidR="00A715FD" w:rsidRPr="005D594A">
          <w:rPr>
            <w:rStyle w:val="Hyperlink"/>
          </w:rPr>
          <w:t>memberstates@itu.int</w:t>
        </w:r>
      </w:hyperlink>
      <w:r w:rsidR="00A715FD" w:rsidRPr="005D594A">
        <w:t xml:space="preserve">, le </w:t>
      </w:r>
      <w:r w:rsidR="00A715FD" w:rsidRPr="005D594A">
        <w:rPr>
          <w:b/>
          <w:bCs/>
        </w:rPr>
        <w:t>nom et l'adresse électronique d'un(e) (1)</w:t>
      </w:r>
      <w:r w:rsidR="00A814B7" w:rsidRPr="005D594A">
        <w:rPr>
          <w:b/>
          <w:bCs/>
        </w:rPr>
        <w:t> </w:t>
      </w:r>
      <w:r w:rsidR="00A715FD" w:rsidRPr="005D594A">
        <w:rPr>
          <w:b/>
          <w:bCs/>
        </w:rPr>
        <w:t>coordonnateur/</w:t>
      </w:r>
      <w:proofErr w:type="spellStart"/>
      <w:r w:rsidR="00A715FD" w:rsidRPr="005D594A">
        <w:rPr>
          <w:b/>
          <w:bCs/>
        </w:rPr>
        <w:t>trice</w:t>
      </w:r>
      <w:proofErr w:type="spellEnd"/>
      <w:r w:rsidR="00A715FD" w:rsidRPr="005D594A">
        <w:t xml:space="preserve"> qui sera habilité(e) à répondre. L'UIT enverra au coordonnateur/à la coordonnatrice désigné(e) un courrier électronique contenant un identifiant unique et un mot de passe qui lui permettront de procéder à la consultation. Veuillez noter que l'</w:t>
      </w:r>
      <w:hyperlink r:id="rId13" w:history="1">
        <w:r w:rsidR="00A715FD" w:rsidRPr="005D594A">
          <w:rPr>
            <w:rStyle w:val="Hyperlink"/>
          </w:rPr>
          <w:t>outil en ligne</w:t>
        </w:r>
      </w:hyperlink>
      <w:r w:rsidR="00A715FD" w:rsidRPr="005D594A">
        <w:t xml:space="preserve"> est</w:t>
      </w:r>
      <w:r w:rsidR="00A715FD" w:rsidRPr="005D594A">
        <w:rPr>
          <w:color w:val="000000"/>
        </w:rPr>
        <w:t xml:space="preserve"> disponible uniquement en anglais.</w:t>
      </w:r>
    </w:p>
    <w:p w14:paraId="59A77F15" w14:textId="77777777" w:rsidR="004779E0" w:rsidRPr="005D594A" w:rsidRDefault="004779E0" w:rsidP="00A814B7">
      <w:pPr>
        <w:spacing w:before="1440"/>
        <w:jc w:val="left"/>
        <w:rPr>
          <w:b/>
          <w:bCs/>
          <w:i/>
          <w:iCs/>
        </w:rPr>
      </w:pPr>
      <w:proofErr w:type="gramStart"/>
      <w:r w:rsidRPr="005D594A">
        <w:rPr>
          <w:b/>
          <w:bCs/>
          <w:i/>
          <w:iCs/>
        </w:rPr>
        <w:t>Annexes:</w:t>
      </w:r>
      <w:proofErr w:type="gramEnd"/>
      <w:r w:rsidRPr="005D594A">
        <w:rPr>
          <w:b/>
          <w:bCs/>
          <w:i/>
          <w:iCs/>
        </w:rPr>
        <w:t xml:space="preserve"> 2</w:t>
      </w:r>
    </w:p>
    <w:p w14:paraId="1E2DC5D8" w14:textId="070FD20B" w:rsidR="004779E0" w:rsidRPr="005D594A" w:rsidRDefault="007C3219" w:rsidP="00987E4A">
      <w:pPr>
        <w:tabs>
          <w:tab w:val="clear" w:pos="794"/>
          <w:tab w:val="clear" w:pos="1191"/>
          <w:tab w:val="clear" w:pos="1588"/>
          <w:tab w:val="clear" w:pos="1985"/>
          <w:tab w:val="left" w:pos="993"/>
        </w:tabs>
        <w:overflowPunct/>
        <w:autoSpaceDE/>
        <w:autoSpaceDN/>
        <w:adjustRightInd/>
        <w:spacing w:before="240" w:line="240" w:lineRule="auto"/>
        <w:ind w:left="1134" w:right="-567" w:hanging="1134"/>
        <w:jc w:val="left"/>
        <w:textAlignment w:val="auto"/>
      </w:pPr>
      <w:hyperlink w:anchor="annex1" w:history="1">
        <w:r w:rsidR="004779E0" w:rsidRPr="005D594A">
          <w:rPr>
            <w:rStyle w:val="Hyperlink"/>
          </w:rPr>
          <w:t>Annex</w:t>
        </w:r>
        <w:r w:rsidR="00A715FD" w:rsidRPr="005D594A">
          <w:rPr>
            <w:rStyle w:val="Hyperlink"/>
          </w:rPr>
          <w:t>e</w:t>
        </w:r>
        <w:r w:rsidR="004779E0" w:rsidRPr="005D594A">
          <w:rPr>
            <w:rStyle w:val="Hyperlink"/>
          </w:rPr>
          <w:t xml:space="preserve"> 1</w:t>
        </w:r>
      </w:hyperlink>
      <w:r w:rsidR="004779E0" w:rsidRPr="005D594A">
        <w:t xml:space="preserve"> – </w:t>
      </w:r>
      <w:r w:rsidR="004779E0" w:rsidRPr="005D594A">
        <w:tab/>
        <w:t xml:space="preserve">Consultation </w:t>
      </w:r>
      <w:r w:rsidR="00A715FD" w:rsidRPr="005D594A">
        <w:t>sur le changement des dates de la Conférence mondiale de développement des télécommunications de</w:t>
      </w:r>
      <w:r w:rsidR="004779E0" w:rsidRPr="005D594A">
        <w:t xml:space="preserve"> 2021 (</w:t>
      </w:r>
      <w:r w:rsidR="00A715FD" w:rsidRPr="005D594A">
        <w:t>CMDT</w:t>
      </w:r>
      <w:r w:rsidR="004779E0" w:rsidRPr="005D594A">
        <w:t>-21)</w:t>
      </w:r>
    </w:p>
    <w:p w14:paraId="5D0BC1E3" w14:textId="41773043" w:rsidR="004779E0" w:rsidRPr="005D594A" w:rsidRDefault="007C3219" w:rsidP="00987E4A">
      <w:pPr>
        <w:tabs>
          <w:tab w:val="clear" w:pos="794"/>
          <w:tab w:val="clear" w:pos="1191"/>
          <w:tab w:val="clear" w:pos="1588"/>
          <w:tab w:val="clear" w:pos="1985"/>
          <w:tab w:val="left" w:pos="993"/>
        </w:tabs>
        <w:overflowPunct/>
        <w:autoSpaceDE/>
        <w:autoSpaceDN/>
        <w:adjustRightInd/>
        <w:spacing w:before="120" w:line="240" w:lineRule="auto"/>
        <w:ind w:left="1134" w:right="-567" w:hanging="1134"/>
        <w:jc w:val="left"/>
        <w:textAlignment w:val="auto"/>
      </w:pPr>
      <w:hyperlink w:anchor="Annexe2" w:history="1">
        <w:r w:rsidR="004779E0" w:rsidRPr="005D594A">
          <w:rPr>
            <w:rStyle w:val="Hyperlink"/>
          </w:rPr>
          <w:t>Annex</w:t>
        </w:r>
        <w:r w:rsidR="00A715FD" w:rsidRPr="005D594A">
          <w:rPr>
            <w:rStyle w:val="Hyperlink"/>
          </w:rPr>
          <w:t>e</w:t>
        </w:r>
        <w:r w:rsidR="004779E0" w:rsidRPr="005D594A">
          <w:rPr>
            <w:rStyle w:val="Hyperlink"/>
          </w:rPr>
          <w:t xml:space="preserve"> 2</w:t>
        </w:r>
      </w:hyperlink>
      <w:r w:rsidR="004779E0" w:rsidRPr="005D594A">
        <w:t xml:space="preserve"> – </w:t>
      </w:r>
      <w:r w:rsidR="004779E0" w:rsidRPr="005D594A">
        <w:tab/>
      </w:r>
      <w:r w:rsidR="00A715FD" w:rsidRPr="005D594A">
        <w:t>Lettre du Gouvernement de l'Éthiopie</w:t>
      </w:r>
    </w:p>
    <w:p w14:paraId="2F6AFBBA" w14:textId="5EECE4D0" w:rsidR="00A814B7" w:rsidRPr="005D594A" w:rsidRDefault="00A814B7" w:rsidP="00A814B7">
      <w:pPr>
        <w:pStyle w:val="AnnexNo"/>
        <w:jc w:val="left"/>
        <w:rPr>
          <w:b/>
          <w:bCs/>
          <w:sz w:val="24"/>
          <w:szCs w:val="24"/>
          <w:lang w:val="fr-FR"/>
        </w:rPr>
      </w:pPr>
      <w:r w:rsidRPr="005D594A">
        <w:rPr>
          <w:b/>
          <w:bCs/>
          <w:sz w:val="24"/>
          <w:szCs w:val="24"/>
          <w:lang w:val="fr-FR"/>
        </w:rPr>
        <w:br w:type="page"/>
      </w:r>
    </w:p>
    <w:p w14:paraId="3647DE12" w14:textId="75429426" w:rsidR="004779E0" w:rsidRPr="005D594A" w:rsidRDefault="004779E0" w:rsidP="00A814B7">
      <w:pPr>
        <w:pStyle w:val="AnnexNo"/>
        <w:rPr>
          <w:lang w:val="fr-FR"/>
        </w:rPr>
      </w:pPr>
      <w:bookmarkStart w:id="4" w:name="annex1"/>
      <w:bookmarkEnd w:id="4"/>
      <w:r w:rsidRPr="005D594A">
        <w:rPr>
          <w:lang w:val="fr-FR"/>
        </w:rPr>
        <w:lastRenderedPageBreak/>
        <w:t>ANNEX</w:t>
      </w:r>
      <w:r w:rsidR="00C141B1" w:rsidRPr="005D594A">
        <w:rPr>
          <w:lang w:val="fr-FR"/>
        </w:rPr>
        <w:t>E</w:t>
      </w:r>
      <w:r w:rsidRPr="005D594A">
        <w:rPr>
          <w:lang w:val="fr-FR"/>
        </w:rPr>
        <w:t xml:space="preserve"> 1</w:t>
      </w:r>
    </w:p>
    <w:p w14:paraId="7E1F27A9" w14:textId="4669AC9E" w:rsidR="004779E0" w:rsidRPr="005D594A" w:rsidRDefault="00C141B1" w:rsidP="002C1346">
      <w:pPr>
        <w:pStyle w:val="AnnexTitle"/>
        <w:spacing w:before="360"/>
        <w:rPr>
          <w:sz w:val="28"/>
          <w:szCs w:val="28"/>
        </w:rPr>
      </w:pPr>
      <w:r w:rsidRPr="005D594A">
        <w:rPr>
          <w:sz w:val="28"/>
          <w:szCs w:val="28"/>
        </w:rPr>
        <w:t>Consultation sur le changement des dates de la CMDT</w:t>
      </w:r>
      <w:r w:rsidR="004779E0" w:rsidRPr="005D594A">
        <w:rPr>
          <w:sz w:val="28"/>
          <w:szCs w:val="28"/>
        </w:rPr>
        <w:t>-21</w:t>
      </w:r>
    </w:p>
    <w:p w14:paraId="0C417768" w14:textId="248AD232" w:rsidR="004779E0" w:rsidRPr="005D594A" w:rsidRDefault="00C141B1" w:rsidP="002C1346">
      <w:pPr>
        <w:tabs>
          <w:tab w:val="clear" w:pos="794"/>
          <w:tab w:val="clear" w:pos="1191"/>
          <w:tab w:val="clear" w:pos="1588"/>
          <w:tab w:val="clear" w:pos="1985"/>
          <w:tab w:val="right" w:leader="dot" w:pos="9072"/>
        </w:tabs>
        <w:spacing w:before="960" w:after="120" w:line="240" w:lineRule="auto"/>
        <w:jc w:val="left"/>
        <w:rPr>
          <w:b/>
          <w:bCs/>
          <w:color w:val="000000" w:themeColor="text1"/>
          <w:sz w:val="26"/>
          <w:szCs w:val="26"/>
        </w:rPr>
      </w:pPr>
      <w:r w:rsidRPr="005D594A">
        <w:rPr>
          <w:b/>
          <w:bCs/>
          <w:color w:val="000000" w:themeColor="text1"/>
          <w:sz w:val="26"/>
          <w:szCs w:val="26"/>
        </w:rPr>
        <w:t xml:space="preserve">Nom de l'État Membre du </w:t>
      </w:r>
      <w:proofErr w:type="gramStart"/>
      <w:r w:rsidRPr="005D594A">
        <w:rPr>
          <w:b/>
          <w:bCs/>
          <w:color w:val="000000" w:themeColor="text1"/>
          <w:sz w:val="26"/>
          <w:szCs w:val="26"/>
        </w:rPr>
        <w:t>Conseil</w:t>
      </w:r>
      <w:r w:rsidR="004779E0" w:rsidRPr="005D594A">
        <w:rPr>
          <w:b/>
          <w:bCs/>
          <w:color w:val="000000" w:themeColor="text1"/>
          <w:sz w:val="26"/>
          <w:szCs w:val="26"/>
        </w:rPr>
        <w:t>:</w:t>
      </w:r>
      <w:proofErr w:type="gramEnd"/>
      <w:r w:rsidR="004779E0" w:rsidRPr="005D594A">
        <w:rPr>
          <w:b/>
          <w:bCs/>
          <w:color w:val="000000" w:themeColor="text1"/>
          <w:sz w:val="26"/>
          <w:szCs w:val="26"/>
        </w:rPr>
        <w:t xml:space="preserve"> </w:t>
      </w:r>
    </w:p>
    <w:tbl>
      <w:tblPr>
        <w:tblStyle w:val="TableGrid"/>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36"/>
      </w:tblGrid>
      <w:tr w:rsidR="004779E0" w:rsidRPr="005D594A" w14:paraId="667A125E" w14:textId="77777777" w:rsidTr="002C1346">
        <w:trPr>
          <w:trHeight w:val="651"/>
        </w:trPr>
        <w:tc>
          <w:tcPr>
            <w:tcW w:w="9636" w:type="dxa"/>
            <w:vAlign w:val="center"/>
          </w:tcPr>
          <w:p w14:paraId="468E91BE" w14:textId="77777777" w:rsidR="004779E0" w:rsidRPr="005D594A" w:rsidRDefault="004779E0" w:rsidP="002C1346">
            <w:pPr>
              <w:spacing w:before="0" w:line="240" w:lineRule="auto"/>
              <w:rPr>
                <w:b/>
                <w:bCs/>
                <w:color w:val="000000" w:themeColor="text1"/>
                <w:sz w:val="24"/>
                <w:szCs w:val="24"/>
              </w:rPr>
            </w:pPr>
          </w:p>
        </w:tc>
      </w:tr>
    </w:tbl>
    <w:p w14:paraId="7A57C562" w14:textId="10AC314C" w:rsidR="004779E0" w:rsidRPr="005D594A" w:rsidRDefault="00C141B1" w:rsidP="002C1346">
      <w:pPr>
        <w:spacing w:before="480"/>
      </w:pPr>
      <w:r w:rsidRPr="005D594A">
        <w:t xml:space="preserve">Nous approuvons le changement des dates de la CMDT-21 pour tenir la Conférence du 6 au 15 juin </w:t>
      </w:r>
      <w:proofErr w:type="gramStart"/>
      <w:r w:rsidRPr="005D594A">
        <w:t>2022</w:t>
      </w:r>
      <w:r w:rsidR="004779E0" w:rsidRPr="005D594A">
        <w:t>:</w:t>
      </w:r>
      <w:proofErr w:type="gramEnd"/>
    </w:p>
    <w:p w14:paraId="143C4501" w14:textId="0CC5A4C5" w:rsidR="004779E0" w:rsidRPr="005D594A" w:rsidRDefault="00C141B1" w:rsidP="00A814B7">
      <w:pPr>
        <w:tabs>
          <w:tab w:val="clear" w:pos="794"/>
          <w:tab w:val="clear" w:pos="1191"/>
          <w:tab w:val="clear" w:pos="1588"/>
          <w:tab w:val="left" w:pos="4111"/>
          <w:tab w:val="left" w:pos="6237"/>
          <w:tab w:val="left" w:pos="8364"/>
        </w:tabs>
        <w:spacing w:before="480" w:after="120" w:line="240" w:lineRule="auto"/>
        <w:ind w:left="142"/>
        <w:jc w:val="left"/>
        <w:rPr>
          <w:rFonts w:ascii="Calibri Light" w:hAnsi="Calibri Light" w:cs="Calibri Light"/>
          <w:color w:val="000000" w:themeColor="text1"/>
          <w:sz w:val="24"/>
          <w:szCs w:val="24"/>
        </w:rPr>
      </w:pPr>
      <w:r w:rsidRPr="005D594A">
        <w:t>Oui</w:t>
      </w:r>
      <w:r w:rsidR="004779E0" w:rsidRPr="005D594A">
        <w:rPr>
          <w:rFonts w:ascii="Calibri Light" w:hAnsi="Calibri Light" w:cs="Calibri Light"/>
          <w:color w:val="000000" w:themeColor="text1"/>
          <w:sz w:val="24"/>
          <w:szCs w:val="24"/>
        </w:rPr>
        <w:t xml:space="preserve"> </w:t>
      </w:r>
      <w:r w:rsidR="004779E0" w:rsidRPr="005D594A">
        <w:rPr>
          <w:rFonts w:ascii="Wingdings 2" w:hAnsi="Wingdings 2" w:cs="Calibri Light"/>
          <w:position w:val="-4"/>
          <w:sz w:val="28"/>
          <w:szCs w:val="28"/>
          <w:lang w:eastAsia="zh-CN"/>
        </w:rPr>
        <w:t></w:t>
      </w:r>
      <w:r w:rsidR="004779E0" w:rsidRPr="005D594A">
        <w:rPr>
          <w:rFonts w:ascii="Calibri Light" w:hAnsi="Calibri Light" w:cs="Calibri Light"/>
          <w:sz w:val="24"/>
          <w:szCs w:val="24"/>
          <w:lang w:eastAsia="zh-CN"/>
        </w:rPr>
        <w:tab/>
      </w:r>
      <w:r w:rsidR="004779E0" w:rsidRPr="005D594A">
        <w:t>No</w:t>
      </w:r>
      <w:r w:rsidRPr="005D594A">
        <w:t>n</w:t>
      </w:r>
      <w:r w:rsidR="004779E0" w:rsidRPr="005D594A">
        <w:t xml:space="preserve"> </w:t>
      </w:r>
      <w:r w:rsidR="004779E0" w:rsidRPr="005D594A">
        <w:rPr>
          <w:rFonts w:ascii="Wingdings 2" w:hAnsi="Wingdings 2" w:cs="Calibri Light"/>
          <w:position w:val="-4"/>
          <w:sz w:val="28"/>
          <w:szCs w:val="28"/>
          <w:lang w:eastAsia="zh-CN"/>
        </w:rPr>
        <w:t></w:t>
      </w:r>
      <w:r w:rsidR="004779E0" w:rsidRPr="005D594A">
        <w:rPr>
          <w:rFonts w:ascii="Wingdings 2" w:hAnsi="Wingdings 2" w:cs="Calibri Light"/>
          <w:position w:val="-4"/>
          <w:sz w:val="28"/>
          <w:szCs w:val="28"/>
          <w:lang w:eastAsia="zh-CN"/>
        </w:rPr>
        <w:t></w:t>
      </w:r>
      <w:r w:rsidR="004779E0" w:rsidRPr="005D594A">
        <w:rPr>
          <w:rFonts w:ascii="Wingdings 2" w:hAnsi="Wingdings 2" w:cs="Calibri Light"/>
          <w:position w:val="-4"/>
          <w:sz w:val="28"/>
          <w:szCs w:val="28"/>
          <w:lang w:eastAsia="zh-CN"/>
        </w:rPr>
        <w:tab/>
      </w:r>
      <w:r w:rsidR="004779E0" w:rsidRPr="005D594A">
        <w:t>Abstention</w:t>
      </w:r>
      <w:r w:rsidR="004779E0" w:rsidRPr="005D594A">
        <w:rPr>
          <w:rFonts w:ascii="Calibri Light" w:hAnsi="Calibri Light" w:cs="Calibri Light"/>
          <w:color w:val="000000" w:themeColor="text1"/>
          <w:sz w:val="24"/>
          <w:szCs w:val="24"/>
        </w:rPr>
        <w:t xml:space="preserve"> </w:t>
      </w:r>
      <w:r w:rsidR="004779E0" w:rsidRPr="005D594A">
        <w:rPr>
          <w:rFonts w:ascii="Wingdings 2" w:hAnsi="Wingdings 2" w:cs="Calibri Light"/>
          <w:position w:val="-4"/>
          <w:sz w:val="28"/>
          <w:szCs w:val="28"/>
          <w:lang w:eastAsia="zh-CN"/>
        </w:rPr>
        <w:t></w:t>
      </w:r>
    </w:p>
    <w:p w14:paraId="34178E5D" w14:textId="27D95826" w:rsidR="004779E0" w:rsidRDefault="00C141B1" w:rsidP="002C1346">
      <w:pPr>
        <w:spacing w:before="480"/>
      </w:pPr>
      <w:r w:rsidRPr="005D594A">
        <w:t xml:space="preserve">Les Conseillers sont invités à envoyer leur réponse au moyen </w:t>
      </w:r>
      <w:r w:rsidR="00740492" w:rsidRPr="005D594A">
        <w:t>de</w:t>
      </w:r>
      <w:r w:rsidR="002C1346" w:rsidRPr="005D594A">
        <w:t xml:space="preserve"> </w:t>
      </w:r>
      <w:r w:rsidR="00740492" w:rsidRPr="005D594A">
        <w:t>l'</w:t>
      </w:r>
      <w:hyperlink r:id="rId14" w:history="1">
        <w:r w:rsidRPr="005D594A">
          <w:rPr>
            <w:rStyle w:val="Hyperlink"/>
            <w:b/>
            <w:bCs/>
          </w:rPr>
          <w:t>outil en ligne</w:t>
        </w:r>
      </w:hyperlink>
      <w:r w:rsidRPr="005D594A">
        <w:t xml:space="preserve">, ou par courrier électronique à l'adresse </w:t>
      </w:r>
      <w:hyperlink r:id="rId15" w:history="1">
        <w:r w:rsidRPr="005D594A">
          <w:rPr>
            <w:rStyle w:val="Hyperlink"/>
            <w:rFonts w:asciiTheme="minorHAnsi" w:hAnsiTheme="minorHAnsi" w:cstheme="minorHAnsi"/>
            <w:spacing w:val="-2"/>
          </w:rPr>
          <w:t>memberstates@itu.int</w:t>
        </w:r>
      </w:hyperlink>
      <w:r w:rsidRPr="005D594A">
        <w:t xml:space="preserve"> </w:t>
      </w:r>
      <w:r w:rsidRPr="005D594A">
        <w:rPr>
          <w:b/>
          <w:bCs/>
        </w:rPr>
        <w:t>au plus tard le 7 mai 2021</w:t>
      </w:r>
      <w:r w:rsidRPr="005D594A">
        <w:t>.</w:t>
      </w:r>
    </w:p>
    <w:p w14:paraId="5817679F" w14:textId="77777777" w:rsidR="007E3585" w:rsidRPr="005D594A" w:rsidRDefault="007E3585" w:rsidP="002C1346">
      <w:pPr>
        <w:spacing w:before="480"/>
        <w:rPr>
          <w:b/>
          <w:bCs/>
        </w:rPr>
      </w:pPr>
    </w:p>
    <w:p w14:paraId="11EB5F37" w14:textId="3A29A1A1" w:rsidR="00A814B7" w:rsidRPr="005D594A" w:rsidRDefault="00A814B7" w:rsidP="00A814B7">
      <w:pPr>
        <w:spacing w:before="360"/>
        <w:jc w:val="left"/>
        <w:rPr>
          <w:rFonts w:asciiTheme="minorHAnsi" w:hAnsiTheme="minorHAnsi" w:cstheme="minorHAnsi"/>
          <w:b/>
          <w:bCs/>
        </w:rPr>
      </w:pPr>
      <w:r w:rsidRPr="005D594A">
        <w:rPr>
          <w:rFonts w:asciiTheme="minorHAnsi" w:hAnsiTheme="minorHAnsi" w:cstheme="minorHAnsi"/>
          <w:b/>
          <w:bCs/>
        </w:rPr>
        <w:br w:type="page"/>
      </w:r>
    </w:p>
    <w:p w14:paraId="0795B0CA" w14:textId="07654E2E" w:rsidR="00EA15B3" w:rsidRPr="005D594A" w:rsidRDefault="00987E4A" w:rsidP="00987E4A">
      <w:pPr>
        <w:pStyle w:val="AnnexNo"/>
        <w:rPr>
          <w:lang w:val="fr-FR"/>
        </w:rPr>
      </w:pPr>
      <w:r w:rsidRPr="005D594A">
        <w:rPr>
          <w:lang w:val="fr-FR"/>
        </w:rPr>
        <w:lastRenderedPageBreak/>
        <w:t>ANNEXE 2</w:t>
      </w:r>
      <w:bookmarkStart w:id="5" w:name="Annexe2"/>
      <w:bookmarkEnd w:id="5"/>
    </w:p>
    <w:p w14:paraId="2DED9E9E" w14:textId="77777777" w:rsidR="00987E4A" w:rsidRPr="00987E4A" w:rsidRDefault="00987E4A" w:rsidP="00987E4A">
      <w:pPr>
        <w:tabs>
          <w:tab w:val="clear" w:pos="794"/>
          <w:tab w:val="clear" w:pos="1191"/>
          <w:tab w:val="clear" w:pos="1588"/>
          <w:tab w:val="clear" w:pos="1985"/>
          <w:tab w:val="left" w:pos="567"/>
          <w:tab w:val="left" w:pos="1134"/>
          <w:tab w:val="left" w:pos="1701"/>
          <w:tab w:val="left" w:pos="2268"/>
          <w:tab w:val="left" w:pos="2835"/>
        </w:tabs>
        <w:spacing w:before="360" w:line="240" w:lineRule="auto"/>
        <w:jc w:val="center"/>
        <w:rPr>
          <w:rFonts w:cs="Times New Roman"/>
          <w:b/>
          <w:bCs/>
          <w:sz w:val="28"/>
          <w:szCs w:val="28"/>
        </w:rPr>
      </w:pPr>
      <w:r w:rsidRPr="00987E4A">
        <w:rPr>
          <w:rFonts w:cs="Times New Roman"/>
          <w:b/>
          <w:bCs/>
          <w:sz w:val="28"/>
          <w:szCs w:val="28"/>
        </w:rPr>
        <w:t>République fédérale démocratique d'Éthiopie</w:t>
      </w:r>
      <w:r w:rsidRPr="00987E4A">
        <w:rPr>
          <w:rFonts w:cs="Times New Roman"/>
          <w:b/>
          <w:bCs/>
          <w:sz w:val="28"/>
          <w:szCs w:val="28"/>
        </w:rPr>
        <w:br/>
      </w:r>
      <w:proofErr w:type="gramStart"/>
      <w:r w:rsidRPr="00987E4A">
        <w:rPr>
          <w:rFonts w:cs="Times New Roman"/>
          <w:b/>
          <w:bCs/>
          <w:sz w:val="28"/>
          <w:szCs w:val="28"/>
        </w:rPr>
        <w:t>Ministère de l'innovation</w:t>
      </w:r>
      <w:proofErr w:type="gramEnd"/>
      <w:r w:rsidRPr="00987E4A">
        <w:rPr>
          <w:rFonts w:cs="Times New Roman"/>
          <w:b/>
          <w:bCs/>
          <w:sz w:val="28"/>
          <w:szCs w:val="28"/>
        </w:rPr>
        <w:t xml:space="preserve"> et de la technologie</w:t>
      </w:r>
    </w:p>
    <w:p w14:paraId="0FEAD26B" w14:textId="77777777" w:rsidR="00987E4A" w:rsidRPr="00987E4A" w:rsidRDefault="00987E4A" w:rsidP="00987E4A">
      <w:pPr>
        <w:pBdr>
          <w:bottom w:val="single" w:sz="4" w:space="1" w:color="auto"/>
        </w:pBdr>
        <w:tabs>
          <w:tab w:val="clear" w:pos="794"/>
          <w:tab w:val="clear" w:pos="1191"/>
          <w:tab w:val="clear" w:pos="1588"/>
          <w:tab w:val="clear" w:pos="1985"/>
          <w:tab w:val="left" w:pos="567"/>
          <w:tab w:val="left" w:pos="1134"/>
          <w:tab w:val="left" w:pos="1701"/>
          <w:tab w:val="left" w:pos="2268"/>
          <w:tab w:val="left" w:pos="2835"/>
        </w:tabs>
        <w:spacing w:before="360" w:line="240" w:lineRule="auto"/>
        <w:jc w:val="center"/>
        <w:rPr>
          <w:rFonts w:cs="Times New Roman"/>
          <w:b/>
          <w:bCs/>
          <w:sz w:val="2"/>
          <w:szCs w:val="2"/>
        </w:rPr>
      </w:pPr>
    </w:p>
    <w:p w14:paraId="3E96FD22" w14:textId="77777777" w:rsidR="00987E4A" w:rsidRPr="00987E4A" w:rsidRDefault="00987E4A" w:rsidP="00987E4A">
      <w:pPr>
        <w:tabs>
          <w:tab w:val="clear" w:pos="794"/>
          <w:tab w:val="clear" w:pos="1191"/>
          <w:tab w:val="clear" w:pos="1588"/>
          <w:tab w:val="clear" w:pos="1985"/>
          <w:tab w:val="left" w:pos="6804"/>
        </w:tabs>
        <w:spacing w:before="480" w:line="240" w:lineRule="auto"/>
        <w:jc w:val="left"/>
        <w:rPr>
          <w:rFonts w:cs="Times New Roman"/>
          <w:sz w:val="24"/>
          <w:szCs w:val="20"/>
        </w:rPr>
      </w:pPr>
      <w:r w:rsidRPr="00987E4A">
        <w:rPr>
          <w:rFonts w:cs="Times New Roman"/>
          <w:sz w:val="24"/>
          <w:szCs w:val="20"/>
        </w:rPr>
        <w:tab/>
        <w:t>Réf. N</w:t>
      </w:r>
      <w:proofErr w:type="gramStart"/>
      <w:r w:rsidRPr="00987E4A">
        <w:rPr>
          <w:rFonts w:cs="Times New Roman"/>
          <w:sz w:val="24"/>
          <w:szCs w:val="20"/>
        </w:rPr>
        <w:t>°:</w:t>
      </w:r>
      <w:proofErr w:type="gramEnd"/>
      <w:r w:rsidRPr="00987E4A">
        <w:rPr>
          <w:rFonts w:cs="Times New Roman"/>
          <w:sz w:val="24"/>
          <w:szCs w:val="20"/>
        </w:rPr>
        <w:br/>
      </w:r>
      <w:r w:rsidRPr="00987E4A">
        <w:rPr>
          <w:rFonts w:cs="Times New Roman"/>
          <w:sz w:val="24"/>
          <w:szCs w:val="20"/>
        </w:rPr>
        <w:tab/>
        <w:t>Date: 12 avril 2021</w:t>
      </w:r>
    </w:p>
    <w:p w14:paraId="4179C5E9" w14:textId="77777777" w:rsidR="00987E4A" w:rsidRPr="00987E4A" w:rsidRDefault="00987E4A" w:rsidP="00987E4A">
      <w:pPr>
        <w:tabs>
          <w:tab w:val="clear" w:pos="794"/>
          <w:tab w:val="clear" w:pos="1191"/>
          <w:tab w:val="clear" w:pos="1588"/>
          <w:tab w:val="clear" w:pos="1985"/>
          <w:tab w:val="left" w:pos="567"/>
          <w:tab w:val="left" w:pos="1134"/>
          <w:tab w:val="left" w:pos="1701"/>
          <w:tab w:val="left" w:pos="2268"/>
          <w:tab w:val="left" w:pos="2835"/>
        </w:tabs>
        <w:spacing w:before="720" w:after="360" w:line="240" w:lineRule="auto"/>
        <w:jc w:val="left"/>
        <w:rPr>
          <w:rFonts w:cs="Times New Roman"/>
          <w:b/>
          <w:bCs/>
          <w:sz w:val="24"/>
          <w:szCs w:val="20"/>
        </w:rPr>
      </w:pPr>
      <w:r w:rsidRPr="00987E4A">
        <w:rPr>
          <w:rFonts w:cs="Times New Roman"/>
          <w:b/>
          <w:bCs/>
          <w:sz w:val="24"/>
          <w:szCs w:val="20"/>
        </w:rPr>
        <w:t xml:space="preserve">À l'attention de M. </w:t>
      </w:r>
      <w:proofErr w:type="spellStart"/>
      <w:r w:rsidRPr="00987E4A">
        <w:rPr>
          <w:rFonts w:cs="Times New Roman"/>
          <w:b/>
          <w:bCs/>
          <w:sz w:val="24"/>
          <w:szCs w:val="20"/>
        </w:rPr>
        <w:t>Houlin</w:t>
      </w:r>
      <w:proofErr w:type="spellEnd"/>
      <w:r w:rsidRPr="00987E4A">
        <w:rPr>
          <w:rFonts w:cs="Times New Roman"/>
          <w:b/>
          <w:bCs/>
          <w:sz w:val="24"/>
          <w:szCs w:val="20"/>
        </w:rPr>
        <w:t xml:space="preserve"> Zhao</w:t>
      </w:r>
      <w:r w:rsidRPr="00987E4A">
        <w:rPr>
          <w:rFonts w:cs="Times New Roman"/>
          <w:b/>
          <w:bCs/>
          <w:sz w:val="24"/>
          <w:szCs w:val="20"/>
        </w:rPr>
        <w:br/>
        <w:t>Secrétaire général, Union internationale des télécommunications</w:t>
      </w:r>
      <w:r w:rsidRPr="00987E4A">
        <w:rPr>
          <w:rFonts w:cs="Times New Roman"/>
          <w:b/>
          <w:bCs/>
          <w:sz w:val="24"/>
          <w:szCs w:val="20"/>
        </w:rPr>
        <w:br/>
        <w:t>Genève (Suisse)</w:t>
      </w:r>
    </w:p>
    <w:p w14:paraId="77AA5D33" w14:textId="77777777" w:rsidR="00987E4A" w:rsidRPr="00987E4A" w:rsidRDefault="00987E4A" w:rsidP="00987E4A">
      <w:pPr>
        <w:tabs>
          <w:tab w:val="clear" w:pos="794"/>
          <w:tab w:val="clear" w:pos="1191"/>
          <w:tab w:val="clear" w:pos="1588"/>
          <w:tab w:val="clear" w:pos="1985"/>
          <w:tab w:val="left" w:pos="567"/>
          <w:tab w:val="left" w:pos="1134"/>
          <w:tab w:val="left" w:pos="1701"/>
          <w:tab w:val="left" w:pos="2268"/>
          <w:tab w:val="left" w:pos="2835"/>
        </w:tabs>
        <w:spacing w:before="480" w:after="360" w:line="240" w:lineRule="auto"/>
        <w:ind w:left="1134" w:hanging="1134"/>
        <w:jc w:val="left"/>
        <w:rPr>
          <w:rFonts w:cs="Times New Roman"/>
          <w:b/>
          <w:bCs/>
          <w:sz w:val="24"/>
          <w:szCs w:val="20"/>
        </w:rPr>
      </w:pPr>
      <w:proofErr w:type="gramStart"/>
      <w:r w:rsidRPr="00987E4A">
        <w:rPr>
          <w:rFonts w:cs="Times New Roman"/>
          <w:b/>
          <w:bCs/>
          <w:sz w:val="24"/>
          <w:szCs w:val="20"/>
        </w:rPr>
        <w:t>Objet:</w:t>
      </w:r>
      <w:proofErr w:type="gramEnd"/>
      <w:r w:rsidRPr="00987E4A">
        <w:rPr>
          <w:rFonts w:cs="Times New Roman"/>
          <w:b/>
          <w:bCs/>
          <w:sz w:val="24"/>
          <w:szCs w:val="20"/>
        </w:rPr>
        <w:tab/>
      </w:r>
      <w:r w:rsidRPr="00987E4A">
        <w:rPr>
          <w:rFonts w:cs="Times New Roman"/>
          <w:b/>
          <w:bCs/>
          <w:sz w:val="24"/>
          <w:szCs w:val="20"/>
          <w:u w:val="single"/>
        </w:rPr>
        <w:t>Demande de report de la Conférence mondiale de développement des télécommunications de 2021 (CMDT-2021)</w:t>
      </w:r>
    </w:p>
    <w:p w14:paraId="5DC65A66" w14:textId="77777777" w:rsidR="00987E4A" w:rsidRPr="00987E4A" w:rsidRDefault="00987E4A" w:rsidP="00987E4A">
      <w:pPr>
        <w:tabs>
          <w:tab w:val="clear" w:pos="794"/>
          <w:tab w:val="clear" w:pos="1191"/>
          <w:tab w:val="clear" w:pos="1588"/>
          <w:tab w:val="clear" w:pos="1985"/>
          <w:tab w:val="left" w:pos="567"/>
          <w:tab w:val="left" w:pos="1134"/>
          <w:tab w:val="left" w:pos="1701"/>
          <w:tab w:val="left" w:pos="2268"/>
          <w:tab w:val="left" w:pos="2835"/>
        </w:tabs>
        <w:spacing w:before="480" w:line="240" w:lineRule="auto"/>
        <w:jc w:val="left"/>
        <w:rPr>
          <w:rFonts w:cs="Times New Roman"/>
          <w:b/>
          <w:bCs/>
          <w:sz w:val="24"/>
          <w:szCs w:val="20"/>
        </w:rPr>
      </w:pPr>
      <w:r w:rsidRPr="00987E4A">
        <w:rPr>
          <w:rFonts w:cs="Times New Roman"/>
          <w:b/>
          <w:bCs/>
          <w:sz w:val="24"/>
          <w:szCs w:val="20"/>
        </w:rPr>
        <w:t>Monsieur le Secrétaire général</w:t>
      </w:r>
      <w:r w:rsidRPr="00987E4A">
        <w:rPr>
          <w:rFonts w:cs="Times New Roman"/>
          <w:sz w:val="24"/>
          <w:szCs w:val="20"/>
        </w:rPr>
        <w:t>,</w:t>
      </w:r>
    </w:p>
    <w:p w14:paraId="1D86D20D" w14:textId="77777777" w:rsidR="00987E4A" w:rsidRPr="00987E4A" w:rsidRDefault="00987E4A" w:rsidP="00987E4A">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rPr>
          <w:rFonts w:cs="Times New Roman"/>
          <w:sz w:val="24"/>
          <w:szCs w:val="20"/>
        </w:rPr>
      </w:pPr>
      <w:r w:rsidRPr="00987E4A">
        <w:rPr>
          <w:rFonts w:cs="Times New Roman"/>
          <w:sz w:val="24"/>
          <w:szCs w:val="20"/>
        </w:rPr>
        <w:t>Le Gouvernement de l'Éthiopie est honoré et impatient d'accueillir la Conférence mondiale de développement des télécommunications à Addis-Abeba. Nous avons accueilli avec un grand enthousiasme la décision des États Membres qui ont choisi l'Éthiopie pour tenir la CMDT-21. À la suite de cette décision prise par les États Membres en octobre 2019, le travail de préparation de la CMDT-21 est en cours depuis l'année passée.</w:t>
      </w:r>
    </w:p>
    <w:p w14:paraId="5834EBC7" w14:textId="77777777" w:rsidR="00987E4A" w:rsidRPr="00987E4A" w:rsidRDefault="00987E4A" w:rsidP="00987E4A">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rPr>
          <w:rFonts w:cs="Times New Roman"/>
          <w:sz w:val="24"/>
          <w:szCs w:val="20"/>
        </w:rPr>
      </w:pPr>
      <w:r w:rsidRPr="00987E4A">
        <w:rPr>
          <w:rFonts w:cs="Times New Roman"/>
          <w:sz w:val="24"/>
          <w:szCs w:val="20"/>
        </w:rPr>
        <w:t>Nous avons créé un comité de direction national composé de différentes parties prenantes, qui prendra des décisions essentielles, organisera la collaboration au sein du Gouvernement et facilitera la participation étroite des parties prenantes au processus préparatoire. Nous avons en outre créé dix sous-comités différents qui s'occuperont du travail quotidien de préparation de la CMDT. Nous avons également associé les entreprises du secteur privé dans le domaine des technologies de l'information au travail de ces comités, afin que le processus préparatoire soit véritablement global.</w:t>
      </w:r>
    </w:p>
    <w:p w14:paraId="01460DD5" w14:textId="77777777" w:rsidR="00987E4A" w:rsidRPr="00987E4A" w:rsidRDefault="00987E4A" w:rsidP="00987E4A">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rPr>
          <w:rFonts w:cs="Times New Roman"/>
          <w:sz w:val="24"/>
          <w:szCs w:val="20"/>
        </w:rPr>
      </w:pPr>
      <w:bookmarkStart w:id="6" w:name="_Hlk69467334"/>
      <w:r w:rsidRPr="00987E4A">
        <w:rPr>
          <w:rFonts w:cs="Times New Roman"/>
          <w:sz w:val="24"/>
          <w:szCs w:val="20"/>
        </w:rPr>
        <w:t>Alors que la Conférence approche, le travail de préparation est bien avancé pour garantir la réussite de la CMDT-21, qui fixera les stratégies et objectifs essentiels pour le développement des télécommunications et donnera des orientations et des directives au Secteur du développement des télécommunications à l'échelle mondiale, tout en offrant une expérience authentique de ce que sont l'Éthiopie et l'Afrique.</w:t>
      </w:r>
      <w:bookmarkEnd w:id="6"/>
    </w:p>
    <w:p w14:paraId="778D645D" w14:textId="77777777" w:rsidR="00987E4A" w:rsidRPr="00987E4A" w:rsidRDefault="00987E4A" w:rsidP="00987E4A">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rPr>
          <w:rFonts w:cs="Times New Roman"/>
          <w:sz w:val="24"/>
          <w:szCs w:val="20"/>
        </w:rPr>
      </w:pPr>
      <w:r w:rsidRPr="00987E4A">
        <w:rPr>
          <w:rFonts w:cs="Times New Roman"/>
          <w:sz w:val="24"/>
          <w:szCs w:val="20"/>
        </w:rPr>
        <w:t>Toutefois, comme vous le savez, la pandémie de COVID-19 continue de faire des ravages dans le monde entier. Ces derniers mois, le nombre de personnes contaminées par cette maladie a augmenté partout dans le monde et certains pays sont frappés par une deuxième ou une troisième vague de la pandémie. Les pays appliquent des mesures telles que des restrictions de voyage pour enrayer la progression du virus.</w:t>
      </w:r>
    </w:p>
    <w:p w14:paraId="065048A3" w14:textId="77777777" w:rsidR="00987E4A" w:rsidRPr="00987E4A" w:rsidRDefault="00987E4A" w:rsidP="00987E4A">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rPr>
          <w:rFonts w:cs="Times New Roman"/>
          <w:sz w:val="24"/>
          <w:szCs w:val="20"/>
        </w:rPr>
      </w:pPr>
      <w:r w:rsidRPr="00987E4A">
        <w:rPr>
          <w:rFonts w:cs="Times New Roman"/>
          <w:sz w:val="24"/>
          <w:szCs w:val="20"/>
        </w:rPr>
        <w:lastRenderedPageBreak/>
        <w:t>Bien que la vaccination progresse et que des améliorations soient attendues à l'échelle mondiale dans les prochains mois, nous pensons que le COVID-19 constituera toujours un problème majeur rendant difficile la tenue physique de la CMDT-21 comme prévu initialement.</w:t>
      </w:r>
    </w:p>
    <w:p w14:paraId="50FF562D" w14:textId="77777777" w:rsidR="00987E4A" w:rsidRPr="00987E4A" w:rsidRDefault="00987E4A" w:rsidP="00987E4A">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rPr>
          <w:rFonts w:cs="Times New Roman"/>
          <w:sz w:val="24"/>
          <w:szCs w:val="20"/>
        </w:rPr>
      </w:pPr>
      <w:r w:rsidRPr="00987E4A">
        <w:rPr>
          <w:rFonts w:cs="Times New Roman"/>
          <w:sz w:val="24"/>
          <w:szCs w:val="20"/>
        </w:rPr>
        <w:t>Après avoir tenu des consultations internes et externes approfondies avec les principales parties prenantes et sachant que, lors de la première réunion préparatoire interrégionale, les États Membres de l'UIT ont exprimé le souhait qu'une décision soit prise concernant la tenue de la CMDT-21 au moins six mois avant les dates prévues pour la Conférence, le Gouvernement de l'Éthiopie souhaiterait proposer de reprogrammer la CMDT-21 qui aura lieu à Addis-Abeba, pour la tenir du 6 au 15 juin 2022, et vous demande de consulter les membres de l'UIT concernant le report de la CMDT-21 dès que possible.</w:t>
      </w:r>
    </w:p>
    <w:p w14:paraId="6E99E8B1" w14:textId="77777777" w:rsidR="00987E4A" w:rsidRPr="00987E4A" w:rsidRDefault="00987E4A" w:rsidP="00987E4A">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rPr>
          <w:rFonts w:cs="Times New Roman"/>
          <w:sz w:val="24"/>
          <w:szCs w:val="20"/>
        </w:rPr>
      </w:pPr>
      <w:r w:rsidRPr="00987E4A">
        <w:rPr>
          <w:rFonts w:cs="Times New Roman"/>
          <w:sz w:val="24"/>
          <w:szCs w:val="20"/>
        </w:rPr>
        <w:t>Je tiens à vous assurer une nouvelle fois de notre plus grande détermination à accueillir la CMDT</w:t>
      </w:r>
      <w:r w:rsidRPr="00987E4A">
        <w:rPr>
          <w:rFonts w:cs="Times New Roman"/>
          <w:sz w:val="24"/>
          <w:szCs w:val="20"/>
        </w:rPr>
        <w:noBreakHyphen/>
        <w:t>21 et je profite de cette occasion pour renouveler à l'Union internationale des télécommunications l'expression de notre plus haute considération.</w:t>
      </w:r>
    </w:p>
    <w:p w14:paraId="2180C12B" w14:textId="77777777" w:rsidR="00987E4A" w:rsidRPr="00987E4A" w:rsidRDefault="00987E4A" w:rsidP="00987E4A">
      <w:pPr>
        <w:tabs>
          <w:tab w:val="clear" w:pos="794"/>
          <w:tab w:val="clear" w:pos="1191"/>
          <w:tab w:val="clear" w:pos="1588"/>
          <w:tab w:val="clear" w:pos="1985"/>
          <w:tab w:val="left" w:pos="567"/>
          <w:tab w:val="left" w:pos="1134"/>
          <w:tab w:val="left" w:pos="1701"/>
          <w:tab w:val="left" w:pos="2268"/>
          <w:tab w:val="left" w:pos="2835"/>
        </w:tabs>
        <w:spacing w:before="480" w:after="480" w:line="240" w:lineRule="auto"/>
        <w:jc w:val="left"/>
        <w:rPr>
          <w:rFonts w:cs="Times New Roman"/>
          <w:sz w:val="24"/>
          <w:szCs w:val="20"/>
        </w:rPr>
      </w:pPr>
      <w:r w:rsidRPr="00987E4A">
        <w:rPr>
          <w:rFonts w:cs="Times New Roman"/>
          <w:sz w:val="24"/>
          <w:szCs w:val="20"/>
        </w:rPr>
        <w:t>[Signature et cachet]</w:t>
      </w:r>
    </w:p>
    <w:p w14:paraId="637F53A1" w14:textId="77777777" w:rsidR="00987E4A" w:rsidRPr="00987E4A" w:rsidRDefault="00987E4A" w:rsidP="00987E4A">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rPr>
          <w:rFonts w:cs="Times New Roman"/>
          <w:sz w:val="24"/>
          <w:szCs w:val="20"/>
        </w:rPr>
      </w:pPr>
      <w:r w:rsidRPr="00987E4A">
        <w:rPr>
          <w:rFonts w:cs="Times New Roman"/>
          <w:sz w:val="24"/>
          <w:szCs w:val="20"/>
        </w:rPr>
        <w:t xml:space="preserve">M. </w:t>
      </w:r>
      <w:proofErr w:type="spellStart"/>
      <w:r w:rsidRPr="00987E4A">
        <w:rPr>
          <w:rFonts w:cs="Times New Roman"/>
          <w:sz w:val="24"/>
          <w:szCs w:val="20"/>
        </w:rPr>
        <w:t>Ahmedin</w:t>
      </w:r>
      <w:proofErr w:type="spellEnd"/>
      <w:r w:rsidRPr="00987E4A">
        <w:rPr>
          <w:rFonts w:cs="Times New Roman"/>
          <w:sz w:val="24"/>
          <w:szCs w:val="20"/>
        </w:rPr>
        <w:t xml:space="preserve"> Mohammed</w:t>
      </w:r>
      <w:r w:rsidRPr="00987E4A">
        <w:rPr>
          <w:rFonts w:cs="Times New Roman"/>
          <w:sz w:val="24"/>
          <w:szCs w:val="20"/>
        </w:rPr>
        <w:br/>
        <w:t>Ministre d'État</w:t>
      </w:r>
    </w:p>
    <w:p w14:paraId="26B82C7E" w14:textId="77777777" w:rsidR="00987E4A" w:rsidRPr="00987E4A" w:rsidRDefault="00987E4A" w:rsidP="00987E4A">
      <w:pPr>
        <w:tabs>
          <w:tab w:val="clear" w:pos="794"/>
          <w:tab w:val="clear" w:pos="1191"/>
          <w:tab w:val="clear" w:pos="1588"/>
          <w:tab w:val="clear" w:pos="1985"/>
          <w:tab w:val="left" w:pos="567"/>
          <w:tab w:val="left" w:pos="1134"/>
          <w:tab w:val="left" w:pos="1701"/>
          <w:tab w:val="left" w:pos="2268"/>
          <w:tab w:val="left" w:pos="2835"/>
        </w:tabs>
        <w:spacing w:before="1080" w:line="240" w:lineRule="auto"/>
        <w:jc w:val="left"/>
        <w:rPr>
          <w:rFonts w:cs="Times New Roman"/>
          <w:b/>
          <w:bCs/>
          <w:sz w:val="24"/>
          <w:szCs w:val="20"/>
        </w:rPr>
      </w:pPr>
      <w:r w:rsidRPr="00987E4A">
        <w:rPr>
          <w:rFonts w:cs="Times New Roman"/>
          <w:b/>
          <w:bCs/>
          <w:sz w:val="24"/>
          <w:szCs w:val="20"/>
        </w:rPr>
        <w:t xml:space="preserve">Copie </w:t>
      </w:r>
      <w:proofErr w:type="gramStart"/>
      <w:r w:rsidRPr="00987E4A">
        <w:rPr>
          <w:rFonts w:cs="Times New Roman"/>
          <w:b/>
          <w:bCs/>
          <w:sz w:val="24"/>
          <w:szCs w:val="20"/>
        </w:rPr>
        <w:t>à</w:t>
      </w:r>
      <w:r w:rsidRPr="00987E4A">
        <w:rPr>
          <w:rFonts w:cs="Times New Roman"/>
          <w:bCs/>
          <w:sz w:val="24"/>
          <w:szCs w:val="20"/>
        </w:rPr>
        <w:t>:</w:t>
      </w:r>
      <w:proofErr w:type="gramEnd"/>
    </w:p>
    <w:p w14:paraId="028FB1EC" w14:textId="77777777" w:rsidR="00987E4A" w:rsidRPr="00987E4A" w:rsidRDefault="00987E4A" w:rsidP="00987E4A">
      <w:pPr>
        <w:tabs>
          <w:tab w:val="clear" w:pos="794"/>
          <w:tab w:val="clear" w:pos="1191"/>
          <w:tab w:val="clear" w:pos="1588"/>
          <w:tab w:val="clear" w:pos="1985"/>
          <w:tab w:val="left" w:pos="567"/>
          <w:tab w:val="left" w:pos="1134"/>
          <w:tab w:val="left" w:pos="1701"/>
          <w:tab w:val="left" w:pos="2268"/>
          <w:tab w:val="left" w:pos="2835"/>
        </w:tabs>
        <w:spacing w:before="120" w:line="240" w:lineRule="auto"/>
        <w:jc w:val="left"/>
        <w:rPr>
          <w:rFonts w:cs="Times New Roman"/>
          <w:sz w:val="24"/>
          <w:szCs w:val="20"/>
        </w:rPr>
      </w:pPr>
      <w:r w:rsidRPr="00987E4A">
        <w:rPr>
          <w:rFonts w:cs="Times New Roman"/>
          <w:sz w:val="24"/>
          <w:szCs w:val="20"/>
        </w:rPr>
        <w:t>Bureau de S. E. Monsieur le Ministre</w:t>
      </w:r>
    </w:p>
    <w:sectPr w:rsidR="00987E4A" w:rsidRPr="00987E4A" w:rsidSect="000A249C">
      <w:headerReference w:type="even" r:id="rId16"/>
      <w:headerReference w:type="default" r:id="rId17"/>
      <w:headerReference w:type="first" r:id="rId18"/>
      <w:footerReference w:type="first" r:id="rId19"/>
      <w:pgSz w:w="11907" w:h="16834" w:code="9"/>
      <w:pgMar w:top="1418" w:right="1134" w:bottom="1418" w:left="1134" w:header="567" w:footer="567"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9CA35" w14:textId="77777777" w:rsidR="007C3219" w:rsidRDefault="007C3219">
      <w:r>
        <w:separator/>
      </w:r>
    </w:p>
  </w:endnote>
  <w:endnote w:type="continuationSeparator" w:id="0">
    <w:p w14:paraId="646F2E63" w14:textId="77777777" w:rsidR="007C3219" w:rsidRDefault="007C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F575F" w14:textId="4463A945" w:rsidR="00877C1B" w:rsidRPr="00877C1B" w:rsidRDefault="00877C1B" w:rsidP="00F914DD">
    <w:pPr>
      <w:pStyle w:val="FirstFooter"/>
      <w:spacing w:line="240" w:lineRule="auto"/>
      <w:ind w:left="-397" w:right="-397"/>
      <w:jc w:val="center"/>
      <w:rPr>
        <w:color w:val="3E8EDE"/>
        <w:sz w:val="18"/>
        <w:szCs w:val="18"/>
        <w:lang w:val="fr-CH"/>
      </w:rPr>
    </w:pPr>
    <w:r w:rsidRPr="00877C1B">
      <w:rPr>
        <w:color w:val="3E8EDE"/>
        <w:sz w:val="18"/>
        <w:szCs w:val="18"/>
        <w:lang w:val="fr-CH"/>
      </w:rPr>
      <w:t xml:space="preserve">Union internationale des télécommunications </w:t>
    </w:r>
    <w:r w:rsidRPr="00FB65BC">
      <w:rPr>
        <w:color w:val="3E8EDE"/>
        <w:sz w:val="18"/>
        <w:szCs w:val="18"/>
        <w:lang w:val="fr-CH"/>
      </w:rPr>
      <w:t>•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 xml:space="preserve">1211 </w:t>
    </w:r>
    <w:r w:rsidRPr="00877C1B">
      <w:rPr>
        <w:color w:val="3E8EDE"/>
        <w:sz w:val="18"/>
        <w:szCs w:val="18"/>
        <w:lang w:val="fr-CH"/>
      </w:rPr>
      <w:t xml:space="preserve">Genève </w:t>
    </w:r>
    <w:r w:rsidRPr="00FB65BC">
      <w:rPr>
        <w:color w:val="3E8EDE"/>
        <w:sz w:val="18"/>
        <w:szCs w:val="18"/>
        <w:lang w:val="fr-CH"/>
      </w:rPr>
      <w:t>20</w:t>
    </w:r>
    <w:r>
      <w:rPr>
        <w:color w:val="3E8EDE"/>
        <w:sz w:val="18"/>
        <w:szCs w:val="18"/>
        <w:lang w:val="fr-CH"/>
      </w:rPr>
      <w:t>,</w:t>
    </w:r>
    <w:r w:rsidRPr="00FB65BC">
      <w:rPr>
        <w:color w:val="3E8EDE"/>
        <w:sz w:val="18"/>
        <w:szCs w:val="18"/>
        <w:lang w:val="fr-CH"/>
      </w:rPr>
      <w:t xml:space="preserve"> </w:t>
    </w:r>
    <w:r w:rsidRPr="00877C1B">
      <w:rPr>
        <w:color w:val="3E8EDE"/>
        <w:sz w:val="18"/>
        <w:szCs w:val="18"/>
        <w:lang w:val="fr-CH"/>
      </w:rPr>
      <w:t>Suisse</w:t>
    </w:r>
    <w:r w:rsidRPr="00FB65BC">
      <w:rPr>
        <w:color w:val="3E8EDE"/>
        <w:sz w:val="18"/>
        <w:szCs w:val="18"/>
        <w:lang w:val="fr-CH"/>
      </w:rPr>
      <w:br/>
    </w:r>
    <w:proofErr w:type="gramStart"/>
    <w:r w:rsidRPr="00FB65BC">
      <w:rPr>
        <w:color w:val="3E8EDE"/>
        <w:sz w:val="18"/>
        <w:szCs w:val="18"/>
        <w:lang w:val="fr-CH"/>
      </w:rPr>
      <w:t>T</w:t>
    </w:r>
    <w:r>
      <w:rPr>
        <w:color w:val="3E8EDE"/>
        <w:sz w:val="18"/>
        <w:szCs w:val="18"/>
        <w:lang w:val="fr-CH"/>
      </w:rPr>
      <w:t>é</w:t>
    </w:r>
    <w:r w:rsidRPr="00FB65BC">
      <w:rPr>
        <w:color w:val="3E8EDE"/>
        <w:sz w:val="18"/>
        <w:szCs w:val="18"/>
        <w:lang w:val="fr-CH"/>
      </w:rPr>
      <w:t>l:</w:t>
    </w:r>
    <w:proofErr w:type="gramEnd"/>
    <w:r w:rsidRPr="00FB65BC">
      <w:rPr>
        <w:color w:val="3E8EDE"/>
        <w:sz w:val="18"/>
        <w:szCs w:val="18"/>
        <w:lang w:val="fr-CH"/>
      </w:rPr>
      <w:t xml:space="preserve"> +41 22 730 5111 • Fax: +41 22 733 7256 • </w:t>
    </w:r>
    <w:r w:rsidRPr="00877C1B">
      <w:rPr>
        <w:color w:val="3E8EDE"/>
        <w:sz w:val="18"/>
        <w:szCs w:val="18"/>
        <w:lang w:val="fr-CH"/>
      </w:rPr>
      <w:t>Courriel</w:t>
    </w:r>
    <w:r w:rsidRPr="00FB65BC">
      <w:rPr>
        <w:color w:val="3E8EDE"/>
        <w:sz w:val="18"/>
        <w:szCs w:val="18"/>
        <w:lang w:val="fr-CH"/>
      </w:rPr>
      <w:t xml:space="preserve">: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4A265" w14:textId="77777777" w:rsidR="007C3219" w:rsidRDefault="007C3219">
      <w:r>
        <w:t>____________________</w:t>
      </w:r>
    </w:p>
  </w:footnote>
  <w:footnote w:type="continuationSeparator" w:id="0">
    <w:p w14:paraId="6DB11C96" w14:textId="77777777" w:rsidR="007C3219" w:rsidRDefault="007C3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sz w:val="18"/>
        <w:szCs w:val="18"/>
      </w:rPr>
      <w:id w:val="-1093086667"/>
      <w:docPartObj>
        <w:docPartGallery w:val="Page Numbers (Top of Page)"/>
        <w:docPartUnique/>
      </w:docPartObj>
    </w:sdtPr>
    <w:sdtEndPr/>
    <w:sdtContent>
      <w:p w14:paraId="32D37226" w14:textId="77777777" w:rsidR="000A249C" w:rsidRPr="004E4D57" w:rsidRDefault="000A249C" w:rsidP="000A249C">
        <w:pPr>
          <w:pStyle w:val="Header"/>
          <w:jc w:val="center"/>
          <w:rPr>
            <w:noProof/>
            <w:sz w:val="18"/>
            <w:szCs w:val="18"/>
          </w:rPr>
        </w:pPr>
        <w:r w:rsidRPr="004E4D57">
          <w:rPr>
            <w:noProof/>
            <w:sz w:val="18"/>
            <w:szCs w:val="18"/>
          </w:rPr>
          <w:fldChar w:fldCharType="begin"/>
        </w:r>
        <w:r w:rsidRPr="004E4D57">
          <w:rPr>
            <w:noProof/>
            <w:sz w:val="18"/>
            <w:szCs w:val="18"/>
          </w:rPr>
          <w:instrText xml:space="preserve"> PAGE   \* MERGEFORMAT </w:instrText>
        </w:r>
        <w:r w:rsidRPr="004E4D57">
          <w:rPr>
            <w:noProof/>
            <w:sz w:val="18"/>
            <w:szCs w:val="18"/>
          </w:rPr>
          <w:fldChar w:fldCharType="separate"/>
        </w:r>
        <w:r>
          <w:rPr>
            <w:noProof/>
            <w:sz w:val="18"/>
            <w:szCs w:val="18"/>
          </w:rPr>
          <w:t>2</w:t>
        </w:r>
        <w:r w:rsidRPr="004E4D57">
          <w:rPr>
            <w:noProof/>
            <w:sz w:val="18"/>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D5FF5" w14:textId="791E3743" w:rsidR="008D08FF" w:rsidRPr="000A249C" w:rsidRDefault="008D08FF" w:rsidP="000A249C">
    <w:pPr>
      <w:pStyle w:val="Header"/>
      <w:jc w:val="center"/>
      <w:rPr>
        <w:sz w:val="18"/>
        <w:szCs w:val="18"/>
      </w:rPr>
    </w:pPr>
    <w:r w:rsidRPr="000A249C">
      <w:rPr>
        <w:sz w:val="18"/>
        <w:szCs w:val="18"/>
      </w:rPr>
      <w:fldChar w:fldCharType="begin"/>
    </w:r>
    <w:r w:rsidRPr="000A249C">
      <w:rPr>
        <w:sz w:val="18"/>
        <w:szCs w:val="18"/>
      </w:rPr>
      <w:instrText xml:space="preserve"> PAGE  \* MERGEFORMAT </w:instrText>
    </w:r>
    <w:r w:rsidRPr="000A249C">
      <w:rPr>
        <w:sz w:val="18"/>
        <w:szCs w:val="18"/>
      </w:rPr>
      <w:fldChar w:fldCharType="separate"/>
    </w:r>
    <w:r w:rsidR="00B422F4">
      <w:rPr>
        <w:noProof/>
        <w:sz w:val="18"/>
        <w:szCs w:val="18"/>
      </w:rPr>
      <w:t>3</w:t>
    </w:r>
    <w:r w:rsidRPr="000A249C">
      <w:rP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496F7D" w:rsidRPr="00940351" w14:paraId="6818A9CD" w14:textId="77777777" w:rsidTr="007E3585">
      <w:trPr>
        <w:jc w:val="center"/>
      </w:trPr>
      <w:tc>
        <w:tcPr>
          <w:tcW w:w="9889" w:type="dxa"/>
        </w:tcPr>
        <w:p w14:paraId="63CA6F31" w14:textId="56A0CFDA" w:rsidR="00496F7D" w:rsidRPr="00940351" w:rsidRDefault="00FE5A18" w:rsidP="00496F7D">
          <w:pPr>
            <w:pStyle w:val="Header"/>
            <w:tabs>
              <w:tab w:val="clear" w:pos="794"/>
              <w:tab w:val="clear" w:pos="4820"/>
            </w:tabs>
            <w:spacing w:line="360" w:lineRule="auto"/>
            <w:jc w:val="center"/>
          </w:pPr>
          <w:r>
            <w:rPr>
              <w:noProof/>
              <w:lang w:val="en-US"/>
            </w:rPr>
            <w:drawing>
              <wp:inline distT="0" distB="0" distL="0" distR="0" wp14:anchorId="7252C1EC" wp14:editId="6BE671DE">
                <wp:extent cx="682406"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cropp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406" cy="720000"/>
                        </a:xfrm>
                        <a:prstGeom prst="rect">
                          <a:avLst/>
                        </a:prstGeom>
                      </pic:spPr>
                    </pic:pic>
                  </a:graphicData>
                </a:graphic>
              </wp:inline>
            </w:drawing>
          </w:r>
        </w:p>
      </w:tc>
    </w:tr>
  </w:tbl>
  <w:p w14:paraId="1537191B" w14:textId="77777777" w:rsidR="008D08FF" w:rsidRPr="00940351" w:rsidRDefault="008D08FF" w:rsidP="00D225E9">
    <w:pPr>
      <w:pStyle w:val="Header"/>
      <w:spacing w:line="36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 w:name="dgnword-docGUID" w:val="{E4D1A734-1673-40F8-BEDA-483129F2B842}"/>
    <w:docVar w:name="dgnword-eventsink" w:val="2375805665408"/>
  </w:docVars>
  <w:rsids>
    <w:rsidRoot w:val="000A249C"/>
    <w:rsid w:val="000032FB"/>
    <w:rsid w:val="00010E30"/>
    <w:rsid w:val="00026CF8"/>
    <w:rsid w:val="000479AD"/>
    <w:rsid w:val="00070258"/>
    <w:rsid w:val="00072C3E"/>
    <w:rsid w:val="0007323C"/>
    <w:rsid w:val="0008311E"/>
    <w:rsid w:val="00086D03"/>
    <w:rsid w:val="000A249C"/>
    <w:rsid w:val="000A7051"/>
    <w:rsid w:val="000B7CE2"/>
    <w:rsid w:val="000C03C7"/>
    <w:rsid w:val="000E3DEE"/>
    <w:rsid w:val="000E4B79"/>
    <w:rsid w:val="0010107B"/>
    <w:rsid w:val="00103C76"/>
    <w:rsid w:val="0011265F"/>
    <w:rsid w:val="00173FCD"/>
    <w:rsid w:val="00196710"/>
    <w:rsid w:val="00197324"/>
    <w:rsid w:val="00197DCF"/>
    <w:rsid w:val="001A37CA"/>
    <w:rsid w:val="001A696C"/>
    <w:rsid w:val="001B5841"/>
    <w:rsid w:val="001D7070"/>
    <w:rsid w:val="001D7163"/>
    <w:rsid w:val="001F5A49"/>
    <w:rsid w:val="00201097"/>
    <w:rsid w:val="00201B6E"/>
    <w:rsid w:val="00226120"/>
    <w:rsid w:val="00235A29"/>
    <w:rsid w:val="0026128B"/>
    <w:rsid w:val="00276B8B"/>
    <w:rsid w:val="002861E6"/>
    <w:rsid w:val="002C1346"/>
    <w:rsid w:val="002E0007"/>
    <w:rsid w:val="002F00B0"/>
    <w:rsid w:val="002F0890"/>
    <w:rsid w:val="003169E3"/>
    <w:rsid w:val="003211CE"/>
    <w:rsid w:val="00331583"/>
    <w:rsid w:val="003370B8"/>
    <w:rsid w:val="003476DD"/>
    <w:rsid w:val="003666FF"/>
    <w:rsid w:val="00394448"/>
    <w:rsid w:val="003B2BDA"/>
    <w:rsid w:val="003B55EC"/>
    <w:rsid w:val="003C3E6E"/>
    <w:rsid w:val="003C4471"/>
    <w:rsid w:val="003E504F"/>
    <w:rsid w:val="00400F78"/>
    <w:rsid w:val="004326DB"/>
    <w:rsid w:val="0043682E"/>
    <w:rsid w:val="00467A97"/>
    <w:rsid w:val="004779E0"/>
    <w:rsid w:val="004815EB"/>
    <w:rsid w:val="00496920"/>
    <w:rsid w:val="00496F7D"/>
    <w:rsid w:val="004A5CE7"/>
    <w:rsid w:val="004B7001"/>
    <w:rsid w:val="004B7C9A"/>
    <w:rsid w:val="004C1108"/>
    <w:rsid w:val="004D1579"/>
    <w:rsid w:val="004E0DC4"/>
    <w:rsid w:val="004E0FB5"/>
    <w:rsid w:val="004E43BB"/>
    <w:rsid w:val="004F178E"/>
    <w:rsid w:val="00505309"/>
    <w:rsid w:val="00505C93"/>
    <w:rsid w:val="0050789B"/>
    <w:rsid w:val="00543DF8"/>
    <w:rsid w:val="00546101"/>
    <w:rsid w:val="00553DD7"/>
    <w:rsid w:val="0057469A"/>
    <w:rsid w:val="00580814"/>
    <w:rsid w:val="005A03A3"/>
    <w:rsid w:val="005B214C"/>
    <w:rsid w:val="005D594A"/>
    <w:rsid w:val="005E224B"/>
    <w:rsid w:val="005F5168"/>
    <w:rsid w:val="00602D53"/>
    <w:rsid w:val="0062116C"/>
    <w:rsid w:val="00651777"/>
    <w:rsid w:val="006741C3"/>
    <w:rsid w:val="00675C2A"/>
    <w:rsid w:val="00691AA6"/>
    <w:rsid w:val="006950CF"/>
    <w:rsid w:val="006B0590"/>
    <w:rsid w:val="006B49DA"/>
    <w:rsid w:val="00700C3C"/>
    <w:rsid w:val="007234B1"/>
    <w:rsid w:val="00730B9A"/>
    <w:rsid w:val="00740492"/>
    <w:rsid w:val="00757B2B"/>
    <w:rsid w:val="00757EEE"/>
    <w:rsid w:val="007921A7"/>
    <w:rsid w:val="007B3DB1"/>
    <w:rsid w:val="007C3219"/>
    <w:rsid w:val="007D183E"/>
    <w:rsid w:val="007E3585"/>
    <w:rsid w:val="007E3F13"/>
    <w:rsid w:val="007E6AB2"/>
    <w:rsid w:val="00800012"/>
    <w:rsid w:val="0081513E"/>
    <w:rsid w:val="0083382E"/>
    <w:rsid w:val="00854131"/>
    <w:rsid w:val="0085652D"/>
    <w:rsid w:val="0087694B"/>
    <w:rsid w:val="00877C1B"/>
    <w:rsid w:val="0088293A"/>
    <w:rsid w:val="008D08FF"/>
    <w:rsid w:val="008D4685"/>
    <w:rsid w:val="008F4F21"/>
    <w:rsid w:val="008F6485"/>
    <w:rsid w:val="00904D4A"/>
    <w:rsid w:val="009151BA"/>
    <w:rsid w:val="009277BC"/>
    <w:rsid w:val="00927D57"/>
    <w:rsid w:val="00940351"/>
    <w:rsid w:val="00963D9D"/>
    <w:rsid w:val="00981B54"/>
    <w:rsid w:val="009842C3"/>
    <w:rsid w:val="00987E4A"/>
    <w:rsid w:val="009A6BB6"/>
    <w:rsid w:val="009C161F"/>
    <w:rsid w:val="009E2358"/>
    <w:rsid w:val="009E4AEC"/>
    <w:rsid w:val="009E5BD8"/>
    <w:rsid w:val="009E5F24"/>
    <w:rsid w:val="009E681E"/>
    <w:rsid w:val="00A22F9F"/>
    <w:rsid w:val="00A34D6F"/>
    <w:rsid w:val="00A41F91"/>
    <w:rsid w:val="00A715FD"/>
    <w:rsid w:val="00A7494A"/>
    <w:rsid w:val="00A814B7"/>
    <w:rsid w:val="00A84FA8"/>
    <w:rsid w:val="00A963DF"/>
    <w:rsid w:val="00AC3896"/>
    <w:rsid w:val="00AC3F9B"/>
    <w:rsid w:val="00AC71A3"/>
    <w:rsid w:val="00AF06E1"/>
    <w:rsid w:val="00AF3325"/>
    <w:rsid w:val="00B015B1"/>
    <w:rsid w:val="00B34CF9"/>
    <w:rsid w:val="00B40E88"/>
    <w:rsid w:val="00B422F4"/>
    <w:rsid w:val="00B431CC"/>
    <w:rsid w:val="00B83793"/>
    <w:rsid w:val="00B90C45"/>
    <w:rsid w:val="00B933BE"/>
    <w:rsid w:val="00BA03DB"/>
    <w:rsid w:val="00BA6C35"/>
    <w:rsid w:val="00BD7E5E"/>
    <w:rsid w:val="00BE055F"/>
    <w:rsid w:val="00BE6574"/>
    <w:rsid w:val="00C141B1"/>
    <w:rsid w:val="00C43807"/>
    <w:rsid w:val="00C57E2C"/>
    <w:rsid w:val="00C608B7"/>
    <w:rsid w:val="00C66F24"/>
    <w:rsid w:val="00C9291E"/>
    <w:rsid w:val="00CA3F44"/>
    <w:rsid w:val="00CA4E58"/>
    <w:rsid w:val="00CB3771"/>
    <w:rsid w:val="00CB5153"/>
    <w:rsid w:val="00CE2753"/>
    <w:rsid w:val="00CE685A"/>
    <w:rsid w:val="00D10BA0"/>
    <w:rsid w:val="00D20741"/>
    <w:rsid w:val="00D225E9"/>
    <w:rsid w:val="00D24EB5"/>
    <w:rsid w:val="00D26CFB"/>
    <w:rsid w:val="00D41571"/>
    <w:rsid w:val="00D416A0"/>
    <w:rsid w:val="00D47672"/>
    <w:rsid w:val="00D5123C"/>
    <w:rsid w:val="00D55560"/>
    <w:rsid w:val="00D55CE4"/>
    <w:rsid w:val="00D61C5A"/>
    <w:rsid w:val="00DE66A5"/>
    <w:rsid w:val="00DF2B50"/>
    <w:rsid w:val="00E04C86"/>
    <w:rsid w:val="00E05026"/>
    <w:rsid w:val="00E14BA3"/>
    <w:rsid w:val="00E20F30"/>
    <w:rsid w:val="00E27BBA"/>
    <w:rsid w:val="00E35E8F"/>
    <w:rsid w:val="00E37E0A"/>
    <w:rsid w:val="00E438E8"/>
    <w:rsid w:val="00E520E2"/>
    <w:rsid w:val="00E64254"/>
    <w:rsid w:val="00EA15B3"/>
    <w:rsid w:val="00EB2358"/>
    <w:rsid w:val="00EB3EB8"/>
    <w:rsid w:val="00EC16FD"/>
    <w:rsid w:val="00EC282E"/>
    <w:rsid w:val="00EC69FC"/>
    <w:rsid w:val="00ED73BA"/>
    <w:rsid w:val="00F468C5"/>
    <w:rsid w:val="00F52F39"/>
    <w:rsid w:val="00F55EF6"/>
    <w:rsid w:val="00F60EDB"/>
    <w:rsid w:val="00F914DD"/>
    <w:rsid w:val="00FA2358"/>
    <w:rsid w:val="00FB2592"/>
    <w:rsid w:val="00FB2810"/>
    <w:rsid w:val="00FC2947"/>
    <w:rsid w:val="00FE0818"/>
    <w:rsid w:val="00FE5A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617BED"/>
  <w15:docId w15:val="{DDFA12D4-8AE9-4E45-867C-2A6BFFBA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3F9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fr-FR"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aliases w:val="encabezado,he,encabezad"/>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超级链接,Style 58,超????,超?级链,하이퍼링크2,하이퍼링크21,CEO_Hyperlink"/>
    <w:basedOn w:val="DefaultParagraphFont"/>
    <w:qForma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table" w:styleId="TableGrid">
    <w:name w:val="Table Grid"/>
    <w:basedOn w:val="TableNormal"/>
    <w:uiPriority w:val="39"/>
    <w:rsid w:val="00940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title0">
    <w:name w:val="Normal after title"/>
    <w:basedOn w:val="Normal"/>
    <w:next w:val="Normal"/>
    <w:link w:val="NormalaftertitleChar"/>
    <w:rsid w:val="000A249C"/>
    <w:pPr>
      <w:overflowPunct/>
      <w:autoSpaceDE/>
      <w:autoSpaceDN/>
      <w:adjustRightInd/>
      <w:spacing w:before="320" w:line="240" w:lineRule="auto"/>
      <w:jc w:val="left"/>
      <w:textAlignment w:val="auto"/>
    </w:pPr>
    <w:rPr>
      <w:rFonts w:ascii="Times New Roman" w:hAnsi="Times New Roman" w:cs="Times New Roman"/>
      <w:sz w:val="24"/>
      <w:szCs w:val="20"/>
      <w:lang w:val="en-GB"/>
    </w:rPr>
  </w:style>
  <w:style w:type="character" w:customStyle="1" w:styleId="NormalaftertitleChar">
    <w:name w:val="Normal after title Char"/>
    <w:link w:val="Normalaftertitle0"/>
    <w:locked/>
    <w:rsid w:val="000A249C"/>
    <w:rPr>
      <w:rFonts w:ascii="Times New Roman" w:hAnsi="Times New Roman" w:cs="Times New Roman"/>
      <w:sz w:val="24"/>
      <w:lang w:val="en-GB" w:eastAsia="en-US"/>
    </w:rPr>
  </w:style>
  <w:style w:type="character" w:customStyle="1" w:styleId="HeaderChar">
    <w:name w:val="Header Char"/>
    <w:aliases w:val="encabezado Char,he Char,encabezad Char"/>
    <w:basedOn w:val="DefaultParagraphFont"/>
    <w:link w:val="Header"/>
    <w:uiPriority w:val="99"/>
    <w:rsid w:val="000A249C"/>
    <w:rPr>
      <w:sz w:val="22"/>
      <w:szCs w:val="22"/>
      <w:lang w:val="fr-FR" w:eastAsia="en-US"/>
    </w:rPr>
  </w:style>
  <w:style w:type="paragraph" w:customStyle="1" w:styleId="AnnexNo">
    <w:name w:val="Annex_No"/>
    <w:basedOn w:val="Normal"/>
    <w:next w:val="Normal"/>
    <w:rsid w:val="004779E0"/>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rFonts w:cs="Times New Roman"/>
      <w:caps/>
      <w:sz w:val="28"/>
      <w:szCs w:val="20"/>
      <w:lang w:val="en-GB"/>
    </w:rPr>
  </w:style>
  <w:style w:type="character" w:styleId="FollowedHyperlink">
    <w:name w:val="FollowedHyperlink"/>
    <w:basedOn w:val="DefaultParagraphFont"/>
    <w:semiHidden/>
    <w:unhideWhenUsed/>
    <w:rsid w:val="008F6485"/>
    <w:rPr>
      <w:color w:val="800080" w:themeColor="followedHyperlink"/>
      <w:u w:val="single"/>
    </w:rPr>
  </w:style>
  <w:style w:type="character" w:customStyle="1" w:styleId="UnresolvedMention1">
    <w:name w:val="Unresolved Mention1"/>
    <w:basedOn w:val="DefaultParagraphFont"/>
    <w:uiPriority w:val="99"/>
    <w:semiHidden/>
    <w:unhideWhenUsed/>
    <w:rsid w:val="00B40E88"/>
    <w:rPr>
      <w:color w:val="605E5C"/>
      <w:shd w:val="clear" w:color="auto" w:fill="E1DFDD"/>
    </w:rPr>
  </w:style>
  <w:style w:type="paragraph" w:customStyle="1" w:styleId="AnnexTitle">
    <w:name w:val="Annex_Title"/>
    <w:basedOn w:val="AnnexNoTitle"/>
    <w:rsid w:val="002C1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bs@itu.int" TargetMode="External"/><Relationship Id="rId13" Type="http://schemas.openxmlformats.org/officeDocument/2006/relationships/hyperlink" Target="https://www.itu.int/en/council/2021/Documents/Consultation-Online-tool-en.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memberstates@itu.in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mberstates@itu.int" TargetMode="External"/><Relationship Id="rId5" Type="http://schemas.openxmlformats.org/officeDocument/2006/relationships/webSettings" Target="webSettings.xml"/><Relationship Id="rId15" Type="http://schemas.openxmlformats.org/officeDocument/2006/relationships/hyperlink" Target="mailto:memberstates@itu.int" TargetMode="External"/><Relationship Id="rId10" Type="http://schemas.openxmlformats.org/officeDocument/2006/relationships/hyperlink" Target="https://www.itu.int/md/S20-SG-CIR-0052/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S19-SG-CIR-0045/en" TargetMode="External"/><Relationship Id="rId14" Type="http://schemas.openxmlformats.org/officeDocument/2006/relationships/hyperlink" Target="https://www.itu.int/en/council/2021/Documents/Consultation-Online-tool-en.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rphy\AppData\Roaming\Microsoft\Templates\ITU\Letter-Fax-F.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91E1F4E630405D87ED20F3F7AB3E34"/>
        <w:category>
          <w:name w:val="General"/>
          <w:gallery w:val="placeholder"/>
        </w:category>
        <w:types>
          <w:type w:val="bbPlcHdr"/>
        </w:types>
        <w:behaviors>
          <w:behavior w:val="content"/>
        </w:behaviors>
        <w:guid w:val="{13BEB421-550D-4D4F-8128-EF320C03D487}"/>
      </w:docPartPr>
      <w:docPartBody>
        <w:p w:rsidR="002D06D8" w:rsidRDefault="00131EAE" w:rsidP="00131EAE">
          <w:pPr>
            <w:pStyle w:val="0E91E1F4E630405D87ED20F3F7AB3E34"/>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Calibri Light">
    <w:panose1 w:val="020F03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EAE"/>
    <w:rsid w:val="00131EAE"/>
    <w:rsid w:val="002D06D8"/>
    <w:rsid w:val="004E39A7"/>
    <w:rsid w:val="005353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1EAE"/>
    <w:rPr>
      <w:color w:val="808080"/>
    </w:rPr>
  </w:style>
  <w:style w:type="paragraph" w:customStyle="1" w:styleId="0E91E1F4E630405D87ED20F3F7AB3E34">
    <w:name w:val="0E91E1F4E630405D87ED20F3F7AB3E34"/>
    <w:rsid w:val="00131E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43B2-AC8C-4E78-AD70-3E867A98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Letter-Fax-F.dotm</Template>
  <TotalTime>1</TotalTime>
  <Pages>5</Pages>
  <Words>1200</Words>
  <Characters>6602</Characters>
  <Application>Microsoft Office Word</Application>
  <DocSecurity>0</DocSecurity>
  <Lines>55</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(French)</vt:lpstr>
      <vt:lpstr>ITU-T Rec. Book 1 Resolutions ITU-T Series A Recommendations:</vt:lpstr>
    </vt:vector>
  </TitlesOfParts>
  <Company>ITU</Company>
  <LinksUpToDate>false</LinksUpToDate>
  <CharactersWithSpaces>7787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(French)</dc:title>
  <dc:creator>Margaret Murphy</dc:creator>
  <cp:lastModifiedBy>Diallo, Maywenn</cp:lastModifiedBy>
  <cp:revision>2</cp:revision>
  <cp:lastPrinted>2010-01-19T09:33:00Z</cp:lastPrinted>
  <dcterms:created xsi:type="dcterms:W3CDTF">2021-04-19T11:49:00Z</dcterms:created>
  <dcterms:modified xsi:type="dcterms:W3CDTF">2021-04-19T11:49:00Z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