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3543"/>
        <w:gridCol w:w="284"/>
        <w:gridCol w:w="4536"/>
      </w:tblGrid>
      <w:tr w:rsidR="003476DD" w:rsidRPr="002A7EEE" w14:paraId="08F037DF" w14:textId="77777777" w:rsidTr="00343C52">
        <w:trPr>
          <w:jc w:val="center"/>
        </w:trPr>
        <w:tc>
          <w:tcPr>
            <w:tcW w:w="9889" w:type="dxa"/>
            <w:gridSpan w:val="4"/>
            <w:shd w:val="clear" w:color="auto" w:fill="auto"/>
          </w:tcPr>
          <w:p w14:paraId="51E2E822" w14:textId="77777777" w:rsidR="003476DD" w:rsidRPr="002A7EEE" w:rsidRDefault="000A249C" w:rsidP="009C6D5D">
            <w:pPr>
              <w:spacing w:line="240" w:lineRule="auto"/>
              <w:jc w:val="left"/>
              <w:rPr>
                <w:rFonts w:cs="Times New Roman Bold"/>
                <w:b/>
                <w:bCs/>
                <w:color w:val="808080"/>
                <w:sz w:val="28"/>
                <w:szCs w:val="28"/>
              </w:rPr>
            </w:pPr>
            <w:bookmarkStart w:id="0" w:name="Origine"/>
            <w:bookmarkEnd w:id="0"/>
            <w:r w:rsidRPr="002A7EEE">
              <w:rPr>
                <w:rFonts w:cs="Times New Roman Bold"/>
                <w:b/>
                <w:bCs/>
                <w:color w:val="808080"/>
                <w:sz w:val="28"/>
                <w:szCs w:val="28"/>
              </w:rPr>
              <w:t>Secrétariat général (SG)</w:t>
            </w:r>
          </w:p>
        </w:tc>
      </w:tr>
      <w:tr w:rsidR="003476DD" w:rsidRPr="002A7EEE" w14:paraId="3A7097BD" w14:textId="77777777" w:rsidTr="00343C52">
        <w:trPr>
          <w:jc w:val="center"/>
        </w:trPr>
        <w:tc>
          <w:tcPr>
            <w:tcW w:w="9889" w:type="dxa"/>
            <w:gridSpan w:val="4"/>
            <w:shd w:val="clear" w:color="auto" w:fill="auto"/>
          </w:tcPr>
          <w:p w14:paraId="029C1F7C" w14:textId="77777777" w:rsidR="003476DD" w:rsidRPr="002A7EEE" w:rsidRDefault="003476DD" w:rsidP="009C6D5D">
            <w:pPr>
              <w:spacing w:line="240" w:lineRule="auto"/>
              <w:jc w:val="left"/>
            </w:pPr>
          </w:p>
        </w:tc>
      </w:tr>
      <w:tr w:rsidR="003476DD" w:rsidRPr="002A7EEE" w14:paraId="4BDC2E91" w14:textId="77777777" w:rsidTr="00343C52">
        <w:trPr>
          <w:jc w:val="center"/>
        </w:trPr>
        <w:tc>
          <w:tcPr>
            <w:tcW w:w="5353" w:type="dxa"/>
            <w:gridSpan w:val="3"/>
            <w:shd w:val="clear" w:color="auto" w:fill="auto"/>
          </w:tcPr>
          <w:p w14:paraId="0C79F047" w14:textId="77777777" w:rsidR="003476DD" w:rsidRPr="002A7EEE" w:rsidRDefault="003476DD" w:rsidP="009C6D5D">
            <w:pPr>
              <w:spacing w:line="240" w:lineRule="auto"/>
              <w:jc w:val="left"/>
            </w:pPr>
          </w:p>
        </w:tc>
        <w:tc>
          <w:tcPr>
            <w:tcW w:w="4536" w:type="dxa"/>
            <w:shd w:val="clear" w:color="auto" w:fill="auto"/>
          </w:tcPr>
          <w:p w14:paraId="3D038A44" w14:textId="5D742893" w:rsidR="003476DD" w:rsidRPr="002A7EEE" w:rsidRDefault="004931E2" w:rsidP="009C6D5D">
            <w:pPr>
              <w:spacing w:line="240" w:lineRule="auto"/>
              <w:ind w:right="57"/>
              <w:jc w:val="left"/>
            </w:pPr>
            <w:r w:rsidRPr="002A7EEE">
              <w:t xml:space="preserve">Genève, le </w:t>
            </w:r>
            <w:sdt>
              <w:sdtPr>
                <w:alias w:val="Date"/>
                <w:tag w:val="Date"/>
                <w:id w:val="-1536891932"/>
                <w:placeholder>
                  <w:docPart w:val="1D22FE2D07864FBA9F5E1678225A5A3B"/>
                </w:placeholder>
                <w:date w:fullDate="2021-03-25T00:00:00Z">
                  <w:dateFormat w:val="d MMMM yyyy"/>
                  <w:lid w:val="fr-FR"/>
                  <w:storeMappedDataAs w:val="date"/>
                  <w:calendar w:val="gregorian"/>
                </w:date>
              </w:sdtPr>
              <w:sdtEndPr/>
              <w:sdtContent>
                <w:r w:rsidRPr="002A7EEE">
                  <w:t>25 mars 2021</w:t>
                </w:r>
              </w:sdtContent>
            </w:sdt>
          </w:p>
        </w:tc>
      </w:tr>
      <w:tr w:rsidR="004931E2" w:rsidRPr="002A7EEE" w14:paraId="36D75024" w14:textId="77777777" w:rsidTr="003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tcBorders>
              <w:top w:val="nil"/>
              <w:left w:val="nil"/>
              <w:bottom w:val="nil"/>
              <w:right w:val="nil"/>
            </w:tcBorders>
            <w:shd w:val="clear" w:color="auto" w:fill="auto"/>
          </w:tcPr>
          <w:p w14:paraId="58F33EAD" w14:textId="77777777" w:rsidR="004931E2" w:rsidRPr="002A7EEE" w:rsidRDefault="004931E2" w:rsidP="009C6D5D">
            <w:pPr>
              <w:spacing w:before="0" w:line="240" w:lineRule="auto"/>
              <w:jc w:val="left"/>
            </w:pPr>
            <w:proofErr w:type="gramStart"/>
            <w:r w:rsidRPr="002A7EEE">
              <w:t>Réf.:</w:t>
            </w:r>
            <w:proofErr w:type="gramEnd"/>
          </w:p>
        </w:tc>
        <w:tc>
          <w:tcPr>
            <w:tcW w:w="3827" w:type="dxa"/>
            <w:gridSpan w:val="2"/>
            <w:tcBorders>
              <w:top w:val="nil"/>
              <w:left w:val="nil"/>
              <w:bottom w:val="nil"/>
              <w:right w:val="nil"/>
            </w:tcBorders>
            <w:shd w:val="clear" w:color="auto" w:fill="auto"/>
          </w:tcPr>
          <w:p w14:paraId="06B85010" w14:textId="2A216392" w:rsidR="004931E2" w:rsidRPr="002A7EEE" w:rsidRDefault="004931E2" w:rsidP="009C6D5D">
            <w:pPr>
              <w:spacing w:before="0" w:line="240" w:lineRule="auto"/>
              <w:jc w:val="left"/>
              <w:rPr>
                <w:b/>
                <w:bCs/>
              </w:rPr>
            </w:pPr>
            <w:r w:rsidRPr="002A7EEE">
              <w:rPr>
                <w:b/>
                <w:bCs/>
              </w:rPr>
              <w:t>DM-21/1008</w:t>
            </w:r>
          </w:p>
        </w:tc>
        <w:tc>
          <w:tcPr>
            <w:tcW w:w="4536" w:type="dxa"/>
            <w:tcBorders>
              <w:top w:val="nil"/>
              <w:left w:val="nil"/>
              <w:bottom w:val="nil"/>
              <w:right w:val="nil"/>
            </w:tcBorders>
            <w:shd w:val="clear" w:color="auto" w:fill="auto"/>
          </w:tcPr>
          <w:p w14:paraId="67E427CA" w14:textId="77777777" w:rsidR="004931E2" w:rsidRPr="002A7EEE" w:rsidRDefault="004931E2" w:rsidP="009C6D5D">
            <w:pPr>
              <w:spacing w:before="0" w:line="240" w:lineRule="auto"/>
              <w:jc w:val="left"/>
            </w:pPr>
          </w:p>
        </w:tc>
      </w:tr>
      <w:tr w:rsidR="004931E2" w:rsidRPr="002A7EEE" w14:paraId="007A2D89" w14:textId="77777777" w:rsidTr="003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tcBorders>
              <w:top w:val="nil"/>
              <w:left w:val="nil"/>
              <w:bottom w:val="nil"/>
              <w:right w:val="nil"/>
            </w:tcBorders>
            <w:shd w:val="clear" w:color="auto" w:fill="auto"/>
          </w:tcPr>
          <w:p w14:paraId="7D2A5429" w14:textId="1ACF7FCB" w:rsidR="004931E2" w:rsidRPr="002A7EEE" w:rsidRDefault="004931E2" w:rsidP="009C6D5D">
            <w:pPr>
              <w:spacing w:before="0" w:line="240" w:lineRule="auto"/>
              <w:jc w:val="left"/>
              <w:rPr>
                <w:iCs/>
                <w:color w:val="FFFFFF" w:themeColor="background1"/>
              </w:rPr>
            </w:pPr>
            <w:proofErr w:type="gramStart"/>
            <w:r w:rsidRPr="002A7EEE">
              <w:rPr>
                <w:iCs/>
              </w:rPr>
              <w:t>Contact:</w:t>
            </w:r>
            <w:proofErr w:type="gramEnd"/>
          </w:p>
        </w:tc>
        <w:tc>
          <w:tcPr>
            <w:tcW w:w="3543" w:type="dxa"/>
            <w:tcBorders>
              <w:top w:val="nil"/>
              <w:left w:val="nil"/>
              <w:bottom w:val="nil"/>
              <w:right w:val="nil"/>
            </w:tcBorders>
            <w:shd w:val="clear" w:color="auto" w:fill="auto"/>
          </w:tcPr>
          <w:p w14:paraId="5BEB95FD" w14:textId="5DF5A464" w:rsidR="004931E2" w:rsidRPr="002A7EEE" w:rsidRDefault="004931E2" w:rsidP="009C6D5D">
            <w:pPr>
              <w:spacing w:before="0" w:line="240" w:lineRule="auto"/>
              <w:jc w:val="left"/>
            </w:pPr>
            <w:bookmarkStart w:id="1" w:name="Contact"/>
            <w:bookmarkEnd w:id="1"/>
            <w:r w:rsidRPr="002A7EEE">
              <w:t>Mme Béatrice Pluchon</w:t>
            </w:r>
          </w:p>
        </w:tc>
        <w:tc>
          <w:tcPr>
            <w:tcW w:w="284" w:type="dxa"/>
            <w:tcBorders>
              <w:top w:val="nil"/>
              <w:left w:val="nil"/>
              <w:bottom w:val="nil"/>
              <w:right w:val="nil"/>
            </w:tcBorders>
            <w:shd w:val="clear" w:color="auto" w:fill="auto"/>
          </w:tcPr>
          <w:p w14:paraId="77E5F6BB" w14:textId="77777777" w:rsidR="004931E2" w:rsidRPr="002A7EEE" w:rsidRDefault="004931E2" w:rsidP="009C6D5D">
            <w:pPr>
              <w:spacing w:before="0" w:line="240" w:lineRule="auto"/>
            </w:pPr>
          </w:p>
        </w:tc>
        <w:tc>
          <w:tcPr>
            <w:tcW w:w="4536" w:type="dxa"/>
            <w:vMerge w:val="restart"/>
            <w:tcBorders>
              <w:top w:val="nil"/>
              <w:left w:val="nil"/>
              <w:bottom w:val="nil"/>
              <w:right w:val="nil"/>
            </w:tcBorders>
            <w:shd w:val="clear" w:color="auto" w:fill="auto"/>
          </w:tcPr>
          <w:p w14:paraId="4C374C62" w14:textId="42560079" w:rsidR="004931E2" w:rsidRPr="002A7EEE" w:rsidRDefault="00FD18BF" w:rsidP="009C7DBA">
            <w:pPr>
              <w:spacing w:before="240" w:line="240" w:lineRule="auto"/>
              <w:jc w:val="left"/>
              <w:rPr>
                <w:color w:val="000000"/>
              </w:rPr>
            </w:pPr>
            <w:r w:rsidRPr="002A7EEE">
              <w:rPr>
                <w:color w:val="000000"/>
              </w:rPr>
              <w:t>Aux États Membres de l</w:t>
            </w:r>
            <w:r w:rsidR="00E53778">
              <w:rPr>
                <w:color w:val="000000"/>
              </w:rPr>
              <w:t>'</w:t>
            </w:r>
            <w:r w:rsidRPr="002A7EEE">
              <w:rPr>
                <w:color w:val="000000"/>
              </w:rPr>
              <w:t>UIT ayant le statut d</w:t>
            </w:r>
            <w:r w:rsidR="00E53778">
              <w:rPr>
                <w:color w:val="000000"/>
              </w:rPr>
              <w:t>'</w:t>
            </w:r>
            <w:r w:rsidRPr="002A7EEE">
              <w:rPr>
                <w:color w:val="000000"/>
              </w:rPr>
              <w:t>observateur</w:t>
            </w:r>
          </w:p>
        </w:tc>
      </w:tr>
      <w:tr w:rsidR="004931E2" w:rsidRPr="002A7EEE" w14:paraId="18F71DCA" w14:textId="77777777" w:rsidTr="003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tcBorders>
              <w:top w:val="nil"/>
              <w:left w:val="nil"/>
              <w:bottom w:val="nil"/>
              <w:right w:val="nil"/>
            </w:tcBorders>
            <w:shd w:val="clear" w:color="auto" w:fill="auto"/>
          </w:tcPr>
          <w:p w14:paraId="6A31A3C1" w14:textId="6279CEAD" w:rsidR="004931E2" w:rsidRPr="002A7EEE" w:rsidRDefault="004931E2" w:rsidP="009C6D5D">
            <w:pPr>
              <w:spacing w:before="0" w:line="240" w:lineRule="auto"/>
              <w:jc w:val="left"/>
              <w:rPr>
                <w:iCs/>
                <w:color w:val="FFFFFF" w:themeColor="background1"/>
              </w:rPr>
            </w:pPr>
            <w:proofErr w:type="gramStart"/>
            <w:r w:rsidRPr="002A7EEE">
              <w:rPr>
                <w:iCs/>
              </w:rPr>
              <w:t>Télécopie:</w:t>
            </w:r>
            <w:proofErr w:type="gramEnd"/>
          </w:p>
        </w:tc>
        <w:tc>
          <w:tcPr>
            <w:tcW w:w="3543" w:type="dxa"/>
            <w:tcBorders>
              <w:top w:val="nil"/>
              <w:left w:val="nil"/>
              <w:bottom w:val="nil"/>
              <w:right w:val="nil"/>
            </w:tcBorders>
            <w:shd w:val="clear" w:color="auto" w:fill="auto"/>
          </w:tcPr>
          <w:p w14:paraId="0D640BCB" w14:textId="33B06DB1" w:rsidR="004931E2" w:rsidRPr="002A7EEE" w:rsidRDefault="004931E2" w:rsidP="009C6D5D">
            <w:pPr>
              <w:spacing w:before="0" w:line="240" w:lineRule="auto"/>
              <w:jc w:val="left"/>
            </w:pPr>
            <w:r w:rsidRPr="002A7EEE">
              <w:t>+41 22 730 6266</w:t>
            </w:r>
          </w:p>
        </w:tc>
        <w:tc>
          <w:tcPr>
            <w:tcW w:w="284" w:type="dxa"/>
            <w:tcBorders>
              <w:top w:val="nil"/>
              <w:left w:val="nil"/>
              <w:bottom w:val="nil"/>
              <w:right w:val="nil"/>
            </w:tcBorders>
            <w:shd w:val="clear" w:color="auto" w:fill="auto"/>
          </w:tcPr>
          <w:p w14:paraId="5225202B" w14:textId="77777777" w:rsidR="004931E2" w:rsidRPr="002A7EEE" w:rsidRDefault="004931E2" w:rsidP="009C6D5D">
            <w:pPr>
              <w:spacing w:before="0" w:line="240" w:lineRule="auto"/>
            </w:pPr>
          </w:p>
        </w:tc>
        <w:tc>
          <w:tcPr>
            <w:tcW w:w="4536" w:type="dxa"/>
            <w:vMerge/>
            <w:tcBorders>
              <w:top w:val="nil"/>
              <w:left w:val="nil"/>
              <w:bottom w:val="nil"/>
              <w:right w:val="nil"/>
            </w:tcBorders>
            <w:shd w:val="clear" w:color="auto" w:fill="auto"/>
          </w:tcPr>
          <w:p w14:paraId="754FFF03" w14:textId="77777777" w:rsidR="004931E2" w:rsidRPr="002A7EEE" w:rsidRDefault="004931E2" w:rsidP="009C6D5D">
            <w:pPr>
              <w:spacing w:before="0" w:line="240" w:lineRule="auto"/>
            </w:pPr>
          </w:p>
        </w:tc>
      </w:tr>
      <w:tr w:rsidR="004931E2" w:rsidRPr="002A7EEE" w14:paraId="6F07A673" w14:textId="77777777" w:rsidTr="003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tcBorders>
              <w:top w:val="nil"/>
              <w:left w:val="nil"/>
              <w:bottom w:val="nil"/>
              <w:right w:val="nil"/>
            </w:tcBorders>
            <w:shd w:val="clear" w:color="auto" w:fill="auto"/>
          </w:tcPr>
          <w:p w14:paraId="5B3E800F" w14:textId="77777777" w:rsidR="004931E2" w:rsidRPr="002A7EEE" w:rsidRDefault="004931E2" w:rsidP="009C6D5D">
            <w:pPr>
              <w:spacing w:before="0" w:line="240" w:lineRule="auto"/>
              <w:jc w:val="left"/>
              <w:rPr>
                <w:iCs/>
                <w:color w:val="FFFFFF" w:themeColor="background1"/>
              </w:rPr>
            </w:pPr>
            <w:proofErr w:type="gramStart"/>
            <w:r w:rsidRPr="002A7EEE">
              <w:t>Courriel</w:t>
            </w:r>
            <w:r w:rsidRPr="002A7EEE">
              <w:rPr>
                <w:iCs/>
              </w:rPr>
              <w:t>:</w:t>
            </w:r>
            <w:proofErr w:type="gramEnd"/>
          </w:p>
        </w:tc>
        <w:tc>
          <w:tcPr>
            <w:tcW w:w="3543" w:type="dxa"/>
            <w:tcBorders>
              <w:top w:val="nil"/>
              <w:left w:val="nil"/>
              <w:bottom w:val="nil"/>
              <w:right w:val="nil"/>
            </w:tcBorders>
            <w:shd w:val="clear" w:color="auto" w:fill="auto"/>
          </w:tcPr>
          <w:p w14:paraId="07C3A9B4" w14:textId="126CDF38" w:rsidR="004931E2" w:rsidRPr="002A7EEE" w:rsidRDefault="00B427A6" w:rsidP="009C6D5D">
            <w:pPr>
              <w:spacing w:before="0" w:line="240" w:lineRule="auto"/>
              <w:jc w:val="left"/>
            </w:pPr>
            <w:hyperlink r:id="rId8" w:history="1">
              <w:r w:rsidR="004931E2" w:rsidRPr="002A7EEE">
                <w:rPr>
                  <w:rStyle w:val="Hyperlink"/>
                </w:rPr>
                <w:t>gbs@itu.int</w:t>
              </w:r>
            </w:hyperlink>
          </w:p>
        </w:tc>
        <w:tc>
          <w:tcPr>
            <w:tcW w:w="284" w:type="dxa"/>
            <w:tcBorders>
              <w:top w:val="nil"/>
              <w:left w:val="nil"/>
              <w:bottom w:val="nil"/>
              <w:right w:val="nil"/>
            </w:tcBorders>
            <w:shd w:val="clear" w:color="auto" w:fill="auto"/>
          </w:tcPr>
          <w:p w14:paraId="7852013B" w14:textId="77777777" w:rsidR="004931E2" w:rsidRPr="002A7EEE" w:rsidRDefault="004931E2" w:rsidP="009C6D5D">
            <w:pPr>
              <w:spacing w:before="0" w:line="240" w:lineRule="auto"/>
            </w:pPr>
          </w:p>
        </w:tc>
        <w:tc>
          <w:tcPr>
            <w:tcW w:w="4536" w:type="dxa"/>
            <w:vMerge/>
            <w:tcBorders>
              <w:top w:val="nil"/>
              <w:left w:val="nil"/>
              <w:bottom w:val="nil"/>
              <w:right w:val="nil"/>
            </w:tcBorders>
            <w:shd w:val="clear" w:color="auto" w:fill="auto"/>
          </w:tcPr>
          <w:p w14:paraId="7D062007" w14:textId="77777777" w:rsidR="004931E2" w:rsidRPr="002A7EEE" w:rsidRDefault="004931E2" w:rsidP="009C6D5D">
            <w:pPr>
              <w:spacing w:before="0" w:line="240" w:lineRule="auto"/>
            </w:pPr>
          </w:p>
        </w:tc>
      </w:tr>
      <w:tr w:rsidR="004931E2" w:rsidRPr="002A7EEE" w14:paraId="2EF4CC10" w14:textId="77777777" w:rsidTr="003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26" w:type="dxa"/>
            <w:tcBorders>
              <w:top w:val="nil"/>
              <w:left w:val="nil"/>
              <w:bottom w:val="nil"/>
              <w:right w:val="nil"/>
            </w:tcBorders>
            <w:shd w:val="clear" w:color="auto" w:fill="auto"/>
          </w:tcPr>
          <w:p w14:paraId="13897800" w14:textId="77777777" w:rsidR="004931E2" w:rsidRPr="002A7EEE" w:rsidRDefault="004931E2" w:rsidP="009C6D5D">
            <w:pPr>
              <w:spacing w:before="0" w:line="240" w:lineRule="auto"/>
              <w:jc w:val="left"/>
              <w:rPr>
                <w:iCs/>
              </w:rPr>
            </w:pPr>
          </w:p>
        </w:tc>
        <w:tc>
          <w:tcPr>
            <w:tcW w:w="8363" w:type="dxa"/>
            <w:gridSpan w:val="3"/>
            <w:tcBorders>
              <w:top w:val="nil"/>
              <w:left w:val="nil"/>
              <w:bottom w:val="nil"/>
              <w:right w:val="nil"/>
            </w:tcBorders>
            <w:shd w:val="clear" w:color="auto" w:fill="auto"/>
          </w:tcPr>
          <w:p w14:paraId="1BCD52F9" w14:textId="77777777" w:rsidR="004931E2" w:rsidRPr="002A7EEE" w:rsidRDefault="004931E2" w:rsidP="009C6D5D">
            <w:pPr>
              <w:spacing w:before="0" w:line="240" w:lineRule="auto"/>
              <w:jc w:val="left"/>
              <w:rPr>
                <w:iCs/>
              </w:rPr>
            </w:pPr>
          </w:p>
        </w:tc>
      </w:tr>
      <w:tr w:rsidR="004931E2" w:rsidRPr="002A7EEE" w14:paraId="1F612434" w14:textId="77777777" w:rsidTr="003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
          <w:jc w:val="center"/>
        </w:trPr>
        <w:tc>
          <w:tcPr>
            <w:tcW w:w="1526" w:type="dxa"/>
            <w:tcBorders>
              <w:top w:val="nil"/>
              <w:left w:val="nil"/>
              <w:bottom w:val="nil"/>
              <w:right w:val="nil"/>
            </w:tcBorders>
            <w:shd w:val="clear" w:color="auto" w:fill="auto"/>
          </w:tcPr>
          <w:p w14:paraId="00453EBC" w14:textId="77777777" w:rsidR="004931E2" w:rsidRPr="002A7EEE" w:rsidRDefault="004931E2" w:rsidP="009C6D5D">
            <w:pPr>
              <w:spacing w:before="120" w:line="240" w:lineRule="auto"/>
              <w:jc w:val="left"/>
              <w:rPr>
                <w:color w:val="000000"/>
              </w:rPr>
            </w:pPr>
            <w:proofErr w:type="gramStart"/>
            <w:r w:rsidRPr="002A7EEE">
              <w:rPr>
                <w:color w:val="000000"/>
              </w:rPr>
              <w:t>Objet:</w:t>
            </w:r>
            <w:proofErr w:type="gramEnd"/>
          </w:p>
        </w:tc>
        <w:tc>
          <w:tcPr>
            <w:tcW w:w="8363" w:type="dxa"/>
            <w:gridSpan w:val="3"/>
            <w:tcBorders>
              <w:top w:val="nil"/>
              <w:left w:val="nil"/>
              <w:bottom w:val="nil"/>
              <w:right w:val="nil"/>
            </w:tcBorders>
            <w:shd w:val="clear" w:color="auto" w:fill="auto"/>
          </w:tcPr>
          <w:p w14:paraId="7B845942" w14:textId="2ED6B804" w:rsidR="004931E2" w:rsidRPr="002A7EEE" w:rsidRDefault="00FD18BF" w:rsidP="009C6D5D">
            <w:pPr>
              <w:spacing w:before="120" w:line="240" w:lineRule="auto"/>
              <w:jc w:val="left"/>
              <w:rPr>
                <w:b/>
                <w:bCs/>
                <w:color w:val="000000"/>
              </w:rPr>
            </w:pPr>
            <w:r w:rsidRPr="002A7EEE">
              <w:rPr>
                <w:b/>
                <w:bCs/>
                <w:color w:val="000000"/>
              </w:rPr>
              <w:t>Organisation de la consultation virtuelle des Conseillers (CVC-1/C21), 8-18 juin 2021</w:t>
            </w:r>
          </w:p>
        </w:tc>
      </w:tr>
    </w:tbl>
    <w:p w14:paraId="6CB69E0E" w14:textId="77777777" w:rsidR="00AF3325" w:rsidRPr="002A7EEE" w:rsidRDefault="000A249C" w:rsidP="009C6D5D">
      <w:pPr>
        <w:pStyle w:val="Normalaftertitle0"/>
        <w:spacing w:before="360"/>
        <w:rPr>
          <w:rFonts w:asciiTheme="minorHAnsi" w:hAnsiTheme="minorHAnsi"/>
          <w:sz w:val="22"/>
          <w:szCs w:val="22"/>
          <w:lang w:val="fr-FR"/>
        </w:rPr>
      </w:pPr>
      <w:bookmarkStart w:id="2" w:name="CurrentLocation"/>
      <w:bookmarkEnd w:id="2"/>
      <w:r w:rsidRPr="002A7EEE">
        <w:rPr>
          <w:rFonts w:asciiTheme="minorHAnsi" w:hAnsiTheme="minorHAnsi"/>
          <w:sz w:val="22"/>
          <w:szCs w:val="22"/>
          <w:lang w:val="fr-FR"/>
        </w:rPr>
        <w:t>Madame, Monsieur,</w:t>
      </w:r>
    </w:p>
    <w:p w14:paraId="548A4ABC" w14:textId="5972BD48" w:rsidR="004931E2" w:rsidRPr="002A7EEE" w:rsidRDefault="00FD18BF" w:rsidP="009C6D5D">
      <w:pPr>
        <w:spacing w:before="120" w:line="240" w:lineRule="auto"/>
        <w:jc w:val="left"/>
      </w:pPr>
      <w:r w:rsidRPr="002A7EEE">
        <w:t>Afin de garantir la continuité des activités de l</w:t>
      </w:r>
      <w:r w:rsidR="00E53778">
        <w:t>'</w:t>
      </w:r>
      <w:r w:rsidRPr="002A7EEE">
        <w:t>Union et de lui permettre de poursuivre ses travaux, il a été décidé qu</w:t>
      </w:r>
      <w:r w:rsidR="00E53778">
        <w:t>'</w:t>
      </w:r>
      <w:r w:rsidRPr="002A7EEE">
        <w:t>une consultation virtuelle des Conseillers (CVC-1/C21) se tiend</w:t>
      </w:r>
      <w:r w:rsidR="009C7DBA">
        <w:t>rait de façon organisée du </w:t>
      </w:r>
      <w:r w:rsidR="00343C52">
        <w:t>8</w:t>
      </w:r>
      <w:r w:rsidR="00D127E1">
        <w:t> </w:t>
      </w:r>
      <w:r w:rsidR="00343C52">
        <w:t>au</w:t>
      </w:r>
      <w:r w:rsidRPr="002A7EEE">
        <w:t>18</w:t>
      </w:r>
      <w:r w:rsidR="00F46AE8">
        <w:t> </w:t>
      </w:r>
      <w:r w:rsidRPr="002A7EEE">
        <w:t>juin 2021, conformément à l</w:t>
      </w:r>
      <w:r w:rsidR="00E53778">
        <w:t>'</w:t>
      </w:r>
      <w:r w:rsidRPr="002A7EEE">
        <w:t>Article 3.1 du Règlement intérieur du Conseil. En conséquence, cette consultation virtuelle se tiendra sous la même forme que celles organisées en 2020, comme indiqué dans l</w:t>
      </w:r>
      <w:r w:rsidR="00E53778">
        <w:t>'</w:t>
      </w:r>
      <w:hyperlink w:anchor="Annexe1" w:history="1">
        <w:r w:rsidR="004931E2" w:rsidRPr="009C6D5D">
          <w:rPr>
            <w:rStyle w:val="Hyperlink"/>
          </w:rPr>
          <w:t>Annex</w:t>
        </w:r>
        <w:r w:rsidRPr="009C6D5D">
          <w:rPr>
            <w:rStyle w:val="Hyperlink"/>
          </w:rPr>
          <w:t>e</w:t>
        </w:r>
        <w:r w:rsidR="004931E2" w:rsidRPr="009C6D5D">
          <w:rPr>
            <w:rStyle w:val="Hyperlink"/>
          </w:rPr>
          <w:t xml:space="preserve"> 1</w:t>
        </w:r>
      </w:hyperlink>
      <w:r w:rsidR="004931E2" w:rsidRPr="002A7EEE">
        <w:t>.</w:t>
      </w:r>
    </w:p>
    <w:p w14:paraId="4A9CE4DD" w14:textId="128705B6" w:rsidR="00FD18BF" w:rsidRPr="002A7EEE" w:rsidRDefault="00FD18BF" w:rsidP="009C6D5D">
      <w:pPr>
        <w:spacing w:before="120" w:line="240" w:lineRule="auto"/>
        <w:jc w:val="left"/>
      </w:pPr>
      <w:r w:rsidRPr="002A7EEE">
        <w:t>Le projet d</w:t>
      </w:r>
      <w:r w:rsidR="00E53778">
        <w:t>'</w:t>
      </w:r>
      <w:r w:rsidRPr="002A7EEE">
        <w:t xml:space="preserve">ordre du jour de la consultation virtuelle des Conseillers est joint en </w:t>
      </w:r>
      <w:hyperlink w:anchor="Annexe2" w:history="1">
        <w:r w:rsidR="004931E2" w:rsidRPr="009C6D5D">
          <w:rPr>
            <w:rStyle w:val="Hyperlink"/>
          </w:rPr>
          <w:t>Annex</w:t>
        </w:r>
        <w:r w:rsidRPr="009C6D5D">
          <w:rPr>
            <w:rStyle w:val="Hyperlink"/>
          </w:rPr>
          <w:t>e</w:t>
        </w:r>
        <w:r w:rsidR="004931E2" w:rsidRPr="009C6D5D">
          <w:rPr>
            <w:rStyle w:val="Hyperlink"/>
          </w:rPr>
          <w:t xml:space="preserve"> 2</w:t>
        </w:r>
      </w:hyperlink>
      <w:r w:rsidR="004931E2" w:rsidRPr="002A7EEE">
        <w:t xml:space="preserve">. </w:t>
      </w:r>
      <w:bookmarkStart w:id="3" w:name="_Hlk40204564"/>
      <w:r w:rsidRPr="002A7EEE">
        <w:t>À toutes fins utiles, vous trouverez à l</w:t>
      </w:r>
      <w:r w:rsidR="00E53778">
        <w:t>'</w:t>
      </w:r>
      <w:hyperlink w:anchor="Annexe3" w:history="1">
        <w:r w:rsidR="00C9302A" w:rsidRPr="009C6D5D">
          <w:rPr>
            <w:rStyle w:val="Hyperlink"/>
          </w:rPr>
          <w:t>Annexe 3</w:t>
        </w:r>
      </w:hyperlink>
      <w:r w:rsidR="00C9302A" w:rsidRPr="002A7EEE">
        <w:t xml:space="preserve"> </w:t>
      </w:r>
      <w:r w:rsidRPr="002A7EEE">
        <w:t>la liste des points dont il est proposé de reporter l</w:t>
      </w:r>
      <w:r w:rsidR="00E53778">
        <w:t>'</w:t>
      </w:r>
      <w:r w:rsidRPr="002A7EEE">
        <w:t>examen à une future réunion.</w:t>
      </w:r>
    </w:p>
    <w:p w14:paraId="0004DF03" w14:textId="359603AC" w:rsidR="00FD18BF" w:rsidRPr="002A7EEE" w:rsidRDefault="00FD18BF" w:rsidP="009C6D5D">
      <w:pPr>
        <w:spacing w:before="120" w:line="240" w:lineRule="auto"/>
        <w:jc w:val="left"/>
      </w:pPr>
      <w:r w:rsidRPr="002A7EEE">
        <w:t xml:space="preserve">Les États Membres sont invités à envoyer leurs contributions à la réunion en utilisant le modèle joint en </w:t>
      </w:r>
      <w:hyperlink w:anchor="Annexe4" w:history="1">
        <w:r w:rsidR="003903C8" w:rsidRPr="009C6D5D">
          <w:rPr>
            <w:rStyle w:val="Hyperlink"/>
          </w:rPr>
          <w:t>Annexe 4</w:t>
        </w:r>
      </w:hyperlink>
      <w:r w:rsidRPr="002A7EEE">
        <w:t xml:space="preserve">. Les contributions doivent parvenir au plus tard le </w:t>
      </w:r>
      <w:r w:rsidRPr="00F46AE8">
        <w:rPr>
          <w:b/>
          <w:bCs/>
        </w:rPr>
        <w:t>25 mai 2021</w:t>
      </w:r>
      <w:r w:rsidRPr="002A7EEE">
        <w:t>.</w:t>
      </w:r>
    </w:p>
    <w:p w14:paraId="55EC18B5" w14:textId="4DE30409" w:rsidR="00FD18BF" w:rsidRPr="002A7EEE" w:rsidRDefault="00FD18BF" w:rsidP="009C6D5D">
      <w:pPr>
        <w:spacing w:before="120" w:line="240" w:lineRule="auto"/>
        <w:jc w:val="left"/>
      </w:pPr>
      <w:r w:rsidRPr="002A7EEE">
        <w:t>Un programme de plan de gestion du temps de la consultation virtuelle sera publié sur le site web du Conseil au cours des prochaines semaines et l</w:t>
      </w:r>
      <w:r w:rsidR="00E53778">
        <w:t>'</w:t>
      </w:r>
      <w:r w:rsidRPr="002A7EEE">
        <w:t>ordre du jour définitif sera confirmé lors de la séance d</w:t>
      </w:r>
      <w:r w:rsidR="00E53778">
        <w:t>'</w:t>
      </w:r>
      <w:r w:rsidRPr="002A7EEE">
        <w:t>ouverture de la consultation virtuelle des Conseillers le 8 juin 2021.</w:t>
      </w:r>
    </w:p>
    <w:p w14:paraId="21C2B34C" w14:textId="6CCA9B64" w:rsidR="00FD18BF" w:rsidRPr="002A7EEE" w:rsidRDefault="00FD18BF" w:rsidP="009C6D5D">
      <w:pPr>
        <w:spacing w:before="120" w:line="240" w:lineRule="auto"/>
        <w:jc w:val="left"/>
      </w:pPr>
      <w:r w:rsidRPr="002A7EEE">
        <w:t>Les inscriptions seront ouvertes à partir du 8 avril 2021 à l</w:t>
      </w:r>
      <w:r w:rsidR="00E53778">
        <w:t>'</w:t>
      </w:r>
      <w:r w:rsidRPr="002A7EEE">
        <w:t xml:space="preserve">adresse </w:t>
      </w:r>
      <w:hyperlink r:id="rId9" w:history="1">
        <w:r w:rsidR="00D127E1" w:rsidRPr="00D44D75">
          <w:rPr>
            <w:rStyle w:val="Hyperlink"/>
          </w:rPr>
          <w:t>https://www.itu.int/en/council/Pages/registration.aspx</w:t>
        </w:r>
      </w:hyperlink>
      <w:r w:rsidRPr="00D127E1">
        <w:t>.</w:t>
      </w:r>
    </w:p>
    <w:bookmarkEnd w:id="3"/>
    <w:p w14:paraId="4A2BF723" w14:textId="0D331320" w:rsidR="00FD18BF" w:rsidRPr="002A7EEE" w:rsidRDefault="00FD18BF" w:rsidP="009C6D5D">
      <w:pPr>
        <w:spacing w:before="120" w:line="240" w:lineRule="auto"/>
        <w:jc w:val="left"/>
      </w:pPr>
      <w:r w:rsidRPr="002A7EEE">
        <w:t>Une réunion informelle aura lieu le 7 juin 2021, suivie d</w:t>
      </w:r>
      <w:r w:rsidR="00E53778">
        <w:t>'</w:t>
      </w:r>
      <w:r w:rsidRPr="002A7EEE">
        <w:t>une séance d</w:t>
      </w:r>
      <w:r w:rsidR="00E53778">
        <w:t>'</w:t>
      </w:r>
      <w:r w:rsidRPr="002A7EEE">
        <w:t>information sur le projet de nouveau bâtiment du siège de l</w:t>
      </w:r>
      <w:r w:rsidR="00E53778">
        <w:t>'</w:t>
      </w:r>
      <w:r w:rsidRPr="002A7EEE">
        <w:t>UIT. L</w:t>
      </w:r>
      <w:r w:rsidR="00E53778">
        <w:t>'</w:t>
      </w:r>
      <w:r w:rsidRPr="002A7EEE">
        <w:t>inscription à la consultation virtuelle des Conseillers donnera accès à la fois à la réunion informelle et à la séance d</w:t>
      </w:r>
      <w:r w:rsidR="00E53778">
        <w:t>'</w:t>
      </w:r>
      <w:r w:rsidRPr="002A7EEE">
        <w:t>information.</w:t>
      </w:r>
    </w:p>
    <w:p w14:paraId="13B4E5FD" w14:textId="77777777" w:rsidR="00FD18BF" w:rsidRPr="002A7EEE" w:rsidRDefault="00FD18BF" w:rsidP="009C6D5D">
      <w:pPr>
        <w:spacing w:before="120" w:line="240" w:lineRule="auto"/>
        <w:jc w:val="left"/>
      </w:pPr>
      <w:r w:rsidRPr="002A7EEE">
        <w:t>Nous comptons sur votre participation active et votre bonne volonté pour faire en sorte que cette consultation virtuelle des Conseillers soit aussi constructive et fructueuse que les précédentes.</w:t>
      </w:r>
    </w:p>
    <w:p w14:paraId="1DE7E072" w14:textId="77777777" w:rsidR="00FD18BF" w:rsidRPr="002A7EEE" w:rsidRDefault="00FD18BF" w:rsidP="009C6D5D">
      <w:pPr>
        <w:spacing w:before="120" w:line="240" w:lineRule="auto"/>
        <w:jc w:val="left"/>
      </w:pPr>
      <w:r w:rsidRPr="002A7EEE">
        <w:t>Je serai très heureux de vous rencontrer virtuellement.</w:t>
      </w:r>
    </w:p>
    <w:p w14:paraId="6B1E8523" w14:textId="77777777" w:rsidR="00FD18BF" w:rsidRPr="002A7EEE" w:rsidRDefault="00FD18BF" w:rsidP="009C6D5D">
      <w:pPr>
        <w:spacing w:before="480" w:after="480" w:line="240" w:lineRule="auto"/>
        <w:jc w:val="left"/>
        <w:rPr>
          <w:i/>
          <w:iCs/>
        </w:rPr>
      </w:pPr>
      <w:r w:rsidRPr="002A7EEE">
        <w:rPr>
          <w:i/>
          <w:iCs/>
        </w:rPr>
        <w:t>(</w:t>
      </w:r>
      <w:proofErr w:type="gramStart"/>
      <w:r w:rsidRPr="002A7EEE">
        <w:rPr>
          <w:i/>
          <w:iCs/>
        </w:rPr>
        <w:t>signé</w:t>
      </w:r>
      <w:proofErr w:type="gramEnd"/>
      <w:r w:rsidRPr="002A7EEE">
        <w:rPr>
          <w:i/>
          <w:iCs/>
        </w:rPr>
        <w:t>)</w:t>
      </w:r>
    </w:p>
    <w:p w14:paraId="671428A5" w14:textId="5055EAC1" w:rsidR="004931E2" w:rsidRPr="002A7EEE" w:rsidRDefault="004931E2" w:rsidP="009C6D5D">
      <w:pPr>
        <w:spacing w:line="240" w:lineRule="auto"/>
        <w:jc w:val="left"/>
      </w:pPr>
      <w:r w:rsidRPr="002A7EEE">
        <w:t>Houlin ZHAO</w:t>
      </w:r>
      <w:r w:rsidRPr="002A7EEE">
        <w:br/>
        <w:t>Secr</w:t>
      </w:r>
      <w:r w:rsidR="00FD18BF" w:rsidRPr="002A7EEE">
        <w:t>étaire général</w:t>
      </w:r>
    </w:p>
    <w:p w14:paraId="0B6834F6" w14:textId="49E5E769" w:rsidR="004931E2" w:rsidRPr="002A7EEE" w:rsidRDefault="004931E2" w:rsidP="009C6D5D">
      <w:pPr>
        <w:spacing w:before="1560" w:line="240" w:lineRule="auto"/>
        <w:jc w:val="left"/>
        <w:rPr>
          <w:b/>
          <w:bCs/>
        </w:rPr>
      </w:pPr>
      <w:proofErr w:type="gramStart"/>
      <w:r w:rsidRPr="002A7EEE">
        <w:rPr>
          <w:b/>
          <w:bCs/>
        </w:rPr>
        <w:lastRenderedPageBreak/>
        <w:t>Annexes</w:t>
      </w:r>
      <w:r w:rsidRPr="009C7DBA">
        <w:rPr>
          <w:bCs/>
        </w:rPr>
        <w:t>:</w:t>
      </w:r>
      <w:proofErr w:type="gramEnd"/>
      <w:r w:rsidRPr="009C7DBA">
        <w:rPr>
          <w:bCs/>
        </w:rPr>
        <w:t xml:space="preserve"> </w:t>
      </w:r>
      <w:r w:rsidR="006506E5" w:rsidRPr="009C7DBA">
        <w:rPr>
          <w:bCs/>
        </w:rPr>
        <w:t>4</w:t>
      </w:r>
    </w:p>
    <w:p w14:paraId="37C46DE0" w14:textId="6F842D13" w:rsidR="004931E2" w:rsidRPr="002A7EEE" w:rsidRDefault="00B427A6" w:rsidP="00427F8D">
      <w:pPr>
        <w:spacing w:before="120" w:line="240" w:lineRule="auto"/>
        <w:jc w:val="left"/>
      </w:pPr>
      <w:hyperlink w:anchor="Annexe1" w:history="1">
        <w:r w:rsidR="004931E2" w:rsidRPr="002A7EEE">
          <w:rPr>
            <w:rStyle w:val="Hyperlink"/>
          </w:rPr>
          <w:t>Annex</w:t>
        </w:r>
        <w:r w:rsidR="006506E5" w:rsidRPr="002A7EEE">
          <w:rPr>
            <w:rStyle w:val="Hyperlink"/>
          </w:rPr>
          <w:t>e</w:t>
        </w:r>
        <w:r w:rsidR="004931E2" w:rsidRPr="002A7EEE">
          <w:rPr>
            <w:rStyle w:val="Hyperlink"/>
          </w:rPr>
          <w:t xml:space="preserve"> 1</w:t>
        </w:r>
      </w:hyperlink>
      <w:r w:rsidR="009C7DBA">
        <w:t xml:space="preserve"> – </w:t>
      </w:r>
      <w:r w:rsidR="00423737" w:rsidRPr="002A7EEE">
        <w:t>Proposition d</w:t>
      </w:r>
      <w:r w:rsidR="00E53778">
        <w:t>'</w:t>
      </w:r>
      <w:r w:rsidR="00423737" w:rsidRPr="002A7EEE">
        <w:t>organisation de la prochaine consultation virtuelle des Conseillers (</w:t>
      </w:r>
      <w:r w:rsidR="009B540F" w:rsidRPr="002A7EEE">
        <w:t>CVC</w:t>
      </w:r>
      <w:r w:rsidR="00423737" w:rsidRPr="002A7EEE">
        <w:t>-1/C21)</w:t>
      </w:r>
    </w:p>
    <w:p w14:paraId="05B8002C" w14:textId="114569C2" w:rsidR="004931E2" w:rsidRPr="002A7EEE" w:rsidRDefault="00B427A6" w:rsidP="00427F8D">
      <w:pPr>
        <w:spacing w:before="120" w:line="240" w:lineRule="auto"/>
        <w:jc w:val="left"/>
      </w:pPr>
      <w:hyperlink w:anchor="Annexe2" w:history="1">
        <w:r w:rsidR="004931E2" w:rsidRPr="002A7EEE">
          <w:rPr>
            <w:rStyle w:val="Hyperlink"/>
          </w:rPr>
          <w:t>Annex</w:t>
        </w:r>
        <w:r w:rsidR="006506E5" w:rsidRPr="002A7EEE">
          <w:rPr>
            <w:rStyle w:val="Hyperlink"/>
          </w:rPr>
          <w:t>e</w:t>
        </w:r>
        <w:r w:rsidR="004931E2" w:rsidRPr="002A7EEE">
          <w:rPr>
            <w:rStyle w:val="Hyperlink"/>
          </w:rPr>
          <w:t xml:space="preserve"> 2</w:t>
        </w:r>
      </w:hyperlink>
      <w:r w:rsidR="009C7DBA">
        <w:t xml:space="preserve"> – </w:t>
      </w:r>
      <w:r w:rsidR="00423737" w:rsidRPr="002A7EEE">
        <w:rPr>
          <w:color w:val="000000"/>
        </w:rPr>
        <w:t>Projet d</w:t>
      </w:r>
      <w:r w:rsidR="00E53778">
        <w:rPr>
          <w:color w:val="000000"/>
        </w:rPr>
        <w:t>'</w:t>
      </w:r>
      <w:r w:rsidR="00423737" w:rsidRPr="002A7EEE">
        <w:rPr>
          <w:color w:val="000000"/>
        </w:rPr>
        <w:t>ordre du jour de la consultation virtuelle des Conseillers (CVC-1/C21)</w:t>
      </w:r>
    </w:p>
    <w:p w14:paraId="7EEB4AA2" w14:textId="1F3534E0" w:rsidR="004931E2" w:rsidRPr="002A7EEE" w:rsidRDefault="00B427A6" w:rsidP="00427F8D">
      <w:pPr>
        <w:spacing w:before="120" w:line="240" w:lineRule="auto"/>
        <w:jc w:val="left"/>
      </w:pPr>
      <w:hyperlink w:anchor="Annexe3" w:history="1">
        <w:r w:rsidR="004931E2" w:rsidRPr="002A7EEE">
          <w:rPr>
            <w:rStyle w:val="Hyperlink"/>
          </w:rPr>
          <w:t>Annex</w:t>
        </w:r>
        <w:r w:rsidR="006506E5" w:rsidRPr="002A7EEE">
          <w:rPr>
            <w:rStyle w:val="Hyperlink"/>
          </w:rPr>
          <w:t>e</w:t>
        </w:r>
        <w:r w:rsidR="004931E2" w:rsidRPr="002A7EEE">
          <w:rPr>
            <w:rStyle w:val="Hyperlink"/>
          </w:rPr>
          <w:t xml:space="preserve"> 3</w:t>
        </w:r>
      </w:hyperlink>
      <w:r w:rsidR="009C7DBA">
        <w:t xml:space="preserve"> – </w:t>
      </w:r>
      <w:r w:rsidR="00423737" w:rsidRPr="002A7EEE">
        <w:t>Points qu</w:t>
      </w:r>
      <w:r w:rsidR="00E53778">
        <w:t>'</w:t>
      </w:r>
      <w:r w:rsidR="00423737" w:rsidRPr="002A7EEE">
        <w:t>il est proposé de reporter à une future réunion</w:t>
      </w:r>
    </w:p>
    <w:p w14:paraId="239B20F7" w14:textId="4311660C" w:rsidR="004931E2" w:rsidRPr="002A7EEE" w:rsidRDefault="00B427A6" w:rsidP="00427F8D">
      <w:pPr>
        <w:spacing w:before="120" w:line="240" w:lineRule="auto"/>
        <w:jc w:val="left"/>
      </w:pPr>
      <w:hyperlink w:anchor="Annexe4" w:history="1">
        <w:r w:rsidR="004931E2" w:rsidRPr="002A7EEE">
          <w:rPr>
            <w:rStyle w:val="Hyperlink"/>
          </w:rPr>
          <w:t>Annex</w:t>
        </w:r>
        <w:r w:rsidR="006506E5" w:rsidRPr="002A7EEE">
          <w:rPr>
            <w:rStyle w:val="Hyperlink"/>
          </w:rPr>
          <w:t>e</w:t>
        </w:r>
        <w:r w:rsidR="004931E2" w:rsidRPr="002A7EEE">
          <w:rPr>
            <w:rStyle w:val="Hyperlink"/>
          </w:rPr>
          <w:t xml:space="preserve"> 4</w:t>
        </w:r>
      </w:hyperlink>
      <w:r w:rsidR="009C7DBA">
        <w:t xml:space="preserve"> – </w:t>
      </w:r>
      <w:r w:rsidR="00423737" w:rsidRPr="002A7EEE">
        <w:t>Modèle pour les contributions des États Membres</w:t>
      </w:r>
    </w:p>
    <w:p w14:paraId="384765C6" w14:textId="3AC6AEF6" w:rsidR="000A249C" w:rsidRPr="002A7EEE" w:rsidRDefault="000A249C" w:rsidP="00427F8D">
      <w:pPr>
        <w:pStyle w:val="Index1"/>
        <w:spacing w:before="120" w:line="240" w:lineRule="auto"/>
        <w:rPr>
          <w:rFonts w:asciiTheme="minorHAnsi" w:hAnsiTheme="minorHAnsi"/>
        </w:rPr>
      </w:pPr>
    </w:p>
    <w:p w14:paraId="261826D0" w14:textId="77777777" w:rsidR="000A249C" w:rsidRPr="002A7EEE" w:rsidRDefault="000A249C" w:rsidP="009C6D5D">
      <w:pPr>
        <w:tabs>
          <w:tab w:val="clear" w:pos="794"/>
          <w:tab w:val="clear" w:pos="1191"/>
          <w:tab w:val="clear" w:pos="1588"/>
          <w:tab w:val="clear" w:pos="1985"/>
        </w:tabs>
        <w:overflowPunct/>
        <w:autoSpaceDE/>
        <w:autoSpaceDN/>
        <w:adjustRightInd/>
        <w:spacing w:before="0" w:line="240" w:lineRule="auto"/>
        <w:jc w:val="left"/>
        <w:textAlignment w:val="auto"/>
        <w:rPr>
          <w:sz w:val="20"/>
          <w:szCs w:val="20"/>
        </w:rPr>
      </w:pPr>
      <w:r w:rsidRPr="002A7EEE">
        <w:rPr>
          <w:sz w:val="20"/>
          <w:szCs w:val="20"/>
        </w:rPr>
        <w:br w:type="page"/>
      </w:r>
    </w:p>
    <w:p w14:paraId="211733AC" w14:textId="44D7435E" w:rsidR="004931E2" w:rsidRPr="002A7EEE" w:rsidRDefault="004931E2" w:rsidP="009C6D5D">
      <w:pPr>
        <w:pStyle w:val="AnnexNoTitle"/>
        <w:spacing w:before="0" w:line="240" w:lineRule="auto"/>
      </w:pPr>
      <w:r w:rsidRPr="002A7EEE">
        <w:lastRenderedPageBreak/>
        <w:t>ANNEXE 1</w:t>
      </w:r>
      <w:bookmarkStart w:id="4" w:name="Annexe1"/>
      <w:bookmarkEnd w:id="4"/>
      <w:r w:rsidRPr="002A7EEE">
        <w:br/>
      </w:r>
      <w:r w:rsidRPr="002A7EEE">
        <w:br/>
        <w:t>Proposition d</w:t>
      </w:r>
      <w:r w:rsidR="00E53778">
        <w:t>'</w:t>
      </w:r>
      <w:r w:rsidRPr="002A7EEE">
        <w:t>organisation de la prochaine consultation virtuelle des Conseillers (</w:t>
      </w:r>
      <w:r w:rsidR="00423737" w:rsidRPr="002A7EEE">
        <w:rPr>
          <w:color w:val="000000"/>
        </w:rPr>
        <w:t>CVC</w:t>
      </w:r>
      <w:r w:rsidRPr="002A7EEE">
        <w:rPr>
          <w:color w:val="000000"/>
        </w:rPr>
        <w:t>-1/C21</w:t>
      </w:r>
      <w:r w:rsidRPr="002A7EEE">
        <w:rPr>
          <w:bCs/>
        </w:rPr>
        <w:t>)</w:t>
      </w:r>
    </w:p>
    <w:p w14:paraId="12261352" w14:textId="675B0753" w:rsidR="004931E2" w:rsidRPr="002A7EEE" w:rsidRDefault="004931E2" w:rsidP="009C6D5D">
      <w:pPr>
        <w:pStyle w:val="Normalaftertitle"/>
        <w:spacing w:line="240" w:lineRule="auto"/>
        <w:jc w:val="left"/>
      </w:pPr>
      <w:r w:rsidRPr="002A7EEE">
        <w:t>La consultation virtuelle se tiendra de façon organisée, conformément à l</w:t>
      </w:r>
      <w:r w:rsidR="00E53778">
        <w:t>'</w:t>
      </w:r>
      <w:r w:rsidRPr="002A7EEE">
        <w:t>Article 3.1 du Règlement intérieur du Conseil.</w:t>
      </w:r>
    </w:p>
    <w:p w14:paraId="59BFEF5A" w14:textId="77777777" w:rsidR="004931E2" w:rsidRPr="002A7EEE" w:rsidRDefault="004931E2" w:rsidP="00447A97">
      <w:pPr>
        <w:spacing w:before="120" w:line="240" w:lineRule="auto"/>
        <w:ind w:left="720"/>
        <w:jc w:val="left"/>
        <w:rPr>
          <w:i/>
          <w:iCs/>
        </w:rPr>
      </w:pPr>
      <w:r w:rsidRPr="002A7EEE">
        <w:rPr>
          <w:i/>
          <w:iCs/>
        </w:rPr>
        <w:t>3.1</w:t>
      </w:r>
      <w:r w:rsidRPr="002A7EEE">
        <w:rPr>
          <w:i/>
          <w:iCs/>
        </w:rPr>
        <w:tab/>
        <w:t xml:space="preserve">En dehors des sessions, les conseillers peuvent se consulter par </w:t>
      </w:r>
      <w:proofErr w:type="gramStart"/>
      <w:r w:rsidRPr="002A7EEE">
        <w:rPr>
          <w:i/>
          <w:iCs/>
        </w:rPr>
        <w:t>correspondance:</w:t>
      </w:r>
      <w:proofErr w:type="gramEnd"/>
    </w:p>
    <w:p w14:paraId="334E433C" w14:textId="77777777" w:rsidR="004931E2" w:rsidRPr="002A7EEE" w:rsidRDefault="004931E2" w:rsidP="009C6D5D">
      <w:pPr>
        <w:pStyle w:val="enumlev1"/>
        <w:spacing w:line="240" w:lineRule="auto"/>
        <w:ind w:left="1514"/>
        <w:jc w:val="left"/>
        <w:rPr>
          <w:i/>
          <w:iCs/>
        </w:rPr>
      </w:pPr>
      <w:r w:rsidRPr="002A7EEE">
        <w:rPr>
          <w:i/>
          <w:iCs/>
        </w:rPr>
        <w:t>–</w:t>
      </w:r>
      <w:r w:rsidRPr="002A7EEE">
        <w:rPr>
          <w:i/>
          <w:iCs/>
        </w:rPr>
        <w:tab/>
        <w:t>soit de façon informelle,</w:t>
      </w:r>
    </w:p>
    <w:p w14:paraId="5C763215" w14:textId="1B15CAA1" w:rsidR="004931E2" w:rsidRPr="002A7EEE" w:rsidRDefault="004931E2" w:rsidP="009C6D5D">
      <w:pPr>
        <w:pStyle w:val="enumlev1"/>
        <w:spacing w:line="240" w:lineRule="auto"/>
        <w:ind w:left="1191" w:hanging="471"/>
        <w:jc w:val="left"/>
        <w:rPr>
          <w:i/>
          <w:iCs/>
        </w:rPr>
      </w:pPr>
      <w:r w:rsidRPr="002A7EEE">
        <w:rPr>
          <w:i/>
          <w:iCs/>
        </w:rPr>
        <w:t>–</w:t>
      </w:r>
      <w:r w:rsidRPr="002A7EEE">
        <w:rPr>
          <w:i/>
          <w:iCs/>
        </w:rPr>
        <w:tab/>
        <w:t>soit de façon organisée par l</w:t>
      </w:r>
      <w:r w:rsidR="00E53778">
        <w:rPr>
          <w:i/>
          <w:iCs/>
        </w:rPr>
        <w:t>'</w:t>
      </w:r>
      <w:r w:rsidRPr="002A7EEE">
        <w:rPr>
          <w:i/>
          <w:iCs/>
        </w:rPr>
        <w:t>intermédiaire du Président ou, s</w:t>
      </w:r>
      <w:r w:rsidR="00E53778">
        <w:rPr>
          <w:i/>
          <w:iCs/>
        </w:rPr>
        <w:t>'</w:t>
      </w:r>
      <w:r w:rsidRPr="002A7EEE">
        <w:rPr>
          <w:i/>
          <w:iCs/>
        </w:rPr>
        <w:t>il n</w:t>
      </w:r>
      <w:r w:rsidR="00E53778">
        <w:rPr>
          <w:i/>
          <w:iCs/>
        </w:rPr>
        <w:t>'</w:t>
      </w:r>
      <w:r w:rsidRPr="002A7EEE">
        <w:rPr>
          <w:i/>
          <w:iCs/>
        </w:rPr>
        <w:t>est pas disponible, du Vice</w:t>
      </w:r>
      <w:r w:rsidRPr="002A7EEE">
        <w:rPr>
          <w:i/>
          <w:iCs/>
        </w:rPr>
        <w:noBreakHyphen/>
        <w:t>Président du Conseil avec l</w:t>
      </w:r>
      <w:r w:rsidR="00E53778">
        <w:rPr>
          <w:i/>
          <w:iCs/>
        </w:rPr>
        <w:t>'</w:t>
      </w:r>
      <w:r w:rsidRPr="002A7EEE">
        <w:rPr>
          <w:i/>
          <w:iCs/>
        </w:rPr>
        <w:t>aide du Secrétaire général.</w:t>
      </w:r>
    </w:p>
    <w:p w14:paraId="3D6C2EF0" w14:textId="03666543" w:rsidR="004931E2" w:rsidRPr="002A7EEE" w:rsidRDefault="004931E2" w:rsidP="009C7DBA">
      <w:pPr>
        <w:spacing w:line="240" w:lineRule="auto"/>
        <w:jc w:val="left"/>
        <w:rPr>
          <w:u w:val="single"/>
        </w:rPr>
      </w:pPr>
      <w:r w:rsidRPr="002A7EEE">
        <w:rPr>
          <w:u w:val="single"/>
        </w:rPr>
        <w:t>Projet d</w:t>
      </w:r>
      <w:r w:rsidR="00E53778">
        <w:rPr>
          <w:u w:val="single"/>
        </w:rPr>
        <w:t>'</w:t>
      </w:r>
      <w:r w:rsidRPr="002A7EEE">
        <w:rPr>
          <w:u w:val="single"/>
        </w:rPr>
        <w:t>ordre du jour</w:t>
      </w:r>
    </w:p>
    <w:p w14:paraId="7A5188D2" w14:textId="726A4E79" w:rsidR="004931E2" w:rsidRPr="002A7EEE" w:rsidRDefault="004931E2" w:rsidP="00447A97">
      <w:pPr>
        <w:spacing w:before="120" w:line="240" w:lineRule="auto"/>
        <w:jc w:val="left"/>
      </w:pPr>
      <w:r w:rsidRPr="002A7EEE">
        <w:t>Pour assurer la continuité des activités, les participants à la consultation virtuelle examineront les points de l</w:t>
      </w:r>
      <w:r w:rsidR="00E53778">
        <w:t>'</w:t>
      </w:r>
      <w:r w:rsidRPr="002A7EEE">
        <w:t xml:space="preserve">ordre du jour considérés comme urgents. </w:t>
      </w:r>
    </w:p>
    <w:p w14:paraId="24FAE61D" w14:textId="238505AC" w:rsidR="004931E2" w:rsidRPr="002A7EEE" w:rsidRDefault="004931E2" w:rsidP="00447A97">
      <w:pPr>
        <w:spacing w:before="120" w:line="240" w:lineRule="auto"/>
        <w:jc w:val="left"/>
      </w:pPr>
      <w:r w:rsidRPr="002A7EEE">
        <w:t>Veuillez trouver dans l</w:t>
      </w:r>
      <w:r w:rsidR="00E53778">
        <w:t>'</w:t>
      </w:r>
      <w:hyperlink w:anchor="Annexe2" w:history="1">
        <w:r w:rsidRPr="002A7EEE">
          <w:rPr>
            <w:rStyle w:val="Hyperlink"/>
          </w:rPr>
          <w:t>Annexe 2</w:t>
        </w:r>
      </w:hyperlink>
      <w:r w:rsidRPr="002A7EEE">
        <w:t xml:space="preserve"> les points que le secrétariat considère comme urgents (</w:t>
      </w:r>
      <w:r w:rsidR="00423737" w:rsidRPr="002A7EEE">
        <w:t>g</w:t>
      </w:r>
      <w:r w:rsidRPr="002A7EEE">
        <w:t>roupe 1) et propose d</w:t>
      </w:r>
      <w:r w:rsidR="00E53778">
        <w:t>'</w:t>
      </w:r>
      <w:r w:rsidRPr="002A7EEE">
        <w:t xml:space="preserve">examiner lors de la </w:t>
      </w:r>
      <w:r w:rsidR="009B540F" w:rsidRPr="002A7EEE">
        <w:t>CVC</w:t>
      </w:r>
      <w:r w:rsidRPr="002A7EEE">
        <w:t xml:space="preserve">-1/C21. </w:t>
      </w:r>
      <w:r w:rsidR="00423737" w:rsidRPr="002A7EEE">
        <w:t>L</w:t>
      </w:r>
      <w:r w:rsidR="00E53778">
        <w:t>'</w:t>
      </w:r>
      <w:hyperlink w:anchor="Annexe3" w:history="1">
        <w:r w:rsidR="00423737" w:rsidRPr="002A7EEE">
          <w:rPr>
            <w:rStyle w:val="Hyperlink"/>
          </w:rPr>
          <w:t>Annexe 3</w:t>
        </w:r>
      </w:hyperlink>
      <w:r w:rsidR="00423737" w:rsidRPr="002A7EEE">
        <w:t xml:space="preserve"> </w:t>
      </w:r>
      <w:r w:rsidRPr="002A7EEE">
        <w:t xml:space="preserve">comprend la liste des points que le secrétariat propose de traiter lors </w:t>
      </w:r>
      <w:r w:rsidR="00423737" w:rsidRPr="002A7EEE">
        <w:t>d</w:t>
      </w:r>
      <w:r w:rsidR="00E53778">
        <w:t>'</w:t>
      </w:r>
      <w:r w:rsidR="00423737" w:rsidRPr="002A7EEE">
        <w:t xml:space="preserve">une future réunion </w:t>
      </w:r>
      <w:r w:rsidRPr="002A7EEE">
        <w:t>(</w:t>
      </w:r>
      <w:r w:rsidR="00423737" w:rsidRPr="002A7EEE">
        <w:t>g</w:t>
      </w:r>
      <w:r w:rsidRPr="002A7EEE">
        <w:t>roupe 2).</w:t>
      </w:r>
    </w:p>
    <w:p w14:paraId="485AA9E5" w14:textId="77777777" w:rsidR="004931E2" w:rsidRPr="002A7EEE" w:rsidRDefault="004931E2" w:rsidP="00447A97">
      <w:pPr>
        <w:spacing w:before="120" w:line="240" w:lineRule="auto"/>
        <w:jc w:val="left"/>
      </w:pPr>
      <w:r w:rsidRPr="002A7EEE">
        <w:t>Le programme de gestion du temps</w:t>
      </w:r>
      <w:r w:rsidRPr="002A7EEE">
        <w:rPr>
          <w:color w:val="000000"/>
        </w:rPr>
        <w:t xml:space="preserve"> sera publié sur le site web du Conseil</w:t>
      </w:r>
      <w:r w:rsidRPr="002A7EEE">
        <w:t xml:space="preserve"> </w:t>
      </w:r>
      <w:r w:rsidRPr="002A7EEE">
        <w:rPr>
          <w:color w:val="000000"/>
        </w:rPr>
        <w:t>avant la consultation virtuelle.</w:t>
      </w:r>
    </w:p>
    <w:p w14:paraId="59349B58" w14:textId="77777777" w:rsidR="004931E2" w:rsidRPr="002A7EEE" w:rsidRDefault="004931E2" w:rsidP="009C7DBA">
      <w:pPr>
        <w:spacing w:line="240" w:lineRule="auto"/>
        <w:jc w:val="left"/>
        <w:rPr>
          <w:u w:val="single"/>
        </w:rPr>
      </w:pPr>
      <w:r w:rsidRPr="002A7EEE">
        <w:rPr>
          <w:u w:val="single"/>
        </w:rPr>
        <w:t>Présidence</w:t>
      </w:r>
    </w:p>
    <w:p w14:paraId="5238610D" w14:textId="41EB65CE" w:rsidR="004931E2" w:rsidRPr="002A7EEE" w:rsidRDefault="004931E2" w:rsidP="00447A97">
      <w:pPr>
        <w:spacing w:before="120" w:line="240" w:lineRule="auto"/>
        <w:jc w:val="left"/>
      </w:pPr>
      <w:r w:rsidRPr="002A7EEE">
        <w:t>Il est proposé que le Vice-Président du Conseil, M. Saif Bin Ghelaita, continue de diriger les discussions, comme il l</w:t>
      </w:r>
      <w:r w:rsidR="00E53778">
        <w:t>'</w:t>
      </w:r>
      <w:r w:rsidRPr="002A7EEE">
        <w:t>a fait avec succès durant les précédentes consultations virtuelles des Conseillers.</w:t>
      </w:r>
    </w:p>
    <w:p w14:paraId="57F000A5" w14:textId="77777777" w:rsidR="004931E2" w:rsidRPr="002A7EEE" w:rsidRDefault="004931E2" w:rsidP="009C7DBA">
      <w:pPr>
        <w:spacing w:line="240" w:lineRule="auto"/>
        <w:jc w:val="left"/>
      </w:pPr>
      <w:r w:rsidRPr="002A7EEE">
        <w:rPr>
          <w:u w:val="single"/>
        </w:rPr>
        <w:t>Participation</w:t>
      </w:r>
    </w:p>
    <w:p w14:paraId="2D559A60" w14:textId="2A2F6812" w:rsidR="004931E2" w:rsidRPr="002A7EEE" w:rsidRDefault="004931E2" w:rsidP="00447A97">
      <w:pPr>
        <w:spacing w:before="120" w:line="240" w:lineRule="auto"/>
        <w:jc w:val="left"/>
      </w:pPr>
      <w:r w:rsidRPr="002A7EEE">
        <w:t>La consultation virtuelle sera ouverte à tous les membres des délégations des États Membres du Conseil et des États Membres ayant le statut d</w:t>
      </w:r>
      <w:r w:rsidR="00E53778">
        <w:t>'</w:t>
      </w:r>
      <w:r w:rsidRPr="002A7EEE">
        <w:t>observateur, à l</w:t>
      </w:r>
      <w:r w:rsidR="00E53778">
        <w:t>'</w:t>
      </w:r>
      <w:r w:rsidRPr="002A7EEE">
        <w:t>observateur de l</w:t>
      </w:r>
      <w:r w:rsidR="00E53778">
        <w:t>'</w:t>
      </w:r>
      <w:r w:rsidRPr="002A7EEE">
        <w:t>État de Palestine et aux neuf Membres de Secteur qui seront désignés pour la session de 2021 du Conseil (3 par Secteur).</w:t>
      </w:r>
    </w:p>
    <w:p w14:paraId="481025F2" w14:textId="77777777" w:rsidR="004931E2" w:rsidRPr="002A7EEE" w:rsidRDefault="004931E2" w:rsidP="009C7DBA">
      <w:pPr>
        <w:spacing w:line="240" w:lineRule="auto"/>
        <w:jc w:val="left"/>
        <w:rPr>
          <w:u w:val="single"/>
        </w:rPr>
      </w:pPr>
      <w:r w:rsidRPr="002A7EEE">
        <w:rPr>
          <w:u w:val="single"/>
        </w:rPr>
        <w:t>Date limite de soumission des contributions du Secrétariat</w:t>
      </w:r>
    </w:p>
    <w:p w14:paraId="2E8CA349" w14:textId="77777777" w:rsidR="004931E2" w:rsidRPr="002A7EEE" w:rsidRDefault="004931E2" w:rsidP="00447A97">
      <w:pPr>
        <w:spacing w:before="120" w:line="240" w:lineRule="auto"/>
        <w:jc w:val="left"/>
      </w:pPr>
      <w:r w:rsidRPr="002A7EEE">
        <w:t>Les documents du secrétariat seront mis en ligne conformément à la Décision 5 (Rév. Dubaï, 2018) de la Conférence de plénipotentiaires et à la Décision 556 (MOD C16) du Conseil – Soumission de documents aux sessions du Conseil.</w:t>
      </w:r>
    </w:p>
    <w:p w14:paraId="6460F059" w14:textId="77777777" w:rsidR="004931E2" w:rsidRPr="002A7EEE" w:rsidRDefault="004931E2" w:rsidP="009C7DBA">
      <w:pPr>
        <w:spacing w:line="240" w:lineRule="auto"/>
        <w:jc w:val="left"/>
        <w:rPr>
          <w:u w:val="single"/>
        </w:rPr>
      </w:pPr>
      <w:r w:rsidRPr="002A7EEE">
        <w:rPr>
          <w:u w:val="single"/>
        </w:rPr>
        <w:t xml:space="preserve">Date limite de soumission des contributions des États Membres </w:t>
      </w:r>
    </w:p>
    <w:p w14:paraId="75F17573" w14:textId="08D18A97" w:rsidR="004931E2" w:rsidRPr="002A7EEE" w:rsidRDefault="004931E2" w:rsidP="00447A97">
      <w:pPr>
        <w:spacing w:before="120" w:line="240" w:lineRule="auto"/>
        <w:jc w:val="left"/>
      </w:pPr>
      <w:r w:rsidRPr="002A7EEE">
        <w:t>Les États Membres pourront envoyer des contributions au plus tard 14 jours avant l</w:t>
      </w:r>
      <w:r w:rsidR="00E53778">
        <w:t>'</w:t>
      </w:r>
      <w:r w:rsidRPr="002A7EEE">
        <w:t>ouverture de la consultation virtuelle des Conseillers, c</w:t>
      </w:r>
      <w:r w:rsidR="00E53778">
        <w:t>'</w:t>
      </w:r>
      <w:r w:rsidRPr="002A7EEE">
        <w:t>est-à-dire le </w:t>
      </w:r>
      <w:r w:rsidRPr="002A7EEE">
        <w:rPr>
          <w:b/>
          <w:bCs/>
        </w:rPr>
        <w:t>25 mai 2021</w:t>
      </w:r>
      <w:r w:rsidRPr="002A7EEE">
        <w:t>, à l</w:t>
      </w:r>
      <w:r w:rsidR="00E53778">
        <w:t>'</w:t>
      </w:r>
      <w:r w:rsidRPr="002A7EEE">
        <w:t xml:space="preserve">adresse </w:t>
      </w:r>
      <w:hyperlink r:id="rId10" w:history="1">
        <w:r w:rsidRPr="002A7EEE">
          <w:rPr>
            <w:rStyle w:val="Hyperlink"/>
          </w:rPr>
          <w:t>contributions@itu.int</w:t>
        </w:r>
      </w:hyperlink>
      <w:r w:rsidRPr="002A7EEE">
        <w:t xml:space="preserve">. Les contributions devraient être succinctes (2 pages maximum). </w:t>
      </w:r>
    </w:p>
    <w:p w14:paraId="4B33A4ED" w14:textId="77777777" w:rsidR="004931E2" w:rsidRPr="002A7EEE" w:rsidRDefault="004931E2" w:rsidP="009C7DBA">
      <w:pPr>
        <w:spacing w:line="240" w:lineRule="auto"/>
        <w:jc w:val="left"/>
        <w:rPr>
          <w:u w:val="single"/>
        </w:rPr>
      </w:pPr>
      <w:r w:rsidRPr="002A7EEE">
        <w:rPr>
          <w:u w:val="single"/>
        </w:rPr>
        <w:t>Conduite des débats</w:t>
      </w:r>
    </w:p>
    <w:p w14:paraId="174B0486" w14:textId="4C5F6A82" w:rsidR="004931E2" w:rsidRPr="002A7EEE" w:rsidRDefault="004931E2" w:rsidP="009C6D5D">
      <w:pPr>
        <w:pStyle w:val="enumlev1"/>
        <w:spacing w:line="240" w:lineRule="auto"/>
        <w:jc w:val="left"/>
      </w:pPr>
      <w:r w:rsidRPr="002A7EEE">
        <w:t>•</w:t>
      </w:r>
      <w:r w:rsidRPr="002A7EEE">
        <w:tab/>
        <w:t>La consultation virtuelle sera de nature strictement consultative, et n</w:t>
      </w:r>
      <w:r w:rsidR="00E53778">
        <w:t>'</w:t>
      </w:r>
      <w:r w:rsidRPr="002A7EEE">
        <w:t>aura aucun caractère décisionnel.</w:t>
      </w:r>
    </w:p>
    <w:p w14:paraId="33F935CA" w14:textId="77777777" w:rsidR="004931E2" w:rsidRPr="002A7EEE" w:rsidRDefault="004931E2" w:rsidP="009C6D5D">
      <w:pPr>
        <w:pStyle w:val="enumlev1"/>
        <w:spacing w:line="240" w:lineRule="auto"/>
        <w:jc w:val="left"/>
      </w:pPr>
      <w:r w:rsidRPr="002A7EEE">
        <w:t>•</w:t>
      </w:r>
      <w:r w:rsidRPr="002A7EEE">
        <w:tab/>
        <w:t>Lors des discussions, la parole sera donnée en priorité aux États Membres du Conseil.</w:t>
      </w:r>
    </w:p>
    <w:p w14:paraId="7A914731" w14:textId="7114802C" w:rsidR="004931E2" w:rsidRPr="002A7EEE" w:rsidRDefault="004931E2" w:rsidP="009C6D5D">
      <w:pPr>
        <w:pStyle w:val="enumlev1"/>
        <w:spacing w:line="240" w:lineRule="auto"/>
        <w:jc w:val="left"/>
      </w:pPr>
      <w:r w:rsidRPr="002A7EEE">
        <w:t>•</w:t>
      </w:r>
      <w:r w:rsidRPr="002A7EEE">
        <w:tab/>
        <w:t>Si les participants ne parviennent pas à un consensus ou si un État Membre du Conseil souhaite que l</w:t>
      </w:r>
      <w:r w:rsidR="00E53778">
        <w:t>'</w:t>
      </w:r>
      <w:r w:rsidRPr="002A7EEE">
        <w:t>examen d</w:t>
      </w:r>
      <w:r w:rsidR="00E53778">
        <w:t>'</w:t>
      </w:r>
      <w:r w:rsidRPr="002A7EEE">
        <w:t>un document ou que la formulation d</w:t>
      </w:r>
      <w:r w:rsidR="00E53778">
        <w:t>'</w:t>
      </w:r>
      <w:r w:rsidRPr="002A7EEE">
        <w:t xml:space="preserve">une conclusion soit </w:t>
      </w:r>
      <w:proofErr w:type="gramStart"/>
      <w:r w:rsidRPr="002A7EEE">
        <w:t>reporté</w:t>
      </w:r>
      <w:proofErr w:type="gramEnd"/>
      <w:r w:rsidRPr="002A7EEE">
        <w:t>, ce document ou</w:t>
      </w:r>
      <w:r w:rsidR="007047E4">
        <w:t xml:space="preserve"> </w:t>
      </w:r>
      <w:r w:rsidRPr="002A7EEE">
        <w:t>cette conclusion sera reporté à la session physique ultérieure du Conseil en 2022.</w:t>
      </w:r>
    </w:p>
    <w:p w14:paraId="32652793" w14:textId="0673C928" w:rsidR="004931E2" w:rsidRPr="002A7EEE" w:rsidRDefault="004931E2" w:rsidP="00D5557A">
      <w:pPr>
        <w:pStyle w:val="enumlev1"/>
        <w:keepNext/>
        <w:keepLines/>
        <w:spacing w:line="240" w:lineRule="auto"/>
        <w:jc w:val="left"/>
      </w:pPr>
      <w:r w:rsidRPr="002A7EEE">
        <w:lastRenderedPageBreak/>
        <w:t>•</w:t>
      </w:r>
      <w:r w:rsidRPr="002A7EEE">
        <w:tab/>
      </w:r>
      <w:bookmarkStart w:id="5" w:name="_Hlk38872999"/>
      <w:r w:rsidRPr="002A7EEE">
        <w:t>Si, au cours de l</w:t>
      </w:r>
      <w:r w:rsidR="00E53778">
        <w:t>'</w:t>
      </w:r>
      <w:r w:rsidRPr="002A7EEE">
        <w:t>examen d</w:t>
      </w:r>
      <w:r w:rsidR="00E53778">
        <w:t>'</w:t>
      </w:r>
      <w:r w:rsidRPr="002A7EEE">
        <w:t>un document figurant à l</w:t>
      </w:r>
      <w:r w:rsidR="00E53778">
        <w:t>'</w:t>
      </w:r>
      <w:r w:rsidRPr="002A7EEE">
        <w:t>ordre du jour de la consultation virtuelle, les participants ne parviennent pas à un consensus ou si un État Membre du Conseil propose de suspendre les débats ou soulève une objection au sujet de la proposition de conclusion concernant le document, l</w:t>
      </w:r>
      <w:r w:rsidR="00E53778">
        <w:t>'</w:t>
      </w:r>
      <w:r w:rsidRPr="002A7EEE">
        <w:t>examen dudit document sera reporté à la session physique ultérieure du Conseil</w:t>
      </w:r>
      <w:bookmarkEnd w:id="5"/>
      <w:r w:rsidRPr="002A7EEE">
        <w:t xml:space="preserve"> en 2022.</w:t>
      </w:r>
    </w:p>
    <w:p w14:paraId="6DAC0725" w14:textId="02BDFAFA" w:rsidR="004931E2" w:rsidRPr="002A7EEE" w:rsidRDefault="004931E2" w:rsidP="009C6D5D">
      <w:pPr>
        <w:pStyle w:val="enumlev1"/>
        <w:spacing w:line="240" w:lineRule="auto"/>
        <w:jc w:val="left"/>
      </w:pPr>
      <w:r w:rsidRPr="002A7EEE">
        <w:t>•</w:t>
      </w:r>
      <w:r w:rsidRPr="002A7EEE">
        <w:tab/>
        <w:t>Les représentants des États Membres pourront prendre la parole pour intervenir pendant les débats, même s</w:t>
      </w:r>
      <w:r w:rsidR="00E53778">
        <w:t>'</w:t>
      </w:r>
      <w:r w:rsidRPr="002A7EEE">
        <w:t>ils n</w:t>
      </w:r>
      <w:r w:rsidR="00E53778">
        <w:t>'</w:t>
      </w:r>
      <w:r w:rsidRPr="002A7EEE">
        <w:t>ont envoyé aucune contribution.</w:t>
      </w:r>
    </w:p>
    <w:p w14:paraId="7B9B00FC" w14:textId="77777777" w:rsidR="004931E2" w:rsidRPr="002A7EEE" w:rsidRDefault="004931E2" w:rsidP="009C7DBA">
      <w:pPr>
        <w:spacing w:line="240" w:lineRule="auto"/>
        <w:jc w:val="left"/>
      </w:pPr>
      <w:r w:rsidRPr="002A7EEE">
        <w:rPr>
          <w:u w:val="single"/>
        </w:rPr>
        <w:t>Résultats</w:t>
      </w:r>
    </w:p>
    <w:p w14:paraId="0481CF24" w14:textId="5A9F7FEF" w:rsidR="004931E2" w:rsidRPr="002A7EEE" w:rsidRDefault="004931E2" w:rsidP="009C6D5D">
      <w:pPr>
        <w:pStyle w:val="enumlev1"/>
        <w:spacing w:line="240" w:lineRule="auto"/>
        <w:jc w:val="left"/>
      </w:pPr>
      <w:r w:rsidRPr="002A7EEE">
        <w:t>•</w:t>
      </w:r>
      <w:r w:rsidRPr="002A7EEE">
        <w:tab/>
        <w:t>La consultation virtuelle sera de nature strictement consultative et n</w:t>
      </w:r>
      <w:r w:rsidR="00E53778">
        <w:t>'</w:t>
      </w:r>
      <w:r w:rsidRPr="002A7EEE">
        <w:t>aura aucun caractère décisionnel. Les participants ne formuleront que des propositions de conclusions en attendant que des décisions officielles soient prises à la session physique ultérieure du Conseil en 2022. Les propositions de conclusions seront rassemblées dans un rapport que le Secrétaire général présentera en tant que contribution pour examen à la session physique ultérieure du Conseil en 2022.</w:t>
      </w:r>
    </w:p>
    <w:p w14:paraId="02F45AD8" w14:textId="5D0A94C9" w:rsidR="004931E2" w:rsidRPr="002A7EEE" w:rsidRDefault="004931E2" w:rsidP="009C6D5D">
      <w:pPr>
        <w:pStyle w:val="enumlev1"/>
        <w:spacing w:line="240" w:lineRule="auto"/>
        <w:jc w:val="left"/>
      </w:pPr>
      <w:r w:rsidRPr="002A7EEE">
        <w:t>•</w:t>
      </w:r>
      <w:r w:rsidRPr="002A7EEE">
        <w:tab/>
      </w:r>
      <w:r w:rsidRPr="007B123F">
        <w:t>Il est entendu qu</w:t>
      </w:r>
      <w:r w:rsidR="00E53778">
        <w:t>'</w:t>
      </w:r>
      <w:r w:rsidRPr="007B123F">
        <w:t>aucune proposition de conclusion ne sera définitive et que les discussions concernant une conclusion pourraient reprendre à l</w:t>
      </w:r>
      <w:r w:rsidR="00E53778">
        <w:t>'</w:t>
      </w:r>
      <w:r w:rsidRPr="007B123F">
        <w:t>occasion de la session physique ultérieure de 2022.</w:t>
      </w:r>
    </w:p>
    <w:p w14:paraId="734DBDDF" w14:textId="780EB058" w:rsidR="004931E2" w:rsidRPr="002A7EEE" w:rsidRDefault="004931E2" w:rsidP="009C6D5D">
      <w:pPr>
        <w:pStyle w:val="enumlev1"/>
        <w:spacing w:line="240" w:lineRule="auto"/>
        <w:jc w:val="left"/>
      </w:pPr>
      <w:r w:rsidRPr="002A7EEE">
        <w:t>•</w:t>
      </w:r>
      <w:r w:rsidRPr="002A7EEE">
        <w:tab/>
        <w:t>En ce qui concerne les propositions de conclusion sur des points appelant de la part du Conseil une décision urgente pour laquelle il n</w:t>
      </w:r>
      <w:r w:rsidR="00E53778">
        <w:t>'</w:t>
      </w:r>
      <w:r w:rsidRPr="002A7EEE">
        <w:t>est pas possible d</w:t>
      </w:r>
      <w:r w:rsidR="00E53778">
        <w:t>'</w:t>
      </w:r>
      <w:r w:rsidRPr="002A7EEE">
        <w:t xml:space="preserve">attendre une réunion physique, </w:t>
      </w:r>
      <w:bookmarkStart w:id="6" w:name="_Hlk40282450"/>
      <w:r w:rsidRPr="002A7EEE">
        <w:t>les participants à la consultation virtuelle pourraient fournir des orientations au Président du Conseil et au Secrétaire général sur la possibilité de mettre en œuvre la procédure à suivre pour prendre des décisions par correspondance</w:t>
      </w:r>
      <w:bookmarkEnd w:id="6"/>
      <w:r w:rsidRPr="002A7EEE">
        <w:t>, conformément à l</w:t>
      </w:r>
      <w:r w:rsidR="00E53778">
        <w:t>'</w:t>
      </w:r>
      <w:r w:rsidRPr="002A7EEE">
        <w:t>Article 3.2 du Règlement intérieur du Conseil. Le cas échéant, la procédure habituelle relative aux décisions prises par correspondance serait appliquée. La règle de la majorité simple des États Membres du Conseil ayant le droit de vote s</w:t>
      </w:r>
      <w:r w:rsidR="00E53778">
        <w:t>'</w:t>
      </w:r>
      <w:r w:rsidRPr="002A7EEE">
        <w:t>appliquerait.</w:t>
      </w:r>
    </w:p>
    <w:p w14:paraId="087A1711" w14:textId="77777777" w:rsidR="004931E2" w:rsidRPr="002A7EEE" w:rsidRDefault="004931E2" w:rsidP="009C7DBA">
      <w:pPr>
        <w:spacing w:line="240" w:lineRule="auto"/>
        <w:jc w:val="left"/>
        <w:rPr>
          <w:u w:val="single"/>
        </w:rPr>
      </w:pPr>
      <w:r w:rsidRPr="002A7EEE">
        <w:rPr>
          <w:u w:val="single"/>
        </w:rPr>
        <w:t>Date et durée</w:t>
      </w:r>
    </w:p>
    <w:p w14:paraId="4ED3A5BE" w14:textId="77777777" w:rsidR="004931E2" w:rsidRPr="002A7EEE" w:rsidRDefault="004931E2" w:rsidP="009C6D5D">
      <w:pPr>
        <w:pStyle w:val="enumlev1"/>
        <w:spacing w:line="240" w:lineRule="auto"/>
        <w:jc w:val="left"/>
      </w:pPr>
      <w:r w:rsidRPr="002A7EEE">
        <w:t>•</w:t>
      </w:r>
      <w:r w:rsidRPr="002A7EEE">
        <w:tab/>
        <w:t>La consultation virtuelle débutera le 8 juin 2021 et se tiendra de 12 h 00 à 15 h 00 (heure de Genève).</w:t>
      </w:r>
    </w:p>
    <w:p w14:paraId="288A3734" w14:textId="43263E9C" w:rsidR="004931E2" w:rsidRPr="007B123F" w:rsidRDefault="004931E2" w:rsidP="009C6D5D">
      <w:pPr>
        <w:pStyle w:val="enumlev1"/>
        <w:spacing w:line="240" w:lineRule="auto"/>
        <w:jc w:val="left"/>
      </w:pPr>
      <w:r w:rsidRPr="002A7EEE">
        <w:t>•</w:t>
      </w:r>
      <w:r w:rsidRPr="002A7EEE">
        <w:tab/>
        <w:t>La durée effective sera proposée en fonction des réponses des États Membres concernant les points de l</w:t>
      </w:r>
      <w:r w:rsidR="00E53778">
        <w:t>'</w:t>
      </w:r>
      <w:r w:rsidRPr="002A7EEE">
        <w:t>ordre du jour, mais ne dépassera pas neuf jours.</w:t>
      </w:r>
    </w:p>
    <w:p w14:paraId="59747CD0" w14:textId="77777777" w:rsidR="004931E2" w:rsidRPr="002A7EEE" w:rsidRDefault="004931E2" w:rsidP="009C7DBA">
      <w:pPr>
        <w:spacing w:line="240" w:lineRule="auto"/>
        <w:jc w:val="left"/>
        <w:rPr>
          <w:u w:val="single"/>
        </w:rPr>
      </w:pPr>
      <w:r w:rsidRPr="002A7EEE">
        <w:rPr>
          <w:u w:val="single"/>
        </w:rPr>
        <w:t>Appui informatique fourni</w:t>
      </w:r>
    </w:p>
    <w:p w14:paraId="64E516DF" w14:textId="77777777" w:rsidR="004931E2" w:rsidRPr="007B123F" w:rsidRDefault="004931E2" w:rsidP="009C6D5D">
      <w:pPr>
        <w:pStyle w:val="enumlev1"/>
        <w:spacing w:line="240" w:lineRule="auto"/>
        <w:jc w:val="left"/>
      </w:pPr>
      <w:r w:rsidRPr="007B123F">
        <w:t>•</w:t>
      </w:r>
      <w:r w:rsidRPr="007B123F">
        <w:tab/>
        <w:t>Plate-forme Interprefy, sous-titrage et diffusion sur le web.</w:t>
      </w:r>
    </w:p>
    <w:p w14:paraId="43AB44A6" w14:textId="0E4D97CB" w:rsidR="004931E2" w:rsidRPr="007B123F" w:rsidRDefault="004931E2" w:rsidP="009C6D5D">
      <w:pPr>
        <w:pStyle w:val="enumlev1"/>
        <w:spacing w:line="240" w:lineRule="auto"/>
        <w:jc w:val="left"/>
      </w:pPr>
      <w:r w:rsidRPr="007B123F">
        <w:t>•</w:t>
      </w:r>
      <w:r w:rsidRPr="007B123F">
        <w:tab/>
        <w:t>Un service d</w:t>
      </w:r>
      <w:r w:rsidR="00E53778">
        <w:t>'</w:t>
      </w:r>
      <w:r w:rsidRPr="007B123F">
        <w:t>interprétation dans les six langues sera assuré au moyen de la plate-forme Interprefy.</w:t>
      </w:r>
    </w:p>
    <w:p w14:paraId="1C7573C4" w14:textId="77777777" w:rsidR="004931E2" w:rsidRPr="007B123F" w:rsidRDefault="004931E2" w:rsidP="009C6D5D">
      <w:pPr>
        <w:pStyle w:val="enumlev1"/>
        <w:spacing w:line="240" w:lineRule="auto"/>
        <w:jc w:val="left"/>
      </w:pPr>
      <w:r w:rsidRPr="007B123F">
        <w:t>•</w:t>
      </w:r>
      <w:r w:rsidRPr="007B123F">
        <w:tab/>
        <w:t>Appui informatique individuel par courriel, chat et téléphone.</w:t>
      </w:r>
    </w:p>
    <w:p w14:paraId="60E6E96A" w14:textId="77777777" w:rsidR="004931E2" w:rsidRPr="002A7EEE" w:rsidRDefault="004931E2" w:rsidP="009C7DBA">
      <w:pPr>
        <w:spacing w:line="240" w:lineRule="auto"/>
        <w:jc w:val="left"/>
        <w:rPr>
          <w:u w:val="single"/>
        </w:rPr>
      </w:pPr>
      <w:r w:rsidRPr="002A7EEE">
        <w:rPr>
          <w:u w:val="single"/>
        </w:rPr>
        <w:t>Inscription</w:t>
      </w:r>
    </w:p>
    <w:p w14:paraId="15955EBA" w14:textId="39619B67" w:rsidR="004931E2" w:rsidRPr="002A7EEE" w:rsidRDefault="004931E2" w:rsidP="00447A97">
      <w:pPr>
        <w:spacing w:before="120" w:line="240" w:lineRule="auto"/>
        <w:jc w:val="left"/>
      </w:pPr>
      <w:r w:rsidRPr="002A7EEE">
        <w:t>L</w:t>
      </w:r>
      <w:r w:rsidR="00E53778">
        <w:t>'</w:t>
      </w:r>
      <w:r w:rsidRPr="002A7EEE">
        <w:t>inscription est obligatoire pour pouvoir participer en ligne. Les inscriptions seront ouvertes le 8 avril, à l</w:t>
      </w:r>
      <w:r w:rsidR="00E53778">
        <w:t>'</w:t>
      </w:r>
      <w:r w:rsidRPr="002A7EEE">
        <w:t xml:space="preserve">adresse </w:t>
      </w:r>
      <w:hyperlink r:id="rId11" w:history="1">
        <w:r w:rsidR="00810AE0">
          <w:rPr>
            <w:rStyle w:val="Hyperlink"/>
          </w:rPr>
          <w:t>https://www.itu.int/en/council/2021/Pages/default.aspx</w:t>
        </w:r>
      </w:hyperlink>
      <w:r w:rsidR="00430BA6" w:rsidRPr="002A7EEE">
        <w:t>.</w:t>
      </w:r>
    </w:p>
    <w:p w14:paraId="1E5FC988" w14:textId="48AFC0D8" w:rsidR="004931E2" w:rsidRPr="002A7EEE" w:rsidRDefault="004931E2" w:rsidP="00447A97">
      <w:pPr>
        <w:spacing w:before="120" w:line="240" w:lineRule="auto"/>
        <w:jc w:val="left"/>
      </w:pPr>
      <w:r w:rsidRPr="002A7EEE">
        <w:t>Les participants inscrits recevront des lignes directrices et des liens leur permettant d</w:t>
      </w:r>
      <w:r w:rsidR="00E53778">
        <w:t>'</w:t>
      </w:r>
      <w:r w:rsidRPr="002A7EEE">
        <w:t>accéder à la consultation virtuelle en temps utile.</w:t>
      </w:r>
    </w:p>
    <w:p w14:paraId="5BC33694" w14:textId="42EA2800" w:rsidR="004931E2" w:rsidRPr="002A7EEE" w:rsidRDefault="004931E2" w:rsidP="00447A97">
      <w:pPr>
        <w:spacing w:before="120" w:line="240" w:lineRule="auto"/>
        <w:jc w:val="left"/>
      </w:pPr>
      <w:r w:rsidRPr="002A7EEE">
        <w:t>Les noms des "orateurs" devront être envoyés à l</w:t>
      </w:r>
      <w:r w:rsidR="00E53778">
        <w:t>'</w:t>
      </w:r>
      <w:r w:rsidRPr="002A7EEE">
        <w:t xml:space="preserve">adresse </w:t>
      </w:r>
      <w:hyperlink r:id="rId12" w:history="1">
        <w:r w:rsidRPr="002A7EEE">
          <w:rPr>
            <w:rStyle w:val="Hyperlink"/>
          </w:rPr>
          <w:t>sg-registration@itu.int</w:t>
        </w:r>
      </w:hyperlink>
      <w:r w:rsidRPr="002A7EEE">
        <w:t>.</w:t>
      </w:r>
    </w:p>
    <w:p w14:paraId="21162572" w14:textId="77777777" w:rsidR="004931E2" w:rsidRPr="002A7EEE" w:rsidRDefault="004931E2" w:rsidP="009C6D5D">
      <w:pPr>
        <w:spacing w:line="240" w:lineRule="auto"/>
      </w:pPr>
      <w:r w:rsidRPr="002A7EEE">
        <w:br w:type="page"/>
      </w:r>
    </w:p>
    <w:p w14:paraId="02C90958" w14:textId="1A4F512F" w:rsidR="00423737" w:rsidRPr="002A7EEE" w:rsidRDefault="00423737" w:rsidP="009C6D5D">
      <w:pPr>
        <w:pStyle w:val="AnnexNoTitle"/>
        <w:spacing w:before="0" w:line="240" w:lineRule="auto"/>
      </w:pPr>
      <w:bookmarkStart w:id="7" w:name="Annexe2"/>
      <w:r w:rsidRPr="002A7EEE">
        <w:lastRenderedPageBreak/>
        <w:t>ANNEXE 2</w:t>
      </w:r>
      <w:bookmarkEnd w:id="7"/>
      <w:r w:rsidRPr="002A7EEE">
        <w:br/>
      </w:r>
      <w:r w:rsidRPr="002A7EEE">
        <w:br/>
      </w:r>
      <w:r w:rsidRPr="002A7EEE">
        <w:rPr>
          <w:color w:val="000000"/>
        </w:rPr>
        <w:t>Projet d</w:t>
      </w:r>
      <w:r w:rsidR="00E53778">
        <w:rPr>
          <w:color w:val="000000"/>
        </w:rPr>
        <w:t>'</w:t>
      </w:r>
      <w:r w:rsidRPr="002A7EEE">
        <w:rPr>
          <w:color w:val="000000"/>
        </w:rPr>
        <w:t>ordre du jour de la consultation virtuelle des Conseillers (CVC-1/C21)</w:t>
      </w:r>
    </w:p>
    <w:p w14:paraId="75783122" w14:textId="05DD6EAA" w:rsidR="00423737" w:rsidRPr="002A7EEE" w:rsidRDefault="00423737" w:rsidP="009C6D5D">
      <w:pPr>
        <w:spacing w:before="360" w:line="240" w:lineRule="auto"/>
        <w:jc w:val="left"/>
      </w:pPr>
      <w:r w:rsidRPr="002A7EEE">
        <w:t xml:space="preserve">Compte tenu des réponses reçues des États Membres du Conseil à la suite de la lettre </w:t>
      </w:r>
      <w:hyperlink r:id="rId13" w:history="1">
        <w:r w:rsidRPr="002A7EEE">
          <w:rPr>
            <w:rStyle w:val="Hyperlink"/>
          </w:rPr>
          <w:t>DM-21/1005</w:t>
        </w:r>
      </w:hyperlink>
      <w:r w:rsidRPr="002A7EEE">
        <w:t>, le projet d</w:t>
      </w:r>
      <w:r w:rsidR="00E53778">
        <w:t>'</w:t>
      </w:r>
      <w:r w:rsidRPr="002A7EEE">
        <w:t>ordre du jour suivant de la consultation virtuelle des Conseillers (CVC-1/C21) contient les points qui ont été identifiés comme urgents et pour lesquels une décision doit être prise avant la fin de 2021 (</w:t>
      </w:r>
      <w:r w:rsidRPr="002A7EEE">
        <w:rPr>
          <w:b/>
          <w:bCs/>
          <w:color w:val="00B050"/>
        </w:rPr>
        <w:t>groupe</w:t>
      </w:r>
      <w:r w:rsidR="002A7EEE" w:rsidRPr="002A7EEE">
        <w:rPr>
          <w:b/>
          <w:bCs/>
          <w:color w:val="00B050"/>
        </w:rPr>
        <w:t> </w:t>
      </w:r>
      <w:r w:rsidRPr="002A7EEE">
        <w:rPr>
          <w:b/>
          <w:bCs/>
          <w:color w:val="00B050"/>
        </w:rPr>
        <w:t>1</w:t>
      </w:r>
      <w:r w:rsidRPr="002A7EEE">
        <w:rPr>
          <w:bCs/>
        </w:rPr>
        <w:t>).</w:t>
      </w:r>
      <w:r w:rsidRPr="002A7EEE">
        <w:t xml:space="preserve"> Les documents du groupe 1+ ont été identifiés comme plus urgents. Si des documents du groupe 1 ne peuvent pas être examinés faute de temps, ils seront déplacés dans le groupe 2.</w:t>
      </w:r>
    </w:p>
    <w:p w14:paraId="1F01E017" w14:textId="0EDD63D3" w:rsidR="00423737" w:rsidRPr="002A7EEE" w:rsidRDefault="009C6D5D" w:rsidP="00447A97">
      <w:pPr>
        <w:spacing w:before="120" w:line="240" w:lineRule="auto"/>
        <w:jc w:val="left"/>
      </w:pPr>
      <w:r>
        <w:rPr>
          <w:spacing w:val="-4"/>
        </w:rPr>
        <w:t>L</w:t>
      </w:r>
      <w:r w:rsidR="00423737" w:rsidRPr="002A7EEE">
        <w:rPr>
          <w:spacing w:val="-4"/>
        </w:rPr>
        <w:t xml:space="preserve">es États Membres sont invités à envoyer leurs contributions à la réunion en utilisant le modèle joint en </w:t>
      </w:r>
      <w:hyperlink w:anchor="Annexe4" w:history="1">
        <w:r w:rsidR="00423737" w:rsidRPr="005C163E">
          <w:rPr>
            <w:rStyle w:val="Hyperlink"/>
          </w:rPr>
          <w:t>Annexe</w:t>
        </w:r>
        <w:r w:rsidR="002A7EEE" w:rsidRPr="005C163E">
          <w:rPr>
            <w:rStyle w:val="Hyperlink"/>
          </w:rPr>
          <w:t> </w:t>
        </w:r>
        <w:r w:rsidR="00423737" w:rsidRPr="005C163E">
          <w:rPr>
            <w:rStyle w:val="Hyperlink"/>
          </w:rPr>
          <w:t>4</w:t>
        </w:r>
      </w:hyperlink>
      <w:r w:rsidR="00423737" w:rsidRPr="00A86AF9">
        <w:rPr>
          <w:spacing w:val="-4"/>
        </w:rPr>
        <w:t>.</w:t>
      </w:r>
      <w:r w:rsidR="0085705B" w:rsidRPr="00A86AF9">
        <w:rPr>
          <w:spacing w:val="-4"/>
        </w:rPr>
        <w:t xml:space="preserve"> </w:t>
      </w:r>
      <w:r w:rsidR="00423737" w:rsidRPr="00A86AF9">
        <w:t>Les</w:t>
      </w:r>
      <w:r w:rsidR="00423737" w:rsidRPr="002A7EEE">
        <w:t xml:space="preserve"> contributions doivent parvenir au plus tard le </w:t>
      </w:r>
      <w:r w:rsidR="00423737" w:rsidRPr="002A7EEE">
        <w:rPr>
          <w:b/>
          <w:bCs/>
        </w:rPr>
        <w:t>25 mai 2021</w:t>
      </w:r>
      <w:r w:rsidR="00423737" w:rsidRPr="002A7EEE">
        <w:t>.</w:t>
      </w:r>
    </w:p>
    <w:p w14:paraId="25FE8AC7" w14:textId="64AEF51D" w:rsidR="00423737" w:rsidRPr="002A7EEE" w:rsidRDefault="00423737" w:rsidP="00447A97">
      <w:pPr>
        <w:spacing w:before="120" w:after="240" w:line="240" w:lineRule="auto"/>
        <w:jc w:val="left"/>
      </w:pPr>
      <w:r w:rsidRPr="002A7EEE">
        <w:t>À toutes fins utiles, vous trouverez à l</w:t>
      </w:r>
      <w:r w:rsidR="00E53778">
        <w:t>'</w:t>
      </w:r>
      <w:hyperlink w:anchor="Annexe3" w:history="1">
        <w:r w:rsidRPr="002A7EEE">
          <w:rPr>
            <w:rStyle w:val="Hyperlink"/>
          </w:rPr>
          <w:t>Annexe 3</w:t>
        </w:r>
      </w:hyperlink>
      <w:r w:rsidRPr="002A7EEE">
        <w:t xml:space="preserve"> les points qu</w:t>
      </w:r>
      <w:r w:rsidR="00E53778">
        <w:t>'</w:t>
      </w:r>
      <w:r w:rsidRPr="002A7EEE">
        <w:t>il est proposé de reporter à une future réunion (</w:t>
      </w:r>
      <w:r w:rsidRPr="002A7EEE">
        <w:rPr>
          <w:b/>
          <w:bCs/>
          <w:color w:val="F79646" w:themeColor="accent6"/>
        </w:rPr>
        <w:t>groupe 2</w:t>
      </w:r>
      <w:r w:rsidRPr="002A7EEE">
        <w:t>).</w:t>
      </w:r>
    </w:p>
    <w:tbl>
      <w:tblPr>
        <w:tblW w:w="9776" w:type="dxa"/>
        <w:jc w:val="center"/>
        <w:tblLayout w:type="fixed"/>
        <w:tblLook w:val="04A0" w:firstRow="1" w:lastRow="0" w:firstColumn="1" w:lastColumn="0" w:noHBand="0" w:noVBand="1"/>
      </w:tblPr>
      <w:tblGrid>
        <w:gridCol w:w="484"/>
        <w:gridCol w:w="6740"/>
        <w:gridCol w:w="1418"/>
        <w:gridCol w:w="1134"/>
      </w:tblGrid>
      <w:tr w:rsidR="00423737" w:rsidRPr="002A7EEE" w14:paraId="2A698706" w14:textId="77777777" w:rsidTr="00430BA6">
        <w:trPr>
          <w:cantSplit/>
          <w:tblHeader/>
          <w:jc w:val="center"/>
        </w:trPr>
        <w:tc>
          <w:tcPr>
            <w:tcW w:w="484" w:type="dxa"/>
            <w:tcBorders>
              <w:top w:val="single" w:sz="4" w:space="0" w:color="auto"/>
              <w:left w:val="single" w:sz="4" w:space="0" w:color="auto"/>
              <w:bottom w:val="single" w:sz="4" w:space="0" w:color="auto"/>
              <w:right w:val="single" w:sz="4" w:space="0" w:color="auto"/>
            </w:tcBorders>
            <w:shd w:val="clear" w:color="auto" w:fill="D9D9D9"/>
            <w:vAlign w:val="center"/>
          </w:tcPr>
          <w:p w14:paraId="311EC584" w14:textId="77777777" w:rsidR="00423737" w:rsidRPr="002A7EEE" w:rsidRDefault="00423737" w:rsidP="009C6D5D">
            <w:pPr>
              <w:pStyle w:val="Tablehead"/>
              <w:rPr>
                <w:bCs/>
                <w:sz w:val="18"/>
                <w:lang w:eastAsia="en-GB"/>
              </w:rPr>
            </w:pPr>
          </w:p>
        </w:tc>
        <w:tc>
          <w:tcPr>
            <w:tcW w:w="6740" w:type="dxa"/>
            <w:tcBorders>
              <w:top w:val="single" w:sz="4" w:space="0" w:color="auto"/>
              <w:left w:val="nil"/>
              <w:bottom w:val="single" w:sz="4" w:space="0" w:color="auto"/>
              <w:right w:val="single" w:sz="4" w:space="0" w:color="auto"/>
            </w:tcBorders>
            <w:shd w:val="clear" w:color="auto" w:fill="D9D9D9"/>
            <w:vAlign w:val="center"/>
          </w:tcPr>
          <w:p w14:paraId="048C2EE6" w14:textId="77777777" w:rsidR="00423737" w:rsidRPr="002A7EEE" w:rsidRDefault="00423737" w:rsidP="009C6D5D">
            <w:pPr>
              <w:pStyle w:val="Tablehead"/>
              <w:rPr>
                <w:bCs/>
                <w:sz w:val="18"/>
                <w:lang w:eastAsia="en-GB"/>
              </w:rPr>
            </w:pPr>
            <w:r w:rsidRPr="002A7EEE">
              <w:rPr>
                <w:bCs/>
                <w:sz w:val="18"/>
                <w:lang w:eastAsia="en-GB"/>
              </w:rPr>
              <w:t>Titre</w:t>
            </w:r>
          </w:p>
        </w:tc>
        <w:tc>
          <w:tcPr>
            <w:tcW w:w="1418" w:type="dxa"/>
            <w:tcBorders>
              <w:top w:val="single" w:sz="4" w:space="0" w:color="auto"/>
              <w:left w:val="nil"/>
              <w:bottom w:val="single" w:sz="4" w:space="0" w:color="auto"/>
              <w:right w:val="single" w:sz="4" w:space="0" w:color="auto"/>
            </w:tcBorders>
            <w:shd w:val="clear" w:color="auto" w:fill="D9D9D9"/>
            <w:noWrap/>
            <w:vAlign w:val="center"/>
          </w:tcPr>
          <w:p w14:paraId="10EFEE25" w14:textId="77777777" w:rsidR="00423737" w:rsidRPr="002A7EEE" w:rsidRDefault="00423737" w:rsidP="009C6D5D">
            <w:pPr>
              <w:pStyle w:val="Tablehead"/>
              <w:rPr>
                <w:bCs/>
                <w:sz w:val="18"/>
                <w:lang w:eastAsia="en-GB"/>
              </w:rPr>
            </w:pPr>
            <w:r w:rsidRPr="002A7EEE">
              <w:rPr>
                <w:bCs/>
                <w:sz w:val="18"/>
                <w:lang w:eastAsia="en-GB"/>
              </w:rPr>
              <w:t>Doc. N°</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5F8FCAF2" w14:textId="77777777" w:rsidR="00423737" w:rsidRPr="002A7EEE" w:rsidRDefault="00423737" w:rsidP="009C6D5D">
            <w:pPr>
              <w:pStyle w:val="Tablehead"/>
              <w:rPr>
                <w:bCs/>
                <w:sz w:val="18"/>
                <w:lang w:eastAsia="en-GB"/>
              </w:rPr>
            </w:pPr>
            <w:r w:rsidRPr="002A7EEE">
              <w:rPr>
                <w:bCs/>
                <w:sz w:val="18"/>
                <w:szCs w:val="20"/>
                <w:lang w:eastAsia="en-GB"/>
              </w:rPr>
              <w:t>FINAL</w:t>
            </w:r>
          </w:p>
        </w:tc>
      </w:tr>
      <w:tr w:rsidR="00423737" w:rsidRPr="002A7EEE" w14:paraId="5FC6509B"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2D6DB43E" w14:textId="77777777" w:rsidR="00423737" w:rsidRPr="002A7EEE" w:rsidRDefault="00423737" w:rsidP="009C6D5D">
            <w:pPr>
              <w:pStyle w:val="Tabletext"/>
              <w:jc w:val="center"/>
              <w:rPr>
                <w:sz w:val="18"/>
                <w:szCs w:val="18"/>
                <w:lang w:eastAsia="en-GB"/>
              </w:rPr>
            </w:pPr>
            <w:r w:rsidRPr="002A7EEE">
              <w:rPr>
                <w:sz w:val="18"/>
                <w:szCs w:val="18"/>
                <w:lang w:eastAsia="en-GB"/>
              </w:rPr>
              <w:t>1</w:t>
            </w:r>
          </w:p>
        </w:tc>
        <w:tc>
          <w:tcPr>
            <w:tcW w:w="6740" w:type="dxa"/>
            <w:tcBorders>
              <w:top w:val="single" w:sz="4" w:space="0" w:color="auto"/>
              <w:left w:val="nil"/>
              <w:bottom w:val="single" w:sz="4" w:space="0" w:color="auto"/>
              <w:right w:val="single" w:sz="4" w:space="0" w:color="auto"/>
            </w:tcBorders>
            <w:shd w:val="clear" w:color="auto" w:fill="FFFFFF"/>
            <w:vAlign w:val="center"/>
            <w:hideMark/>
          </w:tcPr>
          <w:p w14:paraId="64A877CD"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Compilation des résultats des discussions des consultations virtuelles des Conseillers</w:t>
            </w:r>
          </w:p>
        </w:tc>
        <w:tc>
          <w:tcPr>
            <w:tcW w:w="1418" w:type="dxa"/>
            <w:tcBorders>
              <w:top w:val="nil"/>
              <w:left w:val="nil"/>
              <w:bottom w:val="single" w:sz="4" w:space="0" w:color="auto"/>
              <w:right w:val="single" w:sz="4" w:space="0" w:color="auto"/>
            </w:tcBorders>
            <w:shd w:val="clear" w:color="auto" w:fill="auto"/>
            <w:noWrap/>
            <w:vAlign w:val="center"/>
            <w:hideMark/>
          </w:tcPr>
          <w:p w14:paraId="2E08E60A" w14:textId="77777777" w:rsidR="00423737" w:rsidRPr="002A7EEE" w:rsidRDefault="00B427A6" w:rsidP="009C6D5D">
            <w:pPr>
              <w:pStyle w:val="Tabletext"/>
              <w:jc w:val="center"/>
              <w:rPr>
                <w:b/>
                <w:bCs/>
                <w:sz w:val="18"/>
                <w:szCs w:val="18"/>
                <w:lang w:eastAsia="en-GB"/>
              </w:rPr>
            </w:pPr>
            <w:hyperlink r:id="rId14" w:history="1">
              <w:r w:rsidR="00423737" w:rsidRPr="002A7EEE">
                <w:rPr>
                  <w:rStyle w:val="Hyperlink"/>
                  <w:b/>
                  <w:bCs/>
                  <w:sz w:val="18"/>
                  <w:szCs w:val="18"/>
                  <w:lang w:eastAsia="en-GB"/>
                </w:rPr>
                <w:t>C21/14</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66DDD0F"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12399D98"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60F2113" w14:textId="77777777" w:rsidR="00423737" w:rsidRPr="002A7EEE" w:rsidRDefault="00423737" w:rsidP="009C6D5D">
            <w:pPr>
              <w:pStyle w:val="Tabletext"/>
              <w:jc w:val="center"/>
              <w:rPr>
                <w:sz w:val="18"/>
                <w:szCs w:val="18"/>
                <w:lang w:eastAsia="en-GB"/>
              </w:rPr>
            </w:pPr>
            <w:r w:rsidRPr="002A7EEE">
              <w:rPr>
                <w:sz w:val="18"/>
                <w:szCs w:val="18"/>
                <w:lang w:eastAsia="en-GB"/>
              </w:rPr>
              <w:t>2</w:t>
            </w:r>
          </w:p>
        </w:tc>
        <w:tc>
          <w:tcPr>
            <w:tcW w:w="6740" w:type="dxa"/>
            <w:tcBorders>
              <w:top w:val="nil"/>
              <w:left w:val="nil"/>
              <w:bottom w:val="single" w:sz="4" w:space="0" w:color="auto"/>
              <w:right w:val="single" w:sz="4" w:space="0" w:color="auto"/>
            </w:tcBorders>
            <w:shd w:val="clear" w:color="auto" w:fill="auto"/>
            <w:vAlign w:val="center"/>
          </w:tcPr>
          <w:p w14:paraId="1D74BCC8" w14:textId="0FA9CE00"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sur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AR-19 et la CMR-19 (</w:t>
            </w:r>
            <w:r w:rsidRPr="002A7EEE">
              <w:rPr>
                <w:rFonts w:asciiTheme="minorHAnsi" w:hAnsiTheme="minorHAnsi" w:cstheme="minorHAnsi"/>
                <w:i/>
                <w:iCs/>
                <w:sz w:val="18"/>
                <w:szCs w:val="18"/>
                <w:lang w:eastAsia="en-GB"/>
              </w:rPr>
              <w:t>il convient d</w:t>
            </w:r>
            <w:r w:rsidR="00E53778">
              <w:rPr>
                <w:rFonts w:asciiTheme="minorHAnsi" w:hAnsiTheme="minorHAnsi" w:cstheme="minorHAnsi"/>
                <w:i/>
                <w:iCs/>
                <w:sz w:val="18"/>
                <w:szCs w:val="18"/>
                <w:lang w:eastAsia="en-GB"/>
              </w:rPr>
              <w:t>'</w:t>
            </w:r>
            <w:r w:rsidRPr="002A7EEE">
              <w:rPr>
                <w:rFonts w:asciiTheme="minorHAnsi" w:hAnsiTheme="minorHAnsi" w:cstheme="minorHAnsi"/>
                <w:i/>
                <w:iCs/>
                <w:sz w:val="18"/>
                <w:szCs w:val="18"/>
                <w:lang w:eastAsia="en-GB"/>
              </w:rPr>
              <w:t>en prendre note</w:t>
            </w:r>
            <w:r w:rsidRPr="002A7EEE">
              <w:rPr>
                <w:rFonts w:asciiTheme="minorHAnsi" w:hAnsiTheme="minorHAnsi" w:cstheme="minorHAnsi"/>
                <w:sz w:val="18"/>
                <w:szCs w:val="18"/>
                <w:lang w:eastAsia="en-GB"/>
              </w:rPr>
              <w:t xml:space="preserve"> </w:t>
            </w:r>
            <w:r w:rsidRPr="002A7EEE">
              <w:rPr>
                <w:rFonts w:asciiTheme="minorHAnsi" w:hAnsiTheme="minorHAnsi" w:cstheme="minorHAnsi"/>
                <w:i/>
                <w:iCs/>
                <w:sz w:val="18"/>
                <w:szCs w:val="18"/>
                <w:lang w:eastAsia="en-GB"/>
              </w:rPr>
              <w:t>avec le document C21/14 ci-dessus</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noWrap/>
            <w:vAlign w:val="center"/>
          </w:tcPr>
          <w:p w14:paraId="227B0732" w14:textId="77777777" w:rsidR="00423737" w:rsidRPr="002A7EEE" w:rsidRDefault="00B427A6" w:rsidP="009C6D5D">
            <w:pPr>
              <w:pStyle w:val="Tabletext"/>
              <w:jc w:val="center"/>
              <w:rPr>
                <w:b/>
                <w:bCs/>
                <w:sz w:val="18"/>
                <w:szCs w:val="18"/>
                <w:lang w:eastAsia="en-GB"/>
              </w:rPr>
            </w:pPr>
            <w:hyperlink r:id="rId15" w:history="1">
              <w:r w:rsidR="00423737" w:rsidRPr="002A7EEE">
                <w:rPr>
                  <w:rStyle w:val="Hyperlink"/>
                  <w:b/>
                  <w:bCs/>
                  <w:sz w:val="18"/>
                  <w:szCs w:val="18"/>
                  <w:lang w:eastAsia="en-GB"/>
                </w:rPr>
                <w:t>C21/27</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CFC807"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2E7CBBE"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75F9D05" w14:textId="77777777" w:rsidR="00423737" w:rsidRPr="002A7EEE" w:rsidRDefault="00423737" w:rsidP="009C6D5D">
            <w:pPr>
              <w:pStyle w:val="Tabletext"/>
              <w:jc w:val="center"/>
              <w:rPr>
                <w:sz w:val="18"/>
                <w:szCs w:val="18"/>
                <w:lang w:eastAsia="en-GB"/>
              </w:rPr>
            </w:pPr>
            <w:r w:rsidRPr="002A7EEE">
              <w:rPr>
                <w:sz w:val="18"/>
                <w:szCs w:val="18"/>
                <w:lang w:eastAsia="en-GB"/>
              </w:rPr>
              <w:t>3</w:t>
            </w:r>
          </w:p>
        </w:tc>
        <w:tc>
          <w:tcPr>
            <w:tcW w:w="6740" w:type="dxa"/>
            <w:tcBorders>
              <w:top w:val="single" w:sz="4" w:space="0" w:color="auto"/>
              <w:left w:val="nil"/>
              <w:bottom w:val="single" w:sz="4" w:space="0" w:color="auto"/>
              <w:right w:val="single" w:sz="4" w:space="0" w:color="auto"/>
            </w:tcBorders>
            <w:shd w:val="clear" w:color="auto" w:fill="FFFFFF"/>
            <w:vAlign w:val="center"/>
            <w:hideMark/>
          </w:tcPr>
          <w:p w14:paraId="3A17A9A0" w14:textId="2DBC733A"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sur la mise en œuvre du Plan stratégique et sur les activités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 xml:space="preserve">Union pour la période 2020-2021 </w:t>
            </w:r>
            <w:r w:rsidRPr="002A7EEE">
              <w:rPr>
                <w:rFonts w:asciiTheme="minorHAnsi" w:hAnsiTheme="minorHAnsi" w:cstheme="minorHAnsi"/>
                <w:iCs/>
                <w:sz w:val="18"/>
                <w:szCs w:val="18"/>
                <w:lang w:eastAsia="en-GB"/>
              </w:rPr>
              <w:t>(numéros 61, 82 et 102 de la Convention)</w:t>
            </w:r>
          </w:p>
        </w:tc>
        <w:tc>
          <w:tcPr>
            <w:tcW w:w="1418" w:type="dxa"/>
            <w:tcBorders>
              <w:top w:val="nil"/>
              <w:left w:val="nil"/>
              <w:bottom w:val="single" w:sz="4" w:space="0" w:color="auto"/>
              <w:right w:val="single" w:sz="4" w:space="0" w:color="auto"/>
            </w:tcBorders>
            <w:shd w:val="clear" w:color="auto" w:fill="auto"/>
            <w:vAlign w:val="center"/>
            <w:hideMark/>
          </w:tcPr>
          <w:p w14:paraId="38D32CAD" w14:textId="77777777" w:rsidR="00423737" w:rsidRPr="002A7EEE" w:rsidRDefault="00B427A6" w:rsidP="009C6D5D">
            <w:pPr>
              <w:pStyle w:val="Tabletext"/>
              <w:jc w:val="center"/>
              <w:rPr>
                <w:b/>
                <w:bCs/>
                <w:sz w:val="18"/>
                <w:szCs w:val="18"/>
                <w:lang w:eastAsia="en-GB"/>
              </w:rPr>
            </w:pPr>
            <w:hyperlink r:id="rId16" w:history="1">
              <w:r w:rsidR="00423737" w:rsidRPr="002A7EEE">
                <w:rPr>
                  <w:rStyle w:val="Hyperlink"/>
                  <w:b/>
                  <w:bCs/>
                  <w:sz w:val="18"/>
                  <w:szCs w:val="18"/>
                  <w:lang w:eastAsia="en-GB"/>
                </w:rPr>
                <w:t>C21/35</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865C29D"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264D4B48"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617FEF2B" w14:textId="77777777" w:rsidR="00423737" w:rsidRPr="002A7EEE" w:rsidRDefault="00423737" w:rsidP="009C6D5D">
            <w:pPr>
              <w:pStyle w:val="Tabletext"/>
              <w:jc w:val="center"/>
              <w:rPr>
                <w:sz w:val="18"/>
                <w:szCs w:val="18"/>
                <w:lang w:eastAsia="en-GB"/>
              </w:rPr>
            </w:pPr>
            <w:r w:rsidRPr="002A7EEE">
              <w:rPr>
                <w:sz w:val="18"/>
                <w:szCs w:val="18"/>
                <w:lang w:eastAsia="en-GB"/>
              </w:rPr>
              <w:t>4</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040738D7" w14:textId="29488065"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Projet de Plan opérationnel quadriennal du Secr</w:t>
            </w:r>
            <w:r w:rsidR="00810AE0">
              <w:rPr>
                <w:rFonts w:asciiTheme="minorHAnsi" w:hAnsiTheme="minorHAnsi" w:cstheme="minorHAnsi"/>
                <w:sz w:val="18"/>
                <w:szCs w:val="18"/>
                <w:lang w:eastAsia="en-GB"/>
              </w:rPr>
              <w:t>étariat général pour la période </w:t>
            </w:r>
            <w:r w:rsidRPr="002A7EEE">
              <w:rPr>
                <w:rFonts w:asciiTheme="minorHAnsi" w:hAnsiTheme="minorHAnsi" w:cstheme="minorHAnsi"/>
                <w:sz w:val="18"/>
                <w:szCs w:val="18"/>
                <w:lang w:eastAsia="en-GB"/>
              </w:rPr>
              <w:t>2021</w:t>
            </w:r>
            <w:r w:rsidR="00430BA6" w:rsidRPr="002A7EEE">
              <w:rPr>
                <w:rFonts w:asciiTheme="minorHAnsi" w:hAnsiTheme="minorHAnsi" w:cstheme="minorHAnsi"/>
                <w:sz w:val="18"/>
                <w:szCs w:val="18"/>
                <w:lang w:eastAsia="en-GB"/>
              </w:rPr>
              <w:noBreakHyphen/>
            </w:r>
            <w:r w:rsidRPr="002A7EEE">
              <w:rPr>
                <w:rFonts w:asciiTheme="minorHAnsi" w:hAnsiTheme="minorHAnsi" w:cstheme="minorHAnsi"/>
                <w:sz w:val="18"/>
                <w:szCs w:val="18"/>
                <w:lang w:eastAsia="en-GB"/>
              </w:rPr>
              <w:t>2024 (numéros 87A, 181A, 205A, 223A de la Convention) (</w:t>
            </w:r>
            <w:r w:rsidRPr="002A7EEE">
              <w:rPr>
                <w:rFonts w:asciiTheme="minorHAnsi" w:hAnsiTheme="minorHAnsi" w:cstheme="minorHAnsi"/>
                <w:i/>
                <w:iCs/>
                <w:sz w:val="18"/>
                <w:szCs w:val="18"/>
                <w:lang w:eastAsia="en-GB"/>
              </w:rPr>
              <w:t>Résolution 1390 du Conseil</w:t>
            </w:r>
            <w:r w:rsidRPr="002A7EEE">
              <w:rPr>
                <w:rFonts w:asciiTheme="minorHAnsi" w:hAnsiTheme="minorHAnsi" w:cstheme="minorHAnsi"/>
                <w:sz w:val="18"/>
                <w:szCs w:val="18"/>
                <w:lang w:eastAsia="en-GB"/>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1C3905" w14:textId="77777777" w:rsidR="00423737" w:rsidRPr="002A7EEE" w:rsidRDefault="00B427A6" w:rsidP="009C6D5D">
            <w:pPr>
              <w:pStyle w:val="Tabletext"/>
              <w:jc w:val="center"/>
              <w:rPr>
                <w:b/>
                <w:bCs/>
                <w:sz w:val="18"/>
                <w:szCs w:val="18"/>
                <w:lang w:eastAsia="en-GB"/>
              </w:rPr>
            </w:pPr>
            <w:hyperlink r:id="rId17" w:history="1">
              <w:r w:rsidR="00423737" w:rsidRPr="002A7EEE">
                <w:rPr>
                  <w:rStyle w:val="Hyperlink"/>
                  <w:b/>
                  <w:bCs/>
                  <w:sz w:val="18"/>
                  <w:szCs w:val="18"/>
                  <w:lang w:eastAsia="en-GB"/>
                </w:rPr>
                <w:t>C21/28</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C42F09"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35874967"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7E4DC8EB" w14:textId="77777777" w:rsidR="00423737" w:rsidRPr="002A7EEE" w:rsidRDefault="00423737" w:rsidP="009C6D5D">
            <w:pPr>
              <w:pStyle w:val="Tabletext"/>
              <w:jc w:val="center"/>
              <w:rPr>
                <w:sz w:val="18"/>
                <w:szCs w:val="18"/>
                <w:lang w:eastAsia="en-GB"/>
              </w:rPr>
            </w:pPr>
            <w:r w:rsidRPr="002A7EEE">
              <w:rPr>
                <w:sz w:val="18"/>
                <w:szCs w:val="18"/>
                <w:lang w:eastAsia="en-GB"/>
              </w:rPr>
              <w:t>5</w:t>
            </w:r>
          </w:p>
        </w:tc>
        <w:tc>
          <w:tcPr>
            <w:tcW w:w="6740" w:type="dxa"/>
            <w:tcBorders>
              <w:top w:val="single" w:sz="4" w:space="0" w:color="auto"/>
              <w:left w:val="nil"/>
              <w:bottom w:val="single" w:sz="4" w:space="0" w:color="auto"/>
              <w:right w:val="single" w:sz="4" w:space="0" w:color="auto"/>
            </w:tcBorders>
            <w:shd w:val="clear" w:color="auto" w:fill="FFFFFF"/>
            <w:vAlign w:val="center"/>
            <w:hideMark/>
          </w:tcPr>
          <w:p w14:paraId="0921CF51" w14:textId="76D5CBD1"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Élaboration du Plan stratégique et du Plan financier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Union pour la période 2024</w:t>
            </w:r>
            <w:r w:rsidRPr="002A7EEE">
              <w:rPr>
                <w:rFonts w:asciiTheme="minorHAnsi" w:hAnsiTheme="minorHAnsi" w:cstheme="minorHAnsi"/>
                <w:sz w:val="18"/>
                <w:szCs w:val="18"/>
                <w:lang w:eastAsia="en-GB"/>
              </w:rPr>
              <w:noBreakHyphen/>
              <w:t>2027</w:t>
            </w:r>
          </w:p>
        </w:tc>
        <w:tc>
          <w:tcPr>
            <w:tcW w:w="1418" w:type="dxa"/>
            <w:tcBorders>
              <w:top w:val="nil"/>
              <w:left w:val="nil"/>
              <w:bottom w:val="single" w:sz="4" w:space="0" w:color="auto"/>
              <w:right w:val="single" w:sz="4" w:space="0" w:color="auto"/>
            </w:tcBorders>
            <w:shd w:val="clear" w:color="auto" w:fill="auto"/>
            <w:vAlign w:val="center"/>
            <w:hideMark/>
          </w:tcPr>
          <w:p w14:paraId="711B1849" w14:textId="77777777" w:rsidR="00423737" w:rsidRPr="002A7EEE" w:rsidRDefault="00B427A6" w:rsidP="009C6D5D">
            <w:pPr>
              <w:pStyle w:val="Tabletext"/>
              <w:jc w:val="center"/>
              <w:rPr>
                <w:b/>
                <w:bCs/>
                <w:sz w:val="18"/>
                <w:szCs w:val="18"/>
                <w:lang w:eastAsia="en-GB"/>
              </w:rPr>
            </w:pPr>
            <w:hyperlink r:id="rId18" w:history="1">
              <w:r w:rsidR="00423737" w:rsidRPr="002A7EEE">
                <w:rPr>
                  <w:rStyle w:val="Hyperlink"/>
                  <w:b/>
                  <w:bCs/>
                  <w:sz w:val="18"/>
                  <w:szCs w:val="18"/>
                  <w:lang w:eastAsia="en-GB"/>
                </w:rPr>
                <w:t>C21/64</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77F9BC3"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48447D67"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2217CBC9" w14:textId="77777777" w:rsidR="00423737" w:rsidRPr="002A7EEE" w:rsidRDefault="00423737" w:rsidP="009C6D5D">
            <w:pPr>
              <w:pStyle w:val="Tabletext"/>
              <w:jc w:val="center"/>
              <w:rPr>
                <w:sz w:val="18"/>
                <w:szCs w:val="18"/>
                <w:lang w:eastAsia="en-GB"/>
              </w:rPr>
            </w:pPr>
            <w:r w:rsidRPr="002A7EEE">
              <w:rPr>
                <w:sz w:val="18"/>
                <w:szCs w:val="18"/>
                <w:lang w:eastAsia="en-GB"/>
              </w:rPr>
              <w:t>6</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05F1AFEC"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Liste des candidats aux fonctions de Président et Vice</w:t>
            </w:r>
            <w:r w:rsidRPr="002A7EEE">
              <w:rPr>
                <w:rFonts w:asciiTheme="minorHAnsi" w:hAnsiTheme="minorHAnsi" w:cstheme="minorHAnsi"/>
                <w:sz w:val="18"/>
                <w:szCs w:val="18"/>
                <w:lang w:eastAsia="en-GB"/>
              </w:rPr>
              <w:noBreakHyphen/>
              <w:t>Président des GTC, GE et GEI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F6924E" w14:textId="77777777" w:rsidR="00423737" w:rsidRPr="002A7EEE" w:rsidRDefault="00B427A6" w:rsidP="009C6D5D">
            <w:pPr>
              <w:pStyle w:val="Tabletext"/>
              <w:jc w:val="center"/>
              <w:rPr>
                <w:b/>
                <w:bCs/>
                <w:sz w:val="18"/>
                <w:szCs w:val="18"/>
                <w:lang w:eastAsia="en-GB"/>
              </w:rPr>
            </w:pPr>
            <w:hyperlink r:id="rId19" w:history="1">
              <w:r w:rsidR="00423737" w:rsidRPr="002A7EEE">
                <w:rPr>
                  <w:rStyle w:val="Hyperlink"/>
                  <w:b/>
                  <w:bCs/>
                  <w:sz w:val="18"/>
                  <w:szCs w:val="18"/>
                  <w:lang w:eastAsia="en-GB"/>
                </w:rPr>
                <w:t>C21/21</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77C33"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735DF37"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068BC033" w14:textId="77777777" w:rsidR="00423737" w:rsidRPr="002A7EEE" w:rsidRDefault="00423737" w:rsidP="009C6D5D">
            <w:pPr>
              <w:pStyle w:val="Tabletext"/>
              <w:jc w:val="center"/>
              <w:rPr>
                <w:sz w:val="18"/>
                <w:szCs w:val="18"/>
                <w:lang w:eastAsia="en-GB"/>
              </w:rPr>
            </w:pPr>
            <w:r w:rsidRPr="002A7EEE">
              <w:rPr>
                <w:sz w:val="18"/>
                <w:szCs w:val="18"/>
                <w:lang w:eastAsia="en-GB"/>
              </w:rPr>
              <w:t>7</w:t>
            </w:r>
          </w:p>
        </w:tc>
        <w:tc>
          <w:tcPr>
            <w:tcW w:w="6740" w:type="dxa"/>
            <w:tcBorders>
              <w:top w:val="nil"/>
              <w:left w:val="nil"/>
              <w:bottom w:val="single" w:sz="4" w:space="0" w:color="auto"/>
              <w:right w:val="single" w:sz="4" w:space="0" w:color="auto"/>
            </w:tcBorders>
            <w:shd w:val="clear" w:color="auto" w:fill="auto"/>
            <w:vAlign w:val="center"/>
            <w:hideMark/>
          </w:tcPr>
          <w:p w14:paraId="3A590798"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Travaux préparatoires en vue de la CMDT-21</w:t>
            </w:r>
            <w:r w:rsidRPr="002A7EEE">
              <w:rPr>
                <w:rFonts w:asciiTheme="minorHAnsi" w:hAnsiTheme="minorHAnsi" w:cstheme="minorHAnsi"/>
                <w:i/>
                <w:iCs/>
                <w:sz w:val="18"/>
                <w:szCs w:val="18"/>
                <w:lang w:eastAsia="en-GB"/>
              </w:rPr>
              <w:t xml:space="preserve"> (Décision 609 du Conseil)</w:t>
            </w:r>
          </w:p>
        </w:tc>
        <w:tc>
          <w:tcPr>
            <w:tcW w:w="1418" w:type="dxa"/>
            <w:tcBorders>
              <w:top w:val="nil"/>
              <w:left w:val="nil"/>
              <w:bottom w:val="single" w:sz="4" w:space="0" w:color="auto"/>
              <w:right w:val="single" w:sz="4" w:space="0" w:color="auto"/>
            </w:tcBorders>
            <w:shd w:val="clear" w:color="auto" w:fill="auto"/>
            <w:vAlign w:val="center"/>
            <w:hideMark/>
          </w:tcPr>
          <w:p w14:paraId="04852C5D" w14:textId="77777777" w:rsidR="00423737" w:rsidRPr="002A7EEE" w:rsidRDefault="00B427A6" w:rsidP="009C6D5D">
            <w:pPr>
              <w:pStyle w:val="Tabletext"/>
              <w:jc w:val="center"/>
              <w:rPr>
                <w:b/>
                <w:bCs/>
                <w:sz w:val="18"/>
                <w:szCs w:val="18"/>
                <w:lang w:eastAsia="en-GB"/>
              </w:rPr>
            </w:pPr>
            <w:hyperlink r:id="rId20" w:history="1">
              <w:r w:rsidR="00423737" w:rsidRPr="002A7EEE">
                <w:rPr>
                  <w:rStyle w:val="Hyperlink"/>
                  <w:b/>
                  <w:bCs/>
                  <w:sz w:val="18"/>
                  <w:szCs w:val="18"/>
                  <w:lang w:eastAsia="en-GB"/>
                </w:rPr>
                <w:t>C21/30</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4038C9C"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6C39DF11"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08C110B5" w14:textId="77777777" w:rsidR="00423737" w:rsidRPr="002A7EEE" w:rsidRDefault="00423737" w:rsidP="009C6D5D">
            <w:pPr>
              <w:pStyle w:val="Tabletext"/>
              <w:jc w:val="center"/>
              <w:rPr>
                <w:sz w:val="18"/>
                <w:szCs w:val="18"/>
                <w:lang w:eastAsia="en-GB"/>
              </w:rPr>
            </w:pPr>
            <w:r w:rsidRPr="002A7EEE">
              <w:rPr>
                <w:sz w:val="18"/>
                <w:szCs w:val="18"/>
                <w:lang w:eastAsia="en-GB"/>
              </w:rPr>
              <w:t>8</w:t>
            </w:r>
          </w:p>
        </w:tc>
        <w:tc>
          <w:tcPr>
            <w:tcW w:w="6740" w:type="dxa"/>
            <w:tcBorders>
              <w:top w:val="nil"/>
              <w:left w:val="nil"/>
              <w:bottom w:val="single" w:sz="4" w:space="0" w:color="auto"/>
              <w:right w:val="single" w:sz="4" w:space="0" w:color="auto"/>
            </w:tcBorders>
            <w:shd w:val="clear" w:color="auto" w:fill="auto"/>
            <w:vAlign w:val="center"/>
            <w:hideMark/>
          </w:tcPr>
          <w:p w14:paraId="71AAAD6B"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Travaux préparatoires en vue du FMPT-21 (</w:t>
            </w:r>
            <w:r w:rsidRPr="002A7EEE">
              <w:rPr>
                <w:rFonts w:asciiTheme="minorHAnsi" w:hAnsiTheme="minorHAnsi" w:cstheme="minorHAnsi"/>
                <w:i/>
                <w:iCs/>
                <w:sz w:val="18"/>
                <w:szCs w:val="18"/>
                <w:lang w:eastAsia="en-GB"/>
              </w:rPr>
              <w:t>Résolution 2 de la PP, Décision 611 du Conseil</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3BCBCE85" w14:textId="77777777" w:rsidR="00423737" w:rsidRPr="002A7EEE" w:rsidRDefault="00B427A6" w:rsidP="009C6D5D">
            <w:pPr>
              <w:pStyle w:val="Tabletext"/>
              <w:jc w:val="center"/>
              <w:rPr>
                <w:b/>
                <w:bCs/>
                <w:sz w:val="18"/>
                <w:szCs w:val="18"/>
                <w:lang w:eastAsia="en-GB"/>
              </w:rPr>
            </w:pPr>
            <w:hyperlink r:id="rId21" w:history="1">
              <w:r w:rsidR="00423737" w:rsidRPr="002A7EEE">
                <w:rPr>
                  <w:rStyle w:val="Hyperlink"/>
                  <w:b/>
                  <w:bCs/>
                  <w:sz w:val="18"/>
                  <w:szCs w:val="18"/>
                  <w:lang w:eastAsia="en-GB"/>
                </w:rPr>
                <w:t>C21/5</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4BE867B"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36DA91D8"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032F8CD6" w14:textId="77777777" w:rsidR="00423737" w:rsidRPr="002A7EEE" w:rsidRDefault="00423737" w:rsidP="009C6D5D">
            <w:pPr>
              <w:pStyle w:val="Tabletext"/>
              <w:jc w:val="center"/>
              <w:rPr>
                <w:sz w:val="18"/>
                <w:szCs w:val="18"/>
                <w:lang w:eastAsia="en-GB"/>
              </w:rPr>
            </w:pPr>
            <w:r w:rsidRPr="002A7EEE">
              <w:rPr>
                <w:sz w:val="18"/>
                <w:szCs w:val="18"/>
                <w:lang w:eastAsia="en-GB"/>
              </w:rPr>
              <w:t>9</w:t>
            </w:r>
          </w:p>
        </w:tc>
        <w:tc>
          <w:tcPr>
            <w:tcW w:w="6740" w:type="dxa"/>
            <w:tcBorders>
              <w:top w:val="nil"/>
              <w:left w:val="nil"/>
              <w:bottom w:val="single" w:sz="4" w:space="0" w:color="auto"/>
              <w:right w:val="single" w:sz="4" w:space="0" w:color="auto"/>
            </w:tcBorders>
            <w:shd w:val="clear" w:color="auto" w:fill="auto"/>
            <w:vAlign w:val="center"/>
            <w:hideMark/>
          </w:tcPr>
          <w:p w14:paraId="523A9262" w14:textId="28F60698"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Travaux préparatoires en vue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 xml:space="preserve">AMNT-20 </w:t>
            </w:r>
            <w:r w:rsidRPr="002A7EEE">
              <w:rPr>
                <w:rFonts w:asciiTheme="minorHAnsi" w:hAnsiTheme="minorHAnsi" w:cstheme="minorHAnsi"/>
                <w:i/>
                <w:iCs/>
                <w:sz w:val="18"/>
                <w:szCs w:val="18"/>
                <w:lang w:eastAsia="en-GB"/>
              </w:rPr>
              <w:t>(Décision 608 du Conseil)</w:t>
            </w:r>
          </w:p>
        </w:tc>
        <w:tc>
          <w:tcPr>
            <w:tcW w:w="1418" w:type="dxa"/>
            <w:tcBorders>
              <w:top w:val="nil"/>
              <w:left w:val="nil"/>
              <w:bottom w:val="single" w:sz="4" w:space="0" w:color="auto"/>
              <w:right w:val="single" w:sz="4" w:space="0" w:color="auto"/>
            </w:tcBorders>
            <w:shd w:val="clear" w:color="auto" w:fill="auto"/>
            <w:vAlign w:val="center"/>
            <w:hideMark/>
          </w:tcPr>
          <w:p w14:paraId="2C0E8CA0" w14:textId="77777777" w:rsidR="00423737" w:rsidRPr="002A7EEE" w:rsidRDefault="00B427A6" w:rsidP="009C6D5D">
            <w:pPr>
              <w:pStyle w:val="Tabletext"/>
              <w:jc w:val="center"/>
              <w:rPr>
                <w:b/>
                <w:bCs/>
                <w:sz w:val="18"/>
                <w:szCs w:val="18"/>
                <w:lang w:eastAsia="en-GB"/>
              </w:rPr>
            </w:pPr>
            <w:hyperlink r:id="rId22" w:history="1">
              <w:r w:rsidR="00423737" w:rsidRPr="002A7EEE">
                <w:rPr>
                  <w:rStyle w:val="Hyperlink"/>
                  <w:b/>
                  <w:bCs/>
                  <w:sz w:val="18"/>
                  <w:szCs w:val="18"/>
                  <w:lang w:eastAsia="en-GB"/>
                </w:rPr>
                <w:t>C21/24</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535AA7F"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21B88622"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7A19DEC9" w14:textId="77777777" w:rsidR="00423737" w:rsidRPr="002A7EEE" w:rsidRDefault="00423737" w:rsidP="009C6D5D">
            <w:pPr>
              <w:pStyle w:val="Tabletext"/>
              <w:jc w:val="center"/>
              <w:rPr>
                <w:sz w:val="18"/>
                <w:szCs w:val="18"/>
                <w:lang w:eastAsia="en-GB"/>
              </w:rPr>
            </w:pPr>
            <w:r w:rsidRPr="002A7EEE">
              <w:rPr>
                <w:sz w:val="18"/>
                <w:szCs w:val="18"/>
                <w:lang w:eastAsia="en-GB"/>
              </w:rPr>
              <w:t>10</w:t>
            </w:r>
          </w:p>
        </w:tc>
        <w:tc>
          <w:tcPr>
            <w:tcW w:w="6740" w:type="dxa"/>
            <w:tcBorders>
              <w:top w:val="single" w:sz="4" w:space="0" w:color="auto"/>
              <w:left w:val="nil"/>
              <w:bottom w:val="single" w:sz="4" w:space="0" w:color="auto"/>
              <w:right w:val="single" w:sz="4" w:space="0" w:color="auto"/>
            </w:tcBorders>
            <w:shd w:val="clear" w:color="auto" w:fill="FFFFFF"/>
            <w:vAlign w:val="center"/>
            <w:hideMark/>
          </w:tcPr>
          <w:p w14:paraId="4D84C49F"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Travaux préparatoires en vue de la Conférence de plénipotentiaires (Bucarest, 2022)</w:t>
            </w:r>
          </w:p>
        </w:tc>
        <w:tc>
          <w:tcPr>
            <w:tcW w:w="1418" w:type="dxa"/>
            <w:tcBorders>
              <w:top w:val="nil"/>
              <w:left w:val="nil"/>
              <w:bottom w:val="single" w:sz="4" w:space="0" w:color="auto"/>
              <w:right w:val="single" w:sz="4" w:space="0" w:color="auto"/>
            </w:tcBorders>
            <w:shd w:val="clear" w:color="auto" w:fill="auto"/>
            <w:vAlign w:val="center"/>
            <w:hideMark/>
          </w:tcPr>
          <w:p w14:paraId="7977EE7C" w14:textId="77777777" w:rsidR="00423737" w:rsidRPr="002A7EEE" w:rsidRDefault="00B427A6" w:rsidP="009C6D5D">
            <w:pPr>
              <w:pStyle w:val="Tabletext"/>
              <w:jc w:val="center"/>
              <w:rPr>
                <w:b/>
                <w:bCs/>
                <w:sz w:val="18"/>
                <w:szCs w:val="18"/>
                <w:lang w:eastAsia="en-GB"/>
              </w:rPr>
            </w:pPr>
            <w:hyperlink r:id="rId23" w:history="1">
              <w:r w:rsidR="00423737" w:rsidRPr="002A7EEE">
                <w:rPr>
                  <w:rStyle w:val="Hyperlink"/>
                  <w:b/>
                  <w:bCs/>
                  <w:sz w:val="18"/>
                  <w:szCs w:val="18"/>
                  <w:lang w:eastAsia="en-GB"/>
                </w:rPr>
                <w:t>C21/73</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9050C60"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45B8E9B3"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EFE963A" w14:textId="77777777" w:rsidR="00423737" w:rsidRPr="002A7EEE" w:rsidRDefault="00423737" w:rsidP="009C6D5D">
            <w:pPr>
              <w:pStyle w:val="Tabletext"/>
              <w:jc w:val="center"/>
              <w:rPr>
                <w:sz w:val="18"/>
                <w:szCs w:val="18"/>
                <w:lang w:eastAsia="en-GB"/>
              </w:rPr>
            </w:pPr>
            <w:r w:rsidRPr="002A7EEE">
              <w:rPr>
                <w:sz w:val="18"/>
                <w:szCs w:val="18"/>
                <w:lang w:eastAsia="en-GB"/>
              </w:rPr>
              <w:t>11</w:t>
            </w:r>
          </w:p>
        </w:tc>
        <w:tc>
          <w:tcPr>
            <w:tcW w:w="6740" w:type="dxa"/>
            <w:tcBorders>
              <w:top w:val="nil"/>
              <w:left w:val="nil"/>
              <w:bottom w:val="single" w:sz="4" w:space="0" w:color="auto"/>
              <w:right w:val="single" w:sz="4" w:space="0" w:color="auto"/>
            </w:tcBorders>
            <w:shd w:val="clear" w:color="auto" w:fill="auto"/>
            <w:noWrap/>
            <w:vAlign w:val="center"/>
            <w:hideMark/>
          </w:tcPr>
          <w:p w14:paraId="47D5FAAC" w14:textId="05B9040D"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Propositions d</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améliorations concernant les Conférences de plénipotentiaires</w:t>
            </w:r>
          </w:p>
        </w:tc>
        <w:tc>
          <w:tcPr>
            <w:tcW w:w="1418" w:type="dxa"/>
            <w:tcBorders>
              <w:top w:val="nil"/>
              <w:left w:val="nil"/>
              <w:bottom w:val="single" w:sz="4" w:space="0" w:color="auto"/>
              <w:right w:val="single" w:sz="4" w:space="0" w:color="auto"/>
            </w:tcBorders>
            <w:shd w:val="clear" w:color="auto" w:fill="auto"/>
            <w:noWrap/>
            <w:vAlign w:val="center"/>
            <w:hideMark/>
          </w:tcPr>
          <w:p w14:paraId="76FE7CE3" w14:textId="77777777" w:rsidR="00423737" w:rsidRPr="002A7EEE" w:rsidRDefault="00B427A6" w:rsidP="009C6D5D">
            <w:pPr>
              <w:pStyle w:val="Tabletext"/>
              <w:jc w:val="center"/>
              <w:rPr>
                <w:b/>
                <w:bCs/>
                <w:sz w:val="18"/>
                <w:szCs w:val="18"/>
                <w:lang w:eastAsia="en-GB"/>
              </w:rPr>
            </w:pPr>
            <w:hyperlink r:id="rId24" w:history="1">
              <w:r w:rsidR="00423737" w:rsidRPr="002A7EEE">
                <w:rPr>
                  <w:rStyle w:val="Hyperlink"/>
                  <w:b/>
                  <w:bCs/>
                  <w:sz w:val="18"/>
                  <w:szCs w:val="18"/>
                  <w:lang w:eastAsia="en-GB"/>
                </w:rPr>
                <w:t>C21/13</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C09F997"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369FAC48"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61EA5BAE" w14:textId="77777777" w:rsidR="00423737" w:rsidRPr="002A7EEE" w:rsidRDefault="00423737" w:rsidP="009C6D5D">
            <w:pPr>
              <w:pStyle w:val="Tabletext"/>
              <w:jc w:val="center"/>
              <w:rPr>
                <w:sz w:val="18"/>
                <w:szCs w:val="18"/>
                <w:lang w:eastAsia="en-GB"/>
              </w:rPr>
            </w:pPr>
            <w:r w:rsidRPr="002A7EEE">
              <w:rPr>
                <w:sz w:val="18"/>
                <w:szCs w:val="18"/>
                <w:lang w:eastAsia="en-GB"/>
              </w:rPr>
              <w:t>12</w:t>
            </w:r>
          </w:p>
        </w:tc>
        <w:tc>
          <w:tcPr>
            <w:tcW w:w="6740" w:type="dxa"/>
            <w:tcBorders>
              <w:top w:val="nil"/>
              <w:left w:val="nil"/>
              <w:bottom w:val="single" w:sz="4" w:space="0" w:color="auto"/>
              <w:right w:val="single" w:sz="4" w:space="0" w:color="auto"/>
            </w:tcBorders>
            <w:shd w:val="clear" w:color="auto" w:fill="auto"/>
            <w:vAlign w:val="center"/>
            <w:hideMark/>
          </w:tcPr>
          <w:p w14:paraId="76CC1260" w14:textId="2F3468D5"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Mise en œuvre des Recommandations 6 et 7 de la Commission 5 de la PP-18 (processus d</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élection)</w:t>
            </w:r>
          </w:p>
        </w:tc>
        <w:tc>
          <w:tcPr>
            <w:tcW w:w="1418" w:type="dxa"/>
            <w:tcBorders>
              <w:top w:val="nil"/>
              <w:left w:val="nil"/>
              <w:bottom w:val="single" w:sz="4" w:space="0" w:color="auto"/>
              <w:right w:val="single" w:sz="4" w:space="0" w:color="auto"/>
            </w:tcBorders>
            <w:shd w:val="clear" w:color="auto" w:fill="auto"/>
            <w:noWrap/>
            <w:vAlign w:val="center"/>
            <w:hideMark/>
          </w:tcPr>
          <w:p w14:paraId="0DE9E9DC" w14:textId="77777777" w:rsidR="00423737" w:rsidRPr="002A7EEE" w:rsidRDefault="00B427A6" w:rsidP="009C6D5D">
            <w:pPr>
              <w:pStyle w:val="Tabletext"/>
              <w:jc w:val="center"/>
              <w:rPr>
                <w:b/>
                <w:bCs/>
                <w:sz w:val="18"/>
                <w:szCs w:val="18"/>
                <w:lang w:eastAsia="en-GB"/>
              </w:rPr>
            </w:pPr>
            <w:hyperlink r:id="rId25" w:history="1">
              <w:r w:rsidR="00423737" w:rsidRPr="002A7EEE">
                <w:rPr>
                  <w:rStyle w:val="Hyperlink"/>
                  <w:b/>
                  <w:bCs/>
                  <w:sz w:val="18"/>
                  <w:szCs w:val="18"/>
                  <w:lang w:eastAsia="en-GB"/>
                </w:rPr>
                <w:t>C21/4</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1BD4F7F"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50A7C05A"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26A10446" w14:textId="77777777" w:rsidR="00423737" w:rsidRPr="002A7EEE" w:rsidRDefault="00423737" w:rsidP="009C6D5D">
            <w:pPr>
              <w:pStyle w:val="Tabletext"/>
              <w:jc w:val="center"/>
              <w:rPr>
                <w:sz w:val="18"/>
                <w:szCs w:val="18"/>
                <w:lang w:eastAsia="en-GB"/>
              </w:rPr>
            </w:pPr>
            <w:r w:rsidRPr="002A7EEE">
              <w:rPr>
                <w:sz w:val="18"/>
                <w:szCs w:val="18"/>
                <w:lang w:eastAsia="en-GB"/>
              </w:rPr>
              <w:t>13</w:t>
            </w:r>
          </w:p>
        </w:tc>
        <w:tc>
          <w:tcPr>
            <w:tcW w:w="6740" w:type="dxa"/>
            <w:tcBorders>
              <w:top w:val="nil"/>
              <w:left w:val="nil"/>
              <w:bottom w:val="single" w:sz="4" w:space="0" w:color="auto"/>
              <w:right w:val="single" w:sz="4" w:space="0" w:color="auto"/>
            </w:tcBorders>
            <w:shd w:val="clear" w:color="auto" w:fill="auto"/>
            <w:vAlign w:val="center"/>
          </w:tcPr>
          <w:p w14:paraId="0A2DBB2A" w14:textId="795D7540"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Lignes directrices relatives à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éthique pour les activités menées dans le cadre de la campagne électorale</w:t>
            </w:r>
          </w:p>
        </w:tc>
        <w:tc>
          <w:tcPr>
            <w:tcW w:w="1418" w:type="dxa"/>
            <w:tcBorders>
              <w:top w:val="nil"/>
              <w:left w:val="nil"/>
              <w:bottom w:val="single" w:sz="4" w:space="0" w:color="auto"/>
              <w:right w:val="single" w:sz="4" w:space="0" w:color="auto"/>
            </w:tcBorders>
            <w:shd w:val="clear" w:color="auto" w:fill="auto"/>
            <w:vAlign w:val="center"/>
          </w:tcPr>
          <w:p w14:paraId="1771E38C" w14:textId="77777777" w:rsidR="00423737" w:rsidRPr="002A7EEE" w:rsidRDefault="00B427A6" w:rsidP="009C6D5D">
            <w:pPr>
              <w:pStyle w:val="Tabletext"/>
              <w:jc w:val="center"/>
              <w:rPr>
                <w:b/>
                <w:bCs/>
                <w:sz w:val="18"/>
                <w:szCs w:val="18"/>
                <w:lang w:eastAsia="en-GB"/>
              </w:rPr>
            </w:pPr>
            <w:hyperlink r:id="rId26" w:history="1">
              <w:r w:rsidR="00423737" w:rsidRPr="002A7EEE">
                <w:rPr>
                  <w:rStyle w:val="Hyperlink"/>
                  <w:b/>
                  <w:bCs/>
                  <w:sz w:val="18"/>
                  <w:szCs w:val="18"/>
                  <w:lang w:eastAsia="en-GB"/>
                </w:rPr>
                <w:t>C21/66</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7332890"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0851D44A"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4E8B24B2" w14:textId="77777777" w:rsidR="00423737" w:rsidRPr="002A7EEE" w:rsidRDefault="00423737" w:rsidP="009C6D5D">
            <w:pPr>
              <w:pStyle w:val="Tabletext"/>
              <w:jc w:val="center"/>
              <w:rPr>
                <w:sz w:val="18"/>
                <w:szCs w:val="18"/>
                <w:lang w:eastAsia="en-GB"/>
              </w:rPr>
            </w:pPr>
            <w:r w:rsidRPr="002A7EEE">
              <w:rPr>
                <w:sz w:val="18"/>
                <w:szCs w:val="18"/>
                <w:lang w:eastAsia="en-GB"/>
              </w:rPr>
              <w:t>14</w:t>
            </w:r>
          </w:p>
        </w:tc>
        <w:tc>
          <w:tcPr>
            <w:tcW w:w="6740" w:type="dxa"/>
            <w:tcBorders>
              <w:top w:val="single" w:sz="4" w:space="0" w:color="auto"/>
              <w:left w:val="nil"/>
              <w:bottom w:val="single" w:sz="4" w:space="0" w:color="auto"/>
              <w:right w:val="single" w:sz="4" w:space="0" w:color="auto"/>
            </w:tcBorders>
            <w:shd w:val="clear" w:color="auto" w:fill="FFFFFF"/>
            <w:vAlign w:val="center"/>
            <w:hideMark/>
          </w:tcPr>
          <w:p w14:paraId="4B0B9F00" w14:textId="1D80F0BB"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Travaux préparatoires en vue de la Conférence mond</w:t>
            </w:r>
            <w:r w:rsidR="00810AE0">
              <w:rPr>
                <w:rFonts w:asciiTheme="minorHAnsi" w:hAnsiTheme="minorHAnsi" w:cstheme="minorHAnsi"/>
                <w:sz w:val="18"/>
                <w:szCs w:val="18"/>
                <w:lang w:eastAsia="en-GB"/>
              </w:rPr>
              <w:t>iale des radiocommunications de </w:t>
            </w:r>
            <w:r w:rsidRPr="002A7EEE">
              <w:rPr>
                <w:rFonts w:asciiTheme="minorHAnsi" w:hAnsiTheme="minorHAnsi" w:cstheme="minorHAnsi"/>
                <w:sz w:val="18"/>
                <w:szCs w:val="18"/>
                <w:lang w:eastAsia="en-GB"/>
              </w:rPr>
              <w:t>2023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DF90C7" w14:textId="77777777" w:rsidR="00423737" w:rsidRPr="002A7EEE" w:rsidRDefault="00B427A6" w:rsidP="009C6D5D">
            <w:pPr>
              <w:pStyle w:val="Tabletext"/>
              <w:jc w:val="center"/>
              <w:rPr>
                <w:b/>
                <w:bCs/>
                <w:sz w:val="18"/>
                <w:szCs w:val="18"/>
                <w:lang w:eastAsia="en-GB"/>
              </w:rPr>
            </w:pPr>
            <w:hyperlink r:id="rId27" w:history="1">
              <w:r w:rsidR="00423737" w:rsidRPr="002A7EEE">
                <w:rPr>
                  <w:rStyle w:val="Hyperlink"/>
                  <w:b/>
                  <w:bCs/>
                  <w:sz w:val="18"/>
                  <w:szCs w:val="18"/>
                  <w:lang w:eastAsia="en-GB"/>
                </w:rPr>
                <w:t>C21/55</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C1EA99"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652A36C"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649D327" w14:textId="77777777" w:rsidR="00423737" w:rsidRPr="002A7EEE" w:rsidRDefault="00423737" w:rsidP="009C6D5D">
            <w:pPr>
              <w:pStyle w:val="Tabletext"/>
              <w:jc w:val="center"/>
              <w:rPr>
                <w:sz w:val="18"/>
                <w:szCs w:val="18"/>
                <w:lang w:eastAsia="en-GB"/>
              </w:rPr>
            </w:pPr>
            <w:r w:rsidRPr="002A7EEE">
              <w:rPr>
                <w:sz w:val="18"/>
                <w:szCs w:val="18"/>
                <w:lang w:eastAsia="en-GB"/>
              </w:rPr>
              <w:t>15</w:t>
            </w:r>
          </w:p>
        </w:tc>
        <w:tc>
          <w:tcPr>
            <w:tcW w:w="6740" w:type="dxa"/>
            <w:tcBorders>
              <w:top w:val="nil"/>
              <w:left w:val="nil"/>
              <w:bottom w:val="single" w:sz="4" w:space="0" w:color="auto"/>
              <w:right w:val="single" w:sz="4" w:space="0" w:color="auto"/>
            </w:tcBorders>
            <w:shd w:val="clear" w:color="auto" w:fill="auto"/>
            <w:vAlign w:val="center"/>
            <w:hideMark/>
          </w:tcPr>
          <w:p w14:paraId="193668D2" w14:textId="208467FE"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Dates et durée proposées pour les sessions de 2022, 2023, 2024, 2025 et 2026 du Conseil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UIT et les séries de réunions des Groupes d</w:t>
            </w:r>
            <w:r w:rsidR="00810AE0">
              <w:rPr>
                <w:rFonts w:asciiTheme="minorHAnsi" w:hAnsiTheme="minorHAnsi" w:cstheme="minorHAnsi"/>
                <w:sz w:val="18"/>
                <w:szCs w:val="18"/>
                <w:lang w:eastAsia="en-GB"/>
              </w:rPr>
              <w:t>e travail du Conseil en 2022 et </w:t>
            </w:r>
            <w:r w:rsidRPr="002A7EEE">
              <w:rPr>
                <w:rFonts w:asciiTheme="minorHAnsi" w:hAnsiTheme="minorHAnsi" w:cstheme="minorHAnsi"/>
                <w:sz w:val="18"/>
                <w:szCs w:val="18"/>
                <w:lang w:eastAsia="en-GB"/>
              </w:rPr>
              <w:t>2023 (</w:t>
            </w:r>
            <w:r w:rsidRPr="002A7EEE">
              <w:rPr>
                <w:rFonts w:asciiTheme="minorHAnsi" w:hAnsiTheme="minorHAnsi" w:cstheme="minorHAnsi"/>
                <w:i/>
                <w:iCs/>
                <w:sz w:val="18"/>
                <w:szCs w:val="18"/>
                <w:lang w:eastAsia="en-GB"/>
              </w:rPr>
              <w:t>Résolutions 77 et 111 de la PP et Décision 612 du Conseil</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noWrap/>
            <w:vAlign w:val="center"/>
            <w:hideMark/>
          </w:tcPr>
          <w:p w14:paraId="575FF81C" w14:textId="77777777" w:rsidR="00423737" w:rsidRPr="002A7EEE" w:rsidRDefault="00B427A6" w:rsidP="009C6D5D">
            <w:pPr>
              <w:pStyle w:val="Tabletext"/>
              <w:jc w:val="center"/>
              <w:rPr>
                <w:b/>
                <w:bCs/>
                <w:sz w:val="18"/>
                <w:szCs w:val="18"/>
                <w:lang w:eastAsia="en-GB"/>
              </w:rPr>
            </w:pPr>
            <w:hyperlink r:id="rId28" w:history="1">
              <w:r w:rsidR="00423737" w:rsidRPr="002A7EEE">
                <w:rPr>
                  <w:rStyle w:val="Hyperlink"/>
                  <w:b/>
                  <w:bCs/>
                  <w:sz w:val="18"/>
                  <w:szCs w:val="18"/>
                  <w:lang w:eastAsia="en-GB"/>
                </w:rPr>
                <w:t>C21/2</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7BE3060"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6F2E766D"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B544A30" w14:textId="77777777" w:rsidR="00423737" w:rsidRPr="002A7EEE" w:rsidRDefault="00423737" w:rsidP="009C6D5D">
            <w:pPr>
              <w:pStyle w:val="Tabletext"/>
              <w:jc w:val="center"/>
              <w:rPr>
                <w:sz w:val="18"/>
                <w:szCs w:val="18"/>
                <w:lang w:eastAsia="en-GB"/>
              </w:rPr>
            </w:pPr>
            <w:r w:rsidRPr="002A7EEE">
              <w:rPr>
                <w:sz w:val="18"/>
                <w:szCs w:val="18"/>
                <w:lang w:eastAsia="en-GB"/>
              </w:rPr>
              <w:t>16</w:t>
            </w:r>
          </w:p>
        </w:tc>
        <w:tc>
          <w:tcPr>
            <w:tcW w:w="6740" w:type="dxa"/>
            <w:tcBorders>
              <w:top w:val="nil"/>
              <w:left w:val="nil"/>
              <w:bottom w:val="single" w:sz="4" w:space="0" w:color="auto"/>
              <w:right w:val="single" w:sz="4" w:space="0" w:color="auto"/>
            </w:tcBorders>
            <w:shd w:val="clear" w:color="auto" w:fill="auto"/>
            <w:vAlign w:val="center"/>
            <w:hideMark/>
          </w:tcPr>
          <w:p w14:paraId="4BAEF944" w14:textId="62E42C1E"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 xml:space="preserve">Calendrier des futures conférences, assemblées et réunions de </w:t>
            </w:r>
            <w:proofErr w:type="gramStart"/>
            <w:r w:rsidRPr="002A7EEE">
              <w:rPr>
                <w:rFonts w:asciiTheme="minorHAnsi" w:hAnsiTheme="minorHAnsi" w:cstheme="minorHAnsi"/>
                <w:sz w:val="18"/>
                <w:szCs w:val="18"/>
                <w:lang w:eastAsia="en-GB"/>
              </w:rPr>
              <w:t>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Union:</w:t>
            </w:r>
            <w:proofErr w:type="gramEnd"/>
            <w:r w:rsidRPr="002A7EEE">
              <w:rPr>
                <w:rFonts w:asciiTheme="minorHAnsi" w:hAnsiTheme="minorHAnsi" w:cstheme="minorHAnsi"/>
                <w:sz w:val="18"/>
                <w:szCs w:val="18"/>
                <w:lang w:eastAsia="en-GB"/>
              </w:rPr>
              <w:t xml:space="preserve"> 2021-2024 (</w:t>
            </w:r>
            <w:r w:rsidRPr="002A7EEE">
              <w:rPr>
                <w:rFonts w:asciiTheme="minorHAnsi" w:hAnsiTheme="minorHAnsi" w:cstheme="minorHAnsi"/>
                <w:i/>
                <w:iCs/>
                <w:sz w:val="18"/>
                <w:szCs w:val="18"/>
                <w:lang w:eastAsia="en-GB"/>
              </w:rPr>
              <w:t>Résolutions 77 et 111 de la PP</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129D79C7" w14:textId="77777777" w:rsidR="00423737" w:rsidRPr="002A7EEE" w:rsidRDefault="00B427A6" w:rsidP="009C6D5D">
            <w:pPr>
              <w:pStyle w:val="Tabletext"/>
              <w:jc w:val="center"/>
              <w:rPr>
                <w:b/>
                <w:bCs/>
                <w:sz w:val="18"/>
                <w:szCs w:val="18"/>
                <w:lang w:eastAsia="en-GB"/>
              </w:rPr>
            </w:pPr>
            <w:hyperlink r:id="rId29" w:history="1">
              <w:r w:rsidR="00423737" w:rsidRPr="002A7EEE">
                <w:rPr>
                  <w:rStyle w:val="Hyperlink"/>
                  <w:b/>
                  <w:bCs/>
                  <w:sz w:val="18"/>
                  <w:szCs w:val="18"/>
                  <w:lang w:eastAsia="en-GB"/>
                </w:rPr>
                <w:t>C21/37</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E557320"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35295BF"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648231B3" w14:textId="77777777" w:rsidR="00423737" w:rsidRPr="002A7EEE" w:rsidRDefault="00423737" w:rsidP="009C6D5D">
            <w:pPr>
              <w:pStyle w:val="Tabletext"/>
              <w:jc w:val="center"/>
              <w:rPr>
                <w:sz w:val="18"/>
                <w:szCs w:val="18"/>
                <w:lang w:eastAsia="en-GB"/>
              </w:rPr>
            </w:pPr>
            <w:r w:rsidRPr="002A7EEE">
              <w:rPr>
                <w:sz w:val="18"/>
                <w:szCs w:val="18"/>
                <w:lang w:eastAsia="en-GB"/>
              </w:rPr>
              <w:t>17</w:t>
            </w:r>
          </w:p>
        </w:tc>
        <w:tc>
          <w:tcPr>
            <w:tcW w:w="6740" w:type="dxa"/>
            <w:tcBorders>
              <w:top w:val="nil"/>
              <w:left w:val="nil"/>
              <w:bottom w:val="single" w:sz="4" w:space="0" w:color="auto"/>
              <w:right w:val="single" w:sz="4" w:space="0" w:color="auto"/>
            </w:tcBorders>
            <w:shd w:val="clear" w:color="auto" w:fill="auto"/>
            <w:vAlign w:val="center"/>
            <w:hideMark/>
          </w:tcPr>
          <w:p w14:paraId="71B994D6" w14:textId="763ECDBF"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Journée mondiale des télécommunications et de la société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information (</w:t>
            </w:r>
            <w:r w:rsidRPr="002A7EEE">
              <w:rPr>
                <w:rFonts w:asciiTheme="minorHAnsi" w:hAnsiTheme="minorHAnsi" w:cstheme="minorHAnsi"/>
                <w:i/>
                <w:iCs/>
                <w:sz w:val="18"/>
                <w:szCs w:val="18"/>
                <w:lang w:eastAsia="en-GB"/>
              </w:rPr>
              <w:t>Résolution 68 de la PP</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778FDCC3" w14:textId="77777777" w:rsidR="00423737" w:rsidRPr="002A7EEE" w:rsidRDefault="00B427A6" w:rsidP="009C6D5D">
            <w:pPr>
              <w:pStyle w:val="Tabletext"/>
              <w:jc w:val="center"/>
              <w:rPr>
                <w:b/>
                <w:bCs/>
                <w:sz w:val="18"/>
                <w:szCs w:val="18"/>
                <w:lang w:eastAsia="en-GB"/>
              </w:rPr>
            </w:pPr>
            <w:hyperlink r:id="rId30" w:history="1">
              <w:r w:rsidR="00423737" w:rsidRPr="002A7EEE">
                <w:rPr>
                  <w:rStyle w:val="Hyperlink"/>
                  <w:b/>
                  <w:bCs/>
                  <w:sz w:val="18"/>
                  <w:szCs w:val="18"/>
                  <w:lang w:eastAsia="en-GB"/>
                </w:rPr>
                <w:t>C21/17</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5150AF7"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3A7D43E2"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247AF6E" w14:textId="77777777" w:rsidR="00423737" w:rsidRPr="002A7EEE" w:rsidRDefault="00423737" w:rsidP="009C6D5D">
            <w:pPr>
              <w:pStyle w:val="Tabletext"/>
              <w:jc w:val="center"/>
              <w:rPr>
                <w:sz w:val="18"/>
                <w:szCs w:val="18"/>
                <w:lang w:eastAsia="en-GB"/>
              </w:rPr>
            </w:pPr>
            <w:r w:rsidRPr="002A7EEE">
              <w:rPr>
                <w:sz w:val="18"/>
                <w:szCs w:val="18"/>
                <w:lang w:eastAsia="en-GB"/>
              </w:rPr>
              <w:t>18</w:t>
            </w:r>
          </w:p>
        </w:tc>
        <w:tc>
          <w:tcPr>
            <w:tcW w:w="6740" w:type="dxa"/>
            <w:tcBorders>
              <w:top w:val="single" w:sz="4" w:space="0" w:color="auto"/>
              <w:left w:val="nil"/>
              <w:bottom w:val="single" w:sz="4" w:space="0" w:color="auto"/>
              <w:right w:val="single" w:sz="4" w:space="0" w:color="auto"/>
            </w:tcBorders>
            <w:shd w:val="clear" w:color="auto" w:fill="FFFFFF"/>
            <w:vAlign w:val="center"/>
            <w:hideMark/>
          </w:tcPr>
          <w:p w14:paraId="5321F04B" w14:textId="4AA4774B"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Projet de budget biennal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Union internationale des télécommunications pour 2022</w:t>
            </w:r>
            <w:r w:rsidRPr="002A7EEE">
              <w:rPr>
                <w:rFonts w:asciiTheme="minorHAnsi" w:hAnsiTheme="minorHAnsi" w:cstheme="minorHAnsi"/>
                <w:sz w:val="18"/>
                <w:szCs w:val="18"/>
                <w:lang w:eastAsia="en-GB"/>
              </w:rPr>
              <w:noBreakHyphen/>
              <w:t>2023</w:t>
            </w:r>
          </w:p>
        </w:tc>
        <w:tc>
          <w:tcPr>
            <w:tcW w:w="1418" w:type="dxa"/>
            <w:tcBorders>
              <w:top w:val="nil"/>
              <w:left w:val="nil"/>
              <w:bottom w:val="single" w:sz="4" w:space="0" w:color="auto"/>
              <w:right w:val="single" w:sz="4" w:space="0" w:color="auto"/>
            </w:tcBorders>
            <w:shd w:val="clear" w:color="auto" w:fill="auto"/>
            <w:vAlign w:val="center"/>
            <w:hideMark/>
          </w:tcPr>
          <w:p w14:paraId="580C4536" w14:textId="77777777" w:rsidR="00423737" w:rsidRPr="002A7EEE" w:rsidRDefault="00B427A6" w:rsidP="009C6D5D">
            <w:pPr>
              <w:pStyle w:val="Tabletext"/>
              <w:jc w:val="center"/>
              <w:rPr>
                <w:b/>
                <w:bCs/>
                <w:sz w:val="18"/>
                <w:szCs w:val="18"/>
                <w:lang w:eastAsia="en-GB"/>
              </w:rPr>
            </w:pPr>
            <w:hyperlink r:id="rId31" w:history="1">
              <w:r w:rsidR="00423737" w:rsidRPr="002A7EEE">
                <w:rPr>
                  <w:rStyle w:val="Hyperlink"/>
                  <w:b/>
                  <w:bCs/>
                  <w:sz w:val="18"/>
                  <w:szCs w:val="18"/>
                  <w:lang w:eastAsia="en-GB"/>
                </w:rPr>
                <w:t>C21/65</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9C80BE5"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5E6BCE9"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72A1F9F5" w14:textId="77777777" w:rsidR="00423737" w:rsidRPr="002A7EEE" w:rsidRDefault="00423737" w:rsidP="009C6D5D">
            <w:pPr>
              <w:pStyle w:val="Tabletext"/>
              <w:jc w:val="center"/>
              <w:rPr>
                <w:sz w:val="18"/>
                <w:szCs w:val="18"/>
                <w:lang w:eastAsia="en-GB"/>
              </w:rPr>
            </w:pPr>
            <w:r w:rsidRPr="002A7EEE">
              <w:rPr>
                <w:sz w:val="18"/>
                <w:szCs w:val="18"/>
                <w:lang w:eastAsia="en-GB"/>
              </w:rPr>
              <w:t>19</w:t>
            </w:r>
          </w:p>
        </w:tc>
        <w:tc>
          <w:tcPr>
            <w:tcW w:w="6740" w:type="dxa"/>
            <w:tcBorders>
              <w:top w:val="single" w:sz="4" w:space="0" w:color="auto"/>
              <w:left w:val="nil"/>
              <w:bottom w:val="single" w:sz="4" w:space="0" w:color="auto"/>
              <w:right w:val="single" w:sz="4" w:space="0" w:color="auto"/>
            </w:tcBorders>
            <w:shd w:val="clear" w:color="auto" w:fill="FFFFFF"/>
            <w:noWrap/>
            <w:vAlign w:val="center"/>
            <w:hideMark/>
          </w:tcPr>
          <w:p w14:paraId="4AFF296F" w14:textId="58956C60"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Montant préliminaire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unité contributive pour le plan financier 2024-2027</w:t>
            </w:r>
          </w:p>
        </w:tc>
        <w:tc>
          <w:tcPr>
            <w:tcW w:w="1418" w:type="dxa"/>
            <w:tcBorders>
              <w:top w:val="nil"/>
              <w:left w:val="nil"/>
              <w:bottom w:val="single" w:sz="4" w:space="0" w:color="auto"/>
              <w:right w:val="single" w:sz="4" w:space="0" w:color="auto"/>
            </w:tcBorders>
            <w:shd w:val="clear" w:color="auto" w:fill="auto"/>
            <w:vAlign w:val="center"/>
            <w:hideMark/>
          </w:tcPr>
          <w:p w14:paraId="39E563DD" w14:textId="77777777" w:rsidR="00423737" w:rsidRPr="002A7EEE" w:rsidRDefault="00B427A6" w:rsidP="009C6D5D">
            <w:pPr>
              <w:pStyle w:val="Tabletext"/>
              <w:jc w:val="center"/>
              <w:rPr>
                <w:b/>
                <w:bCs/>
                <w:sz w:val="18"/>
                <w:szCs w:val="18"/>
                <w:lang w:eastAsia="en-GB"/>
              </w:rPr>
            </w:pPr>
            <w:hyperlink r:id="rId32" w:history="1">
              <w:r w:rsidR="00423737" w:rsidRPr="002A7EEE">
                <w:rPr>
                  <w:rStyle w:val="Hyperlink"/>
                  <w:b/>
                  <w:bCs/>
                  <w:sz w:val="18"/>
                  <w:szCs w:val="18"/>
                  <w:lang w:eastAsia="en-GB"/>
                </w:rPr>
                <w:t>C21/56</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034D546"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3FF16D15"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2FEA38B9" w14:textId="77777777" w:rsidR="00423737" w:rsidRPr="002A7EEE" w:rsidRDefault="00423737" w:rsidP="009C6D5D">
            <w:pPr>
              <w:pStyle w:val="Tabletext"/>
              <w:jc w:val="center"/>
              <w:rPr>
                <w:sz w:val="18"/>
                <w:szCs w:val="18"/>
                <w:lang w:eastAsia="en-GB"/>
              </w:rPr>
            </w:pPr>
            <w:r w:rsidRPr="002A7EEE">
              <w:rPr>
                <w:sz w:val="18"/>
                <w:szCs w:val="18"/>
                <w:lang w:eastAsia="en-GB"/>
              </w:rPr>
              <w:t>20</w:t>
            </w:r>
          </w:p>
        </w:tc>
        <w:tc>
          <w:tcPr>
            <w:tcW w:w="6740" w:type="dxa"/>
            <w:tcBorders>
              <w:top w:val="single" w:sz="4" w:space="0" w:color="auto"/>
              <w:left w:val="nil"/>
              <w:bottom w:val="single" w:sz="4" w:space="0" w:color="auto"/>
              <w:right w:val="single" w:sz="4" w:space="0" w:color="auto"/>
            </w:tcBorders>
            <w:shd w:val="clear" w:color="auto" w:fill="FFFFFF"/>
            <w:noWrap/>
            <w:vAlign w:val="center"/>
          </w:tcPr>
          <w:p w14:paraId="478ED145"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Activités demandées mais non budgétées (UMAC)</w:t>
            </w:r>
          </w:p>
        </w:tc>
        <w:tc>
          <w:tcPr>
            <w:tcW w:w="1418" w:type="dxa"/>
            <w:tcBorders>
              <w:top w:val="nil"/>
              <w:left w:val="nil"/>
              <w:bottom w:val="single" w:sz="4" w:space="0" w:color="auto"/>
              <w:right w:val="single" w:sz="4" w:space="0" w:color="auto"/>
            </w:tcBorders>
            <w:shd w:val="clear" w:color="auto" w:fill="auto"/>
            <w:vAlign w:val="center"/>
          </w:tcPr>
          <w:p w14:paraId="4CFF2985" w14:textId="77777777" w:rsidR="00423737" w:rsidRPr="002A7EEE" w:rsidRDefault="00B427A6" w:rsidP="009C6D5D">
            <w:pPr>
              <w:pStyle w:val="Tabletext"/>
              <w:jc w:val="center"/>
              <w:rPr>
                <w:b/>
                <w:bCs/>
                <w:sz w:val="18"/>
                <w:szCs w:val="18"/>
                <w:lang w:eastAsia="en-GB"/>
              </w:rPr>
            </w:pPr>
            <w:hyperlink r:id="rId33" w:history="1">
              <w:r w:rsidR="00423737" w:rsidRPr="002A7EEE">
                <w:rPr>
                  <w:rStyle w:val="Hyperlink"/>
                  <w:b/>
                  <w:bCs/>
                  <w:sz w:val="18"/>
                  <w:szCs w:val="18"/>
                  <w:lang w:eastAsia="en-GB"/>
                </w:rPr>
                <w:t>C21/49</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3E8AAE8"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395EC84"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2BF2A090" w14:textId="77777777" w:rsidR="00423737" w:rsidRPr="002A7EEE" w:rsidRDefault="00423737" w:rsidP="009C6D5D">
            <w:pPr>
              <w:pStyle w:val="Tabletext"/>
              <w:jc w:val="center"/>
              <w:rPr>
                <w:sz w:val="18"/>
                <w:szCs w:val="18"/>
                <w:lang w:eastAsia="en-GB"/>
              </w:rPr>
            </w:pPr>
            <w:r w:rsidRPr="002A7EEE">
              <w:rPr>
                <w:sz w:val="18"/>
                <w:szCs w:val="18"/>
                <w:lang w:eastAsia="en-GB"/>
              </w:rPr>
              <w:lastRenderedPageBreak/>
              <w:t>21</w:t>
            </w:r>
          </w:p>
        </w:tc>
        <w:tc>
          <w:tcPr>
            <w:tcW w:w="6740" w:type="dxa"/>
            <w:tcBorders>
              <w:top w:val="nil"/>
              <w:left w:val="nil"/>
              <w:bottom w:val="single" w:sz="4" w:space="0" w:color="auto"/>
              <w:right w:val="single" w:sz="4" w:space="0" w:color="auto"/>
            </w:tcBorders>
            <w:shd w:val="clear" w:color="auto" w:fill="auto"/>
            <w:vAlign w:val="center"/>
            <w:hideMark/>
          </w:tcPr>
          <w:p w14:paraId="1606774D"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 xml:space="preserve">Rapport du Président du Groupe de travail du Conseil sur les ressources financières et les ressources humaines (GTC-FHR) </w:t>
            </w:r>
            <w:r w:rsidRPr="002A7EEE">
              <w:rPr>
                <w:rFonts w:asciiTheme="minorHAnsi" w:hAnsiTheme="minorHAnsi" w:cstheme="minorHAnsi"/>
                <w:i/>
                <w:iCs/>
                <w:sz w:val="18"/>
                <w:szCs w:val="18"/>
                <w:lang w:eastAsia="en-GB"/>
              </w:rPr>
              <w:t>(Décisions 558 et 563(MOD) du Conseil)</w:t>
            </w:r>
            <w:r w:rsidRPr="002A7EEE">
              <w:rPr>
                <w:rFonts w:asciiTheme="minorHAnsi" w:hAnsiTheme="minorHAnsi" w:cstheme="minorHAnsi"/>
                <w:sz w:val="18"/>
                <w:szCs w:val="18"/>
                <w:lang w:eastAsia="en-GB"/>
              </w:rPr>
              <w:t xml:space="preserve"> </w:t>
            </w:r>
            <w:r w:rsidRPr="002A7EEE">
              <w:rPr>
                <w:rFonts w:asciiTheme="minorHAnsi" w:hAnsiTheme="minorHAnsi" w:cstheme="minorHAnsi"/>
                <w:i/>
                <w:iCs/>
                <w:sz w:val="18"/>
                <w:szCs w:val="18"/>
                <w:lang w:eastAsia="en-GB"/>
              </w:rPr>
              <w:t>(Résolutions 151, 152, 158, 169 et 170 de la PP)</w:t>
            </w:r>
          </w:p>
        </w:tc>
        <w:tc>
          <w:tcPr>
            <w:tcW w:w="1418" w:type="dxa"/>
            <w:tcBorders>
              <w:top w:val="nil"/>
              <w:left w:val="nil"/>
              <w:bottom w:val="single" w:sz="4" w:space="0" w:color="auto"/>
              <w:right w:val="single" w:sz="4" w:space="0" w:color="auto"/>
            </w:tcBorders>
            <w:shd w:val="clear" w:color="auto" w:fill="auto"/>
            <w:vAlign w:val="center"/>
            <w:hideMark/>
          </w:tcPr>
          <w:p w14:paraId="111B874A" w14:textId="77777777" w:rsidR="00423737" w:rsidRPr="002A7EEE" w:rsidRDefault="00B427A6" w:rsidP="009C6D5D">
            <w:pPr>
              <w:pStyle w:val="Tabletext"/>
              <w:jc w:val="center"/>
              <w:rPr>
                <w:b/>
                <w:bCs/>
                <w:sz w:val="18"/>
                <w:szCs w:val="18"/>
                <w:lang w:eastAsia="en-GB"/>
              </w:rPr>
            </w:pPr>
            <w:hyperlink r:id="rId34" w:history="1">
              <w:r w:rsidR="00423737" w:rsidRPr="002A7EEE">
                <w:rPr>
                  <w:rStyle w:val="Hyperlink"/>
                  <w:b/>
                  <w:bCs/>
                  <w:sz w:val="18"/>
                  <w:szCs w:val="18"/>
                  <w:lang w:eastAsia="en-GB"/>
                </w:rPr>
                <w:t>C21/50</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821CBD7"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494EB17"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599F75FE" w14:textId="77777777" w:rsidR="00423737" w:rsidRPr="002A7EEE" w:rsidRDefault="00423737" w:rsidP="009C6D5D">
            <w:pPr>
              <w:pStyle w:val="Tabletext"/>
              <w:jc w:val="center"/>
              <w:rPr>
                <w:sz w:val="18"/>
                <w:szCs w:val="18"/>
                <w:lang w:eastAsia="en-GB"/>
              </w:rPr>
            </w:pPr>
            <w:r w:rsidRPr="002A7EEE">
              <w:rPr>
                <w:sz w:val="18"/>
                <w:szCs w:val="18"/>
                <w:lang w:eastAsia="en-GB"/>
              </w:rPr>
              <w:t>22</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557E7CCB" w14:textId="72DD20D0" w:rsidR="00423737" w:rsidRPr="002A7EEE" w:rsidRDefault="00423737" w:rsidP="009C6D5D">
            <w:pPr>
              <w:pStyle w:val="Tabletext"/>
              <w:rPr>
                <w:rFonts w:asciiTheme="minorHAnsi" w:hAnsiTheme="minorHAnsi" w:cstheme="minorHAnsi"/>
                <w:i/>
                <w:iCs/>
                <w:sz w:val="18"/>
                <w:szCs w:val="18"/>
                <w:lang w:eastAsia="en-GB"/>
              </w:rPr>
            </w:pPr>
            <w:r w:rsidRPr="002A7EEE">
              <w:rPr>
                <w:rFonts w:asciiTheme="minorHAnsi" w:hAnsiTheme="minorHAnsi" w:cstheme="minorHAnsi"/>
                <w:sz w:val="18"/>
                <w:szCs w:val="18"/>
                <w:lang w:eastAsia="en-GB"/>
              </w:rPr>
              <w:t>Arriérés et comptes spéciaux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arriérés (</w:t>
            </w:r>
            <w:r w:rsidRPr="002A7EEE">
              <w:rPr>
                <w:rFonts w:asciiTheme="minorHAnsi" w:hAnsiTheme="minorHAnsi" w:cstheme="minorHAnsi"/>
                <w:i/>
                <w:iCs/>
                <w:sz w:val="18"/>
                <w:szCs w:val="18"/>
                <w:lang w:eastAsia="en-GB"/>
              </w:rPr>
              <w:t>Résolution 41 de la PP</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70866AAF" w14:textId="77777777" w:rsidR="00423737" w:rsidRPr="002A7EEE" w:rsidRDefault="00B427A6" w:rsidP="009C6D5D">
            <w:pPr>
              <w:pStyle w:val="Tabletext"/>
              <w:jc w:val="center"/>
              <w:rPr>
                <w:b/>
                <w:bCs/>
                <w:sz w:val="18"/>
                <w:szCs w:val="18"/>
                <w:lang w:eastAsia="en-GB"/>
              </w:rPr>
            </w:pPr>
            <w:hyperlink r:id="rId35" w:history="1">
              <w:r w:rsidR="00423737" w:rsidRPr="002A7EEE">
                <w:rPr>
                  <w:rStyle w:val="Hyperlink"/>
                  <w:b/>
                  <w:bCs/>
                  <w:sz w:val="18"/>
                  <w:szCs w:val="18"/>
                  <w:lang w:eastAsia="en-GB"/>
                </w:rPr>
                <w:t>C21/11</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FB7ADD6"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64F8DC6D"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100BD768" w14:textId="77777777" w:rsidR="00423737" w:rsidRPr="002A7EEE" w:rsidRDefault="00423737" w:rsidP="009C6D5D">
            <w:pPr>
              <w:pStyle w:val="Tabletext"/>
              <w:jc w:val="center"/>
              <w:rPr>
                <w:sz w:val="18"/>
                <w:szCs w:val="18"/>
                <w:lang w:eastAsia="en-GB"/>
              </w:rPr>
            </w:pPr>
            <w:r w:rsidRPr="002A7EEE">
              <w:rPr>
                <w:sz w:val="18"/>
                <w:szCs w:val="18"/>
                <w:lang w:eastAsia="en-GB"/>
              </w:rPr>
              <w:t>23</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3153629C"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 xml:space="preserve">Comptes </w:t>
            </w:r>
            <w:proofErr w:type="gramStart"/>
            <w:r w:rsidRPr="002A7EEE">
              <w:rPr>
                <w:rFonts w:asciiTheme="minorHAnsi" w:hAnsiTheme="minorHAnsi" w:cstheme="minorHAnsi"/>
                <w:sz w:val="18"/>
                <w:szCs w:val="18"/>
                <w:lang w:eastAsia="en-GB"/>
              </w:rPr>
              <w:t>vérifiés:</w:t>
            </w:r>
            <w:proofErr w:type="gramEnd"/>
            <w:r w:rsidRPr="002A7EEE">
              <w:rPr>
                <w:rFonts w:asciiTheme="minorHAnsi" w:hAnsiTheme="minorHAnsi" w:cstheme="minorHAnsi"/>
                <w:sz w:val="18"/>
                <w:szCs w:val="18"/>
                <w:lang w:eastAsia="en-GB"/>
              </w:rPr>
              <w:t xml:space="preserve"> Rapport de gestion financière vérifié pour 2020</w:t>
            </w:r>
          </w:p>
        </w:tc>
        <w:tc>
          <w:tcPr>
            <w:tcW w:w="1418" w:type="dxa"/>
            <w:tcBorders>
              <w:top w:val="nil"/>
              <w:left w:val="nil"/>
              <w:bottom w:val="single" w:sz="4" w:space="0" w:color="auto"/>
              <w:right w:val="single" w:sz="4" w:space="0" w:color="auto"/>
            </w:tcBorders>
            <w:shd w:val="clear" w:color="auto" w:fill="auto"/>
            <w:vAlign w:val="center"/>
            <w:hideMark/>
          </w:tcPr>
          <w:p w14:paraId="66FACC7E" w14:textId="77777777" w:rsidR="00423737" w:rsidRPr="002A7EEE" w:rsidRDefault="00B427A6" w:rsidP="009C6D5D">
            <w:pPr>
              <w:pStyle w:val="Tabletext"/>
              <w:jc w:val="center"/>
              <w:rPr>
                <w:b/>
                <w:bCs/>
                <w:sz w:val="18"/>
                <w:szCs w:val="18"/>
                <w:lang w:eastAsia="en-GB"/>
              </w:rPr>
            </w:pPr>
            <w:hyperlink r:id="rId36" w:history="1">
              <w:r w:rsidR="00423737" w:rsidRPr="002A7EEE">
                <w:rPr>
                  <w:rStyle w:val="Hyperlink"/>
                  <w:b/>
                  <w:bCs/>
                  <w:sz w:val="18"/>
                  <w:szCs w:val="18"/>
                  <w:lang w:eastAsia="en-GB"/>
                </w:rPr>
                <w:t>C21/42</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E83E51A"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10DA241"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A2D3477" w14:textId="77777777" w:rsidR="00423737" w:rsidRPr="002A7EEE" w:rsidRDefault="00423737" w:rsidP="009C6D5D">
            <w:pPr>
              <w:pStyle w:val="Tabletext"/>
              <w:jc w:val="center"/>
              <w:rPr>
                <w:sz w:val="18"/>
                <w:szCs w:val="18"/>
                <w:lang w:eastAsia="en-GB"/>
              </w:rPr>
            </w:pPr>
            <w:r w:rsidRPr="002A7EEE">
              <w:rPr>
                <w:sz w:val="18"/>
                <w:szCs w:val="18"/>
                <w:lang w:eastAsia="en-GB"/>
              </w:rPr>
              <w:t>24</w:t>
            </w:r>
          </w:p>
        </w:tc>
        <w:tc>
          <w:tcPr>
            <w:tcW w:w="6740" w:type="dxa"/>
            <w:tcBorders>
              <w:top w:val="nil"/>
              <w:left w:val="nil"/>
              <w:bottom w:val="single" w:sz="4" w:space="0" w:color="auto"/>
              <w:right w:val="single" w:sz="4" w:space="0" w:color="auto"/>
            </w:tcBorders>
            <w:shd w:val="clear" w:color="auto" w:fill="auto"/>
            <w:vAlign w:val="center"/>
            <w:hideMark/>
          </w:tcPr>
          <w:p w14:paraId="73427E29" w14:textId="549D2093"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 xml:space="preserve">Rapport du Vérificateur extérieur des </w:t>
            </w:r>
            <w:proofErr w:type="gramStart"/>
            <w:r w:rsidRPr="002A7EEE">
              <w:rPr>
                <w:rFonts w:asciiTheme="minorHAnsi" w:hAnsiTheme="minorHAnsi" w:cstheme="minorHAnsi"/>
                <w:bCs/>
                <w:sz w:val="18"/>
                <w:szCs w:val="18"/>
                <w:lang w:eastAsia="en-GB"/>
              </w:rPr>
              <w:t>comptes:</w:t>
            </w:r>
            <w:proofErr w:type="gramEnd"/>
            <w:r w:rsidRPr="002A7EEE">
              <w:rPr>
                <w:rFonts w:asciiTheme="minorHAnsi" w:hAnsiTheme="minorHAnsi" w:cstheme="minorHAnsi"/>
                <w:bCs/>
                <w:sz w:val="18"/>
                <w:szCs w:val="18"/>
                <w:lang w:eastAsia="en-GB"/>
              </w:rPr>
              <w:t xml:space="preserve"> Comptes de l</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Union pour 2020</w:t>
            </w:r>
          </w:p>
        </w:tc>
        <w:tc>
          <w:tcPr>
            <w:tcW w:w="1418" w:type="dxa"/>
            <w:tcBorders>
              <w:top w:val="nil"/>
              <w:left w:val="nil"/>
              <w:bottom w:val="single" w:sz="4" w:space="0" w:color="auto"/>
              <w:right w:val="single" w:sz="4" w:space="0" w:color="auto"/>
            </w:tcBorders>
            <w:shd w:val="clear" w:color="auto" w:fill="auto"/>
            <w:noWrap/>
            <w:vAlign w:val="center"/>
          </w:tcPr>
          <w:p w14:paraId="58EEEF4B" w14:textId="77777777" w:rsidR="00423737" w:rsidRPr="002A7EEE" w:rsidRDefault="00B427A6" w:rsidP="009C6D5D">
            <w:pPr>
              <w:pStyle w:val="Tabletext"/>
              <w:jc w:val="center"/>
              <w:rPr>
                <w:b/>
                <w:bCs/>
                <w:sz w:val="18"/>
                <w:szCs w:val="18"/>
                <w:lang w:eastAsia="en-GB"/>
              </w:rPr>
            </w:pPr>
            <w:hyperlink r:id="rId37" w:history="1">
              <w:r w:rsidR="00423737" w:rsidRPr="002A7EEE">
                <w:rPr>
                  <w:rStyle w:val="Hyperlink"/>
                  <w:b/>
                  <w:bCs/>
                  <w:sz w:val="18"/>
                  <w:szCs w:val="18"/>
                  <w:lang w:eastAsia="en-GB"/>
                </w:rPr>
                <w:t>C21/40</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15EE896"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5418C14E"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53165055" w14:textId="77777777" w:rsidR="00423737" w:rsidRPr="002A7EEE" w:rsidRDefault="00423737" w:rsidP="009C6D5D">
            <w:pPr>
              <w:pStyle w:val="Tabletext"/>
              <w:jc w:val="center"/>
              <w:rPr>
                <w:sz w:val="18"/>
                <w:szCs w:val="18"/>
                <w:lang w:eastAsia="en-GB"/>
              </w:rPr>
            </w:pPr>
            <w:r w:rsidRPr="002A7EEE">
              <w:rPr>
                <w:sz w:val="18"/>
                <w:szCs w:val="18"/>
                <w:lang w:eastAsia="en-GB"/>
              </w:rPr>
              <w:t>25</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1A14B9FA" w14:textId="775EF413"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 xml:space="preserve">Rapport du Vérificateur extérieur des comptes de </w:t>
            </w:r>
            <w:proofErr w:type="gramStart"/>
            <w:r w:rsidRPr="002A7EEE">
              <w:rPr>
                <w:rFonts w:asciiTheme="minorHAnsi" w:hAnsiTheme="minorHAnsi" w:cstheme="minorHAnsi"/>
                <w:bCs/>
                <w:sz w:val="18"/>
                <w:szCs w:val="18"/>
                <w:lang w:eastAsia="en-GB"/>
              </w:rPr>
              <w:t>l</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Union:</w:t>
            </w:r>
            <w:proofErr w:type="gramEnd"/>
            <w:r w:rsidRPr="002A7EEE">
              <w:rPr>
                <w:rFonts w:asciiTheme="minorHAnsi" w:hAnsiTheme="minorHAnsi" w:cstheme="minorHAnsi"/>
                <w:bCs/>
                <w:sz w:val="18"/>
                <w:szCs w:val="18"/>
                <w:lang w:eastAsia="en-GB"/>
              </w:rPr>
              <w:t xml:space="preserve"> ITU TELECOM World 2020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2F7148" w14:textId="77777777" w:rsidR="00423737" w:rsidRPr="002A7EEE" w:rsidRDefault="00B427A6" w:rsidP="009C6D5D">
            <w:pPr>
              <w:pStyle w:val="Tabletext"/>
              <w:jc w:val="center"/>
              <w:rPr>
                <w:b/>
                <w:bCs/>
                <w:sz w:val="18"/>
                <w:szCs w:val="18"/>
                <w:lang w:eastAsia="en-GB"/>
              </w:rPr>
            </w:pPr>
            <w:hyperlink r:id="rId38" w:history="1">
              <w:r w:rsidR="00423737" w:rsidRPr="002A7EEE">
                <w:rPr>
                  <w:rStyle w:val="Hyperlink"/>
                  <w:b/>
                  <w:bCs/>
                  <w:sz w:val="18"/>
                  <w:szCs w:val="18"/>
                  <w:lang w:eastAsia="en-GB"/>
                </w:rPr>
                <w:t>C21/41</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9993E"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4ED902F"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4BCA8BF" w14:textId="77777777" w:rsidR="00423737" w:rsidRPr="002A7EEE" w:rsidRDefault="00423737" w:rsidP="009C6D5D">
            <w:pPr>
              <w:pStyle w:val="Tabletext"/>
              <w:jc w:val="center"/>
              <w:rPr>
                <w:sz w:val="18"/>
                <w:szCs w:val="18"/>
                <w:lang w:eastAsia="en-GB"/>
              </w:rPr>
            </w:pPr>
            <w:r w:rsidRPr="002A7EEE">
              <w:rPr>
                <w:sz w:val="18"/>
                <w:szCs w:val="18"/>
                <w:lang w:eastAsia="en-GB"/>
              </w:rPr>
              <w:t>26</w:t>
            </w:r>
          </w:p>
        </w:tc>
        <w:tc>
          <w:tcPr>
            <w:tcW w:w="6740" w:type="dxa"/>
            <w:tcBorders>
              <w:top w:val="nil"/>
              <w:left w:val="nil"/>
              <w:bottom w:val="single" w:sz="4" w:space="0" w:color="auto"/>
              <w:right w:val="single" w:sz="4" w:space="0" w:color="auto"/>
            </w:tcBorders>
            <w:shd w:val="clear" w:color="auto" w:fill="auto"/>
            <w:vAlign w:val="center"/>
            <w:hideMark/>
          </w:tcPr>
          <w:p w14:paraId="64A2984D" w14:textId="2831258E"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auditeur interne sur les activités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audit interne</w:t>
            </w:r>
          </w:p>
        </w:tc>
        <w:tc>
          <w:tcPr>
            <w:tcW w:w="1418" w:type="dxa"/>
            <w:tcBorders>
              <w:top w:val="nil"/>
              <w:left w:val="nil"/>
              <w:bottom w:val="single" w:sz="4" w:space="0" w:color="auto"/>
              <w:right w:val="single" w:sz="4" w:space="0" w:color="auto"/>
            </w:tcBorders>
            <w:shd w:val="clear" w:color="auto" w:fill="auto"/>
            <w:noWrap/>
            <w:vAlign w:val="center"/>
            <w:hideMark/>
          </w:tcPr>
          <w:p w14:paraId="4CB9B7E9" w14:textId="77777777" w:rsidR="00423737" w:rsidRPr="002A7EEE" w:rsidRDefault="00B427A6" w:rsidP="009C6D5D">
            <w:pPr>
              <w:pStyle w:val="Tabletext"/>
              <w:jc w:val="center"/>
              <w:rPr>
                <w:b/>
                <w:bCs/>
                <w:sz w:val="18"/>
                <w:szCs w:val="18"/>
                <w:lang w:eastAsia="en-GB"/>
              </w:rPr>
            </w:pPr>
            <w:hyperlink r:id="rId39" w:history="1">
              <w:r w:rsidR="00423737" w:rsidRPr="002A7EEE">
                <w:rPr>
                  <w:rStyle w:val="Hyperlink"/>
                  <w:b/>
                  <w:bCs/>
                  <w:sz w:val="18"/>
                  <w:szCs w:val="18"/>
                  <w:lang w:eastAsia="en-GB"/>
                </w:rPr>
                <w:t>C21/44</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BD13BBE"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B81C3EA"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8C142B3" w14:textId="77777777" w:rsidR="00423737" w:rsidRPr="002A7EEE" w:rsidRDefault="00423737" w:rsidP="009C6D5D">
            <w:pPr>
              <w:pStyle w:val="Tabletext"/>
              <w:jc w:val="center"/>
              <w:rPr>
                <w:sz w:val="18"/>
                <w:szCs w:val="18"/>
                <w:lang w:eastAsia="en-GB"/>
              </w:rPr>
            </w:pPr>
            <w:r w:rsidRPr="002A7EEE">
              <w:rPr>
                <w:sz w:val="18"/>
                <w:szCs w:val="18"/>
                <w:lang w:eastAsia="en-GB"/>
              </w:rPr>
              <w:t>27</w:t>
            </w:r>
          </w:p>
        </w:tc>
        <w:tc>
          <w:tcPr>
            <w:tcW w:w="6740" w:type="dxa"/>
            <w:tcBorders>
              <w:top w:val="nil"/>
              <w:left w:val="nil"/>
              <w:bottom w:val="single" w:sz="4" w:space="0" w:color="auto"/>
              <w:right w:val="single" w:sz="4" w:space="0" w:color="auto"/>
            </w:tcBorders>
            <w:shd w:val="clear" w:color="auto" w:fill="auto"/>
            <w:vAlign w:val="center"/>
            <w:hideMark/>
          </w:tcPr>
          <w:p w14:paraId="0928AEF6" w14:textId="1B4987EF"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Nouvelle fonction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investigation et nouveau processus en matière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enquête</w:t>
            </w:r>
          </w:p>
        </w:tc>
        <w:tc>
          <w:tcPr>
            <w:tcW w:w="1418" w:type="dxa"/>
            <w:tcBorders>
              <w:top w:val="nil"/>
              <w:left w:val="nil"/>
              <w:bottom w:val="single" w:sz="4" w:space="0" w:color="auto"/>
              <w:right w:val="single" w:sz="4" w:space="0" w:color="auto"/>
            </w:tcBorders>
            <w:shd w:val="clear" w:color="auto" w:fill="auto"/>
            <w:vAlign w:val="center"/>
          </w:tcPr>
          <w:p w14:paraId="78CCD65A" w14:textId="77777777" w:rsidR="00423737" w:rsidRPr="002A7EEE" w:rsidRDefault="00B427A6" w:rsidP="009C6D5D">
            <w:pPr>
              <w:pStyle w:val="Tabletext"/>
              <w:jc w:val="center"/>
              <w:rPr>
                <w:b/>
                <w:bCs/>
                <w:sz w:val="18"/>
                <w:szCs w:val="18"/>
                <w:lang w:eastAsia="en-GB"/>
              </w:rPr>
            </w:pPr>
            <w:hyperlink r:id="rId40" w:history="1">
              <w:r w:rsidR="00423737" w:rsidRPr="002A7EEE">
                <w:rPr>
                  <w:rStyle w:val="Hyperlink"/>
                  <w:b/>
                  <w:bCs/>
                  <w:sz w:val="18"/>
                  <w:szCs w:val="18"/>
                  <w:lang w:eastAsia="en-GB"/>
                </w:rPr>
                <w:t>C21/60</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548235E"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231FADA"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C4597A9" w14:textId="77777777" w:rsidR="00423737" w:rsidRPr="002A7EEE" w:rsidRDefault="00423737" w:rsidP="009C6D5D">
            <w:pPr>
              <w:pStyle w:val="Tabletext"/>
              <w:jc w:val="center"/>
              <w:rPr>
                <w:sz w:val="18"/>
                <w:szCs w:val="18"/>
                <w:lang w:eastAsia="en-GB"/>
              </w:rPr>
            </w:pPr>
            <w:r w:rsidRPr="002A7EEE">
              <w:rPr>
                <w:sz w:val="18"/>
                <w:szCs w:val="18"/>
                <w:lang w:eastAsia="en-GB"/>
              </w:rPr>
              <w:t>28</w:t>
            </w:r>
          </w:p>
        </w:tc>
        <w:tc>
          <w:tcPr>
            <w:tcW w:w="6740" w:type="dxa"/>
            <w:tcBorders>
              <w:top w:val="nil"/>
              <w:left w:val="nil"/>
              <w:bottom w:val="single" w:sz="4" w:space="0" w:color="auto"/>
              <w:right w:val="single" w:sz="4" w:space="0" w:color="auto"/>
            </w:tcBorders>
            <w:shd w:val="clear" w:color="auto" w:fill="auto"/>
            <w:vAlign w:val="center"/>
            <w:hideMark/>
          </w:tcPr>
          <w:p w14:paraId="74D81C50" w14:textId="1FA1D888"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sur les progrès réalisés concernant le projet de locaux du siège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Union (</w:t>
            </w:r>
            <w:r w:rsidRPr="002A7EEE">
              <w:rPr>
                <w:rFonts w:asciiTheme="minorHAnsi" w:hAnsiTheme="minorHAnsi" w:cstheme="minorHAnsi"/>
                <w:i/>
                <w:iCs/>
                <w:sz w:val="18"/>
                <w:szCs w:val="18"/>
                <w:lang w:eastAsia="en-GB"/>
              </w:rPr>
              <w:t>Résolution 212 de la PP, Décision 619 du Conseil</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21C314D0" w14:textId="77777777" w:rsidR="00423737" w:rsidRPr="002A7EEE" w:rsidRDefault="00B427A6" w:rsidP="009C6D5D">
            <w:pPr>
              <w:pStyle w:val="Tabletext"/>
              <w:jc w:val="center"/>
              <w:rPr>
                <w:b/>
                <w:bCs/>
                <w:sz w:val="18"/>
                <w:szCs w:val="18"/>
                <w:lang w:eastAsia="en-GB"/>
              </w:rPr>
            </w:pPr>
            <w:hyperlink r:id="rId41" w:history="1">
              <w:r w:rsidR="00423737" w:rsidRPr="002A7EEE">
                <w:rPr>
                  <w:rStyle w:val="Hyperlink"/>
                  <w:b/>
                  <w:bCs/>
                  <w:sz w:val="18"/>
                  <w:szCs w:val="18"/>
                  <w:lang w:eastAsia="en-GB"/>
                </w:rPr>
                <w:t>C21/7</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4022AD4"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4FDF6CC9"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0271765C" w14:textId="77777777" w:rsidR="00423737" w:rsidRPr="002A7EEE" w:rsidRDefault="00423737" w:rsidP="009C6D5D">
            <w:pPr>
              <w:pStyle w:val="Tabletext"/>
              <w:jc w:val="center"/>
              <w:rPr>
                <w:sz w:val="18"/>
                <w:szCs w:val="18"/>
                <w:lang w:eastAsia="en-GB"/>
              </w:rPr>
            </w:pPr>
            <w:r w:rsidRPr="002A7EEE">
              <w:rPr>
                <w:sz w:val="18"/>
                <w:szCs w:val="18"/>
                <w:lang w:eastAsia="en-GB"/>
              </w:rPr>
              <w:t>29</w:t>
            </w:r>
          </w:p>
        </w:tc>
        <w:tc>
          <w:tcPr>
            <w:tcW w:w="6740" w:type="dxa"/>
            <w:tcBorders>
              <w:top w:val="nil"/>
              <w:left w:val="nil"/>
              <w:bottom w:val="single" w:sz="4" w:space="0" w:color="auto"/>
              <w:right w:val="single" w:sz="4" w:space="0" w:color="auto"/>
            </w:tcBorders>
            <w:shd w:val="clear" w:color="auto" w:fill="auto"/>
            <w:vAlign w:val="center"/>
            <w:hideMark/>
          </w:tcPr>
          <w:p w14:paraId="55D64FF5"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du Groupe MSAG (Résolution 212 de la PP)</w:t>
            </w:r>
          </w:p>
        </w:tc>
        <w:tc>
          <w:tcPr>
            <w:tcW w:w="1418" w:type="dxa"/>
            <w:tcBorders>
              <w:top w:val="nil"/>
              <w:left w:val="nil"/>
              <w:bottom w:val="single" w:sz="4" w:space="0" w:color="auto"/>
              <w:right w:val="single" w:sz="4" w:space="0" w:color="auto"/>
            </w:tcBorders>
            <w:shd w:val="clear" w:color="auto" w:fill="auto"/>
            <w:vAlign w:val="center"/>
            <w:hideMark/>
          </w:tcPr>
          <w:p w14:paraId="19C64E1D" w14:textId="77777777" w:rsidR="00423737" w:rsidRPr="002A7EEE" w:rsidRDefault="00B427A6" w:rsidP="009C6D5D">
            <w:pPr>
              <w:pStyle w:val="Tabletext"/>
              <w:jc w:val="center"/>
              <w:rPr>
                <w:b/>
                <w:bCs/>
                <w:sz w:val="18"/>
                <w:szCs w:val="18"/>
                <w:lang w:eastAsia="en-GB"/>
              </w:rPr>
            </w:pPr>
            <w:hyperlink r:id="rId42" w:history="1">
              <w:r w:rsidR="00423737" w:rsidRPr="002A7EEE">
                <w:rPr>
                  <w:rStyle w:val="Hyperlink"/>
                  <w:b/>
                  <w:bCs/>
                  <w:sz w:val="18"/>
                  <w:szCs w:val="18"/>
                  <w:lang w:eastAsia="en-GB"/>
                </w:rPr>
                <w:t>C21/48</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7AF6C6D"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6F696015"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95D3708" w14:textId="77777777" w:rsidR="00423737" w:rsidRPr="002A7EEE" w:rsidRDefault="00423737" w:rsidP="009C6D5D">
            <w:pPr>
              <w:pStyle w:val="Tabletext"/>
              <w:jc w:val="center"/>
              <w:rPr>
                <w:sz w:val="18"/>
                <w:szCs w:val="18"/>
                <w:lang w:eastAsia="en-GB"/>
              </w:rPr>
            </w:pPr>
            <w:r w:rsidRPr="002A7EEE">
              <w:rPr>
                <w:sz w:val="18"/>
                <w:szCs w:val="18"/>
                <w:lang w:eastAsia="en-GB"/>
              </w:rPr>
              <w:t>30</w:t>
            </w:r>
          </w:p>
        </w:tc>
        <w:tc>
          <w:tcPr>
            <w:tcW w:w="6740" w:type="dxa"/>
            <w:tcBorders>
              <w:top w:val="nil"/>
              <w:left w:val="nil"/>
              <w:bottom w:val="single" w:sz="4" w:space="0" w:color="auto"/>
              <w:right w:val="single" w:sz="4" w:space="0" w:color="auto"/>
            </w:tcBorders>
            <w:shd w:val="clear" w:color="auto" w:fill="auto"/>
            <w:vAlign w:val="center"/>
            <w:hideMark/>
          </w:tcPr>
          <w:p w14:paraId="181509D9"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Stratégie et plan de mise en œuvre pour les conditions de travail du personnel (</w:t>
            </w:r>
            <w:r w:rsidRPr="002A7EEE">
              <w:rPr>
                <w:rFonts w:asciiTheme="minorHAnsi" w:hAnsiTheme="minorHAnsi" w:cstheme="minorHAnsi"/>
                <w:i/>
                <w:iCs/>
                <w:sz w:val="18"/>
                <w:szCs w:val="18"/>
                <w:lang w:eastAsia="en-GB"/>
              </w:rPr>
              <w:t>Décision 619 du Conseil</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7A27786F" w14:textId="77777777" w:rsidR="00423737" w:rsidRPr="002A7EEE" w:rsidRDefault="00B427A6" w:rsidP="009C6D5D">
            <w:pPr>
              <w:pStyle w:val="Tabletext"/>
              <w:jc w:val="center"/>
              <w:rPr>
                <w:b/>
                <w:bCs/>
                <w:sz w:val="18"/>
                <w:szCs w:val="18"/>
                <w:lang w:eastAsia="en-GB"/>
              </w:rPr>
            </w:pPr>
            <w:hyperlink r:id="rId43" w:history="1">
              <w:r w:rsidR="00423737" w:rsidRPr="002A7EEE">
                <w:rPr>
                  <w:rStyle w:val="Hyperlink"/>
                  <w:b/>
                  <w:bCs/>
                  <w:sz w:val="18"/>
                  <w:szCs w:val="18"/>
                  <w:lang w:eastAsia="en-GB"/>
                </w:rPr>
                <w:t>C21/29</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74439C7"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6C430CB"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897E8D6" w14:textId="77777777" w:rsidR="00423737" w:rsidRPr="002A7EEE" w:rsidRDefault="00423737" w:rsidP="009C6D5D">
            <w:pPr>
              <w:pStyle w:val="Tabletext"/>
              <w:jc w:val="center"/>
              <w:rPr>
                <w:sz w:val="18"/>
                <w:szCs w:val="18"/>
                <w:lang w:eastAsia="en-GB"/>
              </w:rPr>
            </w:pPr>
            <w:r w:rsidRPr="002A7EEE">
              <w:rPr>
                <w:sz w:val="18"/>
                <w:szCs w:val="18"/>
                <w:lang w:eastAsia="en-GB"/>
              </w:rPr>
              <w:t>31</w:t>
            </w:r>
          </w:p>
        </w:tc>
        <w:tc>
          <w:tcPr>
            <w:tcW w:w="6740" w:type="dxa"/>
            <w:tcBorders>
              <w:top w:val="nil"/>
              <w:left w:val="nil"/>
              <w:bottom w:val="single" w:sz="4" w:space="0" w:color="auto"/>
              <w:right w:val="single" w:sz="4" w:space="0" w:color="auto"/>
            </w:tcBorders>
            <w:shd w:val="clear" w:color="auto" w:fill="auto"/>
            <w:vAlign w:val="center"/>
            <w:hideMark/>
          </w:tcPr>
          <w:p w14:paraId="36CC201A" w14:textId="0E3E2C7F"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Décisions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Assemblée générale des Nations Unies relatives aux conditions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emploi dans le cadre du régime commun des Nations Unies</w:t>
            </w:r>
          </w:p>
        </w:tc>
        <w:tc>
          <w:tcPr>
            <w:tcW w:w="1418" w:type="dxa"/>
            <w:tcBorders>
              <w:top w:val="nil"/>
              <w:left w:val="nil"/>
              <w:bottom w:val="single" w:sz="4" w:space="0" w:color="auto"/>
              <w:right w:val="single" w:sz="4" w:space="0" w:color="auto"/>
            </w:tcBorders>
            <w:shd w:val="clear" w:color="auto" w:fill="auto"/>
            <w:vAlign w:val="center"/>
          </w:tcPr>
          <w:p w14:paraId="4FF84E6D" w14:textId="77777777" w:rsidR="00423737" w:rsidRPr="002A7EEE" w:rsidRDefault="00B427A6" w:rsidP="009C6D5D">
            <w:pPr>
              <w:pStyle w:val="Tabletext"/>
              <w:jc w:val="center"/>
              <w:rPr>
                <w:b/>
                <w:bCs/>
                <w:sz w:val="18"/>
                <w:szCs w:val="18"/>
                <w:lang w:eastAsia="en-GB"/>
              </w:rPr>
            </w:pPr>
            <w:hyperlink r:id="rId44" w:history="1">
              <w:r w:rsidR="00423737" w:rsidRPr="002A7EEE">
                <w:rPr>
                  <w:rStyle w:val="Hyperlink"/>
                  <w:b/>
                  <w:bCs/>
                  <w:sz w:val="18"/>
                  <w:szCs w:val="18"/>
                  <w:lang w:eastAsia="en-GB"/>
                </w:rPr>
                <w:t>C21/23</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3E5824B"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47FD5DA0"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7F90A266" w14:textId="77777777" w:rsidR="00423737" w:rsidRPr="002A7EEE" w:rsidRDefault="00423737" w:rsidP="009C6D5D">
            <w:pPr>
              <w:pStyle w:val="Tabletext"/>
              <w:jc w:val="center"/>
              <w:rPr>
                <w:sz w:val="18"/>
                <w:szCs w:val="18"/>
                <w:lang w:eastAsia="en-GB"/>
              </w:rPr>
            </w:pPr>
            <w:r w:rsidRPr="002A7EEE">
              <w:rPr>
                <w:sz w:val="18"/>
                <w:szCs w:val="18"/>
                <w:lang w:eastAsia="en-GB"/>
              </w:rPr>
              <w:t>32</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6AB32E45" w14:textId="349A5E7F"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sur les résultats des activités du GTC</w:t>
            </w:r>
            <w:r w:rsidRPr="002A7EEE">
              <w:rPr>
                <w:rFonts w:asciiTheme="minorHAnsi" w:hAnsiTheme="minorHAnsi" w:cstheme="minorHAnsi"/>
                <w:sz w:val="18"/>
                <w:szCs w:val="18"/>
                <w:lang w:eastAsia="en-GB"/>
              </w:rPr>
              <w:noBreakHyphen/>
              <w:t>SMSI/ODD (</w:t>
            </w:r>
            <w:r w:rsidRPr="002A7EEE">
              <w:rPr>
                <w:rFonts w:asciiTheme="minorHAnsi" w:hAnsiTheme="minorHAnsi" w:cstheme="minorHAnsi"/>
                <w:i/>
                <w:iCs/>
                <w:sz w:val="18"/>
                <w:szCs w:val="18"/>
                <w:lang w:eastAsia="en-GB"/>
              </w:rPr>
              <w:t>Résolution 140 de la PP et Résolutions 1281, 1332 (MOD) et 1334 (MOD) du Conseil, y compris la mise en œuvre associée)</w:t>
            </w:r>
            <w:r w:rsidRPr="002A7EEE">
              <w:rPr>
                <w:rFonts w:asciiTheme="minorHAnsi" w:hAnsiTheme="minorHAnsi" w:cstheme="minorHAnsi"/>
                <w:sz w:val="18"/>
                <w:szCs w:val="18"/>
                <w:lang w:eastAsia="en-GB"/>
              </w:rPr>
              <w:t xml:space="preserve"> (il convient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 prendre note sous forme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ensemble)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702F9C9" w14:textId="77777777" w:rsidR="00423737" w:rsidRPr="002A7EEE" w:rsidRDefault="00B427A6" w:rsidP="009C6D5D">
            <w:pPr>
              <w:pStyle w:val="Tabletext"/>
              <w:jc w:val="center"/>
              <w:rPr>
                <w:b/>
                <w:bCs/>
                <w:sz w:val="18"/>
                <w:szCs w:val="18"/>
                <w:lang w:eastAsia="en-GB"/>
              </w:rPr>
            </w:pPr>
            <w:hyperlink r:id="rId45" w:history="1">
              <w:r w:rsidR="00423737" w:rsidRPr="002A7EEE">
                <w:rPr>
                  <w:rStyle w:val="Hyperlink"/>
                  <w:b/>
                  <w:bCs/>
                  <w:sz w:val="18"/>
                  <w:szCs w:val="18"/>
                  <w:lang w:eastAsia="en-GB"/>
                </w:rPr>
                <w:t>C21/8</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35835D"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2A974E0" w14:textId="77777777" w:rsidTr="00430BA6">
        <w:trPr>
          <w:cantSplit/>
          <w:jc w:val="center"/>
        </w:trPr>
        <w:tc>
          <w:tcPr>
            <w:tcW w:w="484" w:type="dxa"/>
            <w:tcBorders>
              <w:top w:val="single" w:sz="4" w:space="0" w:color="auto"/>
              <w:left w:val="single" w:sz="4" w:space="0" w:color="auto"/>
              <w:bottom w:val="nil"/>
              <w:right w:val="single" w:sz="4" w:space="0" w:color="auto"/>
            </w:tcBorders>
            <w:vAlign w:val="center"/>
          </w:tcPr>
          <w:p w14:paraId="5DFDB0F8" w14:textId="77777777" w:rsidR="00423737" w:rsidRPr="002A7EEE" w:rsidRDefault="00423737" w:rsidP="009C6D5D">
            <w:pPr>
              <w:pStyle w:val="Tabletext"/>
              <w:jc w:val="center"/>
              <w:rPr>
                <w:sz w:val="18"/>
                <w:szCs w:val="18"/>
                <w:lang w:eastAsia="en-GB"/>
              </w:rPr>
            </w:pPr>
            <w:r w:rsidRPr="002A7EEE">
              <w:rPr>
                <w:sz w:val="18"/>
                <w:szCs w:val="18"/>
                <w:lang w:eastAsia="en-GB"/>
              </w:rPr>
              <w:t>33</w:t>
            </w:r>
          </w:p>
        </w:tc>
        <w:tc>
          <w:tcPr>
            <w:tcW w:w="6740" w:type="dxa"/>
            <w:tcBorders>
              <w:top w:val="single" w:sz="4" w:space="0" w:color="auto"/>
              <w:left w:val="nil"/>
              <w:bottom w:val="nil"/>
              <w:right w:val="single" w:sz="4" w:space="0" w:color="auto"/>
            </w:tcBorders>
            <w:shd w:val="clear" w:color="auto" w:fill="auto"/>
            <w:vAlign w:val="center"/>
            <w:hideMark/>
          </w:tcPr>
          <w:p w14:paraId="687AFEDF" w14:textId="3EE29F30"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Rapport du Groupe de travail du Conseil sur la protection en ligne des enfants (</w:t>
            </w:r>
            <w:r w:rsidRPr="002A7EEE">
              <w:rPr>
                <w:rFonts w:asciiTheme="minorHAnsi" w:hAnsiTheme="minorHAnsi" w:cstheme="minorHAnsi"/>
                <w:bCs/>
                <w:i/>
                <w:iCs/>
                <w:sz w:val="18"/>
                <w:szCs w:val="18"/>
                <w:lang w:eastAsia="en-GB"/>
              </w:rPr>
              <w:t>Résolution 179 de la PP, Résolution 1306 (MOD) du Conseil</w:t>
            </w:r>
            <w:r w:rsidRPr="002A7EEE">
              <w:rPr>
                <w:rFonts w:asciiTheme="minorHAnsi" w:hAnsiTheme="minorHAnsi" w:cstheme="minorHAnsi"/>
                <w:bCs/>
                <w:sz w:val="18"/>
                <w:szCs w:val="18"/>
                <w:lang w:eastAsia="en-GB"/>
              </w:rPr>
              <w:t>)</w:t>
            </w:r>
            <w:r w:rsidRPr="002A7EEE">
              <w:rPr>
                <w:rFonts w:asciiTheme="minorHAnsi" w:hAnsiTheme="minorHAnsi" w:cstheme="minorHAnsi"/>
                <w:sz w:val="18"/>
                <w:szCs w:val="18"/>
                <w:lang w:eastAsia="en-GB"/>
              </w:rPr>
              <w:t xml:space="preserve"> (il convient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 prendre note sous forme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ensemble)</w:t>
            </w:r>
          </w:p>
        </w:tc>
        <w:tc>
          <w:tcPr>
            <w:tcW w:w="1418" w:type="dxa"/>
            <w:tcBorders>
              <w:top w:val="single" w:sz="4" w:space="0" w:color="auto"/>
              <w:left w:val="nil"/>
              <w:bottom w:val="nil"/>
              <w:right w:val="single" w:sz="4" w:space="0" w:color="auto"/>
            </w:tcBorders>
            <w:shd w:val="clear" w:color="auto" w:fill="auto"/>
            <w:noWrap/>
            <w:vAlign w:val="center"/>
            <w:hideMark/>
          </w:tcPr>
          <w:p w14:paraId="5190969D" w14:textId="77777777" w:rsidR="00423737" w:rsidRPr="002A7EEE" w:rsidRDefault="00B427A6" w:rsidP="009C6D5D">
            <w:pPr>
              <w:pStyle w:val="Tabletext"/>
              <w:jc w:val="center"/>
              <w:rPr>
                <w:b/>
                <w:bCs/>
                <w:sz w:val="18"/>
                <w:szCs w:val="18"/>
                <w:lang w:eastAsia="en-GB"/>
              </w:rPr>
            </w:pPr>
            <w:hyperlink r:id="rId46" w:history="1">
              <w:r w:rsidR="00423737" w:rsidRPr="002A7EEE">
                <w:rPr>
                  <w:rStyle w:val="Hyperlink"/>
                  <w:b/>
                  <w:bCs/>
                  <w:sz w:val="18"/>
                  <w:szCs w:val="18"/>
                  <w:lang w:eastAsia="en-GB"/>
                </w:rPr>
                <w:t>C21/57</w:t>
              </w:r>
            </w:hyperlink>
          </w:p>
        </w:tc>
        <w:tc>
          <w:tcPr>
            <w:tcW w:w="1134" w:type="dxa"/>
            <w:tcBorders>
              <w:top w:val="single" w:sz="4" w:space="0" w:color="auto"/>
              <w:left w:val="nil"/>
              <w:bottom w:val="nil"/>
              <w:right w:val="single" w:sz="4" w:space="0" w:color="auto"/>
            </w:tcBorders>
            <w:shd w:val="clear" w:color="auto" w:fill="D9D9D9" w:themeFill="background1" w:themeFillShade="D9"/>
            <w:vAlign w:val="center"/>
          </w:tcPr>
          <w:p w14:paraId="32EEEA90"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0541E438"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09F571B2" w14:textId="77777777" w:rsidR="00423737" w:rsidRPr="002A7EEE" w:rsidRDefault="00423737" w:rsidP="009C6D5D">
            <w:pPr>
              <w:pStyle w:val="Tabletext"/>
              <w:jc w:val="center"/>
              <w:rPr>
                <w:sz w:val="18"/>
                <w:szCs w:val="18"/>
                <w:lang w:eastAsia="en-GB"/>
              </w:rPr>
            </w:pPr>
            <w:r w:rsidRPr="002A7EEE">
              <w:rPr>
                <w:sz w:val="18"/>
                <w:szCs w:val="18"/>
                <w:lang w:eastAsia="en-GB"/>
              </w:rPr>
              <w:t>34</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2817759C" w14:textId="55793E14" w:rsidR="00423737" w:rsidRPr="002A7EEE" w:rsidRDefault="00423737" w:rsidP="005C163E">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du Groupe de travail du Conseil sur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utilisation des langues (</w:t>
            </w:r>
            <w:r w:rsidRPr="002A7EEE">
              <w:rPr>
                <w:rFonts w:asciiTheme="minorHAnsi" w:hAnsiTheme="minorHAnsi" w:cstheme="minorHAnsi"/>
                <w:i/>
                <w:iCs/>
                <w:sz w:val="18"/>
                <w:szCs w:val="18"/>
                <w:lang w:eastAsia="en-GB"/>
              </w:rPr>
              <w:t>Résolution 154 de la</w:t>
            </w:r>
            <w:r w:rsidR="005C163E">
              <w:rPr>
                <w:rFonts w:asciiTheme="minorHAnsi" w:hAnsiTheme="minorHAnsi" w:cstheme="minorHAnsi"/>
                <w:i/>
                <w:iCs/>
                <w:sz w:val="18"/>
                <w:szCs w:val="18"/>
                <w:lang w:eastAsia="en-GB"/>
              </w:rPr>
              <w:t> </w:t>
            </w:r>
            <w:r w:rsidRPr="002A7EEE">
              <w:rPr>
                <w:rFonts w:asciiTheme="minorHAnsi" w:hAnsiTheme="minorHAnsi" w:cstheme="minorHAnsi"/>
                <w:i/>
                <w:iCs/>
                <w:sz w:val="18"/>
                <w:szCs w:val="18"/>
                <w:lang w:eastAsia="en-GB"/>
              </w:rPr>
              <w:t>PP, Résolution 1372 (MOD) du Conseil</w:t>
            </w:r>
            <w:r w:rsidRPr="002A7EEE">
              <w:rPr>
                <w:rFonts w:asciiTheme="minorHAnsi" w:hAnsiTheme="minorHAnsi" w:cstheme="minorHAnsi"/>
                <w:sz w:val="18"/>
                <w:szCs w:val="18"/>
                <w:lang w:eastAsia="en-GB"/>
              </w:rPr>
              <w:t>) (il convient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 prendre note sous forme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ensemble)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07A123" w14:textId="77777777" w:rsidR="00423737" w:rsidRPr="002A7EEE" w:rsidRDefault="00B427A6" w:rsidP="009C6D5D">
            <w:pPr>
              <w:pStyle w:val="Tabletext"/>
              <w:jc w:val="center"/>
              <w:rPr>
                <w:b/>
                <w:bCs/>
                <w:sz w:val="18"/>
                <w:szCs w:val="18"/>
                <w:lang w:eastAsia="en-GB"/>
              </w:rPr>
            </w:pPr>
            <w:hyperlink r:id="rId47" w:history="1">
              <w:r w:rsidR="00423737" w:rsidRPr="002A7EEE">
                <w:rPr>
                  <w:rStyle w:val="Hyperlink"/>
                  <w:b/>
                  <w:bCs/>
                  <w:sz w:val="18"/>
                  <w:szCs w:val="18"/>
                  <w:lang w:eastAsia="en-GB"/>
                </w:rPr>
                <w:t>C21/12</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BD8FC8"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7767F6F5"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BDCF5C9" w14:textId="77777777" w:rsidR="00423737" w:rsidRPr="002A7EEE" w:rsidRDefault="00423737" w:rsidP="009C6D5D">
            <w:pPr>
              <w:pStyle w:val="Tabletext"/>
              <w:jc w:val="center"/>
              <w:rPr>
                <w:sz w:val="18"/>
                <w:szCs w:val="18"/>
                <w:lang w:eastAsia="en-GB"/>
              </w:rPr>
            </w:pPr>
            <w:r w:rsidRPr="002A7EEE">
              <w:rPr>
                <w:sz w:val="18"/>
                <w:szCs w:val="18"/>
                <w:lang w:eastAsia="en-GB"/>
              </w:rPr>
              <w:t>35</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76CDF7C2" w14:textId="7D1F70F9"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du Groupe EG-RTI (</w:t>
            </w:r>
            <w:r w:rsidRPr="002A7EEE">
              <w:rPr>
                <w:rFonts w:asciiTheme="minorHAnsi" w:hAnsiTheme="minorHAnsi" w:cstheme="minorHAnsi"/>
                <w:i/>
                <w:sz w:val="18"/>
                <w:szCs w:val="18"/>
                <w:lang w:eastAsia="en-GB"/>
              </w:rPr>
              <w:t xml:space="preserve">Résolution 146 de la PP, Résolution 1379 </w:t>
            </w:r>
            <w:r w:rsidRPr="002A7EEE">
              <w:rPr>
                <w:rFonts w:asciiTheme="minorHAnsi" w:hAnsiTheme="minorHAnsi" w:cstheme="minorHAnsi"/>
                <w:i/>
                <w:iCs/>
                <w:sz w:val="18"/>
                <w:szCs w:val="18"/>
                <w:lang w:eastAsia="en-GB"/>
              </w:rPr>
              <w:t>(MOD</w:t>
            </w:r>
            <w:r w:rsidRPr="002A7EEE">
              <w:rPr>
                <w:rFonts w:asciiTheme="minorHAnsi" w:hAnsiTheme="minorHAnsi" w:cstheme="minorHAnsi"/>
                <w:i/>
                <w:sz w:val="18"/>
                <w:szCs w:val="18"/>
                <w:lang w:eastAsia="en-GB"/>
              </w:rPr>
              <w:t>) du Conseil</w:t>
            </w:r>
            <w:r w:rsidRPr="002A7EEE">
              <w:rPr>
                <w:rFonts w:asciiTheme="minorHAnsi" w:hAnsiTheme="minorHAnsi" w:cstheme="minorHAnsi"/>
                <w:i/>
                <w:iCs/>
                <w:sz w:val="18"/>
                <w:szCs w:val="18"/>
                <w:lang w:eastAsia="en-GB"/>
              </w:rPr>
              <w:t>)</w:t>
            </w:r>
            <w:r w:rsidRPr="002A7EEE">
              <w:rPr>
                <w:rFonts w:asciiTheme="minorHAnsi" w:hAnsiTheme="minorHAnsi" w:cstheme="minorHAnsi"/>
                <w:sz w:val="18"/>
                <w:szCs w:val="18"/>
                <w:lang w:eastAsia="en-GB"/>
              </w:rPr>
              <w:t xml:space="preserve"> (il convient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 prendre note sous forme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ensemble)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A6C237" w14:textId="77777777" w:rsidR="00423737" w:rsidRPr="002A7EEE" w:rsidRDefault="00B427A6" w:rsidP="009C6D5D">
            <w:pPr>
              <w:pStyle w:val="Tabletext"/>
              <w:jc w:val="center"/>
              <w:rPr>
                <w:b/>
                <w:bCs/>
                <w:sz w:val="18"/>
                <w:szCs w:val="18"/>
                <w:lang w:eastAsia="en-GB"/>
              </w:rPr>
            </w:pPr>
            <w:hyperlink r:id="rId48" w:history="1">
              <w:r w:rsidR="00423737" w:rsidRPr="002A7EEE">
                <w:rPr>
                  <w:rStyle w:val="Hyperlink"/>
                  <w:b/>
                  <w:bCs/>
                  <w:sz w:val="18"/>
                  <w:szCs w:val="18"/>
                  <w:lang w:eastAsia="en-GB"/>
                </w:rPr>
                <w:t>C21/26</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7591D2"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412F35F5" w14:textId="77777777" w:rsidTr="00430BA6">
        <w:trPr>
          <w:cantSplit/>
          <w:jc w:val="center"/>
        </w:trPr>
        <w:tc>
          <w:tcPr>
            <w:tcW w:w="484" w:type="dxa"/>
            <w:tcBorders>
              <w:top w:val="nil"/>
              <w:left w:val="single" w:sz="4" w:space="0" w:color="auto"/>
              <w:bottom w:val="nil"/>
              <w:right w:val="single" w:sz="4" w:space="0" w:color="auto"/>
            </w:tcBorders>
            <w:vAlign w:val="center"/>
          </w:tcPr>
          <w:p w14:paraId="6A7A14C1" w14:textId="77777777" w:rsidR="00423737" w:rsidRPr="002A7EEE" w:rsidRDefault="00423737" w:rsidP="009C6D5D">
            <w:pPr>
              <w:pStyle w:val="Tabletext"/>
              <w:jc w:val="center"/>
              <w:rPr>
                <w:sz w:val="18"/>
                <w:szCs w:val="18"/>
                <w:lang w:eastAsia="en-GB"/>
              </w:rPr>
            </w:pPr>
            <w:r w:rsidRPr="002A7EEE">
              <w:rPr>
                <w:sz w:val="18"/>
                <w:szCs w:val="18"/>
                <w:lang w:eastAsia="en-GB"/>
              </w:rPr>
              <w:t>36</w:t>
            </w:r>
          </w:p>
        </w:tc>
        <w:tc>
          <w:tcPr>
            <w:tcW w:w="6740" w:type="dxa"/>
            <w:tcBorders>
              <w:top w:val="nil"/>
              <w:left w:val="nil"/>
              <w:bottom w:val="nil"/>
              <w:right w:val="single" w:sz="4" w:space="0" w:color="auto"/>
            </w:tcBorders>
            <w:shd w:val="clear" w:color="auto" w:fill="auto"/>
            <w:vAlign w:val="center"/>
            <w:hideMark/>
          </w:tcPr>
          <w:p w14:paraId="687B24C6" w14:textId="5912AE4D"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du Président du Groupe de travail du Conseil sur les questions de politiques publiques internationales relatives à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Internet (GTC-Internet) (</w:t>
            </w:r>
            <w:r w:rsidR="005C163E">
              <w:rPr>
                <w:rFonts w:asciiTheme="minorHAnsi" w:hAnsiTheme="minorHAnsi" w:cstheme="minorHAnsi"/>
                <w:i/>
                <w:iCs/>
                <w:sz w:val="18"/>
                <w:szCs w:val="18"/>
                <w:lang w:eastAsia="en-GB"/>
              </w:rPr>
              <w:t>Résolutions 1305 et </w:t>
            </w:r>
            <w:r w:rsidRPr="002A7EEE">
              <w:rPr>
                <w:rFonts w:asciiTheme="minorHAnsi" w:hAnsiTheme="minorHAnsi" w:cstheme="minorHAnsi"/>
                <w:i/>
                <w:iCs/>
                <w:sz w:val="18"/>
                <w:szCs w:val="18"/>
                <w:lang w:eastAsia="en-GB"/>
              </w:rPr>
              <w:t>1336 (MOD) du Conseil)</w:t>
            </w:r>
            <w:r w:rsidRPr="002A7EEE">
              <w:rPr>
                <w:rFonts w:asciiTheme="minorHAnsi" w:hAnsiTheme="minorHAnsi" w:cstheme="minorHAnsi"/>
                <w:sz w:val="18"/>
                <w:szCs w:val="18"/>
                <w:lang w:eastAsia="en-GB"/>
              </w:rPr>
              <w:t xml:space="preserve"> (il convient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 prendre note sous forme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ensemble)</w:t>
            </w:r>
          </w:p>
        </w:tc>
        <w:tc>
          <w:tcPr>
            <w:tcW w:w="1418" w:type="dxa"/>
            <w:tcBorders>
              <w:top w:val="nil"/>
              <w:left w:val="nil"/>
              <w:bottom w:val="nil"/>
              <w:right w:val="single" w:sz="4" w:space="0" w:color="auto"/>
            </w:tcBorders>
            <w:shd w:val="clear" w:color="auto" w:fill="auto"/>
            <w:noWrap/>
            <w:vAlign w:val="center"/>
            <w:hideMark/>
          </w:tcPr>
          <w:p w14:paraId="573EB903" w14:textId="77777777" w:rsidR="00423737" w:rsidRPr="002A7EEE" w:rsidRDefault="00B427A6" w:rsidP="009C6D5D">
            <w:pPr>
              <w:pStyle w:val="Tabletext"/>
              <w:jc w:val="center"/>
              <w:rPr>
                <w:b/>
                <w:bCs/>
                <w:sz w:val="18"/>
                <w:szCs w:val="18"/>
                <w:lang w:eastAsia="en-GB"/>
              </w:rPr>
            </w:pPr>
            <w:hyperlink r:id="rId49" w:history="1">
              <w:r w:rsidR="00423737" w:rsidRPr="002A7EEE">
                <w:rPr>
                  <w:rStyle w:val="Hyperlink"/>
                  <w:b/>
                  <w:bCs/>
                  <w:sz w:val="18"/>
                  <w:szCs w:val="18"/>
                  <w:lang w:eastAsia="en-GB"/>
                </w:rPr>
                <w:t>C21/51</w:t>
              </w:r>
            </w:hyperlink>
          </w:p>
        </w:tc>
        <w:tc>
          <w:tcPr>
            <w:tcW w:w="1134" w:type="dxa"/>
            <w:tcBorders>
              <w:top w:val="nil"/>
              <w:left w:val="nil"/>
              <w:bottom w:val="nil"/>
              <w:right w:val="single" w:sz="4" w:space="0" w:color="auto"/>
            </w:tcBorders>
            <w:shd w:val="clear" w:color="auto" w:fill="D9D9D9" w:themeFill="background1" w:themeFillShade="D9"/>
            <w:vAlign w:val="center"/>
          </w:tcPr>
          <w:p w14:paraId="1C4C9650"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078F4281"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4B35C900" w14:textId="77777777" w:rsidR="00423737" w:rsidRPr="002A7EEE" w:rsidRDefault="00423737" w:rsidP="009C6D5D">
            <w:pPr>
              <w:pStyle w:val="Tabletext"/>
              <w:jc w:val="center"/>
              <w:rPr>
                <w:sz w:val="18"/>
                <w:szCs w:val="18"/>
                <w:lang w:eastAsia="en-GB"/>
              </w:rPr>
            </w:pPr>
            <w:r w:rsidRPr="002A7EEE">
              <w:rPr>
                <w:sz w:val="18"/>
                <w:szCs w:val="18"/>
                <w:lang w:eastAsia="en-GB"/>
              </w:rPr>
              <w:t>37</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696CEC66" w14:textId="1BD58045"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Rapport sur la façon dont le cadre offert par le Programme mondial cybersécurité est actuellement utilisé par l</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UIT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2B5F85F" w14:textId="77777777" w:rsidR="00423737" w:rsidRPr="002A7EEE" w:rsidRDefault="00B427A6" w:rsidP="009C6D5D">
            <w:pPr>
              <w:pStyle w:val="Tabletext"/>
              <w:jc w:val="center"/>
              <w:rPr>
                <w:b/>
                <w:bCs/>
                <w:sz w:val="18"/>
                <w:szCs w:val="18"/>
                <w:lang w:eastAsia="en-GB"/>
              </w:rPr>
            </w:pPr>
            <w:hyperlink r:id="rId50" w:history="1">
              <w:r w:rsidR="00423737" w:rsidRPr="002A7EEE">
                <w:rPr>
                  <w:rStyle w:val="Hyperlink"/>
                  <w:b/>
                  <w:bCs/>
                  <w:sz w:val="18"/>
                  <w:szCs w:val="18"/>
                  <w:lang w:eastAsia="en-GB"/>
                </w:rPr>
                <w:t>C21/36</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061CE4"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52F5CB0C"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1DF70304" w14:textId="77777777" w:rsidR="00423737" w:rsidRPr="002A7EEE" w:rsidRDefault="00423737" w:rsidP="009C6D5D">
            <w:pPr>
              <w:pStyle w:val="Tabletext"/>
              <w:jc w:val="center"/>
              <w:rPr>
                <w:sz w:val="18"/>
                <w:szCs w:val="18"/>
                <w:lang w:eastAsia="en-GB"/>
              </w:rPr>
            </w:pPr>
            <w:r w:rsidRPr="002A7EEE">
              <w:rPr>
                <w:sz w:val="18"/>
                <w:szCs w:val="18"/>
                <w:lang w:eastAsia="en-GB"/>
              </w:rPr>
              <w:t>38</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283B741D" w14:textId="1E466E70"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Lignes directrices relatives à l</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utilisation du Programme mondial cybersécurité par l</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UIT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E25734" w14:textId="77777777" w:rsidR="00423737" w:rsidRPr="002A7EEE" w:rsidRDefault="00B427A6" w:rsidP="009C6D5D">
            <w:pPr>
              <w:pStyle w:val="Tabletext"/>
              <w:jc w:val="center"/>
              <w:rPr>
                <w:b/>
                <w:bCs/>
                <w:sz w:val="18"/>
                <w:szCs w:val="18"/>
                <w:lang w:eastAsia="en-GB"/>
              </w:rPr>
            </w:pPr>
            <w:hyperlink r:id="rId51" w:history="1">
              <w:r w:rsidR="00423737" w:rsidRPr="002A7EEE">
                <w:rPr>
                  <w:rStyle w:val="Hyperlink"/>
                  <w:b/>
                  <w:bCs/>
                  <w:sz w:val="18"/>
                  <w:szCs w:val="18"/>
                  <w:lang w:eastAsia="en-GB"/>
                </w:rPr>
                <w:t>C21/71</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381121"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75D5516F"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A7B5DB5" w14:textId="77777777" w:rsidR="00423737" w:rsidRPr="002A7EEE" w:rsidRDefault="00423737" w:rsidP="009C6D5D">
            <w:pPr>
              <w:pStyle w:val="Tabletext"/>
              <w:jc w:val="center"/>
              <w:rPr>
                <w:sz w:val="18"/>
                <w:szCs w:val="18"/>
                <w:lang w:eastAsia="en-GB"/>
              </w:rPr>
            </w:pPr>
            <w:r w:rsidRPr="002A7EEE">
              <w:rPr>
                <w:sz w:val="18"/>
                <w:szCs w:val="18"/>
                <w:lang w:eastAsia="en-GB"/>
              </w:rPr>
              <w:t>39</w:t>
            </w:r>
          </w:p>
        </w:tc>
        <w:tc>
          <w:tcPr>
            <w:tcW w:w="6740" w:type="dxa"/>
            <w:tcBorders>
              <w:top w:val="nil"/>
              <w:left w:val="nil"/>
              <w:bottom w:val="single" w:sz="4" w:space="0" w:color="auto"/>
              <w:right w:val="single" w:sz="4" w:space="0" w:color="auto"/>
            </w:tcBorders>
            <w:shd w:val="clear" w:color="auto" w:fill="auto"/>
            <w:vAlign w:val="center"/>
            <w:hideMark/>
          </w:tcPr>
          <w:p w14:paraId="29C6B422"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du Comité consultatif indépendant pour les questions de gestion (CCIG) (</w:t>
            </w:r>
            <w:r w:rsidRPr="002A7EEE">
              <w:rPr>
                <w:rFonts w:asciiTheme="minorHAnsi" w:hAnsiTheme="minorHAnsi" w:cstheme="minorHAnsi"/>
                <w:i/>
                <w:iCs/>
                <w:sz w:val="18"/>
                <w:szCs w:val="18"/>
                <w:lang w:eastAsia="en-GB"/>
              </w:rPr>
              <w:t>Résolution 162 de la PP, Décision 565 du Conseil</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46F94BDA" w14:textId="77777777" w:rsidR="00423737" w:rsidRPr="002A7EEE" w:rsidRDefault="00B427A6" w:rsidP="009C6D5D">
            <w:pPr>
              <w:pStyle w:val="Tabletext"/>
              <w:jc w:val="center"/>
              <w:rPr>
                <w:b/>
                <w:bCs/>
                <w:sz w:val="18"/>
                <w:szCs w:val="18"/>
                <w:lang w:eastAsia="en-GB"/>
              </w:rPr>
            </w:pPr>
            <w:hyperlink r:id="rId52" w:history="1">
              <w:r w:rsidR="00423737" w:rsidRPr="002A7EEE">
                <w:rPr>
                  <w:rStyle w:val="Hyperlink"/>
                  <w:b/>
                  <w:bCs/>
                  <w:sz w:val="18"/>
                  <w:szCs w:val="18"/>
                  <w:lang w:eastAsia="en-GB"/>
                </w:rPr>
                <w:t>C21/22</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4DFB951"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FA2C772"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13A1F694" w14:textId="77777777" w:rsidR="00423737" w:rsidRPr="002A7EEE" w:rsidRDefault="00423737" w:rsidP="009C6D5D">
            <w:pPr>
              <w:pStyle w:val="Tabletext"/>
              <w:jc w:val="center"/>
              <w:rPr>
                <w:sz w:val="18"/>
                <w:szCs w:val="18"/>
                <w:lang w:eastAsia="en-GB"/>
              </w:rPr>
            </w:pPr>
            <w:r w:rsidRPr="002A7EEE">
              <w:rPr>
                <w:sz w:val="18"/>
                <w:szCs w:val="18"/>
                <w:lang w:eastAsia="en-GB"/>
              </w:rPr>
              <w:t>40</w:t>
            </w:r>
          </w:p>
        </w:tc>
        <w:tc>
          <w:tcPr>
            <w:tcW w:w="6740" w:type="dxa"/>
            <w:tcBorders>
              <w:top w:val="nil"/>
              <w:left w:val="nil"/>
              <w:bottom w:val="single" w:sz="4" w:space="0" w:color="auto"/>
              <w:right w:val="single" w:sz="4" w:space="0" w:color="auto"/>
            </w:tcBorders>
            <w:shd w:val="clear" w:color="auto" w:fill="auto"/>
            <w:vAlign w:val="center"/>
            <w:hideMark/>
          </w:tcPr>
          <w:p w14:paraId="477D4AEE"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du Groupe de travail sur les contrôles internes</w:t>
            </w:r>
          </w:p>
        </w:tc>
        <w:tc>
          <w:tcPr>
            <w:tcW w:w="1418" w:type="dxa"/>
            <w:tcBorders>
              <w:top w:val="nil"/>
              <w:left w:val="nil"/>
              <w:bottom w:val="single" w:sz="4" w:space="0" w:color="auto"/>
              <w:right w:val="single" w:sz="4" w:space="0" w:color="auto"/>
            </w:tcBorders>
            <w:shd w:val="clear" w:color="auto" w:fill="auto"/>
            <w:vAlign w:val="center"/>
            <w:hideMark/>
          </w:tcPr>
          <w:p w14:paraId="2CB06B06" w14:textId="77777777" w:rsidR="00423737" w:rsidRPr="002A7EEE" w:rsidRDefault="00B427A6" w:rsidP="009C6D5D">
            <w:pPr>
              <w:pStyle w:val="Tabletext"/>
              <w:jc w:val="center"/>
              <w:rPr>
                <w:b/>
                <w:bCs/>
                <w:sz w:val="18"/>
                <w:szCs w:val="18"/>
                <w:lang w:eastAsia="en-GB"/>
              </w:rPr>
            </w:pPr>
            <w:hyperlink r:id="rId53" w:history="1">
              <w:r w:rsidR="00423737" w:rsidRPr="002A7EEE">
                <w:rPr>
                  <w:rStyle w:val="Hyperlink"/>
                  <w:b/>
                  <w:bCs/>
                  <w:sz w:val="18"/>
                  <w:szCs w:val="18"/>
                  <w:lang w:eastAsia="en-GB"/>
                </w:rPr>
                <w:t>C21/63</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7068180"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6855E2E0"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2CA1FE1" w14:textId="77777777" w:rsidR="00423737" w:rsidRPr="002A7EEE" w:rsidRDefault="00423737" w:rsidP="009C6D5D">
            <w:pPr>
              <w:pStyle w:val="Tabletext"/>
              <w:jc w:val="center"/>
              <w:rPr>
                <w:sz w:val="18"/>
                <w:szCs w:val="18"/>
                <w:lang w:eastAsia="en-GB"/>
              </w:rPr>
            </w:pPr>
            <w:r w:rsidRPr="002A7EEE">
              <w:rPr>
                <w:sz w:val="18"/>
                <w:szCs w:val="18"/>
                <w:lang w:eastAsia="en-GB"/>
              </w:rPr>
              <w:t>41</w:t>
            </w:r>
          </w:p>
        </w:tc>
        <w:tc>
          <w:tcPr>
            <w:tcW w:w="6740" w:type="dxa"/>
            <w:tcBorders>
              <w:top w:val="single" w:sz="4" w:space="0" w:color="auto"/>
              <w:left w:val="nil"/>
              <w:bottom w:val="single" w:sz="4" w:space="0" w:color="auto"/>
              <w:right w:val="single" w:sz="4" w:space="0" w:color="auto"/>
            </w:tcBorders>
            <w:shd w:val="clear" w:color="000000" w:fill="FFFFFF"/>
            <w:vAlign w:val="center"/>
            <w:hideMark/>
          </w:tcPr>
          <w:p w14:paraId="5F35CECE"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sur la vérification générale à la suite du cas de fraude dans un bureau régional</w:t>
            </w:r>
            <w:r w:rsidRPr="002A7EEE">
              <w:rPr>
                <w:rFonts w:asciiTheme="minorHAnsi" w:hAnsiTheme="minorHAnsi" w:cstheme="minorHAnsi"/>
                <w:i/>
                <w:iCs/>
                <w:sz w:val="18"/>
                <w:szCs w:val="18"/>
                <w:lang w:eastAsia="en-GB"/>
              </w:rPr>
              <w:t xml:space="preserve"> (Décision 613 du Conseil)</w:t>
            </w:r>
          </w:p>
        </w:tc>
        <w:tc>
          <w:tcPr>
            <w:tcW w:w="1418" w:type="dxa"/>
            <w:tcBorders>
              <w:top w:val="nil"/>
              <w:left w:val="nil"/>
              <w:bottom w:val="single" w:sz="4" w:space="0" w:color="auto"/>
              <w:right w:val="single" w:sz="4" w:space="0" w:color="auto"/>
            </w:tcBorders>
            <w:shd w:val="clear" w:color="auto" w:fill="auto"/>
            <w:vAlign w:val="center"/>
            <w:hideMark/>
          </w:tcPr>
          <w:p w14:paraId="2E4BAD66" w14:textId="77777777" w:rsidR="00423737" w:rsidRPr="002A7EEE" w:rsidRDefault="00B427A6" w:rsidP="009C6D5D">
            <w:pPr>
              <w:pStyle w:val="Tabletext"/>
              <w:jc w:val="center"/>
              <w:rPr>
                <w:b/>
                <w:bCs/>
                <w:sz w:val="18"/>
                <w:szCs w:val="18"/>
                <w:lang w:eastAsia="en-GB"/>
              </w:rPr>
            </w:pPr>
            <w:hyperlink r:id="rId54" w:history="1">
              <w:r w:rsidR="00423737" w:rsidRPr="002A7EEE">
                <w:rPr>
                  <w:rStyle w:val="Hyperlink"/>
                  <w:b/>
                  <w:bCs/>
                  <w:sz w:val="18"/>
                  <w:szCs w:val="18"/>
                  <w:lang w:eastAsia="en-GB"/>
                </w:rPr>
                <w:t>C21/75</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847DF7F"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39C53712"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41EDA01D" w14:textId="77777777" w:rsidR="00423737" w:rsidRPr="002A7EEE" w:rsidRDefault="00423737" w:rsidP="009C6D5D">
            <w:pPr>
              <w:pStyle w:val="Tabletext"/>
              <w:jc w:val="center"/>
              <w:rPr>
                <w:sz w:val="18"/>
                <w:szCs w:val="18"/>
                <w:lang w:eastAsia="en-GB"/>
              </w:rPr>
            </w:pPr>
            <w:r w:rsidRPr="002A7EEE">
              <w:rPr>
                <w:sz w:val="18"/>
                <w:szCs w:val="18"/>
                <w:lang w:eastAsia="en-GB"/>
              </w:rPr>
              <w:t>42</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54245239" w14:textId="2DDB6E1A"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Système de gestion de la résilience de l</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organisation (ORMS)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733ECF" w14:textId="77777777" w:rsidR="00423737" w:rsidRPr="002A7EEE" w:rsidRDefault="00B427A6" w:rsidP="009C6D5D">
            <w:pPr>
              <w:pStyle w:val="Tabletext"/>
              <w:jc w:val="center"/>
              <w:rPr>
                <w:b/>
                <w:bCs/>
                <w:sz w:val="18"/>
                <w:szCs w:val="18"/>
                <w:lang w:eastAsia="en-GB"/>
              </w:rPr>
            </w:pPr>
            <w:hyperlink r:id="rId55" w:history="1">
              <w:r w:rsidR="00423737" w:rsidRPr="002A7EEE">
                <w:rPr>
                  <w:rStyle w:val="Hyperlink"/>
                  <w:b/>
                  <w:bCs/>
                  <w:sz w:val="18"/>
                  <w:szCs w:val="18"/>
                  <w:lang w:eastAsia="en-GB"/>
                </w:rPr>
                <w:t>C21/15</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03D4678"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1109C735"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DDE8055" w14:textId="77777777" w:rsidR="00423737" w:rsidRPr="002A7EEE" w:rsidRDefault="00423737" w:rsidP="009C6D5D">
            <w:pPr>
              <w:pStyle w:val="Tabletext"/>
              <w:jc w:val="center"/>
              <w:rPr>
                <w:sz w:val="18"/>
                <w:szCs w:val="18"/>
                <w:lang w:eastAsia="en-GB"/>
              </w:rPr>
            </w:pPr>
            <w:r w:rsidRPr="002A7EEE">
              <w:rPr>
                <w:sz w:val="18"/>
                <w:szCs w:val="18"/>
                <w:lang w:eastAsia="en-GB"/>
              </w:rPr>
              <w:t>43</w:t>
            </w:r>
          </w:p>
        </w:tc>
        <w:tc>
          <w:tcPr>
            <w:tcW w:w="6740" w:type="dxa"/>
            <w:tcBorders>
              <w:top w:val="nil"/>
              <w:left w:val="nil"/>
              <w:bottom w:val="single" w:sz="4" w:space="0" w:color="auto"/>
              <w:right w:val="single" w:sz="4" w:space="0" w:color="auto"/>
            </w:tcBorders>
            <w:shd w:val="clear" w:color="auto" w:fill="auto"/>
            <w:vAlign w:val="center"/>
            <w:hideMark/>
          </w:tcPr>
          <w:p w14:paraId="3BEE3211" w14:textId="7C5D6D59"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Cadre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UIT en matière de responsabilisation</w:t>
            </w:r>
          </w:p>
        </w:tc>
        <w:tc>
          <w:tcPr>
            <w:tcW w:w="1418" w:type="dxa"/>
            <w:tcBorders>
              <w:top w:val="nil"/>
              <w:left w:val="nil"/>
              <w:bottom w:val="single" w:sz="4" w:space="0" w:color="auto"/>
              <w:right w:val="single" w:sz="4" w:space="0" w:color="auto"/>
            </w:tcBorders>
            <w:shd w:val="clear" w:color="auto" w:fill="auto"/>
            <w:vAlign w:val="center"/>
            <w:hideMark/>
          </w:tcPr>
          <w:p w14:paraId="3C039350" w14:textId="77777777" w:rsidR="00423737" w:rsidRPr="002A7EEE" w:rsidRDefault="00B427A6" w:rsidP="009C6D5D">
            <w:pPr>
              <w:pStyle w:val="Tabletext"/>
              <w:jc w:val="center"/>
              <w:rPr>
                <w:b/>
                <w:bCs/>
                <w:sz w:val="18"/>
                <w:szCs w:val="18"/>
                <w:lang w:eastAsia="en-GB"/>
              </w:rPr>
            </w:pPr>
            <w:hyperlink r:id="rId56" w:history="1">
              <w:r w:rsidR="00423737" w:rsidRPr="002A7EEE">
                <w:rPr>
                  <w:rStyle w:val="Hyperlink"/>
                  <w:b/>
                  <w:bCs/>
                  <w:sz w:val="18"/>
                  <w:szCs w:val="18"/>
                  <w:lang w:eastAsia="en-GB"/>
                </w:rPr>
                <w:t>C21/43</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037356F"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72FEC9B7"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F2BF4AD" w14:textId="77777777" w:rsidR="00423737" w:rsidRPr="002A7EEE" w:rsidRDefault="00423737" w:rsidP="009C6D5D">
            <w:pPr>
              <w:pStyle w:val="Tabletext"/>
              <w:jc w:val="center"/>
              <w:rPr>
                <w:sz w:val="18"/>
                <w:szCs w:val="18"/>
                <w:lang w:eastAsia="en-GB"/>
              </w:rPr>
            </w:pPr>
            <w:r w:rsidRPr="002A7EEE">
              <w:rPr>
                <w:sz w:val="18"/>
                <w:szCs w:val="18"/>
                <w:lang w:eastAsia="en-GB"/>
              </w:rPr>
              <w:t>44</w:t>
            </w:r>
          </w:p>
        </w:tc>
        <w:tc>
          <w:tcPr>
            <w:tcW w:w="6740" w:type="dxa"/>
            <w:tcBorders>
              <w:top w:val="nil"/>
              <w:left w:val="nil"/>
              <w:bottom w:val="single" w:sz="4" w:space="0" w:color="auto"/>
              <w:right w:val="single" w:sz="4" w:space="0" w:color="auto"/>
            </w:tcBorders>
            <w:shd w:val="clear" w:color="auto" w:fill="auto"/>
            <w:vAlign w:val="center"/>
            <w:hideMark/>
          </w:tcPr>
          <w:p w14:paraId="14566213" w14:textId="4E55AC00"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Rapport sur la mise en œuvre du plan d</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action pour la gestion des risques</w:t>
            </w:r>
          </w:p>
        </w:tc>
        <w:tc>
          <w:tcPr>
            <w:tcW w:w="1418" w:type="dxa"/>
            <w:tcBorders>
              <w:top w:val="nil"/>
              <w:left w:val="nil"/>
              <w:bottom w:val="single" w:sz="4" w:space="0" w:color="auto"/>
              <w:right w:val="single" w:sz="4" w:space="0" w:color="auto"/>
            </w:tcBorders>
            <w:shd w:val="clear" w:color="auto" w:fill="auto"/>
            <w:vAlign w:val="center"/>
          </w:tcPr>
          <w:p w14:paraId="50FD227B" w14:textId="77777777" w:rsidR="00423737" w:rsidRPr="002A7EEE" w:rsidRDefault="00B427A6" w:rsidP="009C6D5D">
            <w:pPr>
              <w:pStyle w:val="Tabletext"/>
              <w:jc w:val="center"/>
              <w:rPr>
                <w:b/>
                <w:bCs/>
                <w:sz w:val="18"/>
                <w:szCs w:val="18"/>
                <w:lang w:eastAsia="en-GB"/>
              </w:rPr>
            </w:pPr>
            <w:hyperlink r:id="rId57" w:history="1">
              <w:r w:rsidR="00423737" w:rsidRPr="002A7EEE">
                <w:rPr>
                  <w:rStyle w:val="Hyperlink"/>
                  <w:b/>
                  <w:bCs/>
                  <w:sz w:val="18"/>
                  <w:szCs w:val="18"/>
                  <w:lang w:eastAsia="en-GB"/>
                </w:rPr>
                <w:t>C21/61</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A20AFA3"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7DD225D" w14:textId="77777777" w:rsidTr="00430BA6">
        <w:trPr>
          <w:cantSplit/>
          <w:jc w:val="center"/>
        </w:trPr>
        <w:tc>
          <w:tcPr>
            <w:tcW w:w="484" w:type="dxa"/>
            <w:tcBorders>
              <w:top w:val="nil"/>
              <w:left w:val="single" w:sz="4" w:space="0" w:color="auto"/>
              <w:bottom w:val="single" w:sz="4" w:space="0" w:color="auto"/>
              <w:right w:val="single" w:sz="4" w:space="0" w:color="auto"/>
            </w:tcBorders>
            <w:shd w:val="clear" w:color="auto" w:fill="auto"/>
            <w:vAlign w:val="center"/>
          </w:tcPr>
          <w:p w14:paraId="338D78F4" w14:textId="77777777" w:rsidR="00423737" w:rsidRPr="002A7EEE" w:rsidDel="00B76952" w:rsidRDefault="00423737" w:rsidP="009C6D5D">
            <w:pPr>
              <w:pStyle w:val="Tabletext"/>
              <w:jc w:val="center"/>
              <w:rPr>
                <w:sz w:val="18"/>
                <w:szCs w:val="18"/>
                <w:lang w:eastAsia="en-GB"/>
              </w:rPr>
            </w:pPr>
            <w:r w:rsidRPr="002A7EEE">
              <w:rPr>
                <w:sz w:val="18"/>
                <w:szCs w:val="18"/>
                <w:lang w:eastAsia="en-GB"/>
              </w:rPr>
              <w:t>45</w:t>
            </w:r>
          </w:p>
        </w:tc>
        <w:tc>
          <w:tcPr>
            <w:tcW w:w="6740" w:type="dxa"/>
            <w:tcBorders>
              <w:top w:val="nil"/>
              <w:left w:val="nil"/>
              <w:bottom w:val="single" w:sz="4" w:space="0" w:color="auto"/>
              <w:right w:val="single" w:sz="4" w:space="0" w:color="auto"/>
            </w:tcBorders>
            <w:shd w:val="clear" w:color="auto" w:fill="auto"/>
            <w:vAlign w:val="center"/>
          </w:tcPr>
          <w:p w14:paraId="5565EBB3" w14:textId="77777777" w:rsidR="00423737" w:rsidRPr="002A7EEE" w:rsidRDefault="00423737" w:rsidP="009C6D5D">
            <w:pPr>
              <w:pStyle w:val="Tabletext"/>
              <w:rPr>
                <w:rFonts w:asciiTheme="minorHAnsi" w:hAnsiTheme="minorHAnsi" w:cstheme="minorHAnsi"/>
                <w:sz w:val="18"/>
                <w:szCs w:val="18"/>
              </w:rPr>
            </w:pPr>
            <w:r w:rsidRPr="002A7EEE">
              <w:rPr>
                <w:rFonts w:asciiTheme="minorHAnsi" w:hAnsiTheme="minorHAnsi" w:cstheme="minorHAnsi"/>
                <w:sz w:val="18"/>
                <w:szCs w:val="18"/>
              </w:rPr>
              <w:t>Initiative en faveur de la transformation numérique (DT-I)</w:t>
            </w:r>
          </w:p>
        </w:tc>
        <w:tc>
          <w:tcPr>
            <w:tcW w:w="1418" w:type="dxa"/>
            <w:tcBorders>
              <w:top w:val="nil"/>
              <w:left w:val="nil"/>
              <w:bottom w:val="single" w:sz="4" w:space="0" w:color="auto"/>
              <w:right w:val="single" w:sz="4" w:space="0" w:color="auto"/>
            </w:tcBorders>
            <w:shd w:val="clear" w:color="auto" w:fill="auto"/>
            <w:noWrap/>
            <w:vAlign w:val="center"/>
          </w:tcPr>
          <w:p w14:paraId="421021AC" w14:textId="77777777" w:rsidR="00423737" w:rsidRPr="00810AE0" w:rsidRDefault="00B427A6" w:rsidP="009C6D5D">
            <w:pPr>
              <w:pStyle w:val="Tabletext"/>
              <w:jc w:val="center"/>
              <w:rPr>
                <w:b/>
                <w:bCs/>
                <w:sz w:val="18"/>
                <w:szCs w:val="18"/>
                <w:lang w:eastAsia="en-GB"/>
              </w:rPr>
            </w:pPr>
            <w:hyperlink r:id="rId58" w:history="1">
              <w:r w:rsidR="00423737" w:rsidRPr="00810AE0">
                <w:rPr>
                  <w:rStyle w:val="Hyperlink"/>
                  <w:b/>
                  <w:bCs/>
                  <w:sz w:val="18"/>
                  <w:szCs w:val="18"/>
                  <w:lang w:eastAsia="en-GB"/>
                </w:rPr>
                <w:t>C21/70</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FE88FAF" w14:textId="67B0A152" w:rsidR="00423737" w:rsidRPr="002A7EEE" w:rsidRDefault="00810AE0" w:rsidP="009C6D5D">
            <w:pPr>
              <w:pStyle w:val="Tabletext"/>
              <w:jc w:val="center"/>
              <w:rPr>
                <w:sz w:val="18"/>
                <w:szCs w:val="18"/>
                <w:lang w:eastAsia="en-GB"/>
              </w:rPr>
            </w:pPr>
            <w:r w:rsidRPr="002A7EEE">
              <w:rPr>
                <w:b/>
                <w:bCs/>
                <w:sz w:val="18"/>
                <w:szCs w:val="18"/>
                <w:lang w:eastAsia="en-GB"/>
              </w:rPr>
              <w:t>1</w:t>
            </w:r>
          </w:p>
        </w:tc>
      </w:tr>
      <w:tr w:rsidR="00423737" w:rsidRPr="002A7EEE" w14:paraId="08BC393E"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197C11F2" w14:textId="77777777" w:rsidR="00423737" w:rsidRPr="002A7EEE" w:rsidRDefault="00423737" w:rsidP="009C6D5D">
            <w:pPr>
              <w:pStyle w:val="Tabletext"/>
              <w:jc w:val="center"/>
              <w:rPr>
                <w:sz w:val="18"/>
                <w:szCs w:val="18"/>
                <w:lang w:eastAsia="en-GB"/>
              </w:rPr>
            </w:pPr>
            <w:r w:rsidRPr="002A7EEE">
              <w:rPr>
                <w:sz w:val="18"/>
                <w:szCs w:val="18"/>
                <w:lang w:eastAsia="en-GB"/>
              </w:rPr>
              <w:t>46</w:t>
            </w:r>
          </w:p>
        </w:tc>
        <w:tc>
          <w:tcPr>
            <w:tcW w:w="6740" w:type="dxa"/>
            <w:tcBorders>
              <w:top w:val="nil"/>
              <w:left w:val="nil"/>
              <w:bottom w:val="single" w:sz="4" w:space="0" w:color="auto"/>
              <w:right w:val="single" w:sz="4" w:space="0" w:color="auto"/>
            </w:tcBorders>
            <w:shd w:val="clear" w:color="auto" w:fill="auto"/>
            <w:vAlign w:val="center"/>
            <w:hideMark/>
          </w:tcPr>
          <w:p w14:paraId="47C92151" w14:textId="6ACF9BFA"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activité sur la mise en œuvre du Plan stratégique pour les ressources humaines et de la Résolution 48 (Rév. Dubaï, 2018) de la PP</w:t>
            </w:r>
          </w:p>
        </w:tc>
        <w:tc>
          <w:tcPr>
            <w:tcW w:w="1418" w:type="dxa"/>
            <w:tcBorders>
              <w:top w:val="nil"/>
              <w:left w:val="nil"/>
              <w:bottom w:val="single" w:sz="4" w:space="0" w:color="auto"/>
              <w:right w:val="single" w:sz="4" w:space="0" w:color="auto"/>
            </w:tcBorders>
            <w:shd w:val="clear" w:color="auto" w:fill="auto"/>
            <w:noWrap/>
            <w:vAlign w:val="center"/>
          </w:tcPr>
          <w:p w14:paraId="0A10074E" w14:textId="77777777" w:rsidR="00423737" w:rsidRPr="002A7EEE" w:rsidRDefault="00B427A6" w:rsidP="009C6D5D">
            <w:pPr>
              <w:pStyle w:val="Tabletext"/>
              <w:jc w:val="center"/>
              <w:rPr>
                <w:b/>
                <w:bCs/>
                <w:sz w:val="18"/>
                <w:szCs w:val="18"/>
                <w:lang w:eastAsia="en-GB"/>
              </w:rPr>
            </w:pPr>
            <w:hyperlink r:id="rId59" w:history="1">
              <w:r w:rsidR="00423737" w:rsidRPr="002A7EEE">
                <w:rPr>
                  <w:rStyle w:val="Hyperlink"/>
                  <w:b/>
                  <w:bCs/>
                  <w:sz w:val="18"/>
                  <w:szCs w:val="18"/>
                  <w:lang w:eastAsia="en-GB"/>
                </w:rPr>
                <w:t>C21/54</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3F4FDE0"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262239AE"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7ECC236" w14:textId="77777777" w:rsidR="00423737" w:rsidRPr="002A7EEE" w:rsidRDefault="00423737" w:rsidP="009C6D5D">
            <w:pPr>
              <w:pStyle w:val="Tabletext"/>
              <w:jc w:val="center"/>
              <w:rPr>
                <w:sz w:val="18"/>
                <w:szCs w:val="18"/>
                <w:lang w:eastAsia="en-GB"/>
              </w:rPr>
            </w:pPr>
            <w:r w:rsidRPr="002A7EEE">
              <w:rPr>
                <w:sz w:val="18"/>
                <w:szCs w:val="18"/>
                <w:lang w:eastAsia="en-GB"/>
              </w:rPr>
              <w:t>47</w:t>
            </w:r>
          </w:p>
        </w:tc>
        <w:tc>
          <w:tcPr>
            <w:tcW w:w="6740" w:type="dxa"/>
            <w:tcBorders>
              <w:top w:val="nil"/>
              <w:left w:val="nil"/>
              <w:bottom w:val="single" w:sz="4" w:space="0" w:color="auto"/>
              <w:right w:val="single" w:sz="4" w:space="0" w:color="auto"/>
            </w:tcBorders>
            <w:shd w:val="clear" w:color="auto" w:fill="auto"/>
            <w:vAlign w:val="center"/>
            <w:hideMark/>
          </w:tcPr>
          <w:p w14:paraId="10E35E6C" w14:textId="3D5235D5"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Participation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UIT au Comité mixte de la Caisse commune des pensions du personnel des Nations Unies</w:t>
            </w:r>
          </w:p>
        </w:tc>
        <w:tc>
          <w:tcPr>
            <w:tcW w:w="1418" w:type="dxa"/>
            <w:tcBorders>
              <w:top w:val="nil"/>
              <w:left w:val="nil"/>
              <w:bottom w:val="single" w:sz="4" w:space="0" w:color="auto"/>
              <w:right w:val="single" w:sz="4" w:space="0" w:color="auto"/>
            </w:tcBorders>
            <w:shd w:val="clear" w:color="auto" w:fill="auto"/>
            <w:noWrap/>
            <w:vAlign w:val="center"/>
          </w:tcPr>
          <w:p w14:paraId="7DAA0FAD" w14:textId="77777777" w:rsidR="00423737" w:rsidRPr="002A7EEE" w:rsidRDefault="00B427A6" w:rsidP="009C6D5D">
            <w:pPr>
              <w:pStyle w:val="Tabletext"/>
              <w:jc w:val="center"/>
              <w:rPr>
                <w:b/>
                <w:bCs/>
                <w:sz w:val="18"/>
                <w:szCs w:val="18"/>
                <w:lang w:eastAsia="en-GB"/>
              </w:rPr>
            </w:pPr>
            <w:hyperlink r:id="rId60" w:history="1">
              <w:r w:rsidR="00423737" w:rsidRPr="002A7EEE">
                <w:rPr>
                  <w:rStyle w:val="Hyperlink"/>
                  <w:b/>
                  <w:bCs/>
                  <w:sz w:val="18"/>
                  <w:szCs w:val="18"/>
                  <w:lang w:eastAsia="en-GB"/>
                </w:rPr>
                <w:t>C21/69</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02853C4"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28E74A06"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0A0B99E3" w14:textId="77777777" w:rsidR="00423737" w:rsidRPr="002A7EEE" w:rsidRDefault="00423737" w:rsidP="009C6D5D">
            <w:pPr>
              <w:pStyle w:val="Tabletext"/>
              <w:jc w:val="center"/>
              <w:rPr>
                <w:sz w:val="18"/>
                <w:szCs w:val="18"/>
                <w:lang w:eastAsia="en-GB"/>
              </w:rPr>
            </w:pPr>
            <w:r w:rsidRPr="002A7EEE">
              <w:rPr>
                <w:sz w:val="18"/>
                <w:szCs w:val="18"/>
                <w:lang w:eastAsia="en-GB"/>
              </w:rPr>
              <w:t>48</w:t>
            </w:r>
          </w:p>
        </w:tc>
        <w:tc>
          <w:tcPr>
            <w:tcW w:w="6740" w:type="dxa"/>
            <w:tcBorders>
              <w:top w:val="nil"/>
              <w:left w:val="nil"/>
              <w:bottom w:val="single" w:sz="4" w:space="0" w:color="auto"/>
              <w:right w:val="single" w:sz="4" w:space="0" w:color="auto"/>
            </w:tcBorders>
            <w:shd w:val="clear" w:color="auto" w:fill="auto"/>
            <w:vAlign w:val="center"/>
            <w:hideMark/>
          </w:tcPr>
          <w:p w14:paraId="7A1B5AE0" w14:textId="005A8E7F"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Composition du Comité des pensions du personnel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UIT</w:t>
            </w:r>
            <w:r w:rsidRPr="002A7EEE">
              <w:rPr>
                <w:rFonts w:asciiTheme="minorHAnsi" w:hAnsiTheme="minorHAnsi" w:cstheme="minorHAnsi"/>
                <w:i/>
                <w:iCs/>
                <w:sz w:val="18"/>
                <w:szCs w:val="18"/>
                <w:lang w:eastAsia="en-GB"/>
              </w:rPr>
              <w:t xml:space="preserve"> (Résolution 1394 du Conseil)</w:t>
            </w:r>
          </w:p>
        </w:tc>
        <w:tc>
          <w:tcPr>
            <w:tcW w:w="1418" w:type="dxa"/>
            <w:tcBorders>
              <w:top w:val="nil"/>
              <w:left w:val="nil"/>
              <w:bottom w:val="single" w:sz="4" w:space="0" w:color="auto"/>
              <w:right w:val="single" w:sz="4" w:space="0" w:color="auto"/>
            </w:tcBorders>
            <w:shd w:val="clear" w:color="auto" w:fill="auto"/>
            <w:noWrap/>
            <w:vAlign w:val="center"/>
          </w:tcPr>
          <w:p w14:paraId="067A332C" w14:textId="5E09E54C" w:rsidR="00423737" w:rsidRPr="002A7EEE" w:rsidRDefault="000B58BB" w:rsidP="009C6D5D">
            <w:pPr>
              <w:pStyle w:val="Tabletext"/>
              <w:jc w:val="center"/>
              <w:rPr>
                <w:b/>
                <w:bCs/>
                <w:sz w:val="18"/>
                <w:szCs w:val="18"/>
                <w:lang w:eastAsia="en-GB"/>
              </w:rPr>
            </w:pPr>
            <w:r w:rsidRPr="000B58BB">
              <w:rPr>
                <w:b/>
                <w:bCs/>
                <w:sz w:val="18"/>
                <w:szCs w:val="18"/>
                <w:lang w:eastAsia="en-GB"/>
              </w:rPr>
              <w:t>–</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909D2C3"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64697663"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C0F9116" w14:textId="77777777" w:rsidR="00423737" w:rsidRPr="002A7EEE" w:rsidRDefault="00423737" w:rsidP="009C6D5D">
            <w:pPr>
              <w:pStyle w:val="Tabletext"/>
              <w:jc w:val="center"/>
              <w:rPr>
                <w:sz w:val="18"/>
                <w:szCs w:val="18"/>
                <w:lang w:eastAsia="en-GB"/>
              </w:rPr>
            </w:pPr>
            <w:r w:rsidRPr="002A7EEE">
              <w:rPr>
                <w:sz w:val="18"/>
                <w:szCs w:val="18"/>
                <w:lang w:eastAsia="en-GB"/>
              </w:rPr>
              <w:t>49</w:t>
            </w:r>
          </w:p>
        </w:tc>
        <w:tc>
          <w:tcPr>
            <w:tcW w:w="6740" w:type="dxa"/>
            <w:tcBorders>
              <w:top w:val="nil"/>
              <w:left w:val="nil"/>
              <w:bottom w:val="single" w:sz="4" w:space="0" w:color="auto"/>
              <w:right w:val="single" w:sz="4" w:space="0" w:color="auto"/>
            </w:tcBorders>
            <w:shd w:val="clear" w:color="auto" w:fill="auto"/>
            <w:vAlign w:val="center"/>
            <w:hideMark/>
          </w:tcPr>
          <w:p w14:paraId="0C3DC8B8" w14:textId="3D93BA46"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du Bureau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éthique</w:t>
            </w:r>
          </w:p>
        </w:tc>
        <w:tc>
          <w:tcPr>
            <w:tcW w:w="1418" w:type="dxa"/>
            <w:tcBorders>
              <w:top w:val="nil"/>
              <w:left w:val="nil"/>
              <w:bottom w:val="single" w:sz="4" w:space="0" w:color="auto"/>
              <w:right w:val="single" w:sz="4" w:space="0" w:color="auto"/>
            </w:tcBorders>
            <w:shd w:val="clear" w:color="auto" w:fill="auto"/>
            <w:noWrap/>
            <w:vAlign w:val="center"/>
          </w:tcPr>
          <w:p w14:paraId="3949F883" w14:textId="77777777" w:rsidR="00423737" w:rsidRPr="002A7EEE" w:rsidRDefault="00B427A6" w:rsidP="009C6D5D">
            <w:pPr>
              <w:pStyle w:val="Tabletext"/>
              <w:jc w:val="center"/>
              <w:rPr>
                <w:b/>
                <w:bCs/>
                <w:sz w:val="18"/>
                <w:szCs w:val="18"/>
                <w:lang w:eastAsia="en-GB"/>
              </w:rPr>
            </w:pPr>
            <w:hyperlink r:id="rId61" w:history="1">
              <w:r w:rsidR="00423737" w:rsidRPr="002A7EEE">
                <w:rPr>
                  <w:rStyle w:val="Hyperlink"/>
                  <w:b/>
                  <w:bCs/>
                  <w:sz w:val="18"/>
                  <w:szCs w:val="18"/>
                  <w:lang w:eastAsia="en-GB"/>
                </w:rPr>
                <w:t>C21/59</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5CF7FDF"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08DFE5C1"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CEF8EC7" w14:textId="77777777" w:rsidR="00423737" w:rsidRPr="002A7EEE" w:rsidRDefault="00423737" w:rsidP="009C6D5D">
            <w:pPr>
              <w:pStyle w:val="Tabletext"/>
              <w:jc w:val="center"/>
              <w:rPr>
                <w:sz w:val="18"/>
                <w:szCs w:val="18"/>
                <w:lang w:eastAsia="en-GB"/>
              </w:rPr>
            </w:pPr>
            <w:r w:rsidRPr="002A7EEE">
              <w:rPr>
                <w:sz w:val="18"/>
                <w:szCs w:val="18"/>
                <w:lang w:eastAsia="en-GB"/>
              </w:rPr>
              <w:t>50</w:t>
            </w:r>
          </w:p>
        </w:tc>
        <w:tc>
          <w:tcPr>
            <w:tcW w:w="6740" w:type="dxa"/>
            <w:tcBorders>
              <w:top w:val="nil"/>
              <w:left w:val="nil"/>
              <w:bottom w:val="single" w:sz="4" w:space="0" w:color="auto"/>
              <w:right w:val="single" w:sz="4" w:space="0" w:color="auto"/>
            </w:tcBorders>
            <w:shd w:val="clear" w:color="auto" w:fill="auto"/>
            <w:vAlign w:val="center"/>
            <w:hideMark/>
          </w:tcPr>
          <w:p w14:paraId="4D4547D3" w14:textId="15979299"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Passifs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assurance maladie après la cession de service (ASHI)</w:t>
            </w:r>
          </w:p>
        </w:tc>
        <w:tc>
          <w:tcPr>
            <w:tcW w:w="1418" w:type="dxa"/>
            <w:tcBorders>
              <w:top w:val="nil"/>
              <w:left w:val="nil"/>
              <w:bottom w:val="single" w:sz="4" w:space="0" w:color="auto"/>
              <w:right w:val="single" w:sz="4" w:space="0" w:color="auto"/>
            </w:tcBorders>
            <w:shd w:val="clear" w:color="auto" w:fill="auto"/>
            <w:vAlign w:val="center"/>
            <w:hideMark/>
          </w:tcPr>
          <w:p w14:paraId="75E15A31" w14:textId="77777777" w:rsidR="00423737" w:rsidRPr="002A7EEE" w:rsidRDefault="00B427A6" w:rsidP="009C6D5D">
            <w:pPr>
              <w:pStyle w:val="Tabletext"/>
              <w:jc w:val="center"/>
              <w:rPr>
                <w:b/>
                <w:bCs/>
                <w:sz w:val="18"/>
                <w:szCs w:val="18"/>
                <w:lang w:eastAsia="en-GB"/>
              </w:rPr>
            </w:pPr>
            <w:hyperlink r:id="rId62" w:history="1">
              <w:r w:rsidR="00423737" w:rsidRPr="002A7EEE">
                <w:rPr>
                  <w:rStyle w:val="Hyperlink"/>
                  <w:b/>
                  <w:bCs/>
                  <w:sz w:val="18"/>
                  <w:szCs w:val="18"/>
                  <w:lang w:eastAsia="en-GB"/>
                </w:rPr>
                <w:t>C21/46</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14E0342"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1632876D"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107DCA60" w14:textId="77777777" w:rsidR="00423737" w:rsidRPr="002A7EEE" w:rsidRDefault="00423737" w:rsidP="009C6D5D">
            <w:pPr>
              <w:pStyle w:val="Tabletext"/>
              <w:jc w:val="center"/>
              <w:rPr>
                <w:sz w:val="18"/>
                <w:szCs w:val="18"/>
                <w:lang w:eastAsia="en-GB"/>
              </w:rPr>
            </w:pPr>
            <w:r w:rsidRPr="002A7EEE">
              <w:rPr>
                <w:sz w:val="18"/>
                <w:szCs w:val="18"/>
                <w:lang w:eastAsia="en-GB"/>
              </w:rPr>
              <w:lastRenderedPageBreak/>
              <w:t>51</w:t>
            </w:r>
          </w:p>
        </w:tc>
        <w:tc>
          <w:tcPr>
            <w:tcW w:w="6740" w:type="dxa"/>
            <w:tcBorders>
              <w:top w:val="nil"/>
              <w:left w:val="nil"/>
              <w:bottom w:val="single" w:sz="4" w:space="0" w:color="auto"/>
              <w:right w:val="single" w:sz="4" w:space="0" w:color="auto"/>
            </w:tcBorders>
            <w:shd w:val="clear" w:color="auto" w:fill="auto"/>
            <w:vAlign w:val="center"/>
            <w:hideMark/>
          </w:tcPr>
          <w:p w14:paraId="44C96D43" w14:textId="0D2A682A"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Fonds pour le développement des technologies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information et de la communication (FDTIC)</w:t>
            </w:r>
            <w:r w:rsidRPr="002A7EEE">
              <w:rPr>
                <w:rFonts w:asciiTheme="minorHAnsi" w:hAnsiTheme="minorHAnsi" w:cstheme="minorHAnsi"/>
                <w:i/>
                <w:iCs/>
                <w:sz w:val="18"/>
                <w:szCs w:val="18"/>
                <w:lang w:eastAsia="en-GB"/>
              </w:rPr>
              <w:t xml:space="preserve"> </w:t>
            </w:r>
            <w:r w:rsidRPr="002A7EEE">
              <w:rPr>
                <w:rFonts w:asciiTheme="minorHAnsi" w:hAnsiTheme="minorHAnsi" w:cstheme="minorHAnsi"/>
                <w:sz w:val="18"/>
                <w:szCs w:val="18"/>
                <w:lang w:eastAsia="en-GB"/>
              </w:rPr>
              <w:t>(</w:t>
            </w:r>
            <w:r w:rsidRPr="002A7EEE">
              <w:rPr>
                <w:rFonts w:asciiTheme="minorHAnsi" w:hAnsiTheme="minorHAnsi" w:cstheme="minorHAnsi"/>
                <w:i/>
                <w:iCs/>
                <w:sz w:val="18"/>
                <w:szCs w:val="18"/>
                <w:lang w:eastAsia="en-GB"/>
              </w:rPr>
              <w:t>Décision 11 de la PP</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noWrap/>
            <w:vAlign w:val="center"/>
            <w:hideMark/>
          </w:tcPr>
          <w:p w14:paraId="7E717981" w14:textId="77777777" w:rsidR="00423737" w:rsidRPr="002A7EEE" w:rsidRDefault="00B427A6" w:rsidP="009C6D5D">
            <w:pPr>
              <w:pStyle w:val="Tabletext"/>
              <w:jc w:val="center"/>
              <w:rPr>
                <w:b/>
                <w:bCs/>
                <w:sz w:val="18"/>
                <w:szCs w:val="18"/>
                <w:lang w:eastAsia="en-GB"/>
              </w:rPr>
            </w:pPr>
            <w:hyperlink r:id="rId63" w:history="1">
              <w:r w:rsidR="00423737" w:rsidRPr="002A7EEE">
                <w:rPr>
                  <w:rStyle w:val="Hyperlink"/>
                  <w:b/>
                  <w:bCs/>
                  <w:sz w:val="18"/>
                  <w:szCs w:val="18"/>
                  <w:lang w:eastAsia="en-GB"/>
                </w:rPr>
                <w:t>C21/34</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24F45B8"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1E46CDDB"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2B82236F" w14:textId="77777777" w:rsidR="00423737" w:rsidRPr="002A7EEE" w:rsidRDefault="00423737" w:rsidP="009C6D5D">
            <w:pPr>
              <w:pStyle w:val="Tabletext"/>
              <w:jc w:val="center"/>
              <w:rPr>
                <w:sz w:val="18"/>
                <w:szCs w:val="18"/>
                <w:lang w:eastAsia="en-GB"/>
              </w:rPr>
            </w:pPr>
            <w:r w:rsidRPr="002A7EEE">
              <w:rPr>
                <w:sz w:val="18"/>
                <w:szCs w:val="18"/>
                <w:lang w:eastAsia="en-GB"/>
              </w:rPr>
              <w:t>52</w:t>
            </w:r>
          </w:p>
        </w:tc>
        <w:tc>
          <w:tcPr>
            <w:tcW w:w="6740" w:type="dxa"/>
            <w:tcBorders>
              <w:top w:val="nil"/>
              <w:left w:val="nil"/>
              <w:bottom w:val="single" w:sz="4" w:space="0" w:color="auto"/>
              <w:right w:val="single" w:sz="4" w:space="0" w:color="auto"/>
            </w:tcBorders>
            <w:shd w:val="clear" w:color="auto" w:fill="auto"/>
            <w:vAlign w:val="center"/>
            <w:hideMark/>
          </w:tcPr>
          <w:p w14:paraId="3A963410"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Renforcement de la présence régionale (</w:t>
            </w:r>
            <w:r w:rsidRPr="002A7EEE">
              <w:rPr>
                <w:rFonts w:asciiTheme="minorHAnsi" w:hAnsiTheme="minorHAnsi" w:cstheme="minorHAnsi"/>
                <w:i/>
                <w:iCs/>
                <w:sz w:val="18"/>
                <w:szCs w:val="18"/>
                <w:lang w:eastAsia="en-GB"/>
              </w:rPr>
              <w:t>Résolution 25 de la PP</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2F582261" w14:textId="77777777" w:rsidR="00423737" w:rsidRPr="002A7EEE" w:rsidRDefault="00B427A6" w:rsidP="009C6D5D">
            <w:pPr>
              <w:pStyle w:val="Tabletext"/>
              <w:jc w:val="center"/>
              <w:rPr>
                <w:b/>
                <w:bCs/>
                <w:sz w:val="18"/>
                <w:szCs w:val="18"/>
                <w:lang w:eastAsia="en-GB"/>
              </w:rPr>
            </w:pPr>
            <w:hyperlink r:id="rId64" w:history="1">
              <w:r w:rsidR="00423737" w:rsidRPr="002A7EEE">
                <w:rPr>
                  <w:rStyle w:val="Hyperlink"/>
                  <w:b/>
                  <w:bCs/>
                  <w:sz w:val="18"/>
                  <w:szCs w:val="18"/>
                  <w:lang w:eastAsia="en-GB"/>
                </w:rPr>
                <w:t>C21/25</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32BB189"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05A1276B"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1D54126B" w14:textId="77777777" w:rsidR="00423737" w:rsidRPr="002A7EEE" w:rsidRDefault="00423737" w:rsidP="009C6D5D">
            <w:pPr>
              <w:pStyle w:val="Tabletext"/>
              <w:jc w:val="center"/>
              <w:rPr>
                <w:sz w:val="18"/>
                <w:szCs w:val="18"/>
                <w:lang w:eastAsia="en-GB"/>
              </w:rPr>
            </w:pPr>
            <w:r w:rsidRPr="002A7EEE">
              <w:rPr>
                <w:sz w:val="18"/>
                <w:szCs w:val="18"/>
                <w:lang w:eastAsia="en-GB"/>
              </w:rPr>
              <w:t>53</w:t>
            </w:r>
          </w:p>
        </w:tc>
        <w:tc>
          <w:tcPr>
            <w:tcW w:w="6740" w:type="dxa"/>
            <w:tcBorders>
              <w:top w:val="single" w:sz="4" w:space="0" w:color="auto"/>
              <w:left w:val="nil"/>
              <w:bottom w:val="single" w:sz="4" w:space="0" w:color="auto"/>
              <w:right w:val="single" w:sz="4" w:space="0" w:color="auto"/>
            </w:tcBorders>
            <w:shd w:val="clear" w:color="auto" w:fill="FFFFFF"/>
            <w:vAlign w:val="center"/>
            <w:hideMark/>
          </w:tcPr>
          <w:p w14:paraId="3D534DC4" w14:textId="7EABF96A"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Nouvel indice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UIT</w:t>
            </w:r>
          </w:p>
        </w:tc>
        <w:tc>
          <w:tcPr>
            <w:tcW w:w="1418" w:type="dxa"/>
            <w:tcBorders>
              <w:top w:val="nil"/>
              <w:left w:val="nil"/>
              <w:bottom w:val="single" w:sz="4" w:space="0" w:color="auto"/>
              <w:right w:val="single" w:sz="4" w:space="0" w:color="auto"/>
            </w:tcBorders>
            <w:shd w:val="clear" w:color="auto" w:fill="auto"/>
            <w:vAlign w:val="center"/>
            <w:hideMark/>
          </w:tcPr>
          <w:p w14:paraId="3FDB2933" w14:textId="77777777" w:rsidR="00423737" w:rsidRPr="002A7EEE" w:rsidRDefault="00B427A6" w:rsidP="009C6D5D">
            <w:pPr>
              <w:pStyle w:val="Tabletext"/>
              <w:jc w:val="center"/>
              <w:rPr>
                <w:b/>
                <w:bCs/>
                <w:sz w:val="18"/>
                <w:szCs w:val="18"/>
                <w:lang w:eastAsia="en-GB"/>
              </w:rPr>
            </w:pPr>
            <w:hyperlink r:id="rId65" w:history="1">
              <w:r w:rsidR="00423737" w:rsidRPr="002A7EEE">
                <w:rPr>
                  <w:rStyle w:val="Hyperlink"/>
                  <w:b/>
                  <w:bCs/>
                  <w:sz w:val="18"/>
                  <w:szCs w:val="18"/>
                  <w:lang w:eastAsia="en-GB"/>
                </w:rPr>
                <w:t>C21/62</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5C870ED"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6AA2F861"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1271D5E4" w14:textId="77777777" w:rsidR="00423737" w:rsidRPr="002A7EEE" w:rsidRDefault="00423737" w:rsidP="009C6D5D">
            <w:pPr>
              <w:pStyle w:val="Tabletext"/>
              <w:jc w:val="center"/>
              <w:rPr>
                <w:sz w:val="18"/>
                <w:szCs w:val="18"/>
                <w:lang w:eastAsia="en-GB"/>
              </w:rPr>
            </w:pPr>
            <w:r w:rsidRPr="002A7EEE">
              <w:rPr>
                <w:sz w:val="18"/>
                <w:szCs w:val="18"/>
                <w:lang w:eastAsia="en-GB"/>
              </w:rPr>
              <w:t>54</w:t>
            </w:r>
          </w:p>
        </w:tc>
        <w:tc>
          <w:tcPr>
            <w:tcW w:w="6740" w:type="dxa"/>
            <w:tcBorders>
              <w:top w:val="nil"/>
              <w:left w:val="nil"/>
              <w:bottom w:val="single" w:sz="4" w:space="0" w:color="auto"/>
              <w:right w:val="single" w:sz="4" w:space="0" w:color="auto"/>
            </w:tcBorders>
            <w:shd w:val="clear" w:color="auto" w:fill="auto"/>
            <w:vAlign w:val="center"/>
          </w:tcPr>
          <w:p w14:paraId="34275123"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Résultats de la CMR-19 ayant des incidences financières</w:t>
            </w:r>
          </w:p>
        </w:tc>
        <w:tc>
          <w:tcPr>
            <w:tcW w:w="1418" w:type="dxa"/>
            <w:tcBorders>
              <w:top w:val="nil"/>
              <w:left w:val="nil"/>
              <w:bottom w:val="single" w:sz="4" w:space="0" w:color="auto"/>
              <w:right w:val="single" w:sz="4" w:space="0" w:color="auto"/>
            </w:tcBorders>
            <w:shd w:val="clear" w:color="auto" w:fill="auto"/>
            <w:vAlign w:val="center"/>
          </w:tcPr>
          <w:p w14:paraId="6360863A" w14:textId="77777777" w:rsidR="00423737" w:rsidRPr="002A7EEE" w:rsidRDefault="00B427A6" w:rsidP="009C6D5D">
            <w:pPr>
              <w:pStyle w:val="Tabletext"/>
              <w:jc w:val="center"/>
              <w:rPr>
                <w:b/>
                <w:bCs/>
                <w:sz w:val="18"/>
                <w:szCs w:val="18"/>
                <w:lang w:eastAsia="en-GB"/>
              </w:rPr>
            </w:pPr>
            <w:hyperlink r:id="rId66" w:history="1">
              <w:r w:rsidR="00423737" w:rsidRPr="002A7EEE">
                <w:rPr>
                  <w:rStyle w:val="Hyperlink"/>
                  <w:b/>
                  <w:bCs/>
                  <w:sz w:val="18"/>
                  <w:szCs w:val="18"/>
                  <w:lang w:eastAsia="en-GB"/>
                </w:rPr>
                <w:t>C21/67</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90A4919"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729F085C" w14:textId="77777777" w:rsidTr="00430BA6">
        <w:trPr>
          <w:cantSplit/>
          <w:jc w:val="center"/>
        </w:trPr>
        <w:tc>
          <w:tcPr>
            <w:tcW w:w="484" w:type="dxa"/>
            <w:tcBorders>
              <w:top w:val="nil"/>
              <w:left w:val="single" w:sz="4" w:space="0" w:color="auto"/>
              <w:bottom w:val="single" w:sz="4" w:space="0" w:color="auto"/>
              <w:right w:val="single" w:sz="4" w:space="0" w:color="auto"/>
            </w:tcBorders>
            <w:shd w:val="clear" w:color="auto" w:fill="auto"/>
            <w:vAlign w:val="center"/>
          </w:tcPr>
          <w:p w14:paraId="091F9934" w14:textId="77777777" w:rsidR="00423737" w:rsidRPr="002A7EEE" w:rsidRDefault="00423737" w:rsidP="009C6D5D">
            <w:pPr>
              <w:pStyle w:val="Tabletext"/>
              <w:jc w:val="center"/>
              <w:rPr>
                <w:sz w:val="18"/>
                <w:szCs w:val="18"/>
                <w:lang w:eastAsia="en-GB"/>
              </w:rPr>
            </w:pPr>
            <w:r w:rsidRPr="002A7EEE">
              <w:rPr>
                <w:sz w:val="18"/>
                <w:szCs w:val="18"/>
                <w:lang w:eastAsia="en-GB"/>
              </w:rPr>
              <w:t>55</w:t>
            </w:r>
          </w:p>
        </w:tc>
        <w:tc>
          <w:tcPr>
            <w:tcW w:w="6740" w:type="dxa"/>
            <w:tcBorders>
              <w:top w:val="nil"/>
              <w:left w:val="nil"/>
              <w:bottom w:val="single" w:sz="4" w:space="0" w:color="auto"/>
              <w:right w:val="single" w:sz="4" w:space="0" w:color="auto"/>
            </w:tcBorders>
            <w:shd w:val="clear" w:color="auto" w:fill="auto"/>
            <w:vAlign w:val="center"/>
            <w:hideMark/>
          </w:tcPr>
          <w:p w14:paraId="1C450BF3" w14:textId="71F96842"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bCs/>
                <w:sz w:val="18"/>
                <w:szCs w:val="18"/>
                <w:lang w:eastAsia="en-GB"/>
              </w:rPr>
              <w:t>Rapport sur le recrutement d</w:t>
            </w:r>
            <w:r w:rsidR="00E53778">
              <w:rPr>
                <w:rFonts w:asciiTheme="minorHAnsi" w:hAnsiTheme="minorHAnsi" w:cstheme="minorHAnsi"/>
                <w:bCs/>
                <w:sz w:val="18"/>
                <w:szCs w:val="18"/>
                <w:lang w:eastAsia="en-GB"/>
              </w:rPr>
              <w:t>'</w:t>
            </w:r>
            <w:r w:rsidRPr="002A7EEE">
              <w:rPr>
                <w:rFonts w:asciiTheme="minorHAnsi" w:hAnsiTheme="minorHAnsi" w:cstheme="minorHAnsi"/>
                <w:bCs/>
                <w:sz w:val="18"/>
                <w:szCs w:val="18"/>
                <w:lang w:eastAsia="en-GB"/>
              </w:rPr>
              <w:t xml:space="preserve">un cabinet de conseil en gestion externe indépendant, comprenant des recommandations et diverses stratégies </w:t>
            </w:r>
            <w:r w:rsidRPr="002A7EEE">
              <w:rPr>
                <w:rFonts w:asciiTheme="minorHAnsi" w:hAnsiTheme="minorHAnsi" w:cstheme="minorHAnsi"/>
                <w:bCs/>
                <w:i/>
                <w:iCs/>
                <w:sz w:val="18"/>
                <w:szCs w:val="18"/>
                <w:lang w:eastAsia="en-GB"/>
              </w:rPr>
              <w:t xml:space="preserve">(point 3 du décide de </w:t>
            </w:r>
            <w:r w:rsidRPr="002A7EEE">
              <w:rPr>
                <w:rFonts w:asciiTheme="minorHAnsi" w:hAnsiTheme="minorHAnsi" w:cstheme="minorHAnsi"/>
                <w:i/>
                <w:iCs/>
                <w:sz w:val="18"/>
                <w:szCs w:val="18"/>
                <w:lang w:eastAsia="en-GB"/>
              </w:rPr>
              <w:t>Résolution 11 de la PP</w:t>
            </w:r>
            <w:r w:rsidRPr="002A7EEE">
              <w:rPr>
                <w:rFonts w:asciiTheme="minorHAnsi" w:hAnsiTheme="minorHAnsi" w:cstheme="minorHAnsi"/>
                <w:bCs/>
                <w:i/>
                <w:iCs/>
                <w:sz w:val="18"/>
                <w:szCs w:val="18"/>
                <w:lang w:eastAsia="en-GB"/>
              </w:rPr>
              <w:t>)</w:t>
            </w:r>
          </w:p>
        </w:tc>
        <w:tc>
          <w:tcPr>
            <w:tcW w:w="1418" w:type="dxa"/>
            <w:tcBorders>
              <w:top w:val="nil"/>
              <w:left w:val="nil"/>
              <w:bottom w:val="single" w:sz="4" w:space="0" w:color="auto"/>
              <w:right w:val="single" w:sz="4" w:space="0" w:color="auto"/>
            </w:tcBorders>
            <w:shd w:val="clear" w:color="auto" w:fill="auto"/>
            <w:noWrap/>
            <w:vAlign w:val="center"/>
            <w:hideMark/>
          </w:tcPr>
          <w:p w14:paraId="1FE83BA0" w14:textId="77777777" w:rsidR="00423737" w:rsidRPr="002A7EEE" w:rsidRDefault="00B427A6" w:rsidP="009C6D5D">
            <w:pPr>
              <w:pStyle w:val="Tabletext"/>
              <w:jc w:val="center"/>
              <w:rPr>
                <w:b/>
                <w:bCs/>
                <w:sz w:val="18"/>
                <w:szCs w:val="18"/>
                <w:lang w:eastAsia="en-GB"/>
              </w:rPr>
            </w:pPr>
            <w:hyperlink r:id="rId67" w:history="1">
              <w:r w:rsidR="00423737" w:rsidRPr="002A7EEE">
                <w:rPr>
                  <w:rStyle w:val="Hyperlink"/>
                  <w:b/>
                  <w:bCs/>
                  <w:sz w:val="18"/>
                  <w:szCs w:val="18"/>
                  <w:lang w:eastAsia="en-GB"/>
                </w:rPr>
                <w:t>C21/10</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B443481"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2F9464A2"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5A10A6E8" w14:textId="77777777" w:rsidR="00423737" w:rsidRPr="002A7EEE" w:rsidRDefault="00423737" w:rsidP="009C6D5D">
            <w:pPr>
              <w:pStyle w:val="Tabletext"/>
              <w:jc w:val="center"/>
              <w:rPr>
                <w:sz w:val="18"/>
                <w:szCs w:val="18"/>
                <w:lang w:eastAsia="en-GB"/>
              </w:rPr>
            </w:pPr>
            <w:r w:rsidRPr="002A7EEE">
              <w:rPr>
                <w:sz w:val="18"/>
                <w:szCs w:val="18"/>
                <w:lang w:eastAsia="en-GB"/>
              </w:rPr>
              <w:t>56</w:t>
            </w:r>
          </w:p>
        </w:tc>
        <w:tc>
          <w:tcPr>
            <w:tcW w:w="6740" w:type="dxa"/>
            <w:tcBorders>
              <w:top w:val="single" w:sz="4" w:space="0" w:color="auto"/>
              <w:left w:val="nil"/>
              <w:bottom w:val="single" w:sz="4" w:space="0" w:color="auto"/>
              <w:right w:val="single" w:sz="4" w:space="0" w:color="auto"/>
            </w:tcBorders>
            <w:shd w:val="clear" w:color="auto" w:fill="auto"/>
            <w:noWrap/>
            <w:vAlign w:val="center"/>
            <w:hideMark/>
          </w:tcPr>
          <w:p w14:paraId="4BE00B4A" w14:textId="0B2B3CAD"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Demandes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exonération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1DFD22" w14:textId="77777777" w:rsidR="00423737" w:rsidRPr="002A7EEE" w:rsidRDefault="00B427A6" w:rsidP="009C6D5D">
            <w:pPr>
              <w:pStyle w:val="Tabletext"/>
              <w:jc w:val="center"/>
              <w:rPr>
                <w:b/>
                <w:bCs/>
                <w:sz w:val="18"/>
                <w:szCs w:val="18"/>
                <w:lang w:eastAsia="en-GB"/>
              </w:rPr>
            </w:pPr>
            <w:hyperlink r:id="rId68" w:history="1">
              <w:r w:rsidR="00423737" w:rsidRPr="002A7EEE">
                <w:rPr>
                  <w:rStyle w:val="Hyperlink"/>
                  <w:b/>
                  <w:bCs/>
                  <w:sz w:val="18"/>
                  <w:szCs w:val="18"/>
                  <w:lang w:eastAsia="en-GB"/>
                </w:rPr>
                <w:t>C21/39</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284E6BB"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3A84647C"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6AE56661" w14:textId="77777777" w:rsidR="00423737" w:rsidRPr="002A7EEE" w:rsidRDefault="00423737" w:rsidP="009C6D5D">
            <w:pPr>
              <w:pStyle w:val="Tabletext"/>
              <w:jc w:val="center"/>
              <w:rPr>
                <w:sz w:val="18"/>
                <w:szCs w:val="18"/>
                <w:lang w:eastAsia="en-GB"/>
              </w:rPr>
            </w:pPr>
            <w:r w:rsidRPr="002A7EEE">
              <w:rPr>
                <w:sz w:val="18"/>
                <w:szCs w:val="18"/>
                <w:lang w:eastAsia="en-GB"/>
              </w:rPr>
              <w:t>57</w:t>
            </w:r>
          </w:p>
        </w:tc>
        <w:tc>
          <w:tcPr>
            <w:tcW w:w="6740" w:type="dxa"/>
            <w:tcBorders>
              <w:top w:val="nil"/>
              <w:left w:val="nil"/>
              <w:bottom w:val="single" w:sz="4" w:space="0" w:color="auto"/>
              <w:right w:val="single" w:sz="4" w:space="0" w:color="auto"/>
            </w:tcBorders>
            <w:shd w:val="clear" w:color="auto" w:fill="auto"/>
            <w:vAlign w:val="center"/>
            <w:hideMark/>
          </w:tcPr>
          <w:p w14:paraId="7D9574AC" w14:textId="28C91632"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Stratégie de coordination des efforts entre les trois Secteurs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Union (</w:t>
            </w:r>
            <w:r w:rsidRPr="002A7EEE">
              <w:rPr>
                <w:rFonts w:asciiTheme="minorHAnsi" w:hAnsiTheme="minorHAnsi" w:cstheme="minorHAnsi"/>
                <w:i/>
                <w:iCs/>
                <w:sz w:val="18"/>
                <w:szCs w:val="18"/>
                <w:lang w:eastAsia="en-GB"/>
              </w:rPr>
              <w:t>Résolution 191 de la PP</w:t>
            </w:r>
            <w:r w:rsidRPr="002A7EEE">
              <w:rPr>
                <w:rFonts w:asciiTheme="minorHAnsi" w:hAnsiTheme="minorHAnsi" w:cstheme="minorHAnsi"/>
                <w:sz w:val="18"/>
                <w:szCs w:val="18"/>
                <w:lang w:eastAsia="en-GB"/>
              </w:rPr>
              <w:t>)</w:t>
            </w:r>
          </w:p>
        </w:tc>
        <w:tc>
          <w:tcPr>
            <w:tcW w:w="1418" w:type="dxa"/>
            <w:tcBorders>
              <w:top w:val="nil"/>
              <w:left w:val="nil"/>
              <w:bottom w:val="single" w:sz="4" w:space="0" w:color="auto"/>
              <w:right w:val="single" w:sz="4" w:space="0" w:color="auto"/>
            </w:tcBorders>
            <w:shd w:val="clear" w:color="auto" w:fill="auto"/>
            <w:vAlign w:val="center"/>
            <w:hideMark/>
          </w:tcPr>
          <w:p w14:paraId="69A9D7CD" w14:textId="77777777" w:rsidR="00423737" w:rsidRPr="002A7EEE" w:rsidRDefault="00B427A6" w:rsidP="009C6D5D">
            <w:pPr>
              <w:pStyle w:val="Tabletext"/>
              <w:jc w:val="center"/>
              <w:rPr>
                <w:b/>
                <w:bCs/>
                <w:sz w:val="18"/>
                <w:szCs w:val="18"/>
                <w:lang w:eastAsia="en-GB"/>
              </w:rPr>
            </w:pPr>
            <w:hyperlink r:id="rId69" w:history="1">
              <w:r w:rsidR="00423737" w:rsidRPr="002A7EEE">
                <w:rPr>
                  <w:rStyle w:val="Hyperlink"/>
                  <w:b/>
                  <w:bCs/>
                  <w:sz w:val="18"/>
                  <w:szCs w:val="18"/>
                  <w:lang w:eastAsia="en-GB"/>
                </w:rPr>
                <w:t>C21/38</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3C8D447" w14:textId="77777777" w:rsidR="00423737" w:rsidRPr="002A7EEE" w:rsidRDefault="00423737" w:rsidP="009C6D5D">
            <w:pPr>
              <w:pStyle w:val="Tabletext"/>
              <w:jc w:val="center"/>
              <w:rPr>
                <w:sz w:val="18"/>
                <w:szCs w:val="18"/>
                <w:lang w:eastAsia="en-GB"/>
              </w:rPr>
            </w:pPr>
            <w:r w:rsidRPr="002A7EEE">
              <w:rPr>
                <w:b/>
                <w:bCs/>
                <w:sz w:val="18"/>
                <w:szCs w:val="18"/>
                <w:lang w:eastAsia="en-GB"/>
              </w:rPr>
              <w:t>1</w:t>
            </w:r>
          </w:p>
        </w:tc>
      </w:tr>
      <w:tr w:rsidR="00423737" w:rsidRPr="002A7EEE" w14:paraId="13F62553"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040FC7D6" w14:textId="77777777" w:rsidR="00423737" w:rsidRPr="002A7EEE" w:rsidRDefault="00423737" w:rsidP="009C6D5D">
            <w:pPr>
              <w:pStyle w:val="Tabletext"/>
              <w:jc w:val="center"/>
              <w:rPr>
                <w:sz w:val="18"/>
                <w:szCs w:val="18"/>
                <w:lang w:eastAsia="en-GB"/>
              </w:rPr>
            </w:pPr>
            <w:r w:rsidRPr="002A7EEE">
              <w:rPr>
                <w:sz w:val="18"/>
                <w:szCs w:val="18"/>
                <w:lang w:eastAsia="en-GB"/>
              </w:rPr>
              <w:t>58</w:t>
            </w:r>
          </w:p>
        </w:tc>
        <w:tc>
          <w:tcPr>
            <w:tcW w:w="6740" w:type="dxa"/>
            <w:tcBorders>
              <w:top w:val="nil"/>
              <w:left w:val="nil"/>
              <w:bottom w:val="single" w:sz="4" w:space="0" w:color="auto"/>
              <w:right w:val="single" w:sz="4" w:space="0" w:color="auto"/>
            </w:tcBorders>
            <w:shd w:val="clear" w:color="000000" w:fill="FFFFFF"/>
            <w:vAlign w:val="center"/>
            <w:hideMark/>
          </w:tcPr>
          <w:p w14:paraId="6C720799" w14:textId="599EAD2F"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Rapport sur la durabilité environnementale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UIT</w:t>
            </w:r>
          </w:p>
        </w:tc>
        <w:tc>
          <w:tcPr>
            <w:tcW w:w="1418" w:type="dxa"/>
            <w:tcBorders>
              <w:top w:val="nil"/>
              <w:left w:val="nil"/>
              <w:bottom w:val="single" w:sz="4" w:space="0" w:color="auto"/>
              <w:right w:val="single" w:sz="4" w:space="0" w:color="auto"/>
            </w:tcBorders>
            <w:shd w:val="clear" w:color="000000" w:fill="FFFFFF"/>
            <w:noWrap/>
            <w:vAlign w:val="center"/>
          </w:tcPr>
          <w:p w14:paraId="6D9A74E3" w14:textId="77777777" w:rsidR="00423737" w:rsidRPr="002A7EEE" w:rsidRDefault="00B427A6" w:rsidP="009C6D5D">
            <w:pPr>
              <w:pStyle w:val="Tabletext"/>
              <w:jc w:val="center"/>
              <w:rPr>
                <w:b/>
                <w:bCs/>
                <w:sz w:val="18"/>
                <w:szCs w:val="18"/>
                <w:lang w:eastAsia="en-GB"/>
              </w:rPr>
            </w:pPr>
            <w:hyperlink r:id="rId70" w:history="1">
              <w:r w:rsidR="00423737" w:rsidRPr="002A7EEE">
                <w:rPr>
                  <w:rStyle w:val="Hyperlink"/>
                  <w:b/>
                  <w:bCs/>
                  <w:sz w:val="18"/>
                  <w:szCs w:val="18"/>
                  <w:lang w:eastAsia="en-GB"/>
                </w:rPr>
                <w:t>C21/68</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9830F7D"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1CADFFF5"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65029EBE" w14:textId="77777777" w:rsidR="00423737" w:rsidRPr="002A7EEE" w:rsidRDefault="00423737" w:rsidP="009C6D5D">
            <w:pPr>
              <w:pStyle w:val="Tabletext"/>
              <w:jc w:val="center"/>
              <w:rPr>
                <w:sz w:val="18"/>
                <w:szCs w:val="18"/>
                <w:lang w:eastAsia="en-GB"/>
              </w:rPr>
            </w:pPr>
            <w:r w:rsidRPr="002A7EEE">
              <w:rPr>
                <w:sz w:val="18"/>
                <w:szCs w:val="18"/>
                <w:lang w:eastAsia="en-GB"/>
              </w:rPr>
              <w:t>59</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3090C4B4" w14:textId="1D8287AE"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Version mise à jour de la politique de l</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UIT en matière d</w:t>
            </w:r>
            <w:r w:rsidR="00E53778">
              <w:rPr>
                <w:rFonts w:asciiTheme="minorHAnsi" w:hAnsiTheme="minorHAnsi" w:cstheme="minorHAnsi"/>
                <w:sz w:val="18"/>
                <w:szCs w:val="18"/>
                <w:lang w:eastAsia="en-GB"/>
              </w:rPr>
              <w:t>'</w:t>
            </w:r>
            <w:r w:rsidRPr="002A7EEE">
              <w:rPr>
                <w:rFonts w:asciiTheme="minorHAnsi" w:hAnsiTheme="minorHAnsi" w:cstheme="minorHAnsi"/>
                <w:sz w:val="18"/>
                <w:szCs w:val="18"/>
                <w:lang w:eastAsia="en-GB"/>
              </w:rPr>
              <w:t>accessibilité</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D6F386" w14:textId="77777777" w:rsidR="00423737" w:rsidRPr="002A7EEE" w:rsidRDefault="00B427A6" w:rsidP="009C6D5D">
            <w:pPr>
              <w:pStyle w:val="Tabletext"/>
              <w:jc w:val="center"/>
              <w:rPr>
                <w:b/>
                <w:bCs/>
                <w:sz w:val="18"/>
                <w:szCs w:val="18"/>
                <w:lang w:eastAsia="en-GB"/>
              </w:rPr>
            </w:pPr>
            <w:hyperlink r:id="rId71" w:history="1">
              <w:r w:rsidR="00423737" w:rsidRPr="002A7EEE">
                <w:rPr>
                  <w:rStyle w:val="Hyperlink"/>
                  <w:b/>
                  <w:bCs/>
                  <w:sz w:val="18"/>
                  <w:szCs w:val="18"/>
                  <w:lang w:eastAsia="en-GB"/>
                </w:rPr>
                <w:t>C21/72</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49361F"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r w:rsidR="00423737" w:rsidRPr="002A7EEE" w14:paraId="26345379"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A41126C" w14:textId="77777777" w:rsidR="00423737" w:rsidRPr="002A7EEE" w:rsidRDefault="00423737" w:rsidP="009C6D5D">
            <w:pPr>
              <w:pStyle w:val="Tabletext"/>
              <w:jc w:val="center"/>
              <w:rPr>
                <w:sz w:val="18"/>
                <w:szCs w:val="18"/>
                <w:lang w:eastAsia="en-GB"/>
              </w:rPr>
            </w:pPr>
            <w:r w:rsidRPr="002A7EEE">
              <w:rPr>
                <w:sz w:val="18"/>
                <w:szCs w:val="18"/>
                <w:lang w:eastAsia="en-GB"/>
              </w:rPr>
              <w:t>60</w:t>
            </w:r>
          </w:p>
        </w:tc>
        <w:tc>
          <w:tcPr>
            <w:tcW w:w="6740" w:type="dxa"/>
            <w:tcBorders>
              <w:top w:val="single" w:sz="4" w:space="0" w:color="auto"/>
              <w:left w:val="nil"/>
              <w:bottom w:val="single" w:sz="4" w:space="0" w:color="auto"/>
              <w:right w:val="single" w:sz="4" w:space="0" w:color="auto"/>
            </w:tcBorders>
            <w:shd w:val="clear" w:color="auto" w:fill="auto"/>
            <w:vAlign w:val="center"/>
            <w:hideMark/>
          </w:tcPr>
          <w:p w14:paraId="0D6CB0D3" w14:textId="77777777" w:rsidR="00423737" w:rsidRPr="002A7EEE" w:rsidRDefault="00423737" w:rsidP="009C6D5D">
            <w:pPr>
              <w:pStyle w:val="Tabletext"/>
              <w:rPr>
                <w:rFonts w:asciiTheme="minorHAnsi" w:hAnsiTheme="minorHAnsi" w:cstheme="minorHAnsi"/>
                <w:sz w:val="18"/>
                <w:szCs w:val="18"/>
                <w:lang w:eastAsia="en-GB"/>
              </w:rPr>
            </w:pPr>
            <w:r w:rsidRPr="002A7EEE">
              <w:rPr>
                <w:rFonts w:asciiTheme="minorHAnsi" w:hAnsiTheme="minorHAnsi" w:cstheme="minorHAnsi"/>
                <w:sz w:val="18"/>
                <w:szCs w:val="18"/>
                <w:lang w:eastAsia="en-GB"/>
              </w:rPr>
              <w:t>Situation liée au COVID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C83E3C" w14:textId="77777777" w:rsidR="00423737" w:rsidRPr="002A7EEE" w:rsidRDefault="00B427A6" w:rsidP="009C6D5D">
            <w:pPr>
              <w:pStyle w:val="Tabletext"/>
              <w:jc w:val="center"/>
              <w:rPr>
                <w:b/>
                <w:bCs/>
                <w:sz w:val="18"/>
                <w:szCs w:val="18"/>
                <w:lang w:eastAsia="en-GB"/>
              </w:rPr>
            </w:pPr>
            <w:hyperlink r:id="rId72" w:history="1">
              <w:r w:rsidR="00423737" w:rsidRPr="002A7EEE">
                <w:rPr>
                  <w:rStyle w:val="Hyperlink"/>
                  <w:b/>
                  <w:bCs/>
                  <w:sz w:val="18"/>
                  <w:szCs w:val="18"/>
                  <w:lang w:eastAsia="en-GB"/>
                </w:rPr>
                <w:t>C21/74</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084463"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1</w:t>
            </w:r>
          </w:p>
        </w:tc>
      </w:tr>
    </w:tbl>
    <w:p w14:paraId="407303B3" w14:textId="77777777" w:rsidR="00423737" w:rsidRPr="002A7EEE" w:rsidRDefault="00423737" w:rsidP="009C6D5D">
      <w:pPr>
        <w:spacing w:line="240" w:lineRule="auto"/>
        <w:jc w:val="left"/>
      </w:pPr>
    </w:p>
    <w:p w14:paraId="1761D374" w14:textId="77777777" w:rsidR="00423737" w:rsidRPr="002A7EEE" w:rsidRDefault="00423737" w:rsidP="009C6D5D">
      <w:pPr>
        <w:spacing w:line="240" w:lineRule="auto"/>
      </w:pPr>
      <w:r w:rsidRPr="002A7EEE">
        <w:br w:type="page"/>
      </w:r>
    </w:p>
    <w:p w14:paraId="1EF9D26C" w14:textId="7E54A140" w:rsidR="00423737" w:rsidRPr="002A7EEE" w:rsidRDefault="00423737" w:rsidP="009C6D5D">
      <w:pPr>
        <w:pStyle w:val="AnnexNoTitle"/>
        <w:spacing w:after="240" w:line="240" w:lineRule="auto"/>
        <w:rPr>
          <w:szCs w:val="24"/>
        </w:rPr>
      </w:pPr>
      <w:bookmarkStart w:id="8" w:name="Annexe3"/>
      <w:r w:rsidRPr="002A7EEE">
        <w:lastRenderedPageBreak/>
        <w:t>ANNEXE 3</w:t>
      </w:r>
      <w:bookmarkEnd w:id="8"/>
      <w:r w:rsidRPr="002A7EEE">
        <w:br/>
      </w:r>
      <w:r w:rsidRPr="002A7EEE">
        <w:br/>
        <w:t>Points qu</w:t>
      </w:r>
      <w:r w:rsidR="00E53778">
        <w:t>'</w:t>
      </w:r>
      <w:r w:rsidRPr="002A7EEE">
        <w:t>il est proposé de reporter à une future réunion</w:t>
      </w:r>
    </w:p>
    <w:tbl>
      <w:tblPr>
        <w:tblW w:w="9918" w:type="dxa"/>
        <w:jc w:val="center"/>
        <w:tblLayout w:type="fixed"/>
        <w:tblLook w:val="04A0" w:firstRow="1" w:lastRow="0" w:firstColumn="1" w:lastColumn="0" w:noHBand="0" w:noVBand="1"/>
      </w:tblPr>
      <w:tblGrid>
        <w:gridCol w:w="484"/>
        <w:gridCol w:w="6882"/>
        <w:gridCol w:w="1418"/>
        <w:gridCol w:w="1134"/>
      </w:tblGrid>
      <w:tr w:rsidR="00423737" w:rsidRPr="002A7EEE" w14:paraId="0EB5A90E" w14:textId="77777777" w:rsidTr="00430BA6">
        <w:trPr>
          <w:cantSplit/>
          <w:tblHeader/>
          <w:jc w:val="center"/>
        </w:trPr>
        <w:tc>
          <w:tcPr>
            <w:tcW w:w="484" w:type="dxa"/>
            <w:tcBorders>
              <w:top w:val="single" w:sz="4" w:space="0" w:color="auto"/>
              <w:left w:val="single" w:sz="4" w:space="0" w:color="auto"/>
              <w:bottom w:val="single" w:sz="4" w:space="0" w:color="auto"/>
              <w:right w:val="single" w:sz="4" w:space="0" w:color="auto"/>
            </w:tcBorders>
            <w:shd w:val="clear" w:color="auto" w:fill="D9D9D9"/>
            <w:vAlign w:val="center"/>
          </w:tcPr>
          <w:p w14:paraId="710A456F" w14:textId="77777777" w:rsidR="00423737" w:rsidRPr="002A7EEE" w:rsidRDefault="00423737" w:rsidP="009C6D5D">
            <w:pPr>
              <w:pStyle w:val="Tablehead"/>
              <w:rPr>
                <w:bCs/>
                <w:sz w:val="18"/>
                <w:lang w:eastAsia="en-GB"/>
              </w:rPr>
            </w:pPr>
            <w:bookmarkStart w:id="9" w:name="_Hlk66897061"/>
          </w:p>
        </w:tc>
        <w:tc>
          <w:tcPr>
            <w:tcW w:w="6882" w:type="dxa"/>
            <w:tcBorders>
              <w:top w:val="single" w:sz="4" w:space="0" w:color="auto"/>
              <w:left w:val="nil"/>
              <w:bottom w:val="single" w:sz="4" w:space="0" w:color="auto"/>
              <w:right w:val="single" w:sz="4" w:space="0" w:color="auto"/>
            </w:tcBorders>
            <w:shd w:val="clear" w:color="auto" w:fill="D9D9D9"/>
            <w:vAlign w:val="center"/>
          </w:tcPr>
          <w:p w14:paraId="3216A91D" w14:textId="77777777" w:rsidR="00423737" w:rsidRPr="002A7EEE" w:rsidRDefault="00423737" w:rsidP="009C6D5D">
            <w:pPr>
              <w:pStyle w:val="Tablehead"/>
              <w:rPr>
                <w:bCs/>
                <w:sz w:val="18"/>
                <w:lang w:eastAsia="en-GB"/>
              </w:rPr>
            </w:pPr>
            <w:r w:rsidRPr="002A7EEE">
              <w:rPr>
                <w:bCs/>
                <w:sz w:val="18"/>
                <w:lang w:eastAsia="en-GB"/>
              </w:rPr>
              <w:t>Titre</w:t>
            </w:r>
          </w:p>
        </w:tc>
        <w:tc>
          <w:tcPr>
            <w:tcW w:w="1418" w:type="dxa"/>
            <w:tcBorders>
              <w:top w:val="single" w:sz="4" w:space="0" w:color="auto"/>
              <w:left w:val="nil"/>
              <w:bottom w:val="single" w:sz="4" w:space="0" w:color="auto"/>
              <w:right w:val="single" w:sz="4" w:space="0" w:color="auto"/>
            </w:tcBorders>
            <w:shd w:val="clear" w:color="auto" w:fill="D9D9D9"/>
            <w:noWrap/>
            <w:vAlign w:val="center"/>
          </w:tcPr>
          <w:p w14:paraId="2A6285B1" w14:textId="77777777" w:rsidR="00423737" w:rsidRPr="002A7EEE" w:rsidRDefault="00423737" w:rsidP="009C6D5D">
            <w:pPr>
              <w:pStyle w:val="Tablehead"/>
              <w:rPr>
                <w:bCs/>
                <w:sz w:val="18"/>
                <w:lang w:eastAsia="en-GB"/>
              </w:rPr>
            </w:pPr>
            <w:r w:rsidRPr="002A7EEE">
              <w:rPr>
                <w:bCs/>
                <w:sz w:val="18"/>
                <w:lang w:eastAsia="en-GB"/>
              </w:rPr>
              <w:t>Doc. N°</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20AFAE12" w14:textId="77777777" w:rsidR="00423737" w:rsidRPr="002A7EEE" w:rsidRDefault="00423737" w:rsidP="009C6D5D">
            <w:pPr>
              <w:pStyle w:val="Tablehead"/>
              <w:rPr>
                <w:bCs/>
                <w:sz w:val="18"/>
                <w:lang w:eastAsia="en-GB"/>
              </w:rPr>
            </w:pPr>
            <w:r w:rsidRPr="002A7EEE">
              <w:rPr>
                <w:bCs/>
                <w:sz w:val="18"/>
                <w:szCs w:val="20"/>
                <w:lang w:eastAsia="en-GB"/>
              </w:rPr>
              <w:t>FINAL</w:t>
            </w:r>
          </w:p>
        </w:tc>
      </w:tr>
      <w:tr w:rsidR="00423737" w:rsidRPr="002A7EEE" w14:paraId="1E49CE6E"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6A23409F" w14:textId="77777777" w:rsidR="00423737" w:rsidRPr="002A7EEE" w:rsidRDefault="00423737" w:rsidP="009C6D5D">
            <w:pPr>
              <w:pStyle w:val="Tabletext"/>
              <w:jc w:val="center"/>
              <w:rPr>
                <w:sz w:val="18"/>
                <w:szCs w:val="18"/>
                <w:lang w:eastAsia="en-GB"/>
              </w:rPr>
            </w:pPr>
            <w:r w:rsidRPr="002A7EEE">
              <w:rPr>
                <w:sz w:val="18"/>
                <w:szCs w:val="18"/>
                <w:lang w:eastAsia="en-GB"/>
              </w:rPr>
              <w:t>1</w:t>
            </w:r>
          </w:p>
        </w:tc>
        <w:tc>
          <w:tcPr>
            <w:tcW w:w="6882" w:type="dxa"/>
            <w:tcBorders>
              <w:top w:val="single" w:sz="4" w:space="0" w:color="auto"/>
              <w:left w:val="nil"/>
              <w:bottom w:val="single" w:sz="4" w:space="0" w:color="auto"/>
              <w:right w:val="single" w:sz="4" w:space="0" w:color="auto"/>
            </w:tcBorders>
            <w:shd w:val="clear" w:color="auto" w:fill="auto"/>
            <w:vAlign w:val="center"/>
          </w:tcPr>
          <w:p w14:paraId="6572F8FD" w14:textId="7AE7A8B3" w:rsidR="00423737" w:rsidRPr="002A7EEE" w:rsidRDefault="00423737" w:rsidP="009C6D5D">
            <w:pPr>
              <w:pStyle w:val="Tabletext"/>
              <w:rPr>
                <w:sz w:val="18"/>
                <w:szCs w:val="18"/>
                <w:lang w:eastAsia="en-GB"/>
              </w:rPr>
            </w:pPr>
            <w:r w:rsidRPr="002A7EEE">
              <w:rPr>
                <w:sz w:val="18"/>
                <w:szCs w:val="18"/>
                <w:lang w:eastAsia="en-GB"/>
              </w:rPr>
              <w:t>Activités de l</w:t>
            </w:r>
            <w:r w:rsidR="00E53778">
              <w:rPr>
                <w:sz w:val="18"/>
                <w:szCs w:val="18"/>
                <w:lang w:eastAsia="en-GB"/>
              </w:rPr>
              <w:t>'</w:t>
            </w:r>
            <w:r w:rsidRPr="002A7EEE">
              <w:rPr>
                <w:sz w:val="18"/>
                <w:szCs w:val="18"/>
                <w:lang w:eastAsia="en-GB"/>
              </w:rPr>
              <w:t xml:space="preserve">UIT liées à </w:t>
            </w:r>
            <w:proofErr w:type="gramStart"/>
            <w:r w:rsidRPr="002A7EEE">
              <w:rPr>
                <w:sz w:val="18"/>
                <w:szCs w:val="18"/>
                <w:lang w:eastAsia="en-GB"/>
              </w:rPr>
              <w:t>l</w:t>
            </w:r>
            <w:r w:rsidR="00E53778">
              <w:rPr>
                <w:sz w:val="18"/>
                <w:szCs w:val="18"/>
                <w:lang w:eastAsia="en-GB"/>
              </w:rPr>
              <w:t>'</w:t>
            </w:r>
            <w:r w:rsidRPr="002A7EEE">
              <w:rPr>
                <w:sz w:val="18"/>
                <w:szCs w:val="18"/>
                <w:lang w:eastAsia="en-GB"/>
              </w:rPr>
              <w:t>Internet:</w:t>
            </w:r>
            <w:proofErr w:type="gramEnd"/>
            <w:r w:rsidRPr="002A7EEE">
              <w:rPr>
                <w:sz w:val="18"/>
                <w:szCs w:val="18"/>
                <w:lang w:eastAsia="en-GB"/>
              </w:rPr>
              <w:t xml:space="preserve"> </w:t>
            </w:r>
            <w:r w:rsidRPr="002A7EEE">
              <w:rPr>
                <w:iCs/>
                <w:sz w:val="18"/>
                <w:szCs w:val="18"/>
                <w:lang w:eastAsia="en-GB"/>
              </w:rPr>
              <w:t>Résolutions 101, 102, 133 et 180 de la PP</w:t>
            </w:r>
            <w:r w:rsidRPr="002A7EEE">
              <w:rPr>
                <w:i/>
                <w:iCs/>
                <w:sz w:val="18"/>
                <w:szCs w:val="18"/>
                <w:lang w:eastAsia="en-GB"/>
              </w:rPr>
              <w:t xml:space="preserve"> (y compris le point 1 du charge le Conseil de la Résolution 102)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C6EAF7" w14:textId="77777777" w:rsidR="00423737" w:rsidRPr="002A7EEE" w:rsidRDefault="00B427A6" w:rsidP="009C6D5D">
            <w:pPr>
              <w:pStyle w:val="Tabletext"/>
              <w:jc w:val="center"/>
              <w:rPr>
                <w:b/>
                <w:bCs/>
                <w:sz w:val="18"/>
                <w:szCs w:val="18"/>
                <w:lang w:eastAsia="en-GB"/>
              </w:rPr>
            </w:pPr>
            <w:hyperlink r:id="rId73" w:history="1">
              <w:r w:rsidR="00423737" w:rsidRPr="002A7EEE">
                <w:rPr>
                  <w:rStyle w:val="Hyperlink"/>
                  <w:b/>
                  <w:bCs/>
                  <w:sz w:val="18"/>
                  <w:szCs w:val="18"/>
                  <w:lang w:eastAsia="en-GB"/>
                </w:rPr>
                <w:t>C21/33</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30AC2C"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6B7E938B" w14:textId="77777777" w:rsidTr="00430BA6">
        <w:trPr>
          <w:cantSplit/>
          <w:jc w:val="center"/>
        </w:trPr>
        <w:tc>
          <w:tcPr>
            <w:tcW w:w="484" w:type="dxa"/>
            <w:tcBorders>
              <w:top w:val="single" w:sz="4" w:space="0" w:color="auto"/>
              <w:left w:val="single" w:sz="4" w:space="0" w:color="auto"/>
              <w:bottom w:val="single" w:sz="4" w:space="0" w:color="auto"/>
              <w:right w:val="single" w:sz="4" w:space="0" w:color="auto"/>
            </w:tcBorders>
            <w:vAlign w:val="center"/>
          </w:tcPr>
          <w:p w14:paraId="10811F84" w14:textId="77777777" w:rsidR="00423737" w:rsidRPr="002A7EEE" w:rsidRDefault="00423737" w:rsidP="009C6D5D">
            <w:pPr>
              <w:pStyle w:val="Tabletext"/>
              <w:jc w:val="center"/>
              <w:rPr>
                <w:sz w:val="18"/>
                <w:szCs w:val="18"/>
                <w:lang w:eastAsia="en-GB"/>
              </w:rPr>
            </w:pPr>
            <w:r w:rsidRPr="002A7EEE">
              <w:rPr>
                <w:sz w:val="18"/>
                <w:szCs w:val="18"/>
                <w:lang w:eastAsia="en-GB"/>
              </w:rPr>
              <w:t>2</w:t>
            </w:r>
          </w:p>
        </w:tc>
        <w:tc>
          <w:tcPr>
            <w:tcW w:w="6882" w:type="dxa"/>
            <w:tcBorders>
              <w:top w:val="single" w:sz="4" w:space="0" w:color="auto"/>
              <w:left w:val="nil"/>
              <w:bottom w:val="single" w:sz="4" w:space="0" w:color="auto"/>
              <w:right w:val="single" w:sz="4" w:space="0" w:color="auto"/>
            </w:tcBorders>
            <w:shd w:val="clear" w:color="auto" w:fill="auto"/>
            <w:vAlign w:val="center"/>
          </w:tcPr>
          <w:p w14:paraId="44A2BE5B" w14:textId="43B7FFB4" w:rsidR="00423737" w:rsidRPr="002A7EEE" w:rsidRDefault="00423737" w:rsidP="009C6D5D">
            <w:pPr>
              <w:pStyle w:val="Tabletext"/>
              <w:rPr>
                <w:sz w:val="18"/>
                <w:szCs w:val="18"/>
                <w:lang w:eastAsia="en-GB"/>
              </w:rPr>
            </w:pPr>
            <w:r w:rsidRPr="002A7EEE">
              <w:rPr>
                <w:sz w:val="18"/>
                <w:szCs w:val="18"/>
                <w:lang w:eastAsia="en-GB"/>
              </w:rPr>
              <w:t>Activités de l</w:t>
            </w:r>
            <w:r w:rsidR="00E53778">
              <w:rPr>
                <w:sz w:val="18"/>
                <w:szCs w:val="18"/>
                <w:lang w:eastAsia="en-GB"/>
              </w:rPr>
              <w:t>'</w:t>
            </w:r>
            <w:r w:rsidRPr="002A7EEE">
              <w:rPr>
                <w:sz w:val="18"/>
                <w:szCs w:val="18"/>
                <w:lang w:eastAsia="en-GB"/>
              </w:rPr>
              <w:t>UIT concernant le renforcement du rôle de l</w:t>
            </w:r>
            <w:r w:rsidR="00E53778">
              <w:rPr>
                <w:sz w:val="18"/>
                <w:szCs w:val="18"/>
                <w:lang w:eastAsia="en-GB"/>
              </w:rPr>
              <w:t>'</w:t>
            </w:r>
            <w:r w:rsidRPr="002A7EEE">
              <w:rPr>
                <w:sz w:val="18"/>
                <w:szCs w:val="18"/>
                <w:lang w:eastAsia="en-GB"/>
              </w:rPr>
              <w:t>Union dans l</w:t>
            </w:r>
            <w:r w:rsidR="00E53778">
              <w:rPr>
                <w:sz w:val="18"/>
                <w:szCs w:val="18"/>
                <w:lang w:eastAsia="en-GB"/>
              </w:rPr>
              <w:t>'</w:t>
            </w:r>
            <w:r w:rsidRPr="002A7EEE">
              <w:rPr>
                <w:sz w:val="18"/>
                <w:szCs w:val="18"/>
                <w:lang w:eastAsia="en-GB"/>
              </w:rPr>
              <w:t>instauration de la confiance et de la sécurité dans l</w:t>
            </w:r>
            <w:r w:rsidR="00E53778">
              <w:rPr>
                <w:sz w:val="18"/>
                <w:szCs w:val="18"/>
                <w:lang w:eastAsia="en-GB"/>
              </w:rPr>
              <w:t>'</w:t>
            </w:r>
            <w:r w:rsidRPr="002A7EEE">
              <w:rPr>
                <w:sz w:val="18"/>
                <w:szCs w:val="18"/>
                <w:lang w:eastAsia="en-GB"/>
              </w:rPr>
              <w:t>utilisation des TIC (</w:t>
            </w:r>
            <w:r w:rsidRPr="002A7EEE">
              <w:rPr>
                <w:i/>
                <w:iCs/>
                <w:sz w:val="18"/>
                <w:szCs w:val="18"/>
                <w:lang w:eastAsia="en-GB"/>
              </w:rPr>
              <w:t>Résolutions 130 et 174 de la PP</w:t>
            </w:r>
            <w:r w:rsidRPr="002A7EEE">
              <w:rPr>
                <w:sz w:val="18"/>
                <w:szCs w:val="18"/>
                <w:lang w:eastAsia="en-GB"/>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6D73C3" w14:textId="77777777" w:rsidR="00423737" w:rsidRPr="002A7EEE" w:rsidRDefault="00B427A6" w:rsidP="009C6D5D">
            <w:pPr>
              <w:pStyle w:val="Tabletext"/>
              <w:jc w:val="center"/>
              <w:rPr>
                <w:b/>
                <w:bCs/>
                <w:sz w:val="18"/>
                <w:szCs w:val="18"/>
                <w:lang w:eastAsia="en-GB"/>
              </w:rPr>
            </w:pPr>
            <w:hyperlink r:id="rId74" w:history="1">
              <w:r w:rsidR="00423737" w:rsidRPr="002A7EEE">
                <w:rPr>
                  <w:rStyle w:val="Hyperlink"/>
                  <w:b/>
                  <w:bCs/>
                  <w:sz w:val="18"/>
                  <w:szCs w:val="18"/>
                  <w:lang w:eastAsia="en-GB"/>
                </w:rPr>
                <w:t>C21/18</w:t>
              </w:r>
            </w:hyperlink>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EDD5A" w14:textId="77777777" w:rsidR="00423737" w:rsidRPr="002A7EEE" w:rsidRDefault="00423737" w:rsidP="009C6D5D">
            <w:pPr>
              <w:pStyle w:val="Tabletext"/>
              <w:jc w:val="center"/>
              <w:rPr>
                <w:sz w:val="18"/>
                <w:szCs w:val="18"/>
                <w:lang w:eastAsia="en-GB"/>
              </w:rPr>
            </w:pPr>
            <w:r w:rsidRPr="002A7EEE">
              <w:rPr>
                <w:b/>
                <w:bCs/>
                <w:sz w:val="18"/>
                <w:szCs w:val="18"/>
                <w:lang w:eastAsia="en-GB"/>
              </w:rPr>
              <w:t>2</w:t>
            </w:r>
          </w:p>
        </w:tc>
      </w:tr>
      <w:tr w:rsidR="00423737" w:rsidRPr="002A7EEE" w14:paraId="4BD18A7D"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71EF3121" w14:textId="77777777" w:rsidR="00423737" w:rsidRPr="002A7EEE" w:rsidRDefault="00423737" w:rsidP="009C6D5D">
            <w:pPr>
              <w:pStyle w:val="Tabletext"/>
              <w:jc w:val="center"/>
              <w:rPr>
                <w:sz w:val="18"/>
                <w:szCs w:val="18"/>
                <w:lang w:eastAsia="en-GB"/>
              </w:rPr>
            </w:pPr>
            <w:r w:rsidRPr="002A7EEE">
              <w:rPr>
                <w:sz w:val="18"/>
                <w:szCs w:val="18"/>
                <w:lang w:eastAsia="en-GB"/>
              </w:rPr>
              <w:t>3</w:t>
            </w:r>
          </w:p>
        </w:tc>
        <w:tc>
          <w:tcPr>
            <w:tcW w:w="6882" w:type="dxa"/>
            <w:tcBorders>
              <w:top w:val="nil"/>
              <w:left w:val="nil"/>
              <w:bottom w:val="single" w:sz="4" w:space="0" w:color="auto"/>
              <w:right w:val="single" w:sz="4" w:space="0" w:color="auto"/>
            </w:tcBorders>
            <w:shd w:val="clear" w:color="auto" w:fill="auto"/>
            <w:vAlign w:val="center"/>
          </w:tcPr>
          <w:p w14:paraId="003CC617" w14:textId="2787F0DD" w:rsidR="00423737" w:rsidRPr="002A7EEE" w:rsidRDefault="00423737" w:rsidP="009C6D5D">
            <w:pPr>
              <w:pStyle w:val="Tabletext"/>
              <w:rPr>
                <w:sz w:val="18"/>
                <w:szCs w:val="18"/>
                <w:lang w:eastAsia="en-GB"/>
              </w:rPr>
            </w:pPr>
            <w:r w:rsidRPr="002A7EEE">
              <w:rPr>
                <w:sz w:val="18"/>
                <w:szCs w:val="18"/>
                <w:lang w:eastAsia="en-GB"/>
              </w:rPr>
              <w:t>Activités de l</w:t>
            </w:r>
            <w:r w:rsidR="00E53778">
              <w:rPr>
                <w:sz w:val="18"/>
                <w:szCs w:val="18"/>
                <w:lang w:eastAsia="en-GB"/>
              </w:rPr>
              <w:t>'</w:t>
            </w:r>
            <w:r w:rsidRPr="002A7EEE">
              <w:rPr>
                <w:sz w:val="18"/>
                <w:szCs w:val="18"/>
                <w:lang w:eastAsia="en-GB"/>
              </w:rPr>
              <w:t>UIT relatives à la Résolution 70 (Rév. Dubaï, 2018) de la PP</w:t>
            </w:r>
          </w:p>
        </w:tc>
        <w:tc>
          <w:tcPr>
            <w:tcW w:w="1418" w:type="dxa"/>
            <w:tcBorders>
              <w:top w:val="nil"/>
              <w:left w:val="nil"/>
              <w:bottom w:val="single" w:sz="4" w:space="0" w:color="auto"/>
              <w:right w:val="single" w:sz="4" w:space="0" w:color="auto"/>
            </w:tcBorders>
            <w:shd w:val="clear" w:color="auto" w:fill="auto"/>
            <w:vAlign w:val="center"/>
          </w:tcPr>
          <w:p w14:paraId="368800A7" w14:textId="77777777" w:rsidR="00423737" w:rsidRPr="002A7EEE" w:rsidRDefault="00B427A6" w:rsidP="009C6D5D">
            <w:pPr>
              <w:pStyle w:val="Tabletext"/>
              <w:jc w:val="center"/>
              <w:rPr>
                <w:b/>
                <w:bCs/>
                <w:sz w:val="18"/>
                <w:szCs w:val="18"/>
                <w:lang w:eastAsia="en-GB"/>
              </w:rPr>
            </w:pPr>
            <w:hyperlink r:id="rId75" w:history="1">
              <w:r w:rsidR="00423737" w:rsidRPr="002A7EEE">
                <w:rPr>
                  <w:rStyle w:val="Hyperlink"/>
                  <w:b/>
                  <w:bCs/>
                  <w:sz w:val="18"/>
                  <w:szCs w:val="18"/>
                  <w:lang w:eastAsia="en-GB"/>
                </w:rPr>
                <w:t>C21/6</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A8DC52A"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15BDCA9B"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0BABA06" w14:textId="77777777" w:rsidR="00423737" w:rsidRPr="002A7EEE" w:rsidRDefault="00423737" w:rsidP="009C6D5D">
            <w:pPr>
              <w:pStyle w:val="Tabletext"/>
              <w:jc w:val="center"/>
              <w:rPr>
                <w:sz w:val="18"/>
                <w:szCs w:val="18"/>
                <w:lang w:eastAsia="en-GB"/>
              </w:rPr>
            </w:pPr>
            <w:r w:rsidRPr="002A7EEE">
              <w:rPr>
                <w:sz w:val="18"/>
                <w:szCs w:val="18"/>
                <w:lang w:eastAsia="en-GB"/>
              </w:rPr>
              <w:t>4</w:t>
            </w:r>
          </w:p>
        </w:tc>
        <w:tc>
          <w:tcPr>
            <w:tcW w:w="6882" w:type="dxa"/>
            <w:tcBorders>
              <w:top w:val="nil"/>
              <w:left w:val="nil"/>
              <w:bottom w:val="single" w:sz="4" w:space="0" w:color="auto"/>
              <w:right w:val="single" w:sz="4" w:space="0" w:color="auto"/>
            </w:tcBorders>
            <w:shd w:val="clear" w:color="auto" w:fill="auto"/>
            <w:noWrap/>
            <w:vAlign w:val="center"/>
          </w:tcPr>
          <w:p w14:paraId="567F3F23" w14:textId="77777777" w:rsidR="00423737" w:rsidRPr="002A7EEE" w:rsidRDefault="00423737" w:rsidP="009C6D5D">
            <w:pPr>
              <w:pStyle w:val="Tabletext"/>
              <w:rPr>
                <w:sz w:val="18"/>
                <w:szCs w:val="18"/>
                <w:lang w:eastAsia="en-GB"/>
              </w:rPr>
            </w:pPr>
            <w:r w:rsidRPr="002A7EEE">
              <w:rPr>
                <w:sz w:val="18"/>
                <w:szCs w:val="18"/>
                <w:lang w:eastAsia="en-GB"/>
              </w:rPr>
              <w:t>Rapport sur les manifestations ITU Telecom World (</w:t>
            </w:r>
            <w:r w:rsidRPr="002A7EEE">
              <w:rPr>
                <w:i/>
                <w:iCs/>
                <w:sz w:val="18"/>
                <w:szCs w:val="18"/>
                <w:lang w:eastAsia="en-GB"/>
              </w:rPr>
              <w:t>Résolution 11 de la PP, Résolution 1292 du Conseil</w:t>
            </w:r>
            <w:r w:rsidRPr="002A7EEE">
              <w:rPr>
                <w:sz w:val="18"/>
                <w:szCs w:val="18"/>
                <w:lang w:eastAsia="en-GB"/>
              </w:rPr>
              <w:t>)</w:t>
            </w:r>
          </w:p>
        </w:tc>
        <w:tc>
          <w:tcPr>
            <w:tcW w:w="1418" w:type="dxa"/>
            <w:tcBorders>
              <w:top w:val="nil"/>
              <w:left w:val="nil"/>
              <w:bottom w:val="single" w:sz="4" w:space="0" w:color="auto"/>
              <w:right w:val="single" w:sz="4" w:space="0" w:color="auto"/>
            </w:tcBorders>
            <w:shd w:val="clear" w:color="auto" w:fill="auto"/>
            <w:noWrap/>
            <w:vAlign w:val="center"/>
          </w:tcPr>
          <w:p w14:paraId="6AA5FC13" w14:textId="77777777" w:rsidR="00423737" w:rsidRPr="002A7EEE" w:rsidRDefault="00B427A6" w:rsidP="009C6D5D">
            <w:pPr>
              <w:pStyle w:val="Tabletext"/>
              <w:jc w:val="center"/>
              <w:rPr>
                <w:b/>
                <w:bCs/>
                <w:sz w:val="18"/>
                <w:szCs w:val="18"/>
                <w:lang w:eastAsia="en-GB"/>
              </w:rPr>
            </w:pPr>
            <w:hyperlink r:id="rId76" w:history="1">
              <w:r w:rsidR="00423737" w:rsidRPr="002A7EEE">
                <w:rPr>
                  <w:rStyle w:val="Hyperlink"/>
                  <w:b/>
                  <w:bCs/>
                  <w:sz w:val="18"/>
                  <w:szCs w:val="18"/>
                  <w:lang w:eastAsia="en-GB"/>
                </w:rPr>
                <w:t>C21/19</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CC46759" w14:textId="77777777" w:rsidR="00423737" w:rsidRPr="002A7EEE" w:rsidRDefault="00423737" w:rsidP="009C6D5D">
            <w:pPr>
              <w:pStyle w:val="Tabletext"/>
              <w:jc w:val="center"/>
              <w:rPr>
                <w:sz w:val="18"/>
                <w:szCs w:val="18"/>
                <w:lang w:eastAsia="en-GB"/>
              </w:rPr>
            </w:pPr>
            <w:r w:rsidRPr="002A7EEE">
              <w:rPr>
                <w:b/>
                <w:bCs/>
                <w:sz w:val="18"/>
                <w:szCs w:val="18"/>
                <w:lang w:eastAsia="en-GB"/>
              </w:rPr>
              <w:t>2</w:t>
            </w:r>
          </w:p>
        </w:tc>
      </w:tr>
      <w:tr w:rsidR="00423737" w:rsidRPr="002A7EEE" w14:paraId="649C5C84"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2D1246CB" w14:textId="77777777" w:rsidR="00423737" w:rsidRPr="002A7EEE" w:rsidRDefault="00423737" w:rsidP="009C6D5D">
            <w:pPr>
              <w:pStyle w:val="Tabletext"/>
              <w:jc w:val="center"/>
              <w:rPr>
                <w:sz w:val="18"/>
                <w:szCs w:val="18"/>
                <w:lang w:eastAsia="en-GB"/>
              </w:rPr>
            </w:pPr>
            <w:r w:rsidRPr="002A7EEE">
              <w:rPr>
                <w:sz w:val="18"/>
                <w:szCs w:val="18"/>
                <w:lang w:eastAsia="en-GB"/>
              </w:rPr>
              <w:t>5</w:t>
            </w:r>
          </w:p>
        </w:tc>
        <w:tc>
          <w:tcPr>
            <w:tcW w:w="6882" w:type="dxa"/>
            <w:tcBorders>
              <w:top w:val="nil"/>
              <w:left w:val="nil"/>
              <w:bottom w:val="single" w:sz="4" w:space="0" w:color="auto"/>
              <w:right w:val="single" w:sz="4" w:space="0" w:color="auto"/>
            </w:tcBorders>
            <w:shd w:val="clear" w:color="auto" w:fill="auto"/>
            <w:vAlign w:val="center"/>
          </w:tcPr>
          <w:p w14:paraId="3132B336" w14:textId="40B185A1" w:rsidR="00423737" w:rsidRPr="002A7EEE" w:rsidRDefault="00423737" w:rsidP="009C6D5D">
            <w:pPr>
              <w:pStyle w:val="Tabletext"/>
              <w:rPr>
                <w:sz w:val="18"/>
                <w:szCs w:val="18"/>
                <w:lang w:eastAsia="en-GB"/>
              </w:rPr>
            </w:pPr>
            <w:r w:rsidRPr="002A7EEE">
              <w:rPr>
                <w:sz w:val="18"/>
                <w:szCs w:val="18"/>
                <w:lang w:eastAsia="en-GB"/>
              </w:rPr>
              <w:t>Produits et charges (</w:t>
            </w:r>
            <w:r w:rsidRPr="002A7EEE">
              <w:rPr>
                <w:i/>
                <w:sz w:val="18"/>
                <w:szCs w:val="18"/>
                <w:lang w:eastAsia="en-GB"/>
              </w:rPr>
              <w:t>Décision 5 de la PP</w:t>
            </w:r>
            <w:proofErr w:type="gramStart"/>
            <w:r w:rsidRPr="002A7EEE">
              <w:rPr>
                <w:sz w:val="18"/>
                <w:szCs w:val="18"/>
                <w:lang w:eastAsia="en-GB"/>
              </w:rPr>
              <w:t>):</w:t>
            </w:r>
            <w:proofErr w:type="gramEnd"/>
            <w:r w:rsidRPr="002A7EEE">
              <w:rPr>
                <w:sz w:val="18"/>
                <w:szCs w:val="18"/>
                <w:lang w:eastAsia="en-GB"/>
              </w:rPr>
              <w:t xml:space="preserve"> Examen annuel des produits et des charges (</w:t>
            </w:r>
            <w:r w:rsidRPr="002A7EEE">
              <w:rPr>
                <w:i/>
                <w:iCs/>
                <w:sz w:val="18"/>
                <w:szCs w:val="18"/>
                <w:lang w:eastAsia="en-GB"/>
              </w:rPr>
              <w:t>Décision 5 de la PP</w:t>
            </w:r>
            <w:r w:rsidRPr="002A7EEE">
              <w:rPr>
                <w:sz w:val="18"/>
                <w:szCs w:val="18"/>
                <w:lang w:eastAsia="en-GB"/>
              </w:rPr>
              <w:t>) et mesures d</w:t>
            </w:r>
            <w:r w:rsidR="00E53778">
              <w:rPr>
                <w:sz w:val="18"/>
                <w:szCs w:val="18"/>
                <w:lang w:eastAsia="en-GB"/>
              </w:rPr>
              <w:t>'</w:t>
            </w:r>
            <w:r w:rsidRPr="002A7EEE">
              <w:rPr>
                <w:sz w:val="18"/>
                <w:szCs w:val="18"/>
                <w:lang w:eastAsia="en-GB"/>
              </w:rPr>
              <w:t>efficacité</w:t>
            </w:r>
          </w:p>
        </w:tc>
        <w:tc>
          <w:tcPr>
            <w:tcW w:w="1418" w:type="dxa"/>
            <w:tcBorders>
              <w:top w:val="nil"/>
              <w:left w:val="nil"/>
              <w:bottom w:val="single" w:sz="4" w:space="0" w:color="auto"/>
              <w:right w:val="single" w:sz="4" w:space="0" w:color="auto"/>
            </w:tcBorders>
            <w:shd w:val="clear" w:color="auto" w:fill="auto"/>
            <w:vAlign w:val="center"/>
          </w:tcPr>
          <w:p w14:paraId="0111F3D1" w14:textId="77777777" w:rsidR="00423737" w:rsidRPr="002A7EEE" w:rsidRDefault="00B427A6" w:rsidP="009C6D5D">
            <w:pPr>
              <w:pStyle w:val="Tabletext"/>
              <w:jc w:val="center"/>
              <w:rPr>
                <w:b/>
                <w:bCs/>
                <w:sz w:val="18"/>
                <w:szCs w:val="18"/>
                <w:lang w:eastAsia="en-GB"/>
              </w:rPr>
            </w:pPr>
            <w:hyperlink r:id="rId77" w:history="1">
              <w:r w:rsidR="00423737" w:rsidRPr="002A7EEE">
                <w:rPr>
                  <w:rStyle w:val="Hyperlink"/>
                  <w:b/>
                  <w:bCs/>
                  <w:sz w:val="18"/>
                  <w:szCs w:val="18"/>
                  <w:lang w:eastAsia="en-GB"/>
                </w:rPr>
                <w:t>C21/9</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8C33A32"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bookmarkEnd w:id="9"/>
      <w:tr w:rsidR="00423737" w:rsidRPr="002A7EEE" w14:paraId="7D94C3CF"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D961CD0" w14:textId="77777777" w:rsidR="00423737" w:rsidRPr="002A7EEE" w:rsidRDefault="00423737" w:rsidP="009C6D5D">
            <w:pPr>
              <w:pStyle w:val="Tabletext"/>
              <w:jc w:val="center"/>
              <w:rPr>
                <w:sz w:val="18"/>
                <w:szCs w:val="18"/>
                <w:lang w:eastAsia="en-GB"/>
              </w:rPr>
            </w:pPr>
            <w:r w:rsidRPr="002A7EEE">
              <w:rPr>
                <w:sz w:val="18"/>
                <w:szCs w:val="18"/>
                <w:lang w:eastAsia="en-GB"/>
              </w:rPr>
              <w:t>6</w:t>
            </w:r>
          </w:p>
        </w:tc>
        <w:tc>
          <w:tcPr>
            <w:tcW w:w="6882" w:type="dxa"/>
            <w:tcBorders>
              <w:top w:val="nil"/>
              <w:left w:val="nil"/>
              <w:bottom w:val="single" w:sz="4" w:space="0" w:color="auto"/>
              <w:right w:val="single" w:sz="4" w:space="0" w:color="auto"/>
            </w:tcBorders>
            <w:shd w:val="clear" w:color="auto" w:fill="auto"/>
            <w:vAlign w:val="center"/>
          </w:tcPr>
          <w:p w14:paraId="62DC4C73" w14:textId="77777777" w:rsidR="00423737" w:rsidRPr="002A7EEE" w:rsidRDefault="00423737" w:rsidP="009C6D5D">
            <w:pPr>
              <w:pStyle w:val="Tabletext"/>
              <w:rPr>
                <w:sz w:val="18"/>
                <w:szCs w:val="18"/>
                <w:lang w:eastAsia="en-GB"/>
              </w:rPr>
            </w:pPr>
            <w:r w:rsidRPr="002A7EEE">
              <w:rPr>
                <w:sz w:val="18"/>
                <w:szCs w:val="18"/>
                <w:lang w:eastAsia="en-GB"/>
              </w:rPr>
              <w:t>Recouvrement des coûts pour le traitement des fiches de notification des réseaux à satellite</w:t>
            </w:r>
            <w:r w:rsidRPr="002A7EEE">
              <w:rPr>
                <w:i/>
                <w:iCs/>
                <w:sz w:val="18"/>
                <w:szCs w:val="18"/>
                <w:lang w:eastAsia="en-GB"/>
              </w:rPr>
              <w:t xml:space="preserve"> (Décision 482(MOD) du Conseil)</w:t>
            </w:r>
          </w:p>
        </w:tc>
        <w:tc>
          <w:tcPr>
            <w:tcW w:w="1418" w:type="dxa"/>
            <w:tcBorders>
              <w:top w:val="nil"/>
              <w:left w:val="nil"/>
              <w:bottom w:val="single" w:sz="4" w:space="0" w:color="auto"/>
              <w:right w:val="single" w:sz="4" w:space="0" w:color="auto"/>
            </w:tcBorders>
            <w:shd w:val="clear" w:color="auto" w:fill="auto"/>
            <w:vAlign w:val="center"/>
          </w:tcPr>
          <w:p w14:paraId="386DBF67" w14:textId="77777777" w:rsidR="00423737" w:rsidRPr="002A7EEE" w:rsidRDefault="00B427A6" w:rsidP="009C6D5D">
            <w:pPr>
              <w:pStyle w:val="Tabletext"/>
              <w:jc w:val="center"/>
              <w:rPr>
                <w:b/>
                <w:bCs/>
                <w:sz w:val="18"/>
                <w:szCs w:val="18"/>
                <w:lang w:eastAsia="en-GB"/>
              </w:rPr>
            </w:pPr>
            <w:hyperlink r:id="rId78" w:history="1">
              <w:r w:rsidR="00423737" w:rsidRPr="002A7EEE">
                <w:rPr>
                  <w:rStyle w:val="Hyperlink"/>
                  <w:b/>
                  <w:bCs/>
                  <w:sz w:val="18"/>
                  <w:szCs w:val="18"/>
                  <w:lang w:eastAsia="en-GB"/>
                </w:rPr>
                <w:t>C21/16</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554B446"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6503CB37"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4F28C8FF" w14:textId="77777777" w:rsidR="00423737" w:rsidRPr="002A7EEE" w:rsidRDefault="00423737" w:rsidP="009C6D5D">
            <w:pPr>
              <w:pStyle w:val="Tabletext"/>
              <w:jc w:val="center"/>
              <w:rPr>
                <w:sz w:val="18"/>
                <w:szCs w:val="18"/>
                <w:lang w:eastAsia="en-GB"/>
              </w:rPr>
            </w:pPr>
            <w:r w:rsidRPr="002A7EEE">
              <w:rPr>
                <w:sz w:val="18"/>
                <w:szCs w:val="18"/>
                <w:lang w:eastAsia="en-GB"/>
              </w:rPr>
              <w:t>7</w:t>
            </w:r>
          </w:p>
        </w:tc>
        <w:tc>
          <w:tcPr>
            <w:tcW w:w="6882" w:type="dxa"/>
            <w:tcBorders>
              <w:top w:val="nil"/>
              <w:left w:val="nil"/>
              <w:bottom w:val="single" w:sz="4" w:space="0" w:color="auto"/>
              <w:right w:val="single" w:sz="4" w:space="0" w:color="auto"/>
            </w:tcBorders>
            <w:shd w:val="clear" w:color="auto" w:fill="auto"/>
            <w:vAlign w:val="center"/>
          </w:tcPr>
          <w:p w14:paraId="6AB3AE95" w14:textId="656519C2" w:rsidR="00423737" w:rsidRPr="002A7EEE" w:rsidRDefault="00423737" w:rsidP="009C6D5D">
            <w:pPr>
              <w:pStyle w:val="Tabletext"/>
              <w:rPr>
                <w:sz w:val="18"/>
                <w:szCs w:val="18"/>
                <w:lang w:eastAsia="en-GB"/>
              </w:rPr>
            </w:pPr>
            <w:r w:rsidRPr="002A7EEE">
              <w:rPr>
                <w:sz w:val="18"/>
                <w:szCs w:val="18"/>
                <w:lang w:eastAsia="en-GB"/>
              </w:rPr>
              <w:t>Participation provisoire des entités s</w:t>
            </w:r>
            <w:r w:rsidR="00E53778">
              <w:rPr>
                <w:sz w:val="18"/>
                <w:szCs w:val="18"/>
                <w:lang w:eastAsia="en-GB"/>
              </w:rPr>
              <w:t>'</w:t>
            </w:r>
            <w:r w:rsidRPr="002A7EEE">
              <w:rPr>
                <w:sz w:val="18"/>
                <w:szCs w:val="18"/>
                <w:lang w:eastAsia="en-GB"/>
              </w:rPr>
              <w:t>occupant de questions de télécommunication aux activités de l</w:t>
            </w:r>
            <w:r w:rsidR="00E53778">
              <w:rPr>
                <w:sz w:val="18"/>
                <w:szCs w:val="18"/>
                <w:lang w:eastAsia="en-GB"/>
              </w:rPr>
              <w:t>'</w:t>
            </w:r>
            <w:r w:rsidRPr="002A7EEE">
              <w:rPr>
                <w:sz w:val="18"/>
                <w:szCs w:val="18"/>
                <w:lang w:eastAsia="en-GB"/>
              </w:rPr>
              <w:t>UIT</w:t>
            </w:r>
          </w:p>
        </w:tc>
        <w:tc>
          <w:tcPr>
            <w:tcW w:w="1418" w:type="dxa"/>
            <w:tcBorders>
              <w:top w:val="nil"/>
              <w:left w:val="nil"/>
              <w:bottom w:val="single" w:sz="4" w:space="0" w:color="auto"/>
              <w:right w:val="single" w:sz="4" w:space="0" w:color="auto"/>
            </w:tcBorders>
            <w:shd w:val="clear" w:color="auto" w:fill="auto"/>
            <w:vAlign w:val="center"/>
          </w:tcPr>
          <w:p w14:paraId="0A3D8311" w14:textId="77777777" w:rsidR="00423737" w:rsidRPr="002A7EEE" w:rsidRDefault="00B427A6" w:rsidP="009C6D5D">
            <w:pPr>
              <w:pStyle w:val="Tabletext"/>
              <w:jc w:val="center"/>
              <w:rPr>
                <w:b/>
                <w:bCs/>
                <w:sz w:val="18"/>
                <w:szCs w:val="18"/>
                <w:lang w:eastAsia="en-GB"/>
              </w:rPr>
            </w:pPr>
            <w:hyperlink r:id="rId79" w:history="1">
              <w:r w:rsidR="00423737" w:rsidRPr="002A7EEE">
                <w:rPr>
                  <w:rStyle w:val="Hyperlink"/>
                  <w:b/>
                  <w:bCs/>
                  <w:sz w:val="18"/>
                  <w:szCs w:val="18"/>
                  <w:lang w:eastAsia="en-GB"/>
                </w:rPr>
                <w:t>C21/20</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4D9DD18"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053C3BD7"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D97F397" w14:textId="77777777" w:rsidR="00423737" w:rsidRPr="002A7EEE" w:rsidRDefault="00423737" w:rsidP="009C6D5D">
            <w:pPr>
              <w:pStyle w:val="Tabletext"/>
              <w:jc w:val="center"/>
              <w:rPr>
                <w:sz w:val="18"/>
                <w:szCs w:val="18"/>
                <w:lang w:eastAsia="en-GB"/>
              </w:rPr>
            </w:pPr>
            <w:r w:rsidRPr="002A7EEE">
              <w:rPr>
                <w:sz w:val="18"/>
                <w:szCs w:val="18"/>
                <w:lang w:eastAsia="en-GB"/>
              </w:rPr>
              <w:t>8</w:t>
            </w:r>
          </w:p>
        </w:tc>
        <w:tc>
          <w:tcPr>
            <w:tcW w:w="6882" w:type="dxa"/>
            <w:tcBorders>
              <w:top w:val="single" w:sz="4" w:space="0" w:color="auto"/>
              <w:left w:val="nil"/>
              <w:bottom w:val="single" w:sz="4" w:space="0" w:color="auto"/>
              <w:right w:val="single" w:sz="4" w:space="0" w:color="auto"/>
            </w:tcBorders>
            <w:shd w:val="clear" w:color="auto" w:fill="FFFFFF"/>
            <w:vAlign w:val="center"/>
          </w:tcPr>
          <w:p w14:paraId="2968D64D" w14:textId="1E4D3742" w:rsidR="00423737" w:rsidRPr="002A7EEE" w:rsidRDefault="00423737" w:rsidP="009C6D5D">
            <w:pPr>
              <w:pStyle w:val="Tabletext"/>
              <w:rPr>
                <w:sz w:val="18"/>
                <w:szCs w:val="18"/>
                <w:lang w:eastAsia="en-GB"/>
              </w:rPr>
            </w:pPr>
            <w:r w:rsidRPr="002A7EEE">
              <w:rPr>
                <w:sz w:val="18"/>
                <w:szCs w:val="18"/>
                <w:lang w:eastAsia="en-GB"/>
              </w:rPr>
              <w:t>Amélioration de la gestion et du suivi de la contribution des Membres de Secteur, des Associés et des établissements universitaires aux dépenses de l</w:t>
            </w:r>
            <w:r w:rsidR="00E53778">
              <w:rPr>
                <w:sz w:val="18"/>
                <w:szCs w:val="18"/>
                <w:lang w:eastAsia="en-GB"/>
              </w:rPr>
              <w:t>'</w:t>
            </w:r>
            <w:r w:rsidRPr="002A7EEE">
              <w:rPr>
                <w:sz w:val="18"/>
                <w:szCs w:val="18"/>
                <w:lang w:eastAsia="en-GB"/>
              </w:rPr>
              <w:t>UIT</w:t>
            </w:r>
          </w:p>
        </w:tc>
        <w:tc>
          <w:tcPr>
            <w:tcW w:w="1418" w:type="dxa"/>
            <w:tcBorders>
              <w:top w:val="nil"/>
              <w:left w:val="nil"/>
              <w:bottom w:val="single" w:sz="4" w:space="0" w:color="auto"/>
              <w:right w:val="single" w:sz="4" w:space="0" w:color="auto"/>
            </w:tcBorders>
            <w:shd w:val="clear" w:color="auto" w:fill="auto"/>
            <w:vAlign w:val="center"/>
          </w:tcPr>
          <w:p w14:paraId="35F217C6" w14:textId="77777777" w:rsidR="00423737" w:rsidRPr="002A7EEE" w:rsidRDefault="00B427A6" w:rsidP="009C6D5D">
            <w:pPr>
              <w:pStyle w:val="Tabletext"/>
              <w:jc w:val="center"/>
              <w:rPr>
                <w:b/>
                <w:bCs/>
                <w:sz w:val="18"/>
                <w:szCs w:val="18"/>
                <w:lang w:eastAsia="en-GB"/>
              </w:rPr>
            </w:pPr>
            <w:hyperlink r:id="rId80" w:history="1">
              <w:r w:rsidR="00423737" w:rsidRPr="002A7EEE">
                <w:rPr>
                  <w:rStyle w:val="Hyperlink"/>
                  <w:b/>
                  <w:bCs/>
                  <w:sz w:val="18"/>
                  <w:szCs w:val="18"/>
                  <w:lang w:eastAsia="en-GB"/>
                </w:rPr>
                <w:t>C21/52</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386CB91"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5B4E09A9"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72D0697D" w14:textId="77777777" w:rsidR="00423737" w:rsidRPr="002A7EEE" w:rsidRDefault="00423737" w:rsidP="009C6D5D">
            <w:pPr>
              <w:pStyle w:val="Tabletext"/>
              <w:jc w:val="center"/>
              <w:rPr>
                <w:sz w:val="18"/>
                <w:szCs w:val="18"/>
                <w:lang w:eastAsia="en-GB"/>
              </w:rPr>
            </w:pPr>
            <w:r w:rsidRPr="002A7EEE">
              <w:rPr>
                <w:sz w:val="18"/>
                <w:szCs w:val="18"/>
                <w:lang w:eastAsia="en-GB"/>
              </w:rPr>
              <w:t>9</w:t>
            </w:r>
          </w:p>
        </w:tc>
        <w:tc>
          <w:tcPr>
            <w:tcW w:w="6882" w:type="dxa"/>
            <w:tcBorders>
              <w:top w:val="nil"/>
              <w:left w:val="nil"/>
              <w:bottom w:val="single" w:sz="4" w:space="0" w:color="auto"/>
              <w:right w:val="single" w:sz="4" w:space="0" w:color="auto"/>
            </w:tcBorders>
            <w:shd w:val="clear" w:color="auto" w:fill="auto"/>
            <w:vAlign w:val="center"/>
          </w:tcPr>
          <w:p w14:paraId="406BDE11" w14:textId="229EF650" w:rsidR="00423737" w:rsidRPr="002A7EEE" w:rsidRDefault="00423737" w:rsidP="009C6D5D">
            <w:pPr>
              <w:pStyle w:val="Tabletext"/>
              <w:rPr>
                <w:sz w:val="18"/>
                <w:szCs w:val="18"/>
                <w:lang w:eastAsia="en-GB"/>
              </w:rPr>
            </w:pPr>
            <w:r w:rsidRPr="002A7EEE">
              <w:rPr>
                <w:sz w:val="18"/>
                <w:szCs w:val="18"/>
                <w:lang w:eastAsia="en-GB"/>
              </w:rPr>
              <w:t>Rapport d</w:t>
            </w:r>
            <w:r w:rsidR="00E53778">
              <w:rPr>
                <w:sz w:val="18"/>
                <w:szCs w:val="18"/>
                <w:lang w:eastAsia="en-GB"/>
              </w:rPr>
              <w:t>'</w:t>
            </w:r>
            <w:r w:rsidRPr="002A7EEE">
              <w:rPr>
                <w:sz w:val="18"/>
                <w:szCs w:val="18"/>
                <w:lang w:eastAsia="en-GB"/>
              </w:rPr>
              <w:t>activité sur la mise en œuvre des Décisions 600 et 601 du Conseil (numéros UIFN et IIN)</w:t>
            </w:r>
          </w:p>
        </w:tc>
        <w:tc>
          <w:tcPr>
            <w:tcW w:w="1418" w:type="dxa"/>
            <w:tcBorders>
              <w:top w:val="nil"/>
              <w:left w:val="nil"/>
              <w:bottom w:val="single" w:sz="4" w:space="0" w:color="auto"/>
              <w:right w:val="single" w:sz="4" w:space="0" w:color="auto"/>
            </w:tcBorders>
            <w:shd w:val="clear" w:color="auto" w:fill="auto"/>
            <w:vAlign w:val="center"/>
          </w:tcPr>
          <w:p w14:paraId="0532FD2F" w14:textId="77777777" w:rsidR="00423737" w:rsidRPr="002A7EEE" w:rsidRDefault="00B427A6" w:rsidP="009C6D5D">
            <w:pPr>
              <w:pStyle w:val="Tabletext"/>
              <w:jc w:val="center"/>
              <w:rPr>
                <w:b/>
                <w:bCs/>
                <w:sz w:val="18"/>
                <w:szCs w:val="18"/>
                <w:lang w:eastAsia="en-GB"/>
              </w:rPr>
            </w:pPr>
            <w:hyperlink r:id="rId81" w:history="1">
              <w:r w:rsidR="00423737" w:rsidRPr="002A7EEE">
                <w:rPr>
                  <w:rStyle w:val="Hyperlink"/>
                  <w:b/>
                  <w:bCs/>
                  <w:sz w:val="18"/>
                  <w:szCs w:val="18"/>
                  <w:lang w:eastAsia="en-GB"/>
                </w:rPr>
                <w:t>C21/47</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027A0BC"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1FB5A6F6"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5BD58F87" w14:textId="77777777" w:rsidR="00423737" w:rsidRPr="002A7EEE" w:rsidRDefault="00423737" w:rsidP="009C6D5D">
            <w:pPr>
              <w:pStyle w:val="Tabletext"/>
              <w:jc w:val="center"/>
              <w:rPr>
                <w:sz w:val="18"/>
                <w:szCs w:val="18"/>
                <w:lang w:eastAsia="en-GB"/>
              </w:rPr>
            </w:pPr>
            <w:r w:rsidRPr="002A7EEE">
              <w:rPr>
                <w:sz w:val="18"/>
                <w:szCs w:val="18"/>
                <w:lang w:eastAsia="en-GB"/>
              </w:rPr>
              <w:t>10</w:t>
            </w:r>
          </w:p>
        </w:tc>
        <w:tc>
          <w:tcPr>
            <w:tcW w:w="6882" w:type="dxa"/>
            <w:tcBorders>
              <w:top w:val="single" w:sz="4" w:space="0" w:color="auto"/>
              <w:left w:val="nil"/>
              <w:bottom w:val="single" w:sz="4" w:space="0" w:color="auto"/>
              <w:right w:val="single" w:sz="4" w:space="0" w:color="auto"/>
            </w:tcBorders>
            <w:shd w:val="clear" w:color="auto" w:fill="FFFFFF"/>
            <w:vAlign w:val="center"/>
          </w:tcPr>
          <w:p w14:paraId="2AF026E7" w14:textId="19BCE2F9" w:rsidR="00423737" w:rsidRPr="002A7EEE" w:rsidRDefault="00423737" w:rsidP="009C6D5D">
            <w:pPr>
              <w:pStyle w:val="Tabletext"/>
              <w:rPr>
                <w:sz w:val="18"/>
                <w:szCs w:val="18"/>
                <w:lang w:eastAsia="en-GB"/>
              </w:rPr>
            </w:pPr>
            <w:r w:rsidRPr="002A7EEE">
              <w:rPr>
                <w:sz w:val="18"/>
                <w:szCs w:val="18"/>
                <w:lang w:eastAsia="en-GB"/>
              </w:rPr>
              <w:t>Participation de l</w:t>
            </w:r>
            <w:r w:rsidR="00E53778">
              <w:rPr>
                <w:sz w:val="18"/>
                <w:szCs w:val="18"/>
                <w:lang w:eastAsia="en-GB"/>
              </w:rPr>
              <w:t>'</w:t>
            </w:r>
            <w:r w:rsidRPr="002A7EEE">
              <w:rPr>
                <w:sz w:val="18"/>
                <w:szCs w:val="18"/>
                <w:lang w:eastAsia="en-GB"/>
              </w:rPr>
              <w:t>UIT aux mémorandums d</w:t>
            </w:r>
            <w:r w:rsidR="00E53778">
              <w:rPr>
                <w:sz w:val="18"/>
                <w:szCs w:val="18"/>
                <w:lang w:eastAsia="en-GB"/>
              </w:rPr>
              <w:t>'</w:t>
            </w:r>
            <w:r w:rsidRPr="002A7EEE">
              <w:rPr>
                <w:sz w:val="18"/>
                <w:szCs w:val="18"/>
                <w:lang w:eastAsia="en-GB"/>
              </w:rPr>
              <w:t>accord ayant des incidences financières et/ou stratégiques</w:t>
            </w:r>
          </w:p>
        </w:tc>
        <w:tc>
          <w:tcPr>
            <w:tcW w:w="1418" w:type="dxa"/>
            <w:tcBorders>
              <w:top w:val="nil"/>
              <w:left w:val="nil"/>
              <w:bottom w:val="single" w:sz="4" w:space="0" w:color="auto"/>
              <w:right w:val="single" w:sz="4" w:space="0" w:color="auto"/>
            </w:tcBorders>
            <w:shd w:val="clear" w:color="auto" w:fill="auto"/>
            <w:vAlign w:val="center"/>
          </w:tcPr>
          <w:p w14:paraId="5A11453B" w14:textId="77777777" w:rsidR="00423737" w:rsidRPr="002A7EEE" w:rsidRDefault="00B427A6" w:rsidP="009C6D5D">
            <w:pPr>
              <w:pStyle w:val="Tabletext"/>
              <w:jc w:val="center"/>
              <w:rPr>
                <w:b/>
                <w:bCs/>
                <w:sz w:val="18"/>
                <w:szCs w:val="18"/>
                <w:lang w:eastAsia="en-GB"/>
              </w:rPr>
            </w:pPr>
            <w:hyperlink r:id="rId82" w:history="1">
              <w:r w:rsidR="00423737" w:rsidRPr="002A7EEE">
                <w:rPr>
                  <w:rStyle w:val="Hyperlink"/>
                  <w:b/>
                  <w:bCs/>
                  <w:sz w:val="18"/>
                  <w:szCs w:val="18"/>
                  <w:lang w:eastAsia="en-GB"/>
                </w:rPr>
                <w:t>C21/45</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399D60D"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777409DB"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16D2F6F9" w14:textId="77777777" w:rsidR="00423737" w:rsidRPr="002A7EEE" w:rsidRDefault="00423737" w:rsidP="009C6D5D">
            <w:pPr>
              <w:pStyle w:val="Tabletext"/>
              <w:jc w:val="center"/>
              <w:rPr>
                <w:sz w:val="18"/>
                <w:szCs w:val="18"/>
                <w:lang w:eastAsia="en-GB"/>
              </w:rPr>
            </w:pPr>
            <w:r w:rsidRPr="002A7EEE">
              <w:rPr>
                <w:sz w:val="18"/>
                <w:szCs w:val="18"/>
                <w:lang w:eastAsia="en-GB"/>
              </w:rPr>
              <w:t>11</w:t>
            </w:r>
          </w:p>
        </w:tc>
        <w:tc>
          <w:tcPr>
            <w:tcW w:w="6882" w:type="dxa"/>
            <w:tcBorders>
              <w:top w:val="single" w:sz="4" w:space="0" w:color="auto"/>
              <w:left w:val="nil"/>
              <w:bottom w:val="single" w:sz="4" w:space="0" w:color="auto"/>
              <w:right w:val="single" w:sz="4" w:space="0" w:color="auto"/>
            </w:tcBorders>
            <w:shd w:val="clear" w:color="auto" w:fill="FFFFFF"/>
            <w:vAlign w:val="center"/>
          </w:tcPr>
          <w:p w14:paraId="36596C80" w14:textId="77777777" w:rsidR="00423737" w:rsidRPr="002A7EEE" w:rsidRDefault="00423737" w:rsidP="009C6D5D">
            <w:pPr>
              <w:pStyle w:val="Tabletext"/>
              <w:rPr>
                <w:sz w:val="18"/>
                <w:szCs w:val="18"/>
                <w:lang w:eastAsia="en-GB"/>
              </w:rPr>
            </w:pPr>
            <w:r w:rsidRPr="002A7EEE">
              <w:rPr>
                <w:bCs/>
                <w:sz w:val="18"/>
                <w:szCs w:val="18"/>
                <w:lang w:eastAsia="en-GB"/>
              </w:rPr>
              <w:t>Compilation des décisions adoptées par la PP-18 et visées dans les comptes rendus de ses séances plénières</w:t>
            </w:r>
            <w:r w:rsidRPr="002A7EEE">
              <w:rPr>
                <w:sz w:val="18"/>
                <w:szCs w:val="18"/>
                <w:lang w:eastAsia="en-GB"/>
              </w:rPr>
              <w:t>, en particulier les décisions basées sur les recommandations des Commissions et du Groupe de travail de la plénière (Doc. C19/107, Rec. 27.9)</w:t>
            </w:r>
          </w:p>
        </w:tc>
        <w:tc>
          <w:tcPr>
            <w:tcW w:w="1418" w:type="dxa"/>
            <w:tcBorders>
              <w:top w:val="nil"/>
              <w:left w:val="nil"/>
              <w:bottom w:val="single" w:sz="4" w:space="0" w:color="auto"/>
              <w:right w:val="single" w:sz="4" w:space="0" w:color="auto"/>
            </w:tcBorders>
            <w:shd w:val="clear" w:color="auto" w:fill="auto"/>
            <w:vAlign w:val="center"/>
          </w:tcPr>
          <w:p w14:paraId="1FA42D43" w14:textId="77777777" w:rsidR="00423737" w:rsidRPr="002A7EEE" w:rsidRDefault="00B427A6" w:rsidP="009C6D5D">
            <w:pPr>
              <w:pStyle w:val="Tabletext"/>
              <w:jc w:val="center"/>
              <w:rPr>
                <w:b/>
                <w:bCs/>
                <w:sz w:val="18"/>
                <w:szCs w:val="18"/>
                <w:lang w:eastAsia="en-GB"/>
              </w:rPr>
            </w:pPr>
            <w:hyperlink r:id="rId83" w:history="1">
              <w:r w:rsidR="00423737" w:rsidRPr="002A7EEE">
                <w:rPr>
                  <w:rStyle w:val="Hyperlink"/>
                  <w:b/>
                  <w:bCs/>
                  <w:sz w:val="18"/>
                  <w:szCs w:val="18"/>
                  <w:lang w:eastAsia="en-GB"/>
                </w:rPr>
                <w:t>C21/58</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7869371B" w14:textId="77777777" w:rsidR="00423737" w:rsidRPr="002A7EEE" w:rsidRDefault="00423737" w:rsidP="009C6D5D">
            <w:pPr>
              <w:pStyle w:val="Tabletext"/>
              <w:jc w:val="center"/>
              <w:rPr>
                <w:sz w:val="18"/>
                <w:szCs w:val="18"/>
                <w:lang w:eastAsia="en-GB"/>
              </w:rPr>
            </w:pPr>
            <w:r w:rsidRPr="002A7EEE">
              <w:rPr>
                <w:b/>
                <w:bCs/>
                <w:sz w:val="18"/>
                <w:szCs w:val="18"/>
                <w:lang w:eastAsia="en-GB"/>
              </w:rPr>
              <w:t>2</w:t>
            </w:r>
          </w:p>
        </w:tc>
      </w:tr>
      <w:tr w:rsidR="00423737" w:rsidRPr="002A7EEE" w14:paraId="7911BCCC" w14:textId="77777777" w:rsidTr="00430BA6">
        <w:trPr>
          <w:cantSplit/>
          <w:jc w:val="center"/>
        </w:trPr>
        <w:tc>
          <w:tcPr>
            <w:tcW w:w="484" w:type="dxa"/>
            <w:tcBorders>
              <w:top w:val="nil"/>
              <w:left w:val="single" w:sz="4" w:space="0" w:color="auto"/>
              <w:bottom w:val="single" w:sz="4" w:space="0" w:color="auto"/>
              <w:right w:val="single" w:sz="4" w:space="0" w:color="auto"/>
            </w:tcBorders>
            <w:vAlign w:val="center"/>
          </w:tcPr>
          <w:p w14:paraId="39AB0AEC" w14:textId="77777777" w:rsidR="00423737" w:rsidRPr="002A7EEE" w:rsidRDefault="00423737" w:rsidP="009C6D5D">
            <w:pPr>
              <w:pStyle w:val="Tabletext"/>
              <w:jc w:val="center"/>
              <w:rPr>
                <w:sz w:val="18"/>
                <w:szCs w:val="18"/>
                <w:lang w:eastAsia="en-GB"/>
              </w:rPr>
            </w:pPr>
            <w:r w:rsidRPr="002A7EEE">
              <w:rPr>
                <w:sz w:val="18"/>
                <w:szCs w:val="18"/>
                <w:lang w:eastAsia="en-GB"/>
              </w:rPr>
              <w:t>12</w:t>
            </w:r>
          </w:p>
        </w:tc>
        <w:tc>
          <w:tcPr>
            <w:tcW w:w="6882" w:type="dxa"/>
            <w:tcBorders>
              <w:top w:val="single" w:sz="4" w:space="0" w:color="auto"/>
              <w:left w:val="nil"/>
              <w:bottom w:val="single" w:sz="4" w:space="0" w:color="auto"/>
              <w:right w:val="single" w:sz="4" w:space="0" w:color="auto"/>
            </w:tcBorders>
            <w:shd w:val="clear" w:color="auto" w:fill="FFFFFF"/>
            <w:vAlign w:val="center"/>
          </w:tcPr>
          <w:p w14:paraId="71CEDD04" w14:textId="5B034DCE" w:rsidR="00423737" w:rsidRPr="002A7EEE" w:rsidRDefault="00423737" w:rsidP="009C6D5D">
            <w:pPr>
              <w:pStyle w:val="Tabletext"/>
              <w:rPr>
                <w:sz w:val="18"/>
                <w:szCs w:val="18"/>
                <w:lang w:eastAsia="en-GB"/>
              </w:rPr>
            </w:pPr>
            <w:r w:rsidRPr="002A7EEE">
              <w:rPr>
                <w:sz w:val="18"/>
                <w:szCs w:val="18"/>
                <w:lang w:eastAsia="en-GB"/>
              </w:rPr>
              <w:t>Rapport sur l</w:t>
            </w:r>
            <w:r w:rsidR="00E53778">
              <w:rPr>
                <w:sz w:val="18"/>
                <w:szCs w:val="18"/>
                <w:lang w:eastAsia="en-GB"/>
              </w:rPr>
              <w:t>'</w:t>
            </w:r>
            <w:r w:rsidRPr="002A7EEE">
              <w:rPr>
                <w:sz w:val="18"/>
                <w:szCs w:val="18"/>
                <w:lang w:eastAsia="en-GB"/>
              </w:rPr>
              <w:t>analyse et l</w:t>
            </w:r>
            <w:r w:rsidR="00E53778">
              <w:rPr>
                <w:sz w:val="18"/>
                <w:szCs w:val="18"/>
                <w:lang w:eastAsia="en-GB"/>
              </w:rPr>
              <w:t>'</w:t>
            </w:r>
            <w:r w:rsidRPr="002A7EEE">
              <w:rPr>
                <w:sz w:val="18"/>
                <w:szCs w:val="18"/>
                <w:lang w:eastAsia="en-GB"/>
              </w:rPr>
              <w:t>examen des activités de formation et de renforcement des capacités actuellement menées par le Groupe sur les initiatives relatives au renforcement des capacités, l</w:t>
            </w:r>
            <w:r w:rsidR="00E53778">
              <w:rPr>
                <w:sz w:val="18"/>
                <w:szCs w:val="18"/>
                <w:lang w:eastAsia="en-GB"/>
              </w:rPr>
              <w:t>'</w:t>
            </w:r>
            <w:r w:rsidRPr="002A7EEE">
              <w:rPr>
                <w:sz w:val="18"/>
                <w:szCs w:val="18"/>
                <w:lang w:eastAsia="en-GB"/>
              </w:rPr>
              <w:t>Académie de l</w:t>
            </w:r>
            <w:r w:rsidR="00E53778">
              <w:rPr>
                <w:sz w:val="18"/>
                <w:szCs w:val="18"/>
                <w:lang w:eastAsia="en-GB"/>
              </w:rPr>
              <w:t>'</w:t>
            </w:r>
            <w:r w:rsidRPr="002A7EEE">
              <w:rPr>
                <w:sz w:val="18"/>
                <w:szCs w:val="18"/>
                <w:lang w:eastAsia="en-GB"/>
              </w:rPr>
              <w:t>UIT et les centres d</w:t>
            </w:r>
            <w:r w:rsidR="00E53778">
              <w:rPr>
                <w:sz w:val="18"/>
                <w:szCs w:val="18"/>
                <w:lang w:eastAsia="en-GB"/>
              </w:rPr>
              <w:t>'</w:t>
            </w:r>
            <w:r w:rsidRPr="002A7EEE">
              <w:rPr>
                <w:sz w:val="18"/>
                <w:szCs w:val="18"/>
                <w:lang w:eastAsia="en-GB"/>
              </w:rPr>
              <w:t>excellence, et sur la création possible d</w:t>
            </w:r>
            <w:r w:rsidR="00E53778">
              <w:rPr>
                <w:sz w:val="18"/>
                <w:szCs w:val="18"/>
                <w:lang w:eastAsia="en-GB"/>
              </w:rPr>
              <w:t>'</w:t>
            </w:r>
            <w:r w:rsidRPr="002A7EEE">
              <w:rPr>
                <w:sz w:val="18"/>
                <w:szCs w:val="18"/>
                <w:lang w:eastAsia="en-GB"/>
              </w:rPr>
              <w:t>un institut de renforcement des capacités à l</w:t>
            </w:r>
            <w:r w:rsidR="00E53778">
              <w:rPr>
                <w:sz w:val="18"/>
                <w:szCs w:val="18"/>
                <w:lang w:eastAsia="en-GB"/>
              </w:rPr>
              <w:t>'</w:t>
            </w:r>
            <w:r w:rsidRPr="002A7EEE">
              <w:rPr>
                <w:sz w:val="18"/>
                <w:szCs w:val="18"/>
                <w:lang w:eastAsia="en-GB"/>
              </w:rPr>
              <w:t>UIT</w:t>
            </w:r>
          </w:p>
        </w:tc>
        <w:tc>
          <w:tcPr>
            <w:tcW w:w="1418" w:type="dxa"/>
            <w:tcBorders>
              <w:top w:val="nil"/>
              <w:left w:val="nil"/>
              <w:bottom w:val="single" w:sz="4" w:space="0" w:color="auto"/>
              <w:right w:val="single" w:sz="4" w:space="0" w:color="auto"/>
            </w:tcBorders>
            <w:shd w:val="clear" w:color="auto" w:fill="auto"/>
            <w:vAlign w:val="center"/>
          </w:tcPr>
          <w:p w14:paraId="2801E821" w14:textId="77777777" w:rsidR="00423737" w:rsidRPr="002A7EEE" w:rsidRDefault="00B427A6" w:rsidP="009C6D5D">
            <w:pPr>
              <w:pStyle w:val="Tabletext"/>
              <w:jc w:val="center"/>
              <w:rPr>
                <w:b/>
                <w:bCs/>
                <w:sz w:val="18"/>
                <w:szCs w:val="18"/>
                <w:lang w:eastAsia="en-GB"/>
              </w:rPr>
            </w:pPr>
            <w:hyperlink r:id="rId84" w:history="1">
              <w:r w:rsidR="00423737" w:rsidRPr="002A7EEE">
                <w:rPr>
                  <w:rStyle w:val="Hyperlink"/>
                  <w:b/>
                  <w:bCs/>
                  <w:sz w:val="18"/>
                  <w:szCs w:val="18"/>
                  <w:lang w:eastAsia="en-GB"/>
                </w:rPr>
                <w:t>C21/32</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C32EF43"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6B0FEB83" w14:textId="77777777" w:rsidTr="00430BA6">
        <w:trPr>
          <w:cantSplit/>
          <w:jc w:val="center"/>
        </w:trPr>
        <w:tc>
          <w:tcPr>
            <w:tcW w:w="484" w:type="dxa"/>
            <w:tcBorders>
              <w:top w:val="nil"/>
              <w:left w:val="single" w:sz="4" w:space="0" w:color="auto"/>
              <w:bottom w:val="single" w:sz="4" w:space="0" w:color="auto"/>
              <w:right w:val="single" w:sz="4" w:space="0" w:color="auto"/>
            </w:tcBorders>
            <w:shd w:val="clear" w:color="auto" w:fill="auto"/>
            <w:vAlign w:val="center"/>
          </w:tcPr>
          <w:p w14:paraId="3884C7D5" w14:textId="77777777" w:rsidR="00423737" w:rsidRPr="002A7EEE" w:rsidRDefault="00423737" w:rsidP="009C6D5D">
            <w:pPr>
              <w:pStyle w:val="Tabletext"/>
              <w:jc w:val="center"/>
              <w:rPr>
                <w:sz w:val="18"/>
                <w:szCs w:val="18"/>
                <w:lang w:eastAsia="en-GB"/>
              </w:rPr>
            </w:pPr>
            <w:r w:rsidRPr="002A7EEE">
              <w:rPr>
                <w:sz w:val="18"/>
                <w:szCs w:val="18"/>
                <w:lang w:eastAsia="en-GB"/>
              </w:rPr>
              <w:t>13</w:t>
            </w:r>
          </w:p>
        </w:tc>
        <w:tc>
          <w:tcPr>
            <w:tcW w:w="6882" w:type="dxa"/>
            <w:tcBorders>
              <w:top w:val="single" w:sz="4" w:space="0" w:color="auto"/>
              <w:left w:val="nil"/>
              <w:bottom w:val="single" w:sz="4" w:space="0" w:color="auto"/>
              <w:right w:val="single" w:sz="4" w:space="0" w:color="auto"/>
            </w:tcBorders>
            <w:shd w:val="clear" w:color="auto" w:fill="auto"/>
            <w:noWrap/>
            <w:vAlign w:val="center"/>
          </w:tcPr>
          <w:p w14:paraId="58F31B9B" w14:textId="1664C58C" w:rsidR="00423737" w:rsidRPr="002A7EEE" w:rsidRDefault="00423737" w:rsidP="009C6D5D">
            <w:pPr>
              <w:pStyle w:val="Tabletext"/>
              <w:rPr>
                <w:sz w:val="18"/>
                <w:szCs w:val="18"/>
                <w:lang w:eastAsia="en-GB"/>
              </w:rPr>
            </w:pPr>
            <w:r w:rsidRPr="002A7EEE">
              <w:rPr>
                <w:bCs/>
                <w:sz w:val="18"/>
                <w:szCs w:val="18"/>
                <w:lang w:eastAsia="en-GB"/>
              </w:rPr>
              <w:t>Mesures prises par l</w:t>
            </w:r>
            <w:r w:rsidR="00E53778">
              <w:rPr>
                <w:bCs/>
                <w:sz w:val="18"/>
                <w:szCs w:val="18"/>
                <w:lang w:eastAsia="en-GB"/>
              </w:rPr>
              <w:t>'</w:t>
            </w:r>
            <w:r w:rsidRPr="002A7EEE">
              <w:rPr>
                <w:bCs/>
                <w:sz w:val="18"/>
                <w:szCs w:val="18"/>
                <w:lang w:eastAsia="en-GB"/>
              </w:rPr>
              <w:t>UIT concernant les conditions relatives à l</w:t>
            </w:r>
            <w:r w:rsidR="00E53778">
              <w:rPr>
                <w:bCs/>
                <w:sz w:val="18"/>
                <w:szCs w:val="18"/>
                <w:lang w:eastAsia="en-GB"/>
              </w:rPr>
              <w:t>'</w:t>
            </w:r>
            <w:r w:rsidRPr="002A7EEE">
              <w:rPr>
                <w:bCs/>
                <w:sz w:val="18"/>
                <w:szCs w:val="18"/>
                <w:lang w:eastAsia="en-GB"/>
              </w:rPr>
              <w:t>assistance médicale d</w:t>
            </w:r>
            <w:r w:rsidR="00E53778">
              <w:rPr>
                <w:bCs/>
                <w:sz w:val="18"/>
                <w:szCs w:val="18"/>
                <w:lang w:eastAsia="en-GB"/>
              </w:rPr>
              <w:t>'</w:t>
            </w:r>
            <w:r w:rsidRPr="002A7EEE">
              <w:rPr>
                <w:bCs/>
                <w:sz w:val="18"/>
                <w:szCs w:val="18"/>
                <w:lang w:eastAsia="en-GB"/>
              </w:rPr>
              <w:t>urgence sur place lors des conférences et des réunions de l</w:t>
            </w:r>
            <w:r w:rsidR="00E53778">
              <w:rPr>
                <w:bCs/>
                <w:sz w:val="18"/>
                <w:szCs w:val="18"/>
                <w:lang w:eastAsia="en-GB"/>
              </w:rPr>
              <w:t>'</w:t>
            </w:r>
            <w:r w:rsidRPr="002A7EEE">
              <w:rPr>
                <w:bCs/>
                <w:sz w:val="18"/>
                <w:szCs w:val="18"/>
                <w:lang w:eastAsia="en-GB"/>
              </w:rPr>
              <w:t>UIT se tenant à l</w:t>
            </w:r>
            <w:r w:rsidR="00E53778">
              <w:rPr>
                <w:bCs/>
                <w:sz w:val="18"/>
                <w:szCs w:val="18"/>
                <w:lang w:eastAsia="en-GB"/>
              </w:rPr>
              <w:t>'</w:t>
            </w:r>
            <w:r w:rsidRPr="002A7EEE">
              <w:rPr>
                <w:bCs/>
                <w:sz w:val="18"/>
                <w:szCs w:val="18"/>
                <w:lang w:eastAsia="en-GB"/>
              </w:rPr>
              <w:t>extérieur de Genève</w:t>
            </w:r>
          </w:p>
        </w:tc>
        <w:tc>
          <w:tcPr>
            <w:tcW w:w="1418" w:type="dxa"/>
            <w:tcBorders>
              <w:top w:val="nil"/>
              <w:left w:val="nil"/>
              <w:bottom w:val="single" w:sz="4" w:space="0" w:color="auto"/>
              <w:right w:val="single" w:sz="4" w:space="0" w:color="auto"/>
            </w:tcBorders>
            <w:shd w:val="clear" w:color="auto" w:fill="auto"/>
            <w:vAlign w:val="center"/>
          </w:tcPr>
          <w:p w14:paraId="0176F25D" w14:textId="77777777" w:rsidR="00423737" w:rsidRPr="002A7EEE" w:rsidRDefault="00B427A6" w:rsidP="009C6D5D">
            <w:pPr>
              <w:pStyle w:val="Tabletext"/>
              <w:jc w:val="center"/>
              <w:rPr>
                <w:b/>
                <w:bCs/>
                <w:sz w:val="18"/>
                <w:szCs w:val="18"/>
                <w:lang w:eastAsia="en-GB"/>
              </w:rPr>
            </w:pPr>
            <w:hyperlink r:id="rId85" w:history="1">
              <w:r w:rsidR="00423737" w:rsidRPr="002A7EEE">
                <w:rPr>
                  <w:rStyle w:val="Hyperlink"/>
                  <w:b/>
                  <w:bCs/>
                  <w:sz w:val="18"/>
                  <w:szCs w:val="18"/>
                  <w:lang w:eastAsia="en-GB"/>
                </w:rPr>
                <w:t>C21/31</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B3C8039"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r w:rsidR="00423737" w:rsidRPr="002A7EEE" w14:paraId="4D5E201C" w14:textId="77777777" w:rsidTr="00430BA6">
        <w:trPr>
          <w:cantSplit/>
          <w:jc w:val="center"/>
        </w:trPr>
        <w:tc>
          <w:tcPr>
            <w:tcW w:w="484" w:type="dxa"/>
            <w:tcBorders>
              <w:top w:val="nil"/>
              <w:left w:val="single" w:sz="4" w:space="0" w:color="auto"/>
              <w:bottom w:val="single" w:sz="4" w:space="0" w:color="auto"/>
              <w:right w:val="single" w:sz="4" w:space="0" w:color="auto"/>
            </w:tcBorders>
            <w:shd w:val="clear" w:color="auto" w:fill="auto"/>
            <w:vAlign w:val="center"/>
          </w:tcPr>
          <w:p w14:paraId="5CCAFFF7" w14:textId="77777777" w:rsidR="00423737" w:rsidRPr="002A7EEE" w:rsidRDefault="00423737" w:rsidP="009C6D5D">
            <w:pPr>
              <w:pStyle w:val="Tabletext"/>
              <w:jc w:val="center"/>
              <w:rPr>
                <w:sz w:val="18"/>
                <w:szCs w:val="18"/>
                <w:lang w:eastAsia="en-GB"/>
              </w:rPr>
            </w:pPr>
            <w:r w:rsidRPr="002A7EEE">
              <w:rPr>
                <w:sz w:val="18"/>
                <w:szCs w:val="18"/>
                <w:lang w:eastAsia="en-GB"/>
              </w:rPr>
              <w:t>14</w:t>
            </w:r>
          </w:p>
        </w:tc>
        <w:tc>
          <w:tcPr>
            <w:tcW w:w="6882" w:type="dxa"/>
            <w:tcBorders>
              <w:top w:val="single" w:sz="4" w:space="0" w:color="auto"/>
              <w:left w:val="nil"/>
              <w:bottom w:val="single" w:sz="4" w:space="0" w:color="auto"/>
              <w:right w:val="single" w:sz="4" w:space="0" w:color="auto"/>
            </w:tcBorders>
            <w:shd w:val="clear" w:color="auto" w:fill="auto"/>
            <w:noWrap/>
            <w:vAlign w:val="center"/>
          </w:tcPr>
          <w:p w14:paraId="72CA9ED6" w14:textId="77777777" w:rsidR="00423737" w:rsidRPr="002A7EEE" w:rsidRDefault="00423737" w:rsidP="009C6D5D">
            <w:pPr>
              <w:pStyle w:val="Tabletext"/>
              <w:rPr>
                <w:sz w:val="18"/>
                <w:szCs w:val="18"/>
              </w:rPr>
            </w:pPr>
            <w:r w:rsidRPr="002A7EEE">
              <w:rPr>
                <w:sz w:val="18"/>
                <w:szCs w:val="18"/>
              </w:rPr>
              <w:t>Résolutions et Décisions du Conseil devenues caduques</w:t>
            </w:r>
          </w:p>
        </w:tc>
        <w:tc>
          <w:tcPr>
            <w:tcW w:w="1418" w:type="dxa"/>
            <w:tcBorders>
              <w:top w:val="nil"/>
              <w:left w:val="nil"/>
              <w:bottom w:val="single" w:sz="4" w:space="0" w:color="auto"/>
              <w:right w:val="single" w:sz="4" w:space="0" w:color="auto"/>
            </w:tcBorders>
            <w:shd w:val="clear" w:color="auto" w:fill="auto"/>
            <w:vAlign w:val="center"/>
          </w:tcPr>
          <w:p w14:paraId="623C7E76" w14:textId="77777777" w:rsidR="00423737" w:rsidRPr="002A7EEE" w:rsidRDefault="00B427A6" w:rsidP="009C6D5D">
            <w:pPr>
              <w:pStyle w:val="Tabletext"/>
              <w:jc w:val="center"/>
              <w:rPr>
                <w:b/>
                <w:bCs/>
                <w:sz w:val="18"/>
                <w:szCs w:val="18"/>
                <w:lang w:eastAsia="en-GB"/>
              </w:rPr>
            </w:pPr>
            <w:hyperlink r:id="rId86" w:history="1">
              <w:r w:rsidR="00423737" w:rsidRPr="002A7EEE">
                <w:rPr>
                  <w:rStyle w:val="Hyperlink"/>
                  <w:b/>
                  <w:bCs/>
                  <w:sz w:val="18"/>
                  <w:szCs w:val="18"/>
                  <w:lang w:eastAsia="en-GB"/>
                </w:rPr>
                <w:t>C21/3</w:t>
              </w:r>
            </w:hyperlink>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5CC657C" w14:textId="77777777" w:rsidR="00423737" w:rsidRPr="002A7EEE" w:rsidRDefault="00423737" w:rsidP="009C6D5D">
            <w:pPr>
              <w:pStyle w:val="Tabletext"/>
              <w:jc w:val="center"/>
              <w:rPr>
                <w:b/>
                <w:bCs/>
                <w:sz w:val="18"/>
                <w:szCs w:val="18"/>
                <w:lang w:eastAsia="en-GB"/>
              </w:rPr>
            </w:pPr>
            <w:r w:rsidRPr="002A7EEE">
              <w:rPr>
                <w:b/>
                <w:bCs/>
                <w:sz w:val="18"/>
                <w:szCs w:val="18"/>
                <w:lang w:eastAsia="en-GB"/>
              </w:rPr>
              <w:t>2</w:t>
            </w:r>
          </w:p>
        </w:tc>
      </w:tr>
    </w:tbl>
    <w:p w14:paraId="2F02B8C0" w14:textId="77777777" w:rsidR="00423737" w:rsidRPr="002A7EEE" w:rsidRDefault="00423737" w:rsidP="009C6D5D">
      <w:pPr>
        <w:spacing w:line="240" w:lineRule="auto"/>
      </w:pPr>
      <w:r w:rsidRPr="002A7EEE">
        <w:br w:type="page"/>
      </w:r>
    </w:p>
    <w:p w14:paraId="16766AC7" w14:textId="0737E949" w:rsidR="00423737" w:rsidRPr="002A7EEE" w:rsidRDefault="00423737" w:rsidP="009C6D5D">
      <w:pPr>
        <w:pStyle w:val="AnnexNoTitle"/>
        <w:spacing w:line="240" w:lineRule="auto"/>
      </w:pPr>
      <w:bookmarkStart w:id="10" w:name="Annexe4"/>
      <w:r w:rsidRPr="002A7EEE">
        <w:lastRenderedPageBreak/>
        <w:t>ANNEXE 4</w:t>
      </w:r>
      <w:bookmarkEnd w:id="10"/>
      <w:r w:rsidRPr="002A7EEE">
        <w:br/>
      </w:r>
      <w:r w:rsidRPr="002A7EEE">
        <w:br/>
        <w:t>Modèle pour les contributions des États Membres</w:t>
      </w:r>
    </w:p>
    <w:tbl>
      <w:tblPr>
        <w:tblW w:w="10031" w:type="dxa"/>
        <w:jc w:val="center"/>
        <w:tblLayout w:type="fixed"/>
        <w:tblLook w:val="0000" w:firstRow="0" w:lastRow="0" w:firstColumn="0" w:lastColumn="0" w:noHBand="0" w:noVBand="0"/>
      </w:tblPr>
      <w:tblGrid>
        <w:gridCol w:w="6911"/>
        <w:gridCol w:w="3120"/>
      </w:tblGrid>
      <w:tr w:rsidR="00423737" w:rsidRPr="002A7EEE" w14:paraId="4566F6E0" w14:textId="77777777" w:rsidTr="00E829D7">
        <w:trPr>
          <w:cantSplit/>
          <w:trHeight w:val="1276"/>
          <w:jc w:val="center"/>
        </w:trPr>
        <w:tc>
          <w:tcPr>
            <w:tcW w:w="6911" w:type="dxa"/>
          </w:tcPr>
          <w:p w14:paraId="57EB23A4" w14:textId="77777777" w:rsidR="00423737" w:rsidRPr="002A7EEE" w:rsidRDefault="00423737" w:rsidP="009C6D5D">
            <w:pPr>
              <w:spacing w:before="360" w:after="48" w:line="240" w:lineRule="auto"/>
              <w:jc w:val="left"/>
              <w:rPr>
                <w:position w:val="6"/>
              </w:rPr>
            </w:pPr>
            <w:bookmarkStart w:id="11" w:name="dc06"/>
            <w:bookmarkEnd w:id="11"/>
            <w:r w:rsidRPr="002A7EEE">
              <w:rPr>
                <w:b/>
                <w:bCs/>
                <w:position w:val="6"/>
                <w:sz w:val="30"/>
                <w:szCs w:val="30"/>
              </w:rPr>
              <w:t>Conseil 2021</w:t>
            </w:r>
            <w:r w:rsidRPr="002A7EEE">
              <w:rPr>
                <w:b/>
                <w:bCs/>
                <w:position w:val="6"/>
                <w:sz w:val="30"/>
                <w:szCs w:val="30"/>
              </w:rPr>
              <w:br/>
            </w:r>
            <w:r w:rsidRPr="00966A74">
              <w:rPr>
                <w:b/>
                <w:bCs/>
                <w:position w:val="6"/>
                <w:sz w:val="28"/>
                <w:szCs w:val="28"/>
              </w:rPr>
              <w:t>Consultation virtuelle des Conseillers, 8-18 juin 2021</w:t>
            </w:r>
          </w:p>
        </w:tc>
        <w:tc>
          <w:tcPr>
            <w:tcW w:w="3120" w:type="dxa"/>
            <w:vAlign w:val="center"/>
          </w:tcPr>
          <w:p w14:paraId="72C33220" w14:textId="77777777" w:rsidR="00423737" w:rsidRPr="002A7EEE" w:rsidRDefault="00423737" w:rsidP="009C6D5D">
            <w:pPr>
              <w:spacing w:before="0" w:line="240" w:lineRule="auto"/>
            </w:pPr>
            <w:bookmarkStart w:id="12" w:name="ditulogo"/>
            <w:bookmarkEnd w:id="12"/>
            <w:r w:rsidRPr="002A7EEE">
              <w:rPr>
                <w:noProof/>
                <w:lang w:val="en-US"/>
              </w:rPr>
              <w:drawing>
                <wp:inline distT="0" distB="0" distL="0" distR="0" wp14:anchorId="74D661C2" wp14:editId="5F7136BA">
                  <wp:extent cx="682402" cy="720000"/>
                  <wp:effectExtent l="0" t="0" r="381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423737" w:rsidRPr="002A7EEE" w14:paraId="4B6C7578" w14:textId="77777777" w:rsidTr="00E829D7">
        <w:trPr>
          <w:cantSplit/>
          <w:jc w:val="center"/>
        </w:trPr>
        <w:tc>
          <w:tcPr>
            <w:tcW w:w="6911" w:type="dxa"/>
            <w:tcBorders>
              <w:bottom w:val="single" w:sz="12" w:space="0" w:color="auto"/>
            </w:tcBorders>
          </w:tcPr>
          <w:p w14:paraId="1A19D5F4" w14:textId="77777777" w:rsidR="00423737" w:rsidRPr="002A7EEE" w:rsidRDefault="00423737" w:rsidP="009C6D5D">
            <w:pPr>
              <w:spacing w:before="0" w:line="240" w:lineRule="auto"/>
              <w:rPr>
                <w:b/>
                <w:smallCaps/>
                <w:szCs w:val="24"/>
              </w:rPr>
            </w:pPr>
          </w:p>
        </w:tc>
        <w:tc>
          <w:tcPr>
            <w:tcW w:w="3120" w:type="dxa"/>
            <w:tcBorders>
              <w:bottom w:val="single" w:sz="12" w:space="0" w:color="auto"/>
            </w:tcBorders>
          </w:tcPr>
          <w:p w14:paraId="6C31BEAA" w14:textId="77777777" w:rsidR="00423737" w:rsidRPr="002A7EEE" w:rsidRDefault="00423737" w:rsidP="009C6D5D">
            <w:pPr>
              <w:spacing w:before="0" w:line="240" w:lineRule="auto"/>
              <w:rPr>
                <w:szCs w:val="24"/>
              </w:rPr>
            </w:pPr>
          </w:p>
        </w:tc>
      </w:tr>
      <w:tr w:rsidR="00423737" w:rsidRPr="002A7EEE" w14:paraId="339078E9" w14:textId="77777777" w:rsidTr="00E829D7">
        <w:trPr>
          <w:cantSplit/>
          <w:jc w:val="center"/>
        </w:trPr>
        <w:tc>
          <w:tcPr>
            <w:tcW w:w="6911" w:type="dxa"/>
            <w:tcBorders>
              <w:top w:val="single" w:sz="12" w:space="0" w:color="auto"/>
            </w:tcBorders>
          </w:tcPr>
          <w:p w14:paraId="1AE36439" w14:textId="77777777" w:rsidR="00423737" w:rsidRPr="002A7EEE" w:rsidRDefault="00423737" w:rsidP="009C6D5D">
            <w:pPr>
              <w:spacing w:before="0" w:line="240" w:lineRule="auto"/>
              <w:rPr>
                <w:b/>
                <w:smallCaps/>
                <w:szCs w:val="24"/>
              </w:rPr>
            </w:pPr>
          </w:p>
        </w:tc>
        <w:tc>
          <w:tcPr>
            <w:tcW w:w="3120" w:type="dxa"/>
            <w:tcBorders>
              <w:top w:val="single" w:sz="12" w:space="0" w:color="auto"/>
            </w:tcBorders>
          </w:tcPr>
          <w:p w14:paraId="20889A34" w14:textId="77777777" w:rsidR="00423737" w:rsidRPr="002A7EEE" w:rsidRDefault="00423737" w:rsidP="009C6D5D">
            <w:pPr>
              <w:spacing w:before="0" w:line="240" w:lineRule="auto"/>
              <w:rPr>
                <w:szCs w:val="24"/>
              </w:rPr>
            </w:pPr>
          </w:p>
        </w:tc>
      </w:tr>
      <w:tr w:rsidR="00423737" w:rsidRPr="002A7EEE" w14:paraId="2D3E948E" w14:textId="77777777" w:rsidTr="00E829D7">
        <w:trPr>
          <w:cantSplit/>
          <w:trHeight w:val="23"/>
          <w:jc w:val="center"/>
        </w:trPr>
        <w:tc>
          <w:tcPr>
            <w:tcW w:w="6911" w:type="dxa"/>
            <w:vMerge w:val="restart"/>
          </w:tcPr>
          <w:p w14:paraId="487B4914" w14:textId="6D0CC8A7" w:rsidR="00423737" w:rsidRPr="002A7EEE" w:rsidRDefault="00423737" w:rsidP="009C6D5D">
            <w:pPr>
              <w:tabs>
                <w:tab w:val="left" w:pos="851"/>
              </w:tabs>
              <w:spacing w:before="0" w:line="240" w:lineRule="auto"/>
              <w:rPr>
                <w:b/>
                <w:sz w:val="24"/>
                <w:szCs w:val="24"/>
              </w:rPr>
            </w:pPr>
            <w:bookmarkStart w:id="13" w:name="dmeeting" w:colFirst="0" w:colLast="0"/>
            <w:bookmarkStart w:id="14" w:name="dnum" w:colFirst="1" w:colLast="1"/>
            <w:r w:rsidRPr="002A7EEE">
              <w:rPr>
                <w:b/>
                <w:bCs/>
                <w:sz w:val="24"/>
                <w:szCs w:val="24"/>
              </w:rPr>
              <w:t>Point de l</w:t>
            </w:r>
            <w:r w:rsidR="00E53778">
              <w:rPr>
                <w:b/>
                <w:bCs/>
                <w:sz w:val="24"/>
                <w:szCs w:val="24"/>
              </w:rPr>
              <w:t>'</w:t>
            </w:r>
            <w:r w:rsidRPr="002A7EEE">
              <w:rPr>
                <w:b/>
                <w:bCs/>
                <w:sz w:val="24"/>
                <w:szCs w:val="24"/>
              </w:rPr>
              <w:t xml:space="preserve">ordre du </w:t>
            </w:r>
            <w:proofErr w:type="gramStart"/>
            <w:r w:rsidRPr="002A7EEE">
              <w:rPr>
                <w:b/>
                <w:bCs/>
                <w:sz w:val="24"/>
                <w:szCs w:val="24"/>
              </w:rPr>
              <w:t>jour:</w:t>
            </w:r>
            <w:proofErr w:type="gramEnd"/>
            <w:r w:rsidRPr="002A7EEE">
              <w:rPr>
                <w:b/>
                <w:bCs/>
                <w:sz w:val="24"/>
                <w:szCs w:val="24"/>
              </w:rPr>
              <w:t xml:space="preserve"> </w:t>
            </w:r>
            <w:r w:rsidRPr="002A7EEE">
              <w:rPr>
                <w:b/>
                <w:sz w:val="24"/>
                <w:szCs w:val="24"/>
              </w:rPr>
              <w:t>xx</w:t>
            </w:r>
          </w:p>
        </w:tc>
        <w:tc>
          <w:tcPr>
            <w:tcW w:w="3120" w:type="dxa"/>
          </w:tcPr>
          <w:p w14:paraId="3CAF5437" w14:textId="71231787" w:rsidR="00423737" w:rsidRPr="002A7EEE" w:rsidRDefault="00423737" w:rsidP="00966A74">
            <w:pPr>
              <w:tabs>
                <w:tab w:val="left" w:pos="851"/>
              </w:tabs>
              <w:spacing w:before="0" w:line="240" w:lineRule="auto"/>
              <w:rPr>
                <w:b/>
                <w:sz w:val="24"/>
                <w:szCs w:val="24"/>
              </w:rPr>
            </w:pPr>
            <w:r w:rsidRPr="002A7EEE">
              <w:rPr>
                <w:b/>
                <w:sz w:val="24"/>
                <w:szCs w:val="24"/>
              </w:rPr>
              <w:t>Document C21/xx-</w:t>
            </w:r>
            <w:r w:rsidR="00966A74">
              <w:rPr>
                <w:b/>
                <w:sz w:val="24"/>
                <w:szCs w:val="24"/>
              </w:rPr>
              <w:t>F</w:t>
            </w:r>
          </w:p>
        </w:tc>
      </w:tr>
      <w:tr w:rsidR="00423737" w:rsidRPr="002A7EEE" w14:paraId="284DF309" w14:textId="77777777" w:rsidTr="00E829D7">
        <w:trPr>
          <w:cantSplit/>
          <w:trHeight w:val="23"/>
          <w:jc w:val="center"/>
        </w:trPr>
        <w:tc>
          <w:tcPr>
            <w:tcW w:w="6911" w:type="dxa"/>
            <w:vMerge/>
          </w:tcPr>
          <w:p w14:paraId="54D5C581" w14:textId="77777777" w:rsidR="00423737" w:rsidRPr="002A7EEE" w:rsidRDefault="00423737" w:rsidP="009C6D5D">
            <w:pPr>
              <w:tabs>
                <w:tab w:val="left" w:pos="851"/>
              </w:tabs>
              <w:spacing w:line="240" w:lineRule="auto"/>
              <w:rPr>
                <w:b/>
              </w:rPr>
            </w:pPr>
            <w:bookmarkStart w:id="15" w:name="ddate" w:colFirst="1" w:colLast="1"/>
            <w:bookmarkEnd w:id="13"/>
            <w:bookmarkEnd w:id="14"/>
          </w:p>
        </w:tc>
        <w:tc>
          <w:tcPr>
            <w:tcW w:w="3120" w:type="dxa"/>
          </w:tcPr>
          <w:p w14:paraId="2806CF5D" w14:textId="77777777" w:rsidR="00423737" w:rsidRPr="002A7EEE" w:rsidRDefault="00423737" w:rsidP="009C6D5D">
            <w:pPr>
              <w:tabs>
                <w:tab w:val="left" w:pos="993"/>
              </w:tabs>
              <w:spacing w:before="0" w:line="240" w:lineRule="auto"/>
              <w:rPr>
                <w:b/>
                <w:sz w:val="24"/>
                <w:szCs w:val="24"/>
              </w:rPr>
            </w:pPr>
            <w:proofErr w:type="gramStart"/>
            <w:r w:rsidRPr="002A7EEE">
              <w:rPr>
                <w:b/>
                <w:sz w:val="24"/>
                <w:szCs w:val="24"/>
              </w:rPr>
              <w:t>x</w:t>
            </w:r>
            <w:proofErr w:type="gramEnd"/>
            <w:r w:rsidRPr="002A7EEE">
              <w:rPr>
                <w:b/>
                <w:sz w:val="24"/>
                <w:szCs w:val="24"/>
              </w:rPr>
              <w:t xml:space="preserve"> xxxxxx 2021</w:t>
            </w:r>
          </w:p>
        </w:tc>
      </w:tr>
      <w:tr w:rsidR="00423737" w:rsidRPr="002A7EEE" w14:paraId="1EC810C6" w14:textId="77777777" w:rsidTr="00E829D7">
        <w:trPr>
          <w:cantSplit/>
          <w:trHeight w:val="23"/>
          <w:jc w:val="center"/>
        </w:trPr>
        <w:tc>
          <w:tcPr>
            <w:tcW w:w="6911" w:type="dxa"/>
            <w:vMerge/>
          </w:tcPr>
          <w:p w14:paraId="5171685A" w14:textId="77777777" w:rsidR="00423737" w:rsidRPr="002A7EEE" w:rsidRDefault="00423737" w:rsidP="009C6D5D">
            <w:pPr>
              <w:tabs>
                <w:tab w:val="left" w:pos="851"/>
              </w:tabs>
              <w:spacing w:line="240" w:lineRule="auto"/>
              <w:rPr>
                <w:b/>
              </w:rPr>
            </w:pPr>
            <w:bookmarkStart w:id="16" w:name="dorlang" w:colFirst="1" w:colLast="1"/>
            <w:bookmarkEnd w:id="15"/>
          </w:p>
        </w:tc>
        <w:tc>
          <w:tcPr>
            <w:tcW w:w="3120" w:type="dxa"/>
          </w:tcPr>
          <w:p w14:paraId="06BD147F" w14:textId="77777777" w:rsidR="00423737" w:rsidRPr="002A7EEE" w:rsidRDefault="00423737" w:rsidP="009C6D5D">
            <w:pPr>
              <w:tabs>
                <w:tab w:val="left" w:pos="993"/>
              </w:tabs>
              <w:spacing w:before="0" w:line="240" w:lineRule="auto"/>
              <w:rPr>
                <w:b/>
                <w:sz w:val="24"/>
                <w:szCs w:val="24"/>
              </w:rPr>
            </w:pPr>
            <w:proofErr w:type="gramStart"/>
            <w:r w:rsidRPr="002A7EEE">
              <w:rPr>
                <w:b/>
                <w:sz w:val="24"/>
                <w:szCs w:val="24"/>
              </w:rPr>
              <w:t>Original:</w:t>
            </w:r>
            <w:proofErr w:type="gramEnd"/>
            <w:r w:rsidRPr="002A7EEE">
              <w:rPr>
                <w:b/>
                <w:sz w:val="24"/>
                <w:szCs w:val="24"/>
              </w:rPr>
              <w:t xml:space="preserve"> anglais</w:t>
            </w:r>
          </w:p>
        </w:tc>
      </w:tr>
      <w:tr w:rsidR="00423737" w:rsidRPr="002A7EEE" w14:paraId="14B2E11C" w14:textId="77777777" w:rsidTr="00E829D7">
        <w:trPr>
          <w:cantSplit/>
          <w:jc w:val="center"/>
        </w:trPr>
        <w:tc>
          <w:tcPr>
            <w:tcW w:w="10031" w:type="dxa"/>
            <w:gridSpan w:val="2"/>
          </w:tcPr>
          <w:p w14:paraId="7C383E17" w14:textId="77777777" w:rsidR="00423737" w:rsidRPr="002A7EEE" w:rsidRDefault="00423737" w:rsidP="009C6D5D">
            <w:pPr>
              <w:pStyle w:val="Source"/>
              <w:spacing w:line="240" w:lineRule="auto"/>
            </w:pPr>
            <w:bookmarkStart w:id="17" w:name="dsource" w:colFirst="0" w:colLast="0"/>
            <w:bookmarkEnd w:id="16"/>
            <w:r w:rsidRPr="002A7EEE">
              <w:t>Origine</w:t>
            </w:r>
          </w:p>
        </w:tc>
      </w:tr>
      <w:tr w:rsidR="00423737" w:rsidRPr="002A7EEE" w14:paraId="217A901E" w14:textId="77777777" w:rsidTr="00E829D7">
        <w:trPr>
          <w:cantSplit/>
          <w:jc w:val="center"/>
        </w:trPr>
        <w:tc>
          <w:tcPr>
            <w:tcW w:w="10031" w:type="dxa"/>
            <w:gridSpan w:val="2"/>
          </w:tcPr>
          <w:p w14:paraId="2D72A040" w14:textId="77777777" w:rsidR="00423737" w:rsidRPr="002A7EEE" w:rsidRDefault="00423737" w:rsidP="009C6D5D">
            <w:pPr>
              <w:pStyle w:val="Title1"/>
              <w:spacing w:line="240" w:lineRule="auto"/>
            </w:pPr>
            <w:bookmarkStart w:id="18" w:name="dtitle1" w:colFirst="0" w:colLast="0"/>
            <w:bookmarkEnd w:id="17"/>
            <w:r w:rsidRPr="002A7EEE">
              <w:t>TitRE</w:t>
            </w:r>
          </w:p>
        </w:tc>
      </w:tr>
      <w:bookmarkEnd w:id="18"/>
    </w:tbl>
    <w:p w14:paraId="75F792B5" w14:textId="77777777" w:rsidR="00423737" w:rsidRPr="002A7EEE" w:rsidRDefault="00423737" w:rsidP="009C6D5D">
      <w:pPr>
        <w:spacing w:line="240" w:lineRule="auto"/>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23737" w:rsidRPr="002A7EEE" w14:paraId="76F48714" w14:textId="77777777" w:rsidTr="00E829D7">
        <w:trPr>
          <w:trHeight w:val="3372"/>
          <w:jc w:val="center"/>
        </w:trPr>
        <w:tc>
          <w:tcPr>
            <w:tcW w:w="8080" w:type="dxa"/>
            <w:tcBorders>
              <w:top w:val="single" w:sz="12" w:space="0" w:color="auto"/>
              <w:left w:val="single" w:sz="12" w:space="0" w:color="auto"/>
              <w:bottom w:val="single" w:sz="12" w:space="0" w:color="auto"/>
              <w:right w:val="single" w:sz="12" w:space="0" w:color="auto"/>
            </w:tcBorders>
          </w:tcPr>
          <w:p w14:paraId="35C4125B" w14:textId="77777777" w:rsidR="00423737" w:rsidRPr="002A7EEE" w:rsidRDefault="00423737" w:rsidP="00BA6559">
            <w:pPr>
              <w:pStyle w:val="Headingb"/>
              <w:spacing w:before="160" w:line="240" w:lineRule="auto"/>
            </w:pPr>
            <w:r w:rsidRPr="002A7EEE">
              <w:t>Résumé</w:t>
            </w:r>
          </w:p>
          <w:p w14:paraId="3E00F66A" w14:textId="77777777" w:rsidR="00423737" w:rsidRPr="002A7EEE" w:rsidRDefault="00423737" w:rsidP="00BA6559">
            <w:pPr>
              <w:spacing w:before="120" w:line="240" w:lineRule="auto"/>
            </w:pPr>
          </w:p>
          <w:p w14:paraId="45FA13AE" w14:textId="77777777" w:rsidR="00423737" w:rsidRPr="002A7EEE" w:rsidRDefault="00423737" w:rsidP="009C6D5D">
            <w:pPr>
              <w:pStyle w:val="Headingb"/>
              <w:spacing w:line="240" w:lineRule="auto"/>
            </w:pPr>
            <w:proofErr w:type="gramStart"/>
            <w:r w:rsidRPr="002A7EEE">
              <w:t>Suite à</w:t>
            </w:r>
            <w:proofErr w:type="gramEnd"/>
            <w:r w:rsidRPr="002A7EEE">
              <w:t xml:space="preserve"> donner</w:t>
            </w:r>
          </w:p>
          <w:p w14:paraId="25D1C584" w14:textId="77777777" w:rsidR="00423737" w:rsidRPr="002A7EEE" w:rsidRDefault="00423737" w:rsidP="00BA6559">
            <w:pPr>
              <w:spacing w:before="120" w:line="240" w:lineRule="auto"/>
            </w:pPr>
          </w:p>
          <w:p w14:paraId="7B93217B" w14:textId="77777777" w:rsidR="00423737" w:rsidRPr="002A7EEE" w:rsidRDefault="00423737" w:rsidP="009C6D5D">
            <w:pPr>
              <w:pStyle w:val="Table"/>
              <w:keepNext w:val="0"/>
              <w:spacing w:before="0" w:after="0"/>
              <w:rPr>
                <w:rFonts w:ascii="Calibri" w:hAnsi="Calibri"/>
                <w:caps w:val="0"/>
                <w:sz w:val="22"/>
                <w:lang w:val="fr-FR"/>
              </w:rPr>
            </w:pPr>
            <w:r w:rsidRPr="002A7EEE">
              <w:rPr>
                <w:rFonts w:ascii="Calibri" w:hAnsi="Calibri"/>
                <w:caps w:val="0"/>
                <w:sz w:val="22"/>
                <w:lang w:val="fr-FR"/>
              </w:rPr>
              <w:t>____________</w:t>
            </w:r>
          </w:p>
          <w:p w14:paraId="5678654B" w14:textId="77777777" w:rsidR="00423737" w:rsidRPr="002A7EEE" w:rsidRDefault="00423737" w:rsidP="009C6D5D">
            <w:pPr>
              <w:pStyle w:val="Headingb"/>
              <w:spacing w:line="240" w:lineRule="auto"/>
            </w:pPr>
            <w:r w:rsidRPr="002A7EEE">
              <w:t>Références</w:t>
            </w:r>
          </w:p>
          <w:p w14:paraId="63D2C097" w14:textId="77777777" w:rsidR="00423737" w:rsidRPr="002A7EEE" w:rsidRDefault="00423737" w:rsidP="00BA6559">
            <w:pPr>
              <w:spacing w:before="120" w:after="120" w:line="240" w:lineRule="auto"/>
              <w:rPr>
                <w:i/>
                <w:iCs/>
              </w:rPr>
            </w:pPr>
          </w:p>
          <w:p w14:paraId="27335299" w14:textId="77777777" w:rsidR="00423737" w:rsidRPr="002A7EEE" w:rsidRDefault="00423737" w:rsidP="00BA6559">
            <w:pPr>
              <w:spacing w:before="120" w:after="120" w:line="240" w:lineRule="auto"/>
              <w:rPr>
                <w:i/>
                <w:iCs/>
              </w:rPr>
            </w:pPr>
          </w:p>
        </w:tc>
      </w:tr>
    </w:tbl>
    <w:p w14:paraId="71B034EB" w14:textId="77777777" w:rsidR="00BD68F1" w:rsidRDefault="00BD68F1" w:rsidP="009C7DBA">
      <w:pPr>
        <w:pStyle w:val="Reasons"/>
      </w:pPr>
    </w:p>
    <w:p w14:paraId="0FEB1103" w14:textId="77777777" w:rsidR="00BD68F1" w:rsidRDefault="00BD68F1">
      <w:pPr>
        <w:jc w:val="center"/>
      </w:pPr>
      <w:r>
        <w:t>______________</w:t>
      </w:r>
    </w:p>
    <w:sectPr w:rsidR="00BD68F1" w:rsidSect="000A249C">
      <w:headerReference w:type="even" r:id="rId88"/>
      <w:headerReference w:type="default" r:id="rId89"/>
      <w:headerReference w:type="first" r:id="rId90"/>
      <w:footerReference w:type="first" r:id="rId91"/>
      <w:pgSz w:w="11907" w:h="16834" w:code="9"/>
      <w:pgMar w:top="1418" w:right="1134" w:bottom="1418" w:left="1134"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59096" w14:textId="77777777" w:rsidR="009C7DBA" w:rsidRDefault="009C7DBA">
      <w:r>
        <w:separator/>
      </w:r>
    </w:p>
  </w:endnote>
  <w:endnote w:type="continuationSeparator" w:id="0">
    <w:p w14:paraId="71AD3B61" w14:textId="77777777" w:rsidR="009C7DBA" w:rsidRDefault="009C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F575F" w14:textId="3628CBBE" w:rsidR="009C7DBA" w:rsidRPr="00877C1B" w:rsidRDefault="009C7DBA" w:rsidP="00F914DD">
    <w:pPr>
      <w:pStyle w:val="FirstFooter"/>
      <w:spacing w:line="240" w:lineRule="auto"/>
      <w:ind w:left="-397" w:right="-397"/>
      <w:jc w:val="center"/>
      <w:rPr>
        <w:color w:val="3E8EDE"/>
        <w:sz w:val="18"/>
        <w:szCs w:val="18"/>
        <w:lang w:val="fr-CH"/>
      </w:rPr>
    </w:pPr>
    <w:r w:rsidRPr="00877C1B">
      <w:rPr>
        <w:color w:val="3E8EDE"/>
        <w:sz w:val="18"/>
        <w:szCs w:val="18"/>
        <w:lang w:val="fr-CH"/>
      </w:rPr>
      <w:t xml:space="preserve">Union internationale des télécommunications </w:t>
    </w:r>
    <w:r w:rsidRPr="00FB65BC">
      <w:rPr>
        <w:color w:val="3E8EDE"/>
        <w:sz w:val="18"/>
        <w:szCs w:val="18"/>
        <w:lang w:val="fr-CH"/>
      </w:rPr>
      <w:t>•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 xml:space="preserve">1211 </w:t>
    </w:r>
    <w:r w:rsidRPr="00877C1B">
      <w:rPr>
        <w:color w:val="3E8EDE"/>
        <w:sz w:val="18"/>
        <w:szCs w:val="18"/>
        <w:lang w:val="fr-CH"/>
      </w:rPr>
      <w:t xml:space="preserve">Genève </w:t>
    </w:r>
    <w:r w:rsidRPr="00FB65BC">
      <w:rPr>
        <w:color w:val="3E8EDE"/>
        <w:sz w:val="18"/>
        <w:szCs w:val="18"/>
        <w:lang w:val="fr-CH"/>
      </w:rPr>
      <w:t>20</w:t>
    </w:r>
    <w:r>
      <w:rPr>
        <w:color w:val="3E8EDE"/>
        <w:sz w:val="18"/>
        <w:szCs w:val="18"/>
        <w:lang w:val="fr-CH"/>
      </w:rPr>
      <w:t>,</w:t>
    </w:r>
    <w:r w:rsidRPr="00FB65BC">
      <w:rPr>
        <w:color w:val="3E8EDE"/>
        <w:sz w:val="18"/>
        <w:szCs w:val="18"/>
        <w:lang w:val="fr-CH"/>
      </w:rPr>
      <w:t xml:space="preserve"> </w:t>
    </w:r>
    <w:r w:rsidRPr="00877C1B">
      <w:rPr>
        <w:color w:val="3E8EDE"/>
        <w:sz w:val="18"/>
        <w:szCs w:val="18"/>
        <w:lang w:val="fr-CH"/>
      </w:rPr>
      <w:t>Suisse</w:t>
    </w:r>
    <w:r w:rsidRPr="00FB65BC">
      <w:rPr>
        <w:color w:val="3E8EDE"/>
        <w:sz w:val="18"/>
        <w:szCs w:val="18"/>
        <w:lang w:val="fr-CH"/>
      </w:rPr>
      <w:br/>
    </w:r>
    <w:proofErr w:type="gramStart"/>
    <w:r w:rsidRPr="00FB65BC">
      <w:rPr>
        <w:color w:val="3E8EDE"/>
        <w:sz w:val="18"/>
        <w:szCs w:val="18"/>
        <w:lang w:val="fr-CH"/>
      </w:rPr>
      <w:t>T</w:t>
    </w:r>
    <w:r>
      <w:rPr>
        <w:color w:val="3E8EDE"/>
        <w:sz w:val="18"/>
        <w:szCs w:val="18"/>
        <w:lang w:val="fr-CH"/>
      </w:rPr>
      <w:t>é</w:t>
    </w:r>
    <w:r w:rsidRPr="00FB65BC">
      <w:rPr>
        <w:color w:val="3E8EDE"/>
        <w:sz w:val="18"/>
        <w:szCs w:val="18"/>
        <w:lang w:val="fr-CH"/>
      </w:rPr>
      <w:t>l</w:t>
    </w:r>
    <w:r>
      <w:rPr>
        <w:color w:val="3E8EDE"/>
        <w:sz w:val="18"/>
        <w:szCs w:val="18"/>
        <w:lang w:val="fr-CH"/>
      </w:rPr>
      <w:t>.</w:t>
    </w:r>
    <w:r w:rsidRPr="00FB65BC">
      <w:rPr>
        <w:color w:val="3E8EDE"/>
        <w:sz w:val="18"/>
        <w:szCs w:val="18"/>
        <w:lang w:val="fr-CH"/>
      </w:rPr>
      <w:t>:</w:t>
    </w:r>
    <w:proofErr w:type="gramEnd"/>
    <w:r w:rsidRPr="00FB65BC">
      <w:rPr>
        <w:color w:val="3E8EDE"/>
        <w:sz w:val="18"/>
        <w:szCs w:val="18"/>
        <w:lang w:val="fr-CH"/>
      </w:rPr>
      <w:t xml:space="preserve"> +41 22 730 5111 • Fax: +41 22 733 7256 • </w:t>
    </w:r>
    <w:r w:rsidRPr="00877C1B">
      <w:rPr>
        <w:color w:val="3E8EDE"/>
        <w:sz w:val="18"/>
        <w:szCs w:val="18"/>
        <w:lang w:val="fr-CH"/>
      </w:rPr>
      <w:t>Courriel</w:t>
    </w:r>
    <w:r w:rsidRPr="00FB65BC">
      <w:rPr>
        <w:color w:val="3E8EDE"/>
        <w:sz w:val="18"/>
        <w:szCs w:val="18"/>
        <w:lang w:val="fr-CH"/>
      </w:rPr>
      <w:t xml:space="preserve">: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BE3D7" w14:textId="77777777" w:rsidR="009C7DBA" w:rsidRDefault="009C7DBA">
      <w:r>
        <w:t>____________________</w:t>
      </w:r>
    </w:p>
  </w:footnote>
  <w:footnote w:type="continuationSeparator" w:id="0">
    <w:p w14:paraId="276F16F0" w14:textId="77777777" w:rsidR="009C7DBA" w:rsidRDefault="009C7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sz w:val="18"/>
        <w:szCs w:val="18"/>
      </w:rPr>
      <w:id w:val="-1093086667"/>
      <w:docPartObj>
        <w:docPartGallery w:val="Page Numbers (Top of Page)"/>
        <w:docPartUnique/>
      </w:docPartObj>
    </w:sdtPr>
    <w:sdtEndPr/>
    <w:sdtContent>
      <w:p w14:paraId="32D37226" w14:textId="77777777" w:rsidR="009C7DBA" w:rsidRPr="004E4D57" w:rsidRDefault="009C7DBA" w:rsidP="000A249C">
        <w:pPr>
          <w:pStyle w:val="Header"/>
          <w:jc w:val="center"/>
          <w:rPr>
            <w:noProof/>
            <w:sz w:val="18"/>
            <w:szCs w:val="18"/>
          </w:rPr>
        </w:pPr>
        <w:r w:rsidRPr="004E4D57">
          <w:rPr>
            <w:noProof/>
            <w:sz w:val="18"/>
            <w:szCs w:val="18"/>
          </w:rPr>
          <w:fldChar w:fldCharType="begin"/>
        </w:r>
        <w:r w:rsidRPr="004E4D57">
          <w:rPr>
            <w:noProof/>
            <w:sz w:val="18"/>
            <w:szCs w:val="18"/>
          </w:rPr>
          <w:instrText xml:space="preserve"> PAGE   \* MERGEFORMAT </w:instrText>
        </w:r>
        <w:r w:rsidRPr="004E4D57">
          <w:rPr>
            <w:noProof/>
            <w:sz w:val="18"/>
            <w:szCs w:val="18"/>
          </w:rPr>
          <w:fldChar w:fldCharType="separate"/>
        </w:r>
        <w:r>
          <w:rPr>
            <w:noProof/>
            <w:sz w:val="18"/>
            <w:szCs w:val="18"/>
          </w:rPr>
          <w:t>2</w:t>
        </w:r>
        <w:r w:rsidRPr="004E4D57">
          <w:rPr>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D5FF5" w14:textId="47312A6F" w:rsidR="009C7DBA" w:rsidRPr="000A249C" w:rsidRDefault="009C7DBA" w:rsidP="000A249C">
    <w:pPr>
      <w:pStyle w:val="Header"/>
      <w:jc w:val="center"/>
      <w:rPr>
        <w:sz w:val="18"/>
        <w:szCs w:val="18"/>
      </w:rPr>
    </w:pPr>
    <w:r w:rsidRPr="000A249C">
      <w:rPr>
        <w:sz w:val="18"/>
        <w:szCs w:val="18"/>
      </w:rPr>
      <w:fldChar w:fldCharType="begin"/>
    </w:r>
    <w:r w:rsidRPr="000A249C">
      <w:rPr>
        <w:sz w:val="18"/>
        <w:szCs w:val="18"/>
      </w:rPr>
      <w:instrText xml:space="preserve"> PAGE  \* MERGEFORMAT </w:instrText>
    </w:r>
    <w:r w:rsidRPr="000A249C">
      <w:rPr>
        <w:sz w:val="18"/>
        <w:szCs w:val="18"/>
      </w:rPr>
      <w:fldChar w:fldCharType="separate"/>
    </w:r>
    <w:r w:rsidR="00E829D7">
      <w:rPr>
        <w:noProof/>
        <w:sz w:val="18"/>
        <w:szCs w:val="18"/>
      </w:rPr>
      <w:t>9</w:t>
    </w:r>
    <w:r w:rsidRPr="000A249C">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9C7DBA" w:rsidRPr="00940351" w14:paraId="6818A9CD" w14:textId="77777777" w:rsidTr="00343C52">
      <w:trPr>
        <w:jc w:val="center"/>
      </w:trPr>
      <w:tc>
        <w:tcPr>
          <w:tcW w:w="9889" w:type="dxa"/>
        </w:tcPr>
        <w:p w14:paraId="63CA6F31" w14:textId="56A0CFDA" w:rsidR="009C7DBA" w:rsidRPr="00940351" w:rsidRDefault="009C7DBA" w:rsidP="00496F7D">
          <w:pPr>
            <w:pStyle w:val="Header"/>
            <w:tabs>
              <w:tab w:val="clear" w:pos="794"/>
              <w:tab w:val="clear" w:pos="4820"/>
            </w:tabs>
            <w:spacing w:line="360" w:lineRule="auto"/>
            <w:jc w:val="center"/>
          </w:pPr>
          <w:r>
            <w:rPr>
              <w:noProof/>
              <w:lang w:val="en-US"/>
            </w:rPr>
            <w:drawing>
              <wp:inline distT="0" distB="0" distL="0" distR="0" wp14:anchorId="7252C1EC" wp14:editId="6BE671DE">
                <wp:extent cx="682406"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406" cy="720000"/>
                        </a:xfrm>
                        <a:prstGeom prst="rect">
                          <a:avLst/>
                        </a:prstGeom>
                      </pic:spPr>
                    </pic:pic>
                  </a:graphicData>
                </a:graphic>
              </wp:inline>
            </w:drawing>
          </w:r>
        </w:p>
      </w:tc>
    </w:tr>
  </w:tbl>
  <w:p w14:paraId="1537191B" w14:textId="77777777" w:rsidR="009C7DBA" w:rsidRPr="00940351" w:rsidRDefault="009C7DBA" w:rsidP="00D225E9">
    <w:pPr>
      <w:pStyle w:val="Header"/>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0A249C"/>
    <w:rsid w:val="000032FB"/>
    <w:rsid w:val="00010E30"/>
    <w:rsid w:val="00026CF8"/>
    <w:rsid w:val="000479AD"/>
    <w:rsid w:val="00070258"/>
    <w:rsid w:val="00072C3E"/>
    <w:rsid w:val="0007323C"/>
    <w:rsid w:val="0008311E"/>
    <w:rsid w:val="00086D03"/>
    <w:rsid w:val="000A249C"/>
    <w:rsid w:val="000A7051"/>
    <w:rsid w:val="000B58BB"/>
    <w:rsid w:val="000B7CE2"/>
    <w:rsid w:val="000C03C7"/>
    <w:rsid w:val="000C4C5F"/>
    <w:rsid w:val="000E3DEE"/>
    <w:rsid w:val="000E4B79"/>
    <w:rsid w:val="0010107B"/>
    <w:rsid w:val="00103C76"/>
    <w:rsid w:val="0011265F"/>
    <w:rsid w:val="00173FCD"/>
    <w:rsid w:val="00194E9D"/>
    <w:rsid w:val="00196710"/>
    <w:rsid w:val="00197324"/>
    <w:rsid w:val="00197DCF"/>
    <w:rsid w:val="001A37CA"/>
    <w:rsid w:val="001A696C"/>
    <w:rsid w:val="001B5841"/>
    <w:rsid w:val="001D7070"/>
    <w:rsid w:val="001D7163"/>
    <w:rsid w:val="001F5A49"/>
    <w:rsid w:val="00201097"/>
    <w:rsid w:val="00201B6E"/>
    <w:rsid w:val="002041F4"/>
    <w:rsid w:val="00206D7A"/>
    <w:rsid w:val="00235A29"/>
    <w:rsid w:val="0024614C"/>
    <w:rsid w:val="0026128B"/>
    <w:rsid w:val="00276B8B"/>
    <w:rsid w:val="002861E6"/>
    <w:rsid w:val="002A7EEE"/>
    <w:rsid w:val="002B4F31"/>
    <w:rsid w:val="002E0007"/>
    <w:rsid w:val="002F00B0"/>
    <w:rsid w:val="002F0890"/>
    <w:rsid w:val="00315809"/>
    <w:rsid w:val="003169E3"/>
    <w:rsid w:val="003211CE"/>
    <w:rsid w:val="003370B8"/>
    <w:rsid w:val="00343C52"/>
    <w:rsid w:val="003476DD"/>
    <w:rsid w:val="0035681E"/>
    <w:rsid w:val="003666FF"/>
    <w:rsid w:val="003903C8"/>
    <w:rsid w:val="00394448"/>
    <w:rsid w:val="003B2BDA"/>
    <w:rsid w:val="003B55EC"/>
    <w:rsid w:val="003C3E6E"/>
    <w:rsid w:val="003C4471"/>
    <w:rsid w:val="003E504F"/>
    <w:rsid w:val="00400F78"/>
    <w:rsid w:val="00423737"/>
    <w:rsid w:val="00424C3F"/>
    <w:rsid w:val="00427F8D"/>
    <w:rsid w:val="00430BA6"/>
    <w:rsid w:val="004326DB"/>
    <w:rsid w:val="0043682E"/>
    <w:rsid w:val="00447A97"/>
    <w:rsid w:val="00467A97"/>
    <w:rsid w:val="004815EB"/>
    <w:rsid w:val="004931E2"/>
    <w:rsid w:val="00496920"/>
    <w:rsid w:val="00496F7D"/>
    <w:rsid w:val="004A5CE7"/>
    <w:rsid w:val="004B7001"/>
    <w:rsid w:val="004B7C9A"/>
    <w:rsid w:val="004D1579"/>
    <w:rsid w:val="004E0DC4"/>
    <w:rsid w:val="004E0FB5"/>
    <w:rsid w:val="004E43BB"/>
    <w:rsid w:val="004F178E"/>
    <w:rsid w:val="00505309"/>
    <w:rsid w:val="00505C93"/>
    <w:rsid w:val="0050789B"/>
    <w:rsid w:val="005349EC"/>
    <w:rsid w:val="005406CC"/>
    <w:rsid w:val="00543DF8"/>
    <w:rsid w:val="00546101"/>
    <w:rsid w:val="00553DD7"/>
    <w:rsid w:val="0057469A"/>
    <w:rsid w:val="00580814"/>
    <w:rsid w:val="005A03A3"/>
    <w:rsid w:val="005B214C"/>
    <w:rsid w:val="005C163E"/>
    <w:rsid w:val="005E513A"/>
    <w:rsid w:val="005F5168"/>
    <w:rsid w:val="00602D53"/>
    <w:rsid w:val="0062116C"/>
    <w:rsid w:val="006506E5"/>
    <w:rsid w:val="00651777"/>
    <w:rsid w:val="006741C3"/>
    <w:rsid w:val="00675C2A"/>
    <w:rsid w:val="00691AA6"/>
    <w:rsid w:val="006950CF"/>
    <w:rsid w:val="006B0590"/>
    <w:rsid w:val="006B34FB"/>
    <w:rsid w:val="006B49DA"/>
    <w:rsid w:val="00700C3C"/>
    <w:rsid w:val="007047E4"/>
    <w:rsid w:val="007234B1"/>
    <w:rsid w:val="00730B9A"/>
    <w:rsid w:val="00740336"/>
    <w:rsid w:val="00757B2B"/>
    <w:rsid w:val="00757EEE"/>
    <w:rsid w:val="007921A7"/>
    <w:rsid w:val="007A33D7"/>
    <w:rsid w:val="007B123F"/>
    <w:rsid w:val="007B3DB1"/>
    <w:rsid w:val="007D183E"/>
    <w:rsid w:val="007E3F13"/>
    <w:rsid w:val="007E6AB2"/>
    <w:rsid w:val="00800012"/>
    <w:rsid w:val="00810AE0"/>
    <w:rsid w:val="0081513E"/>
    <w:rsid w:val="0083382E"/>
    <w:rsid w:val="00854131"/>
    <w:rsid w:val="0085652D"/>
    <w:rsid w:val="0085705B"/>
    <w:rsid w:val="0087694B"/>
    <w:rsid w:val="00877C1B"/>
    <w:rsid w:val="0088293A"/>
    <w:rsid w:val="008D08FF"/>
    <w:rsid w:val="008D3D95"/>
    <w:rsid w:val="008D4685"/>
    <w:rsid w:val="008F4F21"/>
    <w:rsid w:val="00904D4A"/>
    <w:rsid w:val="009151BA"/>
    <w:rsid w:val="009277BC"/>
    <w:rsid w:val="00927D57"/>
    <w:rsid w:val="00940351"/>
    <w:rsid w:val="00963D9D"/>
    <w:rsid w:val="00966A74"/>
    <w:rsid w:val="00981B54"/>
    <w:rsid w:val="009842C3"/>
    <w:rsid w:val="009A6BB6"/>
    <w:rsid w:val="009B540F"/>
    <w:rsid w:val="009C161F"/>
    <w:rsid w:val="009C6D5D"/>
    <w:rsid w:val="009C7DBA"/>
    <w:rsid w:val="009E2358"/>
    <w:rsid w:val="009E4AEC"/>
    <w:rsid w:val="009E5BD8"/>
    <w:rsid w:val="009E5F24"/>
    <w:rsid w:val="009E681E"/>
    <w:rsid w:val="00A22F9F"/>
    <w:rsid w:val="00A34D6F"/>
    <w:rsid w:val="00A41F91"/>
    <w:rsid w:val="00A7494A"/>
    <w:rsid w:val="00A86AF9"/>
    <w:rsid w:val="00A963DF"/>
    <w:rsid w:val="00AC3896"/>
    <w:rsid w:val="00AC3F9B"/>
    <w:rsid w:val="00AE40E3"/>
    <w:rsid w:val="00AE759B"/>
    <w:rsid w:val="00AF06E1"/>
    <w:rsid w:val="00AF3325"/>
    <w:rsid w:val="00B015B1"/>
    <w:rsid w:val="00B34CF9"/>
    <w:rsid w:val="00B427A6"/>
    <w:rsid w:val="00B76C29"/>
    <w:rsid w:val="00B83793"/>
    <w:rsid w:val="00B90C45"/>
    <w:rsid w:val="00B933BE"/>
    <w:rsid w:val="00BA03DB"/>
    <w:rsid w:val="00BA6559"/>
    <w:rsid w:val="00BA6C35"/>
    <w:rsid w:val="00BD68F1"/>
    <w:rsid w:val="00BD7E5E"/>
    <w:rsid w:val="00BE055F"/>
    <w:rsid w:val="00BE6574"/>
    <w:rsid w:val="00C31E76"/>
    <w:rsid w:val="00C43807"/>
    <w:rsid w:val="00C57E2C"/>
    <w:rsid w:val="00C608B7"/>
    <w:rsid w:val="00C64500"/>
    <w:rsid w:val="00C66F24"/>
    <w:rsid w:val="00C9291E"/>
    <w:rsid w:val="00C9302A"/>
    <w:rsid w:val="00CA3F44"/>
    <w:rsid w:val="00CA4E58"/>
    <w:rsid w:val="00CB3771"/>
    <w:rsid w:val="00CB5153"/>
    <w:rsid w:val="00CB61A6"/>
    <w:rsid w:val="00CE2753"/>
    <w:rsid w:val="00CE685A"/>
    <w:rsid w:val="00D10BA0"/>
    <w:rsid w:val="00D127E1"/>
    <w:rsid w:val="00D20741"/>
    <w:rsid w:val="00D225E9"/>
    <w:rsid w:val="00D24EB5"/>
    <w:rsid w:val="00D26CFB"/>
    <w:rsid w:val="00D41571"/>
    <w:rsid w:val="00D416A0"/>
    <w:rsid w:val="00D47672"/>
    <w:rsid w:val="00D5123C"/>
    <w:rsid w:val="00D55560"/>
    <w:rsid w:val="00D5557A"/>
    <w:rsid w:val="00D55CE4"/>
    <w:rsid w:val="00D61C5A"/>
    <w:rsid w:val="00DE66A5"/>
    <w:rsid w:val="00DF2B50"/>
    <w:rsid w:val="00E04C86"/>
    <w:rsid w:val="00E14BA3"/>
    <w:rsid w:val="00E164E1"/>
    <w:rsid w:val="00E20F30"/>
    <w:rsid w:val="00E27BBA"/>
    <w:rsid w:val="00E35E8F"/>
    <w:rsid w:val="00E438E8"/>
    <w:rsid w:val="00E5167F"/>
    <w:rsid w:val="00E520E2"/>
    <w:rsid w:val="00E53778"/>
    <w:rsid w:val="00E64254"/>
    <w:rsid w:val="00E81827"/>
    <w:rsid w:val="00E829D7"/>
    <w:rsid w:val="00EA15B3"/>
    <w:rsid w:val="00EB2358"/>
    <w:rsid w:val="00EB3EB8"/>
    <w:rsid w:val="00EC16FD"/>
    <w:rsid w:val="00EC282E"/>
    <w:rsid w:val="00EC69FC"/>
    <w:rsid w:val="00ED73BA"/>
    <w:rsid w:val="00F13D34"/>
    <w:rsid w:val="00F44658"/>
    <w:rsid w:val="00F468C5"/>
    <w:rsid w:val="00F46AE8"/>
    <w:rsid w:val="00F52F39"/>
    <w:rsid w:val="00F55EF6"/>
    <w:rsid w:val="00F60EDB"/>
    <w:rsid w:val="00F914DD"/>
    <w:rsid w:val="00FA2358"/>
    <w:rsid w:val="00FB2592"/>
    <w:rsid w:val="00FB2810"/>
    <w:rsid w:val="00FC2947"/>
    <w:rsid w:val="00FD18BF"/>
    <w:rsid w:val="00FE0818"/>
    <w:rsid w:val="00FE5A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3617BED"/>
  <w15:docId w15:val="{DDFA12D4-8AE9-4E45-867C-2A6BFFBA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F9B"/>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fr-FR"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94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0">
    <w:name w:val="Normal after title"/>
    <w:basedOn w:val="Normal"/>
    <w:next w:val="Normal"/>
    <w:link w:val="NormalaftertitleChar"/>
    <w:rsid w:val="000A249C"/>
    <w:pPr>
      <w:overflowPunct/>
      <w:autoSpaceDE/>
      <w:autoSpaceDN/>
      <w:adjustRightInd/>
      <w:spacing w:before="320" w:line="240" w:lineRule="auto"/>
      <w:jc w:val="left"/>
      <w:textAlignment w:val="auto"/>
    </w:pPr>
    <w:rPr>
      <w:rFonts w:ascii="Times New Roman" w:hAnsi="Times New Roman" w:cs="Times New Roman"/>
      <w:sz w:val="24"/>
      <w:szCs w:val="20"/>
      <w:lang w:val="en-GB"/>
    </w:rPr>
  </w:style>
  <w:style w:type="character" w:customStyle="1" w:styleId="NormalaftertitleChar">
    <w:name w:val="Normal after title Char"/>
    <w:link w:val="Normalaftertitle0"/>
    <w:locked/>
    <w:rsid w:val="000A249C"/>
    <w:rPr>
      <w:rFonts w:ascii="Times New Roman" w:hAnsi="Times New Roman" w:cs="Times New Roman"/>
      <w:sz w:val="24"/>
      <w:lang w:val="en-GB" w:eastAsia="en-US"/>
    </w:rPr>
  </w:style>
  <w:style w:type="character" w:customStyle="1" w:styleId="HeaderChar">
    <w:name w:val="Header Char"/>
    <w:basedOn w:val="DefaultParagraphFont"/>
    <w:link w:val="Header"/>
    <w:uiPriority w:val="99"/>
    <w:rsid w:val="000A249C"/>
    <w:rPr>
      <w:sz w:val="22"/>
      <w:szCs w:val="22"/>
      <w:lang w:val="fr-FR" w:eastAsia="en-US"/>
    </w:rPr>
  </w:style>
  <w:style w:type="character" w:customStyle="1" w:styleId="UnresolvedMention1">
    <w:name w:val="Unresolved Mention1"/>
    <w:basedOn w:val="DefaultParagraphFont"/>
    <w:uiPriority w:val="99"/>
    <w:semiHidden/>
    <w:unhideWhenUsed/>
    <w:rsid w:val="004931E2"/>
    <w:rPr>
      <w:color w:val="605E5C"/>
      <w:shd w:val="clear" w:color="auto" w:fill="E1DFDD"/>
    </w:rPr>
  </w:style>
  <w:style w:type="paragraph" w:customStyle="1" w:styleId="Table">
    <w:name w:val="Table_#"/>
    <w:basedOn w:val="Normal"/>
    <w:next w:val="Normal"/>
    <w:rsid w:val="007A33D7"/>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styleId="NoSpacing">
    <w:name w:val="No Spacing"/>
    <w:uiPriority w:val="1"/>
    <w:qFormat/>
    <w:rsid w:val="007A33D7"/>
    <w:rPr>
      <w:rFonts w:asciiTheme="minorHAnsi" w:eastAsiaTheme="minorHAnsi" w:hAnsiTheme="minorHAnsi" w:cstheme="minorBidi"/>
      <w:sz w:val="22"/>
      <w:szCs w:val="22"/>
      <w:lang w:val="en-US" w:eastAsia="en-US"/>
    </w:rPr>
  </w:style>
  <w:style w:type="paragraph" w:customStyle="1" w:styleId="Reasons">
    <w:name w:val="Reasons"/>
    <w:basedOn w:val="Normal"/>
    <w:qFormat/>
    <w:rsid w:val="007A33D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lang w:val="en-US"/>
    </w:rPr>
  </w:style>
  <w:style w:type="character" w:styleId="FollowedHyperlink">
    <w:name w:val="FollowedHyperlink"/>
    <w:basedOn w:val="DefaultParagraphFont"/>
    <w:semiHidden/>
    <w:unhideWhenUsed/>
    <w:rsid w:val="00423737"/>
    <w:rPr>
      <w:color w:val="800080" w:themeColor="followedHyperlink"/>
      <w:u w:val="single"/>
    </w:rPr>
  </w:style>
  <w:style w:type="paragraph" w:styleId="CommentSubject">
    <w:name w:val="annotation subject"/>
    <w:basedOn w:val="CommentText"/>
    <w:next w:val="CommentText"/>
    <w:link w:val="CommentSubjectChar"/>
    <w:semiHidden/>
    <w:unhideWhenUsed/>
    <w:rsid w:val="00430BA6"/>
    <w:pPr>
      <w:spacing w:line="240" w:lineRule="auto"/>
    </w:pPr>
    <w:rPr>
      <w:b/>
      <w:bCs/>
      <w:szCs w:val="20"/>
    </w:rPr>
  </w:style>
  <w:style w:type="character" w:customStyle="1" w:styleId="CommentTextChar">
    <w:name w:val="Comment Text Char"/>
    <w:basedOn w:val="DefaultParagraphFont"/>
    <w:link w:val="CommentText"/>
    <w:semiHidden/>
    <w:rsid w:val="00430BA6"/>
    <w:rPr>
      <w:szCs w:val="22"/>
      <w:lang w:val="fr-FR" w:eastAsia="en-US"/>
    </w:rPr>
  </w:style>
  <w:style w:type="character" w:customStyle="1" w:styleId="CommentSubjectChar">
    <w:name w:val="Comment Subject Char"/>
    <w:basedOn w:val="CommentTextChar"/>
    <w:link w:val="CommentSubject"/>
    <w:semiHidden/>
    <w:rsid w:val="00430BA6"/>
    <w:rPr>
      <w:b/>
      <w:bCs/>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1-CL-C-0066/en" TargetMode="External"/><Relationship Id="rId21" Type="http://schemas.openxmlformats.org/officeDocument/2006/relationships/hyperlink" Target="https://www.itu.int/md/S21-CL-C-0005/en" TargetMode="External"/><Relationship Id="rId42" Type="http://schemas.openxmlformats.org/officeDocument/2006/relationships/hyperlink" Target="https://www.itu.int/md/S21-CL-C-0048/en" TargetMode="External"/><Relationship Id="rId47" Type="http://schemas.openxmlformats.org/officeDocument/2006/relationships/hyperlink" Target="https://www.itu.int/md/S21-CL-C-0012/en" TargetMode="External"/><Relationship Id="rId63" Type="http://schemas.openxmlformats.org/officeDocument/2006/relationships/hyperlink" Target="https://www.itu.int/md/S21-CL-C-0034/en" TargetMode="External"/><Relationship Id="rId68" Type="http://schemas.openxmlformats.org/officeDocument/2006/relationships/hyperlink" Target="https://www.itu.int/md/S21-CL-C-0039/en" TargetMode="External"/><Relationship Id="rId84" Type="http://schemas.openxmlformats.org/officeDocument/2006/relationships/hyperlink" Target="https://www.itu.int/md/S21-CL-C-0032/en" TargetMode="External"/><Relationship Id="rId89" Type="http://schemas.openxmlformats.org/officeDocument/2006/relationships/header" Target="header2.xml"/><Relationship Id="rId16" Type="http://schemas.openxmlformats.org/officeDocument/2006/relationships/hyperlink" Target="https://www.itu.int/md/S21-CL-C-0035/en" TargetMode="External"/><Relationship Id="rId11" Type="http://schemas.openxmlformats.org/officeDocument/2006/relationships/hyperlink" Target="https://www.itu.int/fr/council/2021/Pages/default.aspx" TargetMode="External"/><Relationship Id="rId32" Type="http://schemas.openxmlformats.org/officeDocument/2006/relationships/hyperlink" Target="https://www.itu.int/md/S21-CL-C-0056/en" TargetMode="External"/><Relationship Id="rId37" Type="http://schemas.openxmlformats.org/officeDocument/2006/relationships/hyperlink" Target="https://www.itu.int/md/S21-CL-C-0040/en" TargetMode="External"/><Relationship Id="rId53" Type="http://schemas.openxmlformats.org/officeDocument/2006/relationships/hyperlink" Target="https://www.itu.int/md/S21-CL-C-0063/en" TargetMode="External"/><Relationship Id="rId58" Type="http://schemas.openxmlformats.org/officeDocument/2006/relationships/hyperlink" Target="https://www.itu.int/md/S21-CL-C-0070/en" TargetMode="External"/><Relationship Id="rId74" Type="http://schemas.openxmlformats.org/officeDocument/2006/relationships/hyperlink" Target="https://www.itu.int/md/S21-CL-C-0018/en" TargetMode="External"/><Relationship Id="rId79" Type="http://schemas.openxmlformats.org/officeDocument/2006/relationships/hyperlink" Target="https://www.itu.int/md/S21-CL-C-0020/en" TargetMode="External"/><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hyperlink" Target="https://www.itu.int/md/S21-CL-C-0024/en" TargetMode="External"/><Relationship Id="rId27" Type="http://schemas.openxmlformats.org/officeDocument/2006/relationships/hyperlink" Target="https://www.itu.int/md/S21-CL-C-0055/en" TargetMode="External"/><Relationship Id="rId43" Type="http://schemas.openxmlformats.org/officeDocument/2006/relationships/hyperlink" Target="https://www.itu.int/md/S21-CL-C-0029/en" TargetMode="External"/><Relationship Id="rId48" Type="http://schemas.openxmlformats.org/officeDocument/2006/relationships/hyperlink" Target="https://www.itu.int/md/S21-CL-C-0026/en" TargetMode="External"/><Relationship Id="rId64" Type="http://schemas.openxmlformats.org/officeDocument/2006/relationships/hyperlink" Target="https://www.itu.int/md/S21-CL-C-0025/en" TargetMode="External"/><Relationship Id="rId69" Type="http://schemas.openxmlformats.org/officeDocument/2006/relationships/hyperlink" Target="https://www.itu.int/md/S21-CL-C-0038/en" TargetMode="External"/><Relationship Id="rId8" Type="http://schemas.openxmlformats.org/officeDocument/2006/relationships/hyperlink" Target="mailto:gbs@itu.int" TargetMode="External"/><Relationship Id="rId51" Type="http://schemas.openxmlformats.org/officeDocument/2006/relationships/hyperlink" Target="https://www.itu.int/md/S21-CL-C-0071/en" TargetMode="External"/><Relationship Id="rId72" Type="http://schemas.openxmlformats.org/officeDocument/2006/relationships/hyperlink" Target="https://www.itu.int/md/S21-CL-C-0074/en" TargetMode="External"/><Relationship Id="rId80" Type="http://schemas.openxmlformats.org/officeDocument/2006/relationships/hyperlink" Target="https://www.itu.int/md/S21-CL-C-0052/en" TargetMode="External"/><Relationship Id="rId85" Type="http://schemas.openxmlformats.org/officeDocument/2006/relationships/hyperlink" Target="https://www.itu.int/md/S21-CL-C-0031/en" TargetMode="External"/><Relationship Id="rId93"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mailto:sg-registration@itu.int" TargetMode="External"/><Relationship Id="rId17" Type="http://schemas.openxmlformats.org/officeDocument/2006/relationships/hyperlink" Target="https://www.itu.int/md/S21-CL-C-0028/en" TargetMode="External"/><Relationship Id="rId25" Type="http://schemas.openxmlformats.org/officeDocument/2006/relationships/hyperlink" Target="https://www.itu.int/md/S21-CL-C-0004/en" TargetMode="External"/><Relationship Id="rId33" Type="http://schemas.openxmlformats.org/officeDocument/2006/relationships/hyperlink" Target="https://www.itu.int/md/S21-CL-C-0049/en" TargetMode="External"/><Relationship Id="rId38" Type="http://schemas.openxmlformats.org/officeDocument/2006/relationships/hyperlink" Target="https://www.itu.int/md/S21-CL-C-0041/en" TargetMode="External"/><Relationship Id="rId46" Type="http://schemas.openxmlformats.org/officeDocument/2006/relationships/hyperlink" Target="https://www.itu.int/md/S21-CL-C-0057/en" TargetMode="External"/><Relationship Id="rId59" Type="http://schemas.openxmlformats.org/officeDocument/2006/relationships/hyperlink" Target="https://www.itu.int/md/S21-CL-C-0054/en" TargetMode="External"/><Relationship Id="rId67" Type="http://schemas.openxmlformats.org/officeDocument/2006/relationships/hyperlink" Target="https://www.itu.int/md/S21-CL-C-0010/en" TargetMode="External"/><Relationship Id="rId20" Type="http://schemas.openxmlformats.org/officeDocument/2006/relationships/hyperlink" Target="https://www.itu.int/md/S21-CL-C-0030/en" TargetMode="External"/><Relationship Id="rId41" Type="http://schemas.openxmlformats.org/officeDocument/2006/relationships/hyperlink" Target="https://www.itu.int/md/S21-CL-C-0007/en" TargetMode="External"/><Relationship Id="rId54" Type="http://schemas.openxmlformats.org/officeDocument/2006/relationships/hyperlink" Target="https://www.itu.int/md/S21-CL-C-0075/en" TargetMode="External"/><Relationship Id="rId62" Type="http://schemas.openxmlformats.org/officeDocument/2006/relationships/hyperlink" Target="https://www.itu.int/md/S21-CL-C-0046/en" TargetMode="External"/><Relationship Id="rId70" Type="http://schemas.openxmlformats.org/officeDocument/2006/relationships/hyperlink" Target="https://www.itu.int/md/S21-CL-C-0068/en" TargetMode="External"/><Relationship Id="rId75" Type="http://schemas.openxmlformats.org/officeDocument/2006/relationships/hyperlink" Target="https://www.itu.int/md/S21-CL-C-0006/en" TargetMode="External"/><Relationship Id="rId83" Type="http://schemas.openxmlformats.org/officeDocument/2006/relationships/hyperlink" Target="https://www.itu.int/md/S21-CL-C-0058/en" TargetMode="External"/><Relationship Id="rId88" Type="http://schemas.openxmlformats.org/officeDocument/2006/relationships/header" Target="header1.xm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1-CL-C-0027/en" TargetMode="External"/><Relationship Id="rId23" Type="http://schemas.openxmlformats.org/officeDocument/2006/relationships/hyperlink" Target="https://www.itu.int/md/S21-CL-C-0073/en" TargetMode="External"/><Relationship Id="rId28" Type="http://schemas.openxmlformats.org/officeDocument/2006/relationships/hyperlink" Target="https://www.itu.int/md/S21-CL-C-0002/en" TargetMode="External"/><Relationship Id="rId36" Type="http://schemas.openxmlformats.org/officeDocument/2006/relationships/hyperlink" Target="https://www.itu.int/md/S21-CL-C-0042/en" TargetMode="External"/><Relationship Id="rId49" Type="http://schemas.openxmlformats.org/officeDocument/2006/relationships/hyperlink" Target="https://www.itu.int/md/S21-CL-C-0051/en" TargetMode="External"/><Relationship Id="rId57" Type="http://schemas.openxmlformats.org/officeDocument/2006/relationships/hyperlink" Target="https://www.itu.int/md/S21-CL-C-0061/en" TargetMode="External"/><Relationship Id="rId10" Type="http://schemas.openxmlformats.org/officeDocument/2006/relationships/hyperlink" Target="mailto:contributions@itu.int" TargetMode="External"/><Relationship Id="rId31" Type="http://schemas.openxmlformats.org/officeDocument/2006/relationships/hyperlink" Target="https://www.itu.int/md/S21-CL-C-0065/en" TargetMode="External"/><Relationship Id="rId44" Type="http://schemas.openxmlformats.org/officeDocument/2006/relationships/hyperlink" Target="https://www.itu.int/md/S21-CL-C-0023/en" TargetMode="External"/><Relationship Id="rId52" Type="http://schemas.openxmlformats.org/officeDocument/2006/relationships/hyperlink" Target="https://www.itu.int/md/S21-CL-C-0022/en" TargetMode="External"/><Relationship Id="rId60" Type="http://schemas.openxmlformats.org/officeDocument/2006/relationships/hyperlink" Target="https://www.itu.int/md/S21-CL-C-0069/en" TargetMode="External"/><Relationship Id="rId65" Type="http://schemas.openxmlformats.org/officeDocument/2006/relationships/hyperlink" Target="https://www.itu.int/md/S21-CL-C-0062/en" TargetMode="External"/><Relationship Id="rId73" Type="http://schemas.openxmlformats.org/officeDocument/2006/relationships/hyperlink" Target="https://www.itu.int/md/S21-CL-C-0033/en" TargetMode="External"/><Relationship Id="rId78" Type="http://schemas.openxmlformats.org/officeDocument/2006/relationships/hyperlink" Target="https://www.itu.int/md/S21-CL-C-0016/en" TargetMode="External"/><Relationship Id="rId81" Type="http://schemas.openxmlformats.org/officeDocument/2006/relationships/hyperlink" Target="https://www.itu.int/md/S21-CL-C-0047/en" TargetMode="External"/><Relationship Id="rId86" Type="http://schemas.openxmlformats.org/officeDocument/2006/relationships/hyperlink" Target="https://www.itu.int/md/S21-CL-C-0003/en"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fr/council/Pages/registration.aspx" TargetMode="External"/><Relationship Id="rId13" Type="http://schemas.openxmlformats.org/officeDocument/2006/relationships/hyperlink" Target="https://www.itu.int/md/S21-DM-CIR-01005/en" TargetMode="External"/><Relationship Id="rId18" Type="http://schemas.openxmlformats.org/officeDocument/2006/relationships/hyperlink" Target="https://www.itu.int/md/S21-CL-C-0064/en" TargetMode="External"/><Relationship Id="rId39" Type="http://schemas.openxmlformats.org/officeDocument/2006/relationships/hyperlink" Target="https://www.itu.int/md/S21-CL-C-0044/en" TargetMode="External"/><Relationship Id="rId34" Type="http://schemas.openxmlformats.org/officeDocument/2006/relationships/hyperlink" Target="https://www.itu.int/md/S21-CL-C-0050/en" TargetMode="External"/><Relationship Id="rId50" Type="http://schemas.openxmlformats.org/officeDocument/2006/relationships/hyperlink" Target="https://www.itu.int/md/S21-CL-C-0036/en" TargetMode="External"/><Relationship Id="rId55" Type="http://schemas.openxmlformats.org/officeDocument/2006/relationships/hyperlink" Target="https://www.itu.int/md/S21-CL-C-0015/en" TargetMode="External"/><Relationship Id="rId76" Type="http://schemas.openxmlformats.org/officeDocument/2006/relationships/hyperlink" Target="https://www.itu.int/md/S21-CL-C-0019/en" TargetMode="External"/><Relationship Id="rId7" Type="http://schemas.openxmlformats.org/officeDocument/2006/relationships/endnotes" Target="endnotes.xml"/><Relationship Id="rId71" Type="http://schemas.openxmlformats.org/officeDocument/2006/relationships/hyperlink" Target="https://www.itu.int/md/S21-CL-C-0072/en"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itu.int/md/S21-CL-C-0037/en" TargetMode="External"/><Relationship Id="rId24" Type="http://schemas.openxmlformats.org/officeDocument/2006/relationships/hyperlink" Target="https://www.itu.int/md/S21-CL-C-0013/en" TargetMode="External"/><Relationship Id="rId40" Type="http://schemas.openxmlformats.org/officeDocument/2006/relationships/hyperlink" Target="https://www.itu.int/md/S21-CL-C-0060/en" TargetMode="External"/><Relationship Id="rId45" Type="http://schemas.openxmlformats.org/officeDocument/2006/relationships/hyperlink" Target="https://www.itu.int/md/S21-CL-C-0008/en" TargetMode="External"/><Relationship Id="rId66" Type="http://schemas.openxmlformats.org/officeDocument/2006/relationships/hyperlink" Target="https://www.itu.int/md/S21-CL-C-0067/en" TargetMode="External"/><Relationship Id="rId87" Type="http://schemas.openxmlformats.org/officeDocument/2006/relationships/image" Target="media/image1.jpeg"/><Relationship Id="rId61" Type="http://schemas.openxmlformats.org/officeDocument/2006/relationships/hyperlink" Target="https://www.itu.int/md/S21-CL-C-0059/en" TargetMode="External"/><Relationship Id="rId82" Type="http://schemas.openxmlformats.org/officeDocument/2006/relationships/hyperlink" Target="https://www.itu.int/md/S21-CL-C-0045/en" TargetMode="External"/><Relationship Id="rId19" Type="http://schemas.openxmlformats.org/officeDocument/2006/relationships/hyperlink" Target="https://www.itu.int/md/S21-CL-C-0021/en" TargetMode="External"/><Relationship Id="rId14" Type="http://schemas.openxmlformats.org/officeDocument/2006/relationships/hyperlink" Target="https://www.itu.int/md/S21-CL-C-0014/en" TargetMode="External"/><Relationship Id="rId30" Type="http://schemas.openxmlformats.org/officeDocument/2006/relationships/hyperlink" Target="https://www.itu.int/md/S21-CL-C-0017/en" TargetMode="External"/><Relationship Id="rId35" Type="http://schemas.openxmlformats.org/officeDocument/2006/relationships/hyperlink" Target="https://www.itu.int/md/S21-CL-C-0011/en" TargetMode="External"/><Relationship Id="rId56" Type="http://schemas.openxmlformats.org/officeDocument/2006/relationships/hyperlink" Target="https://www.itu.int/md/S21-CL-C-0043/en" TargetMode="External"/><Relationship Id="rId77" Type="http://schemas.openxmlformats.org/officeDocument/2006/relationships/hyperlink" Target="https://www.itu.int/md/S21-CL-C-0009/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phy\AppData\Roaming\Microsoft\Templates\ITU\Letter-Fax-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22FE2D07864FBA9F5E1678225A5A3B"/>
        <w:category>
          <w:name w:val="General"/>
          <w:gallery w:val="placeholder"/>
        </w:category>
        <w:types>
          <w:type w:val="bbPlcHdr"/>
        </w:types>
        <w:behaviors>
          <w:behavior w:val="content"/>
        </w:behaviors>
        <w:guid w:val="{36759B2A-1069-4557-B6FC-DAB31FA4FA18}"/>
      </w:docPartPr>
      <w:docPartBody>
        <w:p w:rsidR="00AF31B9" w:rsidRDefault="00C82E11" w:rsidP="00C82E11">
          <w:pPr>
            <w:pStyle w:val="1D22FE2D07864FBA9F5E1678225A5A3B"/>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AE"/>
    <w:rsid w:val="00131EAE"/>
    <w:rsid w:val="00173B17"/>
    <w:rsid w:val="002A2865"/>
    <w:rsid w:val="002D06D8"/>
    <w:rsid w:val="00405028"/>
    <w:rsid w:val="00AF31B9"/>
    <w:rsid w:val="00C244CE"/>
    <w:rsid w:val="00C82E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E11"/>
    <w:rPr>
      <w:color w:val="808080"/>
    </w:rPr>
  </w:style>
  <w:style w:type="paragraph" w:customStyle="1" w:styleId="1D22FE2D07864FBA9F5E1678225A5A3B">
    <w:name w:val="1D22FE2D07864FBA9F5E1678225A5A3B"/>
    <w:rsid w:val="00C82E1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01B41-F54F-4F0C-B639-B1B46213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Letter-Fax-F.dotm</Template>
  <TotalTime>2</TotalTime>
  <Pages>9</Pages>
  <Words>2865</Words>
  <Characters>20136</Characters>
  <Application>Microsoft Office Word</Application>
  <DocSecurity>4</DocSecurity>
  <Lines>575</Lines>
  <Paragraphs>370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(French)</vt:lpstr>
      <vt:lpstr>ITU-T Rec. Book 1 Resolutions ITU-T Series A Recommendations:</vt:lpstr>
    </vt:vector>
  </TitlesOfParts>
  <Company>ITU</Company>
  <LinksUpToDate>false</LinksUpToDate>
  <CharactersWithSpaces>22631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(French)</dc:title>
  <dc:creator>Margaret Murphy</dc:creator>
  <cp:lastModifiedBy>Brouard, Ricarda</cp:lastModifiedBy>
  <cp:revision>2</cp:revision>
  <cp:lastPrinted>2010-01-19T09:33:00Z</cp:lastPrinted>
  <dcterms:created xsi:type="dcterms:W3CDTF">2021-04-06T07:40:00Z</dcterms:created>
  <dcterms:modified xsi:type="dcterms:W3CDTF">2021-04-06T07:40:00Z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