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3543"/>
        <w:gridCol w:w="284"/>
        <w:gridCol w:w="4536"/>
      </w:tblGrid>
      <w:tr w:rsidR="003476DD" w:rsidRPr="004A331F" w14:paraId="08F037DF" w14:textId="77777777" w:rsidTr="00B432E5">
        <w:trPr>
          <w:jc w:val="center"/>
        </w:trPr>
        <w:tc>
          <w:tcPr>
            <w:tcW w:w="9889" w:type="dxa"/>
            <w:gridSpan w:val="4"/>
            <w:shd w:val="clear" w:color="auto" w:fill="auto"/>
          </w:tcPr>
          <w:p w14:paraId="51E2E822" w14:textId="77777777" w:rsidR="003476DD" w:rsidRPr="004A331F" w:rsidRDefault="000A249C" w:rsidP="00E75336">
            <w:pPr>
              <w:spacing w:line="240" w:lineRule="auto"/>
              <w:jc w:val="left"/>
              <w:rPr>
                <w:rFonts w:cs="Times New Roman Bold"/>
                <w:b/>
                <w:bCs/>
                <w:color w:val="808080"/>
                <w:sz w:val="28"/>
                <w:szCs w:val="28"/>
              </w:rPr>
            </w:pPr>
            <w:bookmarkStart w:id="0" w:name="Origine"/>
            <w:bookmarkEnd w:id="0"/>
            <w:r w:rsidRPr="004A331F">
              <w:rPr>
                <w:rFonts w:cs="Times New Roman Bold"/>
                <w:b/>
                <w:bCs/>
                <w:color w:val="808080"/>
                <w:sz w:val="28"/>
                <w:szCs w:val="28"/>
              </w:rPr>
              <w:t>Secrétariat général (SG)</w:t>
            </w:r>
          </w:p>
        </w:tc>
      </w:tr>
      <w:tr w:rsidR="003476DD" w:rsidRPr="004A331F" w14:paraId="3A7097BD" w14:textId="77777777" w:rsidTr="00B432E5">
        <w:trPr>
          <w:jc w:val="center"/>
        </w:trPr>
        <w:tc>
          <w:tcPr>
            <w:tcW w:w="9889" w:type="dxa"/>
            <w:gridSpan w:val="4"/>
            <w:shd w:val="clear" w:color="auto" w:fill="auto"/>
          </w:tcPr>
          <w:p w14:paraId="029C1F7C" w14:textId="77777777" w:rsidR="003476DD" w:rsidRPr="004A331F" w:rsidRDefault="003476DD" w:rsidP="00E75336">
            <w:pPr>
              <w:spacing w:line="240" w:lineRule="auto"/>
              <w:jc w:val="left"/>
            </w:pPr>
          </w:p>
        </w:tc>
      </w:tr>
      <w:tr w:rsidR="003476DD" w:rsidRPr="004A331F" w14:paraId="4BDC2E91" w14:textId="77777777" w:rsidTr="00B432E5">
        <w:trPr>
          <w:jc w:val="center"/>
        </w:trPr>
        <w:tc>
          <w:tcPr>
            <w:tcW w:w="5353" w:type="dxa"/>
            <w:gridSpan w:val="3"/>
            <w:shd w:val="clear" w:color="auto" w:fill="auto"/>
          </w:tcPr>
          <w:p w14:paraId="0C79F047" w14:textId="77777777" w:rsidR="003476DD" w:rsidRPr="004A331F" w:rsidRDefault="003476DD" w:rsidP="00E75336">
            <w:pPr>
              <w:spacing w:line="240" w:lineRule="auto"/>
              <w:jc w:val="left"/>
            </w:pPr>
          </w:p>
        </w:tc>
        <w:tc>
          <w:tcPr>
            <w:tcW w:w="4536" w:type="dxa"/>
            <w:shd w:val="clear" w:color="auto" w:fill="auto"/>
          </w:tcPr>
          <w:p w14:paraId="3D038A44" w14:textId="1BC907D0" w:rsidR="003476DD" w:rsidRPr="004A331F" w:rsidRDefault="000A249C" w:rsidP="00E75336">
            <w:pPr>
              <w:spacing w:line="240" w:lineRule="auto"/>
              <w:ind w:right="57"/>
              <w:jc w:val="left"/>
            </w:pPr>
            <w:r w:rsidRPr="004A331F">
              <w:t xml:space="preserve">Genève, le </w:t>
            </w:r>
            <w:sdt>
              <w:sdtPr>
                <w:rPr>
                  <w:rFonts w:cs="Arial"/>
                </w:rPr>
                <w:alias w:val="Date"/>
                <w:tag w:val="Date"/>
                <w:id w:val="-1536891932"/>
                <w:placeholder>
                  <w:docPart w:val="0E91E1F4E630405D87ED20F3F7AB3E34"/>
                </w:placeholder>
                <w:date w:fullDate="2021-03-25T00:00:00Z">
                  <w:dateFormat w:val="d MMMM yyyy"/>
                  <w:lid w:val="fr-FR"/>
                  <w:storeMappedDataAs w:val="date"/>
                  <w:calendar w:val="gregorian"/>
                </w:date>
              </w:sdtPr>
              <w:sdtEndPr/>
              <w:sdtContent>
                <w:r w:rsidR="005F0BE5" w:rsidRPr="004A331F">
                  <w:rPr>
                    <w:rFonts w:cs="Arial"/>
                  </w:rPr>
                  <w:t>25 mars</w:t>
                </w:r>
                <w:r w:rsidR="00D85322" w:rsidRPr="004A331F">
                  <w:rPr>
                    <w:rFonts w:cs="Arial"/>
                  </w:rPr>
                  <w:t xml:space="preserve"> 2021</w:t>
                </w:r>
              </w:sdtContent>
            </w:sdt>
          </w:p>
        </w:tc>
      </w:tr>
      <w:tr w:rsidR="00757B2B" w:rsidRPr="004A331F" w14:paraId="36D75024"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58F33EAD" w14:textId="77777777" w:rsidR="00757B2B" w:rsidRPr="004A331F" w:rsidRDefault="000A249C" w:rsidP="00E75336">
            <w:pPr>
              <w:spacing w:before="0" w:line="240" w:lineRule="auto"/>
              <w:jc w:val="left"/>
            </w:pPr>
            <w:proofErr w:type="gramStart"/>
            <w:r w:rsidRPr="004A331F">
              <w:t>Réf.:</w:t>
            </w:r>
            <w:proofErr w:type="gramEnd"/>
          </w:p>
        </w:tc>
        <w:tc>
          <w:tcPr>
            <w:tcW w:w="3827" w:type="dxa"/>
            <w:gridSpan w:val="2"/>
            <w:tcBorders>
              <w:top w:val="nil"/>
              <w:left w:val="nil"/>
              <w:bottom w:val="nil"/>
              <w:right w:val="nil"/>
            </w:tcBorders>
            <w:shd w:val="clear" w:color="auto" w:fill="auto"/>
          </w:tcPr>
          <w:p w14:paraId="06B85010" w14:textId="71676FCF" w:rsidR="00757B2B" w:rsidRPr="004A331F" w:rsidRDefault="00D85322" w:rsidP="00E75336">
            <w:pPr>
              <w:spacing w:before="0" w:line="240" w:lineRule="auto"/>
              <w:jc w:val="left"/>
              <w:rPr>
                <w:b/>
                <w:bCs/>
              </w:rPr>
            </w:pPr>
            <w:r w:rsidRPr="004A331F">
              <w:rPr>
                <w:b/>
                <w:bCs/>
              </w:rPr>
              <w:t>DM-21/100</w:t>
            </w:r>
            <w:r w:rsidR="005F0BE5" w:rsidRPr="004A331F">
              <w:rPr>
                <w:b/>
                <w:bCs/>
              </w:rPr>
              <w:t>7</w:t>
            </w:r>
          </w:p>
        </w:tc>
        <w:tc>
          <w:tcPr>
            <w:tcW w:w="4536" w:type="dxa"/>
            <w:tcBorders>
              <w:top w:val="nil"/>
              <w:left w:val="nil"/>
              <w:bottom w:val="nil"/>
              <w:right w:val="nil"/>
            </w:tcBorders>
            <w:shd w:val="clear" w:color="auto" w:fill="auto"/>
          </w:tcPr>
          <w:p w14:paraId="67E427CA" w14:textId="77777777" w:rsidR="00757B2B" w:rsidRPr="004A331F" w:rsidRDefault="00757B2B" w:rsidP="00E75336">
            <w:pPr>
              <w:spacing w:before="0" w:line="240" w:lineRule="auto"/>
              <w:jc w:val="left"/>
            </w:pPr>
          </w:p>
        </w:tc>
      </w:tr>
      <w:tr w:rsidR="003476DD" w:rsidRPr="004A331F" w14:paraId="007A2D89"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7D2A5429" w14:textId="1ACF7FCB" w:rsidR="003476DD" w:rsidRPr="004A331F" w:rsidRDefault="000A249C" w:rsidP="00E75336">
            <w:pPr>
              <w:spacing w:before="0" w:line="240" w:lineRule="auto"/>
              <w:jc w:val="left"/>
              <w:rPr>
                <w:iCs/>
                <w:color w:val="FFFFFF" w:themeColor="background1"/>
              </w:rPr>
            </w:pPr>
            <w:proofErr w:type="gramStart"/>
            <w:r w:rsidRPr="004A331F">
              <w:rPr>
                <w:iCs/>
              </w:rPr>
              <w:t>Contact:</w:t>
            </w:r>
            <w:proofErr w:type="gramEnd"/>
          </w:p>
        </w:tc>
        <w:tc>
          <w:tcPr>
            <w:tcW w:w="3543" w:type="dxa"/>
            <w:tcBorders>
              <w:top w:val="nil"/>
              <w:left w:val="nil"/>
              <w:bottom w:val="nil"/>
              <w:right w:val="nil"/>
            </w:tcBorders>
            <w:shd w:val="clear" w:color="auto" w:fill="auto"/>
          </w:tcPr>
          <w:p w14:paraId="5BEB95FD" w14:textId="5533F73F" w:rsidR="003476DD" w:rsidRPr="004A331F" w:rsidRDefault="00D85322" w:rsidP="00E75336">
            <w:pPr>
              <w:spacing w:before="0" w:line="240" w:lineRule="auto"/>
              <w:jc w:val="left"/>
            </w:pPr>
            <w:r w:rsidRPr="004A331F">
              <w:t>Mme Béatrice Pluchon</w:t>
            </w:r>
          </w:p>
        </w:tc>
        <w:tc>
          <w:tcPr>
            <w:tcW w:w="284" w:type="dxa"/>
            <w:tcBorders>
              <w:top w:val="nil"/>
              <w:left w:val="nil"/>
              <w:bottom w:val="nil"/>
              <w:right w:val="nil"/>
            </w:tcBorders>
            <w:shd w:val="clear" w:color="auto" w:fill="auto"/>
          </w:tcPr>
          <w:p w14:paraId="77E5F6BB" w14:textId="77777777" w:rsidR="003476DD" w:rsidRPr="004A331F" w:rsidRDefault="003476DD" w:rsidP="00E75336">
            <w:pPr>
              <w:spacing w:before="0" w:line="240" w:lineRule="auto"/>
            </w:pPr>
          </w:p>
        </w:tc>
        <w:tc>
          <w:tcPr>
            <w:tcW w:w="4536" w:type="dxa"/>
            <w:vMerge w:val="restart"/>
            <w:tcBorders>
              <w:top w:val="nil"/>
              <w:left w:val="nil"/>
              <w:bottom w:val="nil"/>
              <w:right w:val="nil"/>
            </w:tcBorders>
            <w:shd w:val="clear" w:color="auto" w:fill="auto"/>
          </w:tcPr>
          <w:p w14:paraId="4C374C62" w14:textId="3CEC0604" w:rsidR="000A249C" w:rsidRPr="004A331F" w:rsidRDefault="00D85322" w:rsidP="00E75336">
            <w:pPr>
              <w:spacing w:before="240" w:line="240" w:lineRule="auto"/>
              <w:rPr>
                <w:color w:val="000000"/>
              </w:rPr>
            </w:pPr>
            <w:r w:rsidRPr="004A331F">
              <w:rPr>
                <w:color w:val="000000"/>
              </w:rPr>
              <w:t>Aux États Membres du Conseil de l'UIT</w:t>
            </w:r>
          </w:p>
        </w:tc>
      </w:tr>
      <w:tr w:rsidR="003476DD" w:rsidRPr="004A331F" w14:paraId="18F71DCA"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6A31A3C1" w14:textId="6279CEAD" w:rsidR="003476DD" w:rsidRPr="004A331F" w:rsidRDefault="000A249C" w:rsidP="00E75336">
            <w:pPr>
              <w:spacing w:before="0" w:line="240" w:lineRule="auto"/>
              <w:jc w:val="left"/>
              <w:rPr>
                <w:iCs/>
                <w:color w:val="FFFFFF" w:themeColor="background1"/>
              </w:rPr>
            </w:pPr>
            <w:proofErr w:type="gramStart"/>
            <w:r w:rsidRPr="004A331F">
              <w:rPr>
                <w:iCs/>
              </w:rPr>
              <w:t>Télécopie:</w:t>
            </w:r>
            <w:proofErr w:type="gramEnd"/>
          </w:p>
        </w:tc>
        <w:tc>
          <w:tcPr>
            <w:tcW w:w="3543" w:type="dxa"/>
            <w:tcBorders>
              <w:top w:val="nil"/>
              <w:left w:val="nil"/>
              <w:bottom w:val="nil"/>
              <w:right w:val="nil"/>
            </w:tcBorders>
            <w:shd w:val="clear" w:color="auto" w:fill="auto"/>
          </w:tcPr>
          <w:p w14:paraId="0D640BCB" w14:textId="2BCA7511" w:rsidR="003476DD" w:rsidRPr="004A331F" w:rsidRDefault="00D85322" w:rsidP="00E75336">
            <w:pPr>
              <w:spacing w:before="0" w:line="240" w:lineRule="auto"/>
              <w:jc w:val="left"/>
            </w:pPr>
            <w:r w:rsidRPr="004A331F">
              <w:t>+41 22 730 6266</w:t>
            </w:r>
          </w:p>
        </w:tc>
        <w:tc>
          <w:tcPr>
            <w:tcW w:w="284" w:type="dxa"/>
            <w:tcBorders>
              <w:top w:val="nil"/>
              <w:left w:val="nil"/>
              <w:bottom w:val="nil"/>
              <w:right w:val="nil"/>
            </w:tcBorders>
            <w:shd w:val="clear" w:color="auto" w:fill="auto"/>
          </w:tcPr>
          <w:p w14:paraId="5225202B" w14:textId="77777777" w:rsidR="003476DD" w:rsidRPr="004A331F" w:rsidRDefault="003476DD" w:rsidP="00E75336">
            <w:pPr>
              <w:spacing w:before="0" w:line="240" w:lineRule="auto"/>
            </w:pPr>
          </w:p>
        </w:tc>
        <w:tc>
          <w:tcPr>
            <w:tcW w:w="4536" w:type="dxa"/>
            <w:vMerge/>
            <w:tcBorders>
              <w:top w:val="nil"/>
              <w:left w:val="nil"/>
              <w:bottom w:val="nil"/>
              <w:right w:val="nil"/>
            </w:tcBorders>
            <w:shd w:val="clear" w:color="auto" w:fill="auto"/>
          </w:tcPr>
          <w:p w14:paraId="754FFF03" w14:textId="77777777" w:rsidR="003476DD" w:rsidRPr="004A331F" w:rsidRDefault="003476DD" w:rsidP="00E75336">
            <w:pPr>
              <w:spacing w:before="0" w:line="240" w:lineRule="auto"/>
            </w:pPr>
          </w:p>
        </w:tc>
      </w:tr>
      <w:tr w:rsidR="003476DD" w:rsidRPr="004A331F" w14:paraId="6F07A673"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5B3E800F" w14:textId="77777777" w:rsidR="003476DD" w:rsidRPr="004A331F" w:rsidRDefault="000A249C" w:rsidP="00E75336">
            <w:pPr>
              <w:spacing w:before="0" w:line="240" w:lineRule="auto"/>
              <w:jc w:val="left"/>
              <w:rPr>
                <w:iCs/>
                <w:color w:val="FFFFFF" w:themeColor="background1"/>
              </w:rPr>
            </w:pPr>
            <w:proofErr w:type="gramStart"/>
            <w:r w:rsidRPr="004A331F">
              <w:t>Courriel</w:t>
            </w:r>
            <w:r w:rsidRPr="004A331F">
              <w:rPr>
                <w:iCs/>
              </w:rPr>
              <w:t>:</w:t>
            </w:r>
            <w:proofErr w:type="gramEnd"/>
          </w:p>
        </w:tc>
        <w:tc>
          <w:tcPr>
            <w:tcW w:w="3543" w:type="dxa"/>
            <w:tcBorders>
              <w:top w:val="nil"/>
              <w:left w:val="nil"/>
              <w:bottom w:val="nil"/>
              <w:right w:val="nil"/>
            </w:tcBorders>
            <w:shd w:val="clear" w:color="auto" w:fill="auto"/>
          </w:tcPr>
          <w:p w14:paraId="07C3A9B4" w14:textId="11CB0A64" w:rsidR="003476DD" w:rsidRPr="004A331F" w:rsidRDefault="00E76E31" w:rsidP="00E75336">
            <w:pPr>
              <w:spacing w:before="0" w:line="240" w:lineRule="auto"/>
              <w:jc w:val="left"/>
            </w:pPr>
            <w:hyperlink r:id="rId8" w:history="1">
              <w:r w:rsidR="00D85322" w:rsidRPr="004A331F">
                <w:rPr>
                  <w:rStyle w:val="Hyperlink"/>
                </w:rPr>
                <w:t>gbs@itu.int</w:t>
              </w:r>
            </w:hyperlink>
          </w:p>
        </w:tc>
        <w:tc>
          <w:tcPr>
            <w:tcW w:w="284" w:type="dxa"/>
            <w:tcBorders>
              <w:top w:val="nil"/>
              <w:left w:val="nil"/>
              <w:bottom w:val="nil"/>
              <w:right w:val="nil"/>
            </w:tcBorders>
            <w:shd w:val="clear" w:color="auto" w:fill="auto"/>
          </w:tcPr>
          <w:p w14:paraId="7852013B" w14:textId="77777777" w:rsidR="003476DD" w:rsidRPr="004A331F" w:rsidRDefault="003476DD" w:rsidP="00E75336">
            <w:pPr>
              <w:spacing w:before="0" w:line="240" w:lineRule="auto"/>
            </w:pPr>
          </w:p>
        </w:tc>
        <w:tc>
          <w:tcPr>
            <w:tcW w:w="4536" w:type="dxa"/>
            <w:vMerge/>
            <w:tcBorders>
              <w:top w:val="nil"/>
              <w:left w:val="nil"/>
              <w:bottom w:val="nil"/>
              <w:right w:val="nil"/>
            </w:tcBorders>
            <w:shd w:val="clear" w:color="auto" w:fill="auto"/>
          </w:tcPr>
          <w:p w14:paraId="7D062007" w14:textId="77777777" w:rsidR="003476DD" w:rsidRPr="004A331F" w:rsidRDefault="003476DD" w:rsidP="00E75336">
            <w:pPr>
              <w:spacing w:before="0" w:line="240" w:lineRule="auto"/>
            </w:pPr>
          </w:p>
        </w:tc>
      </w:tr>
      <w:tr w:rsidR="003476DD" w:rsidRPr="004A331F" w14:paraId="2EF4CC10"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13897800" w14:textId="77777777" w:rsidR="003476DD" w:rsidRPr="004A331F" w:rsidRDefault="003476DD" w:rsidP="00E75336">
            <w:pPr>
              <w:spacing w:before="0" w:line="240" w:lineRule="auto"/>
              <w:jc w:val="left"/>
              <w:rPr>
                <w:iCs/>
              </w:rPr>
            </w:pPr>
          </w:p>
        </w:tc>
        <w:tc>
          <w:tcPr>
            <w:tcW w:w="8363" w:type="dxa"/>
            <w:gridSpan w:val="3"/>
            <w:tcBorders>
              <w:top w:val="nil"/>
              <w:left w:val="nil"/>
              <w:bottom w:val="nil"/>
              <w:right w:val="nil"/>
            </w:tcBorders>
            <w:shd w:val="clear" w:color="auto" w:fill="auto"/>
          </w:tcPr>
          <w:p w14:paraId="1BCD52F9" w14:textId="77777777" w:rsidR="003476DD" w:rsidRPr="004A331F" w:rsidRDefault="003476DD" w:rsidP="00E75336">
            <w:pPr>
              <w:spacing w:before="0" w:line="240" w:lineRule="auto"/>
              <w:jc w:val="left"/>
              <w:rPr>
                <w:iCs/>
              </w:rPr>
            </w:pPr>
          </w:p>
        </w:tc>
      </w:tr>
      <w:tr w:rsidR="00757B2B" w:rsidRPr="004A331F" w14:paraId="1F612434" w14:textId="77777777" w:rsidTr="00B43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00453EBC" w14:textId="77777777" w:rsidR="00757B2B" w:rsidRPr="004A331F" w:rsidRDefault="000A249C" w:rsidP="00E75336">
            <w:pPr>
              <w:spacing w:before="120" w:line="240" w:lineRule="auto"/>
              <w:jc w:val="left"/>
              <w:rPr>
                <w:color w:val="000000"/>
              </w:rPr>
            </w:pPr>
            <w:proofErr w:type="gramStart"/>
            <w:r w:rsidRPr="004A331F">
              <w:rPr>
                <w:color w:val="000000"/>
              </w:rPr>
              <w:t>Objet:</w:t>
            </w:r>
            <w:proofErr w:type="gramEnd"/>
          </w:p>
        </w:tc>
        <w:tc>
          <w:tcPr>
            <w:tcW w:w="8363" w:type="dxa"/>
            <w:gridSpan w:val="3"/>
            <w:tcBorders>
              <w:top w:val="nil"/>
              <w:left w:val="nil"/>
              <w:bottom w:val="nil"/>
              <w:right w:val="nil"/>
            </w:tcBorders>
            <w:shd w:val="clear" w:color="auto" w:fill="auto"/>
          </w:tcPr>
          <w:p w14:paraId="7B845942" w14:textId="026813BE" w:rsidR="00757B2B" w:rsidRPr="004A331F" w:rsidRDefault="005E3E4D" w:rsidP="00E75336">
            <w:pPr>
              <w:spacing w:before="120" w:line="240" w:lineRule="auto"/>
              <w:jc w:val="left"/>
              <w:rPr>
                <w:b/>
                <w:bCs/>
                <w:color w:val="000000"/>
              </w:rPr>
            </w:pPr>
            <w:r w:rsidRPr="004A331F">
              <w:rPr>
                <w:b/>
                <w:bCs/>
                <w:color w:val="000000"/>
              </w:rPr>
              <w:t>P</w:t>
            </w:r>
            <w:r w:rsidR="00F16BAF" w:rsidRPr="004A331F">
              <w:rPr>
                <w:b/>
                <w:bCs/>
                <w:color w:val="000000"/>
              </w:rPr>
              <w:t xml:space="preserve">rojet d'ordre du jour de la consultation virtuelle des Conseillers </w:t>
            </w:r>
            <w:r w:rsidR="00D85322" w:rsidRPr="004A331F">
              <w:rPr>
                <w:b/>
                <w:bCs/>
                <w:color w:val="000000"/>
              </w:rPr>
              <w:t>(</w:t>
            </w:r>
            <w:r w:rsidR="00E75336" w:rsidRPr="004A331F">
              <w:rPr>
                <w:b/>
                <w:bCs/>
                <w:color w:val="000000"/>
              </w:rPr>
              <w:t>CVC</w:t>
            </w:r>
            <w:r w:rsidR="00D85322" w:rsidRPr="004A331F">
              <w:rPr>
                <w:b/>
                <w:bCs/>
                <w:color w:val="000000"/>
              </w:rPr>
              <w:t>-1</w:t>
            </w:r>
            <w:r w:rsidR="00454B73" w:rsidRPr="004A331F">
              <w:rPr>
                <w:b/>
                <w:bCs/>
                <w:color w:val="000000"/>
              </w:rPr>
              <w:t>/</w:t>
            </w:r>
            <w:r w:rsidR="0026015C" w:rsidRPr="004A331F">
              <w:rPr>
                <w:b/>
                <w:bCs/>
                <w:color w:val="000000"/>
              </w:rPr>
              <w:t>C21</w:t>
            </w:r>
            <w:r w:rsidR="00D85322" w:rsidRPr="004A331F">
              <w:rPr>
                <w:b/>
                <w:bCs/>
                <w:color w:val="000000"/>
              </w:rPr>
              <w:t>)</w:t>
            </w:r>
            <w:r w:rsidR="005F0BE5" w:rsidRPr="004A331F">
              <w:rPr>
                <w:b/>
                <w:bCs/>
                <w:color w:val="000000"/>
              </w:rPr>
              <w:t>, 8</w:t>
            </w:r>
            <w:r w:rsidR="003218AA" w:rsidRPr="004A331F">
              <w:rPr>
                <w:b/>
                <w:bCs/>
                <w:color w:val="000000"/>
              </w:rPr>
              <w:noBreakHyphen/>
            </w:r>
            <w:r w:rsidR="005F0BE5" w:rsidRPr="004A331F">
              <w:rPr>
                <w:b/>
                <w:bCs/>
                <w:color w:val="000000"/>
              </w:rPr>
              <w:t>18</w:t>
            </w:r>
            <w:r w:rsidR="003218AA" w:rsidRPr="004A331F">
              <w:rPr>
                <w:b/>
                <w:bCs/>
                <w:color w:val="000000"/>
              </w:rPr>
              <w:t> </w:t>
            </w:r>
            <w:r w:rsidR="005F0BE5" w:rsidRPr="004A331F">
              <w:rPr>
                <w:b/>
                <w:bCs/>
                <w:color w:val="000000"/>
              </w:rPr>
              <w:t>juin</w:t>
            </w:r>
            <w:r w:rsidR="003218AA" w:rsidRPr="004A331F">
              <w:rPr>
                <w:b/>
                <w:bCs/>
                <w:color w:val="000000"/>
              </w:rPr>
              <w:t> </w:t>
            </w:r>
            <w:r w:rsidR="005F0BE5" w:rsidRPr="004A331F">
              <w:rPr>
                <w:b/>
                <w:bCs/>
                <w:color w:val="000000"/>
              </w:rPr>
              <w:t>2021</w:t>
            </w:r>
          </w:p>
        </w:tc>
      </w:tr>
    </w:tbl>
    <w:p w14:paraId="6CB69E0E" w14:textId="77777777" w:rsidR="00AF3325" w:rsidRPr="004A331F" w:rsidRDefault="000A249C" w:rsidP="00E75336">
      <w:pPr>
        <w:pStyle w:val="Normalaftertitle0"/>
        <w:spacing w:before="360"/>
        <w:rPr>
          <w:rFonts w:asciiTheme="minorHAnsi" w:hAnsiTheme="minorHAnsi"/>
          <w:sz w:val="22"/>
          <w:szCs w:val="22"/>
          <w:lang w:val="fr-FR"/>
        </w:rPr>
      </w:pPr>
      <w:r w:rsidRPr="004A331F">
        <w:rPr>
          <w:rFonts w:asciiTheme="minorHAnsi" w:hAnsiTheme="minorHAnsi"/>
          <w:sz w:val="22"/>
          <w:szCs w:val="22"/>
          <w:lang w:val="fr-FR"/>
        </w:rPr>
        <w:t>Madame, Monsieur,</w:t>
      </w:r>
    </w:p>
    <w:p w14:paraId="4A35842C" w14:textId="4014FDAD" w:rsidR="00F51BED" w:rsidRPr="004A331F" w:rsidRDefault="00F51BED" w:rsidP="00017653">
      <w:pPr>
        <w:spacing w:before="120" w:line="240" w:lineRule="auto"/>
        <w:jc w:val="left"/>
      </w:pPr>
      <w:r w:rsidRPr="004A331F">
        <w:t xml:space="preserve">Suite à la lettre </w:t>
      </w:r>
      <w:hyperlink r:id="rId9" w:history="1">
        <w:r w:rsidRPr="004A331F">
          <w:rPr>
            <w:rStyle w:val="Hyperlink"/>
          </w:rPr>
          <w:t>DM-21/1005</w:t>
        </w:r>
      </w:hyperlink>
      <w:r w:rsidRPr="004A331F">
        <w:t xml:space="preserve"> relative à la consultation sur la liste des points à </w:t>
      </w:r>
      <w:r w:rsidR="005E3E4D" w:rsidRPr="004A331F">
        <w:t xml:space="preserve">inscrire </w:t>
      </w:r>
      <w:r w:rsidRPr="004A331F">
        <w:t>au projet d'ordre du jour de la consultation virtuelle des Conseillers (</w:t>
      </w:r>
      <w:r w:rsidR="00E75336" w:rsidRPr="004A331F">
        <w:t>CVC</w:t>
      </w:r>
      <w:r w:rsidRPr="004A331F">
        <w:t>-1/C21), et compte tenu des réponses reçues des États</w:t>
      </w:r>
      <w:r w:rsidR="003218AA" w:rsidRPr="004A331F">
        <w:t> </w:t>
      </w:r>
      <w:r w:rsidRPr="004A331F">
        <w:t xml:space="preserve">Membres du Conseil, j'ai l'honneur de </w:t>
      </w:r>
      <w:r w:rsidR="00945E2E" w:rsidRPr="004A331F">
        <w:t>vous transmettre ci-joint</w:t>
      </w:r>
      <w:r w:rsidR="00A27E04" w:rsidRPr="004A331F">
        <w:t xml:space="preserve"> en </w:t>
      </w:r>
      <w:hyperlink w:anchor="Annexe1" w:history="1">
        <w:r w:rsidRPr="004A331F">
          <w:rPr>
            <w:rStyle w:val="Hyperlink"/>
          </w:rPr>
          <w:t>Annexe 1</w:t>
        </w:r>
      </w:hyperlink>
      <w:r w:rsidR="00945E2E" w:rsidRPr="004A331F">
        <w:t xml:space="preserve"> </w:t>
      </w:r>
      <w:r w:rsidRPr="004A331F">
        <w:t xml:space="preserve">le projet d'ordre du jour de la consultation virtuelle des Conseillers qui se tiendra du 8 au 18 juin 2021, pendant la période prévue pour la session physique du Conseil. À toutes fins utiles, vous trouverez </w:t>
      </w:r>
      <w:r w:rsidR="00A27E04" w:rsidRPr="004A331F">
        <w:t xml:space="preserve">à </w:t>
      </w:r>
      <w:r w:rsidRPr="004A331F">
        <w:t>l'</w:t>
      </w:r>
      <w:hyperlink w:anchor="Annexe2" w:history="1">
        <w:r w:rsidRPr="004A331F">
          <w:rPr>
            <w:rStyle w:val="Hyperlink"/>
          </w:rPr>
          <w:t>Annexe 2</w:t>
        </w:r>
      </w:hyperlink>
      <w:r w:rsidRPr="004A331F">
        <w:t xml:space="preserve"> la liste des points dont il est proposé de reporter l'examen à une </w:t>
      </w:r>
      <w:r w:rsidR="00BA5CC6" w:rsidRPr="004A331F">
        <w:t xml:space="preserve">future </w:t>
      </w:r>
      <w:r w:rsidRPr="004A331F">
        <w:t>réunion.</w:t>
      </w:r>
    </w:p>
    <w:p w14:paraId="26999FE5" w14:textId="73564C83" w:rsidR="005F0BE5" w:rsidRPr="004A331F" w:rsidRDefault="00945E2E" w:rsidP="00017653">
      <w:pPr>
        <w:spacing w:before="120" w:line="240" w:lineRule="auto"/>
        <w:jc w:val="left"/>
      </w:pPr>
      <w:r w:rsidRPr="004A331F">
        <w:t xml:space="preserve">Les États Membres sont invités à envoyer leurs contributions à la réunion en utilisant le modèle joint </w:t>
      </w:r>
      <w:r w:rsidR="00A27E04" w:rsidRPr="004A331F">
        <w:t xml:space="preserve">en </w:t>
      </w:r>
      <w:hyperlink w:anchor="Annexe3" w:history="1">
        <w:r w:rsidR="005F0BE5" w:rsidRPr="004A331F">
          <w:rPr>
            <w:rStyle w:val="Hyperlink"/>
          </w:rPr>
          <w:t>Annex</w:t>
        </w:r>
        <w:r w:rsidRPr="004A331F">
          <w:rPr>
            <w:rStyle w:val="Hyperlink"/>
          </w:rPr>
          <w:t>e</w:t>
        </w:r>
        <w:r w:rsidR="005F0BE5" w:rsidRPr="004A331F">
          <w:rPr>
            <w:rStyle w:val="Hyperlink"/>
          </w:rPr>
          <w:t xml:space="preserve"> 3</w:t>
        </w:r>
      </w:hyperlink>
      <w:r w:rsidR="005F0BE5" w:rsidRPr="004A331F">
        <w:t xml:space="preserve">. </w:t>
      </w:r>
      <w:r w:rsidRPr="004A331F">
        <w:t xml:space="preserve">Les </w:t>
      </w:r>
      <w:r w:rsidR="005F0BE5" w:rsidRPr="004A331F">
        <w:t xml:space="preserve">contributions </w:t>
      </w:r>
      <w:r w:rsidRPr="004A331F">
        <w:t xml:space="preserve">doivent parvenir au plus tard le </w:t>
      </w:r>
      <w:r w:rsidR="005F0BE5" w:rsidRPr="004A331F">
        <w:rPr>
          <w:b/>
          <w:bCs/>
        </w:rPr>
        <w:t xml:space="preserve">25 </w:t>
      </w:r>
      <w:r w:rsidRPr="004A331F">
        <w:rPr>
          <w:b/>
          <w:bCs/>
        </w:rPr>
        <w:t xml:space="preserve">mai </w:t>
      </w:r>
      <w:r w:rsidR="005F0BE5" w:rsidRPr="004A331F">
        <w:rPr>
          <w:b/>
          <w:bCs/>
        </w:rPr>
        <w:t>2021</w:t>
      </w:r>
      <w:r w:rsidR="005F0BE5" w:rsidRPr="004A331F">
        <w:t>.</w:t>
      </w:r>
    </w:p>
    <w:p w14:paraId="07C831B9" w14:textId="3077E755" w:rsidR="00945E2E" w:rsidRPr="004A331F" w:rsidRDefault="00945E2E" w:rsidP="00017653">
      <w:pPr>
        <w:spacing w:before="120" w:line="240" w:lineRule="auto"/>
        <w:jc w:val="left"/>
      </w:pPr>
      <w:r w:rsidRPr="004A331F">
        <w:t>Un programme de plan de gestion du temps de la consultation virtuelle sera publié sur le site web du Conseil au cours des prochaines semaines et l'ordre du jour définitif sera confirmé lors de la séance d'ouverture de la consultation virtuelle des Conseillers le 8 juin 2021.</w:t>
      </w:r>
    </w:p>
    <w:p w14:paraId="516BEA6E" w14:textId="3AE950C8" w:rsidR="005F0BE5" w:rsidRPr="004A331F" w:rsidRDefault="00E75336" w:rsidP="00017653">
      <w:pPr>
        <w:spacing w:before="120" w:line="240" w:lineRule="auto"/>
        <w:jc w:val="left"/>
      </w:pPr>
      <w:r w:rsidRPr="004A331F">
        <w:t xml:space="preserve">Les inscriptions seront ouvertes à partir du 8 avril 2021 à l'adresse </w:t>
      </w:r>
      <w:hyperlink r:id="rId10" w:history="1">
        <w:r w:rsidR="005F0BE5" w:rsidRPr="004A331F">
          <w:rPr>
            <w:rStyle w:val="Hyperlink"/>
          </w:rPr>
          <w:t>https://www.itu.int/en/council/Pages/registration.aspx</w:t>
        </w:r>
      </w:hyperlink>
      <w:r w:rsidR="005F0BE5" w:rsidRPr="004A331F">
        <w:t>.</w:t>
      </w:r>
    </w:p>
    <w:p w14:paraId="4570BA57" w14:textId="05761B2F" w:rsidR="0026015C" w:rsidRPr="004A331F" w:rsidRDefault="00E75336" w:rsidP="00017653">
      <w:pPr>
        <w:spacing w:before="120" w:line="240" w:lineRule="auto"/>
        <w:jc w:val="left"/>
      </w:pPr>
      <w:r w:rsidRPr="004A331F">
        <w:t>Comme pour les deux première</w:t>
      </w:r>
      <w:r w:rsidR="007B5AB0" w:rsidRPr="004A331F">
        <w:t>s</w:t>
      </w:r>
      <w:r w:rsidRPr="004A331F">
        <w:t xml:space="preserve"> consultations des Conseillers tenues en </w:t>
      </w:r>
      <w:r w:rsidR="005F0BE5" w:rsidRPr="004A331F">
        <w:t xml:space="preserve">2020, </w:t>
      </w:r>
      <w:bookmarkStart w:id="1" w:name="_Hlk41405207"/>
      <w:r w:rsidR="005F0BE5" w:rsidRPr="004A331F">
        <w:t>veuillez noter que la plate</w:t>
      </w:r>
      <w:r w:rsidR="005A794A" w:rsidRPr="004A331F">
        <w:noBreakHyphen/>
      </w:r>
      <w:r w:rsidR="005F0BE5" w:rsidRPr="004A331F">
        <w:t xml:space="preserve">forme peut accueillir environ 300 participants actifs ("orateurs") et 2 000 participants passifs ("auditeurs"). Lors des séances, il y aura des liaisons distinctes pour les participants actifs et passifs. Il conviendra de désigner, parmi les participants inscrits d'une délégation, 1 à 3 "orateurs" pour toute la durée de la consultation, tandis que les autres membres inscrits de la délégation devront être considérés comme des "auditeurs". Les noms des "orateurs" devront être envoyés à l'adresse </w:t>
      </w:r>
      <w:hyperlink r:id="rId11" w:history="1">
        <w:r w:rsidR="005F0BE5" w:rsidRPr="004A331F">
          <w:rPr>
            <w:rStyle w:val="Hyperlink"/>
          </w:rPr>
          <w:t>sg-registration@itu.int</w:t>
        </w:r>
      </w:hyperlink>
      <w:r w:rsidR="005F0BE5" w:rsidRPr="004A331F">
        <w:t>. Au cas où une délégation aurait besoin d'un "orateur" additionnel pour certaines séances ou certains points de l'ordre du jour, nous vous prions de vous mettre en rapport avec le secrétariat à l'adresse indiquée ci</w:t>
      </w:r>
      <w:r w:rsidR="005F0BE5" w:rsidRPr="004A331F">
        <w:noBreakHyphen/>
        <w:t>dessus. Sous réserve des capacités techniques, le secrétariat pourra peut-être attribuer un temps de parole supplémentaire pour un "orateur".</w:t>
      </w:r>
      <w:bookmarkEnd w:id="1"/>
    </w:p>
    <w:p w14:paraId="5AC715AD" w14:textId="6642A177" w:rsidR="00E75336" w:rsidRPr="004A331F" w:rsidRDefault="00E75336" w:rsidP="00017653">
      <w:pPr>
        <w:spacing w:before="120" w:line="240" w:lineRule="auto"/>
        <w:jc w:val="left"/>
      </w:pPr>
      <w:r w:rsidRPr="004A331F">
        <w:t xml:space="preserve">Une réunion informelle aura lieu le 7 juin 2021, suivie d'une séance d'information sur le projet de nouveau bâtiment du siège de l'UIT. L'inscription à la </w:t>
      </w:r>
      <w:r w:rsidR="00BA5CC6" w:rsidRPr="004A331F">
        <w:t>c</w:t>
      </w:r>
      <w:r w:rsidR="00A27E04" w:rsidRPr="004A331F">
        <w:t xml:space="preserve">onsultation virtuelle des Conseillers </w:t>
      </w:r>
      <w:r w:rsidRPr="004A331F">
        <w:t>donnera accès à la fois à la réunion informelle et à la séance d'information.</w:t>
      </w:r>
    </w:p>
    <w:p w14:paraId="474A5D59" w14:textId="77777777" w:rsidR="005A794A" w:rsidRPr="004A331F" w:rsidRDefault="005A794A" w:rsidP="00E75336">
      <w:pPr>
        <w:spacing w:before="120" w:line="240" w:lineRule="auto"/>
        <w:jc w:val="left"/>
      </w:pPr>
      <w:r w:rsidRPr="004A331F">
        <w:br w:type="page"/>
      </w:r>
    </w:p>
    <w:p w14:paraId="1CB28F5E" w14:textId="00D00487" w:rsidR="005F0BE5" w:rsidRPr="004A331F" w:rsidRDefault="00E75336" w:rsidP="00E75336">
      <w:pPr>
        <w:spacing w:before="120" w:line="240" w:lineRule="auto"/>
        <w:jc w:val="left"/>
      </w:pPr>
      <w:r w:rsidRPr="004A331F">
        <w:lastRenderedPageBreak/>
        <w:t xml:space="preserve">Nous </w:t>
      </w:r>
      <w:r w:rsidR="008320F5" w:rsidRPr="004A331F">
        <w:t>compt</w:t>
      </w:r>
      <w:r w:rsidRPr="004A331F">
        <w:t>ons</w:t>
      </w:r>
      <w:r w:rsidR="008320F5" w:rsidRPr="004A331F">
        <w:t xml:space="preserve"> sur votre participation active et votre bonne volonté pour faire en sorte que cette consultation virtuelle des Conseillers soit aussi constructive et fructueuse que les précédentes.</w:t>
      </w:r>
    </w:p>
    <w:p w14:paraId="158BA361" w14:textId="4848D9DA" w:rsidR="008320F5" w:rsidRPr="004A331F" w:rsidRDefault="008320F5" w:rsidP="00E75336">
      <w:pPr>
        <w:spacing w:before="120" w:line="240" w:lineRule="auto"/>
        <w:jc w:val="left"/>
      </w:pPr>
      <w:r w:rsidRPr="004A331F">
        <w:t>Je serai très heureux de vous rencontrer virtuellement.</w:t>
      </w:r>
    </w:p>
    <w:p w14:paraId="38ECD080" w14:textId="77777777" w:rsidR="00D85322" w:rsidRPr="004A331F" w:rsidRDefault="00D85322" w:rsidP="00E75336">
      <w:pPr>
        <w:spacing w:before="480" w:after="480" w:line="240" w:lineRule="auto"/>
        <w:jc w:val="left"/>
        <w:rPr>
          <w:i/>
          <w:iCs/>
        </w:rPr>
      </w:pPr>
      <w:r w:rsidRPr="004A331F">
        <w:rPr>
          <w:i/>
          <w:iCs/>
        </w:rPr>
        <w:t>(</w:t>
      </w:r>
      <w:proofErr w:type="gramStart"/>
      <w:r w:rsidRPr="004A331F">
        <w:rPr>
          <w:i/>
          <w:iCs/>
        </w:rPr>
        <w:t>signé</w:t>
      </w:r>
      <w:proofErr w:type="gramEnd"/>
      <w:r w:rsidRPr="004A331F">
        <w:rPr>
          <w:i/>
          <w:iCs/>
        </w:rPr>
        <w:t>)</w:t>
      </w:r>
    </w:p>
    <w:p w14:paraId="70078B13" w14:textId="77777777" w:rsidR="00D85322" w:rsidRPr="004A331F" w:rsidRDefault="00D85322" w:rsidP="00E75336">
      <w:pPr>
        <w:spacing w:line="240" w:lineRule="auto"/>
        <w:jc w:val="left"/>
      </w:pPr>
      <w:r w:rsidRPr="004A331F">
        <w:t>M. Elsayed Azzouz</w:t>
      </w:r>
      <w:r w:rsidRPr="004A331F">
        <w:br/>
        <w:t>Président du Conseil</w:t>
      </w:r>
    </w:p>
    <w:p w14:paraId="6C6F4A2A" w14:textId="2E6EE96A" w:rsidR="00D85322" w:rsidRPr="004A331F" w:rsidRDefault="00D85322" w:rsidP="00E75336">
      <w:pPr>
        <w:spacing w:before="2280" w:line="240" w:lineRule="auto"/>
        <w:jc w:val="left"/>
        <w:rPr>
          <w:b/>
          <w:bCs/>
        </w:rPr>
      </w:pPr>
      <w:proofErr w:type="gramStart"/>
      <w:r w:rsidRPr="004A331F">
        <w:rPr>
          <w:b/>
          <w:bCs/>
        </w:rPr>
        <w:t>Annexes</w:t>
      </w:r>
      <w:r w:rsidRPr="00017653">
        <w:rPr>
          <w:bCs/>
        </w:rPr>
        <w:t>:</w:t>
      </w:r>
      <w:proofErr w:type="gramEnd"/>
      <w:r w:rsidR="008320F5" w:rsidRPr="00017653">
        <w:rPr>
          <w:bCs/>
        </w:rPr>
        <w:t xml:space="preserve"> 3</w:t>
      </w:r>
    </w:p>
    <w:p w14:paraId="047D2D9D" w14:textId="224E2F3C" w:rsidR="00D85322" w:rsidRPr="004A331F" w:rsidRDefault="00E76E31" w:rsidP="00E75336">
      <w:pPr>
        <w:spacing w:line="240" w:lineRule="auto"/>
        <w:ind w:left="1191" w:hanging="1191"/>
        <w:jc w:val="left"/>
      </w:pPr>
      <w:hyperlink w:anchor="Annexe1" w:history="1">
        <w:r w:rsidR="00D85322" w:rsidRPr="004A331F">
          <w:rPr>
            <w:rStyle w:val="Hyperlink"/>
          </w:rPr>
          <w:t>Annexe 1</w:t>
        </w:r>
      </w:hyperlink>
      <w:r w:rsidR="00D85322" w:rsidRPr="004A331F">
        <w:tab/>
      </w:r>
      <w:r w:rsidR="00E75336" w:rsidRPr="004A331F">
        <w:rPr>
          <w:color w:val="000000"/>
        </w:rPr>
        <w:t>P</w:t>
      </w:r>
      <w:r w:rsidR="008320F5" w:rsidRPr="004A331F">
        <w:rPr>
          <w:color w:val="000000"/>
        </w:rPr>
        <w:t>rojet d'ordre du jour de la consultation virtuelle des Conseillers (</w:t>
      </w:r>
      <w:r w:rsidR="00E75336" w:rsidRPr="004A331F">
        <w:rPr>
          <w:color w:val="000000"/>
        </w:rPr>
        <w:t>CVC</w:t>
      </w:r>
      <w:r w:rsidR="008320F5" w:rsidRPr="004A331F">
        <w:rPr>
          <w:color w:val="000000"/>
        </w:rPr>
        <w:t>-1/C21)</w:t>
      </w:r>
    </w:p>
    <w:p w14:paraId="514B995B" w14:textId="6CFEBBD4" w:rsidR="00D85322" w:rsidRPr="004A331F" w:rsidRDefault="00E76E31" w:rsidP="00E75336">
      <w:pPr>
        <w:spacing w:line="240" w:lineRule="auto"/>
        <w:ind w:left="1191" w:hanging="1191"/>
        <w:jc w:val="left"/>
      </w:pPr>
      <w:hyperlink w:anchor="Annexe2" w:history="1">
        <w:r w:rsidR="00D85322" w:rsidRPr="004A331F">
          <w:rPr>
            <w:rStyle w:val="Hyperlink"/>
          </w:rPr>
          <w:t>Annexe 2</w:t>
        </w:r>
      </w:hyperlink>
      <w:r w:rsidR="00D85322" w:rsidRPr="004A331F">
        <w:tab/>
      </w:r>
      <w:r w:rsidR="00E75336" w:rsidRPr="004A331F">
        <w:t xml:space="preserve">Points qu'il est proposé de reporter à une </w:t>
      </w:r>
      <w:r w:rsidR="008320F5" w:rsidRPr="004A331F">
        <w:t xml:space="preserve">future </w:t>
      </w:r>
      <w:r w:rsidR="00E75336" w:rsidRPr="004A331F">
        <w:t>réunion</w:t>
      </w:r>
    </w:p>
    <w:p w14:paraId="11B82BD4" w14:textId="32ED6B0A" w:rsidR="008320F5" w:rsidRPr="004A331F" w:rsidRDefault="00E76E31" w:rsidP="00E75336">
      <w:pPr>
        <w:spacing w:line="240" w:lineRule="auto"/>
        <w:ind w:left="1191" w:hanging="1191"/>
        <w:jc w:val="left"/>
      </w:pPr>
      <w:hyperlink w:anchor="Annexe3" w:history="1">
        <w:r w:rsidR="008320F5" w:rsidRPr="004A331F">
          <w:rPr>
            <w:rStyle w:val="Hyperlink"/>
          </w:rPr>
          <w:t>Annexe 3</w:t>
        </w:r>
      </w:hyperlink>
      <w:r w:rsidR="008320F5" w:rsidRPr="004A331F">
        <w:tab/>
        <w:t>Modèle pour les contributions des États Membres</w:t>
      </w:r>
    </w:p>
    <w:p w14:paraId="261826D0" w14:textId="77777777" w:rsidR="000A249C" w:rsidRPr="004A331F" w:rsidRDefault="000A249C" w:rsidP="00E75336">
      <w:pPr>
        <w:tabs>
          <w:tab w:val="clear" w:pos="794"/>
          <w:tab w:val="clear" w:pos="1191"/>
          <w:tab w:val="clear" w:pos="1588"/>
          <w:tab w:val="clear" w:pos="1985"/>
        </w:tabs>
        <w:overflowPunct/>
        <w:autoSpaceDE/>
        <w:autoSpaceDN/>
        <w:adjustRightInd/>
        <w:spacing w:before="0" w:line="240" w:lineRule="auto"/>
        <w:jc w:val="left"/>
        <w:textAlignment w:val="auto"/>
        <w:rPr>
          <w:sz w:val="20"/>
          <w:szCs w:val="20"/>
        </w:rPr>
      </w:pPr>
      <w:r w:rsidRPr="004A331F">
        <w:rPr>
          <w:sz w:val="20"/>
          <w:szCs w:val="20"/>
        </w:rPr>
        <w:br w:type="page"/>
      </w:r>
    </w:p>
    <w:p w14:paraId="4506C746" w14:textId="6DAF8DF0" w:rsidR="00071176" w:rsidRPr="004A331F" w:rsidRDefault="00071176" w:rsidP="00E75336">
      <w:pPr>
        <w:pStyle w:val="AnnexNoTitle"/>
        <w:spacing w:before="0" w:line="240" w:lineRule="auto"/>
      </w:pPr>
      <w:bookmarkStart w:id="2" w:name="Signature"/>
      <w:bookmarkEnd w:id="2"/>
      <w:r w:rsidRPr="004A331F">
        <w:lastRenderedPageBreak/>
        <w:t>ANNEXE 1</w:t>
      </w:r>
      <w:bookmarkStart w:id="3" w:name="Annexe1"/>
      <w:bookmarkEnd w:id="3"/>
      <w:r w:rsidR="00887395" w:rsidRPr="004A331F">
        <w:br/>
      </w:r>
      <w:r w:rsidR="00887395" w:rsidRPr="004A331F">
        <w:br/>
      </w:r>
      <w:r w:rsidR="00E75336" w:rsidRPr="004A331F">
        <w:rPr>
          <w:color w:val="000000"/>
        </w:rPr>
        <w:t>P</w:t>
      </w:r>
      <w:r w:rsidR="008320F5" w:rsidRPr="004A331F">
        <w:rPr>
          <w:color w:val="000000"/>
        </w:rPr>
        <w:t>rojet d'ordre du jour de la consultation virtuelle des Conseillers (</w:t>
      </w:r>
      <w:r w:rsidR="00E75336" w:rsidRPr="004A331F">
        <w:rPr>
          <w:color w:val="000000"/>
        </w:rPr>
        <w:t>CVC</w:t>
      </w:r>
      <w:r w:rsidR="008320F5" w:rsidRPr="004A331F">
        <w:rPr>
          <w:color w:val="000000"/>
        </w:rPr>
        <w:t>-1/C21)</w:t>
      </w:r>
    </w:p>
    <w:p w14:paraId="005C9759" w14:textId="631496D7" w:rsidR="00E75336" w:rsidRPr="004A331F" w:rsidRDefault="00E75336" w:rsidP="00E75336">
      <w:pPr>
        <w:spacing w:before="360" w:line="240" w:lineRule="auto"/>
        <w:jc w:val="left"/>
      </w:pPr>
      <w:r w:rsidRPr="004A331F">
        <w:t xml:space="preserve">Compte tenu des réponses reçues des États </w:t>
      </w:r>
      <w:r w:rsidR="00BA5CC6" w:rsidRPr="004A331F">
        <w:t>M</w:t>
      </w:r>
      <w:r w:rsidRPr="004A331F">
        <w:t xml:space="preserve">embres du Conseil à la suite de la lettre </w:t>
      </w:r>
      <w:hyperlink r:id="rId12" w:history="1">
        <w:r w:rsidR="00A27E04" w:rsidRPr="004A331F">
          <w:rPr>
            <w:rStyle w:val="Hyperlink"/>
          </w:rPr>
          <w:t>DM-21/1005</w:t>
        </w:r>
      </w:hyperlink>
      <w:r w:rsidR="00A27E04" w:rsidRPr="004A331F">
        <w:t xml:space="preserve">, </w:t>
      </w:r>
      <w:r w:rsidRPr="004A331F">
        <w:t xml:space="preserve">le projet d'ordre du jour suivant de la consultation virtuelle des </w:t>
      </w:r>
      <w:r w:rsidR="00A27E04" w:rsidRPr="004A331F">
        <w:t>C</w:t>
      </w:r>
      <w:r w:rsidRPr="004A331F">
        <w:t>onseillers (</w:t>
      </w:r>
      <w:r w:rsidR="00A27E04" w:rsidRPr="004A331F">
        <w:t>CVC-1/C21</w:t>
      </w:r>
      <w:r w:rsidRPr="004A331F">
        <w:t xml:space="preserve">) contient </w:t>
      </w:r>
      <w:r w:rsidR="00A27E04" w:rsidRPr="004A331F">
        <w:t>l</w:t>
      </w:r>
      <w:r w:rsidRPr="004A331F">
        <w:t xml:space="preserve">es points qui ont été identifiés comme urgents et pour lesquels une décision </w:t>
      </w:r>
      <w:r w:rsidR="00A27E04" w:rsidRPr="004A331F">
        <w:t xml:space="preserve">doit être prise </w:t>
      </w:r>
      <w:r w:rsidRPr="004A331F">
        <w:t xml:space="preserve">avant la fin de 2021 </w:t>
      </w:r>
      <w:r w:rsidR="00A27E04" w:rsidRPr="004A331F">
        <w:t>(</w:t>
      </w:r>
      <w:r w:rsidR="00A27E04" w:rsidRPr="004A331F">
        <w:rPr>
          <w:b/>
          <w:bCs/>
          <w:color w:val="00B050"/>
        </w:rPr>
        <w:t>groupe</w:t>
      </w:r>
      <w:r w:rsidR="005A794A" w:rsidRPr="004A331F">
        <w:rPr>
          <w:b/>
          <w:bCs/>
          <w:color w:val="00B050"/>
        </w:rPr>
        <w:t> </w:t>
      </w:r>
      <w:r w:rsidR="00A27E04" w:rsidRPr="004A331F">
        <w:rPr>
          <w:b/>
          <w:bCs/>
          <w:color w:val="00B050"/>
        </w:rPr>
        <w:t>1</w:t>
      </w:r>
      <w:r w:rsidR="00A27E04" w:rsidRPr="004A331F">
        <w:rPr>
          <w:bCs/>
        </w:rPr>
        <w:t>).</w:t>
      </w:r>
      <w:r w:rsidR="00A27E04" w:rsidRPr="004A331F">
        <w:t xml:space="preserve"> </w:t>
      </w:r>
      <w:r w:rsidRPr="004A331F">
        <w:t xml:space="preserve">Les documents </w:t>
      </w:r>
      <w:r w:rsidR="00A27E04" w:rsidRPr="004A331F">
        <w:t xml:space="preserve">du groupe </w:t>
      </w:r>
      <w:r w:rsidRPr="004A331F">
        <w:t xml:space="preserve">1+ ont été identifiés comme plus urgents. Si </w:t>
      </w:r>
      <w:r w:rsidR="00A27E04" w:rsidRPr="004A331F">
        <w:t>d</w:t>
      </w:r>
      <w:r w:rsidRPr="004A331F">
        <w:t xml:space="preserve">es documents du groupe 1 ne peuvent pas être examinés </w:t>
      </w:r>
      <w:r w:rsidR="00A27E04" w:rsidRPr="004A331F">
        <w:t xml:space="preserve">faute </w:t>
      </w:r>
      <w:r w:rsidRPr="004A331F">
        <w:t xml:space="preserve">de temps, ils seront </w:t>
      </w:r>
      <w:r w:rsidR="00BA5CC6" w:rsidRPr="004A331F">
        <w:t xml:space="preserve">déplacés </w:t>
      </w:r>
      <w:r w:rsidR="00A27E04" w:rsidRPr="004A331F">
        <w:t xml:space="preserve">dans </w:t>
      </w:r>
      <w:r w:rsidRPr="004A331F">
        <w:t>le groupe 2.</w:t>
      </w:r>
    </w:p>
    <w:p w14:paraId="49B7F653" w14:textId="4A7C4B59" w:rsidR="008320F5" w:rsidRPr="004A331F" w:rsidRDefault="00017653" w:rsidP="00E75336">
      <w:pPr>
        <w:spacing w:before="120" w:line="240" w:lineRule="auto"/>
        <w:jc w:val="left"/>
      </w:pPr>
      <w:r>
        <w:rPr>
          <w:spacing w:val="-4"/>
        </w:rPr>
        <w:t>L</w:t>
      </w:r>
      <w:r w:rsidR="008320F5" w:rsidRPr="004A331F">
        <w:rPr>
          <w:spacing w:val="-4"/>
        </w:rPr>
        <w:t xml:space="preserve">es États Membres sont invités à envoyer leurs contributions à la réunion en utilisant le modèle joint en </w:t>
      </w:r>
      <w:hyperlink w:anchor="Annexe3" w:history="1">
        <w:r w:rsidR="008320F5" w:rsidRPr="004A331F">
          <w:rPr>
            <w:rStyle w:val="Hyperlink"/>
            <w:spacing w:val="-4"/>
          </w:rPr>
          <w:t>Annexe 3</w:t>
        </w:r>
      </w:hyperlink>
      <w:r w:rsidR="008320F5" w:rsidRPr="004A331F">
        <w:rPr>
          <w:spacing w:val="-4"/>
        </w:rPr>
        <w:t>.</w:t>
      </w:r>
      <w:r w:rsidR="008320F5" w:rsidRPr="004A331F">
        <w:t xml:space="preserve"> </w:t>
      </w:r>
      <w:r w:rsidR="00A27E04" w:rsidRPr="004A331F">
        <w:t xml:space="preserve">Les contributions doivent parvenir au plus tard le </w:t>
      </w:r>
      <w:r w:rsidR="00A27E04" w:rsidRPr="004A331F">
        <w:rPr>
          <w:b/>
          <w:bCs/>
        </w:rPr>
        <w:t>25 mai 2021</w:t>
      </w:r>
      <w:r w:rsidR="00A27E04" w:rsidRPr="004A331F">
        <w:t>.</w:t>
      </w:r>
    </w:p>
    <w:p w14:paraId="2E4C8E03" w14:textId="73743E95" w:rsidR="00454B73" w:rsidRPr="004A331F" w:rsidRDefault="00A27E04" w:rsidP="00E75336">
      <w:pPr>
        <w:spacing w:after="240" w:line="240" w:lineRule="auto"/>
        <w:jc w:val="left"/>
      </w:pPr>
      <w:r w:rsidRPr="004A331F">
        <w:t>À toutes fins utiles, vous trouverez à l'</w:t>
      </w:r>
      <w:hyperlink w:anchor="Annexe2" w:history="1">
        <w:r w:rsidRPr="004A331F">
          <w:rPr>
            <w:rStyle w:val="Hyperlink"/>
          </w:rPr>
          <w:t>Annexe 2</w:t>
        </w:r>
      </w:hyperlink>
      <w:r w:rsidRPr="004A331F">
        <w:t xml:space="preserve"> les points qu'il est proposé de reporter à une </w:t>
      </w:r>
      <w:r w:rsidR="00BA5CC6" w:rsidRPr="004A331F">
        <w:t xml:space="preserve">future </w:t>
      </w:r>
      <w:r w:rsidRPr="004A331F">
        <w:t xml:space="preserve">réunion </w:t>
      </w:r>
      <w:r w:rsidR="008320F5" w:rsidRPr="004A331F">
        <w:t>(</w:t>
      </w:r>
      <w:r w:rsidRPr="004A331F">
        <w:rPr>
          <w:b/>
          <w:bCs/>
          <w:color w:val="F79646" w:themeColor="accent6"/>
        </w:rPr>
        <w:t>g</w:t>
      </w:r>
      <w:r w:rsidR="008320F5" w:rsidRPr="004A331F">
        <w:rPr>
          <w:b/>
          <w:bCs/>
          <w:color w:val="F79646" w:themeColor="accent6"/>
        </w:rPr>
        <w:t>roup</w:t>
      </w:r>
      <w:r w:rsidRPr="004A331F">
        <w:rPr>
          <w:b/>
          <w:bCs/>
          <w:color w:val="F79646" w:themeColor="accent6"/>
        </w:rPr>
        <w:t>e</w:t>
      </w:r>
      <w:r w:rsidR="008320F5" w:rsidRPr="004A331F">
        <w:rPr>
          <w:b/>
          <w:bCs/>
          <w:color w:val="F79646" w:themeColor="accent6"/>
        </w:rPr>
        <w:t xml:space="preserve"> 2</w:t>
      </w:r>
      <w:r w:rsidR="008320F5" w:rsidRPr="004A331F">
        <w:t>).</w:t>
      </w:r>
    </w:p>
    <w:tbl>
      <w:tblPr>
        <w:tblW w:w="9776" w:type="dxa"/>
        <w:jc w:val="center"/>
        <w:tblLayout w:type="fixed"/>
        <w:tblLook w:val="04A0" w:firstRow="1" w:lastRow="0" w:firstColumn="1" w:lastColumn="0" w:noHBand="0" w:noVBand="1"/>
      </w:tblPr>
      <w:tblGrid>
        <w:gridCol w:w="484"/>
        <w:gridCol w:w="6740"/>
        <w:gridCol w:w="1418"/>
        <w:gridCol w:w="1134"/>
      </w:tblGrid>
      <w:tr w:rsidR="008320F5" w:rsidRPr="004A331F" w14:paraId="403F2BC2" w14:textId="77777777" w:rsidTr="008320F5">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0C464C0C" w14:textId="77777777" w:rsidR="008320F5" w:rsidRPr="004A331F" w:rsidRDefault="008320F5" w:rsidP="00E75336">
            <w:pPr>
              <w:pStyle w:val="Tablehead"/>
              <w:rPr>
                <w:bCs/>
                <w:sz w:val="18"/>
                <w:lang w:eastAsia="en-GB"/>
              </w:rPr>
            </w:pPr>
          </w:p>
        </w:tc>
        <w:tc>
          <w:tcPr>
            <w:tcW w:w="6740" w:type="dxa"/>
            <w:tcBorders>
              <w:top w:val="single" w:sz="4" w:space="0" w:color="auto"/>
              <w:left w:val="nil"/>
              <w:bottom w:val="single" w:sz="4" w:space="0" w:color="auto"/>
              <w:right w:val="single" w:sz="4" w:space="0" w:color="auto"/>
            </w:tcBorders>
            <w:shd w:val="clear" w:color="auto" w:fill="D9D9D9"/>
            <w:vAlign w:val="center"/>
          </w:tcPr>
          <w:p w14:paraId="7FE0298B" w14:textId="272ACF1C" w:rsidR="008320F5" w:rsidRPr="004A331F" w:rsidRDefault="008320F5" w:rsidP="00E75336">
            <w:pPr>
              <w:pStyle w:val="Tablehead"/>
              <w:rPr>
                <w:bCs/>
                <w:sz w:val="18"/>
                <w:lang w:eastAsia="en-GB"/>
              </w:rPr>
            </w:pPr>
            <w:r w:rsidRPr="004A331F">
              <w:rPr>
                <w:bCs/>
                <w:sz w:val="18"/>
                <w:lang w:eastAsia="en-GB"/>
              </w:rPr>
              <w:t>Ti</w:t>
            </w:r>
            <w:r w:rsidR="00DB3438" w:rsidRPr="004A331F">
              <w:rPr>
                <w:bCs/>
                <w:sz w:val="18"/>
                <w:lang w:eastAsia="en-GB"/>
              </w:rPr>
              <w:t>tre</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55A6BABF" w14:textId="396A56E1" w:rsidR="008320F5" w:rsidRPr="004A331F" w:rsidRDefault="008320F5" w:rsidP="00E75336">
            <w:pPr>
              <w:pStyle w:val="Tablehead"/>
              <w:rPr>
                <w:bCs/>
                <w:sz w:val="18"/>
                <w:lang w:eastAsia="en-GB"/>
              </w:rPr>
            </w:pPr>
            <w:r w:rsidRPr="004A331F">
              <w:rPr>
                <w:bCs/>
                <w:sz w:val="18"/>
                <w:lang w:eastAsia="en-GB"/>
              </w:rPr>
              <w:t>Doc. N</w:t>
            </w:r>
            <w:r w:rsidR="00DB3438" w:rsidRPr="004A331F">
              <w:rPr>
                <w:bCs/>
                <w:sz w:val="18"/>
                <w:lang w:eastAsia="en-GB"/>
              </w:rPr>
              <w:t>°</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785717F6" w14:textId="77777777" w:rsidR="008320F5" w:rsidRPr="004A331F" w:rsidRDefault="008320F5" w:rsidP="00E75336">
            <w:pPr>
              <w:pStyle w:val="Tablehead"/>
              <w:rPr>
                <w:bCs/>
                <w:sz w:val="18"/>
                <w:lang w:eastAsia="en-GB"/>
              </w:rPr>
            </w:pPr>
            <w:r w:rsidRPr="004A331F">
              <w:rPr>
                <w:bCs/>
                <w:sz w:val="18"/>
                <w:szCs w:val="20"/>
                <w:lang w:eastAsia="en-GB"/>
              </w:rPr>
              <w:t>FINAL</w:t>
            </w:r>
          </w:p>
        </w:tc>
      </w:tr>
      <w:tr w:rsidR="008320F5" w:rsidRPr="004A331F" w14:paraId="6E5BDB2A"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527E80D3" w14:textId="77777777" w:rsidR="008320F5" w:rsidRPr="004A331F" w:rsidRDefault="008320F5" w:rsidP="00E75336">
            <w:pPr>
              <w:pStyle w:val="Tabletext"/>
              <w:jc w:val="center"/>
              <w:rPr>
                <w:sz w:val="18"/>
                <w:szCs w:val="18"/>
                <w:lang w:eastAsia="en-GB"/>
              </w:rPr>
            </w:pPr>
            <w:r w:rsidRPr="004A331F">
              <w:rPr>
                <w:sz w:val="18"/>
                <w:szCs w:val="18"/>
                <w:lang w:eastAsia="en-GB"/>
              </w:rPr>
              <w:t>1</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5A210634" w14:textId="700C97D8" w:rsidR="008320F5" w:rsidRPr="004A331F" w:rsidRDefault="00DB3438" w:rsidP="00E75336">
            <w:pPr>
              <w:pStyle w:val="Tabletext"/>
              <w:rPr>
                <w:sz w:val="18"/>
                <w:szCs w:val="18"/>
                <w:lang w:eastAsia="en-GB"/>
              </w:rPr>
            </w:pPr>
            <w:r w:rsidRPr="004A331F">
              <w:rPr>
                <w:sz w:val="18"/>
                <w:szCs w:val="18"/>
                <w:lang w:eastAsia="en-GB"/>
              </w:rPr>
              <w:t>Compilation des résultats des discussions des consultations virtuelles des Conseillers</w:t>
            </w:r>
          </w:p>
        </w:tc>
        <w:tc>
          <w:tcPr>
            <w:tcW w:w="1418" w:type="dxa"/>
            <w:tcBorders>
              <w:top w:val="nil"/>
              <w:left w:val="nil"/>
              <w:bottom w:val="single" w:sz="4" w:space="0" w:color="auto"/>
              <w:right w:val="single" w:sz="4" w:space="0" w:color="auto"/>
            </w:tcBorders>
            <w:shd w:val="clear" w:color="auto" w:fill="auto"/>
            <w:noWrap/>
            <w:vAlign w:val="center"/>
            <w:hideMark/>
          </w:tcPr>
          <w:p w14:paraId="3FF7D3C7" w14:textId="77777777" w:rsidR="008320F5" w:rsidRPr="004A331F" w:rsidRDefault="00E76E31" w:rsidP="00E75336">
            <w:pPr>
              <w:pStyle w:val="Tabletext"/>
              <w:jc w:val="center"/>
              <w:rPr>
                <w:b/>
                <w:bCs/>
                <w:sz w:val="18"/>
                <w:szCs w:val="18"/>
                <w:lang w:eastAsia="en-GB"/>
              </w:rPr>
            </w:pPr>
            <w:hyperlink r:id="rId13" w:history="1">
              <w:r w:rsidR="008320F5" w:rsidRPr="004A331F">
                <w:rPr>
                  <w:rStyle w:val="Hyperlink"/>
                  <w:b/>
                  <w:bCs/>
                  <w:sz w:val="18"/>
                  <w:szCs w:val="18"/>
                  <w:lang w:eastAsia="en-GB"/>
                </w:rPr>
                <w:t>C21/14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1845FCC"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05404114"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54F3D417" w14:textId="77777777" w:rsidR="008320F5" w:rsidRPr="004A331F" w:rsidRDefault="008320F5" w:rsidP="00E75336">
            <w:pPr>
              <w:pStyle w:val="Tabletext"/>
              <w:jc w:val="center"/>
              <w:rPr>
                <w:sz w:val="18"/>
                <w:szCs w:val="18"/>
                <w:lang w:eastAsia="en-GB"/>
              </w:rPr>
            </w:pPr>
            <w:r w:rsidRPr="004A331F">
              <w:rPr>
                <w:sz w:val="18"/>
                <w:szCs w:val="18"/>
                <w:lang w:eastAsia="en-GB"/>
              </w:rPr>
              <w:t>2</w:t>
            </w:r>
          </w:p>
        </w:tc>
        <w:tc>
          <w:tcPr>
            <w:tcW w:w="6740" w:type="dxa"/>
            <w:tcBorders>
              <w:top w:val="nil"/>
              <w:left w:val="nil"/>
              <w:bottom w:val="single" w:sz="4" w:space="0" w:color="auto"/>
              <w:right w:val="single" w:sz="4" w:space="0" w:color="auto"/>
            </w:tcBorders>
            <w:shd w:val="clear" w:color="auto" w:fill="auto"/>
            <w:vAlign w:val="center"/>
          </w:tcPr>
          <w:p w14:paraId="291C5DAF" w14:textId="2BC90905" w:rsidR="008320F5" w:rsidRPr="004A331F" w:rsidRDefault="00DB3438" w:rsidP="00017653">
            <w:pPr>
              <w:pStyle w:val="Tabletext"/>
              <w:rPr>
                <w:sz w:val="18"/>
                <w:szCs w:val="18"/>
                <w:lang w:eastAsia="en-GB"/>
              </w:rPr>
            </w:pPr>
            <w:r w:rsidRPr="004A331F">
              <w:rPr>
                <w:sz w:val="18"/>
                <w:szCs w:val="18"/>
                <w:lang w:eastAsia="en-GB"/>
              </w:rPr>
              <w:t>Rapport sur l'AR-19 et la CMR-19</w:t>
            </w:r>
            <w:r w:rsidR="008320F5" w:rsidRPr="004A331F">
              <w:rPr>
                <w:sz w:val="18"/>
                <w:szCs w:val="18"/>
                <w:lang w:eastAsia="en-GB"/>
              </w:rPr>
              <w:t xml:space="preserve"> (</w:t>
            </w:r>
            <w:r w:rsidR="00360DBC" w:rsidRPr="004A331F">
              <w:rPr>
                <w:i/>
                <w:iCs/>
                <w:sz w:val="18"/>
                <w:szCs w:val="18"/>
                <w:lang w:eastAsia="en-GB"/>
              </w:rPr>
              <w:t>il convient d'en prendre note</w:t>
            </w:r>
            <w:r w:rsidR="00360DBC" w:rsidRPr="004A331F">
              <w:rPr>
                <w:sz w:val="18"/>
                <w:szCs w:val="18"/>
                <w:lang w:eastAsia="en-GB"/>
              </w:rPr>
              <w:t xml:space="preserve"> </w:t>
            </w:r>
            <w:r w:rsidR="00360DBC" w:rsidRPr="004A331F">
              <w:rPr>
                <w:i/>
                <w:iCs/>
                <w:sz w:val="18"/>
                <w:szCs w:val="18"/>
                <w:lang w:eastAsia="en-GB"/>
              </w:rPr>
              <w:t xml:space="preserve">avec le </w:t>
            </w:r>
            <w:r w:rsidR="00017653">
              <w:rPr>
                <w:i/>
                <w:iCs/>
                <w:sz w:val="18"/>
                <w:szCs w:val="18"/>
                <w:lang w:eastAsia="en-GB"/>
              </w:rPr>
              <w:t>D</w:t>
            </w:r>
            <w:r w:rsidR="008320F5" w:rsidRPr="004A331F">
              <w:rPr>
                <w:i/>
                <w:iCs/>
                <w:sz w:val="18"/>
                <w:szCs w:val="18"/>
                <w:lang w:eastAsia="en-GB"/>
              </w:rPr>
              <w:t>ocument C21/14</w:t>
            </w:r>
            <w:r w:rsidR="00360DBC" w:rsidRPr="004A331F">
              <w:rPr>
                <w:i/>
                <w:iCs/>
                <w:sz w:val="18"/>
                <w:szCs w:val="18"/>
                <w:lang w:eastAsia="en-GB"/>
              </w:rPr>
              <w:t xml:space="preserve"> ci-dessus</w:t>
            </w:r>
            <w:r w:rsidR="008320F5"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noWrap/>
            <w:vAlign w:val="center"/>
          </w:tcPr>
          <w:p w14:paraId="4042C88F" w14:textId="77777777" w:rsidR="008320F5" w:rsidRPr="004A331F" w:rsidRDefault="00E76E31" w:rsidP="00E75336">
            <w:pPr>
              <w:pStyle w:val="Tabletext"/>
              <w:jc w:val="center"/>
              <w:rPr>
                <w:b/>
                <w:bCs/>
                <w:sz w:val="18"/>
                <w:szCs w:val="18"/>
                <w:lang w:eastAsia="en-GB"/>
              </w:rPr>
            </w:pPr>
            <w:hyperlink r:id="rId14" w:history="1">
              <w:r w:rsidR="008320F5" w:rsidRPr="004A331F">
                <w:rPr>
                  <w:rStyle w:val="Hyperlink"/>
                  <w:b/>
                  <w:bCs/>
                  <w:sz w:val="18"/>
                  <w:szCs w:val="18"/>
                  <w:lang w:eastAsia="en-GB"/>
                </w:rPr>
                <w:t>C21/27</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14E273"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3D36F77B"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0D0D53F1" w14:textId="77777777" w:rsidR="008320F5" w:rsidRPr="004A331F" w:rsidRDefault="008320F5" w:rsidP="00E75336">
            <w:pPr>
              <w:pStyle w:val="Tabletext"/>
              <w:jc w:val="center"/>
              <w:rPr>
                <w:sz w:val="18"/>
                <w:szCs w:val="18"/>
                <w:lang w:eastAsia="en-GB"/>
              </w:rPr>
            </w:pPr>
            <w:r w:rsidRPr="004A331F">
              <w:rPr>
                <w:sz w:val="18"/>
                <w:szCs w:val="18"/>
                <w:lang w:eastAsia="en-GB"/>
              </w:rPr>
              <w:t>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5359F674" w14:textId="29C2AE1A" w:rsidR="008320F5" w:rsidRPr="004A331F" w:rsidRDefault="00DB3438" w:rsidP="00E75336">
            <w:pPr>
              <w:pStyle w:val="Tabletext"/>
              <w:rPr>
                <w:sz w:val="18"/>
                <w:szCs w:val="18"/>
                <w:lang w:eastAsia="en-GB"/>
              </w:rPr>
            </w:pPr>
            <w:r w:rsidRPr="004A331F">
              <w:rPr>
                <w:sz w:val="18"/>
                <w:szCs w:val="18"/>
                <w:lang w:eastAsia="en-GB"/>
              </w:rPr>
              <w:t xml:space="preserve">Rapport sur la mise en œuvre du Plan stratégique et sur les activités de l'Union pour la période 2020-2021 </w:t>
            </w:r>
            <w:r w:rsidRPr="004A331F">
              <w:rPr>
                <w:iCs/>
                <w:sz w:val="18"/>
                <w:szCs w:val="18"/>
                <w:lang w:eastAsia="en-GB"/>
              </w:rPr>
              <w:t>(numéros 61, 82 et 102 de la Convention)</w:t>
            </w:r>
          </w:p>
        </w:tc>
        <w:tc>
          <w:tcPr>
            <w:tcW w:w="1418" w:type="dxa"/>
            <w:tcBorders>
              <w:top w:val="nil"/>
              <w:left w:val="nil"/>
              <w:bottom w:val="single" w:sz="4" w:space="0" w:color="auto"/>
              <w:right w:val="single" w:sz="4" w:space="0" w:color="auto"/>
            </w:tcBorders>
            <w:shd w:val="clear" w:color="auto" w:fill="auto"/>
            <w:vAlign w:val="center"/>
            <w:hideMark/>
          </w:tcPr>
          <w:p w14:paraId="3D5098EE" w14:textId="77777777" w:rsidR="008320F5" w:rsidRPr="004A331F" w:rsidRDefault="00E76E31" w:rsidP="00E75336">
            <w:pPr>
              <w:pStyle w:val="Tabletext"/>
              <w:jc w:val="center"/>
              <w:rPr>
                <w:b/>
                <w:bCs/>
                <w:sz w:val="18"/>
                <w:szCs w:val="18"/>
                <w:lang w:eastAsia="en-GB"/>
              </w:rPr>
            </w:pPr>
            <w:hyperlink r:id="rId15" w:history="1">
              <w:r w:rsidR="008320F5" w:rsidRPr="004A331F">
                <w:rPr>
                  <w:rStyle w:val="Hyperlink"/>
                  <w:b/>
                  <w:bCs/>
                  <w:sz w:val="18"/>
                  <w:szCs w:val="18"/>
                  <w:lang w:eastAsia="en-GB"/>
                </w:rPr>
                <w:t>C21/35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807C5AA"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586EDD40" w14:textId="77777777" w:rsidTr="00DB3438">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0C0F2AB" w14:textId="77777777" w:rsidR="008320F5" w:rsidRPr="004A331F" w:rsidRDefault="008320F5" w:rsidP="00E75336">
            <w:pPr>
              <w:pStyle w:val="Tabletext"/>
              <w:jc w:val="center"/>
              <w:rPr>
                <w:sz w:val="18"/>
                <w:szCs w:val="18"/>
                <w:lang w:eastAsia="en-GB"/>
              </w:rPr>
            </w:pPr>
            <w:r w:rsidRPr="004A331F">
              <w:rPr>
                <w:sz w:val="18"/>
                <w:szCs w:val="18"/>
                <w:lang w:eastAsia="en-GB"/>
              </w:rPr>
              <w:t>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052A3A74" w14:textId="036D592F" w:rsidR="008320F5" w:rsidRPr="004A331F" w:rsidRDefault="00DB3438" w:rsidP="00E75336">
            <w:pPr>
              <w:pStyle w:val="Tabletext"/>
              <w:rPr>
                <w:sz w:val="18"/>
                <w:szCs w:val="18"/>
                <w:lang w:eastAsia="en-GB"/>
              </w:rPr>
            </w:pPr>
            <w:r w:rsidRPr="004A331F">
              <w:rPr>
                <w:sz w:val="18"/>
                <w:szCs w:val="18"/>
                <w:lang w:eastAsia="en-GB"/>
              </w:rPr>
              <w:t>Projet de Plan opérationnel quadriennal du Secrétari</w:t>
            </w:r>
            <w:r w:rsidR="00017653">
              <w:rPr>
                <w:sz w:val="18"/>
                <w:szCs w:val="18"/>
                <w:lang w:eastAsia="en-GB"/>
              </w:rPr>
              <w:t>at général pour la période 2021</w:t>
            </w:r>
            <w:r w:rsidR="00017653">
              <w:rPr>
                <w:sz w:val="18"/>
                <w:szCs w:val="18"/>
                <w:lang w:eastAsia="en-GB"/>
              </w:rPr>
              <w:noBreakHyphen/>
            </w:r>
            <w:r w:rsidRPr="004A331F">
              <w:rPr>
                <w:sz w:val="18"/>
                <w:szCs w:val="18"/>
                <w:lang w:eastAsia="en-GB"/>
              </w:rPr>
              <w:t xml:space="preserve">2024 (numéros 87A, 181A, 205A, 223A de la Convention) </w:t>
            </w:r>
            <w:r w:rsidRPr="004A331F">
              <w:rPr>
                <w:sz w:val="18"/>
                <w:szCs w:val="18"/>
                <w:lang w:eastAsia="en-GB"/>
              </w:rPr>
              <w:br/>
              <w:t>(</w:t>
            </w:r>
            <w:r w:rsidRPr="004A331F">
              <w:rPr>
                <w:i/>
                <w:iCs/>
                <w:sz w:val="18"/>
                <w:szCs w:val="18"/>
                <w:lang w:eastAsia="en-GB"/>
              </w:rPr>
              <w:t>Résolution 1390 du Conseil</w:t>
            </w:r>
            <w:r w:rsidRPr="004A331F">
              <w:rPr>
                <w:sz w:val="18"/>
                <w:szCs w:val="18"/>
                <w:lang w:eastAsia="en-GB"/>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112DB0" w14:textId="77777777" w:rsidR="008320F5" w:rsidRPr="004A331F" w:rsidRDefault="00E76E31" w:rsidP="00E75336">
            <w:pPr>
              <w:pStyle w:val="Tabletext"/>
              <w:jc w:val="center"/>
              <w:rPr>
                <w:b/>
                <w:bCs/>
                <w:sz w:val="18"/>
                <w:szCs w:val="18"/>
                <w:lang w:eastAsia="en-GB"/>
              </w:rPr>
            </w:pPr>
            <w:hyperlink r:id="rId16" w:history="1">
              <w:r w:rsidR="008320F5" w:rsidRPr="004A331F">
                <w:rPr>
                  <w:rStyle w:val="Hyperlink"/>
                  <w:b/>
                  <w:bCs/>
                  <w:sz w:val="18"/>
                  <w:szCs w:val="18"/>
                  <w:lang w:eastAsia="en-GB"/>
                </w:rPr>
                <w:t>C21/28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128B17"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0F6AA69F"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302ACFAB" w14:textId="77777777" w:rsidR="008320F5" w:rsidRPr="004A331F" w:rsidRDefault="008320F5" w:rsidP="00E75336">
            <w:pPr>
              <w:pStyle w:val="Tabletext"/>
              <w:jc w:val="center"/>
              <w:rPr>
                <w:sz w:val="18"/>
                <w:szCs w:val="18"/>
                <w:lang w:eastAsia="en-GB"/>
              </w:rPr>
            </w:pPr>
            <w:r w:rsidRPr="004A331F">
              <w:rPr>
                <w:sz w:val="18"/>
                <w:szCs w:val="18"/>
                <w:lang w:eastAsia="en-GB"/>
              </w:rPr>
              <w:t>5</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756DB0C7" w14:textId="47B89193" w:rsidR="008320F5" w:rsidRPr="004A331F" w:rsidRDefault="00DB3438" w:rsidP="00E75336">
            <w:pPr>
              <w:pStyle w:val="Tabletext"/>
              <w:rPr>
                <w:sz w:val="18"/>
                <w:szCs w:val="18"/>
                <w:lang w:eastAsia="en-GB"/>
              </w:rPr>
            </w:pPr>
            <w:r w:rsidRPr="004A331F">
              <w:rPr>
                <w:sz w:val="18"/>
                <w:szCs w:val="18"/>
                <w:lang w:eastAsia="en-GB"/>
              </w:rPr>
              <w:t>Élaboration du Plan stratégique et du Plan finan</w:t>
            </w:r>
            <w:r w:rsidR="00017653">
              <w:rPr>
                <w:sz w:val="18"/>
                <w:szCs w:val="18"/>
                <w:lang w:eastAsia="en-GB"/>
              </w:rPr>
              <w:t>cier de l'Union pour la période </w:t>
            </w:r>
            <w:r w:rsidRPr="004A331F">
              <w:rPr>
                <w:sz w:val="18"/>
                <w:szCs w:val="18"/>
                <w:lang w:eastAsia="en-GB"/>
              </w:rPr>
              <w:t>2024</w:t>
            </w:r>
            <w:r w:rsidRPr="004A331F">
              <w:rPr>
                <w:sz w:val="18"/>
                <w:szCs w:val="18"/>
                <w:lang w:eastAsia="en-GB"/>
              </w:rPr>
              <w:noBreakHyphen/>
              <w:t>2027</w:t>
            </w:r>
          </w:p>
        </w:tc>
        <w:tc>
          <w:tcPr>
            <w:tcW w:w="1418" w:type="dxa"/>
            <w:tcBorders>
              <w:top w:val="nil"/>
              <w:left w:val="nil"/>
              <w:bottom w:val="single" w:sz="4" w:space="0" w:color="auto"/>
              <w:right w:val="single" w:sz="4" w:space="0" w:color="auto"/>
            </w:tcBorders>
            <w:shd w:val="clear" w:color="auto" w:fill="auto"/>
            <w:vAlign w:val="center"/>
            <w:hideMark/>
          </w:tcPr>
          <w:p w14:paraId="0C23C472" w14:textId="77777777" w:rsidR="008320F5" w:rsidRPr="004A331F" w:rsidRDefault="00E76E31" w:rsidP="00E75336">
            <w:pPr>
              <w:pStyle w:val="Tabletext"/>
              <w:jc w:val="center"/>
              <w:rPr>
                <w:b/>
                <w:bCs/>
                <w:sz w:val="18"/>
                <w:szCs w:val="18"/>
                <w:lang w:eastAsia="en-GB"/>
              </w:rPr>
            </w:pPr>
            <w:hyperlink r:id="rId17" w:history="1">
              <w:r w:rsidR="008320F5" w:rsidRPr="004A331F">
                <w:rPr>
                  <w:rStyle w:val="Hyperlink"/>
                  <w:b/>
                  <w:bCs/>
                  <w:sz w:val="18"/>
                  <w:szCs w:val="18"/>
                  <w:lang w:eastAsia="en-GB"/>
                </w:rPr>
                <w:t>C21/64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3341085"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1310A2FB"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0986CF3F" w14:textId="77777777" w:rsidR="008320F5" w:rsidRPr="004A331F" w:rsidRDefault="008320F5" w:rsidP="00E75336">
            <w:pPr>
              <w:pStyle w:val="Tabletext"/>
              <w:jc w:val="center"/>
              <w:rPr>
                <w:sz w:val="18"/>
                <w:szCs w:val="18"/>
                <w:lang w:eastAsia="en-GB"/>
              </w:rPr>
            </w:pPr>
            <w:r w:rsidRPr="004A331F">
              <w:rPr>
                <w:sz w:val="18"/>
                <w:szCs w:val="18"/>
                <w:lang w:eastAsia="en-GB"/>
              </w:rPr>
              <w:t>6</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3C9612E" w14:textId="5270A3E2" w:rsidR="008320F5" w:rsidRPr="004A331F" w:rsidRDefault="00DB3438" w:rsidP="00E75336">
            <w:pPr>
              <w:pStyle w:val="Tabletext"/>
              <w:rPr>
                <w:sz w:val="18"/>
                <w:szCs w:val="18"/>
                <w:lang w:eastAsia="en-GB"/>
              </w:rPr>
            </w:pPr>
            <w:r w:rsidRPr="004A331F">
              <w:rPr>
                <w:sz w:val="18"/>
                <w:szCs w:val="18"/>
                <w:lang w:eastAsia="en-GB"/>
              </w:rPr>
              <w:t>Liste des candidats aux fonctions de Président et Vice</w:t>
            </w:r>
            <w:r w:rsidRPr="004A331F">
              <w:rPr>
                <w:sz w:val="18"/>
                <w:szCs w:val="18"/>
                <w:lang w:eastAsia="en-GB"/>
              </w:rPr>
              <w:noBreakHyphen/>
              <w:t>Président des GTC, GE et GEI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A1EB84" w14:textId="77777777" w:rsidR="008320F5" w:rsidRPr="004A331F" w:rsidRDefault="00E76E31" w:rsidP="00E75336">
            <w:pPr>
              <w:pStyle w:val="Tabletext"/>
              <w:jc w:val="center"/>
              <w:rPr>
                <w:b/>
                <w:bCs/>
                <w:sz w:val="18"/>
                <w:szCs w:val="18"/>
                <w:lang w:eastAsia="en-GB"/>
              </w:rPr>
            </w:pPr>
            <w:hyperlink r:id="rId18" w:history="1">
              <w:r w:rsidR="008320F5" w:rsidRPr="004A331F">
                <w:rPr>
                  <w:rStyle w:val="Hyperlink"/>
                  <w:b/>
                  <w:bCs/>
                  <w:sz w:val="18"/>
                  <w:szCs w:val="18"/>
                  <w:lang w:eastAsia="en-GB"/>
                </w:rPr>
                <w:t>C21/21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D4FD91"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6407CBFF"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0049420B" w14:textId="77777777" w:rsidR="008320F5" w:rsidRPr="004A331F" w:rsidRDefault="008320F5" w:rsidP="00E75336">
            <w:pPr>
              <w:pStyle w:val="Tabletext"/>
              <w:jc w:val="center"/>
              <w:rPr>
                <w:sz w:val="18"/>
                <w:szCs w:val="18"/>
                <w:lang w:eastAsia="en-GB"/>
              </w:rPr>
            </w:pPr>
            <w:r w:rsidRPr="004A331F">
              <w:rPr>
                <w:sz w:val="18"/>
                <w:szCs w:val="18"/>
                <w:lang w:eastAsia="en-GB"/>
              </w:rPr>
              <w:t>7</w:t>
            </w:r>
          </w:p>
        </w:tc>
        <w:tc>
          <w:tcPr>
            <w:tcW w:w="6740" w:type="dxa"/>
            <w:tcBorders>
              <w:top w:val="nil"/>
              <w:left w:val="nil"/>
              <w:bottom w:val="single" w:sz="4" w:space="0" w:color="auto"/>
              <w:right w:val="single" w:sz="4" w:space="0" w:color="auto"/>
            </w:tcBorders>
            <w:shd w:val="clear" w:color="auto" w:fill="auto"/>
            <w:vAlign w:val="center"/>
            <w:hideMark/>
          </w:tcPr>
          <w:p w14:paraId="15773EB8" w14:textId="2AB908F8" w:rsidR="008320F5" w:rsidRPr="004A331F" w:rsidRDefault="00DB3438" w:rsidP="00E75336">
            <w:pPr>
              <w:pStyle w:val="Tabletext"/>
              <w:rPr>
                <w:sz w:val="18"/>
                <w:szCs w:val="18"/>
                <w:lang w:eastAsia="en-GB"/>
              </w:rPr>
            </w:pPr>
            <w:r w:rsidRPr="004A331F">
              <w:rPr>
                <w:sz w:val="18"/>
                <w:szCs w:val="18"/>
                <w:lang w:eastAsia="en-GB"/>
              </w:rPr>
              <w:t>Travaux préparatoires en vue de la CMDT-21</w:t>
            </w:r>
            <w:r w:rsidRPr="004A331F">
              <w:rPr>
                <w:i/>
                <w:iCs/>
                <w:sz w:val="18"/>
                <w:szCs w:val="18"/>
                <w:lang w:eastAsia="en-GB"/>
              </w:rPr>
              <w:t xml:space="preserve"> (Décision 609 du Conseil)</w:t>
            </w:r>
          </w:p>
        </w:tc>
        <w:tc>
          <w:tcPr>
            <w:tcW w:w="1418" w:type="dxa"/>
            <w:tcBorders>
              <w:top w:val="nil"/>
              <w:left w:val="nil"/>
              <w:bottom w:val="single" w:sz="4" w:space="0" w:color="auto"/>
              <w:right w:val="single" w:sz="4" w:space="0" w:color="auto"/>
            </w:tcBorders>
            <w:shd w:val="clear" w:color="auto" w:fill="auto"/>
            <w:vAlign w:val="center"/>
            <w:hideMark/>
          </w:tcPr>
          <w:p w14:paraId="1AADDE75" w14:textId="77777777" w:rsidR="008320F5" w:rsidRPr="004A331F" w:rsidRDefault="00E76E31" w:rsidP="00E75336">
            <w:pPr>
              <w:pStyle w:val="Tabletext"/>
              <w:jc w:val="center"/>
              <w:rPr>
                <w:b/>
                <w:bCs/>
                <w:sz w:val="18"/>
                <w:szCs w:val="18"/>
                <w:lang w:eastAsia="en-GB"/>
              </w:rPr>
            </w:pPr>
            <w:hyperlink r:id="rId19" w:history="1">
              <w:r w:rsidR="008320F5" w:rsidRPr="004A331F">
                <w:rPr>
                  <w:rStyle w:val="Hyperlink"/>
                  <w:b/>
                  <w:bCs/>
                  <w:sz w:val="18"/>
                  <w:szCs w:val="18"/>
                  <w:lang w:eastAsia="en-GB"/>
                </w:rPr>
                <w:t>C21/30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B3BE689"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5E83D8FB"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1A29EAD4" w14:textId="77777777" w:rsidR="008320F5" w:rsidRPr="004A331F" w:rsidRDefault="008320F5" w:rsidP="00E75336">
            <w:pPr>
              <w:pStyle w:val="Tabletext"/>
              <w:jc w:val="center"/>
              <w:rPr>
                <w:sz w:val="18"/>
                <w:szCs w:val="18"/>
                <w:lang w:eastAsia="en-GB"/>
              </w:rPr>
            </w:pPr>
            <w:r w:rsidRPr="004A331F">
              <w:rPr>
                <w:sz w:val="18"/>
                <w:szCs w:val="18"/>
                <w:lang w:eastAsia="en-GB"/>
              </w:rPr>
              <w:t>8</w:t>
            </w:r>
          </w:p>
        </w:tc>
        <w:tc>
          <w:tcPr>
            <w:tcW w:w="6740" w:type="dxa"/>
            <w:tcBorders>
              <w:top w:val="nil"/>
              <w:left w:val="nil"/>
              <w:bottom w:val="single" w:sz="4" w:space="0" w:color="auto"/>
              <w:right w:val="single" w:sz="4" w:space="0" w:color="auto"/>
            </w:tcBorders>
            <w:shd w:val="clear" w:color="auto" w:fill="auto"/>
            <w:vAlign w:val="center"/>
            <w:hideMark/>
          </w:tcPr>
          <w:p w14:paraId="55227DCA" w14:textId="5A8374A7" w:rsidR="008320F5" w:rsidRPr="004A331F" w:rsidRDefault="00DB3438" w:rsidP="00E75336">
            <w:pPr>
              <w:pStyle w:val="Tabletext"/>
              <w:rPr>
                <w:sz w:val="18"/>
                <w:szCs w:val="18"/>
                <w:lang w:eastAsia="en-GB"/>
              </w:rPr>
            </w:pPr>
            <w:r w:rsidRPr="004A331F">
              <w:rPr>
                <w:sz w:val="18"/>
                <w:szCs w:val="18"/>
                <w:lang w:eastAsia="en-GB"/>
              </w:rPr>
              <w:t>Travaux préparatoires en vue du FMPT-21 (</w:t>
            </w:r>
            <w:r w:rsidRPr="004A331F">
              <w:rPr>
                <w:i/>
                <w:iCs/>
                <w:sz w:val="18"/>
                <w:szCs w:val="18"/>
                <w:lang w:eastAsia="en-GB"/>
              </w:rPr>
              <w:t>Résolution 2 de la PP, Décision 611 du Conseil</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27407FC2" w14:textId="77777777" w:rsidR="008320F5" w:rsidRPr="004A331F" w:rsidRDefault="00E76E31" w:rsidP="00E75336">
            <w:pPr>
              <w:pStyle w:val="Tabletext"/>
              <w:jc w:val="center"/>
              <w:rPr>
                <w:b/>
                <w:bCs/>
                <w:sz w:val="18"/>
                <w:szCs w:val="18"/>
                <w:lang w:eastAsia="en-GB"/>
              </w:rPr>
            </w:pPr>
            <w:hyperlink r:id="rId20" w:history="1">
              <w:r w:rsidR="008320F5" w:rsidRPr="004A331F">
                <w:rPr>
                  <w:rStyle w:val="Hyperlink"/>
                  <w:b/>
                  <w:bCs/>
                  <w:sz w:val="18"/>
                  <w:szCs w:val="18"/>
                  <w:lang w:eastAsia="en-GB"/>
                </w:rPr>
                <w:t>C21/5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071F2FD"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1B4C1512"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032805CE" w14:textId="77777777" w:rsidR="008320F5" w:rsidRPr="004A331F" w:rsidRDefault="008320F5" w:rsidP="00E75336">
            <w:pPr>
              <w:pStyle w:val="Tabletext"/>
              <w:jc w:val="center"/>
              <w:rPr>
                <w:sz w:val="18"/>
                <w:szCs w:val="18"/>
                <w:lang w:eastAsia="en-GB"/>
              </w:rPr>
            </w:pPr>
            <w:r w:rsidRPr="004A331F">
              <w:rPr>
                <w:sz w:val="18"/>
                <w:szCs w:val="18"/>
                <w:lang w:eastAsia="en-GB"/>
              </w:rPr>
              <w:t>9</w:t>
            </w:r>
          </w:p>
        </w:tc>
        <w:tc>
          <w:tcPr>
            <w:tcW w:w="6740" w:type="dxa"/>
            <w:tcBorders>
              <w:top w:val="nil"/>
              <w:left w:val="nil"/>
              <w:bottom w:val="single" w:sz="4" w:space="0" w:color="auto"/>
              <w:right w:val="single" w:sz="4" w:space="0" w:color="auto"/>
            </w:tcBorders>
            <w:shd w:val="clear" w:color="auto" w:fill="auto"/>
            <w:vAlign w:val="center"/>
            <w:hideMark/>
          </w:tcPr>
          <w:p w14:paraId="3173638A" w14:textId="67D96C94" w:rsidR="008320F5" w:rsidRPr="004A331F" w:rsidRDefault="00DB3438" w:rsidP="00E75336">
            <w:pPr>
              <w:pStyle w:val="Tabletext"/>
              <w:rPr>
                <w:sz w:val="18"/>
                <w:szCs w:val="18"/>
                <w:lang w:eastAsia="en-GB"/>
              </w:rPr>
            </w:pPr>
            <w:r w:rsidRPr="004A331F">
              <w:rPr>
                <w:sz w:val="18"/>
                <w:szCs w:val="18"/>
                <w:lang w:eastAsia="en-GB"/>
              </w:rPr>
              <w:t xml:space="preserve">Travaux préparatoires en vue de l'AMNT-20 </w:t>
            </w:r>
            <w:r w:rsidRPr="004A331F">
              <w:rPr>
                <w:i/>
                <w:iCs/>
                <w:sz w:val="18"/>
                <w:szCs w:val="18"/>
                <w:lang w:eastAsia="en-GB"/>
              </w:rPr>
              <w:t>(Décision 608 du Conseil)</w:t>
            </w:r>
          </w:p>
        </w:tc>
        <w:tc>
          <w:tcPr>
            <w:tcW w:w="1418" w:type="dxa"/>
            <w:tcBorders>
              <w:top w:val="nil"/>
              <w:left w:val="nil"/>
              <w:bottom w:val="single" w:sz="4" w:space="0" w:color="auto"/>
              <w:right w:val="single" w:sz="4" w:space="0" w:color="auto"/>
            </w:tcBorders>
            <w:shd w:val="clear" w:color="auto" w:fill="auto"/>
            <w:vAlign w:val="center"/>
            <w:hideMark/>
          </w:tcPr>
          <w:p w14:paraId="32BE655A" w14:textId="77777777" w:rsidR="008320F5" w:rsidRPr="004A331F" w:rsidRDefault="00E76E31" w:rsidP="00E75336">
            <w:pPr>
              <w:pStyle w:val="Tabletext"/>
              <w:jc w:val="center"/>
              <w:rPr>
                <w:b/>
                <w:bCs/>
                <w:sz w:val="18"/>
                <w:szCs w:val="18"/>
                <w:lang w:eastAsia="en-GB"/>
              </w:rPr>
            </w:pPr>
            <w:hyperlink r:id="rId21" w:history="1">
              <w:r w:rsidR="008320F5" w:rsidRPr="004A331F">
                <w:rPr>
                  <w:rStyle w:val="Hyperlink"/>
                  <w:b/>
                  <w:bCs/>
                  <w:sz w:val="18"/>
                  <w:szCs w:val="18"/>
                  <w:lang w:eastAsia="en-GB"/>
                </w:rPr>
                <w:t>C21/24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D42EB5C"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7D30E8EE"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50D1158D" w14:textId="77777777" w:rsidR="008320F5" w:rsidRPr="004A331F" w:rsidRDefault="008320F5" w:rsidP="00E75336">
            <w:pPr>
              <w:pStyle w:val="Tabletext"/>
              <w:jc w:val="center"/>
              <w:rPr>
                <w:sz w:val="18"/>
                <w:szCs w:val="18"/>
                <w:lang w:eastAsia="en-GB"/>
              </w:rPr>
            </w:pPr>
            <w:r w:rsidRPr="004A331F">
              <w:rPr>
                <w:sz w:val="18"/>
                <w:szCs w:val="18"/>
                <w:lang w:eastAsia="en-GB"/>
              </w:rPr>
              <w:t>10</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00349D0A" w14:textId="6763F6D8" w:rsidR="008320F5" w:rsidRPr="004A331F" w:rsidRDefault="00DB3438" w:rsidP="00E75336">
            <w:pPr>
              <w:pStyle w:val="Tabletext"/>
              <w:rPr>
                <w:sz w:val="18"/>
                <w:szCs w:val="18"/>
                <w:lang w:eastAsia="en-GB"/>
              </w:rPr>
            </w:pPr>
            <w:r w:rsidRPr="004A331F">
              <w:rPr>
                <w:sz w:val="18"/>
                <w:szCs w:val="18"/>
                <w:lang w:eastAsia="en-GB"/>
              </w:rPr>
              <w:t>Travaux préparatoires en vue de la Conférence de plénipotentiaires (Bucarest, 2022)</w:t>
            </w:r>
          </w:p>
        </w:tc>
        <w:tc>
          <w:tcPr>
            <w:tcW w:w="1418" w:type="dxa"/>
            <w:tcBorders>
              <w:top w:val="nil"/>
              <w:left w:val="nil"/>
              <w:bottom w:val="single" w:sz="4" w:space="0" w:color="auto"/>
              <w:right w:val="single" w:sz="4" w:space="0" w:color="auto"/>
            </w:tcBorders>
            <w:shd w:val="clear" w:color="auto" w:fill="auto"/>
            <w:vAlign w:val="center"/>
            <w:hideMark/>
          </w:tcPr>
          <w:p w14:paraId="7D7941CD" w14:textId="77777777" w:rsidR="008320F5" w:rsidRPr="004A331F" w:rsidRDefault="00E76E31" w:rsidP="00E75336">
            <w:pPr>
              <w:pStyle w:val="Tabletext"/>
              <w:jc w:val="center"/>
              <w:rPr>
                <w:b/>
                <w:bCs/>
                <w:sz w:val="18"/>
                <w:szCs w:val="18"/>
                <w:lang w:eastAsia="en-GB"/>
              </w:rPr>
            </w:pPr>
            <w:hyperlink r:id="rId22" w:history="1">
              <w:r w:rsidR="008320F5" w:rsidRPr="004A331F">
                <w:rPr>
                  <w:rStyle w:val="Hyperlink"/>
                  <w:b/>
                  <w:bCs/>
                  <w:sz w:val="18"/>
                  <w:szCs w:val="18"/>
                  <w:lang w:eastAsia="en-GB"/>
                </w:rPr>
                <w:t>C21/73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FDE4605"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2DC843F9"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5864FEBA" w14:textId="77777777" w:rsidR="008320F5" w:rsidRPr="004A331F" w:rsidRDefault="008320F5" w:rsidP="00E75336">
            <w:pPr>
              <w:pStyle w:val="Tabletext"/>
              <w:jc w:val="center"/>
              <w:rPr>
                <w:sz w:val="18"/>
                <w:szCs w:val="18"/>
                <w:lang w:eastAsia="en-GB"/>
              </w:rPr>
            </w:pPr>
            <w:r w:rsidRPr="004A331F">
              <w:rPr>
                <w:sz w:val="18"/>
                <w:szCs w:val="18"/>
                <w:lang w:eastAsia="en-GB"/>
              </w:rPr>
              <w:t>11</w:t>
            </w:r>
          </w:p>
        </w:tc>
        <w:tc>
          <w:tcPr>
            <w:tcW w:w="6740" w:type="dxa"/>
            <w:tcBorders>
              <w:top w:val="nil"/>
              <w:left w:val="nil"/>
              <w:bottom w:val="single" w:sz="4" w:space="0" w:color="auto"/>
              <w:right w:val="single" w:sz="4" w:space="0" w:color="auto"/>
            </w:tcBorders>
            <w:shd w:val="clear" w:color="auto" w:fill="auto"/>
            <w:noWrap/>
            <w:vAlign w:val="center"/>
            <w:hideMark/>
          </w:tcPr>
          <w:p w14:paraId="358D009C" w14:textId="6BAE968F" w:rsidR="008320F5" w:rsidRPr="004A331F" w:rsidRDefault="00DB3438" w:rsidP="00E75336">
            <w:pPr>
              <w:pStyle w:val="Tabletext"/>
              <w:rPr>
                <w:sz w:val="18"/>
                <w:szCs w:val="18"/>
                <w:lang w:eastAsia="en-GB"/>
              </w:rPr>
            </w:pPr>
            <w:r w:rsidRPr="004A331F">
              <w:rPr>
                <w:bCs/>
                <w:sz w:val="18"/>
                <w:szCs w:val="18"/>
                <w:lang w:eastAsia="en-GB"/>
              </w:rPr>
              <w:t>Propositions d'améliorations concernant les Conférences de plénipotentiaires</w:t>
            </w:r>
          </w:p>
        </w:tc>
        <w:tc>
          <w:tcPr>
            <w:tcW w:w="1418" w:type="dxa"/>
            <w:tcBorders>
              <w:top w:val="nil"/>
              <w:left w:val="nil"/>
              <w:bottom w:val="single" w:sz="4" w:space="0" w:color="auto"/>
              <w:right w:val="single" w:sz="4" w:space="0" w:color="auto"/>
            </w:tcBorders>
            <w:shd w:val="clear" w:color="auto" w:fill="auto"/>
            <w:noWrap/>
            <w:vAlign w:val="center"/>
            <w:hideMark/>
          </w:tcPr>
          <w:p w14:paraId="7D5D2EBE" w14:textId="77777777" w:rsidR="008320F5" w:rsidRPr="004A331F" w:rsidRDefault="00E76E31" w:rsidP="00E75336">
            <w:pPr>
              <w:pStyle w:val="Tabletext"/>
              <w:jc w:val="center"/>
              <w:rPr>
                <w:b/>
                <w:bCs/>
                <w:sz w:val="18"/>
                <w:szCs w:val="18"/>
                <w:lang w:eastAsia="en-GB"/>
              </w:rPr>
            </w:pPr>
            <w:hyperlink r:id="rId23" w:history="1">
              <w:r w:rsidR="008320F5" w:rsidRPr="004A331F">
                <w:rPr>
                  <w:rStyle w:val="Hyperlink"/>
                  <w:b/>
                  <w:bCs/>
                  <w:sz w:val="18"/>
                  <w:szCs w:val="18"/>
                  <w:lang w:eastAsia="en-GB"/>
                </w:rPr>
                <w:t>C21/13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AD73990"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6A8E74A6"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76E46844" w14:textId="77777777" w:rsidR="008320F5" w:rsidRPr="004A331F" w:rsidRDefault="008320F5" w:rsidP="00E75336">
            <w:pPr>
              <w:pStyle w:val="Tabletext"/>
              <w:jc w:val="center"/>
              <w:rPr>
                <w:sz w:val="18"/>
                <w:szCs w:val="18"/>
                <w:lang w:eastAsia="en-GB"/>
              </w:rPr>
            </w:pPr>
            <w:r w:rsidRPr="004A331F">
              <w:rPr>
                <w:sz w:val="18"/>
                <w:szCs w:val="18"/>
                <w:lang w:eastAsia="en-GB"/>
              </w:rPr>
              <w:t>12</w:t>
            </w:r>
          </w:p>
        </w:tc>
        <w:tc>
          <w:tcPr>
            <w:tcW w:w="6740" w:type="dxa"/>
            <w:tcBorders>
              <w:top w:val="nil"/>
              <w:left w:val="nil"/>
              <w:bottom w:val="single" w:sz="4" w:space="0" w:color="auto"/>
              <w:right w:val="single" w:sz="4" w:space="0" w:color="auto"/>
            </w:tcBorders>
            <w:shd w:val="clear" w:color="auto" w:fill="auto"/>
            <w:vAlign w:val="center"/>
            <w:hideMark/>
          </w:tcPr>
          <w:p w14:paraId="3380FD7A" w14:textId="3ADE9AAA" w:rsidR="008320F5" w:rsidRPr="004A331F" w:rsidRDefault="00DB3438" w:rsidP="00E75336">
            <w:pPr>
              <w:pStyle w:val="Tabletext"/>
              <w:rPr>
                <w:sz w:val="18"/>
                <w:szCs w:val="18"/>
                <w:lang w:eastAsia="en-GB"/>
              </w:rPr>
            </w:pPr>
            <w:r w:rsidRPr="004A331F">
              <w:rPr>
                <w:bCs/>
                <w:sz w:val="18"/>
                <w:szCs w:val="18"/>
                <w:lang w:eastAsia="en-GB"/>
              </w:rPr>
              <w:t>Mise en œuvre des Recommandations 6 et 7 de la Commission 5 de la PP-18 (processus d'élection)</w:t>
            </w:r>
          </w:p>
        </w:tc>
        <w:tc>
          <w:tcPr>
            <w:tcW w:w="1418" w:type="dxa"/>
            <w:tcBorders>
              <w:top w:val="nil"/>
              <w:left w:val="nil"/>
              <w:bottom w:val="single" w:sz="4" w:space="0" w:color="auto"/>
              <w:right w:val="single" w:sz="4" w:space="0" w:color="auto"/>
            </w:tcBorders>
            <w:shd w:val="clear" w:color="auto" w:fill="auto"/>
            <w:noWrap/>
            <w:vAlign w:val="center"/>
            <w:hideMark/>
          </w:tcPr>
          <w:p w14:paraId="76890610" w14:textId="77777777" w:rsidR="008320F5" w:rsidRPr="004A331F" w:rsidRDefault="00E76E31" w:rsidP="00E75336">
            <w:pPr>
              <w:pStyle w:val="Tabletext"/>
              <w:jc w:val="center"/>
              <w:rPr>
                <w:b/>
                <w:bCs/>
                <w:sz w:val="18"/>
                <w:szCs w:val="18"/>
                <w:lang w:eastAsia="en-GB"/>
              </w:rPr>
            </w:pPr>
            <w:hyperlink r:id="rId24" w:history="1">
              <w:r w:rsidR="008320F5" w:rsidRPr="004A331F">
                <w:rPr>
                  <w:rStyle w:val="Hyperlink"/>
                  <w:b/>
                  <w:bCs/>
                  <w:sz w:val="18"/>
                  <w:szCs w:val="18"/>
                  <w:lang w:eastAsia="en-GB"/>
                </w:rPr>
                <w:t>C21/4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1BA7E5D"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184963EF"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761DED5B" w14:textId="77777777" w:rsidR="008320F5" w:rsidRPr="004A331F" w:rsidRDefault="008320F5" w:rsidP="00E75336">
            <w:pPr>
              <w:pStyle w:val="Tabletext"/>
              <w:jc w:val="center"/>
              <w:rPr>
                <w:sz w:val="18"/>
                <w:szCs w:val="18"/>
                <w:lang w:eastAsia="en-GB"/>
              </w:rPr>
            </w:pPr>
            <w:r w:rsidRPr="004A331F">
              <w:rPr>
                <w:sz w:val="18"/>
                <w:szCs w:val="18"/>
                <w:lang w:eastAsia="en-GB"/>
              </w:rPr>
              <w:t>13</w:t>
            </w:r>
          </w:p>
        </w:tc>
        <w:tc>
          <w:tcPr>
            <w:tcW w:w="6740" w:type="dxa"/>
            <w:tcBorders>
              <w:top w:val="nil"/>
              <w:left w:val="nil"/>
              <w:bottom w:val="single" w:sz="4" w:space="0" w:color="auto"/>
              <w:right w:val="single" w:sz="4" w:space="0" w:color="auto"/>
            </w:tcBorders>
            <w:shd w:val="clear" w:color="auto" w:fill="auto"/>
            <w:vAlign w:val="center"/>
          </w:tcPr>
          <w:p w14:paraId="75279FDC" w14:textId="5227DAF7" w:rsidR="008320F5" w:rsidRPr="004A331F" w:rsidRDefault="00DB3438" w:rsidP="00E75336">
            <w:pPr>
              <w:pStyle w:val="Tabletext"/>
              <w:rPr>
                <w:sz w:val="18"/>
                <w:szCs w:val="18"/>
                <w:lang w:eastAsia="en-GB"/>
              </w:rPr>
            </w:pPr>
            <w:r w:rsidRPr="004A331F">
              <w:rPr>
                <w:sz w:val="18"/>
                <w:szCs w:val="18"/>
                <w:lang w:eastAsia="en-GB"/>
              </w:rPr>
              <w:t>Lignes directrices relatives à l'éthique pour les activités menées dans le cadre de la campagne électorale</w:t>
            </w:r>
          </w:p>
        </w:tc>
        <w:tc>
          <w:tcPr>
            <w:tcW w:w="1418" w:type="dxa"/>
            <w:tcBorders>
              <w:top w:val="nil"/>
              <w:left w:val="nil"/>
              <w:bottom w:val="single" w:sz="4" w:space="0" w:color="auto"/>
              <w:right w:val="single" w:sz="4" w:space="0" w:color="auto"/>
            </w:tcBorders>
            <w:shd w:val="clear" w:color="auto" w:fill="auto"/>
            <w:vAlign w:val="center"/>
          </w:tcPr>
          <w:p w14:paraId="0C2CB908" w14:textId="77777777" w:rsidR="008320F5" w:rsidRPr="004A331F" w:rsidRDefault="00E76E31" w:rsidP="00E75336">
            <w:pPr>
              <w:pStyle w:val="Tabletext"/>
              <w:jc w:val="center"/>
              <w:rPr>
                <w:b/>
                <w:bCs/>
                <w:sz w:val="18"/>
                <w:szCs w:val="18"/>
                <w:lang w:eastAsia="en-GB"/>
              </w:rPr>
            </w:pPr>
            <w:hyperlink r:id="rId25" w:history="1">
              <w:r w:rsidR="008320F5" w:rsidRPr="004A331F">
                <w:rPr>
                  <w:rStyle w:val="Hyperlink"/>
                  <w:b/>
                  <w:bCs/>
                  <w:sz w:val="18"/>
                  <w:szCs w:val="18"/>
                  <w:lang w:eastAsia="en-GB"/>
                </w:rPr>
                <w:t>C21/66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AC30FFF"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1CB83D57" w14:textId="77777777" w:rsidTr="00DB3438">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528B8770" w14:textId="77777777" w:rsidR="008320F5" w:rsidRPr="004A331F" w:rsidRDefault="008320F5" w:rsidP="00E75336">
            <w:pPr>
              <w:pStyle w:val="Tabletext"/>
              <w:jc w:val="center"/>
              <w:rPr>
                <w:sz w:val="18"/>
                <w:szCs w:val="18"/>
                <w:lang w:eastAsia="en-GB"/>
              </w:rPr>
            </w:pPr>
            <w:r w:rsidRPr="004A331F">
              <w:rPr>
                <w:sz w:val="18"/>
                <w:szCs w:val="18"/>
                <w:lang w:eastAsia="en-GB"/>
              </w:rPr>
              <w:t>14</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4DD7B5B1" w14:textId="7BD1B876" w:rsidR="008320F5" w:rsidRPr="004A331F" w:rsidRDefault="00DB3438" w:rsidP="00E75336">
            <w:pPr>
              <w:pStyle w:val="Tabletext"/>
              <w:rPr>
                <w:sz w:val="18"/>
                <w:szCs w:val="18"/>
                <w:lang w:eastAsia="en-GB"/>
              </w:rPr>
            </w:pPr>
            <w:r w:rsidRPr="004A331F">
              <w:rPr>
                <w:sz w:val="18"/>
                <w:szCs w:val="18"/>
                <w:lang w:eastAsia="en-GB"/>
              </w:rPr>
              <w:t>Travaux préparatoires en vue de la Conférence mond</w:t>
            </w:r>
            <w:r w:rsidR="00017653">
              <w:rPr>
                <w:sz w:val="18"/>
                <w:szCs w:val="18"/>
                <w:lang w:eastAsia="en-GB"/>
              </w:rPr>
              <w:t>iale des radiocommunications de </w:t>
            </w:r>
            <w:r w:rsidRPr="004A331F">
              <w:rPr>
                <w:sz w:val="18"/>
                <w:szCs w:val="18"/>
                <w:lang w:eastAsia="en-GB"/>
              </w:rPr>
              <w:t>2023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762379E" w14:textId="77777777" w:rsidR="008320F5" w:rsidRPr="004A331F" w:rsidRDefault="00E76E31" w:rsidP="00E75336">
            <w:pPr>
              <w:pStyle w:val="Tabletext"/>
              <w:jc w:val="center"/>
              <w:rPr>
                <w:b/>
                <w:bCs/>
                <w:sz w:val="18"/>
                <w:szCs w:val="18"/>
                <w:lang w:eastAsia="en-GB"/>
              </w:rPr>
            </w:pPr>
            <w:hyperlink r:id="rId26" w:history="1">
              <w:r w:rsidR="008320F5" w:rsidRPr="004A331F">
                <w:rPr>
                  <w:rStyle w:val="Hyperlink"/>
                  <w:b/>
                  <w:bCs/>
                  <w:sz w:val="18"/>
                  <w:szCs w:val="18"/>
                  <w:lang w:eastAsia="en-GB"/>
                </w:rPr>
                <w:t>C21/55</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FC8CF4"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6995A64A"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6315FE22" w14:textId="77777777" w:rsidR="008320F5" w:rsidRPr="004A331F" w:rsidRDefault="008320F5" w:rsidP="00E75336">
            <w:pPr>
              <w:pStyle w:val="Tabletext"/>
              <w:jc w:val="center"/>
              <w:rPr>
                <w:sz w:val="18"/>
                <w:szCs w:val="18"/>
                <w:lang w:eastAsia="en-GB"/>
              </w:rPr>
            </w:pPr>
            <w:r w:rsidRPr="004A331F">
              <w:rPr>
                <w:sz w:val="18"/>
                <w:szCs w:val="18"/>
                <w:lang w:eastAsia="en-GB"/>
              </w:rPr>
              <w:t>15</w:t>
            </w:r>
          </w:p>
        </w:tc>
        <w:tc>
          <w:tcPr>
            <w:tcW w:w="6740" w:type="dxa"/>
            <w:tcBorders>
              <w:top w:val="nil"/>
              <w:left w:val="nil"/>
              <w:bottom w:val="single" w:sz="4" w:space="0" w:color="auto"/>
              <w:right w:val="single" w:sz="4" w:space="0" w:color="auto"/>
            </w:tcBorders>
            <w:shd w:val="clear" w:color="auto" w:fill="auto"/>
            <w:vAlign w:val="center"/>
            <w:hideMark/>
          </w:tcPr>
          <w:p w14:paraId="5DC33BC9" w14:textId="39E85249" w:rsidR="008320F5" w:rsidRPr="004A331F" w:rsidRDefault="00DB3438" w:rsidP="00E75336">
            <w:pPr>
              <w:pStyle w:val="Tabletext"/>
              <w:rPr>
                <w:sz w:val="18"/>
                <w:szCs w:val="18"/>
                <w:lang w:eastAsia="en-GB"/>
              </w:rPr>
            </w:pPr>
            <w:r w:rsidRPr="004A331F">
              <w:rPr>
                <w:sz w:val="18"/>
                <w:szCs w:val="18"/>
                <w:lang w:eastAsia="en-GB"/>
              </w:rPr>
              <w:t>Dates et durée proposées pour les sessions de 2022, 2023, 2024, 2025</w:t>
            </w:r>
            <w:r w:rsidR="00A27E04" w:rsidRPr="004A331F">
              <w:rPr>
                <w:sz w:val="18"/>
                <w:szCs w:val="18"/>
                <w:lang w:eastAsia="en-GB"/>
              </w:rPr>
              <w:t xml:space="preserve"> et</w:t>
            </w:r>
            <w:r w:rsidRPr="004A331F">
              <w:rPr>
                <w:sz w:val="18"/>
                <w:szCs w:val="18"/>
                <w:lang w:eastAsia="en-GB"/>
              </w:rPr>
              <w:t xml:space="preserve"> 2026 du Conseil de l'UIT et les séries de réunions des Groupes de travail du Conseil en 202</w:t>
            </w:r>
            <w:r w:rsidR="00360DBC" w:rsidRPr="004A331F">
              <w:rPr>
                <w:sz w:val="18"/>
                <w:szCs w:val="18"/>
                <w:lang w:eastAsia="en-GB"/>
              </w:rPr>
              <w:t>2</w:t>
            </w:r>
            <w:r w:rsidRPr="004A331F">
              <w:rPr>
                <w:sz w:val="18"/>
                <w:szCs w:val="18"/>
                <w:lang w:eastAsia="en-GB"/>
              </w:rPr>
              <w:t xml:space="preserve"> et 202</w:t>
            </w:r>
            <w:r w:rsidR="00360DBC" w:rsidRPr="004A331F">
              <w:rPr>
                <w:sz w:val="18"/>
                <w:szCs w:val="18"/>
                <w:lang w:eastAsia="en-GB"/>
              </w:rPr>
              <w:t>3</w:t>
            </w:r>
            <w:r w:rsidRPr="004A331F">
              <w:rPr>
                <w:sz w:val="18"/>
                <w:szCs w:val="18"/>
                <w:lang w:eastAsia="en-GB"/>
              </w:rPr>
              <w:t xml:space="preserve"> (</w:t>
            </w:r>
            <w:r w:rsidRPr="004A331F">
              <w:rPr>
                <w:i/>
                <w:iCs/>
                <w:sz w:val="18"/>
                <w:szCs w:val="18"/>
                <w:lang w:eastAsia="en-GB"/>
              </w:rPr>
              <w:t>Résolutions 77 et 111 de la PP et Décision 612 du Conseil</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noWrap/>
            <w:vAlign w:val="center"/>
            <w:hideMark/>
          </w:tcPr>
          <w:p w14:paraId="25D97B44" w14:textId="77777777" w:rsidR="008320F5" w:rsidRPr="004A331F" w:rsidRDefault="00E76E31" w:rsidP="00E75336">
            <w:pPr>
              <w:pStyle w:val="Tabletext"/>
              <w:jc w:val="center"/>
              <w:rPr>
                <w:b/>
                <w:bCs/>
                <w:sz w:val="18"/>
                <w:szCs w:val="18"/>
                <w:lang w:eastAsia="en-GB"/>
              </w:rPr>
            </w:pPr>
            <w:hyperlink r:id="rId27" w:history="1">
              <w:r w:rsidR="008320F5" w:rsidRPr="004A331F">
                <w:rPr>
                  <w:rStyle w:val="Hyperlink"/>
                  <w:b/>
                  <w:bCs/>
                  <w:sz w:val="18"/>
                  <w:szCs w:val="18"/>
                  <w:lang w:eastAsia="en-GB"/>
                </w:rPr>
                <w:t>C21/2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35AB31A"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26AE898A"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2D19476A" w14:textId="77777777" w:rsidR="008320F5" w:rsidRPr="004A331F" w:rsidRDefault="008320F5" w:rsidP="00E75336">
            <w:pPr>
              <w:pStyle w:val="Tabletext"/>
              <w:jc w:val="center"/>
              <w:rPr>
                <w:sz w:val="18"/>
                <w:szCs w:val="18"/>
                <w:lang w:eastAsia="en-GB"/>
              </w:rPr>
            </w:pPr>
            <w:r w:rsidRPr="004A331F">
              <w:rPr>
                <w:sz w:val="18"/>
                <w:szCs w:val="18"/>
                <w:lang w:eastAsia="en-GB"/>
              </w:rPr>
              <w:t>16</w:t>
            </w:r>
          </w:p>
        </w:tc>
        <w:tc>
          <w:tcPr>
            <w:tcW w:w="6740" w:type="dxa"/>
            <w:tcBorders>
              <w:top w:val="nil"/>
              <w:left w:val="nil"/>
              <w:bottom w:val="single" w:sz="4" w:space="0" w:color="auto"/>
              <w:right w:val="single" w:sz="4" w:space="0" w:color="auto"/>
            </w:tcBorders>
            <w:shd w:val="clear" w:color="auto" w:fill="auto"/>
            <w:vAlign w:val="center"/>
            <w:hideMark/>
          </w:tcPr>
          <w:p w14:paraId="3DD581E1" w14:textId="1E545A1C" w:rsidR="008320F5" w:rsidRPr="004A331F" w:rsidRDefault="00DB3438" w:rsidP="00E75336">
            <w:pPr>
              <w:pStyle w:val="Tabletext"/>
              <w:rPr>
                <w:sz w:val="18"/>
                <w:szCs w:val="18"/>
                <w:lang w:eastAsia="en-GB"/>
              </w:rPr>
            </w:pPr>
            <w:r w:rsidRPr="004A331F">
              <w:rPr>
                <w:sz w:val="18"/>
                <w:szCs w:val="18"/>
                <w:lang w:eastAsia="en-GB"/>
              </w:rPr>
              <w:t xml:space="preserve">Calendrier des futures conférences, assemblées et réunions de </w:t>
            </w:r>
            <w:proofErr w:type="gramStart"/>
            <w:r w:rsidRPr="004A331F">
              <w:rPr>
                <w:sz w:val="18"/>
                <w:szCs w:val="18"/>
                <w:lang w:eastAsia="en-GB"/>
              </w:rPr>
              <w:t>l'Union:</w:t>
            </w:r>
            <w:proofErr w:type="gramEnd"/>
            <w:r w:rsidRPr="004A331F">
              <w:rPr>
                <w:sz w:val="18"/>
                <w:szCs w:val="18"/>
                <w:lang w:eastAsia="en-GB"/>
              </w:rPr>
              <w:t xml:space="preserve"> 2021-2024 (</w:t>
            </w:r>
            <w:r w:rsidRPr="004A331F">
              <w:rPr>
                <w:i/>
                <w:iCs/>
                <w:sz w:val="18"/>
                <w:szCs w:val="18"/>
                <w:lang w:eastAsia="en-GB"/>
              </w:rPr>
              <w:t>Résolutions 77 et 111 de la PP</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42E45C72" w14:textId="77777777" w:rsidR="008320F5" w:rsidRPr="004A331F" w:rsidRDefault="00E76E31" w:rsidP="00E75336">
            <w:pPr>
              <w:pStyle w:val="Tabletext"/>
              <w:jc w:val="center"/>
              <w:rPr>
                <w:b/>
                <w:bCs/>
                <w:sz w:val="18"/>
                <w:szCs w:val="18"/>
                <w:lang w:eastAsia="en-GB"/>
              </w:rPr>
            </w:pPr>
            <w:hyperlink r:id="rId28" w:history="1">
              <w:r w:rsidR="008320F5" w:rsidRPr="004A331F">
                <w:rPr>
                  <w:rStyle w:val="Hyperlink"/>
                  <w:b/>
                  <w:bCs/>
                  <w:sz w:val="18"/>
                  <w:szCs w:val="18"/>
                  <w:lang w:eastAsia="en-GB"/>
                </w:rPr>
                <w:t>C21/37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DBB54BC"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5DFB7427"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10DF336D" w14:textId="77777777" w:rsidR="008320F5" w:rsidRPr="004A331F" w:rsidRDefault="008320F5" w:rsidP="00E75336">
            <w:pPr>
              <w:pStyle w:val="Tabletext"/>
              <w:jc w:val="center"/>
              <w:rPr>
                <w:sz w:val="18"/>
                <w:szCs w:val="18"/>
                <w:lang w:eastAsia="en-GB"/>
              </w:rPr>
            </w:pPr>
            <w:r w:rsidRPr="004A331F">
              <w:rPr>
                <w:sz w:val="18"/>
                <w:szCs w:val="18"/>
                <w:lang w:eastAsia="en-GB"/>
              </w:rPr>
              <w:t>17</w:t>
            </w:r>
          </w:p>
        </w:tc>
        <w:tc>
          <w:tcPr>
            <w:tcW w:w="6740" w:type="dxa"/>
            <w:tcBorders>
              <w:top w:val="nil"/>
              <w:left w:val="nil"/>
              <w:bottom w:val="single" w:sz="4" w:space="0" w:color="auto"/>
              <w:right w:val="single" w:sz="4" w:space="0" w:color="auto"/>
            </w:tcBorders>
            <w:shd w:val="clear" w:color="auto" w:fill="auto"/>
            <w:vAlign w:val="center"/>
            <w:hideMark/>
          </w:tcPr>
          <w:p w14:paraId="5DC48A3A" w14:textId="56ECE82A" w:rsidR="008320F5" w:rsidRPr="004A331F" w:rsidRDefault="00DB3438" w:rsidP="00E75336">
            <w:pPr>
              <w:pStyle w:val="Tabletext"/>
              <w:rPr>
                <w:sz w:val="18"/>
                <w:szCs w:val="18"/>
                <w:lang w:eastAsia="en-GB"/>
              </w:rPr>
            </w:pPr>
            <w:r w:rsidRPr="004A331F">
              <w:rPr>
                <w:sz w:val="18"/>
                <w:szCs w:val="18"/>
                <w:lang w:eastAsia="en-GB"/>
              </w:rPr>
              <w:t>Journée mondiale des télécommunications et de la société de l'information (</w:t>
            </w:r>
            <w:r w:rsidRPr="004A331F">
              <w:rPr>
                <w:i/>
                <w:iCs/>
                <w:sz w:val="18"/>
                <w:szCs w:val="18"/>
                <w:lang w:eastAsia="en-GB"/>
              </w:rPr>
              <w:t>Résolution 68 de la PP</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57F7C4A9" w14:textId="77777777" w:rsidR="008320F5" w:rsidRPr="004A331F" w:rsidRDefault="00E76E31" w:rsidP="00E75336">
            <w:pPr>
              <w:pStyle w:val="Tabletext"/>
              <w:jc w:val="center"/>
              <w:rPr>
                <w:b/>
                <w:bCs/>
                <w:sz w:val="18"/>
                <w:szCs w:val="18"/>
                <w:lang w:eastAsia="en-GB"/>
              </w:rPr>
            </w:pPr>
            <w:hyperlink r:id="rId29" w:history="1">
              <w:r w:rsidR="008320F5" w:rsidRPr="004A331F">
                <w:rPr>
                  <w:rStyle w:val="Hyperlink"/>
                  <w:b/>
                  <w:bCs/>
                  <w:sz w:val="18"/>
                  <w:szCs w:val="18"/>
                  <w:lang w:eastAsia="en-GB"/>
                </w:rPr>
                <w:t>C21/17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7406F52"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37866425"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12A3F46E" w14:textId="77777777" w:rsidR="008320F5" w:rsidRPr="004A331F" w:rsidRDefault="008320F5" w:rsidP="00E75336">
            <w:pPr>
              <w:pStyle w:val="Tabletext"/>
              <w:jc w:val="center"/>
              <w:rPr>
                <w:sz w:val="18"/>
                <w:szCs w:val="18"/>
                <w:lang w:eastAsia="en-GB"/>
              </w:rPr>
            </w:pPr>
            <w:r w:rsidRPr="004A331F">
              <w:rPr>
                <w:sz w:val="18"/>
                <w:szCs w:val="18"/>
                <w:lang w:eastAsia="en-GB"/>
              </w:rPr>
              <w:t>18</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36E4E7E5" w14:textId="563948B8" w:rsidR="008320F5" w:rsidRPr="004A331F" w:rsidRDefault="00DB3438" w:rsidP="00E75336">
            <w:pPr>
              <w:pStyle w:val="Tabletext"/>
              <w:rPr>
                <w:sz w:val="18"/>
                <w:szCs w:val="18"/>
                <w:lang w:eastAsia="en-GB"/>
              </w:rPr>
            </w:pPr>
            <w:r w:rsidRPr="004A331F">
              <w:rPr>
                <w:sz w:val="18"/>
                <w:szCs w:val="18"/>
                <w:lang w:eastAsia="en-GB"/>
              </w:rPr>
              <w:t>Projet de budget biennal de l'Union internationale des télécommunications pour 2022</w:t>
            </w:r>
            <w:r w:rsidRPr="004A331F">
              <w:rPr>
                <w:sz w:val="18"/>
                <w:szCs w:val="18"/>
                <w:lang w:eastAsia="en-GB"/>
              </w:rPr>
              <w:noBreakHyphen/>
              <w:t>2023</w:t>
            </w:r>
          </w:p>
        </w:tc>
        <w:tc>
          <w:tcPr>
            <w:tcW w:w="1418" w:type="dxa"/>
            <w:tcBorders>
              <w:top w:val="nil"/>
              <w:left w:val="nil"/>
              <w:bottom w:val="single" w:sz="4" w:space="0" w:color="auto"/>
              <w:right w:val="single" w:sz="4" w:space="0" w:color="auto"/>
            </w:tcBorders>
            <w:shd w:val="clear" w:color="auto" w:fill="auto"/>
            <w:vAlign w:val="center"/>
            <w:hideMark/>
          </w:tcPr>
          <w:p w14:paraId="06A0FE0F" w14:textId="77777777" w:rsidR="008320F5" w:rsidRPr="004A331F" w:rsidRDefault="00E76E31" w:rsidP="00E75336">
            <w:pPr>
              <w:pStyle w:val="Tabletext"/>
              <w:jc w:val="center"/>
              <w:rPr>
                <w:b/>
                <w:bCs/>
                <w:sz w:val="18"/>
                <w:szCs w:val="18"/>
                <w:lang w:eastAsia="en-GB"/>
              </w:rPr>
            </w:pPr>
            <w:hyperlink r:id="rId30" w:history="1">
              <w:r w:rsidR="008320F5" w:rsidRPr="004A331F">
                <w:rPr>
                  <w:rStyle w:val="Hyperlink"/>
                  <w:b/>
                  <w:bCs/>
                  <w:sz w:val="18"/>
                  <w:szCs w:val="18"/>
                  <w:lang w:eastAsia="en-GB"/>
                </w:rPr>
                <w:t>C21/65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93F2BF6"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135B4CAC"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39BCA8DF" w14:textId="77777777" w:rsidR="008320F5" w:rsidRPr="004A331F" w:rsidRDefault="008320F5" w:rsidP="00E75336">
            <w:pPr>
              <w:pStyle w:val="Tabletext"/>
              <w:jc w:val="center"/>
              <w:rPr>
                <w:sz w:val="18"/>
                <w:szCs w:val="18"/>
                <w:lang w:eastAsia="en-GB"/>
              </w:rPr>
            </w:pPr>
            <w:r w:rsidRPr="004A331F">
              <w:rPr>
                <w:sz w:val="18"/>
                <w:szCs w:val="18"/>
                <w:lang w:eastAsia="en-GB"/>
              </w:rPr>
              <w:t>19</w:t>
            </w:r>
          </w:p>
        </w:tc>
        <w:tc>
          <w:tcPr>
            <w:tcW w:w="6740" w:type="dxa"/>
            <w:tcBorders>
              <w:top w:val="single" w:sz="4" w:space="0" w:color="auto"/>
              <w:left w:val="nil"/>
              <w:bottom w:val="single" w:sz="4" w:space="0" w:color="auto"/>
              <w:right w:val="single" w:sz="4" w:space="0" w:color="auto"/>
            </w:tcBorders>
            <w:shd w:val="clear" w:color="auto" w:fill="FFFFFF"/>
            <w:noWrap/>
            <w:vAlign w:val="center"/>
            <w:hideMark/>
          </w:tcPr>
          <w:p w14:paraId="15A74D27" w14:textId="2A15A0CA" w:rsidR="008320F5" w:rsidRPr="004A331F" w:rsidRDefault="00DB3438" w:rsidP="00E75336">
            <w:pPr>
              <w:pStyle w:val="Tabletext"/>
              <w:rPr>
                <w:sz w:val="18"/>
                <w:szCs w:val="18"/>
                <w:lang w:eastAsia="en-GB"/>
              </w:rPr>
            </w:pPr>
            <w:r w:rsidRPr="004A331F">
              <w:rPr>
                <w:sz w:val="18"/>
                <w:szCs w:val="18"/>
                <w:lang w:eastAsia="en-GB"/>
              </w:rPr>
              <w:t>Montant préliminaire de l'unité contributive pour le plan financier 2024-2027</w:t>
            </w:r>
          </w:p>
        </w:tc>
        <w:tc>
          <w:tcPr>
            <w:tcW w:w="1418" w:type="dxa"/>
            <w:tcBorders>
              <w:top w:val="nil"/>
              <w:left w:val="nil"/>
              <w:bottom w:val="single" w:sz="4" w:space="0" w:color="auto"/>
              <w:right w:val="single" w:sz="4" w:space="0" w:color="auto"/>
            </w:tcBorders>
            <w:shd w:val="clear" w:color="auto" w:fill="auto"/>
            <w:vAlign w:val="center"/>
            <w:hideMark/>
          </w:tcPr>
          <w:p w14:paraId="4E479859" w14:textId="77777777" w:rsidR="008320F5" w:rsidRPr="004A331F" w:rsidRDefault="00E76E31" w:rsidP="00E75336">
            <w:pPr>
              <w:pStyle w:val="Tabletext"/>
              <w:jc w:val="center"/>
              <w:rPr>
                <w:b/>
                <w:bCs/>
                <w:sz w:val="18"/>
                <w:szCs w:val="18"/>
                <w:lang w:eastAsia="en-GB"/>
              </w:rPr>
            </w:pPr>
            <w:hyperlink r:id="rId31" w:history="1">
              <w:r w:rsidR="008320F5" w:rsidRPr="004A331F">
                <w:rPr>
                  <w:rStyle w:val="Hyperlink"/>
                  <w:b/>
                  <w:bCs/>
                  <w:sz w:val="18"/>
                  <w:szCs w:val="18"/>
                  <w:lang w:eastAsia="en-GB"/>
                </w:rPr>
                <w:t>C21/56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BAC7D9A"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345A8097"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30992027" w14:textId="77777777" w:rsidR="008320F5" w:rsidRPr="004A331F" w:rsidRDefault="008320F5" w:rsidP="00E75336">
            <w:pPr>
              <w:pStyle w:val="Tabletext"/>
              <w:jc w:val="center"/>
              <w:rPr>
                <w:sz w:val="18"/>
                <w:szCs w:val="18"/>
                <w:lang w:eastAsia="en-GB"/>
              </w:rPr>
            </w:pPr>
            <w:r w:rsidRPr="004A331F">
              <w:rPr>
                <w:sz w:val="18"/>
                <w:szCs w:val="18"/>
                <w:lang w:eastAsia="en-GB"/>
              </w:rPr>
              <w:t>20</w:t>
            </w:r>
          </w:p>
        </w:tc>
        <w:tc>
          <w:tcPr>
            <w:tcW w:w="6740" w:type="dxa"/>
            <w:tcBorders>
              <w:top w:val="single" w:sz="4" w:space="0" w:color="auto"/>
              <w:left w:val="nil"/>
              <w:bottom w:val="single" w:sz="4" w:space="0" w:color="auto"/>
              <w:right w:val="single" w:sz="4" w:space="0" w:color="auto"/>
            </w:tcBorders>
            <w:shd w:val="clear" w:color="auto" w:fill="FFFFFF"/>
            <w:noWrap/>
            <w:vAlign w:val="center"/>
          </w:tcPr>
          <w:p w14:paraId="7D733E73" w14:textId="7C322EA8" w:rsidR="008320F5" w:rsidRPr="004A331F" w:rsidRDefault="00DB3438" w:rsidP="00E75336">
            <w:pPr>
              <w:pStyle w:val="Tabletext"/>
              <w:rPr>
                <w:sz w:val="18"/>
                <w:szCs w:val="18"/>
                <w:lang w:eastAsia="en-GB"/>
              </w:rPr>
            </w:pPr>
            <w:r w:rsidRPr="004A331F">
              <w:rPr>
                <w:sz w:val="18"/>
                <w:szCs w:val="18"/>
                <w:lang w:eastAsia="en-GB"/>
              </w:rPr>
              <w:t>Activités demandées mais non budgétées (UMAC)</w:t>
            </w:r>
          </w:p>
        </w:tc>
        <w:tc>
          <w:tcPr>
            <w:tcW w:w="1418" w:type="dxa"/>
            <w:tcBorders>
              <w:top w:val="nil"/>
              <w:left w:val="nil"/>
              <w:bottom w:val="single" w:sz="4" w:space="0" w:color="auto"/>
              <w:right w:val="single" w:sz="4" w:space="0" w:color="auto"/>
            </w:tcBorders>
            <w:shd w:val="clear" w:color="auto" w:fill="auto"/>
            <w:vAlign w:val="center"/>
          </w:tcPr>
          <w:p w14:paraId="492FAA27" w14:textId="77777777" w:rsidR="008320F5" w:rsidRPr="004A331F" w:rsidRDefault="00E76E31" w:rsidP="00E75336">
            <w:pPr>
              <w:pStyle w:val="Tabletext"/>
              <w:jc w:val="center"/>
              <w:rPr>
                <w:b/>
                <w:bCs/>
                <w:sz w:val="18"/>
                <w:szCs w:val="18"/>
                <w:lang w:eastAsia="en-GB"/>
              </w:rPr>
            </w:pPr>
            <w:hyperlink r:id="rId32" w:history="1">
              <w:r w:rsidR="008320F5" w:rsidRPr="004A331F">
                <w:rPr>
                  <w:rStyle w:val="Hyperlink"/>
                  <w:b/>
                  <w:bCs/>
                  <w:sz w:val="18"/>
                  <w:szCs w:val="18"/>
                  <w:lang w:eastAsia="en-GB"/>
                </w:rPr>
                <w:t>C21/49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49F750E"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05D37E9B"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0F03E6EB" w14:textId="77777777" w:rsidR="008320F5" w:rsidRPr="004A331F" w:rsidRDefault="008320F5" w:rsidP="00E75336">
            <w:pPr>
              <w:pStyle w:val="Tabletext"/>
              <w:jc w:val="center"/>
              <w:rPr>
                <w:sz w:val="18"/>
                <w:szCs w:val="18"/>
                <w:lang w:eastAsia="en-GB"/>
              </w:rPr>
            </w:pPr>
            <w:r w:rsidRPr="004A331F">
              <w:rPr>
                <w:sz w:val="18"/>
                <w:szCs w:val="18"/>
                <w:lang w:eastAsia="en-GB"/>
              </w:rPr>
              <w:lastRenderedPageBreak/>
              <w:t>21</w:t>
            </w:r>
          </w:p>
        </w:tc>
        <w:tc>
          <w:tcPr>
            <w:tcW w:w="6740" w:type="dxa"/>
            <w:tcBorders>
              <w:top w:val="nil"/>
              <w:left w:val="nil"/>
              <w:bottom w:val="single" w:sz="4" w:space="0" w:color="auto"/>
              <w:right w:val="single" w:sz="4" w:space="0" w:color="auto"/>
            </w:tcBorders>
            <w:shd w:val="clear" w:color="auto" w:fill="auto"/>
            <w:vAlign w:val="center"/>
            <w:hideMark/>
          </w:tcPr>
          <w:p w14:paraId="23BE727B" w14:textId="442DEB50" w:rsidR="008320F5" w:rsidRPr="004A331F" w:rsidRDefault="00DB3438" w:rsidP="00E75336">
            <w:pPr>
              <w:pStyle w:val="Tabletext"/>
              <w:rPr>
                <w:sz w:val="18"/>
                <w:szCs w:val="18"/>
                <w:lang w:eastAsia="en-GB"/>
              </w:rPr>
            </w:pPr>
            <w:r w:rsidRPr="004A331F">
              <w:rPr>
                <w:sz w:val="18"/>
                <w:szCs w:val="18"/>
                <w:lang w:eastAsia="en-GB"/>
              </w:rPr>
              <w:t xml:space="preserve">Rapport du Président du Groupe de travail du Conseil sur les ressources financières et les ressources humaines (GTC-FHR) </w:t>
            </w:r>
            <w:r w:rsidRPr="004A331F">
              <w:rPr>
                <w:i/>
                <w:iCs/>
                <w:sz w:val="18"/>
                <w:szCs w:val="18"/>
                <w:lang w:eastAsia="en-GB"/>
              </w:rPr>
              <w:t>(Décisions 558 et 563(MOD) du Conseil)</w:t>
            </w:r>
            <w:r w:rsidRPr="004A331F">
              <w:rPr>
                <w:sz w:val="18"/>
                <w:szCs w:val="18"/>
                <w:lang w:eastAsia="en-GB"/>
              </w:rPr>
              <w:t xml:space="preserve"> </w:t>
            </w:r>
            <w:r w:rsidRPr="004A331F">
              <w:rPr>
                <w:i/>
                <w:iCs/>
                <w:sz w:val="18"/>
                <w:szCs w:val="18"/>
                <w:lang w:eastAsia="en-GB"/>
              </w:rPr>
              <w:t>(Résolutions 151, 152, 158, 169 et 170 de la PP)</w:t>
            </w:r>
          </w:p>
        </w:tc>
        <w:tc>
          <w:tcPr>
            <w:tcW w:w="1418" w:type="dxa"/>
            <w:tcBorders>
              <w:top w:val="nil"/>
              <w:left w:val="nil"/>
              <w:bottom w:val="single" w:sz="4" w:space="0" w:color="auto"/>
              <w:right w:val="single" w:sz="4" w:space="0" w:color="auto"/>
            </w:tcBorders>
            <w:shd w:val="clear" w:color="auto" w:fill="auto"/>
            <w:vAlign w:val="center"/>
            <w:hideMark/>
          </w:tcPr>
          <w:p w14:paraId="5C3A997F" w14:textId="77777777" w:rsidR="008320F5" w:rsidRPr="004A331F" w:rsidRDefault="00E76E31" w:rsidP="00E75336">
            <w:pPr>
              <w:pStyle w:val="Tabletext"/>
              <w:jc w:val="center"/>
              <w:rPr>
                <w:b/>
                <w:bCs/>
                <w:sz w:val="18"/>
                <w:szCs w:val="18"/>
                <w:lang w:eastAsia="en-GB"/>
              </w:rPr>
            </w:pPr>
            <w:hyperlink r:id="rId33" w:history="1">
              <w:r w:rsidR="008320F5" w:rsidRPr="004A331F">
                <w:rPr>
                  <w:rStyle w:val="Hyperlink"/>
                  <w:b/>
                  <w:bCs/>
                  <w:sz w:val="18"/>
                  <w:szCs w:val="18"/>
                  <w:lang w:eastAsia="en-GB"/>
                </w:rPr>
                <w:t>C21/50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F1F7B8C"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52649015" w14:textId="77777777" w:rsidTr="00DB3438">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1DACC47F" w14:textId="77777777" w:rsidR="008320F5" w:rsidRPr="004A331F" w:rsidRDefault="008320F5" w:rsidP="00E75336">
            <w:pPr>
              <w:pStyle w:val="Tabletext"/>
              <w:jc w:val="center"/>
              <w:rPr>
                <w:sz w:val="18"/>
                <w:szCs w:val="18"/>
                <w:lang w:eastAsia="en-GB"/>
              </w:rPr>
            </w:pPr>
            <w:r w:rsidRPr="004A331F">
              <w:rPr>
                <w:sz w:val="18"/>
                <w:szCs w:val="18"/>
                <w:lang w:eastAsia="en-GB"/>
              </w:rPr>
              <w:t>22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07FAFADB" w14:textId="2C4B9D64" w:rsidR="008320F5" w:rsidRPr="004A331F" w:rsidRDefault="00DB3438" w:rsidP="00E75336">
            <w:pPr>
              <w:pStyle w:val="Tabletext"/>
              <w:rPr>
                <w:i/>
                <w:iCs/>
                <w:sz w:val="18"/>
                <w:szCs w:val="18"/>
                <w:lang w:eastAsia="en-GB"/>
              </w:rPr>
            </w:pPr>
            <w:r w:rsidRPr="004A331F">
              <w:rPr>
                <w:sz w:val="18"/>
                <w:szCs w:val="18"/>
                <w:lang w:eastAsia="en-GB"/>
              </w:rPr>
              <w:t>Arriérés et comptes spéciaux d'arriérés (</w:t>
            </w:r>
            <w:r w:rsidRPr="004A331F">
              <w:rPr>
                <w:i/>
                <w:iCs/>
                <w:sz w:val="18"/>
                <w:szCs w:val="18"/>
                <w:lang w:eastAsia="en-GB"/>
              </w:rPr>
              <w:t>Résolution 41 de la PP</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4276584F" w14:textId="77777777" w:rsidR="008320F5" w:rsidRPr="004A331F" w:rsidRDefault="00E76E31" w:rsidP="00E75336">
            <w:pPr>
              <w:pStyle w:val="Tabletext"/>
              <w:jc w:val="center"/>
              <w:rPr>
                <w:b/>
                <w:bCs/>
                <w:sz w:val="18"/>
                <w:szCs w:val="18"/>
                <w:lang w:eastAsia="en-GB"/>
              </w:rPr>
            </w:pPr>
            <w:hyperlink r:id="rId34" w:history="1">
              <w:r w:rsidR="008320F5" w:rsidRPr="004A331F">
                <w:rPr>
                  <w:rStyle w:val="Hyperlink"/>
                  <w:b/>
                  <w:bCs/>
                  <w:sz w:val="18"/>
                  <w:szCs w:val="18"/>
                  <w:lang w:eastAsia="en-GB"/>
                </w:rPr>
                <w:t>C21/11</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126A3BE"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440B93D6" w14:textId="77777777" w:rsidTr="00DB3438">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76F84A38" w14:textId="77777777" w:rsidR="008320F5" w:rsidRPr="004A331F" w:rsidRDefault="008320F5" w:rsidP="00E75336">
            <w:pPr>
              <w:pStyle w:val="Tabletext"/>
              <w:jc w:val="center"/>
              <w:rPr>
                <w:sz w:val="18"/>
                <w:szCs w:val="18"/>
                <w:lang w:eastAsia="en-GB"/>
              </w:rPr>
            </w:pPr>
            <w:r w:rsidRPr="004A331F">
              <w:rPr>
                <w:sz w:val="18"/>
                <w:szCs w:val="18"/>
                <w:lang w:eastAsia="en-GB"/>
              </w:rPr>
              <w:t>23</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2E444952" w14:textId="6907289F" w:rsidR="008320F5" w:rsidRPr="004A331F" w:rsidRDefault="00DB3438" w:rsidP="00E75336">
            <w:pPr>
              <w:pStyle w:val="Tabletext"/>
              <w:rPr>
                <w:sz w:val="18"/>
                <w:szCs w:val="18"/>
                <w:lang w:eastAsia="en-GB"/>
              </w:rPr>
            </w:pPr>
            <w:r w:rsidRPr="004A331F">
              <w:rPr>
                <w:sz w:val="18"/>
                <w:szCs w:val="18"/>
                <w:lang w:eastAsia="en-GB"/>
              </w:rPr>
              <w:t xml:space="preserve">Comptes </w:t>
            </w:r>
            <w:proofErr w:type="gramStart"/>
            <w:r w:rsidRPr="004A331F">
              <w:rPr>
                <w:sz w:val="18"/>
                <w:szCs w:val="18"/>
                <w:lang w:eastAsia="en-GB"/>
              </w:rPr>
              <w:t>vérifiés:</w:t>
            </w:r>
            <w:proofErr w:type="gramEnd"/>
            <w:r w:rsidRPr="004A331F">
              <w:rPr>
                <w:sz w:val="18"/>
                <w:szCs w:val="18"/>
                <w:lang w:eastAsia="en-GB"/>
              </w:rPr>
              <w:t xml:space="preserve"> Rapport de gestion financière vérifié pour 2020</w:t>
            </w:r>
          </w:p>
        </w:tc>
        <w:tc>
          <w:tcPr>
            <w:tcW w:w="1418" w:type="dxa"/>
            <w:tcBorders>
              <w:top w:val="nil"/>
              <w:left w:val="nil"/>
              <w:bottom w:val="single" w:sz="4" w:space="0" w:color="auto"/>
              <w:right w:val="single" w:sz="4" w:space="0" w:color="auto"/>
            </w:tcBorders>
            <w:shd w:val="clear" w:color="auto" w:fill="auto"/>
            <w:vAlign w:val="center"/>
            <w:hideMark/>
          </w:tcPr>
          <w:p w14:paraId="0CBD95C0" w14:textId="77777777" w:rsidR="008320F5" w:rsidRPr="004A331F" w:rsidRDefault="00E76E31" w:rsidP="00E75336">
            <w:pPr>
              <w:pStyle w:val="Tabletext"/>
              <w:jc w:val="center"/>
              <w:rPr>
                <w:b/>
                <w:bCs/>
                <w:sz w:val="18"/>
                <w:szCs w:val="18"/>
                <w:lang w:eastAsia="en-GB"/>
              </w:rPr>
            </w:pPr>
            <w:hyperlink r:id="rId35" w:history="1">
              <w:r w:rsidR="008320F5" w:rsidRPr="004A331F">
                <w:rPr>
                  <w:rStyle w:val="Hyperlink"/>
                  <w:b/>
                  <w:bCs/>
                  <w:sz w:val="18"/>
                  <w:szCs w:val="18"/>
                  <w:lang w:eastAsia="en-GB"/>
                </w:rPr>
                <w:t>C21/42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0269AC0"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229A78FE"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0B335BA7" w14:textId="77777777" w:rsidR="008320F5" w:rsidRPr="004A331F" w:rsidRDefault="008320F5" w:rsidP="00E75336">
            <w:pPr>
              <w:pStyle w:val="Tabletext"/>
              <w:jc w:val="center"/>
              <w:rPr>
                <w:sz w:val="18"/>
                <w:szCs w:val="18"/>
                <w:lang w:eastAsia="en-GB"/>
              </w:rPr>
            </w:pPr>
            <w:r w:rsidRPr="004A331F">
              <w:rPr>
                <w:sz w:val="18"/>
                <w:szCs w:val="18"/>
                <w:lang w:eastAsia="en-GB"/>
              </w:rPr>
              <w:t>24</w:t>
            </w:r>
          </w:p>
        </w:tc>
        <w:tc>
          <w:tcPr>
            <w:tcW w:w="6740" w:type="dxa"/>
            <w:tcBorders>
              <w:top w:val="nil"/>
              <w:left w:val="nil"/>
              <w:bottom w:val="single" w:sz="4" w:space="0" w:color="auto"/>
              <w:right w:val="single" w:sz="4" w:space="0" w:color="auto"/>
            </w:tcBorders>
            <w:shd w:val="clear" w:color="auto" w:fill="auto"/>
            <w:vAlign w:val="center"/>
            <w:hideMark/>
          </w:tcPr>
          <w:p w14:paraId="4C4FC027" w14:textId="21EE0CCF" w:rsidR="008320F5" w:rsidRPr="004A331F" w:rsidRDefault="00DB3438" w:rsidP="00E75336">
            <w:pPr>
              <w:pStyle w:val="Tabletext"/>
              <w:rPr>
                <w:sz w:val="18"/>
                <w:szCs w:val="18"/>
                <w:lang w:eastAsia="en-GB"/>
              </w:rPr>
            </w:pPr>
            <w:r w:rsidRPr="004A331F">
              <w:rPr>
                <w:bCs/>
                <w:sz w:val="18"/>
                <w:szCs w:val="18"/>
                <w:lang w:eastAsia="en-GB"/>
              </w:rPr>
              <w:t xml:space="preserve">Rapport du Vérificateur extérieur des </w:t>
            </w:r>
            <w:proofErr w:type="gramStart"/>
            <w:r w:rsidRPr="004A331F">
              <w:rPr>
                <w:bCs/>
                <w:sz w:val="18"/>
                <w:szCs w:val="18"/>
                <w:lang w:eastAsia="en-GB"/>
              </w:rPr>
              <w:t>comptes:</w:t>
            </w:r>
            <w:proofErr w:type="gramEnd"/>
            <w:r w:rsidRPr="004A331F">
              <w:rPr>
                <w:bCs/>
                <w:sz w:val="18"/>
                <w:szCs w:val="18"/>
                <w:lang w:eastAsia="en-GB"/>
              </w:rPr>
              <w:t xml:space="preserve"> Comptes de l'Union pour 2020</w:t>
            </w:r>
          </w:p>
        </w:tc>
        <w:tc>
          <w:tcPr>
            <w:tcW w:w="1418" w:type="dxa"/>
            <w:tcBorders>
              <w:top w:val="nil"/>
              <w:left w:val="nil"/>
              <w:bottom w:val="single" w:sz="4" w:space="0" w:color="auto"/>
              <w:right w:val="single" w:sz="4" w:space="0" w:color="auto"/>
            </w:tcBorders>
            <w:shd w:val="clear" w:color="auto" w:fill="auto"/>
            <w:noWrap/>
            <w:vAlign w:val="center"/>
          </w:tcPr>
          <w:p w14:paraId="2A8B71A2" w14:textId="77777777" w:rsidR="008320F5" w:rsidRPr="004A331F" w:rsidRDefault="00E76E31" w:rsidP="00E75336">
            <w:pPr>
              <w:pStyle w:val="Tabletext"/>
              <w:jc w:val="center"/>
              <w:rPr>
                <w:b/>
                <w:bCs/>
                <w:sz w:val="18"/>
                <w:szCs w:val="18"/>
                <w:lang w:eastAsia="en-GB"/>
              </w:rPr>
            </w:pPr>
            <w:hyperlink r:id="rId36" w:history="1">
              <w:r w:rsidR="008320F5" w:rsidRPr="004A331F">
                <w:rPr>
                  <w:rStyle w:val="Hyperlink"/>
                  <w:b/>
                  <w:bCs/>
                  <w:sz w:val="18"/>
                  <w:szCs w:val="18"/>
                  <w:lang w:eastAsia="en-GB"/>
                </w:rPr>
                <w:t>C21/40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293290C"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3B40C4F4" w14:textId="77777777" w:rsidTr="00DB3438">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1B2074A1" w14:textId="77777777" w:rsidR="008320F5" w:rsidRPr="004A331F" w:rsidRDefault="008320F5" w:rsidP="00E75336">
            <w:pPr>
              <w:pStyle w:val="Tabletext"/>
              <w:jc w:val="center"/>
              <w:rPr>
                <w:sz w:val="18"/>
                <w:szCs w:val="18"/>
                <w:lang w:eastAsia="en-GB"/>
              </w:rPr>
            </w:pPr>
            <w:r w:rsidRPr="004A331F">
              <w:rPr>
                <w:sz w:val="18"/>
                <w:szCs w:val="18"/>
                <w:lang w:eastAsia="en-GB"/>
              </w:rPr>
              <w:t>25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726FB7C" w14:textId="0453F40B" w:rsidR="008320F5" w:rsidRPr="004A331F" w:rsidRDefault="00DB3438" w:rsidP="00E75336">
            <w:pPr>
              <w:pStyle w:val="Tabletext"/>
              <w:rPr>
                <w:sz w:val="18"/>
                <w:szCs w:val="18"/>
                <w:lang w:eastAsia="en-GB"/>
              </w:rPr>
            </w:pPr>
            <w:r w:rsidRPr="004A331F">
              <w:rPr>
                <w:bCs/>
                <w:sz w:val="18"/>
                <w:szCs w:val="18"/>
                <w:lang w:eastAsia="en-GB"/>
              </w:rPr>
              <w:t xml:space="preserve">Rapport du Vérificateur extérieur des comptes de </w:t>
            </w:r>
            <w:proofErr w:type="gramStart"/>
            <w:r w:rsidRPr="004A331F">
              <w:rPr>
                <w:bCs/>
                <w:sz w:val="18"/>
                <w:szCs w:val="18"/>
                <w:lang w:eastAsia="en-GB"/>
              </w:rPr>
              <w:t>l'Union:</w:t>
            </w:r>
            <w:proofErr w:type="gramEnd"/>
            <w:r w:rsidRPr="004A331F">
              <w:rPr>
                <w:bCs/>
                <w:sz w:val="18"/>
                <w:szCs w:val="18"/>
                <w:lang w:eastAsia="en-GB"/>
              </w:rPr>
              <w:t xml:space="preserve"> ITU TELECOM World 2020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D8AAA53" w14:textId="77777777" w:rsidR="008320F5" w:rsidRPr="004A331F" w:rsidRDefault="00E76E31" w:rsidP="00E75336">
            <w:pPr>
              <w:pStyle w:val="Tabletext"/>
              <w:jc w:val="center"/>
              <w:rPr>
                <w:b/>
                <w:bCs/>
                <w:sz w:val="18"/>
                <w:szCs w:val="18"/>
                <w:lang w:eastAsia="en-GB"/>
              </w:rPr>
            </w:pPr>
            <w:hyperlink r:id="rId37" w:history="1">
              <w:r w:rsidR="008320F5" w:rsidRPr="004A331F">
                <w:rPr>
                  <w:rStyle w:val="Hyperlink"/>
                  <w:b/>
                  <w:bCs/>
                  <w:sz w:val="18"/>
                  <w:szCs w:val="18"/>
                  <w:lang w:eastAsia="en-GB"/>
                </w:rPr>
                <w:t>C21/41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B509AC"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25B24F44"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3ED0AAB1" w14:textId="77777777" w:rsidR="008320F5" w:rsidRPr="004A331F" w:rsidRDefault="008320F5" w:rsidP="00E75336">
            <w:pPr>
              <w:pStyle w:val="Tabletext"/>
              <w:jc w:val="center"/>
              <w:rPr>
                <w:sz w:val="18"/>
                <w:szCs w:val="18"/>
                <w:lang w:eastAsia="en-GB"/>
              </w:rPr>
            </w:pPr>
            <w:r w:rsidRPr="004A331F">
              <w:rPr>
                <w:sz w:val="18"/>
                <w:szCs w:val="18"/>
                <w:lang w:eastAsia="en-GB"/>
              </w:rPr>
              <w:t>26</w:t>
            </w:r>
          </w:p>
        </w:tc>
        <w:tc>
          <w:tcPr>
            <w:tcW w:w="6740" w:type="dxa"/>
            <w:tcBorders>
              <w:top w:val="nil"/>
              <w:left w:val="nil"/>
              <w:bottom w:val="single" w:sz="4" w:space="0" w:color="auto"/>
              <w:right w:val="single" w:sz="4" w:space="0" w:color="auto"/>
            </w:tcBorders>
            <w:shd w:val="clear" w:color="auto" w:fill="auto"/>
            <w:vAlign w:val="center"/>
            <w:hideMark/>
          </w:tcPr>
          <w:p w14:paraId="66313146" w14:textId="651AA9CC" w:rsidR="008320F5" w:rsidRPr="004A331F" w:rsidRDefault="00DB3438" w:rsidP="00E75336">
            <w:pPr>
              <w:pStyle w:val="Tabletext"/>
              <w:rPr>
                <w:sz w:val="18"/>
                <w:szCs w:val="18"/>
                <w:lang w:eastAsia="en-GB"/>
              </w:rPr>
            </w:pPr>
            <w:r w:rsidRPr="004A331F">
              <w:rPr>
                <w:sz w:val="18"/>
                <w:szCs w:val="18"/>
                <w:lang w:eastAsia="en-GB"/>
              </w:rPr>
              <w:t>Rapport de l'auditeur interne sur les activités d'audit interne</w:t>
            </w:r>
          </w:p>
        </w:tc>
        <w:tc>
          <w:tcPr>
            <w:tcW w:w="1418" w:type="dxa"/>
            <w:tcBorders>
              <w:top w:val="nil"/>
              <w:left w:val="nil"/>
              <w:bottom w:val="single" w:sz="4" w:space="0" w:color="auto"/>
              <w:right w:val="single" w:sz="4" w:space="0" w:color="auto"/>
            </w:tcBorders>
            <w:shd w:val="clear" w:color="auto" w:fill="auto"/>
            <w:noWrap/>
            <w:vAlign w:val="center"/>
            <w:hideMark/>
          </w:tcPr>
          <w:p w14:paraId="083C36A1" w14:textId="77777777" w:rsidR="008320F5" w:rsidRPr="004A331F" w:rsidRDefault="00E76E31" w:rsidP="00E75336">
            <w:pPr>
              <w:pStyle w:val="Tabletext"/>
              <w:jc w:val="center"/>
              <w:rPr>
                <w:b/>
                <w:bCs/>
                <w:sz w:val="18"/>
                <w:szCs w:val="18"/>
                <w:lang w:eastAsia="en-GB"/>
              </w:rPr>
            </w:pPr>
            <w:hyperlink r:id="rId38" w:history="1">
              <w:r w:rsidR="008320F5" w:rsidRPr="004A331F">
                <w:rPr>
                  <w:rStyle w:val="Hyperlink"/>
                  <w:b/>
                  <w:bCs/>
                  <w:sz w:val="18"/>
                  <w:szCs w:val="18"/>
                  <w:lang w:eastAsia="en-GB"/>
                </w:rPr>
                <w:t>C21/44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9087D0F"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1B90F03B"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44979AA0" w14:textId="77777777" w:rsidR="008320F5" w:rsidRPr="004A331F" w:rsidRDefault="008320F5" w:rsidP="00E75336">
            <w:pPr>
              <w:pStyle w:val="Tabletext"/>
              <w:jc w:val="center"/>
              <w:rPr>
                <w:sz w:val="18"/>
                <w:szCs w:val="18"/>
                <w:lang w:eastAsia="en-GB"/>
              </w:rPr>
            </w:pPr>
            <w:r w:rsidRPr="004A331F">
              <w:rPr>
                <w:sz w:val="18"/>
                <w:szCs w:val="18"/>
                <w:lang w:eastAsia="en-GB"/>
              </w:rPr>
              <w:t>27</w:t>
            </w:r>
          </w:p>
        </w:tc>
        <w:tc>
          <w:tcPr>
            <w:tcW w:w="6740" w:type="dxa"/>
            <w:tcBorders>
              <w:top w:val="nil"/>
              <w:left w:val="nil"/>
              <w:bottom w:val="single" w:sz="4" w:space="0" w:color="auto"/>
              <w:right w:val="single" w:sz="4" w:space="0" w:color="auto"/>
            </w:tcBorders>
            <w:shd w:val="clear" w:color="auto" w:fill="auto"/>
            <w:vAlign w:val="center"/>
            <w:hideMark/>
          </w:tcPr>
          <w:p w14:paraId="0713CB70" w14:textId="1AEFDF72" w:rsidR="008320F5" w:rsidRPr="004A331F" w:rsidRDefault="00DB3438" w:rsidP="00E75336">
            <w:pPr>
              <w:pStyle w:val="Tabletext"/>
              <w:rPr>
                <w:sz w:val="18"/>
                <w:szCs w:val="18"/>
                <w:lang w:eastAsia="en-GB"/>
              </w:rPr>
            </w:pPr>
            <w:r w:rsidRPr="004A331F">
              <w:rPr>
                <w:sz w:val="18"/>
                <w:szCs w:val="18"/>
                <w:lang w:eastAsia="en-GB"/>
              </w:rPr>
              <w:t>Nouvelle fonction d'investigation et nouveau processus en matière d'enquête</w:t>
            </w:r>
          </w:p>
        </w:tc>
        <w:tc>
          <w:tcPr>
            <w:tcW w:w="1418" w:type="dxa"/>
            <w:tcBorders>
              <w:top w:val="nil"/>
              <w:left w:val="nil"/>
              <w:bottom w:val="single" w:sz="4" w:space="0" w:color="auto"/>
              <w:right w:val="single" w:sz="4" w:space="0" w:color="auto"/>
            </w:tcBorders>
            <w:shd w:val="clear" w:color="auto" w:fill="auto"/>
            <w:vAlign w:val="center"/>
          </w:tcPr>
          <w:p w14:paraId="1D703CF7" w14:textId="77777777" w:rsidR="008320F5" w:rsidRPr="004A331F" w:rsidRDefault="00E76E31" w:rsidP="00E75336">
            <w:pPr>
              <w:pStyle w:val="Tabletext"/>
              <w:jc w:val="center"/>
              <w:rPr>
                <w:b/>
                <w:bCs/>
                <w:sz w:val="18"/>
                <w:szCs w:val="18"/>
                <w:lang w:eastAsia="en-GB"/>
              </w:rPr>
            </w:pPr>
            <w:hyperlink r:id="rId39" w:history="1">
              <w:r w:rsidR="008320F5" w:rsidRPr="004A331F">
                <w:rPr>
                  <w:rStyle w:val="Hyperlink"/>
                  <w:b/>
                  <w:bCs/>
                  <w:sz w:val="18"/>
                  <w:szCs w:val="18"/>
                  <w:lang w:eastAsia="en-GB"/>
                </w:rPr>
                <w:t>C21/60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5DF88D3"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45800B60"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225CB85D" w14:textId="77777777" w:rsidR="008320F5" w:rsidRPr="004A331F" w:rsidRDefault="008320F5" w:rsidP="00E75336">
            <w:pPr>
              <w:pStyle w:val="Tabletext"/>
              <w:jc w:val="center"/>
              <w:rPr>
                <w:sz w:val="18"/>
                <w:szCs w:val="18"/>
                <w:lang w:eastAsia="en-GB"/>
              </w:rPr>
            </w:pPr>
            <w:r w:rsidRPr="004A331F">
              <w:rPr>
                <w:sz w:val="18"/>
                <w:szCs w:val="18"/>
                <w:lang w:eastAsia="en-GB"/>
              </w:rPr>
              <w:t>28</w:t>
            </w:r>
          </w:p>
        </w:tc>
        <w:tc>
          <w:tcPr>
            <w:tcW w:w="6740" w:type="dxa"/>
            <w:tcBorders>
              <w:top w:val="nil"/>
              <w:left w:val="nil"/>
              <w:bottom w:val="single" w:sz="4" w:space="0" w:color="auto"/>
              <w:right w:val="single" w:sz="4" w:space="0" w:color="auto"/>
            </w:tcBorders>
            <w:shd w:val="clear" w:color="auto" w:fill="auto"/>
            <w:vAlign w:val="center"/>
            <w:hideMark/>
          </w:tcPr>
          <w:p w14:paraId="5A1992B6" w14:textId="46CCECD9" w:rsidR="008320F5" w:rsidRPr="004A331F" w:rsidRDefault="00DB3438" w:rsidP="00E75336">
            <w:pPr>
              <w:pStyle w:val="Tabletext"/>
              <w:rPr>
                <w:sz w:val="18"/>
                <w:szCs w:val="18"/>
                <w:lang w:eastAsia="en-GB"/>
              </w:rPr>
            </w:pPr>
            <w:r w:rsidRPr="004A331F">
              <w:rPr>
                <w:sz w:val="18"/>
                <w:szCs w:val="18"/>
                <w:lang w:eastAsia="en-GB"/>
              </w:rPr>
              <w:t>Rapport sur les progrès réalisés concernant le projet de locaux du siège de l'Union (</w:t>
            </w:r>
            <w:r w:rsidRPr="004A331F">
              <w:rPr>
                <w:i/>
                <w:iCs/>
                <w:sz w:val="18"/>
                <w:szCs w:val="18"/>
                <w:lang w:eastAsia="en-GB"/>
              </w:rPr>
              <w:t>Résolution 212 de la PP, Décision 619 du Conseil</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221E4289" w14:textId="77777777" w:rsidR="008320F5" w:rsidRPr="004A331F" w:rsidRDefault="00E76E31" w:rsidP="00E75336">
            <w:pPr>
              <w:pStyle w:val="Tabletext"/>
              <w:jc w:val="center"/>
              <w:rPr>
                <w:b/>
                <w:bCs/>
                <w:sz w:val="18"/>
                <w:szCs w:val="18"/>
                <w:lang w:eastAsia="en-GB"/>
              </w:rPr>
            </w:pPr>
            <w:hyperlink r:id="rId40" w:history="1">
              <w:r w:rsidR="008320F5" w:rsidRPr="004A331F">
                <w:rPr>
                  <w:rStyle w:val="Hyperlink"/>
                  <w:b/>
                  <w:bCs/>
                  <w:sz w:val="18"/>
                  <w:szCs w:val="18"/>
                  <w:lang w:eastAsia="en-GB"/>
                </w:rPr>
                <w:t>C21/7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DEB4341"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5F929FA6"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5C4137F7" w14:textId="77777777" w:rsidR="008320F5" w:rsidRPr="004A331F" w:rsidRDefault="008320F5" w:rsidP="00E75336">
            <w:pPr>
              <w:pStyle w:val="Tabletext"/>
              <w:jc w:val="center"/>
              <w:rPr>
                <w:sz w:val="18"/>
                <w:szCs w:val="18"/>
                <w:lang w:eastAsia="en-GB"/>
              </w:rPr>
            </w:pPr>
            <w:r w:rsidRPr="004A331F">
              <w:rPr>
                <w:sz w:val="18"/>
                <w:szCs w:val="18"/>
                <w:lang w:eastAsia="en-GB"/>
              </w:rPr>
              <w:t>29</w:t>
            </w:r>
          </w:p>
        </w:tc>
        <w:tc>
          <w:tcPr>
            <w:tcW w:w="6740" w:type="dxa"/>
            <w:tcBorders>
              <w:top w:val="nil"/>
              <w:left w:val="nil"/>
              <w:bottom w:val="single" w:sz="4" w:space="0" w:color="auto"/>
              <w:right w:val="single" w:sz="4" w:space="0" w:color="auto"/>
            </w:tcBorders>
            <w:shd w:val="clear" w:color="auto" w:fill="auto"/>
            <w:vAlign w:val="center"/>
            <w:hideMark/>
          </w:tcPr>
          <w:p w14:paraId="4D0CF39E" w14:textId="6D5394EF" w:rsidR="008320F5" w:rsidRPr="004A331F" w:rsidRDefault="00DB3438" w:rsidP="00E75336">
            <w:pPr>
              <w:pStyle w:val="Tabletext"/>
              <w:rPr>
                <w:sz w:val="18"/>
                <w:szCs w:val="18"/>
                <w:lang w:eastAsia="en-GB"/>
              </w:rPr>
            </w:pPr>
            <w:r w:rsidRPr="004A331F">
              <w:rPr>
                <w:sz w:val="18"/>
                <w:szCs w:val="18"/>
                <w:lang w:eastAsia="en-GB"/>
              </w:rPr>
              <w:t>Rapport du Groupe MSAG (Résolution 212 de la PP)</w:t>
            </w:r>
          </w:p>
        </w:tc>
        <w:tc>
          <w:tcPr>
            <w:tcW w:w="1418" w:type="dxa"/>
            <w:tcBorders>
              <w:top w:val="nil"/>
              <w:left w:val="nil"/>
              <w:bottom w:val="single" w:sz="4" w:space="0" w:color="auto"/>
              <w:right w:val="single" w:sz="4" w:space="0" w:color="auto"/>
            </w:tcBorders>
            <w:shd w:val="clear" w:color="auto" w:fill="auto"/>
            <w:vAlign w:val="center"/>
            <w:hideMark/>
          </w:tcPr>
          <w:p w14:paraId="04EADC07" w14:textId="77777777" w:rsidR="008320F5" w:rsidRPr="004A331F" w:rsidRDefault="00E76E31" w:rsidP="00E75336">
            <w:pPr>
              <w:pStyle w:val="Tabletext"/>
              <w:jc w:val="center"/>
              <w:rPr>
                <w:b/>
                <w:bCs/>
                <w:sz w:val="18"/>
                <w:szCs w:val="18"/>
                <w:lang w:eastAsia="en-GB"/>
              </w:rPr>
            </w:pPr>
            <w:hyperlink r:id="rId41" w:history="1">
              <w:r w:rsidR="008320F5" w:rsidRPr="004A331F">
                <w:rPr>
                  <w:rStyle w:val="Hyperlink"/>
                  <w:b/>
                  <w:bCs/>
                  <w:sz w:val="18"/>
                  <w:szCs w:val="18"/>
                  <w:lang w:eastAsia="en-GB"/>
                </w:rPr>
                <w:t>C21/48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107B409"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0DA1F501"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1703901A" w14:textId="77777777" w:rsidR="008320F5" w:rsidRPr="004A331F" w:rsidRDefault="008320F5" w:rsidP="00E75336">
            <w:pPr>
              <w:pStyle w:val="Tabletext"/>
              <w:jc w:val="center"/>
              <w:rPr>
                <w:sz w:val="18"/>
                <w:szCs w:val="18"/>
                <w:lang w:eastAsia="en-GB"/>
              </w:rPr>
            </w:pPr>
            <w:r w:rsidRPr="004A331F">
              <w:rPr>
                <w:sz w:val="18"/>
                <w:szCs w:val="18"/>
                <w:lang w:eastAsia="en-GB"/>
              </w:rPr>
              <w:t>30</w:t>
            </w:r>
          </w:p>
        </w:tc>
        <w:tc>
          <w:tcPr>
            <w:tcW w:w="6740" w:type="dxa"/>
            <w:tcBorders>
              <w:top w:val="nil"/>
              <w:left w:val="nil"/>
              <w:bottom w:val="single" w:sz="4" w:space="0" w:color="auto"/>
              <w:right w:val="single" w:sz="4" w:space="0" w:color="auto"/>
            </w:tcBorders>
            <w:shd w:val="clear" w:color="auto" w:fill="auto"/>
            <w:vAlign w:val="center"/>
            <w:hideMark/>
          </w:tcPr>
          <w:p w14:paraId="7EBC0564" w14:textId="57510F99" w:rsidR="008320F5" w:rsidRPr="004A331F" w:rsidRDefault="00DB3438" w:rsidP="00E75336">
            <w:pPr>
              <w:pStyle w:val="Tabletext"/>
              <w:rPr>
                <w:sz w:val="18"/>
                <w:szCs w:val="18"/>
                <w:lang w:eastAsia="en-GB"/>
              </w:rPr>
            </w:pPr>
            <w:r w:rsidRPr="004A331F">
              <w:rPr>
                <w:sz w:val="18"/>
                <w:szCs w:val="18"/>
                <w:lang w:eastAsia="en-GB"/>
              </w:rPr>
              <w:t>Stratégie et plan de mise en œuvre pour les conditions de travail du personnel (</w:t>
            </w:r>
            <w:r w:rsidRPr="004A331F">
              <w:rPr>
                <w:i/>
                <w:iCs/>
                <w:sz w:val="18"/>
                <w:szCs w:val="18"/>
                <w:lang w:eastAsia="en-GB"/>
              </w:rPr>
              <w:t>Décision 619 du Conseil</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0E27C644" w14:textId="77777777" w:rsidR="008320F5" w:rsidRPr="004A331F" w:rsidRDefault="00E76E31" w:rsidP="00E75336">
            <w:pPr>
              <w:pStyle w:val="Tabletext"/>
              <w:jc w:val="center"/>
              <w:rPr>
                <w:b/>
                <w:bCs/>
                <w:sz w:val="18"/>
                <w:szCs w:val="18"/>
                <w:lang w:eastAsia="en-GB"/>
              </w:rPr>
            </w:pPr>
            <w:hyperlink r:id="rId42" w:history="1">
              <w:r w:rsidR="008320F5" w:rsidRPr="004A331F">
                <w:rPr>
                  <w:rStyle w:val="Hyperlink"/>
                  <w:b/>
                  <w:bCs/>
                  <w:sz w:val="18"/>
                  <w:szCs w:val="18"/>
                  <w:lang w:eastAsia="en-GB"/>
                </w:rPr>
                <w:t>C21/29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6EDD8C6"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5CDCDC33"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1940EF5F" w14:textId="77777777" w:rsidR="008320F5" w:rsidRPr="004A331F" w:rsidRDefault="008320F5" w:rsidP="00E75336">
            <w:pPr>
              <w:pStyle w:val="Tabletext"/>
              <w:jc w:val="center"/>
              <w:rPr>
                <w:sz w:val="18"/>
                <w:szCs w:val="18"/>
                <w:lang w:eastAsia="en-GB"/>
              </w:rPr>
            </w:pPr>
            <w:r w:rsidRPr="004A331F">
              <w:rPr>
                <w:sz w:val="18"/>
                <w:szCs w:val="18"/>
                <w:lang w:eastAsia="en-GB"/>
              </w:rPr>
              <w:t>31</w:t>
            </w:r>
          </w:p>
        </w:tc>
        <w:tc>
          <w:tcPr>
            <w:tcW w:w="6740" w:type="dxa"/>
            <w:tcBorders>
              <w:top w:val="nil"/>
              <w:left w:val="nil"/>
              <w:bottom w:val="single" w:sz="4" w:space="0" w:color="auto"/>
              <w:right w:val="single" w:sz="4" w:space="0" w:color="auto"/>
            </w:tcBorders>
            <w:shd w:val="clear" w:color="auto" w:fill="auto"/>
            <w:vAlign w:val="center"/>
            <w:hideMark/>
          </w:tcPr>
          <w:p w14:paraId="6B2BD857" w14:textId="06C12FA3" w:rsidR="008320F5" w:rsidRPr="004A331F" w:rsidRDefault="00DB3438" w:rsidP="00E75336">
            <w:pPr>
              <w:pStyle w:val="Tabletext"/>
              <w:rPr>
                <w:sz w:val="18"/>
                <w:szCs w:val="18"/>
                <w:lang w:eastAsia="en-GB"/>
              </w:rPr>
            </w:pPr>
            <w:r w:rsidRPr="004A331F">
              <w:rPr>
                <w:sz w:val="18"/>
                <w:szCs w:val="18"/>
                <w:lang w:eastAsia="en-GB"/>
              </w:rPr>
              <w:t>Décisions de l'Assemblée générale des Nations Unies relatives aux conditions d'emploi dans le cadre du régime commun des Nations Unies</w:t>
            </w:r>
          </w:p>
        </w:tc>
        <w:tc>
          <w:tcPr>
            <w:tcW w:w="1418" w:type="dxa"/>
            <w:tcBorders>
              <w:top w:val="nil"/>
              <w:left w:val="nil"/>
              <w:bottom w:val="single" w:sz="4" w:space="0" w:color="auto"/>
              <w:right w:val="single" w:sz="4" w:space="0" w:color="auto"/>
            </w:tcBorders>
            <w:shd w:val="clear" w:color="auto" w:fill="auto"/>
            <w:vAlign w:val="center"/>
          </w:tcPr>
          <w:p w14:paraId="0C1770BA" w14:textId="77777777" w:rsidR="008320F5" w:rsidRPr="004A331F" w:rsidRDefault="00E76E31" w:rsidP="00E75336">
            <w:pPr>
              <w:pStyle w:val="Tabletext"/>
              <w:jc w:val="center"/>
              <w:rPr>
                <w:b/>
                <w:bCs/>
                <w:sz w:val="18"/>
                <w:szCs w:val="18"/>
                <w:lang w:eastAsia="en-GB"/>
              </w:rPr>
            </w:pPr>
            <w:hyperlink r:id="rId43" w:history="1">
              <w:r w:rsidR="008320F5" w:rsidRPr="004A331F">
                <w:rPr>
                  <w:rStyle w:val="Hyperlink"/>
                  <w:b/>
                  <w:bCs/>
                  <w:sz w:val="18"/>
                  <w:szCs w:val="18"/>
                  <w:lang w:eastAsia="en-GB"/>
                </w:rPr>
                <w:t>C21/23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A4C516E"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55CD20CF" w14:textId="77777777" w:rsidTr="00DB3438">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1FF87875" w14:textId="77777777" w:rsidR="008320F5" w:rsidRPr="004A331F" w:rsidRDefault="008320F5" w:rsidP="00E75336">
            <w:pPr>
              <w:pStyle w:val="Tabletext"/>
              <w:jc w:val="center"/>
              <w:rPr>
                <w:sz w:val="18"/>
                <w:szCs w:val="18"/>
                <w:lang w:eastAsia="en-GB"/>
              </w:rPr>
            </w:pPr>
            <w:r w:rsidRPr="004A331F">
              <w:rPr>
                <w:sz w:val="18"/>
                <w:szCs w:val="18"/>
                <w:lang w:eastAsia="en-GB"/>
              </w:rPr>
              <w:t>32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A31D182" w14:textId="3D2DBE6A" w:rsidR="008320F5" w:rsidRPr="004A331F" w:rsidRDefault="00DB3438" w:rsidP="00E75336">
            <w:pPr>
              <w:pStyle w:val="Tabletext"/>
              <w:rPr>
                <w:sz w:val="18"/>
                <w:szCs w:val="18"/>
                <w:lang w:eastAsia="en-GB"/>
              </w:rPr>
            </w:pPr>
            <w:r w:rsidRPr="004A331F">
              <w:rPr>
                <w:sz w:val="18"/>
                <w:szCs w:val="18"/>
                <w:lang w:eastAsia="en-GB"/>
              </w:rPr>
              <w:t>Rapport sur les résultats des activités du GTC</w:t>
            </w:r>
            <w:r w:rsidRPr="004A331F">
              <w:rPr>
                <w:sz w:val="18"/>
                <w:szCs w:val="18"/>
                <w:lang w:eastAsia="en-GB"/>
              </w:rPr>
              <w:noBreakHyphen/>
              <w:t>SMSI/ODD (</w:t>
            </w:r>
            <w:r w:rsidRPr="004A331F">
              <w:rPr>
                <w:i/>
                <w:iCs/>
                <w:sz w:val="18"/>
                <w:szCs w:val="18"/>
                <w:lang w:eastAsia="en-GB"/>
              </w:rPr>
              <w:t>Résolution 140 de la PP et Résolutions 1281, 1332 (MOD) et 1334 (MOD) du Conseil, y compris la mise en œuvre associée)</w:t>
            </w:r>
            <w:r w:rsidRPr="004A331F">
              <w:rPr>
                <w:sz w:val="18"/>
                <w:szCs w:val="18"/>
                <w:lang w:eastAsia="en-GB"/>
              </w:rPr>
              <w:t xml:space="preserve"> </w:t>
            </w:r>
            <w:r w:rsidR="008320F5" w:rsidRPr="004A331F">
              <w:rPr>
                <w:sz w:val="18"/>
                <w:szCs w:val="18"/>
                <w:lang w:eastAsia="en-GB"/>
              </w:rPr>
              <w:t>(</w:t>
            </w:r>
            <w:r w:rsidR="00360DBC" w:rsidRPr="004A331F">
              <w:rPr>
                <w:sz w:val="18"/>
                <w:szCs w:val="18"/>
                <w:lang w:eastAsia="en-GB"/>
              </w:rPr>
              <w:t>il convient d'en prendre note sous forme d'ensemble</w:t>
            </w:r>
            <w:r w:rsidR="008320F5" w:rsidRPr="004A331F">
              <w:rPr>
                <w:sz w:val="18"/>
                <w:szCs w:val="18"/>
                <w:lang w:eastAsia="en-GB"/>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43F3A21" w14:textId="77777777" w:rsidR="008320F5" w:rsidRPr="004A331F" w:rsidRDefault="00E76E31" w:rsidP="00E75336">
            <w:pPr>
              <w:pStyle w:val="Tabletext"/>
              <w:jc w:val="center"/>
              <w:rPr>
                <w:b/>
                <w:bCs/>
                <w:sz w:val="18"/>
                <w:szCs w:val="18"/>
                <w:lang w:eastAsia="en-GB"/>
              </w:rPr>
            </w:pPr>
            <w:hyperlink r:id="rId44" w:history="1">
              <w:r w:rsidR="008320F5" w:rsidRPr="004A331F">
                <w:rPr>
                  <w:rStyle w:val="Hyperlink"/>
                  <w:b/>
                  <w:bCs/>
                  <w:sz w:val="18"/>
                  <w:szCs w:val="18"/>
                  <w:lang w:eastAsia="en-GB"/>
                </w:rPr>
                <w:t>C21/8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A5A58F"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65863E06" w14:textId="77777777" w:rsidTr="00DB3438">
        <w:trPr>
          <w:cantSplit/>
          <w:jc w:val="center"/>
        </w:trPr>
        <w:tc>
          <w:tcPr>
            <w:tcW w:w="484" w:type="dxa"/>
            <w:tcBorders>
              <w:top w:val="single" w:sz="4" w:space="0" w:color="auto"/>
              <w:left w:val="single" w:sz="4" w:space="0" w:color="auto"/>
              <w:bottom w:val="nil"/>
              <w:right w:val="single" w:sz="4" w:space="0" w:color="auto"/>
            </w:tcBorders>
            <w:vAlign w:val="center"/>
          </w:tcPr>
          <w:p w14:paraId="39709871" w14:textId="77777777" w:rsidR="008320F5" w:rsidRPr="004A331F" w:rsidRDefault="008320F5" w:rsidP="00E75336">
            <w:pPr>
              <w:pStyle w:val="Tabletext"/>
              <w:jc w:val="center"/>
              <w:rPr>
                <w:sz w:val="18"/>
                <w:szCs w:val="18"/>
                <w:lang w:eastAsia="en-GB"/>
              </w:rPr>
            </w:pPr>
            <w:r w:rsidRPr="004A331F">
              <w:rPr>
                <w:sz w:val="18"/>
                <w:szCs w:val="18"/>
                <w:lang w:eastAsia="en-GB"/>
              </w:rPr>
              <w:t>33</w:t>
            </w:r>
          </w:p>
        </w:tc>
        <w:tc>
          <w:tcPr>
            <w:tcW w:w="6740" w:type="dxa"/>
            <w:tcBorders>
              <w:top w:val="single" w:sz="4" w:space="0" w:color="auto"/>
              <w:left w:val="nil"/>
              <w:bottom w:val="nil"/>
              <w:right w:val="single" w:sz="4" w:space="0" w:color="auto"/>
            </w:tcBorders>
            <w:shd w:val="clear" w:color="auto" w:fill="auto"/>
            <w:vAlign w:val="center"/>
            <w:hideMark/>
          </w:tcPr>
          <w:p w14:paraId="2F94E877" w14:textId="1B2ACB53" w:rsidR="008320F5" w:rsidRPr="004A331F" w:rsidRDefault="00DB3438" w:rsidP="00E75336">
            <w:pPr>
              <w:pStyle w:val="Tabletext"/>
              <w:rPr>
                <w:sz w:val="18"/>
                <w:szCs w:val="18"/>
                <w:lang w:eastAsia="en-GB"/>
              </w:rPr>
            </w:pPr>
            <w:r w:rsidRPr="004A331F">
              <w:rPr>
                <w:bCs/>
                <w:sz w:val="18"/>
                <w:szCs w:val="18"/>
                <w:lang w:eastAsia="en-GB"/>
              </w:rPr>
              <w:t>Rapport du Groupe de travail du Conseil sur la protection en ligne des enfants (</w:t>
            </w:r>
            <w:r w:rsidRPr="004A331F">
              <w:rPr>
                <w:bCs/>
                <w:i/>
                <w:iCs/>
                <w:sz w:val="18"/>
                <w:szCs w:val="18"/>
                <w:lang w:eastAsia="en-GB"/>
              </w:rPr>
              <w:t>Résolution 179 de la PP, Résolution 1306 (MOD) du Conseil</w:t>
            </w:r>
            <w:r w:rsidRPr="004A331F">
              <w:rPr>
                <w:bCs/>
                <w:sz w:val="18"/>
                <w:szCs w:val="18"/>
                <w:lang w:eastAsia="en-GB"/>
              </w:rPr>
              <w:t>)</w:t>
            </w:r>
            <w:r w:rsidR="00360DBC" w:rsidRPr="004A331F">
              <w:rPr>
                <w:sz w:val="18"/>
                <w:szCs w:val="18"/>
                <w:lang w:eastAsia="en-GB"/>
              </w:rPr>
              <w:t xml:space="preserve"> (il convient d'en prendre note sous forme d'ensemble)</w:t>
            </w:r>
          </w:p>
        </w:tc>
        <w:tc>
          <w:tcPr>
            <w:tcW w:w="1418" w:type="dxa"/>
            <w:tcBorders>
              <w:top w:val="single" w:sz="4" w:space="0" w:color="auto"/>
              <w:left w:val="nil"/>
              <w:bottom w:val="nil"/>
              <w:right w:val="single" w:sz="4" w:space="0" w:color="auto"/>
            </w:tcBorders>
            <w:shd w:val="clear" w:color="auto" w:fill="auto"/>
            <w:noWrap/>
            <w:vAlign w:val="center"/>
            <w:hideMark/>
          </w:tcPr>
          <w:p w14:paraId="7EA6E6A8" w14:textId="77777777" w:rsidR="008320F5" w:rsidRPr="004A331F" w:rsidRDefault="00E76E31" w:rsidP="00E75336">
            <w:pPr>
              <w:pStyle w:val="Tabletext"/>
              <w:jc w:val="center"/>
              <w:rPr>
                <w:b/>
                <w:bCs/>
                <w:sz w:val="18"/>
                <w:szCs w:val="18"/>
                <w:lang w:eastAsia="en-GB"/>
              </w:rPr>
            </w:pPr>
            <w:hyperlink r:id="rId45" w:history="1">
              <w:r w:rsidR="008320F5" w:rsidRPr="004A331F">
                <w:rPr>
                  <w:rStyle w:val="Hyperlink"/>
                  <w:b/>
                  <w:bCs/>
                  <w:sz w:val="18"/>
                  <w:szCs w:val="18"/>
                  <w:lang w:eastAsia="en-GB"/>
                </w:rPr>
                <w:t>C21/57</w:t>
              </w:r>
            </w:hyperlink>
          </w:p>
        </w:tc>
        <w:tc>
          <w:tcPr>
            <w:tcW w:w="1134" w:type="dxa"/>
            <w:tcBorders>
              <w:top w:val="single" w:sz="4" w:space="0" w:color="auto"/>
              <w:left w:val="nil"/>
              <w:bottom w:val="nil"/>
              <w:right w:val="single" w:sz="4" w:space="0" w:color="auto"/>
            </w:tcBorders>
            <w:shd w:val="clear" w:color="auto" w:fill="D9D9D9" w:themeFill="background1" w:themeFillShade="D9"/>
            <w:vAlign w:val="center"/>
          </w:tcPr>
          <w:p w14:paraId="63EBBB88"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40DE54A1" w14:textId="77777777" w:rsidTr="00DB3438">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A06626A" w14:textId="77777777" w:rsidR="008320F5" w:rsidRPr="004A331F" w:rsidRDefault="008320F5" w:rsidP="00E75336">
            <w:pPr>
              <w:pStyle w:val="Tabletext"/>
              <w:jc w:val="center"/>
              <w:rPr>
                <w:sz w:val="18"/>
                <w:szCs w:val="18"/>
                <w:lang w:eastAsia="en-GB"/>
              </w:rPr>
            </w:pPr>
            <w:r w:rsidRPr="004A331F">
              <w:rPr>
                <w:sz w:val="18"/>
                <w:szCs w:val="18"/>
                <w:lang w:eastAsia="en-GB"/>
              </w:rPr>
              <w:t>34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1FA6E7A" w14:textId="54DF3DFC" w:rsidR="008320F5" w:rsidRPr="004A331F" w:rsidRDefault="00DB3438" w:rsidP="00017653">
            <w:pPr>
              <w:pStyle w:val="Tabletext"/>
              <w:rPr>
                <w:sz w:val="18"/>
                <w:szCs w:val="18"/>
                <w:lang w:eastAsia="en-GB"/>
              </w:rPr>
            </w:pPr>
            <w:r w:rsidRPr="004A331F">
              <w:rPr>
                <w:sz w:val="18"/>
                <w:szCs w:val="18"/>
                <w:lang w:eastAsia="en-GB"/>
              </w:rPr>
              <w:t>Rapport du Groupe de travail du Conseil sur l'utilisation des langues (</w:t>
            </w:r>
            <w:r w:rsidRPr="004A331F">
              <w:rPr>
                <w:i/>
                <w:iCs/>
                <w:sz w:val="18"/>
                <w:szCs w:val="18"/>
                <w:lang w:eastAsia="en-GB"/>
              </w:rPr>
              <w:t>Résolution 154 de la</w:t>
            </w:r>
            <w:r w:rsidR="00017653">
              <w:rPr>
                <w:i/>
                <w:iCs/>
                <w:sz w:val="18"/>
                <w:szCs w:val="18"/>
                <w:lang w:eastAsia="en-GB"/>
              </w:rPr>
              <w:t> </w:t>
            </w:r>
            <w:r w:rsidRPr="004A331F">
              <w:rPr>
                <w:i/>
                <w:iCs/>
                <w:sz w:val="18"/>
                <w:szCs w:val="18"/>
                <w:lang w:eastAsia="en-GB"/>
              </w:rPr>
              <w:t>PP, Résolution 1372 (MOD) du Conseil</w:t>
            </w:r>
            <w:r w:rsidRPr="004A331F">
              <w:rPr>
                <w:sz w:val="18"/>
                <w:szCs w:val="18"/>
                <w:lang w:eastAsia="en-GB"/>
              </w:rPr>
              <w:t xml:space="preserve">) </w:t>
            </w:r>
            <w:r w:rsidR="00360DBC" w:rsidRPr="004A331F">
              <w:rPr>
                <w:sz w:val="18"/>
                <w:szCs w:val="18"/>
                <w:lang w:eastAsia="en-GB"/>
              </w:rPr>
              <w:t>(il convient d'en prendre note sous forme d'ensemble)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6CFC5C" w14:textId="77777777" w:rsidR="008320F5" w:rsidRPr="004A331F" w:rsidRDefault="00E76E31" w:rsidP="00E75336">
            <w:pPr>
              <w:pStyle w:val="Tabletext"/>
              <w:jc w:val="center"/>
              <w:rPr>
                <w:b/>
                <w:bCs/>
                <w:sz w:val="18"/>
                <w:szCs w:val="18"/>
                <w:lang w:eastAsia="en-GB"/>
              </w:rPr>
            </w:pPr>
            <w:hyperlink r:id="rId46" w:history="1">
              <w:r w:rsidR="008320F5" w:rsidRPr="004A331F">
                <w:rPr>
                  <w:rStyle w:val="Hyperlink"/>
                  <w:b/>
                  <w:bCs/>
                  <w:sz w:val="18"/>
                  <w:szCs w:val="18"/>
                  <w:lang w:eastAsia="en-GB"/>
                </w:rPr>
                <w:t>C21/12</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1A3E8C"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66203572"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2C61812D" w14:textId="77777777" w:rsidR="008320F5" w:rsidRPr="004A331F" w:rsidRDefault="008320F5" w:rsidP="00E75336">
            <w:pPr>
              <w:pStyle w:val="Tabletext"/>
              <w:jc w:val="center"/>
              <w:rPr>
                <w:sz w:val="18"/>
                <w:szCs w:val="18"/>
                <w:lang w:eastAsia="en-GB"/>
              </w:rPr>
            </w:pPr>
            <w:r w:rsidRPr="004A331F">
              <w:rPr>
                <w:sz w:val="18"/>
                <w:szCs w:val="18"/>
                <w:lang w:eastAsia="en-GB"/>
              </w:rPr>
              <w:t>35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33A56946" w14:textId="7572CD18" w:rsidR="008320F5" w:rsidRPr="004A331F" w:rsidRDefault="00DB3438" w:rsidP="00E75336">
            <w:pPr>
              <w:pStyle w:val="Tabletext"/>
              <w:rPr>
                <w:sz w:val="18"/>
                <w:szCs w:val="18"/>
                <w:lang w:eastAsia="en-GB"/>
              </w:rPr>
            </w:pPr>
            <w:r w:rsidRPr="004A331F">
              <w:rPr>
                <w:sz w:val="18"/>
                <w:szCs w:val="18"/>
                <w:lang w:eastAsia="en-GB"/>
              </w:rPr>
              <w:t>Rapport du Groupe EG-RTI (</w:t>
            </w:r>
            <w:r w:rsidRPr="004A331F">
              <w:rPr>
                <w:i/>
                <w:sz w:val="18"/>
                <w:szCs w:val="18"/>
                <w:lang w:eastAsia="en-GB"/>
              </w:rPr>
              <w:t xml:space="preserve">Résolution 146 de la PP, Résolution 1379 </w:t>
            </w:r>
            <w:r w:rsidRPr="004A331F">
              <w:rPr>
                <w:i/>
                <w:iCs/>
                <w:sz w:val="18"/>
                <w:szCs w:val="18"/>
                <w:lang w:eastAsia="en-GB"/>
              </w:rPr>
              <w:t>(MOD</w:t>
            </w:r>
            <w:r w:rsidRPr="004A331F">
              <w:rPr>
                <w:i/>
                <w:sz w:val="18"/>
                <w:szCs w:val="18"/>
                <w:lang w:eastAsia="en-GB"/>
              </w:rPr>
              <w:t>) du Conseil</w:t>
            </w:r>
            <w:r w:rsidRPr="004A331F">
              <w:rPr>
                <w:i/>
                <w:iCs/>
                <w:sz w:val="18"/>
                <w:szCs w:val="18"/>
                <w:lang w:eastAsia="en-GB"/>
              </w:rPr>
              <w:t>)</w:t>
            </w:r>
            <w:r w:rsidR="008320F5" w:rsidRPr="004A331F">
              <w:rPr>
                <w:sz w:val="18"/>
                <w:szCs w:val="18"/>
                <w:lang w:eastAsia="en-GB"/>
              </w:rPr>
              <w:t xml:space="preserve"> </w:t>
            </w:r>
            <w:r w:rsidR="00360DBC" w:rsidRPr="004A331F">
              <w:rPr>
                <w:sz w:val="18"/>
                <w:szCs w:val="18"/>
                <w:lang w:eastAsia="en-GB"/>
              </w:rPr>
              <w:t>(il convient d'en prendre note sous forme d'ensemble)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C478AB" w14:textId="77777777" w:rsidR="008320F5" w:rsidRPr="004A331F" w:rsidRDefault="00E76E31" w:rsidP="00E75336">
            <w:pPr>
              <w:pStyle w:val="Tabletext"/>
              <w:jc w:val="center"/>
              <w:rPr>
                <w:b/>
                <w:bCs/>
                <w:sz w:val="18"/>
                <w:szCs w:val="18"/>
                <w:lang w:eastAsia="en-GB"/>
              </w:rPr>
            </w:pPr>
            <w:hyperlink r:id="rId47" w:history="1">
              <w:r w:rsidR="008320F5" w:rsidRPr="004A331F">
                <w:rPr>
                  <w:rStyle w:val="Hyperlink"/>
                  <w:b/>
                  <w:bCs/>
                  <w:sz w:val="18"/>
                  <w:szCs w:val="18"/>
                  <w:lang w:eastAsia="en-GB"/>
                </w:rPr>
                <w:t>C21/26</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563AF2"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63F44E97" w14:textId="77777777" w:rsidTr="00DB3438">
        <w:trPr>
          <w:cantSplit/>
          <w:jc w:val="center"/>
        </w:trPr>
        <w:tc>
          <w:tcPr>
            <w:tcW w:w="484" w:type="dxa"/>
            <w:tcBorders>
              <w:top w:val="nil"/>
              <w:left w:val="single" w:sz="4" w:space="0" w:color="auto"/>
              <w:bottom w:val="nil"/>
              <w:right w:val="single" w:sz="4" w:space="0" w:color="auto"/>
            </w:tcBorders>
            <w:vAlign w:val="center"/>
          </w:tcPr>
          <w:p w14:paraId="7CAF4707" w14:textId="77777777" w:rsidR="008320F5" w:rsidRPr="004A331F" w:rsidRDefault="008320F5" w:rsidP="00E75336">
            <w:pPr>
              <w:pStyle w:val="Tabletext"/>
              <w:jc w:val="center"/>
              <w:rPr>
                <w:sz w:val="18"/>
                <w:szCs w:val="18"/>
                <w:lang w:eastAsia="en-GB"/>
              </w:rPr>
            </w:pPr>
            <w:r w:rsidRPr="004A331F">
              <w:rPr>
                <w:sz w:val="18"/>
                <w:szCs w:val="18"/>
                <w:lang w:eastAsia="en-GB"/>
              </w:rPr>
              <w:t>36</w:t>
            </w:r>
          </w:p>
        </w:tc>
        <w:tc>
          <w:tcPr>
            <w:tcW w:w="6740" w:type="dxa"/>
            <w:tcBorders>
              <w:top w:val="nil"/>
              <w:left w:val="nil"/>
              <w:bottom w:val="nil"/>
              <w:right w:val="single" w:sz="4" w:space="0" w:color="auto"/>
            </w:tcBorders>
            <w:shd w:val="clear" w:color="auto" w:fill="auto"/>
            <w:vAlign w:val="center"/>
            <w:hideMark/>
          </w:tcPr>
          <w:p w14:paraId="6B44D7F8" w14:textId="432B9978" w:rsidR="008320F5" w:rsidRPr="004A331F" w:rsidRDefault="00DB3438" w:rsidP="00E75336">
            <w:pPr>
              <w:pStyle w:val="Tabletext"/>
              <w:rPr>
                <w:sz w:val="18"/>
                <w:szCs w:val="18"/>
                <w:lang w:eastAsia="en-GB"/>
              </w:rPr>
            </w:pPr>
            <w:r w:rsidRPr="004A331F">
              <w:rPr>
                <w:sz w:val="18"/>
                <w:szCs w:val="18"/>
                <w:lang w:eastAsia="en-GB"/>
              </w:rPr>
              <w:t>Rapport du Président du Groupe de travail du Conseil sur les questions de politiques publiques internationales relatives à l'Internet (GTC-Internet) (</w:t>
            </w:r>
            <w:r w:rsidRPr="004A331F">
              <w:rPr>
                <w:i/>
                <w:iCs/>
                <w:sz w:val="18"/>
                <w:szCs w:val="18"/>
                <w:lang w:eastAsia="en-GB"/>
              </w:rPr>
              <w:t>Résolutions 1305 et</w:t>
            </w:r>
            <w:r w:rsidR="00017653">
              <w:rPr>
                <w:i/>
                <w:iCs/>
                <w:sz w:val="18"/>
                <w:szCs w:val="18"/>
                <w:lang w:eastAsia="en-GB"/>
              </w:rPr>
              <w:t> </w:t>
            </w:r>
            <w:r w:rsidRPr="004A331F">
              <w:rPr>
                <w:i/>
                <w:iCs/>
                <w:sz w:val="18"/>
                <w:szCs w:val="18"/>
                <w:lang w:eastAsia="en-GB"/>
              </w:rPr>
              <w:t>1336 (MOD) du Conseil)</w:t>
            </w:r>
            <w:r w:rsidRPr="004A331F">
              <w:rPr>
                <w:sz w:val="18"/>
                <w:szCs w:val="18"/>
                <w:lang w:eastAsia="en-GB"/>
              </w:rPr>
              <w:t xml:space="preserve"> </w:t>
            </w:r>
            <w:r w:rsidR="00360DBC" w:rsidRPr="004A331F">
              <w:rPr>
                <w:sz w:val="18"/>
                <w:szCs w:val="18"/>
                <w:lang w:eastAsia="en-GB"/>
              </w:rPr>
              <w:t>(il convient d'en prendre note sous forme d'ensemble)</w:t>
            </w:r>
          </w:p>
        </w:tc>
        <w:tc>
          <w:tcPr>
            <w:tcW w:w="1418" w:type="dxa"/>
            <w:tcBorders>
              <w:top w:val="nil"/>
              <w:left w:val="nil"/>
              <w:bottom w:val="nil"/>
              <w:right w:val="single" w:sz="4" w:space="0" w:color="auto"/>
            </w:tcBorders>
            <w:shd w:val="clear" w:color="auto" w:fill="auto"/>
            <w:noWrap/>
            <w:vAlign w:val="center"/>
            <w:hideMark/>
          </w:tcPr>
          <w:p w14:paraId="4B1E2BD2" w14:textId="77777777" w:rsidR="008320F5" w:rsidRPr="004A331F" w:rsidRDefault="00E76E31" w:rsidP="00E75336">
            <w:pPr>
              <w:pStyle w:val="Tabletext"/>
              <w:jc w:val="center"/>
              <w:rPr>
                <w:b/>
                <w:bCs/>
                <w:sz w:val="18"/>
                <w:szCs w:val="18"/>
                <w:lang w:eastAsia="en-GB"/>
              </w:rPr>
            </w:pPr>
            <w:hyperlink r:id="rId48" w:history="1">
              <w:r w:rsidR="008320F5" w:rsidRPr="004A331F">
                <w:rPr>
                  <w:rStyle w:val="Hyperlink"/>
                  <w:b/>
                  <w:bCs/>
                  <w:sz w:val="18"/>
                  <w:szCs w:val="18"/>
                  <w:lang w:eastAsia="en-GB"/>
                </w:rPr>
                <w:t>C21/51</w:t>
              </w:r>
            </w:hyperlink>
          </w:p>
        </w:tc>
        <w:tc>
          <w:tcPr>
            <w:tcW w:w="1134" w:type="dxa"/>
            <w:tcBorders>
              <w:top w:val="nil"/>
              <w:left w:val="nil"/>
              <w:bottom w:val="nil"/>
              <w:right w:val="single" w:sz="4" w:space="0" w:color="auto"/>
            </w:tcBorders>
            <w:shd w:val="clear" w:color="auto" w:fill="D9D9D9" w:themeFill="background1" w:themeFillShade="D9"/>
            <w:vAlign w:val="center"/>
          </w:tcPr>
          <w:p w14:paraId="5F83F253"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771166F0" w14:textId="77777777" w:rsidTr="00DB3438">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E77DB09" w14:textId="77777777" w:rsidR="008320F5" w:rsidRPr="004A331F" w:rsidRDefault="008320F5" w:rsidP="00E75336">
            <w:pPr>
              <w:pStyle w:val="Tabletext"/>
              <w:jc w:val="center"/>
              <w:rPr>
                <w:sz w:val="18"/>
                <w:szCs w:val="18"/>
                <w:lang w:eastAsia="en-GB"/>
              </w:rPr>
            </w:pPr>
            <w:r w:rsidRPr="004A331F">
              <w:rPr>
                <w:sz w:val="18"/>
                <w:szCs w:val="18"/>
                <w:lang w:eastAsia="en-GB"/>
              </w:rPr>
              <w:t>37</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71ABC7D" w14:textId="55DFE863" w:rsidR="008320F5" w:rsidRPr="004A331F" w:rsidRDefault="00DB3438" w:rsidP="00E75336">
            <w:pPr>
              <w:pStyle w:val="Tabletext"/>
              <w:rPr>
                <w:sz w:val="18"/>
                <w:szCs w:val="18"/>
                <w:lang w:eastAsia="en-GB"/>
              </w:rPr>
            </w:pPr>
            <w:r w:rsidRPr="004A331F">
              <w:rPr>
                <w:bCs/>
                <w:sz w:val="18"/>
                <w:szCs w:val="18"/>
                <w:lang w:eastAsia="en-GB"/>
              </w:rPr>
              <w:t>Rapport sur la façon dont le cadre offert par le Programme mondial cybersécurité est actuellement utilisé par l'UIT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7BDE78B" w14:textId="77777777" w:rsidR="008320F5" w:rsidRPr="004A331F" w:rsidRDefault="00E76E31" w:rsidP="00E75336">
            <w:pPr>
              <w:pStyle w:val="Tabletext"/>
              <w:jc w:val="center"/>
              <w:rPr>
                <w:b/>
                <w:bCs/>
                <w:sz w:val="18"/>
                <w:szCs w:val="18"/>
                <w:lang w:eastAsia="en-GB"/>
              </w:rPr>
            </w:pPr>
            <w:hyperlink r:id="rId49" w:history="1">
              <w:r w:rsidR="008320F5" w:rsidRPr="004A331F">
                <w:rPr>
                  <w:rStyle w:val="Hyperlink"/>
                  <w:b/>
                  <w:bCs/>
                  <w:sz w:val="18"/>
                  <w:szCs w:val="18"/>
                  <w:lang w:eastAsia="en-GB"/>
                </w:rPr>
                <w:t>C21/36</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689B0E"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6E5EB6A8" w14:textId="77777777" w:rsidTr="00DB3438">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71A6F2F4" w14:textId="77777777" w:rsidR="008320F5" w:rsidRPr="004A331F" w:rsidRDefault="008320F5" w:rsidP="00E75336">
            <w:pPr>
              <w:pStyle w:val="Tabletext"/>
              <w:jc w:val="center"/>
              <w:rPr>
                <w:sz w:val="18"/>
                <w:szCs w:val="18"/>
                <w:lang w:eastAsia="en-GB"/>
              </w:rPr>
            </w:pPr>
            <w:r w:rsidRPr="004A331F">
              <w:rPr>
                <w:sz w:val="18"/>
                <w:szCs w:val="18"/>
                <w:lang w:eastAsia="en-GB"/>
              </w:rPr>
              <w:t>38</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2CC37EE4" w14:textId="32EF1CC0" w:rsidR="008320F5" w:rsidRPr="004A331F" w:rsidRDefault="00DB3438" w:rsidP="00E75336">
            <w:pPr>
              <w:pStyle w:val="Tabletext"/>
              <w:rPr>
                <w:sz w:val="18"/>
                <w:szCs w:val="18"/>
                <w:lang w:eastAsia="en-GB"/>
              </w:rPr>
            </w:pPr>
            <w:r w:rsidRPr="004A331F">
              <w:rPr>
                <w:bCs/>
                <w:sz w:val="18"/>
                <w:szCs w:val="18"/>
                <w:lang w:eastAsia="en-GB"/>
              </w:rPr>
              <w:t>Lignes directrices relatives à l'utilisation du Programme mondial cybersécurité par l'UIT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E7BB3B" w14:textId="77777777" w:rsidR="008320F5" w:rsidRPr="004A331F" w:rsidRDefault="00E76E31" w:rsidP="00E75336">
            <w:pPr>
              <w:pStyle w:val="Tabletext"/>
              <w:jc w:val="center"/>
              <w:rPr>
                <w:b/>
                <w:bCs/>
                <w:sz w:val="18"/>
                <w:szCs w:val="18"/>
                <w:lang w:eastAsia="en-GB"/>
              </w:rPr>
            </w:pPr>
            <w:hyperlink r:id="rId50" w:history="1">
              <w:r w:rsidR="008320F5" w:rsidRPr="004A331F">
                <w:rPr>
                  <w:rStyle w:val="Hyperlink"/>
                  <w:b/>
                  <w:bCs/>
                  <w:sz w:val="18"/>
                  <w:szCs w:val="18"/>
                  <w:lang w:eastAsia="en-GB"/>
                </w:rPr>
                <w:t>C21/71</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06AE6E"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5A5453A9"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42923F3F" w14:textId="77777777" w:rsidR="008320F5" w:rsidRPr="004A331F" w:rsidRDefault="008320F5" w:rsidP="00E75336">
            <w:pPr>
              <w:pStyle w:val="Tabletext"/>
              <w:jc w:val="center"/>
              <w:rPr>
                <w:sz w:val="18"/>
                <w:szCs w:val="18"/>
                <w:lang w:eastAsia="en-GB"/>
              </w:rPr>
            </w:pPr>
            <w:r w:rsidRPr="004A331F">
              <w:rPr>
                <w:sz w:val="18"/>
                <w:szCs w:val="18"/>
                <w:lang w:eastAsia="en-GB"/>
              </w:rPr>
              <w:t>39</w:t>
            </w:r>
          </w:p>
        </w:tc>
        <w:tc>
          <w:tcPr>
            <w:tcW w:w="6740" w:type="dxa"/>
            <w:tcBorders>
              <w:top w:val="nil"/>
              <w:left w:val="nil"/>
              <w:bottom w:val="single" w:sz="4" w:space="0" w:color="auto"/>
              <w:right w:val="single" w:sz="4" w:space="0" w:color="auto"/>
            </w:tcBorders>
            <w:shd w:val="clear" w:color="auto" w:fill="auto"/>
            <w:vAlign w:val="center"/>
            <w:hideMark/>
          </w:tcPr>
          <w:p w14:paraId="7F91233B" w14:textId="1A003B4F" w:rsidR="008320F5" w:rsidRPr="004A331F" w:rsidRDefault="00DB3438" w:rsidP="00E75336">
            <w:pPr>
              <w:pStyle w:val="Tabletext"/>
              <w:rPr>
                <w:sz w:val="18"/>
                <w:szCs w:val="18"/>
                <w:lang w:eastAsia="en-GB"/>
              </w:rPr>
            </w:pPr>
            <w:r w:rsidRPr="004A331F">
              <w:rPr>
                <w:sz w:val="18"/>
                <w:szCs w:val="18"/>
                <w:lang w:eastAsia="en-GB"/>
              </w:rPr>
              <w:t>Rapport du Comité consultatif indépendant pour les questions de gestion (CCIG) (</w:t>
            </w:r>
            <w:r w:rsidRPr="004A331F">
              <w:rPr>
                <w:i/>
                <w:iCs/>
                <w:sz w:val="18"/>
                <w:szCs w:val="18"/>
                <w:lang w:eastAsia="en-GB"/>
              </w:rPr>
              <w:t>Résolution 162 de la PP, Décision 565 du Conseil</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7E019C58" w14:textId="77777777" w:rsidR="008320F5" w:rsidRPr="004A331F" w:rsidRDefault="00E76E31" w:rsidP="00E75336">
            <w:pPr>
              <w:pStyle w:val="Tabletext"/>
              <w:jc w:val="center"/>
              <w:rPr>
                <w:b/>
                <w:bCs/>
                <w:sz w:val="18"/>
                <w:szCs w:val="18"/>
                <w:lang w:eastAsia="en-GB"/>
              </w:rPr>
            </w:pPr>
            <w:hyperlink r:id="rId51" w:history="1">
              <w:r w:rsidR="008320F5" w:rsidRPr="004A331F">
                <w:rPr>
                  <w:rStyle w:val="Hyperlink"/>
                  <w:b/>
                  <w:bCs/>
                  <w:sz w:val="18"/>
                  <w:szCs w:val="18"/>
                  <w:lang w:eastAsia="en-GB"/>
                </w:rPr>
                <w:t>C21/22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ED7DD5F"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6C9FF7CF"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701A658A" w14:textId="77777777" w:rsidR="008320F5" w:rsidRPr="004A331F" w:rsidRDefault="008320F5" w:rsidP="00E75336">
            <w:pPr>
              <w:pStyle w:val="Tabletext"/>
              <w:jc w:val="center"/>
              <w:rPr>
                <w:sz w:val="18"/>
                <w:szCs w:val="18"/>
                <w:lang w:eastAsia="en-GB"/>
              </w:rPr>
            </w:pPr>
            <w:r w:rsidRPr="004A331F">
              <w:rPr>
                <w:sz w:val="18"/>
                <w:szCs w:val="18"/>
                <w:lang w:eastAsia="en-GB"/>
              </w:rPr>
              <w:t>40</w:t>
            </w:r>
          </w:p>
        </w:tc>
        <w:tc>
          <w:tcPr>
            <w:tcW w:w="6740" w:type="dxa"/>
            <w:tcBorders>
              <w:top w:val="nil"/>
              <w:left w:val="nil"/>
              <w:bottom w:val="single" w:sz="4" w:space="0" w:color="auto"/>
              <w:right w:val="single" w:sz="4" w:space="0" w:color="auto"/>
            </w:tcBorders>
            <w:shd w:val="clear" w:color="auto" w:fill="auto"/>
            <w:vAlign w:val="center"/>
            <w:hideMark/>
          </w:tcPr>
          <w:p w14:paraId="3FB65598" w14:textId="352F1EDA" w:rsidR="008320F5" w:rsidRPr="004A331F" w:rsidRDefault="00DB3438" w:rsidP="00E75336">
            <w:pPr>
              <w:pStyle w:val="Tabletext"/>
              <w:rPr>
                <w:sz w:val="18"/>
                <w:szCs w:val="18"/>
                <w:lang w:eastAsia="en-GB"/>
              </w:rPr>
            </w:pPr>
            <w:r w:rsidRPr="004A331F">
              <w:rPr>
                <w:sz w:val="18"/>
                <w:szCs w:val="18"/>
                <w:lang w:eastAsia="en-GB"/>
              </w:rPr>
              <w:t>Rapport du Groupe de travail sur les contrôles internes</w:t>
            </w:r>
          </w:p>
        </w:tc>
        <w:tc>
          <w:tcPr>
            <w:tcW w:w="1418" w:type="dxa"/>
            <w:tcBorders>
              <w:top w:val="nil"/>
              <w:left w:val="nil"/>
              <w:bottom w:val="single" w:sz="4" w:space="0" w:color="auto"/>
              <w:right w:val="single" w:sz="4" w:space="0" w:color="auto"/>
            </w:tcBorders>
            <w:shd w:val="clear" w:color="auto" w:fill="auto"/>
            <w:vAlign w:val="center"/>
            <w:hideMark/>
          </w:tcPr>
          <w:p w14:paraId="50FE88CD" w14:textId="77777777" w:rsidR="008320F5" w:rsidRPr="004A331F" w:rsidRDefault="00E76E31" w:rsidP="00E75336">
            <w:pPr>
              <w:pStyle w:val="Tabletext"/>
              <w:jc w:val="center"/>
              <w:rPr>
                <w:b/>
                <w:bCs/>
                <w:sz w:val="18"/>
                <w:szCs w:val="18"/>
                <w:lang w:eastAsia="en-GB"/>
              </w:rPr>
            </w:pPr>
            <w:hyperlink r:id="rId52" w:history="1">
              <w:r w:rsidR="008320F5" w:rsidRPr="004A331F">
                <w:rPr>
                  <w:rStyle w:val="Hyperlink"/>
                  <w:b/>
                  <w:bCs/>
                  <w:sz w:val="18"/>
                  <w:szCs w:val="18"/>
                  <w:lang w:eastAsia="en-GB"/>
                </w:rPr>
                <w:t>C21/63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FD2FF7B"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618EE51F"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4FF2B024" w14:textId="77777777" w:rsidR="008320F5" w:rsidRPr="004A331F" w:rsidRDefault="008320F5" w:rsidP="00E75336">
            <w:pPr>
              <w:pStyle w:val="Tabletext"/>
              <w:jc w:val="center"/>
              <w:rPr>
                <w:sz w:val="18"/>
                <w:szCs w:val="18"/>
                <w:lang w:eastAsia="en-GB"/>
              </w:rPr>
            </w:pPr>
            <w:r w:rsidRPr="004A331F">
              <w:rPr>
                <w:sz w:val="18"/>
                <w:szCs w:val="18"/>
                <w:lang w:eastAsia="en-GB"/>
              </w:rPr>
              <w:t>41</w:t>
            </w:r>
          </w:p>
        </w:tc>
        <w:tc>
          <w:tcPr>
            <w:tcW w:w="6740" w:type="dxa"/>
            <w:tcBorders>
              <w:top w:val="single" w:sz="4" w:space="0" w:color="auto"/>
              <w:left w:val="nil"/>
              <w:bottom w:val="single" w:sz="4" w:space="0" w:color="auto"/>
              <w:right w:val="single" w:sz="4" w:space="0" w:color="auto"/>
            </w:tcBorders>
            <w:shd w:val="clear" w:color="000000" w:fill="FFFFFF"/>
            <w:vAlign w:val="center"/>
            <w:hideMark/>
          </w:tcPr>
          <w:p w14:paraId="2C5C3D4E" w14:textId="639FD8F9" w:rsidR="008320F5" w:rsidRPr="004A331F" w:rsidRDefault="00DB3438" w:rsidP="00E75336">
            <w:pPr>
              <w:pStyle w:val="Tabletext"/>
              <w:rPr>
                <w:sz w:val="18"/>
                <w:szCs w:val="18"/>
                <w:lang w:eastAsia="en-GB"/>
              </w:rPr>
            </w:pPr>
            <w:r w:rsidRPr="004A331F">
              <w:rPr>
                <w:sz w:val="18"/>
                <w:szCs w:val="18"/>
                <w:lang w:eastAsia="en-GB"/>
              </w:rPr>
              <w:t>Rapport sur la vérification générale à la suite du cas de fraude dans un bureau régional</w:t>
            </w:r>
            <w:r w:rsidRPr="004A331F">
              <w:rPr>
                <w:i/>
                <w:iCs/>
                <w:sz w:val="18"/>
                <w:szCs w:val="18"/>
                <w:lang w:eastAsia="en-GB"/>
              </w:rPr>
              <w:t xml:space="preserve"> (Décision 613 du Conseil)</w:t>
            </w:r>
          </w:p>
        </w:tc>
        <w:tc>
          <w:tcPr>
            <w:tcW w:w="1418" w:type="dxa"/>
            <w:tcBorders>
              <w:top w:val="nil"/>
              <w:left w:val="nil"/>
              <w:bottom w:val="single" w:sz="4" w:space="0" w:color="auto"/>
              <w:right w:val="single" w:sz="4" w:space="0" w:color="auto"/>
            </w:tcBorders>
            <w:shd w:val="clear" w:color="auto" w:fill="auto"/>
            <w:vAlign w:val="center"/>
            <w:hideMark/>
          </w:tcPr>
          <w:p w14:paraId="69A8A636" w14:textId="77777777" w:rsidR="008320F5" w:rsidRPr="004A331F" w:rsidRDefault="00E76E31" w:rsidP="00E75336">
            <w:pPr>
              <w:pStyle w:val="Tabletext"/>
              <w:jc w:val="center"/>
              <w:rPr>
                <w:b/>
                <w:bCs/>
                <w:sz w:val="18"/>
                <w:szCs w:val="18"/>
                <w:lang w:eastAsia="en-GB"/>
              </w:rPr>
            </w:pPr>
            <w:hyperlink r:id="rId53" w:history="1">
              <w:r w:rsidR="008320F5" w:rsidRPr="004A331F">
                <w:rPr>
                  <w:rStyle w:val="Hyperlink"/>
                  <w:b/>
                  <w:bCs/>
                  <w:sz w:val="18"/>
                  <w:szCs w:val="18"/>
                  <w:lang w:eastAsia="en-GB"/>
                </w:rPr>
                <w:t>C21/75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5FD4D66"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25FCC746" w14:textId="77777777" w:rsidTr="00DB3438">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41F8B067" w14:textId="77777777" w:rsidR="008320F5" w:rsidRPr="004A331F" w:rsidRDefault="008320F5" w:rsidP="00E75336">
            <w:pPr>
              <w:pStyle w:val="Tabletext"/>
              <w:jc w:val="center"/>
              <w:rPr>
                <w:sz w:val="18"/>
                <w:szCs w:val="18"/>
                <w:lang w:eastAsia="en-GB"/>
              </w:rPr>
            </w:pPr>
            <w:r w:rsidRPr="004A331F">
              <w:rPr>
                <w:sz w:val="18"/>
                <w:szCs w:val="18"/>
                <w:lang w:eastAsia="en-GB"/>
              </w:rPr>
              <w:t>42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7C942699" w14:textId="495E1EE6" w:rsidR="008320F5" w:rsidRPr="004A331F" w:rsidRDefault="00DB3438" w:rsidP="00E75336">
            <w:pPr>
              <w:pStyle w:val="Tabletext"/>
              <w:rPr>
                <w:sz w:val="18"/>
                <w:szCs w:val="18"/>
                <w:lang w:eastAsia="en-GB"/>
              </w:rPr>
            </w:pPr>
            <w:r w:rsidRPr="004A331F">
              <w:rPr>
                <w:bCs/>
                <w:sz w:val="18"/>
                <w:szCs w:val="18"/>
                <w:lang w:eastAsia="en-GB"/>
              </w:rPr>
              <w:t>Système de gestion de la résilience de l'organisation (ORMS)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99AAD9" w14:textId="77777777" w:rsidR="008320F5" w:rsidRPr="004A331F" w:rsidRDefault="00E76E31" w:rsidP="00E75336">
            <w:pPr>
              <w:pStyle w:val="Tabletext"/>
              <w:jc w:val="center"/>
              <w:rPr>
                <w:b/>
                <w:bCs/>
                <w:sz w:val="18"/>
                <w:szCs w:val="18"/>
                <w:lang w:eastAsia="en-GB"/>
              </w:rPr>
            </w:pPr>
            <w:hyperlink r:id="rId54" w:history="1">
              <w:r w:rsidR="008320F5" w:rsidRPr="004A331F">
                <w:rPr>
                  <w:rStyle w:val="Hyperlink"/>
                  <w:b/>
                  <w:bCs/>
                  <w:sz w:val="18"/>
                  <w:szCs w:val="18"/>
                  <w:lang w:eastAsia="en-GB"/>
                </w:rPr>
                <w:t>C21/15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43C3CFE"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62CA875B"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6D758A97" w14:textId="77777777" w:rsidR="008320F5" w:rsidRPr="004A331F" w:rsidRDefault="008320F5" w:rsidP="00E75336">
            <w:pPr>
              <w:pStyle w:val="Tabletext"/>
              <w:jc w:val="center"/>
              <w:rPr>
                <w:sz w:val="18"/>
                <w:szCs w:val="18"/>
                <w:lang w:eastAsia="en-GB"/>
              </w:rPr>
            </w:pPr>
            <w:r w:rsidRPr="004A331F">
              <w:rPr>
                <w:sz w:val="18"/>
                <w:szCs w:val="18"/>
                <w:lang w:eastAsia="en-GB"/>
              </w:rPr>
              <w:t>43</w:t>
            </w:r>
          </w:p>
        </w:tc>
        <w:tc>
          <w:tcPr>
            <w:tcW w:w="6740" w:type="dxa"/>
            <w:tcBorders>
              <w:top w:val="nil"/>
              <w:left w:val="nil"/>
              <w:bottom w:val="single" w:sz="4" w:space="0" w:color="auto"/>
              <w:right w:val="single" w:sz="4" w:space="0" w:color="auto"/>
            </w:tcBorders>
            <w:shd w:val="clear" w:color="auto" w:fill="auto"/>
            <w:vAlign w:val="center"/>
            <w:hideMark/>
          </w:tcPr>
          <w:p w14:paraId="5152AB9B" w14:textId="310D7087" w:rsidR="008320F5" w:rsidRPr="004A331F" w:rsidRDefault="004C04C5" w:rsidP="00E75336">
            <w:pPr>
              <w:pStyle w:val="Tabletext"/>
              <w:rPr>
                <w:sz w:val="18"/>
                <w:szCs w:val="18"/>
                <w:lang w:eastAsia="en-GB"/>
              </w:rPr>
            </w:pPr>
            <w:r w:rsidRPr="004A331F">
              <w:rPr>
                <w:sz w:val="18"/>
                <w:szCs w:val="18"/>
                <w:lang w:eastAsia="en-GB"/>
              </w:rPr>
              <w:t>Cadre de l'UIT en matière de responsabilisation</w:t>
            </w:r>
          </w:p>
        </w:tc>
        <w:tc>
          <w:tcPr>
            <w:tcW w:w="1418" w:type="dxa"/>
            <w:tcBorders>
              <w:top w:val="nil"/>
              <w:left w:val="nil"/>
              <w:bottom w:val="single" w:sz="4" w:space="0" w:color="auto"/>
              <w:right w:val="single" w:sz="4" w:space="0" w:color="auto"/>
            </w:tcBorders>
            <w:shd w:val="clear" w:color="auto" w:fill="auto"/>
            <w:vAlign w:val="center"/>
            <w:hideMark/>
          </w:tcPr>
          <w:p w14:paraId="6B8E30BF" w14:textId="77777777" w:rsidR="008320F5" w:rsidRPr="004A331F" w:rsidRDefault="00E76E31" w:rsidP="00E75336">
            <w:pPr>
              <w:pStyle w:val="Tabletext"/>
              <w:jc w:val="center"/>
              <w:rPr>
                <w:b/>
                <w:bCs/>
                <w:sz w:val="18"/>
                <w:szCs w:val="18"/>
                <w:lang w:eastAsia="en-GB"/>
              </w:rPr>
            </w:pPr>
            <w:hyperlink r:id="rId55" w:history="1">
              <w:r w:rsidR="008320F5" w:rsidRPr="004A331F">
                <w:rPr>
                  <w:rStyle w:val="Hyperlink"/>
                  <w:b/>
                  <w:bCs/>
                  <w:sz w:val="18"/>
                  <w:szCs w:val="18"/>
                  <w:lang w:eastAsia="en-GB"/>
                </w:rPr>
                <w:t>C21/43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8F10E9D"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663A01CB"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0EB7A499" w14:textId="77777777" w:rsidR="008320F5" w:rsidRPr="004A331F" w:rsidRDefault="008320F5" w:rsidP="00E75336">
            <w:pPr>
              <w:pStyle w:val="Tabletext"/>
              <w:jc w:val="center"/>
              <w:rPr>
                <w:sz w:val="18"/>
                <w:szCs w:val="18"/>
                <w:lang w:eastAsia="en-GB"/>
              </w:rPr>
            </w:pPr>
            <w:r w:rsidRPr="004A331F">
              <w:rPr>
                <w:sz w:val="18"/>
                <w:szCs w:val="18"/>
                <w:lang w:eastAsia="en-GB"/>
              </w:rPr>
              <w:t>44</w:t>
            </w:r>
          </w:p>
        </w:tc>
        <w:tc>
          <w:tcPr>
            <w:tcW w:w="6740" w:type="dxa"/>
            <w:tcBorders>
              <w:top w:val="nil"/>
              <w:left w:val="nil"/>
              <w:bottom w:val="single" w:sz="4" w:space="0" w:color="auto"/>
              <w:right w:val="single" w:sz="4" w:space="0" w:color="auto"/>
            </w:tcBorders>
            <w:shd w:val="clear" w:color="auto" w:fill="auto"/>
            <w:vAlign w:val="center"/>
            <w:hideMark/>
          </w:tcPr>
          <w:p w14:paraId="363242B2" w14:textId="096DA81A" w:rsidR="008320F5" w:rsidRPr="004A331F" w:rsidRDefault="004C04C5" w:rsidP="00E75336">
            <w:pPr>
              <w:pStyle w:val="Tabletext"/>
              <w:rPr>
                <w:sz w:val="18"/>
                <w:szCs w:val="18"/>
                <w:lang w:eastAsia="en-GB"/>
              </w:rPr>
            </w:pPr>
            <w:r w:rsidRPr="004A331F">
              <w:rPr>
                <w:bCs/>
                <w:sz w:val="18"/>
                <w:szCs w:val="18"/>
                <w:lang w:eastAsia="en-GB"/>
              </w:rPr>
              <w:t>Rapport sur la mise en œuvre du plan d'action pour la gestion des risques</w:t>
            </w:r>
          </w:p>
        </w:tc>
        <w:tc>
          <w:tcPr>
            <w:tcW w:w="1418" w:type="dxa"/>
            <w:tcBorders>
              <w:top w:val="nil"/>
              <w:left w:val="nil"/>
              <w:bottom w:val="single" w:sz="4" w:space="0" w:color="auto"/>
              <w:right w:val="single" w:sz="4" w:space="0" w:color="auto"/>
            </w:tcBorders>
            <w:shd w:val="clear" w:color="auto" w:fill="auto"/>
            <w:vAlign w:val="center"/>
          </w:tcPr>
          <w:p w14:paraId="41357A96" w14:textId="77777777" w:rsidR="008320F5" w:rsidRPr="004A331F" w:rsidRDefault="00E76E31" w:rsidP="00E75336">
            <w:pPr>
              <w:pStyle w:val="Tabletext"/>
              <w:jc w:val="center"/>
              <w:rPr>
                <w:b/>
                <w:bCs/>
                <w:sz w:val="18"/>
                <w:szCs w:val="18"/>
                <w:lang w:eastAsia="en-GB"/>
              </w:rPr>
            </w:pPr>
            <w:hyperlink r:id="rId56" w:history="1">
              <w:r w:rsidR="008320F5" w:rsidRPr="004A331F">
                <w:rPr>
                  <w:rStyle w:val="Hyperlink"/>
                  <w:b/>
                  <w:bCs/>
                  <w:sz w:val="18"/>
                  <w:szCs w:val="18"/>
                  <w:lang w:eastAsia="en-GB"/>
                </w:rPr>
                <w:t>C21/61</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BAC90C1"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75A52A0F" w14:textId="77777777" w:rsidTr="00DB3438">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5A63C61A" w14:textId="77777777" w:rsidR="008320F5" w:rsidRPr="004A331F" w:rsidDel="00B76952" w:rsidRDefault="008320F5" w:rsidP="00E75336">
            <w:pPr>
              <w:pStyle w:val="Tabletext"/>
              <w:jc w:val="center"/>
              <w:rPr>
                <w:sz w:val="18"/>
                <w:szCs w:val="18"/>
                <w:lang w:eastAsia="en-GB"/>
              </w:rPr>
            </w:pPr>
            <w:r w:rsidRPr="004A331F">
              <w:rPr>
                <w:sz w:val="18"/>
                <w:szCs w:val="18"/>
                <w:lang w:eastAsia="en-GB"/>
              </w:rPr>
              <w:t>45</w:t>
            </w:r>
          </w:p>
        </w:tc>
        <w:tc>
          <w:tcPr>
            <w:tcW w:w="6740" w:type="dxa"/>
            <w:tcBorders>
              <w:top w:val="nil"/>
              <w:left w:val="nil"/>
              <w:bottom w:val="single" w:sz="4" w:space="0" w:color="auto"/>
              <w:right w:val="single" w:sz="4" w:space="0" w:color="auto"/>
            </w:tcBorders>
            <w:shd w:val="clear" w:color="auto" w:fill="auto"/>
            <w:vAlign w:val="center"/>
          </w:tcPr>
          <w:p w14:paraId="40B3A8DD" w14:textId="43355CB9" w:rsidR="008320F5" w:rsidRPr="004A331F" w:rsidRDefault="00360DBC" w:rsidP="00E75336">
            <w:pPr>
              <w:pStyle w:val="Tabletext"/>
              <w:rPr>
                <w:sz w:val="18"/>
                <w:szCs w:val="18"/>
              </w:rPr>
            </w:pPr>
            <w:r w:rsidRPr="004A331F">
              <w:rPr>
                <w:sz w:val="18"/>
                <w:szCs w:val="18"/>
              </w:rPr>
              <w:t xml:space="preserve">Initiative en faveur de la transformation numérique </w:t>
            </w:r>
            <w:r w:rsidR="008320F5" w:rsidRPr="004A331F">
              <w:rPr>
                <w:sz w:val="18"/>
                <w:szCs w:val="18"/>
              </w:rPr>
              <w:t>(DT-I)</w:t>
            </w:r>
          </w:p>
        </w:tc>
        <w:tc>
          <w:tcPr>
            <w:tcW w:w="1418" w:type="dxa"/>
            <w:tcBorders>
              <w:top w:val="nil"/>
              <w:left w:val="nil"/>
              <w:bottom w:val="single" w:sz="4" w:space="0" w:color="auto"/>
              <w:right w:val="single" w:sz="4" w:space="0" w:color="auto"/>
            </w:tcBorders>
            <w:shd w:val="clear" w:color="auto" w:fill="auto"/>
            <w:noWrap/>
            <w:vAlign w:val="center"/>
          </w:tcPr>
          <w:p w14:paraId="476202D2" w14:textId="77777777" w:rsidR="008320F5" w:rsidRPr="004A331F" w:rsidRDefault="00E76E31" w:rsidP="00E75336">
            <w:pPr>
              <w:pStyle w:val="Tabletext"/>
              <w:jc w:val="center"/>
              <w:rPr>
                <w:b/>
                <w:bCs/>
                <w:sz w:val="18"/>
                <w:szCs w:val="18"/>
                <w:lang w:eastAsia="en-GB"/>
              </w:rPr>
            </w:pPr>
            <w:hyperlink r:id="rId57" w:history="1">
              <w:r w:rsidR="008320F5" w:rsidRPr="004A331F">
                <w:rPr>
                  <w:rStyle w:val="Hyperlink"/>
                  <w:b/>
                  <w:bCs/>
                  <w:sz w:val="18"/>
                  <w:szCs w:val="18"/>
                  <w:lang w:eastAsia="en-GB"/>
                </w:rPr>
                <w:t>C21/70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61318A5" w14:textId="1ED938F4" w:rsidR="008320F5" w:rsidRPr="004A331F" w:rsidRDefault="00017653" w:rsidP="00E75336">
            <w:pPr>
              <w:pStyle w:val="Tabletext"/>
              <w:jc w:val="center"/>
              <w:rPr>
                <w:sz w:val="18"/>
                <w:szCs w:val="18"/>
                <w:lang w:eastAsia="en-GB"/>
              </w:rPr>
            </w:pPr>
            <w:r w:rsidRPr="004A331F">
              <w:rPr>
                <w:b/>
                <w:bCs/>
                <w:sz w:val="18"/>
                <w:szCs w:val="18"/>
                <w:lang w:eastAsia="en-GB"/>
              </w:rPr>
              <w:t>1</w:t>
            </w:r>
          </w:p>
        </w:tc>
      </w:tr>
      <w:tr w:rsidR="008320F5" w:rsidRPr="004A331F" w14:paraId="31386144"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5C4B8386" w14:textId="77777777" w:rsidR="008320F5" w:rsidRPr="004A331F" w:rsidRDefault="008320F5" w:rsidP="00E75336">
            <w:pPr>
              <w:pStyle w:val="Tabletext"/>
              <w:jc w:val="center"/>
              <w:rPr>
                <w:sz w:val="18"/>
                <w:szCs w:val="18"/>
                <w:lang w:eastAsia="en-GB"/>
              </w:rPr>
            </w:pPr>
            <w:r w:rsidRPr="004A331F">
              <w:rPr>
                <w:sz w:val="18"/>
                <w:szCs w:val="18"/>
                <w:lang w:eastAsia="en-GB"/>
              </w:rPr>
              <w:t>46</w:t>
            </w:r>
          </w:p>
        </w:tc>
        <w:tc>
          <w:tcPr>
            <w:tcW w:w="6740" w:type="dxa"/>
            <w:tcBorders>
              <w:top w:val="nil"/>
              <w:left w:val="nil"/>
              <w:bottom w:val="single" w:sz="4" w:space="0" w:color="auto"/>
              <w:right w:val="single" w:sz="4" w:space="0" w:color="auto"/>
            </w:tcBorders>
            <w:shd w:val="clear" w:color="auto" w:fill="auto"/>
            <w:vAlign w:val="center"/>
            <w:hideMark/>
          </w:tcPr>
          <w:p w14:paraId="5801921B" w14:textId="08EB107F" w:rsidR="008320F5" w:rsidRPr="004A331F" w:rsidRDefault="004C04C5" w:rsidP="00E75336">
            <w:pPr>
              <w:pStyle w:val="Tabletext"/>
              <w:rPr>
                <w:sz w:val="18"/>
                <w:szCs w:val="18"/>
                <w:lang w:eastAsia="en-GB"/>
              </w:rPr>
            </w:pPr>
            <w:r w:rsidRPr="004A331F">
              <w:rPr>
                <w:sz w:val="18"/>
                <w:szCs w:val="18"/>
                <w:lang w:eastAsia="en-GB"/>
              </w:rPr>
              <w:t>Rapport d'activité sur la mise en œuvre du Plan stratégique pour les ressources humaines et de la Résolution 48 (Rév. Dubaï, 2018) de la PP</w:t>
            </w:r>
          </w:p>
        </w:tc>
        <w:tc>
          <w:tcPr>
            <w:tcW w:w="1418" w:type="dxa"/>
            <w:tcBorders>
              <w:top w:val="nil"/>
              <w:left w:val="nil"/>
              <w:bottom w:val="single" w:sz="4" w:space="0" w:color="auto"/>
              <w:right w:val="single" w:sz="4" w:space="0" w:color="auto"/>
            </w:tcBorders>
            <w:shd w:val="clear" w:color="auto" w:fill="auto"/>
            <w:noWrap/>
            <w:vAlign w:val="center"/>
          </w:tcPr>
          <w:p w14:paraId="4F4EFB43" w14:textId="77777777" w:rsidR="008320F5" w:rsidRPr="004A331F" w:rsidRDefault="00E76E31" w:rsidP="00E75336">
            <w:pPr>
              <w:pStyle w:val="Tabletext"/>
              <w:jc w:val="center"/>
              <w:rPr>
                <w:b/>
                <w:bCs/>
                <w:sz w:val="18"/>
                <w:szCs w:val="18"/>
                <w:lang w:eastAsia="en-GB"/>
              </w:rPr>
            </w:pPr>
            <w:hyperlink r:id="rId58" w:history="1">
              <w:r w:rsidR="008320F5" w:rsidRPr="004A331F">
                <w:rPr>
                  <w:rStyle w:val="Hyperlink"/>
                  <w:b/>
                  <w:bCs/>
                  <w:sz w:val="18"/>
                  <w:szCs w:val="18"/>
                  <w:lang w:eastAsia="en-GB"/>
                </w:rPr>
                <w:t>C21/54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40A10EF"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12DEA2FA"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5AF82945" w14:textId="77777777" w:rsidR="008320F5" w:rsidRPr="004A331F" w:rsidRDefault="008320F5" w:rsidP="00E75336">
            <w:pPr>
              <w:pStyle w:val="Tabletext"/>
              <w:jc w:val="center"/>
              <w:rPr>
                <w:sz w:val="18"/>
                <w:szCs w:val="18"/>
                <w:lang w:eastAsia="en-GB"/>
              </w:rPr>
            </w:pPr>
            <w:r w:rsidRPr="004A331F">
              <w:rPr>
                <w:sz w:val="18"/>
                <w:szCs w:val="18"/>
                <w:lang w:eastAsia="en-GB"/>
              </w:rPr>
              <w:t>47</w:t>
            </w:r>
          </w:p>
        </w:tc>
        <w:tc>
          <w:tcPr>
            <w:tcW w:w="6740" w:type="dxa"/>
            <w:tcBorders>
              <w:top w:val="nil"/>
              <w:left w:val="nil"/>
              <w:bottom w:val="single" w:sz="4" w:space="0" w:color="auto"/>
              <w:right w:val="single" w:sz="4" w:space="0" w:color="auto"/>
            </w:tcBorders>
            <w:shd w:val="clear" w:color="auto" w:fill="auto"/>
            <w:vAlign w:val="center"/>
            <w:hideMark/>
          </w:tcPr>
          <w:p w14:paraId="7D54256A" w14:textId="28849B8F" w:rsidR="008320F5" w:rsidRPr="004A331F" w:rsidRDefault="004C04C5" w:rsidP="00E75336">
            <w:pPr>
              <w:pStyle w:val="Tabletext"/>
              <w:rPr>
                <w:sz w:val="18"/>
                <w:szCs w:val="18"/>
                <w:lang w:eastAsia="en-GB"/>
              </w:rPr>
            </w:pPr>
            <w:r w:rsidRPr="004A331F">
              <w:rPr>
                <w:sz w:val="18"/>
                <w:szCs w:val="18"/>
                <w:lang w:eastAsia="en-GB"/>
              </w:rPr>
              <w:t>Participation de l'UIT au Comité mixte de la Caisse commune des pensions du personnel des Nations Unies</w:t>
            </w:r>
          </w:p>
        </w:tc>
        <w:tc>
          <w:tcPr>
            <w:tcW w:w="1418" w:type="dxa"/>
            <w:tcBorders>
              <w:top w:val="nil"/>
              <w:left w:val="nil"/>
              <w:bottom w:val="single" w:sz="4" w:space="0" w:color="auto"/>
              <w:right w:val="single" w:sz="4" w:space="0" w:color="auto"/>
            </w:tcBorders>
            <w:shd w:val="clear" w:color="auto" w:fill="auto"/>
            <w:noWrap/>
            <w:vAlign w:val="center"/>
          </w:tcPr>
          <w:p w14:paraId="202C3C2F" w14:textId="77777777" w:rsidR="008320F5" w:rsidRPr="004A331F" w:rsidRDefault="00E76E31" w:rsidP="00E75336">
            <w:pPr>
              <w:pStyle w:val="Tabletext"/>
              <w:jc w:val="center"/>
              <w:rPr>
                <w:b/>
                <w:bCs/>
                <w:sz w:val="18"/>
                <w:szCs w:val="18"/>
                <w:lang w:eastAsia="en-GB"/>
              </w:rPr>
            </w:pPr>
            <w:hyperlink r:id="rId59" w:history="1">
              <w:r w:rsidR="008320F5" w:rsidRPr="004A331F">
                <w:rPr>
                  <w:rStyle w:val="Hyperlink"/>
                  <w:b/>
                  <w:bCs/>
                  <w:sz w:val="18"/>
                  <w:szCs w:val="18"/>
                  <w:lang w:eastAsia="en-GB"/>
                </w:rPr>
                <w:t>C21/69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C0DA779"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19B553EF"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021F1862" w14:textId="77777777" w:rsidR="008320F5" w:rsidRPr="004A331F" w:rsidRDefault="008320F5" w:rsidP="00E75336">
            <w:pPr>
              <w:pStyle w:val="Tabletext"/>
              <w:jc w:val="center"/>
              <w:rPr>
                <w:sz w:val="18"/>
                <w:szCs w:val="18"/>
                <w:lang w:eastAsia="en-GB"/>
              </w:rPr>
            </w:pPr>
            <w:r w:rsidRPr="004A331F">
              <w:rPr>
                <w:sz w:val="18"/>
                <w:szCs w:val="18"/>
                <w:lang w:eastAsia="en-GB"/>
              </w:rPr>
              <w:t>48</w:t>
            </w:r>
          </w:p>
        </w:tc>
        <w:tc>
          <w:tcPr>
            <w:tcW w:w="6740" w:type="dxa"/>
            <w:tcBorders>
              <w:top w:val="nil"/>
              <w:left w:val="nil"/>
              <w:bottom w:val="single" w:sz="4" w:space="0" w:color="auto"/>
              <w:right w:val="single" w:sz="4" w:space="0" w:color="auto"/>
            </w:tcBorders>
            <w:shd w:val="clear" w:color="auto" w:fill="auto"/>
            <w:vAlign w:val="center"/>
            <w:hideMark/>
          </w:tcPr>
          <w:p w14:paraId="7DF7069E" w14:textId="7DD4AE1B" w:rsidR="008320F5" w:rsidRPr="004A331F" w:rsidRDefault="004C04C5" w:rsidP="00E75336">
            <w:pPr>
              <w:pStyle w:val="Tabletext"/>
              <w:rPr>
                <w:sz w:val="18"/>
                <w:szCs w:val="18"/>
                <w:lang w:eastAsia="en-GB"/>
              </w:rPr>
            </w:pPr>
            <w:r w:rsidRPr="004A331F">
              <w:rPr>
                <w:sz w:val="18"/>
                <w:szCs w:val="18"/>
                <w:lang w:eastAsia="en-GB"/>
              </w:rPr>
              <w:t>Composition du Comité des pensions du personnel de l'UIT</w:t>
            </w:r>
            <w:r w:rsidRPr="004A331F">
              <w:rPr>
                <w:i/>
                <w:iCs/>
                <w:sz w:val="18"/>
                <w:szCs w:val="18"/>
                <w:lang w:eastAsia="en-GB"/>
              </w:rPr>
              <w:t xml:space="preserve"> (Résolution 1394 du Conseil)</w:t>
            </w:r>
          </w:p>
        </w:tc>
        <w:tc>
          <w:tcPr>
            <w:tcW w:w="1418" w:type="dxa"/>
            <w:tcBorders>
              <w:top w:val="nil"/>
              <w:left w:val="nil"/>
              <w:bottom w:val="single" w:sz="4" w:space="0" w:color="auto"/>
              <w:right w:val="single" w:sz="4" w:space="0" w:color="auto"/>
            </w:tcBorders>
            <w:shd w:val="clear" w:color="auto" w:fill="auto"/>
            <w:noWrap/>
            <w:vAlign w:val="center"/>
          </w:tcPr>
          <w:p w14:paraId="08C5E340" w14:textId="06390062" w:rsidR="008320F5" w:rsidRPr="004A331F" w:rsidRDefault="004A331F" w:rsidP="00E75336">
            <w:pPr>
              <w:pStyle w:val="Tabletext"/>
              <w:jc w:val="center"/>
              <w:rPr>
                <w:b/>
                <w:bCs/>
                <w:sz w:val="18"/>
                <w:szCs w:val="18"/>
                <w:lang w:eastAsia="en-GB"/>
              </w:rPr>
            </w:pPr>
            <w:r w:rsidRPr="004A331F">
              <w:rPr>
                <w:b/>
                <w:bCs/>
                <w:sz w:val="18"/>
                <w:szCs w:val="18"/>
                <w:lang w:eastAsia="en-GB"/>
              </w:rPr>
              <w:t>–</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AABBE6E"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1A110CC4"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5C61C6B9" w14:textId="77777777" w:rsidR="008320F5" w:rsidRPr="004A331F" w:rsidRDefault="008320F5" w:rsidP="00E75336">
            <w:pPr>
              <w:pStyle w:val="Tabletext"/>
              <w:jc w:val="center"/>
              <w:rPr>
                <w:sz w:val="18"/>
                <w:szCs w:val="18"/>
                <w:lang w:eastAsia="en-GB"/>
              </w:rPr>
            </w:pPr>
            <w:r w:rsidRPr="004A331F">
              <w:rPr>
                <w:sz w:val="18"/>
                <w:szCs w:val="18"/>
                <w:lang w:eastAsia="en-GB"/>
              </w:rPr>
              <w:t>49</w:t>
            </w:r>
          </w:p>
        </w:tc>
        <w:tc>
          <w:tcPr>
            <w:tcW w:w="6740" w:type="dxa"/>
            <w:tcBorders>
              <w:top w:val="nil"/>
              <w:left w:val="nil"/>
              <w:bottom w:val="single" w:sz="4" w:space="0" w:color="auto"/>
              <w:right w:val="single" w:sz="4" w:space="0" w:color="auto"/>
            </w:tcBorders>
            <w:shd w:val="clear" w:color="auto" w:fill="auto"/>
            <w:vAlign w:val="center"/>
            <w:hideMark/>
          </w:tcPr>
          <w:p w14:paraId="2E118B50" w14:textId="645AF629" w:rsidR="008320F5" w:rsidRPr="004A331F" w:rsidRDefault="004C04C5" w:rsidP="00E75336">
            <w:pPr>
              <w:pStyle w:val="Tabletext"/>
              <w:rPr>
                <w:sz w:val="18"/>
                <w:szCs w:val="18"/>
                <w:lang w:eastAsia="en-GB"/>
              </w:rPr>
            </w:pPr>
            <w:r w:rsidRPr="004A331F">
              <w:rPr>
                <w:sz w:val="18"/>
                <w:szCs w:val="18"/>
                <w:lang w:eastAsia="en-GB"/>
              </w:rPr>
              <w:t>Rapport du Bureau de l'éthique</w:t>
            </w:r>
          </w:p>
        </w:tc>
        <w:tc>
          <w:tcPr>
            <w:tcW w:w="1418" w:type="dxa"/>
            <w:tcBorders>
              <w:top w:val="nil"/>
              <w:left w:val="nil"/>
              <w:bottom w:val="single" w:sz="4" w:space="0" w:color="auto"/>
              <w:right w:val="single" w:sz="4" w:space="0" w:color="auto"/>
            </w:tcBorders>
            <w:shd w:val="clear" w:color="auto" w:fill="auto"/>
            <w:noWrap/>
            <w:vAlign w:val="center"/>
          </w:tcPr>
          <w:p w14:paraId="721A4950" w14:textId="77777777" w:rsidR="008320F5" w:rsidRPr="004A331F" w:rsidRDefault="00E76E31" w:rsidP="00E75336">
            <w:pPr>
              <w:pStyle w:val="Tabletext"/>
              <w:jc w:val="center"/>
              <w:rPr>
                <w:b/>
                <w:bCs/>
                <w:sz w:val="18"/>
                <w:szCs w:val="18"/>
                <w:lang w:eastAsia="en-GB"/>
              </w:rPr>
            </w:pPr>
            <w:hyperlink r:id="rId60" w:history="1">
              <w:r w:rsidR="008320F5" w:rsidRPr="004A331F">
                <w:rPr>
                  <w:rStyle w:val="Hyperlink"/>
                  <w:b/>
                  <w:bCs/>
                  <w:sz w:val="18"/>
                  <w:szCs w:val="18"/>
                  <w:lang w:eastAsia="en-GB"/>
                </w:rPr>
                <w:t>C21/59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57B6650"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1E3F6475"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1B237EDE" w14:textId="77777777" w:rsidR="008320F5" w:rsidRPr="004A331F" w:rsidRDefault="008320F5" w:rsidP="00E75336">
            <w:pPr>
              <w:pStyle w:val="Tabletext"/>
              <w:jc w:val="center"/>
              <w:rPr>
                <w:sz w:val="18"/>
                <w:szCs w:val="18"/>
                <w:lang w:eastAsia="en-GB"/>
              </w:rPr>
            </w:pPr>
            <w:r w:rsidRPr="004A331F">
              <w:rPr>
                <w:sz w:val="18"/>
                <w:szCs w:val="18"/>
                <w:lang w:eastAsia="en-GB"/>
              </w:rPr>
              <w:t>50</w:t>
            </w:r>
          </w:p>
        </w:tc>
        <w:tc>
          <w:tcPr>
            <w:tcW w:w="6740" w:type="dxa"/>
            <w:tcBorders>
              <w:top w:val="nil"/>
              <w:left w:val="nil"/>
              <w:bottom w:val="single" w:sz="4" w:space="0" w:color="auto"/>
              <w:right w:val="single" w:sz="4" w:space="0" w:color="auto"/>
            </w:tcBorders>
            <w:shd w:val="clear" w:color="auto" w:fill="auto"/>
            <w:vAlign w:val="center"/>
            <w:hideMark/>
          </w:tcPr>
          <w:p w14:paraId="3BC6BEF3" w14:textId="1FEFBF64" w:rsidR="008320F5" w:rsidRPr="004A331F" w:rsidRDefault="004C04C5" w:rsidP="00E75336">
            <w:pPr>
              <w:pStyle w:val="Tabletext"/>
              <w:rPr>
                <w:sz w:val="18"/>
                <w:szCs w:val="18"/>
                <w:lang w:eastAsia="en-GB"/>
              </w:rPr>
            </w:pPr>
            <w:r w:rsidRPr="004A331F">
              <w:rPr>
                <w:sz w:val="18"/>
                <w:szCs w:val="18"/>
                <w:lang w:eastAsia="en-GB"/>
              </w:rPr>
              <w:t>Passifs de l'assurance maladie après la cession de service (ASHI)</w:t>
            </w:r>
          </w:p>
        </w:tc>
        <w:tc>
          <w:tcPr>
            <w:tcW w:w="1418" w:type="dxa"/>
            <w:tcBorders>
              <w:top w:val="nil"/>
              <w:left w:val="nil"/>
              <w:bottom w:val="single" w:sz="4" w:space="0" w:color="auto"/>
              <w:right w:val="single" w:sz="4" w:space="0" w:color="auto"/>
            </w:tcBorders>
            <w:shd w:val="clear" w:color="auto" w:fill="auto"/>
            <w:vAlign w:val="center"/>
            <w:hideMark/>
          </w:tcPr>
          <w:p w14:paraId="529841E0" w14:textId="77777777" w:rsidR="008320F5" w:rsidRPr="004A331F" w:rsidRDefault="00E76E31" w:rsidP="00E75336">
            <w:pPr>
              <w:pStyle w:val="Tabletext"/>
              <w:jc w:val="center"/>
              <w:rPr>
                <w:b/>
                <w:bCs/>
                <w:sz w:val="18"/>
                <w:szCs w:val="18"/>
                <w:lang w:eastAsia="en-GB"/>
              </w:rPr>
            </w:pPr>
            <w:hyperlink r:id="rId61" w:history="1">
              <w:r w:rsidR="008320F5" w:rsidRPr="004A331F">
                <w:rPr>
                  <w:rStyle w:val="Hyperlink"/>
                  <w:b/>
                  <w:bCs/>
                  <w:sz w:val="18"/>
                  <w:szCs w:val="18"/>
                  <w:lang w:eastAsia="en-GB"/>
                </w:rPr>
                <w:t>C21/46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62400CC"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3D4A7279"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00FDA7E3" w14:textId="77777777" w:rsidR="008320F5" w:rsidRPr="004A331F" w:rsidRDefault="008320F5" w:rsidP="00E75336">
            <w:pPr>
              <w:pStyle w:val="Tabletext"/>
              <w:jc w:val="center"/>
              <w:rPr>
                <w:sz w:val="18"/>
                <w:szCs w:val="18"/>
                <w:lang w:eastAsia="en-GB"/>
              </w:rPr>
            </w:pPr>
            <w:r w:rsidRPr="004A331F">
              <w:rPr>
                <w:sz w:val="18"/>
                <w:szCs w:val="18"/>
                <w:lang w:eastAsia="en-GB"/>
              </w:rPr>
              <w:lastRenderedPageBreak/>
              <w:t>51</w:t>
            </w:r>
          </w:p>
        </w:tc>
        <w:tc>
          <w:tcPr>
            <w:tcW w:w="6740" w:type="dxa"/>
            <w:tcBorders>
              <w:top w:val="nil"/>
              <w:left w:val="nil"/>
              <w:bottom w:val="single" w:sz="4" w:space="0" w:color="auto"/>
              <w:right w:val="single" w:sz="4" w:space="0" w:color="auto"/>
            </w:tcBorders>
            <w:shd w:val="clear" w:color="auto" w:fill="auto"/>
            <w:vAlign w:val="center"/>
            <w:hideMark/>
          </w:tcPr>
          <w:p w14:paraId="1E1E589A" w14:textId="3D5ACB1D" w:rsidR="008320F5" w:rsidRPr="004A331F" w:rsidRDefault="004C04C5" w:rsidP="00E75336">
            <w:pPr>
              <w:pStyle w:val="Tabletext"/>
              <w:rPr>
                <w:sz w:val="18"/>
                <w:szCs w:val="18"/>
                <w:lang w:eastAsia="en-GB"/>
              </w:rPr>
            </w:pPr>
            <w:r w:rsidRPr="004A331F">
              <w:rPr>
                <w:sz w:val="18"/>
                <w:szCs w:val="18"/>
                <w:lang w:eastAsia="en-GB"/>
              </w:rPr>
              <w:t>Fonds pour le développement des technologies de l'information et de la communication (FDTIC)</w:t>
            </w:r>
            <w:r w:rsidRPr="004A331F">
              <w:rPr>
                <w:i/>
                <w:iCs/>
                <w:sz w:val="18"/>
                <w:szCs w:val="18"/>
                <w:lang w:eastAsia="en-GB"/>
              </w:rPr>
              <w:t xml:space="preserve"> </w:t>
            </w:r>
            <w:r w:rsidRPr="004A331F">
              <w:rPr>
                <w:sz w:val="18"/>
                <w:szCs w:val="18"/>
                <w:lang w:eastAsia="en-GB"/>
              </w:rPr>
              <w:t>(</w:t>
            </w:r>
            <w:r w:rsidRPr="004A331F">
              <w:rPr>
                <w:i/>
                <w:iCs/>
                <w:sz w:val="18"/>
                <w:szCs w:val="18"/>
                <w:lang w:eastAsia="en-GB"/>
              </w:rPr>
              <w:t>Décision 11 de la PP</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noWrap/>
            <w:vAlign w:val="center"/>
            <w:hideMark/>
          </w:tcPr>
          <w:p w14:paraId="0D39DB13" w14:textId="77777777" w:rsidR="008320F5" w:rsidRPr="004A331F" w:rsidRDefault="00E76E31" w:rsidP="00E75336">
            <w:pPr>
              <w:pStyle w:val="Tabletext"/>
              <w:jc w:val="center"/>
              <w:rPr>
                <w:b/>
                <w:bCs/>
                <w:sz w:val="18"/>
                <w:szCs w:val="18"/>
                <w:lang w:eastAsia="en-GB"/>
              </w:rPr>
            </w:pPr>
            <w:hyperlink r:id="rId62" w:history="1">
              <w:r w:rsidR="008320F5" w:rsidRPr="004A331F">
                <w:rPr>
                  <w:rStyle w:val="Hyperlink"/>
                  <w:b/>
                  <w:bCs/>
                  <w:sz w:val="18"/>
                  <w:szCs w:val="18"/>
                  <w:lang w:eastAsia="en-GB"/>
                </w:rPr>
                <w:t>C21/34</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F961FAF"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2225ED11"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6C1671C8" w14:textId="77777777" w:rsidR="008320F5" w:rsidRPr="004A331F" w:rsidRDefault="008320F5" w:rsidP="00E75336">
            <w:pPr>
              <w:pStyle w:val="Tabletext"/>
              <w:jc w:val="center"/>
              <w:rPr>
                <w:sz w:val="18"/>
                <w:szCs w:val="18"/>
                <w:lang w:eastAsia="en-GB"/>
              </w:rPr>
            </w:pPr>
            <w:r w:rsidRPr="004A331F">
              <w:rPr>
                <w:sz w:val="18"/>
                <w:szCs w:val="18"/>
                <w:lang w:eastAsia="en-GB"/>
              </w:rPr>
              <w:t>52</w:t>
            </w:r>
          </w:p>
        </w:tc>
        <w:tc>
          <w:tcPr>
            <w:tcW w:w="6740" w:type="dxa"/>
            <w:tcBorders>
              <w:top w:val="nil"/>
              <w:left w:val="nil"/>
              <w:bottom w:val="single" w:sz="4" w:space="0" w:color="auto"/>
              <w:right w:val="single" w:sz="4" w:space="0" w:color="auto"/>
            </w:tcBorders>
            <w:shd w:val="clear" w:color="auto" w:fill="auto"/>
            <w:vAlign w:val="center"/>
            <w:hideMark/>
          </w:tcPr>
          <w:p w14:paraId="34180017" w14:textId="2CDAE2D2" w:rsidR="008320F5" w:rsidRPr="004A331F" w:rsidRDefault="004C04C5" w:rsidP="00E75336">
            <w:pPr>
              <w:pStyle w:val="Tabletext"/>
              <w:rPr>
                <w:sz w:val="18"/>
                <w:szCs w:val="18"/>
                <w:lang w:eastAsia="en-GB"/>
              </w:rPr>
            </w:pPr>
            <w:r w:rsidRPr="004A331F">
              <w:rPr>
                <w:sz w:val="18"/>
                <w:szCs w:val="18"/>
                <w:lang w:eastAsia="en-GB"/>
              </w:rPr>
              <w:t>Renforcement de la présence régionale (</w:t>
            </w:r>
            <w:r w:rsidRPr="004A331F">
              <w:rPr>
                <w:i/>
                <w:iCs/>
                <w:sz w:val="18"/>
                <w:szCs w:val="18"/>
                <w:lang w:eastAsia="en-GB"/>
              </w:rPr>
              <w:t>Résolution 25 de la PP</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17C844B4" w14:textId="77777777" w:rsidR="008320F5" w:rsidRPr="004A331F" w:rsidRDefault="00E76E31" w:rsidP="00E75336">
            <w:pPr>
              <w:pStyle w:val="Tabletext"/>
              <w:jc w:val="center"/>
              <w:rPr>
                <w:b/>
                <w:bCs/>
                <w:sz w:val="18"/>
                <w:szCs w:val="18"/>
                <w:lang w:eastAsia="en-GB"/>
              </w:rPr>
            </w:pPr>
            <w:hyperlink r:id="rId63" w:history="1">
              <w:r w:rsidR="008320F5" w:rsidRPr="004A331F">
                <w:rPr>
                  <w:rStyle w:val="Hyperlink"/>
                  <w:b/>
                  <w:bCs/>
                  <w:sz w:val="18"/>
                  <w:szCs w:val="18"/>
                  <w:lang w:eastAsia="en-GB"/>
                </w:rPr>
                <w:t>C21/25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90078C4"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6C632690"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24047461" w14:textId="77777777" w:rsidR="008320F5" w:rsidRPr="004A331F" w:rsidRDefault="008320F5" w:rsidP="00E75336">
            <w:pPr>
              <w:pStyle w:val="Tabletext"/>
              <w:jc w:val="center"/>
              <w:rPr>
                <w:sz w:val="18"/>
                <w:szCs w:val="18"/>
                <w:lang w:eastAsia="en-GB"/>
              </w:rPr>
            </w:pPr>
            <w:r w:rsidRPr="004A331F">
              <w:rPr>
                <w:sz w:val="18"/>
                <w:szCs w:val="18"/>
                <w:lang w:eastAsia="en-GB"/>
              </w:rPr>
              <w:t>53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59F1607D" w14:textId="7FE025D7" w:rsidR="008320F5" w:rsidRPr="004A331F" w:rsidRDefault="004C04C5" w:rsidP="00E75336">
            <w:pPr>
              <w:pStyle w:val="Tabletext"/>
              <w:rPr>
                <w:sz w:val="18"/>
                <w:szCs w:val="18"/>
                <w:lang w:eastAsia="en-GB"/>
              </w:rPr>
            </w:pPr>
            <w:r w:rsidRPr="004A331F">
              <w:rPr>
                <w:sz w:val="18"/>
                <w:szCs w:val="18"/>
                <w:lang w:eastAsia="en-GB"/>
              </w:rPr>
              <w:t>Nouvel indice de l'UIT</w:t>
            </w:r>
          </w:p>
        </w:tc>
        <w:tc>
          <w:tcPr>
            <w:tcW w:w="1418" w:type="dxa"/>
            <w:tcBorders>
              <w:top w:val="nil"/>
              <w:left w:val="nil"/>
              <w:bottom w:val="single" w:sz="4" w:space="0" w:color="auto"/>
              <w:right w:val="single" w:sz="4" w:space="0" w:color="auto"/>
            </w:tcBorders>
            <w:shd w:val="clear" w:color="auto" w:fill="auto"/>
            <w:vAlign w:val="center"/>
            <w:hideMark/>
          </w:tcPr>
          <w:p w14:paraId="1C0F7E8B" w14:textId="77777777" w:rsidR="008320F5" w:rsidRPr="004A331F" w:rsidRDefault="00E76E31" w:rsidP="00E75336">
            <w:pPr>
              <w:pStyle w:val="Tabletext"/>
              <w:jc w:val="center"/>
              <w:rPr>
                <w:b/>
                <w:bCs/>
                <w:sz w:val="18"/>
                <w:szCs w:val="18"/>
                <w:lang w:eastAsia="en-GB"/>
              </w:rPr>
            </w:pPr>
            <w:hyperlink r:id="rId64" w:history="1">
              <w:r w:rsidR="008320F5" w:rsidRPr="004A331F">
                <w:rPr>
                  <w:rStyle w:val="Hyperlink"/>
                  <w:b/>
                  <w:bCs/>
                  <w:sz w:val="18"/>
                  <w:szCs w:val="18"/>
                  <w:lang w:eastAsia="en-GB"/>
                </w:rPr>
                <w:t>C21/62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97659E3"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27FB4E1F"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32CB5EFF" w14:textId="77777777" w:rsidR="008320F5" w:rsidRPr="004A331F" w:rsidRDefault="008320F5" w:rsidP="00E75336">
            <w:pPr>
              <w:pStyle w:val="Tabletext"/>
              <w:jc w:val="center"/>
              <w:rPr>
                <w:sz w:val="18"/>
                <w:szCs w:val="18"/>
                <w:lang w:eastAsia="en-GB"/>
              </w:rPr>
            </w:pPr>
            <w:r w:rsidRPr="004A331F">
              <w:rPr>
                <w:sz w:val="18"/>
                <w:szCs w:val="18"/>
                <w:lang w:eastAsia="en-GB"/>
              </w:rPr>
              <w:t>54</w:t>
            </w:r>
          </w:p>
        </w:tc>
        <w:tc>
          <w:tcPr>
            <w:tcW w:w="6740" w:type="dxa"/>
            <w:tcBorders>
              <w:top w:val="nil"/>
              <w:left w:val="nil"/>
              <w:bottom w:val="single" w:sz="4" w:space="0" w:color="auto"/>
              <w:right w:val="single" w:sz="4" w:space="0" w:color="auto"/>
            </w:tcBorders>
            <w:shd w:val="clear" w:color="auto" w:fill="auto"/>
            <w:vAlign w:val="center"/>
          </w:tcPr>
          <w:p w14:paraId="3F0819B4" w14:textId="51E62B77" w:rsidR="008320F5" w:rsidRPr="004A331F" w:rsidRDefault="004C04C5" w:rsidP="00E75336">
            <w:pPr>
              <w:pStyle w:val="Tabletext"/>
              <w:rPr>
                <w:sz w:val="18"/>
                <w:szCs w:val="18"/>
                <w:lang w:eastAsia="en-GB"/>
              </w:rPr>
            </w:pPr>
            <w:r w:rsidRPr="004A331F">
              <w:rPr>
                <w:sz w:val="18"/>
                <w:szCs w:val="18"/>
                <w:lang w:eastAsia="en-GB"/>
              </w:rPr>
              <w:t>Résultats de la CMR-19 ayant des incidences financières</w:t>
            </w:r>
          </w:p>
        </w:tc>
        <w:tc>
          <w:tcPr>
            <w:tcW w:w="1418" w:type="dxa"/>
            <w:tcBorders>
              <w:top w:val="nil"/>
              <w:left w:val="nil"/>
              <w:bottom w:val="single" w:sz="4" w:space="0" w:color="auto"/>
              <w:right w:val="single" w:sz="4" w:space="0" w:color="auto"/>
            </w:tcBorders>
            <w:shd w:val="clear" w:color="auto" w:fill="auto"/>
            <w:vAlign w:val="center"/>
          </w:tcPr>
          <w:p w14:paraId="34CEE9A7" w14:textId="77777777" w:rsidR="008320F5" w:rsidRPr="004A331F" w:rsidRDefault="00E76E31" w:rsidP="00E75336">
            <w:pPr>
              <w:pStyle w:val="Tabletext"/>
              <w:jc w:val="center"/>
              <w:rPr>
                <w:b/>
                <w:bCs/>
                <w:sz w:val="18"/>
                <w:szCs w:val="18"/>
                <w:lang w:eastAsia="en-GB"/>
              </w:rPr>
            </w:pPr>
            <w:hyperlink r:id="rId65" w:history="1">
              <w:r w:rsidR="008320F5" w:rsidRPr="004A331F">
                <w:rPr>
                  <w:rStyle w:val="Hyperlink"/>
                  <w:b/>
                  <w:bCs/>
                  <w:sz w:val="18"/>
                  <w:szCs w:val="18"/>
                  <w:lang w:eastAsia="en-GB"/>
                </w:rPr>
                <w:t>C21/67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0E68EA7"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1CA290DB" w14:textId="77777777" w:rsidTr="00DB3438">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6EF0D09B" w14:textId="77777777" w:rsidR="008320F5" w:rsidRPr="004A331F" w:rsidRDefault="008320F5" w:rsidP="00E75336">
            <w:pPr>
              <w:pStyle w:val="Tabletext"/>
              <w:jc w:val="center"/>
              <w:rPr>
                <w:sz w:val="18"/>
                <w:szCs w:val="18"/>
                <w:lang w:eastAsia="en-GB"/>
              </w:rPr>
            </w:pPr>
            <w:r w:rsidRPr="004A331F">
              <w:rPr>
                <w:sz w:val="18"/>
                <w:szCs w:val="18"/>
                <w:lang w:eastAsia="en-GB"/>
              </w:rPr>
              <w:t>55</w:t>
            </w:r>
          </w:p>
        </w:tc>
        <w:tc>
          <w:tcPr>
            <w:tcW w:w="6740" w:type="dxa"/>
            <w:tcBorders>
              <w:top w:val="nil"/>
              <w:left w:val="nil"/>
              <w:bottom w:val="single" w:sz="4" w:space="0" w:color="auto"/>
              <w:right w:val="single" w:sz="4" w:space="0" w:color="auto"/>
            </w:tcBorders>
            <w:shd w:val="clear" w:color="auto" w:fill="auto"/>
            <w:vAlign w:val="center"/>
            <w:hideMark/>
          </w:tcPr>
          <w:p w14:paraId="277FAB61" w14:textId="3395469C" w:rsidR="008320F5" w:rsidRPr="004A331F" w:rsidRDefault="004C04C5" w:rsidP="00E75336">
            <w:pPr>
              <w:pStyle w:val="Tabletext"/>
              <w:rPr>
                <w:sz w:val="18"/>
                <w:szCs w:val="18"/>
                <w:lang w:eastAsia="en-GB"/>
              </w:rPr>
            </w:pPr>
            <w:r w:rsidRPr="004A331F">
              <w:rPr>
                <w:bCs/>
                <w:sz w:val="18"/>
                <w:szCs w:val="18"/>
                <w:lang w:eastAsia="en-GB"/>
              </w:rPr>
              <w:t xml:space="preserve">Rapport sur le recrutement d'un cabinet de conseil en gestion externe indépendant, comprenant des recommandations et diverses stratégies </w:t>
            </w:r>
            <w:r w:rsidRPr="004A331F">
              <w:rPr>
                <w:bCs/>
                <w:i/>
                <w:iCs/>
                <w:sz w:val="18"/>
                <w:szCs w:val="18"/>
                <w:lang w:eastAsia="en-GB"/>
              </w:rPr>
              <w:t xml:space="preserve">(point 3 du décide de </w:t>
            </w:r>
            <w:r w:rsidRPr="004A331F">
              <w:rPr>
                <w:i/>
                <w:iCs/>
                <w:sz w:val="18"/>
                <w:szCs w:val="18"/>
                <w:lang w:eastAsia="en-GB"/>
              </w:rPr>
              <w:t>Résolution 11 de la PP</w:t>
            </w:r>
            <w:r w:rsidRPr="004A331F">
              <w:rPr>
                <w:bCs/>
                <w:i/>
                <w:iCs/>
                <w:sz w:val="18"/>
                <w:szCs w:val="18"/>
                <w:lang w:eastAsia="en-GB"/>
              </w:rPr>
              <w:t>)</w:t>
            </w:r>
          </w:p>
        </w:tc>
        <w:tc>
          <w:tcPr>
            <w:tcW w:w="1418" w:type="dxa"/>
            <w:tcBorders>
              <w:top w:val="nil"/>
              <w:left w:val="nil"/>
              <w:bottom w:val="single" w:sz="4" w:space="0" w:color="auto"/>
              <w:right w:val="single" w:sz="4" w:space="0" w:color="auto"/>
            </w:tcBorders>
            <w:shd w:val="clear" w:color="auto" w:fill="auto"/>
            <w:noWrap/>
            <w:vAlign w:val="center"/>
            <w:hideMark/>
          </w:tcPr>
          <w:p w14:paraId="67DE7B08" w14:textId="77777777" w:rsidR="008320F5" w:rsidRPr="004A331F" w:rsidRDefault="00E76E31" w:rsidP="00E75336">
            <w:pPr>
              <w:pStyle w:val="Tabletext"/>
              <w:jc w:val="center"/>
              <w:rPr>
                <w:b/>
                <w:bCs/>
                <w:sz w:val="18"/>
                <w:szCs w:val="18"/>
                <w:lang w:eastAsia="en-GB"/>
              </w:rPr>
            </w:pPr>
            <w:hyperlink r:id="rId66" w:history="1">
              <w:r w:rsidR="008320F5" w:rsidRPr="004A331F">
                <w:rPr>
                  <w:rStyle w:val="Hyperlink"/>
                  <w:b/>
                  <w:bCs/>
                  <w:sz w:val="18"/>
                  <w:szCs w:val="18"/>
                  <w:lang w:eastAsia="en-GB"/>
                </w:rPr>
                <w:t>C21/10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D22D718"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37938647" w14:textId="77777777" w:rsidTr="00DB3438">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39BF2EF" w14:textId="77777777" w:rsidR="008320F5" w:rsidRPr="004A331F" w:rsidRDefault="008320F5" w:rsidP="00E75336">
            <w:pPr>
              <w:pStyle w:val="Tabletext"/>
              <w:jc w:val="center"/>
              <w:rPr>
                <w:sz w:val="18"/>
                <w:szCs w:val="18"/>
                <w:lang w:eastAsia="en-GB"/>
              </w:rPr>
            </w:pPr>
            <w:r w:rsidRPr="004A331F">
              <w:rPr>
                <w:sz w:val="18"/>
                <w:szCs w:val="18"/>
                <w:lang w:eastAsia="en-GB"/>
              </w:rPr>
              <w:t>56</w:t>
            </w:r>
          </w:p>
        </w:tc>
        <w:tc>
          <w:tcPr>
            <w:tcW w:w="6740" w:type="dxa"/>
            <w:tcBorders>
              <w:top w:val="single" w:sz="4" w:space="0" w:color="auto"/>
              <w:left w:val="nil"/>
              <w:bottom w:val="single" w:sz="4" w:space="0" w:color="auto"/>
              <w:right w:val="single" w:sz="4" w:space="0" w:color="auto"/>
            </w:tcBorders>
            <w:shd w:val="clear" w:color="auto" w:fill="auto"/>
            <w:noWrap/>
            <w:vAlign w:val="center"/>
            <w:hideMark/>
          </w:tcPr>
          <w:p w14:paraId="30C37857" w14:textId="5F233948" w:rsidR="008320F5" w:rsidRPr="004A331F" w:rsidRDefault="004C04C5" w:rsidP="00E75336">
            <w:pPr>
              <w:pStyle w:val="Tabletext"/>
              <w:rPr>
                <w:sz w:val="18"/>
                <w:szCs w:val="18"/>
                <w:lang w:eastAsia="en-GB"/>
              </w:rPr>
            </w:pPr>
            <w:r w:rsidRPr="004A331F">
              <w:rPr>
                <w:sz w:val="18"/>
                <w:szCs w:val="18"/>
                <w:lang w:eastAsia="en-GB"/>
              </w:rPr>
              <w:t>Demandes d'exonération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EC8050" w14:textId="77777777" w:rsidR="008320F5" w:rsidRPr="004A331F" w:rsidRDefault="00E76E31" w:rsidP="00E75336">
            <w:pPr>
              <w:pStyle w:val="Tabletext"/>
              <w:jc w:val="center"/>
              <w:rPr>
                <w:b/>
                <w:bCs/>
                <w:sz w:val="18"/>
                <w:szCs w:val="18"/>
                <w:lang w:eastAsia="en-GB"/>
              </w:rPr>
            </w:pPr>
            <w:hyperlink r:id="rId67" w:history="1">
              <w:r w:rsidR="008320F5" w:rsidRPr="004A331F">
                <w:rPr>
                  <w:rStyle w:val="Hyperlink"/>
                  <w:b/>
                  <w:bCs/>
                  <w:sz w:val="18"/>
                  <w:szCs w:val="18"/>
                  <w:lang w:eastAsia="en-GB"/>
                </w:rPr>
                <w:t>C21/39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D036DAD"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77ADF25D"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31931228" w14:textId="77777777" w:rsidR="008320F5" w:rsidRPr="004A331F" w:rsidRDefault="008320F5" w:rsidP="00E75336">
            <w:pPr>
              <w:pStyle w:val="Tabletext"/>
              <w:jc w:val="center"/>
              <w:rPr>
                <w:sz w:val="18"/>
                <w:szCs w:val="18"/>
                <w:lang w:eastAsia="en-GB"/>
              </w:rPr>
            </w:pPr>
            <w:r w:rsidRPr="004A331F">
              <w:rPr>
                <w:sz w:val="18"/>
                <w:szCs w:val="18"/>
                <w:lang w:eastAsia="en-GB"/>
              </w:rPr>
              <w:t>57</w:t>
            </w:r>
          </w:p>
        </w:tc>
        <w:tc>
          <w:tcPr>
            <w:tcW w:w="6740" w:type="dxa"/>
            <w:tcBorders>
              <w:top w:val="nil"/>
              <w:left w:val="nil"/>
              <w:bottom w:val="single" w:sz="4" w:space="0" w:color="auto"/>
              <w:right w:val="single" w:sz="4" w:space="0" w:color="auto"/>
            </w:tcBorders>
            <w:shd w:val="clear" w:color="auto" w:fill="auto"/>
            <w:vAlign w:val="center"/>
            <w:hideMark/>
          </w:tcPr>
          <w:p w14:paraId="722C637E" w14:textId="4F610BFA" w:rsidR="008320F5" w:rsidRPr="004A331F" w:rsidRDefault="004C04C5" w:rsidP="00E75336">
            <w:pPr>
              <w:pStyle w:val="Tabletext"/>
              <w:rPr>
                <w:sz w:val="18"/>
                <w:szCs w:val="18"/>
                <w:lang w:eastAsia="en-GB"/>
              </w:rPr>
            </w:pPr>
            <w:r w:rsidRPr="004A331F">
              <w:rPr>
                <w:sz w:val="18"/>
                <w:szCs w:val="18"/>
                <w:lang w:eastAsia="en-GB"/>
              </w:rPr>
              <w:t>Stratégie de coordination des efforts entre les trois Secteurs de l'Union (</w:t>
            </w:r>
            <w:r w:rsidRPr="004A331F">
              <w:rPr>
                <w:i/>
                <w:iCs/>
                <w:sz w:val="18"/>
                <w:szCs w:val="18"/>
                <w:lang w:eastAsia="en-GB"/>
              </w:rPr>
              <w:t>Résolution 191 de la PP</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vAlign w:val="center"/>
            <w:hideMark/>
          </w:tcPr>
          <w:p w14:paraId="2BF1C63F" w14:textId="77777777" w:rsidR="008320F5" w:rsidRPr="004A331F" w:rsidRDefault="00E76E31" w:rsidP="00E75336">
            <w:pPr>
              <w:pStyle w:val="Tabletext"/>
              <w:jc w:val="center"/>
              <w:rPr>
                <w:b/>
                <w:bCs/>
                <w:sz w:val="18"/>
                <w:szCs w:val="18"/>
                <w:lang w:eastAsia="en-GB"/>
              </w:rPr>
            </w:pPr>
            <w:hyperlink r:id="rId68" w:history="1">
              <w:r w:rsidR="008320F5" w:rsidRPr="004A331F">
                <w:rPr>
                  <w:rStyle w:val="Hyperlink"/>
                  <w:b/>
                  <w:bCs/>
                  <w:sz w:val="18"/>
                  <w:szCs w:val="18"/>
                  <w:lang w:eastAsia="en-GB"/>
                </w:rPr>
                <w:t>C21/38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54F20E5" w14:textId="77777777" w:rsidR="008320F5" w:rsidRPr="004A331F" w:rsidRDefault="008320F5" w:rsidP="00E75336">
            <w:pPr>
              <w:pStyle w:val="Tabletext"/>
              <w:jc w:val="center"/>
              <w:rPr>
                <w:sz w:val="18"/>
                <w:szCs w:val="18"/>
                <w:lang w:eastAsia="en-GB"/>
              </w:rPr>
            </w:pPr>
            <w:r w:rsidRPr="004A331F">
              <w:rPr>
                <w:b/>
                <w:bCs/>
                <w:sz w:val="18"/>
                <w:szCs w:val="18"/>
                <w:lang w:eastAsia="en-GB"/>
              </w:rPr>
              <w:t>1</w:t>
            </w:r>
          </w:p>
        </w:tc>
      </w:tr>
      <w:tr w:rsidR="008320F5" w:rsidRPr="004A331F" w14:paraId="4ECE5192"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6737DFAE" w14:textId="77777777" w:rsidR="008320F5" w:rsidRPr="004A331F" w:rsidRDefault="008320F5" w:rsidP="00E75336">
            <w:pPr>
              <w:pStyle w:val="Tabletext"/>
              <w:jc w:val="center"/>
              <w:rPr>
                <w:sz w:val="18"/>
                <w:szCs w:val="18"/>
                <w:lang w:eastAsia="en-GB"/>
              </w:rPr>
            </w:pPr>
            <w:r w:rsidRPr="004A331F">
              <w:rPr>
                <w:sz w:val="18"/>
                <w:szCs w:val="18"/>
                <w:lang w:eastAsia="en-GB"/>
              </w:rPr>
              <w:t>58</w:t>
            </w:r>
          </w:p>
        </w:tc>
        <w:tc>
          <w:tcPr>
            <w:tcW w:w="6740" w:type="dxa"/>
            <w:tcBorders>
              <w:top w:val="nil"/>
              <w:left w:val="nil"/>
              <w:bottom w:val="single" w:sz="4" w:space="0" w:color="auto"/>
              <w:right w:val="single" w:sz="4" w:space="0" w:color="auto"/>
            </w:tcBorders>
            <w:shd w:val="clear" w:color="000000" w:fill="FFFFFF"/>
            <w:vAlign w:val="center"/>
            <w:hideMark/>
          </w:tcPr>
          <w:p w14:paraId="658D06D4" w14:textId="5517CFD0" w:rsidR="008320F5" w:rsidRPr="004A331F" w:rsidRDefault="004C04C5" w:rsidP="00E75336">
            <w:pPr>
              <w:pStyle w:val="Tabletext"/>
              <w:rPr>
                <w:sz w:val="18"/>
                <w:szCs w:val="18"/>
                <w:lang w:eastAsia="en-GB"/>
              </w:rPr>
            </w:pPr>
            <w:r w:rsidRPr="004A331F">
              <w:rPr>
                <w:sz w:val="18"/>
                <w:szCs w:val="18"/>
                <w:lang w:eastAsia="en-GB"/>
              </w:rPr>
              <w:t>Rapport sur la durabilité environnementale de l'UIT</w:t>
            </w:r>
          </w:p>
        </w:tc>
        <w:tc>
          <w:tcPr>
            <w:tcW w:w="1418" w:type="dxa"/>
            <w:tcBorders>
              <w:top w:val="nil"/>
              <w:left w:val="nil"/>
              <w:bottom w:val="single" w:sz="4" w:space="0" w:color="auto"/>
              <w:right w:val="single" w:sz="4" w:space="0" w:color="auto"/>
            </w:tcBorders>
            <w:shd w:val="clear" w:color="000000" w:fill="FFFFFF"/>
            <w:noWrap/>
            <w:vAlign w:val="center"/>
          </w:tcPr>
          <w:p w14:paraId="6E4BCD14" w14:textId="77777777" w:rsidR="008320F5" w:rsidRPr="004A331F" w:rsidRDefault="00E76E31" w:rsidP="00E75336">
            <w:pPr>
              <w:pStyle w:val="Tabletext"/>
              <w:jc w:val="center"/>
              <w:rPr>
                <w:b/>
                <w:bCs/>
                <w:sz w:val="18"/>
                <w:szCs w:val="18"/>
                <w:lang w:eastAsia="en-GB"/>
              </w:rPr>
            </w:pPr>
            <w:hyperlink r:id="rId69" w:history="1">
              <w:r w:rsidR="008320F5" w:rsidRPr="004A331F">
                <w:rPr>
                  <w:rStyle w:val="Hyperlink"/>
                  <w:b/>
                  <w:bCs/>
                  <w:sz w:val="18"/>
                  <w:szCs w:val="18"/>
                  <w:lang w:eastAsia="en-GB"/>
                </w:rPr>
                <w:t>C21/68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D075ED7"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7B15B16A"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5C1C246E" w14:textId="77777777" w:rsidR="008320F5" w:rsidRPr="004A331F" w:rsidRDefault="008320F5" w:rsidP="00E75336">
            <w:pPr>
              <w:pStyle w:val="Tabletext"/>
              <w:jc w:val="center"/>
              <w:rPr>
                <w:sz w:val="18"/>
                <w:szCs w:val="18"/>
                <w:lang w:eastAsia="en-GB"/>
              </w:rPr>
            </w:pPr>
            <w:r w:rsidRPr="004A331F">
              <w:rPr>
                <w:sz w:val="18"/>
                <w:szCs w:val="18"/>
                <w:lang w:eastAsia="en-GB"/>
              </w:rPr>
              <w:t>59</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3EAE7A5C" w14:textId="6B14A3F5" w:rsidR="008320F5" w:rsidRPr="004A331F" w:rsidRDefault="004C04C5" w:rsidP="00E75336">
            <w:pPr>
              <w:pStyle w:val="Tabletext"/>
              <w:rPr>
                <w:sz w:val="18"/>
                <w:szCs w:val="18"/>
                <w:lang w:eastAsia="en-GB"/>
              </w:rPr>
            </w:pPr>
            <w:r w:rsidRPr="004A331F">
              <w:rPr>
                <w:sz w:val="18"/>
                <w:szCs w:val="18"/>
                <w:lang w:eastAsia="en-GB"/>
              </w:rPr>
              <w:t>Version mise à jour de la politique de l'UIT en matière d'accessibilité</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98F290" w14:textId="77777777" w:rsidR="008320F5" w:rsidRPr="004A331F" w:rsidRDefault="00E76E31" w:rsidP="00E75336">
            <w:pPr>
              <w:pStyle w:val="Tabletext"/>
              <w:jc w:val="center"/>
              <w:rPr>
                <w:b/>
                <w:bCs/>
                <w:sz w:val="18"/>
                <w:szCs w:val="18"/>
                <w:lang w:eastAsia="en-GB"/>
              </w:rPr>
            </w:pPr>
            <w:hyperlink r:id="rId70" w:history="1">
              <w:r w:rsidR="008320F5" w:rsidRPr="004A331F">
                <w:rPr>
                  <w:rStyle w:val="Hyperlink"/>
                  <w:b/>
                  <w:bCs/>
                  <w:sz w:val="18"/>
                  <w:szCs w:val="18"/>
                  <w:lang w:eastAsia="en-GB"/>
                </w:rPr>
                <w:t>C21/72</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9E61AA"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r w:rsidR="008320F5" w:rsidRPr="004A331F" w14:paraId="3064CF3E" w14:textId="77777777" w:rsidTr="00DB3438">
        <w:trPr>
          <w:cantSplit/>
          <w:jc w:val="center"/>
        </w:trPr>
        <w:tc>
          <w:tcPr>
            <w:tcW w:w="484" w:type="dxa"/>
            <w:tcBorders>
              <w:top w:val="nil"/>
              <w:left w:val="single" w:sz="4" w:space="0" w:color="auto"/>
              <w:bottom w:val="single" w:sz="4" w:space="0" w:color="auto"/>
              <w:right w:val="single" w:sz="4" w:space="0" w:color="auto"/>
            </w:tcBorders>
            <w:vAlign w:val="center"/>
          </w:tcPr>
          <w:p w14:paraId="0A4416B0" w14:textId="77777777" w:rsidR="008320F5" w:rsidRPr="004A331F" w:rsidRDefault="008320F5" w:rsidP="00E75336">
            <w:pPr>
              <w:pStyle w:val="Tabletext"/>
              <w:jc w:val="center"/>
              <w:rPr>
                <w:sz w:val="18"/>
                <w:szCs w:val="18"/>
                <w:lang w:eastAsia="en-GB"/>
              </w:rPr>
            </w:pPr>
            <w:r w:rsidRPr="004A331F">
              <w:rPr>
                <w:sz w:val="18"/>
                <w:szCs w:val="18"/>
                <w:lang w:eastAsia="en-GB"/>
              </w:rPr>
              <w:t>60</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7127160E" w14:textId="40759C91" w:rsidR="008320F5" w:rsidRPr="004A331F" w:rsidRDefault="004C04C5" w:rsidP="00E75336">
            <w:pPr>
              <w:pStyle w:val="Tabletext"/>
              <w:rPr>
                <w:sz w:val="18"/>
                <w:szCs w:val="18"/>
                <w:lang w:eastAsia="en-GB"/>
              </w:rPr>
            </w:pPr>
            <w:r w:rsidRPr="004A331F">
              <w:rPr>
                <w:sz w:val="18"/>
                <w:szCs w:val="18"/>
                <w:lang w:eastAsia="en-GB"/>
              </w:rPr>
              <w:t>Situation liée au COVID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86192A" w14:textId="77777777" w:rsidR="008320F5" w:rsidRPr="004A331F" w:rsidRDefault="00E76E31" w:rsidP="00E75336">
            <w:pPr>
              <w:pStyle w:val="Tabletext"/>
              <w:jc w:val="center"/>
              <w:rPr>
                <w:b/>
                <w:bCs/>
                <w:sz w:val="18"/>
                <w:szCs w:val="18"/>
                <w:lang w:eastAsia="en-GB"/>
              </w:rPr>
            </w:pPr>
            <w:hyperlink r:id="rId71" w:history="1">
              <w:r w:rsidR="008320F5" w:rsidRPr="004A331F">
                <w:rPr>
                  <w:rStyle w:val="Hyperlink"/>
                  <w:b/>
                  <w:bCs/>
                  <w:sz w:val="18"/>
                  <w:szCs w:val="18"/>
                  <w:lang w:eastAsia="en-GB"/>
                </w:rPr>
                <w:t>C21/74</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802052" w14:textId="77777777" w:rsidR="008320F5" w:rsidRPr="004A331F" w:rsidRDefault="008320F5" w:rsidP="00E75336">
            <w:pPr>
              <w:pStyle w:val="Tabletext"/>
              <w:jc w:val="center"/>
              <w:rPr>
                <w:b/>
                <w:bCs/>
                <w:sz w:val="18"/>
                <w:szCs w:val="18"/>
                <w:lang w:eastAsia="en-GB"/>
              </w:rPr>
            </w:pPr>
            <w:r w:rsidRPr="004A331F">
              <w:rPr>
                <w:b/>
                <w:bCs/>
                <w:sz w:val="18"/>
                <w:szCs w:val="18"/>
                <w:lang w:eastAsia="en-GB"/>
              </w:rPr>
              <w:t>1</w:t>
            </w:r>
          </w:p>
        </w:tc>
      </w:tr>
    </w:tbl>
    <w:p w14:paraId="4B1C005A" w14:textId="77777777" w:rsidR="008320F5" w:rsidRPr="004A331F" w:rsidRDefault="008320F5" w:rsidP="00E75336">
      <w:pPr>
        <w:spacing w:line="240" w:lineRule="auto"/>
        <w:jc w:val="left"/>
      </w:pPr>
    </w:p>
    <w:p w14:paraId="355871BE" w14:textId="77777777" w:rsidR="00071176" w:rsidRPr="004A331F" w:rsidRDefault="00071176" w:rsidP="00E75336">
      <w:pPr>
        <w:spacing w:line="240" w:lineRule="auto"/>
      </w:pPr>
      <w:r w:rsidRPr="004A331F">
        <w:br w:type="page"/>
      </w:r>
    </w:p>
    <w:p w14:paraId="45922DB2" w14:textId="5AFE3999" w:rsidR="00E96CC7" w:rsidRPr="004A331F" w:rsidRDefault="00E03658" w:rsidP="00E75336">
      <w:pPr>
        <w:pStyle w:val="AnnexNoTitle"/>
        <w:spacing w:after="240" w:line="240" w:lineRule="auto"/>
        <w:rPr>
          <w:szCs w:val="24"/>
        </w:rPr>
      </w:pPr>
      <w:r w:rsidRPr="004A331F">
        <w:lastRenderedPageBreak/>
        <w:t>ANNEXE 2</w:t>
      </w:r>
      <w:bookmarkStart w:id="4" w:name="Annexe2"/>
      <w:bookmarkEnd w:id="4"/>
      <w:r w:rsidR="00887395" w:rsidRPr="004A331F">
        <w:br/>
      </w:r>
      <w:r w:rsidR="00887395" w:rsidRPr="004A331F">
        <w:br/>
      </w:r>
      <w:r w:rsidR="00E75336" w:rsidRPr="004A331F">
        <w:t>Points qu'il est propos</w:t>
      </w:r>
      <w:r w:rsidR="005E3E4D" w:rsidRPr="004A331F">
        <w:t>é</w:t>
      </w:r>
      <w:r w:rsidR="00E75336" w:rsidRPr="004A331F">
        <w:t xml:space="preserve"> de reporter à une future réunion</w:t>
      </w:r>
    </w:p>
    <w:tbl>
      <w:tblPr>
        <w:tblW w:w="9918" w:type="dxa"/>
        <w:jc w:val="center"/>
        <w:tblLayout w:type="fixed"/>
        <w:tblLook w:val="04A0" w:firstRow="1" w:lastRow="0" w:firstColumn="1" w:lastColumn="0" w:noHBand="0" w:noVBand="1"/>
      </w:tblPr>
      <w:tblGrid>
        <w:gridCol w:w="484"/>
        <w:gridCol w:w="6882"/>
        <w:gridCol w:w="1418"/>
        <w:gridCol w:w="1134"/>
      </w:tblGrid>
      <w:tr w:rsidR="00E96CC7" w:rsidRPr="004A331F" w14:paraId="14FFAA5E" w14:textId="77777777" w:rsidTr="00F51BED">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771B89FA" w14:textId="77777777" w:rsidR="00E96CC7" w:rsidRPr="004A331F" w:rsidRDefault="00E96CC7" w:rsidP="00E75336">
            <w:pPr>
              <w:pStyle w:val="Tablehead"/>
              <w:rPr>
                <w:bCs/>
                <w:sz w:val="18"/>
                <w:lang w:eastAsia="en-GB"/>
              </w:rPr>
            </w:pPr>
            <w:bookmarkStart w:id="5" w:name="_Hlk66897061"/>
          </w:p>
        </w:tc>
        <w:tc>
          <w:tcPr>
            <w:tcW w:w="6882" w:type="dxa"/>
            <w:tcBorders>
              <w:top w:val="single" w:sz="4" w:space="0" w:color="auto"/>
              <w:left w:val="nil"/>
              <w:bottom w:val="single" w:sz="4" w:space="0" w:color="auto"/>
              <w:right w:val="single" w:sz="4" w:space="0" w:color="auto"/>
            </w:tcBorders>
            <w:shd w:val="clear" w:color="auto" w:fill="D9D9D9"/>
            <w:vAlign w:val="center"/>
          </w:tcPr>
          <w:p w14:paraId="7689337A" w14:textId="361A950D" w:rsidR="00E96CC7" w:rsidRPr="004A331F" w:rsidRDefault="00E96CC7" w:rsidP="00E75336">
            <w:pPr>
              <w:pStyle w:val="Tablehead"/>
              <w:rPr>
                <w:bCs/>
                <w:sz w:val="18"/>
                <w:lang w:eastAsia="en-GB"/>
              </w:rPr>
            </w:pPr>
            <w:r w:rsidRPr="004A331F">
              <w:rPr>
                <w:bCs/>
                <w:sz w:val="18"/>
                <w:lang w:eastAsia="en-GB"/>
              </w:rPr>
              <w:t>Titre</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0888D2AC" w14:textId="6438188C" w:rsidR="00E96CC7" w:rsidRPr="004A331F" w:rsidRDefault="00E96CC7" w:rsidP="00E75336">
            <w:pPr>
              <w:pStyle w:val="Tablehead"/>
              <w:rPr>
                <w:bCs/>
                <w:sz w:val="18"/>
                <w:lang w:eastAsia="en-GB"/>
              </w:rPr>
            </w:pPr>
            <w:r w:rsidRPr="004A331F">
              <w:rPr>
                <w:bCs/>
                <w:sz w:val="18"/>
                <w:lang w:eastAsia="en-GB"/>
              </w:rPr>
              <w:t>Doc. N°</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0406D400" w14:textId="77777777" w:rsidR="00E96CC7" w:rsidRPr="004A331F" w:rsidRDefault="00E96CC7" w:rsidP="00E75336">
            <w:pPr>
              <w:pStyle w:val="Tablehead"/>
              <w:rPr>
                <w:bCs/>
                <w:sz w:val="18"/>
                <w:lang w:eastAsia="en-GB"/>
              </w:rPr>
            </w:pPr>
            <w:r w:rsidRPr="004A331F">
              <w:rPr>
                <w:bCs/>
                <w:sz w:val="18"/>
                <w:szCs w:val="20"/>
                <w:lang w:eastAsia="en-GB"/>
              </w:rPr>
              <w:t>FINAL</w:t>
            </w:r>
          </w:p>
        </w:tc>
      </w:tr>
      <w:tr w:rsidR="00E96CC7" w:rsidRPr="004A331F" w14:paraId="49DAB7C9" w14:textId="77777777" w:rsidTr="00E96CC7">
        <w:trPr>
          <w:cantSplit/>
          <w:jc w:val="center"/>
        </w:trPr>
        <w:tc>
          <w:tcPr>
            <w:tcW w:w="484" w:type="dxa"/>
            <w:tcBorders>
              <w:top w:val="nil"/>
              <w:left w:val="single" w:sz="4" w:space="0" w:color="auto"/>
              <w:bottom w:val="single" w:sz="4" w:space="0" w:color="auto"/>
              <w:right w:val="single" w:sz="4" w:space="0" w:color="auto"/>
            </w:tcBorders>
            <w:vAlign w:val="center"/>
          </w:tcPr>
          <w:p w14:paraId="2F378BA0" w14:textId="77777777" w:rsidR="00E96CC7" w:rsidRPr="004A331F" w:rsidRDefault="00E96CC7" w:rsidP="00E75336">
            <w:pPr>
              <w:pStyle w:val="Tabletext"/>
              <w:jc w:val="center"/>
              <w:rPr>
                <w:sz w:val="18"/>
                <w:szCs w:val="18"/>
                <w:lang w:eastAsia="en-GB"/>
              </w:rPr>
            </w:pPr>
            <w:r w:rsidRPr="004A331F">
              <w:rPr>
                <w:sz w:val="18"/>
                <w:szCs w:val="18"/>
                <w:lang w:eastAsia="en-GB"/>
              </w:rPr>
              <w:t>1</w:t>
            </w:r>
          </w:p>
        </w:tc>
        <w:tc>
          <w:tcPr>
            <w:tcW w:w="6882" w:type="dxa"/>
            <w:tcBorders>
              <w:top w:val="single" w:sz="4" w:space="0" w:color="auto"/>
              <w:left w:val="nil"/>
              <w:bottom w:val="single" w:sz="4" w:space="0" w:color="auto"/>
              <w:right w:val="single" w:sz="4" w:space="0" w:color="auto"/>
            </w:tcBorders>
            <w:shd w:val="clear" w:color="auto" w:fill="auto"/>
            <w:vAlign w:val="center"/>
          </w:tcPr>
          <w:p w14:paraId="00F44ACD" w14:textId="58888EA9" w:rsidR="00E96CC7" w:rsidRPr="004A331F" w:rsidRDefault="00E7321C" w:rsidP="00E75336">
            <w:pPr>
              <w:pStyle w:val="Tabletext"/>
              <w:rPr>
                <w:sz w:val="18"/>
                <w:szCs w:val="18"/>
                <w:lang w:eastAsia="en-GB"/>
              </w:rPr>
            </w:pPr>
            <w:r w:rsidRPr="004A331F">
              <w:rPr>
                <w:sz w:val="18"/>
                <w:szCs w:val="18"/>
                <w:lang w:eastAsia="en-GB"/>
              </w:rPr>
              <w:t xml:space="preserve">Activités de l'UIT liées à </w:t>
            </w:r>
            <w:proofErr w:type="gramStart"/>
            <w:r w:rsidRPr="004A331F">
              <w:rPr>
                <w:sz w:val="18"/>
                <w:szCs w:val="18"/>
                <w:lang w:eastAsia="en-GB"/>
              </w:rPr>
              <w:t>l'Internet:</w:t>
            </w:r>
            <w:proofErr w:type="gramEnd"/>
            <w:r w:rsidRPr="004A331F">
              <w:rPr>
                <w:sz w:val="18"/>
                <w:szCs w:val="18"/>
                <w:lang w:eastAsia="en-GB"/>
              </w:rPr>
              <w:t xml:space="preserve"> </w:t>
            </w:r>
            <w:r w:rsidRPr="004A331F">
              <w:rPr>
                <w:iCs/>
                <w:sz w:val="18"/>
                <w:szCs w:val="18"/>
                <w:lang w:eastAsia="en-GB"/>
              </w:rPr>
              <w:t>Résolutions 101, 102, 133 et 180 de la PP</w:t>
            </w:r>
            <w:r w:rsidRPr="004A331F">
              <w:rPr>
                <w:i/>
                <w:iCs/>
                <w:sz w:val="18"/>
                <w:szCs w:val="18"/>
                <w:lang w:eastAsia="en-GB"/>
              </w:rPr>
              <w:t xml:space="preserve"> (y compris le point 1 du charge le Conseil de la Résolution 102)</w:t>
            </w:r>
          </w:p>
        </w:tc>
        <w:tc>
          <w:tcPr>
            <w:tcW w:w="1418" w:type="dxa"/>
            <w:tcBorders>
              <w:top w:val="single" w:sz="4" w:space="0" w:color="auto"/>
              <w:left w:val="nil"/>
              <w:bottom w:val="single" w:sz="4" w:space="0" w:color="auto"/>
              <w:right w:val="single" w:sz="4" w:space="0" w:color="auto"/>
            </w:tcBorders>
            <w:shd w:val="clear" w:color="auto" w:fill="auto"/>
            <w:vAlign w:val="center"/>
          </w:tcPr>
          <w:p w14:paraId="36E64D80" w14:textId="77777777" w:rsidR="00E96CC7" w:rsidRPr="004A331F" w:rsidRDefault="00E76E31" w:rsidP="00E75336">
            <w:pPr>
              <w:pStyle w:val="Tabletext"/>
              <w:jc w:val="center"/>
              <w:rPr>
                <w:b/>
                <w:bCs/>
                <w:sz w:val="18"/>
                <w:szCs w:val="18"/>
                <w:lang w:eastAsia="en-GB"/>
              </w:rPr>
            </w:pPr>
            <w:hyperlink r:id="rId72" w:history="1">
              <w:r w:rsidR="00E96CC7" w:rsidRPr="004A331F">
                <w:rPr>
                  <w:rStyle w:val="Hyperlink"/>
                  <w:b/>
                  <w:bCs/>
                  <w:sz w:val="18"/>
                  <w:szCs w:val="18"/>
                  <w:lang w:eastAsia="en-GB"/>
                </w:rPr>
                <w:t>C21/33</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37F5BA" w14:textId="77777777" w:rsidR="00E96CC7" w:rsidRPr="004A331F" w:rsidRDefault="00E96CC7" w:rsidP="00E75336">
            <w:pPr>
              <w:pStyle w:val="Tabletext"/>
              <w:jc w:val="center"/>
              <w:rPr>
                <w:b/>
                <w:bCs/>
                <w:sz w:val="18"/>
                <w:szCs w:val="18"/>
                <w:lang w:eastAsia="en-GB"/>
              </w:rPr>
            </w:pPr>
            <w:r w:rsidRPr="004A331F">
              <w:rPr>
                <w:b/>
                <w:bCs/>
                <w:sz w:val="18"/>
                <w:szCs w:val="18"/>
                <w:lang w:eastAsia="en-GB"/>
              </w:rPr>
              <w:t>2</w:t>
            </w:r>
          </w:p>
        </w:tc>
      </w:tr>
      <w:tr w:rsidR="00E96CC7" w:rsidRPr="004A331F" w14:paraId="54227E7C" w14:textId="77777777" w:rsidTr="00E96CC7">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6C98457" w14:textId="77777777" w:rsidR="00E96CC7" w:rsidRPr="004A331F" w:rsidRDefault="00E96CC7" w:rsidP="00E75336">
            <w:pPr>
              <w:pStyle w:val="Tabletext"/>
              <w:jc w:val="center"/>
              <w:rPr>
                <w:sz w:val="18"/>
                <w:szCs w:val="18"/>
                <w:lang w:eastAsia="en-GB"/>
              </w:rPr>
            </w:pPr>
            <w:r w:rsidRPr="004A331F">
              <w:rPr>
                <w:sz w:val="18"/>
                <w:szCs w:val="18"/>
                <w:lang w:eastAsia="en-GB"/>
              </w:rPr>
              <w:t>2</w:t>
            </w:r>
          </w:p>
        </w:tc>
        <w:tc>
          <w:tcPr>
            <w:tcW w:w="6882" w:type="dxa"/>
            <w:tcBorders>
              <w:top w:val="single" w:sz="4" w:space="0" w:color="auto"/>
              <w:left w:val="nil"/>
              <w:bottom w:val="single" w:sz="4" w:space="0" w:color="auto"/>
              <w:right w:val="single" w:sz="4" w:space="0" w:color="auto"/>
            </w:tcBorders>
            <w:shd w:val="clear" w:color="auto" w:fill="auto"/>
            <w:vAlign w:val="center"/>
          </w:tcPr>
          <w:p w14:paraId="5BE6F424" w14:textId="32C8FEAB" w:rsidR="00E96CC7" w:rsidRPr="004A331F" w:rsidRDefault="00E7321C" w:rsidP="00E75336">
            <w:pPr>
              <w:pStyle w:val="Tabletext"/>
              <w:rPr>
                <w:sz w:val="18"/>
                <w:szCs w:val="18"/>
                <w:lang w:eastAsia="en-GB"/>
              </w:rPr>
            </w:pPr>
            <w:r w:rsidRPr="004A331F">
              <w:rPr>
                <w:sz w:val="18"/>
                <w:szCs w:val="18"/>
                <w:lang w:eastAsia="en-GB"/>
              </w:rPr>
              <w:t>Activités de l'UIT concernant le renforcement du rôle de l'Union dans l'instauration de la confiance et de la sécurité dans l'utilisation des TIC (</w:t>
            </w:r>
            <w:r w:rsidRPr="004A331F">
              <w:rPr>
                <w:i/>
                <w:iCs/>
                <w:sz w:val="18"/>
                <w:szCs w:val="18"/>
                <w:lang w:eastAsia="en-GB"/>
              </w:rPr>
              <w:t>Résolutions 130 et 174 de la PP</w:t>
            </w:r>
            <w:r w:rsidRPr="004A331F">
              <w:rPr>
                <w:sz w:val="18"/>
                <w:szCs w:val="18"/>
                <w:lang w:eastAsia="en-GB"/>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30F08E" w14:textId="77777777" w:rsidR="00E96CC7" w:rsidRPr="004A331F" w:rsidRDefault="00E76E31" w:rsidP="00E75336">
            <w:pPr>
              <w:pStyle w:val="Tabletext"/>
              <w:jc w:val="center"/>
              <w:rPr>
                <w:b/>
                <w:bCs/>
                <w:sz w:val="18"/>
                <w:szCs w:val="18"/>
                <w:lang w:eastAsia="en-GB"/>
              </w:rPr>
            </w:pPr>
            <w:hyperlink r:id="rId73" w:history="1">
              <w:r w:rsidR="00E96CC7" w:rsidRPr="004A331F">
                <w:rPr>
                  <w:rStyle w:val="Hyperlink"/>
                  <w:b/>
                  <w:bCs/>
                  <w:sz w:val="18"/>
                  <w:szCs w:val="18"/>
                  <w:lang w:eastAsia="en-GB"/>
                </w:rPr>
                <w:t>C21/18</w:t>
              </w:r>
            </w:hyperlink>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894B81" w14:textId="77777777" w:rsidR="00E96CC7" w:rsidRPr="004A331F" w:rsidRDefault="00E96CC7" w:rsidP="00E75336">
            <w:pPr>
              <w:pStyle w:val="Tabletext"/>
              <w:jc w:val="center"/>
              <w:rPr>
                <w:sz w:val="18"/>
                <w:szCs w:val="18"/>
                <w:lang w:eastAsia="en-GB"/>
              </w:rPr>
            </w:pPr>
            <w:r w:rsidRPr="004A331F">
              <w:rPr>
                <w:b/>
                <w:bCs/>
                <w:sz w:val="18"/>
                <w:szCs w:val="18"/>
                <w:lang w:eastAsia="en-GB"/>
              </w:rPr>
              <w:t>2</w:t>
            </w:r>
          </w:p>
        </w:tc>
      </w:tr>
      <w:tr w:rsidR="00E96CC7" w:rsidRPr="004A331F" w14:paraId="279E3FB1" w14:textId="77777777" w:rsidTr="00E96CC7">
        <w:trPr>
          <w:cantSplit/>
          <w:jc w:val="center"/>
        </w:trPr>
        <w:tc>
          <w:tcPr>
            <w:tcW w:w="484" w:type="dxa"/>
            <w:tcBorders>
              <w:top w:val="nil"/>
              <w:left w:val="single" w:sz="4" w:space="0" w:color="auto"/>
              <w:bottom w:val="single" w:sz="4" w:space="0" w:color="auto"/>
              <w:right w:val="single" w:sz="4" w:space="0" w:color="auto"/>
            </w:tcBorders>
            <w:vAlign w:val="center"/>
          </w:tcPr>
          <w:p w14:paraId="4A5B4718" w14:textId="77777777" w:rsidR="00E96CC7" w:rsidRPr="004A331F" w:rsidRDefault="00E96CC7" w:rsidP="00E75336">
            <w:pPr>
              <w:pStyle w:val="Tabletext"/>
              <w:jc w:val="center"/>
              <w:rPr>
                <w:sz w:val="18"/>
                <w:szCs w:val="18"/>
                <w:lang w:eastAsia="en-GB"/>
              </w:rPr>
            </w:pPr>
            <w:r w:rsidRPr="004A331F">
              <w:rPr>
                <w:sz w:val="18"/>
                <w:szCs w:val="18"/>
                <w:lang w:eastAsia="en-GB"/>
              </w:rPr>
              <w:t>3</w:t>
            </w:r>
          </w:p>
        </w:tc>
        <w:tc>
          <w:tcPr>
            <w:tcW w:w="6882" w:type="dxa"/>
            <w:tcBorders>
              <w:top w:val="nil"/>
              <w:left w:val="nil"/>
              <w:bottom w:val="single" w:sz="4" w:space="0" w:color="auto"/>
              <w:right w:val="single" w:sz="4" w:space="0" w:color="auto"/>
            </w:tcBorders>
            <w:shd w:val="clear" w:color="auto" w:fill="auto"/>
            <w:vAlign w:val="center"/>
          </w:tcPr>
          <w:p w14:paraId="2AC33AB6" w14:textId="61E9A291" w:rsidR="00E96CC7" w:rsidRPr="004A331F" w:rsidRDefault="00E7321C" w:rsidP="00E75336">
            <w:pPr>
              <w:pStyle w:val="Tabletext"/>
              <w:rPr>
                <w:sz w:val="18"/>
                <w:szCs w:val="18"/>
                <w:lang w:eastAsia="en-GB"/>
              </w:rPr>
            </w:pPr>
            <w:r w:rsidRPr="004A331F">
              <w:rPr>
                <w:sz w:val="18"/>
                <w:szCs w:val="18"/>
                <w:lang w:eastAsia="en-GB"/>
              </w:rPr>
              <w:t>Activités de l'UIT relatives à la Résolution 70 (Rév. Dubaï, 2018) de la PP</w:t>
            </w:r>
          </w:p>
        </w:tc>
        <w:tc>
          <w:tcPr>
            <w:tcW w:w="1418" w:type="dxa"/>
            <w:tcBorders>
              <w:top w:val="nil"/>
              <w:left w:val="nil"/>
              <w:bottom w:val="single" w:sz="4" w:space="0" w:color="auto"/>
              <w:right w:val="single" w:sz="4" w:space="0" w:color="auto"/>
            </w:tcBorders>
            <w:shd w:val="clear" w:color="auto" w:fill="auto"/>
            <w:vAlign w:val="center"/>
          </w:tcPr>
          <w:p w14:paraId="1EB02D8A" w14:textId="77777777" w:rsidR="00E96CC7" w:rsidRPr="004A331F" w:rsidRDefault="00E76E31" w:rsidP="00E75336">
            <w:pPr>
              <w:pStyle w:val="Tabletext"/>
              <w:jc w:val="center"/>
              <w:rPr>
                <w:b/>
                <w:bCs/>
                <w:sz w:val="18"/>
                <w:szCs w:val="18"/>
                <w:lang w:eastAsia="en-GB"/>
              </w:rPr>
            </w:pPr>
            <w:hyperlink r:id="rId74" w:history="1">
              <w:r w:rsidR="00E96CC7" w:rsidRPr="004A331F">
                <w:rPr>
                  <w:rStyle w:val="Hyperlink"/>
                  <w:b/>
                  <w:bCs/>
                  <w:sz w:val="18"/>
                  <w:szCs w:val="18"/>
                  <w:lang w:eastAsia="en-GB"/>
                </w:rPr>
                <w:t>C21/6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67CFBD4E" w14:textId="77777777" w:rsidR="00E96CC7" w:rsidRPr="004A331F" w:rsidRDefault="00E96CC7" w:rsidP="00E75336">
            <w:pPr>
              <w:pStyle w:val="Tabletext"/>
              <w:jc w:val="center"/>
              <w:rPr>
                <w:b/>
                <w:bCs/>
                <w:sz w:val="18"/>
                <w:szCs w:val="18"/>
                <w:lang w:eastAsia="en-GB"/>
              </w:rPr>
            </w:pPr>
            <w:r w:rsidRPr="004A331F">
              <w:rPr>
                <w:b/>
                <w:bCs/>
                <w:sz w:val="18"/>
                <w:szCs w:val="18"/>
                <w:lang w:eastAsia="en-GB"/>
              </w:rPr>
              <w:t>2</w:t>
            </w:r>
          </w:p>
        </w:tc>
      </w:tr>
      <w:tr w:rsidR="00E96CC7" w:rsidRPr="004A331F" w14:paraId="28B2070B" w14:textId="77777777" w:rsidTr="00E96CC7">
        <w:trPr>
          <w:cantSplit/>
          <w:jc w:val="center"/>
        </w:trPr>
        <w:tc>
          <w:tcPr>
            <w:tcW w:w="484" w:type="dxa"/>
            <w:tcBorders>
              <w:top w:val="nil"/>
              <w:left w:val="single" w:sz="4" w:space="0" w:color="auto"/>
              <w:bottom w:val="single" w:sz="4" w:space="0" w:color="auto"/>
              <w:right w:val="single" w:sz="4" w:space="0" w:color="auto"/>
            </w:tcBorders>
            <w:vAlign w:val="center"/>
          </w:tcPr>
          <w:p w14:paraId="7CFE216B" w14:textId="77777777" w:rsidR="00E96CC7" w:rsidRPr="004A331F" w:rsidRDefault="00E96CC7" w:rsidP="00E75336">
            <w:pPr>
              <w:pStyle w:val="Tabletext"/>
              <w:jc w:val="center"/>
              <w:rPr>
                <w:sz w:val="18"/>
                <w:szCs w:val="18"/>
                <w:lang w:eastAsia="en-GB"/>
              </w:rPr>
            </w:pPr>
            <w:r w:rsidRPr="004A331F">
              <w:rPr>
                <w:sz w:val="18"/>
                <w:szCs w:val="18"/>
                <w:lang w:eastAsia="en-GB"/>
              </w:rPr>
              <w:t>4</w:t>
            </w:r>
          </w:p>
        </w:tc>
        <w:tc>
          <w:tcPr>
            <w:tcW w:w="6882" w:type="dxa"/>
            <w:tcBorders>
              <w:top w:val="nil"/>
              <w:left w:val="nil"/>
              <w:bottom w:val="single" w:sz="4" w:space="0" w:color="auto"/>
              <w:right w:val="single" w:sz="4" w:space="0" w:color="auto"/>
            </w:tcBorders>
            <w:shd w:val="clear" w:color="auto" w:fill="auto"/>
            <w:noWrap/>
            <w:vAlign w:val="center"/>
          </w:tcPr>
          <w:p w14:paraId="3C5507F2" w14:textId="636B58AF" w:rsidR="00E96CC7" w:rsidRPr="004A331F" w:rsidRDefault="00E7321C" w:rsidP="00E75336">
            <w:pPr>
              <w:pStyle w:val="Tabletext"/>
              <w:rPr>
                <w:sz w:val="18"/>
                <w:szCs w:val="18"/>
                <w:lang w:eastAsia="en-GB"/>
              </w:rPr>
            </w:pPr>
            <w:r w:rsidRPr="004A331F">
              <w:rPr>
                <w:sz w:val="18"/>
                <w:szCs w:val="18"/>
                <w:lang w:eastAsia="en-GB"/>
              </w:rPr>
              <w:t>Rapport sur les manifestations ITU Telecom World (</w:t>
            </w:r>
            <w:r w:rsidRPr="004A331F">
              <w:rPr>
                <w:i/>
                <w:iCs/>
                <w:sz w:val="18"/>
                <w:szCs w:val="18"/>
                <w:lang w:eastAsia="en-GB"/>
              </w:rPr>
              <w:t>Résolution 11 de la PP, Résolution 1292 du Conseil</w:t>
            </w:r>
            <w:r w:rsidRPr="004A331F">
              <w:rPr>
                <w:sz w:val="18"/>
                <w:szCs w:val="18"/>
                <w:lang w:eastAsia="en-GB"/>
              </w:rPr>
              <w:t>)</w:t>
            </w:r>
          </w:p>
        </w:tc>
        <w:tc>
          <w:tcPr>
            <w:tcW w:w="1418" w:type="dxa"/>
            <w:tcBorders>
              <w:top w:val="nil"/>
              <w:left w:val="nil"/>
              <w:bottom w:val="single" w:sz="4" w:space="0" w:color="auto"/>
              <w:right w:val="single" w:sz="4" w:space="0" w:color="auto"/>
            </w:tcBorders>
            <w:shd w:val="clear" w:color="auto" w:fill="auto"/>
            <w:noWrap/>
            <w:vAlign w:val="center"/>
          </w:tcPr>
          <w:p w14:paraId="251EB558" w14:textId="77777777" w:rsidR="00E96CC7" w:rsidRPr="004A331F" w:rsidRDefault="00E76E31" w:rsidP="00E75336">
            <w:pPr>
              <w:pStyle w:val="Tabletext"/>
              <w:jc w:val="center"/>
              <w:rPr>
                <w:b/>
                <w:bCs/>
                <w:sz w:val="18"/>
                <w:szCs w:val="18"/>
                <w:lang w:eastAsia="en-GB"/>
              </w:rPr>
            </w:pPr>
            <w:hyperlink r:id="rId75" w:history="1">
              <w:r w:rsidR="00E96CC7" w:rsidRPr="004A331F">
                <w:rPr>
                  <w:rStyle w:val="Hyperlink"/>
                  <w:b/>
                  <w:bCs/>
                  <w:sz w:val="18"/>
                  <w:szCs w:val="18"/>
                  <w:lang w:eastAsia="en-GB"/>
                </w:rPr>
                <w:t>C21/19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61FB00F" w14:textId="77777777" w:rsidR="00E96CC7" w:rsidRPr="004A331F" w:rsidRDefault="00E96CC7" w:rsidP="00E75336">
            <w:pPr>
              <w:pStyle w:val="Tabletext"/>
              <w:jc w:val="center"/>
              <w:rPr>
                <w:sz w:val="18"/>
                <w:szCs w:val="18"/>
                <w:lang w:eastAsia="en-GB"/>
              </w:rPr>
            </w:pPr>
            <w:r w:rsidRPr="004A331F">
              <w:rPr>
                <w:b/>
                <w:bCs/>
                <w:sz w:val="18"/>
                <w:szCs w:val="18"/>
                <w:lang w:eastAsia="en-GB"/>
              </w:rPr>
              <w:t>2</w:t>
            </w:r>
          </w:p>
        </w:tc>
      </w:tr>
      <w:tr w:rsidR="00E96CC7" w:rsidRPr="004A331F" w14:paraId="67510F64" w14:textId="77777777" w:rsidTr="00E96CC7">
        <w:trPr>
          <w:cantSplit/>
          <w:jc w:val="center"/>
        </w:trPr>
        <w:tc>
          <w:tcPr>
            <w:tcW w:w="484" w:type="dxa"/>
            <w:tcBorders>
              <w:top w:val="nil"/>
              <w:left w:val="single" w:sz="4" w:space="0" w:color="auto"/>
              <w:bottom w:val="single" w:sz="4" w:space="0" w:color="auto"/>
              <w:right w:val="single" w:sz="4" w:space="0" w:color="auto"/>
            </w:tcBorders>
            <w:vAlign w:val="center"/>
          </w:tcPr>
          <w:p w14:paraId="50C4F16F" w14:textId="77777777" w:rsidR="00E96CC7" w:rsidRPr="004A331F" w:rsidRDefault="00E96CC7" w:rsidP="00E75336">
            <w:pPr>
              <w:pStyle w:val="Tabletext"/>
              <w:jc w:val="center"/>
              <w:rPr>
                <w:sz w:val="18"/>
                <w:szCs w:val="18"/>
                <w:lang w:eastAsia="en-GB"/>
              </w:rPr>
            </w:pPr>
            <w:r w:rsidRPr="004A331F">
              <w:rPr>
                <w:sz w:val="18"/>
                <w:szCs w:val="18"/>
                <w:lang w:eastAsia="en-GB"/>
              </w:rPr>
              <w:t>5</w:t>
            </w:r>
          </w:p>
        </w:tc>
        <w:tc>
          <w:tcPr>
            <w:tcW w:w="6882" w:type="dxa"/>
            <w:tcBorders>
              <w:top w:val="nil"/>
              <w:left w:val="nil"/>
              <w:bottom w:val="single" w:sz="4" w:space="0" w:color="auto"/>
              <w:right w:val="single" w:sz="4" w:space="0" w:color="auto"/>
            </w:tcBorders>
            <w:shd w:val="clear" w:color="auto" w:fill="auto"/>
            <w:vAlign w:val="center"/>
          </w:tcPr>
          <w:p w14:paraId="2E6F1142" w14:textId="70C17406" w:rsidR="00E96CC7" w:rsidRPr="004A331F" w:rsidRDefault="00E7321C" w:rsidP="00E75336">
            <w:pPr>
              <w:pStyle w:val="Tabletext"/>
              <w:rPr>
                <w:sz w:val="18"/>
                <w:szCs w:val="18"/>
                <w:lang w:eastAsia="en-GB"/>
              </w:rPr>
            </w:pPr>
            <w:r w:rsidRPr="004A331F">
              <w:rPr>
                <w:sz w:val="18"/>
                <w:szCs w:val="18"/>
                <w:lang w:eastAsia="en-GB"/>
              </w:rPr>
              <w:t>Produits et charges (</w:t>
            </w:r>
            <w:r w:rsidRPr="004A331F">
              <w:rPr>
                <w:i/>
                <w:sz w:val="18"/>
                <w:szCs w:val="18"/>
                <w:lang w:eastAsia="en-GB"/>
              </w:rPr>
              <w:t>Décision 5 de la PP</w:t>
            </w:r>
            <w:proofErr w:type="gramStart"/>
            <w:r w:rsidRPr="004A331F">
              <w:rPr>
                <w:sz w:val="18"/>
                <w:szCs w:val="18"/>
                <w:lang w:eastAsia="en-GB"/>
              </w:rPr>
              <w:t>):</w:t>
            </w:r>
            <w:proofErr w:type="gramEnd"/>
            <w:r w:rsidRPr="004A331F">
              <w:rPr>
                <w:sz w:val="18"/>
                <w:szCs w:val="18"/>
                <w:lang w:eastAsia="en-GB"/>
              </w:rPr>
              <w:t xml:space="preserve"> Examen annuel des produits et des charges (</w:t>
            </w:r>
            <w:r w:rsidRPr="004A331F">
              <w:rPr>
                <w:i/>
                <w:iCs/>
                <w:sz w:val="18"/>
                <w:szCs w:val="18"/>
                <w:lang w:eastAsia="en-GB"/>
              </w:rPr>
              <w:t>Décision 5 de la PP</w:t>
            </w:r>
            <w:r w:rsidRPr="004A331F">
              <w:rPr>
                <w:sz w:val="18"/>
                <w:szCs w:val="18"/>
                <w:lang w:eastAsia="en-GB"/>
              </w:rPr>
              <w:t>) et mesures d'efficacité</w:t>
            </w:r>
          </w:p>
        </w:tc>
        <w:tc>
          <w:tcPr>
            <w:tcW w:w="1418" w:type="dxa"/>
            <w:tcBorders>
              <w:top w:val="nil"/>
              <w:left w:val="nil"/>
              <w:bottom w:val="single" w:sz="4" w:space="0" w:color="auto"/>
              <w:right w:val="single" w:sz="4" w:space="0" w:color="auto"/>
            </w:tcBorders>
            <w:shd w:val="clear" w:color="auto" w:fill="auto"/>
            <w:vAlign w:val="center"/>
          </w:tcPr>
          <w:p w14:paraId="75F5D3F6" w14:textId="77777777" w:rsidR="00E96CC7" w:rsidRPr="004A331F" w:rsidRDefault="00E76E31" w:rsidP="00E75336">
            <w:pPr>
              <w:pStyle w:val="Tabletext"/>
              <w:jc w:val="center"/>
              <w:rPr>
                <w:b/>
                <w:bCs/>
                <w:sz w:val="18"/>
                <w:szCs w:val="18"/>
                <w:lang w:eastAsia="en-GB"/>
              </w:rPr>
            </w:pPr>
            <w:hyperlink r:id="rId76" w:history="1">
              <w:r w:rsidR="00E96CC7" w:rsidRPr="004A331F">
                <w:rPr>
                  <w:rStyle w:val="Hyperlink"/>
                  <w:b/>
                  <w:bCs/>
                  <w:sz w:val="18"/>
                  <w:szCs w:val="18"/>
                  <w:lang w:eastAsia="en-GB"/>
                </w:rPr>
                <w:t>C21/9</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2D16D0A" w14:textId="77777777" w:rsidR="00E96CC7" w:rsidRPr="004A331F" w:rsidRDefault="00E96CC7" w:rsidP="00E75336">
            <w:pPr>
              <w:pStyle w:val="Tabletext"/>
              <w:jc w:val="center"/>
              <w:rPr>
                <w:b/>
                <w:bCs/>
                <w:sz w:val="18"/>
                <w:szCs w:val="18"/>
                <w:lang w:eastAsia="en-GB"/>
              </w:rPr>
            </w:pPr>
            <w:r w:rsidRPr="004A331F">
              <w:rPr>
                <w:b/>
                <w:bCs/>
                <w:sz w:val="18"/>
                <w:szCs w:val="18"/>
                <w:lang w:eastAsia="en-GB"/>
              </w:rPr>
              <w:t>2</w:t>
            </w:r>
          </w:p>
        </w:tc>
      </w:tr>
      <w:bookmarkEnd w:id="5"/>
      <w:tr w:rsidR="00E96CC7" w:rsidRPr="004A331F" w14:paraId="2D6D0448" w14:textId="77777777" w:rsidTr="00E96CC7">
        <w:trPr>
          <w:cantSplit/>
          <w:jc w:val="center"/>
        </w:trPr>
        <w:tc>
          <w:tcPr>
            <w:tcW w:w="484" w:type="dxa"/>
            <w:tcBorders>
              <w:top w:val="nil"/>
              <w:left w:val="single" w:sz="4" w:space="0" w:color="auto"/>
              <w:bottom w:val="single" w:sz="4" w:space="0" w:color="auto"/>
              <w:right w:val="single" w:sz="4" w:space="0" w:color="auto"/>
            </w:tcBorders>
            <w:vAlign w:val="center"/>
          </w:tcPr>
          <w:p w14:paraId="2BC86BC9" w14:textId="77777777" w:rsidR="00E96CC7" w:rsidRPr="004A331F" w:rsidRDefault="00E96CC7" w:rsidP="00E75336">
            <w:pPr>
              <w:pStyle w:val="Tabletext"/>
              <w:jc w:val="center"/>
              <w:rPr>
                <w:sz w:val="18"/>
                <w:szCs w:val="18"/>
                <w:lang w:eastAsia="en-GB"/>
              </w:rPr>
            </w:pPr>
            <w:r w:rsidRPr="004A331F">
              <w:rPr>
                <w:sz w:val="18"/>
                <w:szCs w:val="18"/>
                <w:lang w:eastAsia="en-GB"/>
              </w:rPr>
              <w:t>6</w:t>
            </w:r>
          </w:p>
        </w:tc>
        <w:tc>
          <w:tcPr>
            <w:tcW w:w="6882" w:type="dxa"/>
            <w:tcBorders>
              <w:top w:val="nil"/>
              <w:left w:val="nil"/>
              <w:bottom w:val="single" w:sz="4" w:space="0" w:color="auto"/>
              <w:right w:val="single" w:sz="4" w:space="0" w:color="auto"/>
            </w:tcBorders>
            <w:shd w:val="clear" w:color="auto" w:fill="auto"/>
            <w:vAlign w:val="center"/>
          </w:tcPr>
          <w:p w14:paraId="42DBCC8B" w14:textId="4FE60C25" w:rsidR="00E96CC7" w:rsidRPr="004A331F" w:rsidRDefault="00E7321C" w:rsidP="00E75336">
            <w:pPr>
              <w:pStyle w:val="Tabletext"/>
              <w:rPr>
                <w:sz w:val="18"/>
                <w:szCs w:val="18"/>
                <w:lang w:eastAsia="en-GB"/>
              </w:rPr>
            </w:pPr>
            <w:r w:rsidRPr="004A331F">
              <w:rPr>
                <w:sz w:val="18"/>
                <w:szCs w:val="18"/>
                <w:lang w:eastAsia="en-GB"/>
              </w:rPr>
              <w:t>Recouvrement des coûts pour le traitement des fiches de notification des réseaux à satellite</w:t>
            </w:r>
            <w:r w:rsidRPr="004A331F">
              <w:rPr>
                <w:i/>
                <w:iCs/>
                <w:sz w:val="18"/>
                <w:szCs w:val="18"/>
                <w:lang w:eastAsia="en-GB"/>
              </w:rPr>
              <w:t xml:space="preserve"> (Décision 482(MOD) du Conseil)</w:t>
            </w:r>
          </w:p>
        </w:tc>
        <w:tc>
          <w:tcPr>
            <w:tcW w:w="1418" w:type="dxa"/>
            <w:tcBorders>
              <w:top w:val="nil"/>
              <w:left w:val="nil"/>
              <w:bottom w:val="single" w:sz="4" w:space="0" w:color="auto"/>
              <w:right w:val="single" w:sz="4" w:space="0" w:color="auto"/>
            </w:tcBorders>
            <w:shd w:val="clear" w:color="auto" w:fill="auto"/>
            <w:vAlign w:val="center"/>
          </w:tcPr>
          <w:p w14:paraId="0542D820" w14:textId="77777777" w:rsidR="00E96CC7" w:rsidRPr="004A331F" w:rsidRDefault="00E76E31" w:rsidP="00E75336">
            <w:pPr>
              <w:pStyle w:val="Tabletext"/>
              <w:jc w:val="center"/>
              <w:rPr>
                <w:b/>
                <w:bCs/>
                <w:sz w:val="18"/>
                <w:szCs w:val="18"/>
                <w:lang w:eastAsia="en-GB"/>
              </w:rPr>
            </w:pPr>
            <w:hyperlink r:id="rId77" w:history="1">
              <w:r w:rsidR="00E96CC7" w:rsidRPr="004A331F">
                <w:rPr>
                  <w:rStyle w:val="Hyperlink"/>
                  <w:b/>
                  <w:bCs/>
                  <w:sz w:val="18"/>
                  <w:szCs w:val="18"/>
                  <w:lang w:eastAsia="en-GB"/>
                </w:rPr>
                <w:t>C21/16</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069FF1E" w14:textId="77777777" w:rsidR="00E96CC7" w:rsidRPr="004A331F" w:rsidRDefault="00E96CC7" w:rsidP="00E75336">
            <w:pPr>
              <w:pStyle w:val="Tabletext"/>
              <w:jc w:val="center"/>
              <w:rPr>
                <w:b/>
                <w:bCs/>
                <w:sz w:val="18"/>
                <w:szCs w:val="18"/>
                <w:lang w:eastAsia="en-GB"/>
              </w:rPr>
            </w:pPr>
            <w:r w:rsidRPr="004A331F">
              <w:rPr>
                <w:b/>
                <w:bCs/>
                <w:sz w:val="18"/>
                <w:szCs w:val="18"/>
                <w:lang w:eastAsia="en-GB"/>
              </w:rPr>
              <w:t>2</w:t>
            </w:r>
          </w:p>
        </w:tc>
      </w:tr>
      <w:tr w:rsidR="00E96CC7" w:rsidRPr="004A331F" w14:paraId="4FC071AE" w14:textId="77777777" w:rsidTr="00E96CC7">
        <w:trPr>
          <w:cantSplit/>
          <w:jc w:val="center"/>
        </w:trPr>
        <w:tc>
          <w:tcPr>
            <w:tcW w:w="484" w:type="dxa"/>
            <w:tcBorders>
              <w:top w:val="nil"/>
              <w:left w:val="single" w:sz="4" w:space="0" w:color="auto"/>
              <w:bottom w:val="single" w:sz="4" w:space="0" w:color="auto"/>
              <w:right w:val="single" w:sz="4" w:space="0" w:color="auto"/>
            </w:tcBorders>
            <w:vAlign w:val="center"/>
          </w:tcPr>
          <w:p w14:paraId="4A4A04AA" w14:textId="77777777" w:rsidR="00E96CC7" w:rsidRPr="004A331F" w:rsidRDefault="00E96CC7" w:rsidP="00E75336">
            <w:pPr>
              <w:pStyle w:val="Tabletext"/>
              <w:jc w:val="center"/>
              <w:rPr>
                <w:sz w:val="18"/>
                <w:szCs w:val="18"/>
                <w:lang w:eastAsia="en-GB"/>
              </w:rPr>
            </w:pPr>
            <w:r w:rsidRPr="004A331F">
              <w:rPr>
                <w:sz w:val="18"/>
                <w:szCs w:val="18"/>
                <w:lang w:eastAsia="en-GB"/>
              </w:rPr>
              <w:t>7</w:t>
            </w:r>
          </w:p>
        </w:tc>
        <w:tc>
          <w:tcPr>
            <w:tcW w:w="6882" w:type="dxa"/>
            <w:tcBorders>
              <w:top w:val="nil"/>
              <w:left w:val="nil"/>
              <w:bottom w:val="single" w:sz="4" w:space="0" w:color="auto"/>
              <w:right w:val="single" w:sz="4" w:space="0" w:color="auto"/>
            </w:tcBorders>
            <w:shd w:val="clear" w:color="auto" w:fill="auto"/>
            <w:vAlign w:val="center"/>
          </w:tcPr>
          <w:p w14:paraId="14A1C4AD" w14:textId="16212DAB" w:rsidR="00E96CC7" w:rsidRPr="004A331F" w:rsidRDefault="00C05633" w:rsidP="00E75336">
            <w:pPr>
              <w:pStyle w:val="Tabletext"/>
              <w:rPr>
                <w:sz w:val="18"/>
                <w:szCs w:val="18"/>
                <w:lang w:eastAsia="en-GB"/>
              </w:rPr>
            </w:pPr>
            <w:r w:rsidRPr="004A331F">
              <w:rPr>
                <w:sz w:val="18"/>
                <w:szCs w:val="18"/>
                <w:lang w:eastAsia="en-GB"/>
              </w:rPr>
              <w:t>Participation provisoire des entités s'occupant de questions de télécommunication aux activités de l'UIT</w:t>
            </w:r>
          </w:p>
        </w:tc>
        <w:tc>
          <w:tcPr>
            <w:tcW w:w="1418" w:type="dxa"/>
            <w:tcBorders>
              <w:top w:val="nil"/>
              <w:left w:val="nil"/>
              <w:bottom w:val="single" w:sz="4" w:space="0" w:color="auto"/>
              <w:right w:val="single" w:sz="4" w:space="0" w:color="auto"/>
            </w:tcBorders>
            <w:shd w:val="clear" w:color="auto" w:fill="auto"/>
            <w:vAlign w:val="center"/>
          </w:tcPr>
          <w:p w14:paraId="1D02EF4D" w14:textId="77777777" w:rsidR="00E96CC7" w:rsidRPr="004A331F" w:rsidRDefault="00E76E31" w:rsidP="00E75336">
            <w:pPr>
              <w:pStyle w:val="Tabletext"/>
              <w:jc w:val="center"/>
              <w:rPr>
                <w:b/>
                <w:bCs/>
                <w:sz w:val="18"/>
                <w:szCs w:val="18"/>
                <w:lang w:eastAsia="en-GB"/>
              </w:rPr>
            </w:pPr>
            <w:hyperlink r:id="rId78" w:history="1">
              <w:r w:rsidR="00E96CC7" w:rsidRPr="004A331F">
                <w:rPr>
                  <w:rStyle w:val="Hyperlink"/>
                  <w:b/>
                  <w:bCs/>
                  <w:sz w:val="18"/>
                  <w:szCs w:val="18"/>
                  <w:lang w:eastAsia="en-GB"/>
                </w:rPr>
                <w:t>C21/20</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4A31745" w14:textId="77777777" w:rsidR="00E96CC7" w:rsidRPr="004A331F" w:rsidRDefault="00E96CC7" w:rsidP="00E75336">
            <w:pPr>
              <w:pStyle w:val="Tabletext"/>
              <w:jc w:val="center"/>
              <w:rPr>
                <w:b/>
                <w:bCs/>
                <w:sz w:val="18"/>
                <w:szCs w:val="18"/>
                <w:lang w:eastAsia="en-GB"/>
              </w:rPr>
            </w:pPr>
            <w:r w:rsidRPr="004A331F">
              <w:rPr>
                <w:b/>
                <w:bCs/>
                <w:sz w:val="18"/>
                <w:szCs w:val="18"/>
                <w:lang w:eastAsia="en-GB"/>
              </w:rPr>
              <w:t>2</w:t>
            </w:r>
          </w:p>
        </w:tc>
      </w:tr>
      <w:tr w:rsidR="00E96CC7" w:rsidRPr="004A331F" w14:paraId="1D3C6189" w14:textId="77777777" w:rsidTr="00E96CC7">
        <w:trPr>
          <w:cantSplit/>
          <w:jc w:val="center"/>
        </w:trPr>
        <w:tc>
          <w:tcPr>
            <w:tcW w:w="484" w:type="dxa"/>
            <w:tcBorders>
              <w:top w:val="nil"/>
              <w:left w:val="single" w:sz="4" w:space="0" w:color="auto"/>
              <w:bottom w:val="single" w:sz="4" w:space="0" w:color="auto"/>
              <w:right w:val="single" w:sz="4" w:space="0" w:color="auto"/>
            </w:tcBorders>
            <w:vAlign w:val="center"/>
          </w:tcPr>
          <w:p w14:paraId="24D60238" w14:textId="77777777" w:rsidR="00E96CC7" w:rsidRPr="004A331F" w:rsidRDefault="00E96CC7" w:rsidP="00E75336">
            <w:pPr>
              <w:pStyle w:val="Tabletext"/>
              <w:jc w:val="center"/>
              <w:rPr>
                <w:sz w:val="18"/>
                <w:szCs w:val="18"/>
                <w:lang w:eastAsia="en-GB"/>
              </w:rPr>
            </w:pPr>
            <w:r w:rsidRPr="004A331F">
              <w:rPr>
                <w:sz w:val="18"/>
                <w:szCs w:val="18"/>
                <w:lang w:eastAsia="en-GB"/>
              </w:rPr>
              <w:t>8</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411FE84C" w14:textId="7C56D56F" w:rsidR="00E96CC7" w:rsidRPr="004A331F" w:rsidRDefault="00C05633" w:rsidP="00E75336">
            <w:pPr>
              <w:pStyle w:val="Tabletext"/>
              <w:rPr>
                <w:sz w:val="18"/>
                <w:szCs w:val="18"/>
                <w:lang w:eastAsia="en-GB"/>
              </w:rPr>
            </w:pPr>
            <w:r w:rsidRPr="004A331F">
              <w:rPr>
                <w:sz w:val="18"/>
                <w:szCs w:val="18"/>
                <w:lang w:eastAsia="en-GB"/>
              </w:rPr>
              <w:t>Amélioration de la gestion et du suivi de la contribution des Membres de Secteur, des Associés et des établissements universitaires aux dépenses de l'UIT</w:t>
            </w:r>
          </w:p>
        </w:tc>
        <w:tc>
          <w:tcPr>
            <w:tcW w:w="1418" w:type="dxa"/>
            <w:tcBorders>
              <w:top w:val="nil"/>
              <w:left w:val="nil"/>
              <w:bottom w:val="single" w:sz="4" w:space="0" w:color="auto"/>
              <w:right w:val="single" w:sz="4" w:space="0" w:color="auto"/>
            </w:tcBorders>
            <w:shd w:val="clear" w:color="auto" w:fill="auto"/>
            <w:vAlign w:val="center"/>
          </w:tcPr>
          <w:p w14:paraId="001F902B" w14:textId="77777777" w:rsidR="00E96CC7" w:rsidRPr="004A331F" w:rsidRDefault="00E76E31" w:rsidP="00E75336">
            <w:pPr>
              <w:pStyle w:val="Tabletext"/>
              <w:jc w:val="center"/>
              <w:rPr>
                <w:b/>
                <w:bCs/>
                <w:sz w:val="18"/>
                <w:szCs w:val="18"/>
                <w:lang w:eastAsia="en-GB"/>
              </w:rPr>
            </w:pPr>
            <w:hyperlink r:id="rId79" w:history="1">
              <w:r w:rsidR="00E96CC7" w:rsidRPr="004A331F">
                <w:rPr>
                  <w:rStyle w:val="Hyperlink"/>
                  <w:b/>
                  <w:bCs/>
                  <w:sz w:val="18"/>
                  <w:szCs w:val="18"/>
                  <w:lang w:eastAsia="en-GB"/>
                </w:rPr>
                <w:t>C21/52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5EA6BF4" w14:textId="77777777" w:rsidR="00E96CC7" w:rsidRPr="004A331F" w:rsidRDefault="00E96CC7" w:rsidP="00E75336">
            <w:pPr>
              <w:pStyle w:val="Tabletext"/>
              <w:jc w:val="center"/>
              <w:rPr>
                <w:b/>
                <w:bCs/>
                <w:sz w:val="18"/>
                <w:szCs w:val="18"/>
                <w:lang w:eastAsia="en-GB"/>
              </w:rPr>
            </w:pPr>
            <w:r w:rsidRPr="004A331F">
              <w:rPr>
                <w:b/>
                <w:bCs/>
                <w:sz w:val="18"/>
                <w:szCs w:val="18"/>
                <w:lang w:eastAsia="en-GB"/>
              </w:rPr>
              <w:t>2</w:t>
            </w:r>
          </w:p>
        </w:tc>
      </w:tr>
      <w:tr w:rsidR="00E96CC7" w:rsidRPr="004A331F" w14:paraId="2197BBB1" w14:textId="77777777" w:rsidTr="00E96CC7">
        <w:trPr>
          <w:cantSplit/>
          <w:jc w:val="center"/>
        </w:trPr>
        <w:tc>
          <w:tcPr>
            <w:tcW w:w="484" w:type="dxa"/>
            <w:tcBorders>
              <w:top w:val="nil"/>
              <w:left w:val="single" w:sz="4" w:space="0" w:color="auto"/>
              <w:bottom w:val="single" w:sz="4" w:space="0" w:color="auto"/>
              <w:right w:val="single" w:sz="4" w:space="0" w:color="auto"/>
            </w:tcBorders>
            <w:vAlign w:val="center"/>
          </w:tcPr>
          <w:p w14:paraId="30768A3B" w14:textId="77777777" w:rsidR="00E96CC7" w:rsidRPr="004A331F" w:rsidRDefault="00E96CC7" w:rsidP="00E75336">
            <w:pPr>
              <w:pStyle w:val="Tabletext"/>
              <w:jc w:val="center"/>
              <w:rPr>
                <w:sz w:val="18"/>
                <w:szCs w:val="18"/>
                <w:lang w:eastAsia="en-GB"/>
              </w:rPr>
            </w:pPr>
            <w:r w:rsidRPr="004A331F">
              <w:rPr>
                <w:sz w:val="18"/>
                <w:szCs w:val="18"/>
                <w:lang w:eastAsia="en-GB"/>
              </w:rPr>
              <w:t>9</w:t>
            </w:r>
          </w:p>
        </w:tc>
        <w:tc>
          <w:tcPr>
            <w:tcW w:w="6882" w:type="dxa"/>
            <w:tcBorders>
              <w:top w:val="nil"/>
              <w:left w:val="nil"/>
              <w:bottom w:val="single" w:sz="4" w:space="0" w:color="auto"/>
              <w:right w:val="single" w:sz="4" w:space="0" w:color="auto"/>
            </w:tcBorders>
            <w:shd w:val="clear" w:color="auto" w:fill="auto"/>
            <w:vAlign w:val="center"/>
          </w:tcPr>
          <w:p w14:paraId="4EA1BB85" w14:textId="5D4A7E2A" w:rsidR="00E96CC7" w:rsidRPr="004A331F" w:rsidRDefault="00C05633" w:rsidP="00E75336">
            <w:pPr>
              <w:pStyle w:val="Tabletext"/>
              <w:rPr>
                <w:sz w:val="18"/>
                <w:szCs w:val="18"/>
                <w:lang w:eastAsia="en-GB"/>
              </w:rPr>
            </w:pPr>
            <w:r w:rsidRPr="004A331F">
              <w:rPr>
                <w:sz w:val="18"/>
                <w:szCs w:val="18"/>
                <w:lang w:eastAsia="en-GB"/>
              </w:rPr>
              <w:t>Rapport d'activité sur la mise en œuvre des Décisions 600 et 601 du Conseil (numéros UIFN et IIN)</w:t>
            </w:r>
          </w:p>
        </w:tc>
        <w:tc>
          <w:tcPr>
            <w:tcW w:w="1418" w:type="dxa"/>
            <w:tcBorders>
              <w:top w:val="nil"/>
              <w:left w:val="nil"/>
              <w:bottom w:val="single" w:sz="4" w:space="0" w:color="auto"/>
              <w:right w:val="single" w:sz="4" w:space="0" w:color="auto"/>
            </w:tcBorders>
            <w:shd w:val="clear" w:color="auto" w:fill="auto"/>
            <w:vAlign w:val="center"/>
          </w:tcPr>
          <w:p w14:paraId="2DA3BF19" w14:textId="77777777" w:rsidR="00E96CC7" w:rsidRPr="004A331F" w:rsidRDefault="00E76E31" w:rsidP="00E75336">
            <w:pPr>
              <w:pStyle w:val="Tabletext"/>
              <w:jc w:val="center"/>
              <w:rPr>
                <w:b/>
                <w:bCs/>
                <w:sz w:val="18"/>
                <w:szCs w:val="18"/>
                <w:lang w:eastAsia="en-GB"/>
              </w:rPr>
            </w:pPr>
            <w:hyperlink r:id="rId80" w:history="1">
              <w:r w:rsidR="00E96CC7" w:rsidRPr="004A331F">
                <w:rPr>
                  <w:rStyle w:val="Hyperlink"/>
                  <w:b/>
                  <w:bCs/>
                  <w:sz w:val="18"/>
                  <w:szCs w:val="18"/>
                  <w:lang w:eastAsia="en-GB"/>
                </w:rPr>
                <w:t>C21/47</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DE6FD7E" w14:textId="77777777" w:rsidR="00E96CC7" w:rsidRPr="004A331F" w:rsidRDefault="00E96CC7" w:rsidP="00E75336">
            <w:pPr>
              <w:pStyle w:val="Tabletext"/>
              <w:jc w:val="center"/>
              <w:rPr>
                <w:b/>
                <w:bCs/>
                <w:sz w:val="18"/>
                <w:szCs w:val="18"/>
                <w:lang w:eastAsia="en-GB"/>
              </w:rPr>
            </w:pPr>
            <w:r w:rsidRPr="004A331F">
              <w:rPr>
                <w:b/>
                <w:bCs/>
                <w:sz w:val="18"/>
                <w:szCs w:val="18"/>
                <w:lang w:eastAsia="en-GB"/>
              </w:rPr>
              <w:t>2</w:t>
            </w:r>
          </w:p>
        </w:tc>
      </w:tr>
      <w:tr w:rsidR="00E96CC7" w:rsidRPr="004A331F" w14:paraId="3501FCE8" w14:textId="77777777" w:rsidTr="00E96CC7">
        <w:trPr>
          <w:cantSplit/>
          <w:jc w:val="center"/>
        </w:trPr>
        <w:tc>
          <w:tcPr>
            <w:tcW w:w="484" w:type="dxa"/>
            <w:tcBorders>
              <w:top w:val="nil"/>
              <w:left w:val="single" w:sz="4" w:space="0" w:color="auto"/>
              <w:bottom w:val="single" w:sz="4" w:space="0" w:color="auto"/>
              <w:right w:val="single" w:sz="4" w:space="0" w:color="auto"/>
            </w:tcBorders>
            <w:vAlign w:val="center"/>
          </w:tcPr>
          <w:p w14:paraId="550844F3" w14:textId="77777777" w:rsidR="00E96CC7" w:rsidRPr="004A331F" w:rsidRDefault="00E96CC7" w:rsidP="00E75336">
            <w:pPr>
              <w:pStyle w:val="Tabletext"/>
              <w:jc w:val="center"/>
              <w:rPr>
                <w:sz w:val="18"/>
                <w:szCs w:val="18"/>
                <w:lang w:eastAsia="en-GB"/>
              </w:rPr>
            </w:pPr>
            <w:r w:rsidRPr="004A331F">
              <w:rPr>
                <w:sz w:val="18"/>
                <w:szCs w:val="18"/>
                <w:lang w:eastAsia="en-GB"/>
              </w:rPr>
              <w:t>10</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3949FB57" w14:textId="514129AF" w:rsidR="00E96CC7" w:rsidRPr="004A331F" w:rsidRDefault="00C05633" w:rsidP="00E75336">
            <w:pPr>
              <w:pStyle w:val="Tabletext"/>
              <w:rPr>
                <w:sz w:val="18"/>
                <w:szCs w:val="18"/>
                <w:lang w:eastAsia="en-GB"/>
              </w:rPr>
            </w:pPr>
            <w:r w:rsidRPr="004A331F">
              <w:rPr>
                <w:sz w:val="18"/>
                <w:szCs w:val="18"/>
                <w:lang w:eastAsia="en-GB"/>
              </w:rPr>
              <w:t>Participation de l'UIT aux mémorandums d'accord ayant des incidences financières et/ou stratégiques</w:t>
            </w:r>
          </w:p>
        </w:tc>
        <w:tc>
          <w:tcPr>
            <w:tcW w:w="1418" w:type="dxa"/>
            <w:tcBorders>
              <w:top w:val="nil"/>
              <w:left w:val="nil"/>
              <w:bottom w:val="single" w:sz="4" w:space="0" w:color="auto"/>
              <w:right w:val="single" w:sz="4" w:space="0" w:color="auto"/>
            </w:tcBorders>
            <w:shd w:val="clear" w:color="auto" w:fill="auto"/>
            <w:vAlign w:val="center"/>
          </w:tcPr>
          <w:p w14:paraId="663C0302" w14:textId="77777777" w:rsidR="00E96CC7" w:rsidRPr="004A331F" w:rsidRDefault="00E76E31" w:rsidP="00E75336">
            <w:pPr>
              <w:pStyle w:val="Tabletext"/>
              <w:jc w:val="center"/>
              <w:rPr>
                <w:b/>
                <w:bCs/>
                <w:sz w:val="18"/>
                <w:szCs w:val="18"/>
                <w:lang w:eastAsia="en-GB"/>
              </w:rPr>
            </w:pPr>
            <w:hyperlink r:id="rId81" w:history="1">
              <w:r w:rsidR="00E96CC7" w:rsidRPr="004A331F">
                <w:rPr>
                  <w:rStyle w:val="Hyperlink"/>
                  <w:b/>
                  <w:bCs/>
                  <w:sz w:val="18"/>
                  <w:szCs w:val="18"/>
                  <w:lang w:eastAsia="en-GB"/>
                </w:rPr>
                <w:t>C21/45</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274C4BBB" w14:textId="77777777" w:rsidR="00E96CC7" w:rsidRPr="004A331F" w:rsidRDefault="00E96CC7" w:rsidP="00E75336">
            <w:pPr>
              <w:pStyle w:val="Tabletext"/>
              <w:jc w:val="center"/>
              <w:rPr>
                <w:b/>
                <w:bCs/>
                <w:sz w:val="18"/>
                <w:szCs w:val="18"/>
                <w:lang w:eastAsia="en-GB"/>
              </w:rPr>
            </w:pPr>
            <w:r w:rsidRPr="004A331F">
              <w:rPr>
                <w:b/>
                <w:bCs/>
                <w:sz w:val="18"/>
                <w:szCs w:val="18"/>
                <w:lang w:eastAsia="en-GB"/>
              </w:rPr>
              <w:t>2</w:t>
            </w:r>
          </w:p>
        </w:tc>
      </w:tr>
      <w:tr w:rsidR="00E96CC7" w:rsidRPr="004A331F" w14:paraId="5AF1B899" w14:textId="77777777" w:rsidTr="00E96CC7">
        <w:trPr>
          <w:cantSplit/>
          <w:jc w:val="center"/>
        </w:trPr>
        <w:tc>
          <w:tcPr>
            <w:tcW w:w="484" w:type="dxa"/>
            <w:tcBorders>
              <w:top w:val="nil"/>
              <w:left w:val="single" w:sz="4" w:space="0" w:color="auto"/>
              <w:bottom w:val="single" w:sz="4" w:space="0" w:color="auto"/>
              <w:right w:val="single" w:sz="4" w:space="0" w:color="auto"/>
            </w:tcBorders>
            <w:vAlign w:val="center"/>
          </w:tcPr>
          <w:p w14:paraId="28501E0F" w14:textId="77777777" w:rsidR="00E96CC7" w:rsidRPr="004A331F" w:rsidRDefault="00E96CC7" w:rsidP="00E75336">
            <w:pPr>
              <w:pStyle w:val="Tabletext"/>
              <w:jc w:val="center"/>
              <w:rPr>
                <w:sz w:val="18"/>
                <w:szCs w:val="18"/>
                <w:lang w:eastAsia="en-GB"/>
              </w:rPr>
            </w:pPr>
            <w:r w:rsidRPr="004A331F">
              <w:rPr>
                <w:sz w:val="18"/>
                <w:szCs w:val="18"/>
                <w:lang w:eastAsia="en-GB"/>
              </w:rPr>
              <w:t>11</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249DEDC2" w14:textId="6D2541D8" w:rsidR="00E96CC7" w:rsidRPr="004A331F" w:rsidRDefault="00C05633" w:rsidP="00E75336">
            <w:pPr>
              <w:pStyle w:val="Tabletext"/>
              <w:rPr>
                <w:sz w:val="18"/>
                <w:szCs w:val="18"/>
                <w:lang w:eastAsia="en-GB"/>
              </w:rPr>
            </w:pPr>
            <w:r w:rsidRPr="004A331F">
              <w:rPr>
                <w:bCs/>
                <w:sz w:val="18"/>
                <w:szCs w:val="18"/>
                <w:lang w:eastAsia="en-GB"/>
              </w:rPr>
              <w:t>Compilation des décisions adoptées par la PP-18 et visées dans les comptes rendus de ses séances plénières</w:t>
            </w:r>
            <w:r w:rsidRPr="004A331F">
              <w:rPr>
                <w:sz w:val="18"/>
                <w:szCs w:val="18"/>
                <w:lang w:eastAsia="en-GB"/>
              </w:rPr>
              <w:t>, en particulier les décisions basées sur les recommandations des Commissions et du Groupe de travail de la plénière (Doc. C19/107, Rec. 27.9)</w:t>
            </w:r>
          </w:p>
        </w:tc>
        <w:tc>
          <w:tcPr>
            <w:tcW w:w="1418" w:type="dxa"/>
            <w:tcBorders>
              <w:top w:val="nil"/>
              <w:left w:val="nil"/>
              <w:bottom w:val="single" w:sz="4" w:space="0" w:color="auto"/>
              <w:right w:val="single" w:sz="4" w:space="0" w:color="auto"/>
            </w:tcBorders>
            <w:shd w:val="clear" w:color="auto" w:fill="auto"/>
            <w:vAlign w:val="center"/>
          </w:tcPr>
          <w:p w14:paraId="59B6E9D1" w14:textId="77777777" w:rsidR="00E96CC7" w:rsidRPr="004A331F" w:rsidRDefault="00E76E31" w:rsidP="00E75336">
            <w:pPr>
              <w:pStyle w:val="Tabletext"/>
              <w:jc w:val="center"/>
              <w:rPr>
                <w:b/>
                <w:bCs/>
                <w:sz w:val="18"/>
                <w:szCs w:val="18"/>
                <w:lang w:eastAsia="en-GB"/>
              </w:rPr>
            </w:pPr>
            <w:hyperlink r:id="rId82" w:history="1">
              <w:r w:rsidR="00E96CC7" w:rsidRPr="004A331F">
                <w:rPr>
                  <w:rStyle w:val="Hyperlink"/>
                  <w:b/>
                  <w:bCs/>
                  <w:sz w:val="18"/>
                  <w:szCs w:val="18"/>
                  <w:lang w:eastAsia="en-GB"/>
                </w:rPr>
                <w:t>C21/58</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934D58F" w14:textId="77777777" w:rsidR="00E96CC7" w:rsidRPr="004A331F" w:rsidRDefault="00E96CC7" w:rsidP="00E75336">
            <w:pPr>
              <w:pStyle w:val="Tabletext"/>
              <w:jc w:val="center"/>
              <w:rPr>
                <w:sz w:val="18"/>
                <w:szCs w:val="18"/>
                <w:lang w:eastAsia="en-GB"/>
              </w:rPr>
            </w:pPr>
            <w:r w:rsidRPr="004A331F">
              <w:rPr>
                <w:b/>
                <w:bCs/>
                <w:sz w:val="18"/>
                <w:szCs w:val="18"/>
                <w:lang w:eastAsia="en-GB"/>
              </w:rPr>
              <w:t>2</w:t>
            </w:r>
          </w:p>
        </w:tc>
      </w:tr>
      <w:tr w:rsidR="00E96CC7" w:rsidRPr="004A331F" w14:paraId="36A19525" w14:textId="77777777" w:rsidTr="00E96CC7">
        <w:trPr>
          <w:cantSplit/>
          <w:jc w:val="center"/>
        </w:trPr>
        <w:tc>
          <w:tcPr>
            <w:tcW w:w="484" w:type="dxa"/>
            <w:tcBorders>
              <w:top w:val="nil"/>
              <w:left w:val="single" w:sz="4" w:space="0" w:color="auto"/>
              <w:bottom w:val="single" w:sz="4" w:space="0" w:color="auto"/>
              <w:right w:val="single" w:sz="4" w:space="0" w:color="auto"/>
            </w:tcBorders>
            <w:vAlign w:val="center"/>
          </w:tcPr>
          <w:p w14:paraId="0643A3C5" w14:textId="77777777" w:rsidR="00E96CC7" w:rsidRPr="004A331F" w:rsidRDefault="00E96CC7" w:rsidP="00E75336">
            <w:pPr>
              <w:pStyle w:val="Tabletext"/>
              <w:jc w:val="center"/>
              <w:rPr>
                <w:sz w:val="18"/>
                <w:szCs w:val="18"/>
                <w:lang w:eastAsia="en-GB"/>
              </w:rPr>
            </w:pPr>
            <w:r w:rsidRPr="004A331F">
              <w:rPr>
                <w:sz w:val="18"/>
                <w:szCs w:val="18"/>
                <w:lang w:eastAsia="en-GB"/>
              </w:rPr>
              <w:t>12</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6BEE7C67" w14:textId="7625A123" w:rsidR="00E96CC7" w:rsidRPr="004A331F" w:rsidRDefault="00C05633" w:rsidP="00E75336">
            <w:pPr>
              <w:pStyle w:val="Tabletext"/>
              <w:rPr>
                <w:sz w:val="18"/>
                <w:szCs w:val="18"/>
                <w:lang w:eastAsia="en-GB"/>
              </w:rPr>
            </w:pPr>
            <w:r w:rsidRPr="004A331F">
              <w:rPr>
                <w:sz w:val="18"/>
                <w:szCs w:val="18"/>
                <w:lang w:eastAsia="en-GB"/>
              </w:rPr>
              <w:t>Rapport sur l'analyse et l'examen des activités de formation et de renforcement des capacités actuellement menées par le Groupe sur les initiatives relatives au renforcement des capacités, l'Académie de l'UIT et les centres d'excellence, et sur la création possible d'un institut de renforcement des capacités à l'UIT</w:t>
            </w:r>
          </w:p>
        </w:tc>
        <w:tc>
          <w:tcPr>
            <w:tcW w:w="1418" w:type="dxa"/>
            <w:tcBorders>
              <w:top w:val="nil"/>
              <w:left w:val="nil"/>
              <w:bottom w:val="single" w:sz="4" w:space="0" w:color="auto"/>
              <w:right w:val="single" w:sz="4" w:space="0" w:color="auto"/>
            </w:tcBorders>
            <w:shd w:val="clear" w:color="auto" w:fill="auto"/>
            <w:vAlign w:val="center"/>
          </w:tcPr>
          <w:p w14:paraId="37277254" w14:textId="77777777" w:rsidR="00E96CC7" w:rsidRPr="004A331F" w:rsidRDefault="00E76E31" w:rsidP="00E75336">
            <w:pPr>
              <w:pStyle w:val="Tabletext"/>
              <w:jc w:val="center"/>
              <w:rPr>
                <w:b/>
                <w:bCs/>
                <w:sz w:val="18"/>
                <w:szCs w:val="18"/>
                <w:lang w:eastAsia="en-GB"/>
              </w:rPr>
            </w:pPr>
            <w:hyperlink r:id="rId83" w:history="1">
              <w:r w:rsidR="00E96CC7" w:rsidRPr="004A331F">
                <w:rPr>
                  <w:rStyle w:val="Hyperlink"/>
                  <w:b/>
                  <w:bCs/>
                  <w:sz w:val="18"/>
                  <w:szCs w:val="18"/>
                  <w:lang w:eastAsia="en-GB"/>
                </w:rPr>
                <w:t>C21/32</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7F59E48B" w14:textId="77777777" w:rsidR="00E96CC7" w:rsidRPr="004A331F" w:rsidRDefault="00E96CC7" w:rsidP="00E75336">
            <w:pPr>
              <w:pStyle w:val="Tabletext"/>
              <w:jc w:val="center"/>
              <w:rPr>
                <w:b/>
                <w:bCs/>
                <w:sz w:val="18"/>
                <w:szCs w:val="18"/>
                <w:lang w:eastAsia="en-GB"/>
              </w:rPr>
            </w:pPr>
            <w:r w:rsidRPr="004A331F">
              <w:rPr>
                <w:b/>
                <w:bCs/>
                <w:sz w:val="18"/>
                <w:szCs w:val="18"/>
                <w:lang w:eastAsia="en-GB"/>
              </w:rPr>
              <w:t>2</w:t>
            </w:r>
          </w:p>
        </w:tc>
      </w:tr>
      <w:tr w:rsidR="00E96CC7" w:rsidRPr="004A331F" w14:paraId="5F1EF9A9" w14:textId="77777777" w:rsidTr="00E96CC7">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6FE36E9A" w14:textId="77777777" w:rsidR="00E96CC7" w:rsidRPr="004A331F" w:rsidRDefault="00E96CC7" w:rsidP="00E75336">
            <w:pPr>
              <w:pStyle w:val="Tabletext"/>
              <w:jc w:val="center"/>
              <w:rPr>
                <w:sz w:val="18"/>
                <w:szCs w:val="18"/>
                <w:lang w:eastAsia="en-GB"/>
              </w:rPr>
            </w:pPr>
            <w:r w:rsidRPr="004A331F">
              <w:rPr>
                <w:sz w:val="18"/>
                <w:szCs w:val="18"/>
                <w:lang w:eastAsia="en-GB"/>
              </w:rPr>
              <w:t>13</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0316F2B3" w14:textId="3843C786" w:rsidR="00E96CC7" w:rsidRPr="004A331F" w:rsidRDefault="00C05633" w:rsidP="00E75336">
            <w:pPr>
              <w:pStyle w:val="Tabletext"/>
              <w:rPr>
                <w:sz w:val="18"/>
                <w:szCs w:val="18"/>
                <w:lang w:eastAsia="en-GB"/>
              </w:rPr>
            </w:pPr>
            <w:r w:rsidRPr="004A331F">
              <w:rPr>
                <w:bCs/>
                <w:sz w:val="18"/>
                <w:szCs w:val="18"/>
                <w:lang w:eastAsia="en-GB"/>
              </w:rPr>
              <w:t>Mesures prises par l'UIT concernant les conditions relatives à l'assistance médicale d'urgence sur place lors des conférences et des réunions de l'UIT se tenant à l'extérieur de Genève</w:t>
            </w:r>
          </w:p>
        </w:tc>
        <w:tc>
          <w:tcPr>
            <w:tcW w:w="1418" w:type="dxa"/>
            <w:tcBorders>
              <w:top w:val="nil"/>
              <w:left w:val="nil"/>
              <w:bottom w:val="single" w:sz="4" w:space="0" w:color="auto"/>
              <w:right w:val="single" w:sz="4" w:space="0" w:color="auto"/>
            </w:tcBorders>
            <w:shd w:val="clear" w:color="auto" w:fill="auto"/>
            <w:vAlign w:val="center"/>
          </w:tcPr>
          <w:p w14:paraId="22696E1C" w14:textId="77777777" w:rsidR="00E96CC7" w:rsidRPr="004A331F" w:rsidRDefault="00E76E31" w:rsidP="00E75336">
            <w:pPr>
              <w:pStyle w:val="Tabletext"/>
              <w:jc w:val="center"/>
              <w:rPr>
                <w:b/>
                <w:bCs/>
                <w:sz w:val="18"/>
                <w:szCs w:val="18"/>
                <w:lang w:eastAsia="en-GB"/>
              </w:rPr>
            </w:pPr>
            <w:hyperlink r:id="rId84" w:history="1">
              <w:r w:rsidR="00E96CC7" w:rsidRPr="004A331F">
                <w:rPr>
                  <w:rStyle w:val="Hyperlink"/>
                  <w:b/>
                  <w:bCs/>
                  <w:sz w:val="18"/>
                  <w:szCs w:val="18"/>
                  <w:lang w:eastAsia="en-GB"/>
                </w:rPr>
                <w:t>C21/31</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41B1DAAD" w14:textId="77777777" w:rsidR="00E96CC7" w:rsidRPr="004A331F" w:rsidRDefault="00E96CC7" w:rsidP="00E75336">
            <w:pPr>
              <w:pStyle w:val="Tabletext"/>
              <w:jc w:val="center"/>
              <w:rPr>
                <w:b/>
                <w:bCs/>
                <w:sz w:val="18"/>
                <w:szCs w:val="18"/>
                <w:lang w:eastAsia="en-GB"/>
              </w:rPr>
            </w:pPr>
            <w:r w:rsidRPr="004A331F">
              <w:rPr>
                <w:b/>
                <w:bCs/>
                <w:sz w:val="18"/>
                <w:szCs w:val="18"/>
                <w:lang w:eastAsia="en-GB"/>
              </w:rPr>
              <w:t>2</w:t>
            </w:r>
          </w:p>
        </w:tc>
      </w:tr>
      <w:tr w:rsidR="00E96CC7" w:rsidRPr="004A331F" w14:paraId="107DB59A" w14:textId="77777777" w:rsidTr="00E96CC7">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425CA7EE" w14:textId="77777777" w:rsidR="00E96CC7" w:rsidRPr="004A331F" w:rsidRDefault="00E96CC7" w:rsidP="00E75336">
            <w:pPr>
              <w:pStyle w:val="Tabletext"/>
              <w:jc w:val="center"/>
              <w:rPr>
                <w:sz w:val="18"/>
                <w:szCs w:val="18"/>
                <w:lang w:eastAsia="en-GB"/>
              </w:rPr>
            </w:pPr>
            <w:r w:rsidRPr="004A331F">
              <w:rPr>
                <w:sz w:val="18"/>
                <w:szCs w:val="18"/>
                <w:lang w:eastAsia="en-GB"/>
              </w:rPr>
              <w:t>14</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77A31FA3" w14:textId="42DC3DB6" w:rsidR="00E96CC7" w:rsidRPr="004A331F" w:rsidRDefault="00C05633" w:rsidP="00E75336">
            <w:pPr>
              <w:pStyle w:val="Tabletext"/>
              <w:rPr>
                <w:sz w:val="18"/>
                <w:szCs w:val="18"/>
              </w:rPr>
            </w:pPr>
            <w:r w:rsidRPr="004A331F">
              <w:rPr>
                <w:sz w:val="18"/>
                <w:szCs w:val="18"/>
              </w:rPr>
              <w:t>Résolutions et Décisions du Conseil devenues caduques</w:t>
            </w:r>
          </w:p>
        </w:tc>
        <w:tc>
          <w:tcPr>
            <w:tcW w:w="1418" w:type="dxa"/>
            <w:tcBorders>
              <w:top w:val="nil"/>
              <w:left w:val="nil"/>
              <w:bottom w:val="single" w:sz="4" w:space="0" w:color="auto"/>
              <w:right w:val="single" w:sz="4" w:space="0" w:color="auto"/>
            </w:tcBorders>
            <w:shd w:val="clear" w:color="auto" w:fill="auto"/>
            <w:vAlign w:val="center"/>
          </w:tcPr>
          <w:p w14:paraId="4801A9AC" w14:textId="77777777" w:rsidR="00E96CC7" w:rsidRPr="004A331F" w:rsidRDefault="00E76E31" w:rsidP="00E75336">
            <w:pPr>
              <w:pStyle w:val="Tabletext"/>
              <w:jc w:val="center"/>
              <w:rPr>
                <w:b/>
                <w:bCs/>
                <w:sz w:val="18"/>
                <w:szCs w:val="18"/>
                <w:lang w:eastAsia="en-GB"/>
              </w:rPr>
            </w:pPr>
            <w:hyperlink r:id="rId85" w:history="1">
              <w:r w:rsidR="00E96CC7" w:rsidRPr="004A331F">
                <w:rPr>
                  <w:rStyle w:val="Hyperlink"/>
                  <w:b/>
                  <w:bCs/>
                  <w:sz w:val="18"/>
                  <w:szCs w:val="18"/>
                  <w:lang w:eastAsia="en-GB"/>
                </w:rPr>
                <w:t>C21/3</w:t>
              </w:r>
            </w:hyperlink>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2D71643" w14:textId="77777777" w:rsidR="00E96CC7" w:rsidRPr="004A331F" w:rsidRDefault="00E96CC7" w:rsidP="00E75336">
            <w:pPr>
              <w:pStyle w:val="Tabletext"/>
              <w:jc w:val="center"/>
              <w:rPr>
                <w:b/>
                <w:bCs/>
                <w:sz w:val="18"/>
                <w:szCs w:val="18"/>
                <w:lang w:eastAsia="en-GB"/>
              </w:rPr>
            </w:pPr>
            <w:r w:rsidRPr="004A331F">
              <w:rPr>
                <w:b/>
                <w:bCs/>
                <w:sz w:val="18"/>
                <w:szCs w:val="18"/>
                <w:lang w:eastAsia="en-GB"/>
              </w:rPr>
              <w:t>2</w:t>
            </w:r>
          </w:p>
        </w:tc>
      </w:tr>
    </w:tbl>
    <w:p w14:paraId="3B2A7559" w14:textId="1249F9E4" w:rsidR="00C05633" w:rsidRPr="004A331F" w:rsidRDefault="00C05633" w:rsidP="00E75336">
      <w:pPr>
        <w:spacing w:line="240" w:lineRule="auto"/>
      </w:pPr>
      <w:r w:rsidRPr="004A331F">
        <w:br w:type="page"/>
      </w:r>
    </w:p>
    <w:p w14:paraId="3B044E49" w14:textId="49CF8B34" w:rsidR="00E96CC7" w:rsidRPr="004A331F" w:rsidRDefault="00920B2E" w:rsidP="00E75336">
      <w:pPr>
        <w:pStyle w:val="AnnexNoTitle"/>
        <w:spacing w:line="240" w:lineRule="auto"/>
      </w:pPr>
      <w:r w:rsidRPr="004A331F">
        <w:lastRenderedPageBreak/>
        <w:t>ANNEXE 3</w:t>
      </w:r>
      <w:bookmarkStart w:id="6" w:name="CurrentLocation"/>
      <w:bookmarkStart w:id="7" w:name="Annexe3"/>
      <w:bookmarkEnd w:id="6"/>
      <w:bookmarkEnd w:id="7"/>
      <w:r w:rsidR="00C05633" w:rsidRPr="004A331F">
        <w:br/>
      </w:r>
      <w:r w:rsidR="00C05633" w:rsidRPr="004A331F">
        <w:br/>
        <w:t>Modèle pour les contributions des États Membres</w:t>
      </w:r>
    </w:p>
    <w:tbl>
      <w:tblPr>
        <w:tblW w:w="10031" w:type="dxa"/>
        <w:tblLayout w:type="fixed"/>
        <w:tblLook w:val="0000" w:firstRow="0" w:lastRow="0" w:firstColumn="0" w:lastColumn="0" w:noHBand="0" w:noVBand="0"/>
      </w:tblPr>
      <w:tblGrid>
        <w:gridCol w:w="6911"/>
        <w:gridCol w:w="3120"/>
      </w:tblGrid>
      <w:tr w:rsidR="00C05633" w:rsidRPr="004A331F" w14:paraId="746EC009" w14:textId="77777777" w:rsidTr="00F51BED">
        <w:trPr>
          <w:cantSplit/>
          <w:trHeight w:val="1276"/>
        </w:trPr>
        <w:tc>
          <w:tcPr>
            <w:tcW w:w="6911" w:type="dxa"/>
          </w:tcPr>
          <w:p w14:paraId="463436B9" w14:textId="48B182A8" w:rsidR="00C05633" w:rsidRPr="004A331F" w:rsidRDefault="00C05633" w:rsidP="00E75336">
            <w:pPr>
              <w:spacing w:before="360" w:after="48" w:line="240" w:lineRule="auto"/>
              <w:jc w:val="left"/>
              <w:rPr>
                <w:position w:val="6"/>
              </w:rPr>
            </w:pPr>
            <w:bookmarkStart w:id="8" w:name="dc06"/>
            <w:bookmarkEnd w:id="8"/>
            <w:r w:rsidRPr="004A331F">
              <w:rPr>
                <w:b/>
                <w:bCs/>
                <w:position w:val="6"/>
                <w:sz w:val="30"/>
                <w:szCs w:val="30"/>
              </w:rPr>
              <w:t>Conseil 2021</w:t>
            </w:r>
            <w:r w:rsidRPr="004A331F">
              <w:rPr>
                <w:b/>
                <w:bCs/>
                <w:position w:val="6"/>
                <w:sz w:val="30"/>
                <w:szCs w:val="30"/>
              </w:rPr>
              <w:br/>
              <w:t>Consultation virtuelle des Conseillers, 8-18 juin 2021</w:t>
            </w:r>
          </w:p>
        </w:tc>
        <w:tc>
          <w:tcPr>
            <w:tcW w:w="3120" w:type="dxa"/>
            <w:vAlign w:val="center"/>
          </w:tcPr>
          <w:p w14:paraId="5C24376A" w14:textId="77777777" w:rsidR="00C05633" w:rsidRPr="004A331F" w:rsidRDefault="00C05633" w:rsidP="00E75336">
            <w:pPr>
              <w:spacing w:before="0" w:line="240" w:lineRule="auto"/>
            </w:pPr>
            <w:bookmarkStart w:id="9" w:name="ditulogo"/>
            <w:bookmarkEnd w:id="9"/>
            <w:r w:rsidRPr="004A331F">
              <w:rPr>
                <w:noProof/>
                <w:lang w:val="en-US"/>
              </w:rPr>
              <w:drawing>
                <wp:inline distT="0" distB="0" distL="0" distR="0" wp14:anchorId="246A7844" wp14:editId="23949834">
                  <wp:extent cx="682402" cy="720000"/>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05633" w:rsidRPr="004A331F" w14:paraId="64896F99" w14:textId="77777777" w:rsidTr="00F51BED">
        <w:trPr>
          <w:cantSplit/>
        </w:trPr>
        <w:tc>
          <w:tcPr>
            <w:tcW w:w="6911" w:type="dxa"/>
            <w:tcBorders>
              <w:bottom w:val="single" w:sz="12" w:space="0" w:color="auto"/>
            </w:tcBorders>
          </w:tcPr>
          <w:p w14:paraId="57CA1400" w14:textId="77777777" w:rsidR="00C05633" w:rsidRPr="004A331F" w:rsidRDefault="00C05633" w:rsidP="00E75336">
            <w:pPr>
              <w:spacing w:before="0" w:line="240" w:lineRule="auto"/>
              <w:rPr>
                <w:b/>
                <w:smallCaps/>
                <w:szCs w:val="24"/>
              </w:rPr>
            </w:pPr>
          </w:p>
        </w:tc>
        <w:tc>
          <w:tcPr>
            <w:tcW w:w="3120" w:type="dxa"/>
            <w:tcBorders>
              <w:bottom w:val="single" w:sz="12" w:space="0" w:color="auto"/>
            </w:tcBorders>
          </w:tcPr>
          <w:p w14:paraId="7E6E3237" w14:textId="77777777" w:rsidR="00C05633" w:rsidRPr="004A331F" w:rsidRDefault="00C05633" w:rsidP="00E75336">
            <w:pPr>
              <w:spacing w:before="0" w:line="240" w:lineRule="auto"/>
              <w:rPr>
                <w:szCs w:val="24"/>
              </w:rPr>
            </w:pPr>
          </w:p>
        </w:tc>
      </w:tr>
      <w:tr w:rsidR="00C05633" w:rsidRPr="004A331F" w14:paraId="5C0DD45F" w14:textId="77777777" w:rsidTr="00F51BED">
        <w:trPr>
          <w:cantSplit/>
        </w:trPr>
        <w:tc>
          <w:tcPr>
            <w:tcW w:w="6911" w:type="dxa"/>
            <w:tcBorders>
              <w:top w:val="single" w:sz="12" w:space="0" w:color="auto"/>
            </w:tcBorders>
          </w:tcPr>
          <w:p w14:paraId="078B3819" w14:textId="77777777" w:rsidR="00C05633" w:rsidRPr="004A331F" w:rsidRDefault="00C05633" w:rsidP="00E75336">
            <w:pPr>
              <w:spacing w:before="0" w:line="240" w:lineRule="auto"/>
              <w:rPr>
                <w:b/>
                <w:smallCaps/>
                <w:szCs w:val="24"/>
              </w:rPr>
            </w:pPr>
          </w:p>
        </w:tc>
        <w:tc>
          <w:tcPr>
            <w:tcW w:w="3120" w:type="dxa"/>
            <w:tcBorders>
              <w:top w:val="single" w:sz="12" w:space="0" w:color="auto"/>
            </w:tcBorders>
          </w:tcPr>
          <w:p w14:paraId="02F3BFB2" w14:textId="77777777" w:rsidR="00C05633" w:rsidRPr="004A331F" w:rsidRDefault="00C05633" w:rsidP="00E75336">
            <w:pPr>
              <w:spacing w:before="0" w:line="240" w:lineRule="auto"/>
              <w:rPr>
                <w:szCs w:val="24"/>
              </w:rPr>
            </w:pPr>
          </w:p>
        </w:tc>
      </w:tr>
      <w:tr w:rsidR="00C05633" w:rsidRPr="004A331F" w14:paraId="6394B23C" w14:textId="77777777" w:rsidTr="00F51BED">
        <w:trPr>
          <w:cantSplit/>
          <w:trHeight w:val="23"/>
        </w:trPr>
        <w:tc>
          <w:tcPr>
            <w:tcW w:w="6911" w:type="dxa"/>
            <w:vMerge w:val="restart"/>
          </w:tcPr>
          <w:p w14:paraId="19993003" w14:textId="3D72FA80" w:rsidR="00C05633" w:rsidRPr="004A331F" w:rsidRDefault="00C05633" w:rsidP="00E75336">
            <w:pPr>
              <w:tabs>
                <w:tab w:val="left" w:pos="851"/>
              </w:tabs>
              <w:spacing w:before="0" w:line="240" w:lineRule="auto"/>
              <w:rPr>
                <w:b/>
                <w:sz w:val="24"/>
                <w:szCs w:val="24"/>
              </w:rPr>
            </w:pPr>
            <w:bookmarkStart w:id="10" w:name="dmeeting" w:colFirst="0" w:colLast="0"/>
            <w:bookmarkStart w:id="11" w:name="dnum" w:colFirst="1" w:colLast="1"/>
            <w:r w:rsidRPr="004A331F">
              <w:rPr>
                <w:b/>
                <w:bCs/>
                <w:sz w:val="24"/>
                <w:szCs w:val="24"/>
              </w:rPr>
              <w:t xml:space="preserve">Point de l'ordre du </w:t>
            </w:r>
            <w:proofErr w:type="gramStart"/>
            <w:r w:rsidRPr="004A331F">
              <w:rPr>
                <w:b/>
                <w:bCs/>
                <w:sz w:val="24"/>
                <w:szCs w:val="24"/>
              </w:rPr>
              <w:t>jour:</w:t>
            </w:r>
            <w:proofErr w:type="gramEnd"/>
            <w:r w:rsidRPr="004A331F">
              <w:rPr>
                <w:b/>
                <w:bCs/>
                <w:sz w:val="24"/>
                <w:szCs w:val="24"/>
              </w:rPr>
              <w:t xml:space="preserve"> </w:t>
            </w:r>
            <w:r w:rsidRPr="004A331F">
              <w:rPr>
                <w:b/>
                <w:sz w:val="24"/>
                <w:szCs w:val="24"/>
              </w:rPr>
              <w:t>xx</w:t>
            </w:r>
          </w:p>
        </w:tc>
        <w:tc>
          <w:tcPr>
            <w:tcW w:w="3120" w:type="dxa"/>
          </w:tcPr>
          <w:p w14:paraId="24D391FF" w14:textId="7B5654DE" w:rsidR="00C05633" w:rsidRPr="004A331F" w:rsidRDefault="00C05633" w:rsidP="00E75336">
            <w:pPr>
              <w:tabs>
                <w:tab w:val="left" w:pos="851"/>
              </w:tabs>
              <w:spacing w:before="0" w:line="240" w:lineRule="auto"/>
              <w:rPr>
                <w:b/>
                <w:sz w:val="24"/>
                <w:szCs w:val="24"/>
              </w:rPr>
            </w:pPr>
            <w:r w:rsidRPr="004A331F">
              <w:rPr>
                <w:b/>
                <w:sz w:val="24"/>
                <w:szCs w:val="24"/>
              </w:rPr>
              <w:t>Document C21/xx-</w:t>
            </w:r>
            <w:r w:rsidR="004A331F" w:rsidRPr="004A331F">
              <w:rPr>
                <w:b/>
                <w:sz w:val="24"/>
                <w:szCs w:val="24"/>
              </w:rPr>
              <w:t>F</w:t>
            </w:r>
          </w:p>
        </w:tc>
      </w:tr>
      <w:tr w:rsidR="00C05633" w:rsidRPr="004A331F" w14:paraId="70F34091" w14:textId="77777777" w:rsidTr="00F51BED">
        <w:trPr>
          <w:cantSplit/>
          <w:trHeight w:val="23"/>
        </w:trPr>
        <w:tc>
          <w:tcPr>
            <w:tcW w:w="6911" w:type="dxa"/>
            <w:vMerge/>
          </w:tcPr>
          <w:p w14:paraId="5A869664" w14:textId="77777777" w:rsidR="00C05633" w:rsidRPr="004A331F" w:rsidRDefault="00C05633" w:rsidP="00E75336">
            <w:pPr>
              <w:tabs>
                <w:tab w:val="left" w:pos="851"/>
              </w:tabs>
              <w:spacing w:line="240" w:lineRule="auto"/>
              <w:rPr>
                <w:b/>
              </w:rPr>
            </w:pPr>
            <w:bookmarkStart w:id="12" w:name="ddate" w:colFirst="1" w:colLast="1"/>
            <w:bookmarkEnd w:id="10"/>
            <w:bookmarkEnd w:id="11"/>
          </w:p>
        </w:tc>
        <w:tc>
          <w:tcPr>
            <w:tcW w:w="3120" w:type="dxa"/>
          </w:tcPr>
          <w:p w14:paraId="7844580F" w14:textId="77777777" w:rsidR="00C05633" w:rsidRPr="004A331F" w:rsidRDefault="00C05633" w:rsidP="00E75336">
            <w:pPr>
              <w:tabs>
                <w:tab w:val="left" w:pos="993"/>
              </w:tabs>
              <w:spacing w:before="0" w:line="240" w:lineRule="auto"/>
              <w:rPr>
                <w:b/>
                <w:sz w:val="24"/>
                <w:szCs w:val="24"/>
              </w:rPr>
            </w:pPr>
            <w:proofErr w:type="gramStart"/>
            <w:r w:rsidRPr="004A331F">
              <w:rPr>
                <w:b/>
                <w:sz w:val="24"/>
                <w:szCs w:val="24"/>
              </w:rPr>
              <w:t>x</w:t>
            </w:r>
            <w:proofErr w:type="gramEnd"/>
            <w:r w:rsidRPr="004A331F">
              <w:rPr>
                <w:b/>
                <w:sz w:val="24"/>
                <w:szCs w:val="24"/>
              </w:rPr>
              <w:t xml:space="preserve"> xxxxxx 2021</w:t>
            </w:r>
          </w:p>
        </w:tc>
      </w:tr>
      <w:tr w:rsidR="00C05633" w:rsidRPr="004A331F" w14:paraId="2615C5A5" w14:textId="77777777" w:rsidTr="00F51BED">
        <w:trPr>
          <w:cantSplit/>
          <w:trHeight w:val="23"/>
        </w:trPr>
        <w:tc>
          <w:tcPr>
            <w:tcW w:w="6911" w:type="dxa"/>
            <w:vMerge/>
          </w:tcPr>
          <w:p w14:paraId="3F00E41A" w14:textId="77777777" w:rsidR="00C05633" w:rsidRPr="004A331F" w:rsidRDefault="00C05633" w:rsidP="00E75336">
            <w:pPr>
              <w:tabs>
                <w:tab w:val="left" w:pos="851"/>
              </w:tabs>
              <w:spacing w:line="240" w:lineRule="auto"/>
              <w:rPr>
                <w:b/>
              </w:rPr>
            </w:pPr>
            <w:bookmarkStart w:id="13" w:name="dorlang" w:colFirst="1" w:colLast="1"/>
            <w:bookmarkEnd w:id="12"/>
          </w:p>
        </w:tc>
        <w:tc>
          <w:tcPr>
            <w:tcW w:w="3120" w:type="dxa"/>
          </w:tcPr>
          <w:p w14:paraId="203B82CD" w14:textId="684F9066" w:rsidR="00C05633" w:rsidRPr="004A331F" w:rsidRDefault="00C05633" w:rsidP="00E75336">
            <w:pPr>
              <w:tabs>
                <w:tab w:val="left" w:pos="993"/>
              </w:tabs>
              <w:spacing w:before="0" w:line="240" w:lineRule="auto"/>
              <w:rPr>
                <w:b/>
                <w:sz w:val="24"/>
                <w:szCs w:val="24"/>
              </w:rPr>
            </w:pPr>
            <w:proofErr w:type="gramStart"/>
            <w:r w:rsidRPr="004A331F">
              <w:rPr>
                <w:b/>
                <w:sz w:val="24"/>
                <w:szCs w:val="24"/>
              </w:rPr>
              <w:t>Original:</w:t>
            </w:r>
            <w:proofErr w:type="gramEnd"/>
            <w:r w:rsidRPr="004A331F">
              <w:rPr>
                <w:b/>
                <w:sz w:val="24"/>
                <w:szCs w:val="24"/>
              </w:rPr>
              <w:t xml:space="preserve"> anglais</w:t>
            </w:r>
          </w:p>
        </w:tc>
      </w:tr>
      <w:tr w:rsidR="00C05633" w:rsidRPr="004A331F" w14:paraId="7DFE376A" w14:textId="77777777" w:rsidTr="00F51BED">
        <w:trPr>
          <w:cantSplit/>
        </w:trPr>
        <w:tc>
          <w:tcPr>
            <w:tcW w:w="10031" w:type="dxa"/>
            <w:gridSpan w:val="2"/>
          </w:tcPr>
          <w:p w14:paraId="2C4C163F" w14:textId="2A537B4F" w:rsidR="00C05633" w:rsidRPr="004A331F" w:rsidRDefault="005E3E4D" w:rsidP="00E75336">
            <w:pPr>
              <w:pStyle w:val="Source"/>
              <w:spacing w:line="240" w:lineRule="auto"/>
            </w:pPr>
            <w:bookmarkStart w:id="14" w:name="dsource" w:colFirst="0" w:colLast="0"/>
            <w:bookmarkEnd w:id="13"/>
            <w:r w:rsidRPr="004A331F">
              <w:t>Origine</w:t>
            </w:r>
          </w:p>
        </w:tc>
      </w:tr>
      <w:tr w:rsidR="00C05633" w:rsidRPr="004A331F" w14:paraId="61696C3E" w14:textId="77777777" w:rsidTr="00F51BED">
        <w:trPr>
          <w:cantSplit/>
        </w:trPr>
        <w:tc>
          <w:tcPr>
            <w:tcW w:w="10031" w:type="dxa"/>
            <w:gridSpan w:val="2"/>
          </w:tcPr>
          <w:p w14:paraId="1CA0D71E" w14:textId="3A59F029" w:rsidR="00C05633" w:rsidRPr="004A331F" w:rsidRDefault="00C05633" w:rsidP="00E75336">
            <w:pPr>
              <w:pStyle w:val="Title1"/>
              <w:spacing w:line="240" w:lineRule="auto"/>
            </w:pPr>
            <w:bookmarkStart w:id="15" w:name="dtitle1" w:colFirst="0" w:colLast="0"/>
            <w:bookmarkEnd w:id="14"/>
            <w:r w:rsidRPr="004A331F">
              <w:t>TitRE</w:t>
            </w:r>
          </w:p>
        </w:tc>
      </w:tr>
      <w:bookmarkEnd w:id="15"/>
    </w:tbl>
    <w:p w14:paraId="36DA15E0" w14:textId="67860C5D" w:rsidR="00C05633" w:rsidRPr="004A331F" w:rsidRDefault="00C05633" w:rsidP="00E75336">
      <w:pPr>
        <w:spacing w:line="240" w:lineRule="auto"/>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05633" w:rsidRPr="004A331F" w14:paraId="6D07F742" w14:textId="77777777" w:rsidTr="00F51BED">
        <w:trPr>
          <w:trHeight w:val="3372"/>
        </w:trPr>
        <w:tc>
          <w:tcPr>
            <w:tcW w:w="8080" w:type="dxa"/>
            <w:tcBorders>
              <w:top w:val="single" w:sz="12" w:space="0" w:color="auto"/>
              <w:left w:val="single" w:sz="12" w:space="0" w:color="auto"/>
              <w:bottom w:val="single" w:sz="12" w:space="0" w:color="auto"/>
              <w:right w:val="single" w:sz="12" w:space="0" w:color="auto"/>
            </w:tcBorders>
          </w:tcPr>
          <w:p w14:paraId="395360FC" w14:textId="77777777" w:rsidR="00C05633" w:rsidRPr="004A331F" w:rsidRDefault="00C05633" w:rsidP="00E75336">
            <w:pPr>
              <w:pStyle w:val="Headingb"/>
              <w:spacing w:line="240" w:lineRule="auto"/>
            </w:pPr>
            <w:r w:rsidRPr="004A331F">
              <w:t>Résumé</w:t>
            </w:r>
          </w:p>
          <w:p w14:paraId="4EBC73CB" w14:textId="77777777" w:rsidR="00C05633" w:rsidRPr="004A331F" w:rsidRDefault="00C05633" w:rsidP="00E75336">
            <w:pPr>
              <w:spacing w:line="240" w:lineRule="auto"/>
            </w:pPr>
          </w:p>
          <w:p w14:paraId="2EB32131" w14:textId="77777777" w:rsidR="00C05633" w:rsidRPr="004A331F" w:rsidRDefault="00C05633" w:rsidP="00E75336">
            <w:pPr>
              <w:pStyle w:val="Headingb"/>
              <w:spacing w:line="240" w:lineRule="auto"/>
            </w:pPr>
            <w:proofErr w:type="gramStart"/>
            <w:r w:rsidRPr="004A331F">
              <w:t>Suite à</w:t>
            </w:r>
            <w:proofErr w:type="gramEnd"/>
            <w:r w:rsidRPr="004A331F">
              <w:t xml:space="preserve"> donner</w:t>
            </w:r>
          </w:p>
          <w:p w14:paraId="290D249A" w14:textId="77777777" w:rsidR="00C05633" w:rsidRPr="004A331F" w:rsidRDefault="00C05633" w:rsidP="00E75336">
            <w:pPr>
              <w:spacing w:line="240" w:lineRule="auto"/>
            </w:pPr>
          </w:p>
          <w:p w14:paraId="7841EC94" w14:textId="77777777" w:rsidR="00C05633" w:rsidRPr="004A331F" w:rsidRDefault="00C05633" w:rsidP="00E75336">
            <w:pPr>
              <w:pStyle w:val="Table"/>
              <w:keepNext w:val="0"/>
              <w:spacing w:before="0" w:after="0"/>
              <w:rPr>
                <w:rFonts w:ascii="Calibri" w:hAnsi="Calibri"/>
                <w:caps w:val="0"/>
                <w:sz w:val="22"/>
                <w:lang w:val="fr-FR"/>
              </w:rPr>
            </w:pPr>
            <w:r w:rsidRPr="004A331F">
              <w:rPr>
                <w:rFonts w:ascii="Calibri" w:hAnsi="Calibri"/>
                <w:caps w:val="0"/>
                <w:sz w:val="22"/>
                <w:lang w:val="fr-FR"/>
              </w:rPr>
              <w:t>____________</w:t>
            </w:r>
          </w:p>
          <w:p w14:paraId="141DD24B" w14:textId="77777777" w:rsidR="00C05633" w:rsidRPr="004A331F" w:rsidRDefault="00C05633" w:rsidP="00E75336">
            <w:pPr>
              <w:pStyle w:val="Headingb"/>
              <w:spacing w:line="240" w:lineRule="auto"/>
            </w:pPr>
            <w:r w:rsidRPr="004A331F">
              <w:t>Références</w:t>
            </w:r>
          </w:p>
          <w:p w14:paraId="571949B5" w14:textId="77777777" w:rsidR="00C05633" w:rsidRPr="004A331F" w:rsidRDefault="00C05633" w:rsidP="00E75336">
            <w:pPr>
              <w:spacing w:after="120" w:line="240" w:lineRule="auto"/>
              <w:rPr>
                <w:i/>
                <w:iCs/>
              </w:rPr>
            </w:pPr>
          </w:p>
          <w:p w14:paraId="002D8305" w14:textId="77777777" w:rsidR="00C05633" w:rsidRPr="004A331F" w:rsidRDefault="00C05633" w:rsidP="00E75336">
            <w:pPr>
              <w:spacing w:after="120" w:line="240" w:lineRule="auto"/>
              <w:rPr>
                <w:i/>
                <w:iCs/>
              </w:rPr>
            </w:pPr>
          </w:p>
        </w:tc>
      </w:tr>
    </w:tbl>
    <w:p w14:paraId="16962711" w14:textId="77777777" w:rsidR="009D2F70" w:rsidRDefault="009D2F70" w:rsidP="00E75336">
      <w:pPr>
        <w:spacing w:before="360" w:line="240" w:lineRule="auto"/>
        <w:jc w:val="center"/>
      </w:pPr>
    </w:p>
    <w:p w14:paraId="0950341A" w14:textId="5B42391E" w:rsidR="00920B2E" w:rsidRPr="004A331F" w:rsidRDefault="00920B2E" w:rsidP="00E75336">
      <w:pPr>
        <w:spacing w:before="360" w:line="240" w:lineRule="auto"/>
        <w:jc w:val="center"/>
      </w:pPr>
      <w:r w:rsidRPr="004A331F">
        <w:t>______________</w:t>
      </w:r>
    </w:p>
    <w:sectPr w:rsidR="00920B2E" w:rsidRPr="004A331F" w:rsidSect="000A249C">
      <w:headerReference w:type="even" r:id="rId87"/>
      <w:headerReference w:type="default" r:id="rId88"/>
      <w:headerReference w:type="first" r:id="rId89"/>
      <w:footerReference w:type="first" r:id="rId90"/>
      <w:pgSz w:w="11907" w:h="16834" w:code="9"/>
      <w:pgMar w:top="1418" w:right="1134" w:bottom="1418" w:left="113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9096" w14:textId="77777777" w:rsidR="00017653" w:rsidRDefault="00017653">
      <w:r>
        <w:separator/>
      </w:r>
    </w:p>
  </w:endnote>
  <w:endnote w:type="continuationSeparator" w:id="0">
    <w:p w14:paraId="71AD3B61" w14:textId="77777777" w:rsidR="00017653" w:rsidRDefault="0001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F575F" w14:textId="34DE8330" w:rsidR="00017653" w:rsidRPr="00877C1B" w:rsidRDefault="00017653" w:rsidP="00F914DD">
    <w:pPr>
      <w:pStyle w:val="FirstFooter"/>
      <w:spacing w:line="240" w:lineRule="auto"/>
      <w:ind w:left="-397" w:right="-397"/>
      <w:jc w:val="center"/>
      <w:rPr>
        <w:color w:val="3E8EDE"/>
        <w:sz w:val="18"/>
        <w:szCs w:val="18"/>
        <w:lang w:val="fr-CH"/>
      </w:rPr>
    </w:pPr>
    <w:r w:rsidRPr="00877C1B">
      <w:rPr>
        <w:color w:val="3E8EDE"/>
        <w:sz w:val="18"/>
        <w:szCs w:val="18"/>
        <w:lang w:val="fr-CH"/>
      </w:rPr>
      <w:t xml:space="preserve">Union internationale des télécommunications </w:t>
    </w:r>
    <w:r w:rsidRPr="00FB65BC">
      <w:rPr>
        <w:color w:val="3E8EDE"/>
        <w:sz w:val="18"/>
        <w:szCs w:val="18"/>
        <w:lang w:val="fr-CH"/>
      </w:rPr>
      <w:t>•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 xml:space="preserve">1211 </w:t>
    </w:r>
    <w:r w:rsidRPr="00877C1B">
      <w:rPr>
        <w:color w:val="3E8EDE"/>
        <w:sz w:val="18"/>
        <w:szCs w:val="18"/>
        <w:lang w:val="fr-CH"/>
      </w:rPr>
      <w:t xml:space="preserve">Genève </w:t>
    </w:r>
    <w:r w:rsidRPr="00FB65BC">
      <w:rPr>
        <w:color w:val="3E8EDE"/>
        <w:sz w:val="18"/>
        <w:szCs w:val="18"/>
        <w:lang w:val="fr-CH"/>
      </w:rPr>
      <w:t>20</w:t>
    </w:r>
    <w:r>
      <w:rPr>
        <w:color w:val="3E8EDE"/>
        <w:sz w:val="18"/>
        <w:szCs w:val="18"/>
        <w:lang w:val="fr-CH"/>
      </w:rPr>
      <w:t>,</w:t>
    </w:r>
    <w:r w:rsidRPr="00FB65BC">
      <w:rPr>
        <w:color w:val="3E8EDE"/>
        <w:sz w:val="18"/>
        <w:szCs w:val="18"/>
        <w:lang w:val="fr-CH"/>
      </w:rPr>
      <w:t xml:space="preserve"> </w:t>
    </w:r>
    <w:r w:rsidRPr="00877C1B">
      <w:rPr>
        <w:color w:val="3E8EDE"/>
        <w:sz w:val="18"/>
        <w:szCs w:val="18"/>
        <w:lang w:val="fr-CH"/>
      </w:rPr>
      <w:t>Suisse</w:t>
    </w:r>
    <w:r w:rsidRPr="00FB65BC">
      <w:rPr>
        <w:color w:val="3E8EDE"/>
        <w:sz w:val="18"/>
        <w:szCs w:val="18"/>
        <w:lang w:val="fr-CH"/>
      </w:rPr>
      <w:br/>
    </w:r>
    <w:proofErr w:type="gramStart"/>
    <w:r w:rsidRPr="00FB65BC">
      <w:rPr>
        <w:color w:val="3E8EDE"/>
        <w:sz w:val="18"/>
        <w:szCs w:val="18"/>
        <w:lang w:val="fr-CH"/>
      </w:rPr>
      <w:t>T</w:t>
    </w:r>
    <w:r>
      <w:rPr>
        <w:color w:val="3E8EDE"/>
        <w:sz w:val="18"/>
        <w:szCs w:val="18"/>
        <w:lang w:val="fr-CH"/>
      </w:rPr>
      <w:t>é</w:t>
    </w:r>
    <w:r w:rsidRPr="00FB65BC">
      <w:rPr>
        <w:color w:val="3E8EDE"/>
        <w:sz w:val="18"/>
        <w:szCs w:val="18"/>
        <w:lang w:val="fr-CH"/>
      </w:rPr>
      <w:t>l</w:t>
    </w:r>
    <w:r>
      <w:rPr>
        <w:color w:val="3E8EDE"/>
        <w:sz w:val="18"/>
        <w:szCs w:val="18"/>
        <w:lang w:val="fr-CH"/>
      </w:rPr>
      <w:t>.</w:t>
    </w:r>
    <w:r w:rsidRPr="00FB65BC">
      <w:rPr>
        <w:color w:val="3E8EDE"/>
        <w:sz w:val="18"/>
        <w:szCs w:val="18"/>
        <w:lang w:val="fr-CH"/>
      </w:rPr>
      <w:t>:</w:t>
    </w:r>
    <w:proofErr w:type="gramEnd"/>
    <w:r w:rsidRPr="00FB65BC">
      <w:rPr>
        <w:color w:val="3E8EDE"/>
        <w:sz w:val="18"/>
        <w:szCs w:val="18"/>
        <w:lang w:val="fr-CH"/>
      </w:rPr>
      <w:t xml:space="preserve"> +41 22 730 5111 • Fax: +41 22 733 7256 • </w:t>
    </w:r>
    <w:r w:rsidRPr="00877C1B">
      <w:rPr>
        <w:color w:val="3E8EDE"/>
        <w:sz w:val="18"/>
        <w:szCs w:val="18"/>
        <w:lang w:val="fr-CH"/>
      </w:rPr>
      <w:t>Courriel</w:t>
    </w:r>
    <w:r w:rsidRPr="00FB65BC">
      <w:rPr>
        <w:color w:val="3E8EDE"/>
        <w:sz w:val="18"/>
        <w:szCs w:val="18"/>
        <w:lang w:val="fr-CH"/>
      </w:rPr>
      <w:t xml:space="preserve">: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BE3D7" w14:textId="77777777" w:rsidR="00017653" w:rsidRDefault="00017653">
      <w:r>
        <w:t>____________________</w:t>
      </w:r>
    </w:p>
  </w:footnote>
  <w:footnote w:type="continuationSeparator" w:id="0">
    <w:p w14:paraId="276F16F0" w14:textId="77777777" w:rsidR="00017653" w:rsidRDefault="0001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 w:val="18"/>
        <w:szCs w:val="18"/>
      </w:rPr>
      <w:id w:val="-1093086667"/>
      <w:docPartObj>
        <w:docPartGallery w:val="Page Numbers (Top of Page)"/>
        <w:docPartUnique/>
      </w:docPartObj>
    </w:sdtPr>
    <w:sdtEndPr/>
    <w:sdtContent>
      <w:p w14:paraId="32D37226" w14:textId="77777777" w:rsidR="00017653" w:rsidRPr="004E4D57" w:rsidRDefault="00017653" w:rsidP="000A249C">
        <w:pPr>
          <w:pStyle w:val="Header"/>
          <w:jc w:val="center"/>
          <w:rPr>
            <w:noProof/>
            <w:sz w:val="18"/>
            <w:szCs w:val="18"/>
          </w:rPr>
        </w:pPr>
        <w:r w:rsidRPr="004E4D57">
          <w:rPr>
            <w:noProof/>
            <w:sz w:val="18"/>
            <w:szCs w:val="18"/>
          </w:rPr>
          <w:fldChar w:fldCharType="begin"/>
        </w:r>
        <w:r w:rsidRPr="004E4D57">
          <w:rPr>
            <w:noProof/>
            <w:sz w:val="18"/>
            <w:szCs w:val="18"/>
          </w:rPr>
          <w:instrText xml:space="preserve"> PAGE   \* MERGEFORMAT </w:instrText>
        </w:r>
        <w:r w:rsidRPr="004E4D57">
          <w:rPr>
            <w:noProof/>
            <w:sz w:val="18"/>
            <w:szCs w:val="18"/>
          </w:rPr>
          <w:fldChar w:fldCharType="separate"/>
        </w:r>
        <w:r>
          <w:rPr>
            <w:noProof/>
            <w:sz w:val="18"/>
            <w:szCs w:val="18"/>
          </w:rPr>
          <w:t>2</w:t>
        </w:r>
        <w:r w:rsidRPr="004E4D5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D5FF5" w14:textId="7C7E265D" w:rsidR="00017653" w:rsidRPr="000A249C" w:rsidRDefault="00017653" w:rsidP="000A249C">
    <w:pPr>
      <w:pStyle w:val="Header"/>
      <w:jc w:val="center"/>
      <w:rPr>
        <w:sz w:val="18"/>
        <w:szCs w:val="18"/>
      </w:rPr>
    </w:pPr>
    <w:r w:rsidRPr="000A249C">
      <w:rPr>
        <w:sz w:val="18"/>
        <w:szCs w:val="18"/>
      </w:rPr>
      <w:fldChar w:fldCharType="begin"/>
    </w:r>
    <w:r w:rsidRPr="000A249C">
      <w:rPr>
        <w:sz w:val="18"/>
        <w:szCs w:val="18"/>
      </w:rPr>
      <w:instrText xml:space="preserve"> PAGE  \* MERGEFORMAT </w:instrText>
    </w:r>
    <w:r w:rsidRPr="000A249C">
      <w:rPr>
        <w:sz w:val="18"/>
        <w:szCs w:val="18"/>
      </w:rPr>
      <w:fldChar w:fldCharType="separate"/>
    </w:r>
    <w:r w:rsidR="00D15455">
      <w:rPr>
        <w:noProof/>
        <w:sz w:val="18"/>
        <w:szCs w:val="18"/>
      </w:rPr>
      <w:t>7</w:t>
    </w:r>
    <w:r w:rsidRPr="000A249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017653" w:rsidRPr="00940351" w14:paraId="6818A9CD" w14:textId="77777777" w:rsidTr="00B432E5">
      <w:trPr>
        <w:jc w:val="center"/>
      </w:trPr>
      <w:tc>
        <w:tcPr>
          <w:tcW w:w="9889" w:type="dxa"/>
        </w:tcPr>
        <w:p w14:paraId="63CA6F31" w14:textId="56A0CFDA" w:rsidR="00017653" w:rsidRPr="00940351" w:rsidRDefault="00017653" w:rsidP="00496F7D">
          <w:pPr>
            <w:pStyle w:val="Header"/>
            <w:tabs>
              <w:tab w:val="clear" w:pos="794"/>
              <w:tab w:val="clear" w:pos="4820"/>
            </w:tabs>
            <w:spacing w:line="360" w:lineRule="auto"/>
            <w:jc w:val="center"/>
          </w:pPr>
          <w:r>
            <w:rPr>
              <w:noProof/>
              <w:lang w:val="en-US"/>
            </w:rPr>
            <w:drawing>
              <wp:inline distT="0" distB="0" distL="0" distR="0" wp14:anchorId="7252C1EC" wp14:editId="6BE671DE">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1537191B" w14:textId="77777777" w:rsidR="00017653" w:rsidRPr="00940351" w:rsidRDefault="00017653" w:rsidP="00D225E9">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A249C"/>
    <w:rsid w:val="000032FB"/>
    <w:rsid w:val="00010E30"/>
    <w:rsid w:val="00013386"/>
    <w:rsid w:val="00017653"/>
    <w:rsid w:val="00026CF8"/>
    <w:rsid w:val="000479AD"/>
    <w:rsid w:val="00050492"/>
    <w:rsid w:val="00070258"/>
    <w:rsid w:val="00071176"/>
    <w:rsid w:val="00072C3E"/>
    <w:rsid w:val="0007323C"/>
    <w:rsid w:val="0008311E"/>
    <w:rsid w:val="00086D03"/>
    <w:rsid w:val="000A249C"/>
    <w:rsid w:val="000A412A"/>
    <w:rsid w:val="000A7051"/>
    <w:rsid w:val="000B7CE2"/>
    <w:rsid w:val="000C03C7"/>
    <w:rsid w:val="000E3DEE"/>
    <w:rsid w:val="000E4B79"/>
    <w:rsid w:val="0010107B"/>
    <w:rsid w:val="00102470"/>
    <w:rsid w:val="00103C76"/>
    <w:rsid w:val="0011265F"/>
    <w:rsid w:val="00173FCD"/>
    <w:rsid w:val="001926A5"/>
    <w:rsid w:val="00196710"/>
    <w:rsid w:val="00197324"/>
    <w:rsid w:val="00197DCF"/>
    <w:rsid w:val="001A37CA"/>
    <w:rsid w:val="001A696C"/>
    <w:rsid w:val="001B5841"/>
    <w:rsid w:val="001D7070"/>
    <w:rsid w:val="001D7163"/>
    <w:rsid w:val="001F5A49"/>
    <w:rsid w:val="00201097"/>
    <w:rsid w:val="00201B6E"/>
    <w:rsid w:val="00235A29"/>
    <w:rsid w:val="0026015C"/>
    <w:rsid w:val="0026128B"/>
    <w:rsid w:val="00276B8B"/>
    <w:rsid w:val="002861E6"/>
    <w:rsid w:val="002A599F"/>
    <w:rsid w:val="002E0007"/>
    <w:rsid w:val="002E39C0"/>
    <w:rsid w:val="002E4D1E"/>
    <w:rsid w:val="002F00B0"/>
    <w:rsid w:val="002F0890"/>
    <w:rsid w:val="003169E3"/>
    <w:rsid w:val="003211CE"/>
    <w:rsid w:val="003218AA"/>
    <w:rsid w:val="003370B8"/>
    <w:rsid w:val="003476DD"/>
    <w:rsid w:val="00360DBC"/>
    <w:rsid w:val="003666FF"/>
    <w:rsid w:val="00394448"/>
    <w:rsid w:val="003A399F"/>
    <w:rsid w:val="003A59F7"/>
    <w:rsid w:val="003B2BDA"/>
    <w:rsid w:val="003B55EC"/>
    <w:rsid w:val="003C3E6E"/>
    <w:rsid w:val="003C4471"/>
    <w:rsid w:val="003E504F"/>
    <w:rsid w:val="00400F78"/>
    <w:rsid w:val="004326DB"/>
    <w:rsid w:val="0043682E"/>
    <w:rsid w:val="00453C94"/>
    <w:rsid w:val="00454B73"/>
    <w:rsid w:val="00457236"/>
    <w:rsid w:val="00467A97"/>
    <w:rsid w:val="004815EB"/>
    <w:rsid w:val="00496920"/>
    <w:rsid w:val="00496F7D"/>
    <w:rsid w:val="004A031E"/>
    <w:rsid w:val="004A331F"/>
    <w:rsid w:val="004A5CE7"/>
    <w:rsid w:val="004B7001"/>
    <w:rsid w:val="004B7C9A"/>
    <w:rsid w:val="004C04C5"/>
    <w:rsid w:val="004D1579"/>
    <w:rsid w:val="004E0DC4"/>
    <w:rsid w:val="004E0FB5"/>
    <w:rsid w:val="004E43BB"/>
    <w:rsid w:val="004F178E"/>
    <w:rsid w:val="00505309"/>
    <w:rsid w:val="00505C93"/>
    <w:rsid w:val="00506A9F"/>
    <w:rsid w:val="0050789B"/>
    <w:rsid w:val="005274E6"/>
    <w:rsid w:val="00543DF8"/>
    <w:rsid w:val="00546101"/>
    <w:rsid w:val="00553DD7"/>
    <w:rsid w:val="0057469A"/>
    <w:rsid w:val="00580814"/>
    <w:rsid w:val="005A03A3"/>
    <w:rsid w:val="005A794A"/>
    <w:rsid w:val="005B214C"/>
    <w:rsid w:val="005E3E4D"/>
    <w:rsid w:val="005F0BE5"/>
    <w:rsid w:val="005F5168"/>
    <w:rsid w:val="00602D53"/>
    <w:rsid w:val="006039FE"/>
    <w:rsid w:val="0062116C"/>
    <w:rsid w:val="00651777"/>
    <w:rsid w:val="006741C3"/>
    <w:rsid w:val="00675C2A"/>
    <w:rsid w:val="00691AA6"/>
    <w:rsid w:val="006950CF"/>
    <w:rsid w:val="006B0590"/>
    <w:rsid w:val="006B49DA"/>
    <w:rsid w:val="00700C3C"/>
    <w:rsid w:val="00705E90"/>
    <w:rsid w:val="007234B1"/>
    <w:rsid w:val="00730B9A"/>
    <w:rsid w:val="00757B2B"/>
    <w:rsid w:val="00757EEE"/>
    <w:rsid w:val="00770C1E"/>
    <w:rsid w:val="007749C4"/>
    <w:rsid w:val="007921A7"/>
    <w:rsid w:val="007B3DB1"/>
    <w:rsid w:val="007B5AB0"/>
    <w:rsid w:val="007D183E"/>
    <w:rsid w:val="007D1A04"/>
    <w:rsid w:val="007E3F13"/>
    <w:rsid w:val="007E6AB2"/>
    <w:rsid w:val="00800012"/>
    <w:rsid w:val="0081513E"/>
    <w:rsid w:val="008320F5"/>
    <w:rsid w:val="0083382E"/>
    <w:rsid w:val="00854131"/>
    <w:rsid w:val="0085652D"/>
    <w:rsid w:val="0087694B"/>
    <w:rsid w:val="00877C1B"/>
    <w:rsid w:val="0088293A"/>
    <w:rsid w:val="00887395"/>
    <w:rsid w:val="008D08FF"/>
    <w:rsid w:val="008D25C8"/>
    <w:rsid w:val="008D4685"/>
    <w:rsid w:val="008F4F21"/>
    <w:rsid w:val="00903164"/>
    <w:rsid w:val="00904D4A"/>
    <w:rsid w:val="009151BA"/>
    <w:rsid w:val="00920B2E"/>
    <w:rsid w:val="009277BC"/>
    <w:rsid w:val="00927D57"/>
    <w:rsid w:val="00937E2B"/>
    <w:rsid w:val="00940351"/>
    <w:rsid w:val="009405F0"/>
    <w:rsid w:val="00945E2E"/>
    <w:rsid w:val="00963D9D"/>
    <w:rsid w:val="00981B54"/>
    <w:rsid w:val="009842C3"/>
    <w:rsid w:val="009A6BB6"/>
    <w:rsid w:val="009C161F"/>
    <w:rsid w:val="009D143C"/>
    <w:rsid w:val="009D2F70"/>
    <w:rsid w:val="009E2358"/>
    <w:rsid w:val="009E4AEC"/>
    <w:rsid w:val="009E5BD8"/>
    <w:rsid w:val="009E5F24"/>
    <w:rsid w:val="009E681E"/>
    <w:rsid w:val="009F6E88"/>
    <w:rsid w:val="00A22F9F"/>
    <w:rsid w:val="00A27E04"/>
    <w:rsid w:val="00A34D6F"/>
    <w:rsid w:val="00A41F91"/>
    <w:rsid w:val="00A7494A"/>
    <w:rsid w:val="00A963DF"/>
    <w:rsid w:val="00AA7862"/>
    <w:rsid w:val="00AC3896"/>
    <w:rsid w:val="00AC3F9B"/>
    <w:rsid w:val="00AD775F"/>
    <w:rsid w:val="00AE648E"/>
    <w:rsid w:val="00AF06E1"/>
    <w:rsid w:val="00AF3325"/>
    <w:rsid w:val="00AF7D32"/>
    <w:rsid w:val="00B015B1"/>
    <w:rsid w:val="00B10329"/>
    <w:rsid w:val="00B34CF9"/>
    <w:rsid w:val="00B432E5"/>
    <w:rsid w:val="00B83793"/>
    <w:rsid w:val="00B90C45"/>
    <w:rsid w:val="00B933BE"/>
    <w:rsid w:val="00BA03DB"/>
    <w:rsid w:val="00BA5CC6"/>
    <w:rsid w:val="00BA6C35"/>
    <w:rsid w:val="00BD1A89"/>
    <w:rsid w:val="00BD7E5E"/>
    <w:rsid w:val="00BE055F"/>
    <w:rsid w:val="00BE6574"/>
    <w:rsid w:val="00C05633"/>
    <w:rsid w:val="00C43807"/>
    <w:rsid w:val="00C57E2C"/>
    <w:rsid w:val="00C608B7"/>
    <w:rsid w:val="00C66F24"/>
    <w:rsid w:val="00C9291E"/>
    <w:rsid w:val="00CA3F44"/>
    <w:rsid w:val="00CA4E58"/>
    <w:rsid w:val="00CB3771"/>
    <w:rsid w:val="00CB5153"/>
    <w:rsid w:val="00CC6584"/>
    <w:rsid w:val="00CD6EBB"/>
    <w:rsid w:val="00CE2753"/>
    <w:rsid w:val="00CE685A"/>
    <w:rsid w:val="00CF4619"/>
    <w:rsid w:val="00D00CF0"/>
    <w:rsid w:val="00D10BA0"/>
    <w:rsid w:val="00D15455"/>
    <w:rsid w:val="00D20485"/>
    <w:rsid w:val="00D20741"/>
    <w:rsid w:val="00D225E9"/>
    <w:rsid w:val="00D24EB5"/>
    <w:rsid w:val="00D26CFB"/>
    <w:rsid w:val="00D41571"/>
    <w:rsid w:val="00D416A0"/>
    <w:rsid w:val="00D47672"/>
    <w:rsid w:val="00D5123C"/>
    <w:rsid w:val="00D55560"/>
    <w:rsid w:val="00D55CE4"/>
    <w:rsid w:val="00D61C5A"/>
    <w:rsid w:val="00D637AD"/>
    <w:rsid w:val="00D85322"/>
    <w:rsid w:val="00DB3438"/>
    <w:rsid w:val="00DE66A5"/>
    <w:rsid w:val="00DF2B50"/>
    <w:rsid w:val="00E03658"/>
    <w:rsid w:val="00E04C86"/>
    <w:rsid w:val="00E14BA3"/>
    <w:rsid w:val="00E20F30"/>
    <w:rsid w:val="00E27BBA"/>
    <w:rsid w:val="00E35E8F"/>
    <w:rsid w:val="00E438E8"/>
    <w:rsid w:val="00E520E2"/>
    <w:rsid w:val="00E64254"/>
    <w:rsid w:val="00E7321C"/>
    <w:rsid w:val="00E75336"/>
    <w:rsid w:val="00E76E31"/>
    <w:rsid w:val="00E908BC"/>
    <w:rsid w:val="00E96CC7"/>
    <w:rsid w:val="00EA15B3"/>
    <w:rsid w:val="00EB2358"/>
    <w:rsid w:val="00EB3EB8"/>
    <w:rsid w:val="00EC16FD"/>
    <w:rsid w:val="00EC282E"/>
    <w:rsid w:val="00EC45D7"/>
    <w:rsid w:val="00EC69FC"/>
    <w:rsid w:val="00ED73BA"/>
    <w:rsid w:val="00F16BAF"/>
    <w:rsid w:val="00F25DEF"/>
    <w:rsid w:val="00F468C5"/>
    <w:rsid w:val="00F51BED"/>
    <w:rsid w:val="00F52F39"/>
    <w:rsid w:val="00F55EF6"/>
    <w:rsid w:val="00F60EDB"/>
    <w:rsid w:val="00F914DD"/>
    <w:rsid w:val="00FA2358"/>
    <w:rsid w:val="00FB2592"/>
    <w:rsid w:val="00FB2810"/>
    <w:rsid w:val="00FC2947"/>
    <w:rsid w:val="00FE0818"/>
    <w:rsid w:val="00FE5A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617BED"/>
  <w15:docId w15:val="{DDFA12D4-8AE9-4E45-867C-2A6BFFBA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9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A249C"/>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character" w:customStyle="1" w:styleId="NormalaftertitleChar">
    <w:name w:val="Normal after title Char"/>
    <w:link w:val="Normalaftertitle0"/>
    <w:locked/>
    <w:rsid w:val="000A249C"/>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0A249C"/>
    <w:rPr>
      <w:sz w:val="22"/>
      <w:szCs w:val="22"/>
      <w:lang w:val="fr-FR" w:eastAsia="en-US"/>
    </w:rPr>
  </w:style>
  <w:style w:type="character" w:customStyle="1" w:styleId="UnresolvedMention1">
    <w:name w:val="Unresolved Mention1"/>
    <w:basedOn w:val="DefaultParagraphFont"/>
    <w:uiPriority w:val="99"/>
    <w:semiHidden/>
    <w:unhideWhenUsed/>
    <w:rsid w:val="00D85322"/>
    <w:rPr>
      <w:color w:val="605E5C"/>
      <w:shd w:val="clear" w:color="auto" w:fill="E1DFDD"/>
    </w:rPr>
  </w:style>
  <w:style w:type="paragraph" w:customStyle="1" w:styleId="Reasons">
    <w:name w:val="Reasons"/>
    <w:basedOn w:val="Normal"/>
    <w:qFormat/>
    <w:rsid w:val="00937E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semiHidden/>
    <w:unhideWhenUsed/>
    <w:rsid w:val="009405F0"/>
    <w:rPr>
      <w:color w:val="800080" w:themeColor="followedHyperlink"/>
      <w:u w:val="single"/>
    </w:rPr>
  </w:style>
  <w:style w:type="character" w:customStyle="1" w:styleId="UnresolvedMention2">
    <w:name w:val="Unresolved Mention2"/>
    <w:basedOn w:val="DefaultParagraphFont"/>
    <w:uiPriority w:val="99"/>
    <w:semiHidden/>
    <w:unhideWhenUsed/>
    <w:rsid w:val="005F0BE5"/>
    <w:rPr>
      <w:color w:val="605E5C"/>
      <w:shd w:val="clear" w:color="auto" w:fill="E1DFDD"/>
    </w:rPr>
  </w:style>
  <w:style w:type="paragraph" w:customStyle="1" w:styleId="Table">
    <w:name w:val="Table_#"/>
    <w:basedOn w:val="Normal"/>
    <w:next w:val="Normal"/>
    <w:rsid w:val="00C05633"/>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55/en" TargetMode="External"/><Relationship Id="rId21" Type="http://schemas.openxmlformats.org/officeDocument/2006/relationships/hyperlink" Target="https://www.itu.int/md/S21-CL-C-0024/en" TargetMode="External"/><Relationship Id="rId42" Type="http://schemas.openxmlformats.org/officeDocument/2006/relationships/hyperlink" Target="https://www.itu.int/md/S21-CL-C-0029/en" TargetMode="External"/><Relationship Id="rId47" Type="http://schemas.openxmlformats.org/officeDocument/2006/relationships/hyperlink" Target="https://www.itu.int/md/S21-CL-C-0026/en" TargetMode="External"/><Relationship Id="rId63" Type="http://schemas.openxmlformats.org/officeDocument/2006/relationships/hyperlink" Target="https://www.itu.int/md/S21-CL-C-0025/en" TargetMode="External"/><Relationship Id="rId68" Type="http://schemas.openxmlformats.org/officeDocument/2006/relationships/hyperlink" Target="https://www.itu.int/md/S21-CL-C-0038/en" TargetMode="External"/><Relationship Id="rId84" Type="http://schemas.openxmlformats.org/officeDocument/2006/relationships/hyperlink" Target="https://www.itu.int/md/S21-CL-C-0031/en" TargetMode="External"/><Relationship Id="rId89" Type="http://schemas.openxmlformats.org/officeDocument/2006/relationships/header" Target="header3.xml"/><Relationship Id="rId16" Type="http://schemas.openxmlformats.org/officeDocument/2006/relationships/hyperlink" Target="https://www.itu.int/md/S21-CL-C-0028/en" TargetMode="External"/><Relationship Id="rId11" Type="http://schemas.openxmlformats.org/officeDocument/2006/relationships/hyperlink" Target="mailto:sg-registration@itu.int" TargetMode="External"/><Relationship Id="rId32" Type="http://schemas.openxmlformats.org/officeDocument/2006/relationships/hyperlink" Target="https://www.itu.int/md/S21-CL-C-0049/en" TargetMode="External"/><Relationship Id="rId37" Type="http://schemas.openxmlformats.org/officeDocument/2006/relationships/hyperlink" Target="https://www.itu.int/md/S21-CL-C-0041/en" TargetMode="External"/><Relationship Id="rId53" Type="http://schemas.openxmlformats.org/officeDocument/2006/relationships/hyperlink" Target="https://www.itu.int/md/S21-CL-C-0075/en" TargetMode="External"/><Relationship Id="rId58" Type="http://schemas.openxmlformats.org/officeDocument/2006/relationships/hyperlink" Target="https://www.itu.int/md/S21-CL-C-0054/en" TargetMode="External"/><Relationship Id="rId74" Type="http://schemas.openxmlformats.org/officeDocument/2006/relationships/hyperlink" Target="https://www.itu.int/md/S21-CL-C-0006/en" TargetMode="External"/><Relationship Id="rId79" Type="http://schemas.openxmlformats.org/officeDocument/2006/relationships/hyperlink" Target="https://www.itu.int/md/S21-CL-C-0052/en"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www.itu.int/md/S21-CL-C-0073/en" TargetMode="External"/><Relationship Id="rId27" Type="http://schemas.openxmlformats.org/officeDocument/2006/relationships/hyperlink" Target="https://www.itu.int/md/S21-CL-C-0002/en" TargetMode="External"/><Relationship Id="rId43" Type="http://schemas.openxmlformats.org/officeDocument/2006/relationships/hyperlink" Target="https://www.itu.int/md/S21-CL-C-0023/en" TargetMode="External"/><Relationship Id="rId48" Type="http://schemas.openxmlformats.org/officeDocument/2006/relationships/hyperlink" Target="https://www.itu.int/md/S21-CL-C-0051/en" TargetMode="External"/><Relationship Id="rId64" Type="http://schemas.openxmlformats.org/officeDocument/2006/relationships/hyperlink" Target="https://www.itu.int/md/S21-CL-C-0062/en" TargetMode="External"/><Relationship Id="rId69" Type="http://schemas.openxmlformats.org/officeDocument/2006/relationships/hyperlink" Target="https://www.itu.int/md/S21-CL-C-0068/en" TargetMode="External"/><Relationship Id="rId8" Type="http://schemas.openxmlformats.org/officeDocument/2006/relationships/hyperlink" Target="mailto:gbs@itu.int" TargetMode="External"/><Relationship Id="rId51" Type="http://schemas.openxmlformats.org/officeDocument/2006/relationships/hyperlink" Target="https://www.itu.int/md/S21-CL-C-0022/en" TargetMode="External"/><Relationship Id="rId72" Type="http://schemas.openxmlformats.org/officeDocument/2006/relationships/hyperlink" Target="https://www.itu.int/md/S21-CL-C-0033/en" TargetMode="External"/><Relationship Id="rId80" Type="http://schemas.openxmlformats.org/officeDocument/2006/relationships/hyperlink" Target="https://www.itu.int/md/S21-CL-C-0047/en" TargetMode="External"/><Relationship Id="rId85" Type="http://schemas.openxmlformats.org/officeDocument/2006/relationships/hyperlink" Target="https://www.itu.int/md/S21-CL-C-0003/en"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21-DM-CIR-01005/en" TargetMode="External"/><Relationship Id="rId17" Type="http://schemas.openxmlformats.org/officeDocument/2006/relationships/hyperlink" Target="https://www.itu.int/md/S21-CL-C-0064/en" TargetMode="External"/><Relationship Id="rId25" Type="http://schemas.openxmlformats.org/officeDocument/2006/relationships/hyperlink" Target="https://www.itu.int/md/S21-CL-C-0066/en" TargetMode="External"/><Relationship Id="rId33" Type="http://schemas.openxmlformats.org/officeDocument/2006/relationships/hyperlink" Target="https://www.itu.int/md/S21-CL-C-0050/en" TargetMode="External"/><Relationship Id="rId38" Type="http://schemas.openxmlformats.org/officeDocument/2006/relationships/hyperlink" Target="https://www.itu.int/md/S21-CL-C-0044/en" TargetMode="External"/><Relationship Id="rId46" Type="http://schemas.openxmlformats.org/officeDocument/2006/relationships/hyperlink" Target="https://www.itu.int/md/S21-CL-C-0012/en" TargetMode="External"/><Relationship Id="rId59" Type="http://schemas.openxmlformats.org/officeDocument/2006/relationships/hyperlink" Target="https://www.itu.int/md/S21-CL-C-0069/en" TargetMode="External"/><Relationship Id="rId67" Type="http://schemas.openxmlformats.org/officeDocument/2006/relationships/hyperlink" Target="https://www.itu.int/md/S21-CL-C-0039/en" TargetMode="External"/><Relationship Id="rId20" Type="http://schemas.openxmlformats.org/officeDocument/2006/relationships/hyperlink" Target="https://www.itu.int/md/S21-CL-C-0005/en" TargetMode="External"/><Relationship Id="rId41" Type="http://schemas.openxmlformats.org/officeDocument/2006/relationships/hyperlink" Target="https://www.itu.int/md/S21-CL-C-0048/en" TargetMode="External"/><Relationship Id="rId54" Type="http://schemas.openxmlformats.org/officeDocument/2006/relationships/hyperlink" Target="https://www.itu.int/md/S21-CL-C-0015/en" TargetMode="External"/><Relationship Id="rId62" Type="http://schemas.openxmlformats.org/officeDocument/2006/relationships/hyperlink" Target="https://www.itu.int/md/S21-CL-C-0034/en" TargetMode="External"/><Relationship Id="rId70" Type="http://schemas.openxmlformats.org/officeDocument/2006/relationships/hyperlink" Target="https://www.itu.int/md/S21-CL-C-0072/en" TargetMode="External"/><Relationship Id="rId75" Type="http://schemas.openxmlformats.org/officeDocument/2006/relationships/hyperlink" Target="https://www.itu.int/md/S21-CL-C-0019/en" TargetMode="External"/><Relationship Id="rId83" Type="http://schemas.openxmlformats.org/officeDocument/2006/relationships/hyperlink" Target="https://www.itu.int/md/S21-CL-C-0032/en" TargetMode="External"/><Relationship Id="rId88" Type="http://schemas.openxmlformats.org/officeDocument/2006/relationships/header" Target="head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35/en" TargetMode="External"/><Relationship Id="rId23" Type="http://schemas.openxmlformats.org/officeDocument/2006/relationships/hyperlink" Target="https://www.itu.int/md/S21-CL-C-0013/en" TargetMode="External"/><Relationship Id="rId28" Type="http://schemas.openxmlformats.org/officeDocument/2006/relationships/hyperlink" Target="https://www.itu.int/md/S21-CL-C-0037/en" TargetMode="External"/><Relationship Id="rId36" Type="http://schemas.openxmlformats.org/officeDocument/2006/relationships/hyperlink" Target="https://www.itu.int/md/S21-CL-C-0040/en" TargetMode="External"/><Relationship Id="rId49" Type="http://schemas.openxmlformats.org/officeDocument/2006/relationships/hyperlink" Target="https://www.itu.int/md/S21-CL-C-0036/en" TargetMode="External"/><Relationship Id="rId57" Type="http://schemas.openxmlformats.org/officeDocument/2006/relationships/hyperlink" Target="https://www.itu.int/md/S21-CL-C-0070/en" TargetMode="External"/><Relationship Id="rId10" Type="http://schemas.openxmlformats.org/officeDocument/2006/relationships/hyperlink" Target="https://www.itu.int/fr/council/Pages/registration.aspx" TargetMode="External"/><Relationship Id="rId31" Type="http://schemas.openxmlformats.org/officeDocument/2006/relationships/hyperlink" Target="https://www.itu.int/md/S21-CL-C-0056/en" TargetMode="External"/><Relationship Id="rId44" Type="http://schemas.openxmlformats.org/officeDocument/2006/relationships/hyperlink" Target="https://www.itu.int/md/S21-CL-C-0008/en" TargetMode="External"/><Relationship Id="rId52" Type="http://schemas.openxmlformats.org/officeDocument/2006/relationships/hyperlink" Target="https://www.itu.int/md/S21-CL-C-0063/en" TargetMode="External"/><Relationship Id="rId60" Type="http://schemas.openxmlformats.org/officeDocument/2006/relationships/hyperlink" Target="https://www.itu.int/md/S21-CL-C-0059/en" TargetMode="External"/><Relationship Id="rId65" Type="http://schemas.openxmlformats.org/officeDocument/2006/relationships/hyperlink" Target="https://www.itu.int/md/S21-CL-C-0067/en" TargetMode="External"/><Relationship Id="rId73" Type="http://schemas.openxmlformats.org/officeDocument/2006/relationships/hyperlink" Target="https://www.itu.int/md/S21-CL-C-0018/en" TargetMode="External"/><Relationship Id="rId78" Type="http://schemas.openxmlformats.org/officeDocument/2006/relationships/hyperlink" Target="https://www.itu.int/md/S21-CL-C-0020/en" TargetMode="External"/><Relationship Id="rId81" Type="http://schemas.openxmlformats.org/officeDocument/2006/relationships/hyperlink" Target="https://www.itu.int/md/S21-CL-C-0045/en" TargetMode="External"/><Relationship Id="rId86"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itu.int/md/S21-DM-CIR-01005/en" TargetMode="External"/><Relationship Id="rId13" Type="http://schemas.openxmlformats.org/officeDocument/2006/relationships/hyperlink" Target="https://www.itu.int/md/S21-CL-C-0014/en" TargetMode="External"/><Relationship Id="rId18" Type="http://schemas.openxmlformats.org/officeDocument/2006/relationships/hyperlink" Target="https://www.itu.int/md/S21-CL-C-0021/en" TargetMode="External"/><Relationship Id="rId39" Type="http://schemas.openxmlformats.org/officeDocument/2006/relationships/hyperlink" Target="https://www.itu.int/md/S21-CL-C-0060/en" TargetMode="External"/><Relationship Id="rId34" Type="http://schemas.openxmlformats.org/officeDocument/2006/relationships/hyperlink" Target="https://www.itu.int/md/S21-CL-C-0011/en" TargetMode="External"/><Relationship Id="rId50" Type="http://schemas.openxmlformats.org/officeDocument/2006/relationships/hyperlink" Target="https://www.itu.int/md/S21-CL-C-0071/en" TargetMode="External"/><Relationship Id="rId55" Type="http://schemas.openxmlformats.org/officeDocument/2006/relationships/hyperlink" Target="https://www.itu.int/md/S21-CL-C-0043/en" TargetMode="External"/><Relationship Id="rId76" Type="http://schemas.openxmlformats.org/officeDocument/2006/relationships/hyperlink" Target="https://www.itu.int/md/S21-CL-C-0009/en" TargetMode="External"/><Relationship Id="rId7" Type="http://schemas.openxmlformats.org/officeDocument/2006/relationships/endnotes" Target="endnotes.xml"/><Relationship Id="rId71" Type="http://schemas.openxmlformats.org/officeDocument/2006/relationships/hyperlink" Target="https://www.itu.int/md/S21-CL-C-0074/en" TargetMode="External"/><Relationship Id="rId92"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s://www.itu.int/md/S21-CL-C-0017/en" TargetMode="External"/><Relationship Id="rId24" Type="http://schemas.openxmlformats.org/officeDocument/2006/relationships/hyperlink" Target="https://www.itu.int/md/S21-CL-C-0004/en" TargetMode="External"/><Relationship Id="rId40" Type="http://schemas.openxmlformats.org/officeDocument/2006/relationships/hyperlink" Target="https://www.itu.int/md/S21-CL-C-0007/en" TargetMode="External"/><Relationship Id="rId45" Type="http://schemas.openxmlformats.org/officeDocument/2006/relationships/hyperlink" Target="https://www.itu.int/md/S21-CL-C-0057/en" TargetMode="External"/><Relationship Id="rId66" Type="http://schemas.openxmlformats.org/officeDocument/2006/relationships/hyperlink" Target="https://www.itu.int/md/S21-CL-C-0010/en" TargetMode="External"/><Relationship Id="rId87" Type="http://schemas.openxmlformats.org/officeDocument/2006/relationships/header" Target="header1.xml"/><Relationship Id="rId61" Type="http://schemas.openxmlformats.org/officeDocument/2006/relationships/hyperlink" Target="https://www.itu.int/md/S21-CL-C-0046/en" TargetMode="External"/><Relationship Id="rId82" Type="http://schemas.openxmlformats.org/officeDocument/2006/relationships/hyperlink" Target="https://www.itu.int/md/S21-CL-C-0058/en" TargetMode="External"/><Relationship Id="rId19" Type="http://schemas.openxmlformats.org/officeDocument/2006/relationships/hyperlink" Target="https://www.itu.int/md/S21-CL-C-0030/en" TargetMode="External"/><Relationship Id="rId14" Type="http://schemas.openxmlformats.org/officeDocument/2006/relationships/hyperlink" Target="https://www.itu.int/md/S21-CL-C-0027/en" TargetMode="External"/><Relationship Id="rId30" Type="http://schemas.openxmlformats.org/officeDocument/2006/relationships/hyperlink" Target="https://www.itu.int/md/S21-CL-C-0065/en" TargetMode="External"/><Relationship Id="rId35" Type="http://schemas.openxmlformats.org/officeDocument/2006/relationships/hyperlink" Target="https://www.itu.int/md/S21-CL-C-0042/en" TargetMode="External"/><Relationship Id="rId56" Type="http://schemas.openxmlformats.org/officeDocument/2006/relationships/hyperlink" Target="https://www.itu.int/md/S21-CL-C-0061/en" TargetMode="External"/><Relationship Id="rId77" Type="http://schemas.openxmlformats.org/officeDocument/2006/relationships/hyperlink" Target="https://www.itu.int/md/S21-CL-C-0016/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ITU\Letter-Fax-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91E1F4E630405D87ED20F3F7AB3E34"/>
        <w:category>
          <w:name w:val="General"/>
          <w:gallery w:val="placeholder"/>
        </w:category>
        <w:types>
          <w:type w:val="bbPlcHdr"/>
        </w:types>
        <w:behaviors>
          <w:behavior w:val="content"/>
        </w:behaviors>
        <w:guid w:val="{13BEB421-550D-4D4F-8128-EF320C03D487}"/>
      </w:docPartPr>
      <w:docPartBody>
        <w:p w:rsidR="002D06D8" w:rsidRDefault="00131EAE" w:rsidP="00131EAE">
          <w:pPr>
            <w:pStyle w:val="0E91E1F4E630405D87ED20F3F7AB3E3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AE"/>
    <w:rsid w:val="00002105"/>
    <w:rsid w:val="00044272"/>
    <w:rsid w:val="00131EAE"/>
    <w:rsid w:val="001A4631"/>
    <w:rsid w:val="001D7755"/>
    <w:rsid w:val="002D06D8"/>
    <w:rsid w:val="002E2AB9"/>
    <w:rsid w:val="00CF387D"/>
    <w:rsid w:val="00E32C2C"/>
    <w:rsid w:val="00EB50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EAE"/>
    <w:rPr>
      <w:color w:val="808080"/>
    </w:rPr>
  </w:style>
  <w:style w:type="paragraph" w:customStyle="1" w:styleId="0E91E1F4E630405D87ED20F3F7AB3E34">
    <w:name w:val="0E91E1F4E630405D87ED20F3F7AB3E34"/>
    <w:rsid w:val="00131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04ECC-B1DE-43BC-B42F-7E0F3D11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Letter-Fax-F.dotm</Template>
  <TotalTime>2</TotalTime>
  <Pages>7</Pages>
  <Words>2177</Words>
  <Characters>15942</Characters>
  <Application>Microsoft Office Word</Application>
  <DocSecurity>4</DocSecurity>
  <Lines>132</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18083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Margaret Murphy</dc:creator>
  <cp:lastModifiedBy>Brouard, Ricarda</cp:lastModifiedBy>
  <cp:revision>2</cp:revision>
  <cp:lastPrinted>2010-01-19T09:33:00Z</cp:lastPrinted>
  <dcterms:created xsi:type="dcterms:W3CDTF">2021-04-06T08:18:00Z</dcterms:created>
  <dcterms:modified xsi:type="dcterms:W3CDTF">2021-04-06T08:18:00Z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