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D62BDC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EA15B3" w:rsidRPr="007B3DB1" w14:paraId="4C58C929" w14:textId="77777777" w:rsidTr="00EA15B3">
        <w:tc>
          <w:tcPr>
            <w:tcW w:w="9889" w:type="dxa"/>
            <w:gridSpan w:val="4"/>
            <w:shd w:val="clear" w:color="auto" w:fill="auto"/>
          </w:tcPr>
          <w:p w14:paraId="57CC1BF1" w14:textId="77777777" w:rsidR="00EA15B3" w:rsidRPr="007B3DB1" w:rsidRDefault="00EA15B3" w:rsidP="00EA15B3">
            <w:pPr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3F12CDF1" w:rsidR="00651777" w:rsidRPr="007B3DB1" w:rsidRDefault="00651777" w:rsidP="00654076">
            <w:pPr>
              <w:spacing w:before="360"/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1-03-25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A093B">
                  <w:rPr>
                    <w:rFonts w:cs="Arial"/>
                  </w:rPr>
                  <w:t>2</w:t>
                </w:r>
                <w:r w:rsidR="00654076">
                  <w:rPr>
                    <w:rFonts w:cs="Arial"/>
                  </w:rPr>
                  <w:t>5</w:t>
                </w:r>
                <w:r w:rsidR="00756A9B">
                  <w:rPr>
                    <w:rFonts w:cs="Arial"/>
                  </w:rPr>
                  <w:t xml:space="preserve"> </w:t>
                </w:r>
                <w:r w:rsidR="00D561BB">
                  <w:rPr>
                    <w:rFonts w:cs="Arial"/>
                  </w:rPr>
                  <w:t>March 2021</w:t>
                </w:r>
              </w:sdtContent>
            </w:sdt>
          </w:p>
        </w:tc>
      </w:tr>
      <w:tr w:rsidR="00651777" w:rsidRPr="007B3DB1" w14:paraId="4DA36DBA" w14:textId="77777777" w:rsidTr="00651777">
        <w:tc>
          <w:tcPr>
            <w:tcW w:w="5353" w:type="dxa"/>
            <w:gridSpan w:val="3"/>
            <w:shd w:val="clear" w:color="auto" w:fill="auto"/>
          </w:tcPr>
          <w:p w14:paraId="005FA2FF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6FFCBB1E" w14:textId="77777777" w:rsidR="00651777" w:rsidRPr="007B3DB1" w:rsidRDefault="00651777" w:rsidP="00651777">
            <w:pPr>
              <w:jc w:val="left"/>
              <w:rPr>
                <w:rFonts w:cs="Arial"/>
                <w:lang w:val="en-GB"/>
              </w:rPr>
            </w:pPr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3038EC4B" w:rsidR="00155CA8" w:rsidRPr="00AA7C6B" w:rsidRDefault="00B82CD7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DM</w:t>
            </w:r>
            <w:r w:rsidR="00EE74BC">
              <w:rPr>
                <w:b/>
                <w:bCs/>
                <w:lang w:val="en-GB"/>
              </w:rPr>
              <w:t>-</w:t>
            </w:r>
            <w:r w:rsidR="00D561BB">
              <w:rPr>
                <w:b/>
                <w:bCs/>
                <w:lang w:val="en-GB"/>
              </w:rPr>
              <w:t>21/</w:t>
            </w:r>
            <w:r w:rsidR="00C2690A">
              <w:rPr>
                <w:b/>
                <w:bCs/>
                <w:lang w:val="en-GB"/>
              </w:rPr>
              <w:t>1007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77777777" w:rsidR="00155CA8" w:rsidRPr="006075DA" w:rsidRDefault="00155CA8" w:rsidP="00D62BDC">
            <w:pPr>
              <w:spacing w:before="0"/>
              <w:jc w:val="left"/>
            </w:pPr>
            <w:r w:rsidRPr="006075DA">
              <w:t>To Member States of ITU Council</w:t>
            </w:r>
          </w:p>
        </w:tc>
      </w:tr>
      <w:tr w:rsidR="00155CA8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77777777" w:rsidR="00155CA8" w:rsidRPr="007B3DB1" w:rsidRDefault="00755235" w:rsidP="009128DE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Ms </w:t>
            </w:r>
            <w:r w:rsidR="009128DE">
              <w:rPr>
                <w:lang w:val="en-GB"/>
              </w:rPr>
              <w:t>Béatrice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155CA8" w:rsidRPr="006075DA" w:rsidRDefault="00155CA8" w:rsidP="006075DA">
            <w:pPr>
              <w:spacing w:before="0"/>
              <w:jc w:val="left"/>
            </w:pPr>
          </w:p>
        </w:tc>
      </w:tr>
      <w:tr w:rsidR="00155CA8" w:rsidRPr="00F56CAF" w14:paraId="4AFADA66" w14:textId="77777777" w:rsidTr="00651777">
        <w:tc>
          <w:tcPr>
            <w:tcW w:w="1276" w:type="dxa"/>
            <w:shd w:val="clear" w:color="auto" w:fill="auto"/>
          </w:tcPr>
          <w:p w14:paraId="6DBC625D" w14:textId="77777777" w:rsidR="00155CA8" w:rsidRPr="00155CA8" w:rsidRDefault="00155CA8" w:rsidP="00651777">
            <w:pPr>
              <w:spacing w:before="0"/>
              <w:jc w:val="left"/>
            </w:pPr>
            <w:r w:rsidRPr="00155CA8"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6F167C59" w14:textId="77777777" w:rsidR="00155CA8" w:rsidRPr="00155CA8" w:rsidRDefault="00155CA8" w:rsidP="00D16C57">
            <w:pPr>
              <w:spacing w:before="0"/>
              <w:jc w:val="left"/>
            </w:pPr>
            <w:r w:rsidRPr="00155CA8">
              <w:t xml:space="preserve">+41 22 730 </w:t>
            </w:r>
            <w:r w:rsidR="00D16C57">
              <w:t>6266</w:t>
            </w:r>
          </w:p>
        </w:tc>
        <w:tc>
          <w:tcPr>
            <w:tcW w:w="284" w:type="dxa"/>
            <w:shd w:val="clear" w:color="auto" w:fill="auto"/>
          </w:tcPr>
          <w:p w14:paraId="4CAD5832" w14:textId="77777777" w:rsidR="00155CA8" w:rsidRPr="00155CA8" w:rsidRDefault="00155CA8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311D455D" w14:textId="77777777" w:rsidR="00155CA8" w:rsidRPr="00155CA8" w:rsidRDefault="00155CA8" w:rsidP="00651777">
            <w:pPr>
              <w:spacing w:before="0"/>
            </w:pPr>
          </w:p>
        </w:tc>
      </w:tr>
      <w:tr w:rsidR="004C4BC0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77777777" w:rsidR="004C4BC0" w:rsidRPr="007B3DB1" w:rsidRDefault="00FE27FB" w:rsidP="004C4BC0">
            <w:pPr>
              <w:spacing w:before="0"/>
              <w:jc w:val="left"/>
              <w:rPr>
                <w:lang w:val="en-GB"/>
              </w:rPr>
            </w:pPr>
            <w:hyperlink r:id="rId8" w:history="1">
              <w:r w:rsidR="004C4BC0" w:rsidRPr="0031275F">
                <w:rPr>
                  <w:rStyle w:val="Hyperlink"/>
                  <w:lang w:val="fr-CH"/>
                </w:rPr>
                <w:t>gbs@itu.int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4C4BC0" w:rsidRPr="00155CA8" w:rsidRDefault="004C4BC0" w:rsidP="004C4BC0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4C4BC0" w:rsidRPr="00155CA8" w:rsidRDefault="004C4BC0" w:rsidP="004C4BC0">
            <w:pPr>
              <w:spacing w:before="0"/>
            </w:pPr>
          </w:p>
        </w:tc>
      </w:tr>
      <w:tr w:rsidR="004C4BC0" w:rsidRPr="007B3DB1" w14:paraId="62BC1534" w14:textId="77777777" w:rsidTr="00651777">
        <w:tc>
          <w:tcPr>
            <w:tcW w:w="1276" w:type="dxa"/>
            <w:shd w:val="clear" w:color="auto" w:fill="auto"/>
          </w:tcPr>
          <w:p w14:paraId="73D62168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</w:p>
        </w:tc>
        <w:tc>
          <w:tcPr>
            <w:tcW w:w="3793" w:type="dxa"/>
            <w:shd w:val="clear" w:color="auto" w:fill="auto"/>
          </w:tcPr>
          <w:p w14:paraId="78CC75C2" w14:textId="77777777" w:rsidR="004C4BC0" w:rsidRPr="007B3DB1" w:rsidRDefault="004C4BC0" w:rsidP="004C4BC0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6CE91BB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DB98F52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</w:tr>
      <w:tr w:rsidR="004C4BC0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4C4BC0" w:rsidRPr="007B3DB1" w:rsidRDefault="004C4BC0" w:rsidP="00654076">
            <w:pPr>
              <w:spacing w:before="36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5FAEEC3E" w:rsidR="00FA7A7B" w:rsidRPr="00D029C9" w:rsidRDefault="00DD76D2" w:rsidP="00654076">
            <w:pPr>
              <w:spacing w:before="360"/>
              <w:jc w:val="left"/>
              <w:rPr>
                <w:b/>
                <w:bCs/>
                <w:lang w:val="en-GB"/>
              </w:rPr>
            </w:pPr>
            <w:r w:rsidRPr="00D029C9">
              <w:rPr>
                <w:b/>
                <w:bCs/>
              </w:rPr>
              <w:t>D</w:t>
            </w:r>
            <w:r w:rsidR="00721536" w:rsidRPr="00D029C9">
              <w:rPr>
                <w:b/>
                <w:bCs/>
              </w:rPr>
              <w:t xml:space="preserve">raft </w:t>
            </w:r>
            <w:r w:rsidR="00050858" w:rsidRPr="00D029C9">
              <w:rPr>
                <w:b/>
                <w:bCs/>
              </w:rPr>
              <w:t xml:space="preserve">agenda of the </w:t>
            </w:r>
            <w:r w:rsidR="008B0EC3" w:rsidRPr="00D029C9">
              <w:rPr>
                <w:b/>
                <w:bCs/>
              </w:rPr>
              <w:t>virtual consultation of councillors</w:t>
            </w:r>
            <w:r w:rsidR="00E27627" w:rsidRPr="00D029C9">
              <w:rPr>
                <w:b/>
                <w:bCs/>
              </w:rPr>
              <w:t xml:space="preserve"> (C21\VCC-1)</w:t>
            </w:r>
            <w:r w:rsidR="004B3B24" w:rsidRPr="00D029C9">
              <w:rPr>
                <w:b/>
                <w:bCs/>
              </w:rPr>
              <w:t>, 8-18 June 2021</w:t>
            </w:r>
          </w:p>
        </w:tc>
      </w:tr>
    </w:tbl>
    <w:p w14:paraId="02D98BF8" w14:textId="1AF32602" w:rsidR="00D256E0" w:rsidRDefault="00D256E0" w:rsidP="00654076">
      <w:pPr>
        <w:spacing w:before="480"/>
      </w:pPr>
      <w:r w:rsidRPr="00F439A9">
        <w:t xml:space="preserve">Dear </w:t>
      </w:r>
      <w:r>
        <w:t>Madam</w:t>
      </w:r>
      <w:r w:rsidR="00AB3DA0">
        <w:t>/</w:t>
      </w:r>
      <w:r>
        <w:t>Sir</w:t>
      </w:r>
      <w:r w:rsidRPr="00F439A9">
        <w:t>,</w:t>
      </w:r>
    </w:p>
    <w:p w14:paraId="16AEBF0C" w14:textId="1F24063B" w:rsidR="00380C1A" w:rsidRPr="00CD53B5" w:rsidRDefault="004B3B24" w:rsidP="00380C1A">
      <w:r>
        <w:t xml:space="preserve">Further to letter </w:t>
      </w:r>
      <w:hyperlink r:id="rId9" w:history="1">
        <w:r w:rsidRPr="00E27627">
          <w:rPr>
            <w:rStyle w:val="Hyperlink"/>
          </w:rPr>
          <w:t>DM-21/</w:t>
        </w:r>
        <w:r w:rsidR="00E27627" w:rsidRPr="00E27627">
          <w:rPr>
            <w:rStyle w:val="Hyperlink"/>
          </w:rPr>
          <w:t>1005</w:t>
        </w:r>
      </w:hyperlink>
      <w:r>
        <w:t xml:space="preserve"> on consultation on list of items to be added on the draft agenda of the virtual consultation of councillors</w:t>
      </w:r>
      <w:r w:rsidR="00D029C9">
        <w:t xml:space="preserve"> (C21\VCC-1)</w:t>
      </w:r>
      <w:r>
        <w:t xml:space="preserve">, and based on responses from Member States of the Council, it is my pleasure to attach in </w:t>
      </w:r>
      <w:hyperlink w:anchor="annex1" w:history="1">
        <w:r w:rsidRPr="004B3B24">
          <w:rPr>
            <w:rStyle w:val="Hyperlink"/>
          </w:rPr>
          <w:t xml:space="preserve">Annex </w:t>
        </w:r>
        <w:r w:rsidR="00D029C9">
          <w:rPr>
            <w:rStyle w:val="Hyperlink"/>
          </w:rPr>
          <w:t>1</w:t>
        </w:r>
      </w:hyperlink>
      <w:r>
        <w:t xml:space="preserve"> the draft agenda of </w:t>
      </w:r>
      <w:r w:rsidRPr="00E27627">
        <w:t>the virtual consultation of councillors</w:t>
      </w:r>
      <w:r w:rsidR="00E27627">
        <w:t xml:space="preserve"> </w:t>
      </w:r>
      <w:r w:rsidR="00E27627" w:rsidRPr="00E27627">
        <w:t>(C21\VCC</w:t>
      </w:r>
      <w:r w:rsidR="00E27627">
        <w:noBreakHyphen/>
      </w:r>
      <w:r w:rsidR="00E27627" w:rsidRPr="00E27627">
        <w:t>1)</w:t>
      </w:r>
      <w:r w:rsidR="00D029C9">
        <w:t xml:space="preserve"> to be held from 8 to 18 June 2021, during the period agreed for the physical session of the Council.</w:t>
      </w:r>
      <w:r w:rsidR="00CD53B5">
        <w:t xml:space="preserve"> </w:t>
      </w:r>
      <w:r w:rsidR="00380C1A" w:rsidRPr="00CD53B5">
        <w:t>The list of items</w:t>
      </w:r>
      <w:r w:rsidR="00380C1A">
        <w:t xml:space="preserve"> proposed to be</w:t>
      </w:r>
      <w:r w:rsidR="00380C1A" w:rsidRPr="00CD53B5">
        <w:t xml:space="preserve"> postponed for review </w:t>
      </w:r>
      <w:r w:rsidR="00380C1A">
        <w:rPr>
          <w:lang w:eastAsia="zh-CN"/>
        </w:rPr>
        <w:t xml:space="preserve">to a future meeting </w:t>
      </w:r>
      <w:r w:rsidR="00380C1A" w:rsidRPr="00CD53B5">
        <w:t xml:space="preserve">are listed in </w:t>
      </w:r>
      <w:hyperlink w:anchor="annex2" w:history="1">
        <w:r w:rsidR="00380C1A" w:rsidRPr="00CD53B5">
          <w:rPr>
            <w:rStyle w:val="Hyperlink"/>
          </w:rPr>
          <w:t>Annex 2</w:t>
        </w:r>
      </w:hyperlink>
      <w:r w:rsidR="00380C1A" w:rsidRPr="00CD53B5">
        <w:t xml:space="preserve"> for ease of reference.</w:t>
      </w:r>
    </w:p>
    <w:p w14:paraId="26257E01" w14:textId="3F3314DC" w:rsidR="00CD53B5" w:rsidRDefault="00CD53B5" w:rsidP="00CD53B5">
      <w:pPr>
        <w:spacing w:before="240"/>
      </w:pPr>
      <w:r w:rsidRPr="00A07792">
        <w:t>Member States are invited to send their contributions to the meeting by using the attached template</w:t>
      </w:r>
      <w:r>
        <w:t xml:space="preserve"> in </w:t>
      </w:r>
      <w:hyperlink w:anchor="annex3" w:history="1">
        <w:r w:rsidRPr="00682FBD">
          <w:rPr>
            <w:rStyle w:val="Hyperlink"/>
          </w:rPr>
          <w:t xml:space="preserve">Annex </w:t>
        </w:r>
        <w:r>
          <w:rPr>
            <w:rStyle w:val="Hyperlink"/>
          </w:rPr>
          <w:t>3</w:t>
        </w:r>
      </w:hyperlink>
      <w:r w:rsidRPr="00A07792">
        <w:t xml:space="preserve">. </w:t>
      </w:r>
      <w:r>
        <w:t>T</w:t>
      </w:r>
      <w:r w:rsidRPr="00A07792">
        <w:t xml:space="preserve">he deadline for sending </w:t>
      </w:r>
      <w:r w:rsidRPr="000C375C">
        <w:t>contributions is</w:t>
      </w:r>
      <w:r w:rsidRPr="008B0EC3">
        <w:rPr>
          <w:b/>
          <w:bCs/>
        </w:rPr>
        <w:t xml:space="preserve"> 25 May 2021</w:t>
      </w:r>
      <w:r w:rsidRPr="000C375C">
        <w:t>.</w:t>
      </w:r>
    </w:p>
    <w:p w14:paraId="18212045" w14:textId="003316A9" w:rsidR="00706218" w:rsidRPr="004855EA" w:rsidRDefault="00706218" w:rsidP="00706218">
      <w:pPr>
        <w:spacing w:before="240"/>
      </w:pPr>
      <w:r>
        <w:t xml:space="preserve">A draft </w:t>
      </w:r>
      <w:r w:rsidR="00050858" w:rsidRPr="00050858">
        <w:t xml:space="preserve">Time Management Plan of the virtual consultation </w:t>
      </w:r>
      <w:r>
        <w:t>will be available on the Council website in the coming weeks and th</w:t>
      </w:r>
      <w:r w:rsidRPr="005C4929">
        <w:t xml:space="preserve">e final agenda will be confirmed at the Opening session of </w:t>
      </w:r>
      <w:r>
        <w:t xml:space="preserve">the virtual </w:t>
      </w:r>
      <w:r w:rsidRPr="004855EA">
        <w:t xml:space="preserve">consultation of councillors </w:t>
      </w:r>
      <w:r w:rsidR="00E27627" w:rsidRPr="004855EA">
        <w:t>(C21\VCC</w:t>
      </w:r>
      <w:r w:rsidR="00E27627" w:rsidRPr="004855EA">
        <w:noBreakHyphen/>
        <w:t xml:space="preserve">1) </w:t>
      </w:r>
      <w:r w:rsidRPr="004855EA">
        <w:t>on 8 June 2021.</w:t>
      </w:r>
      <w:bookmarkStart w:id="4" w:name="_Hlk40204564"/>
    </w:p>
    <w:p w14:paraId="2481A977" w14:textId="650BAD47" w:rsidR="00706218" w:rsidRDefault="00706218" w:rsidP="00706218">
      <w:pPr>
        <w:keepNext/>
        <w:keepLines/>
      </w:pPr>
      <w:r w:rsidRPr="004855EA">
        <w:t>Registration will be open as of 8 April 2021</w:t>
      </w:r>
      <w:r w:rsidR="00B76CF3">
        <w:t xml:space="preserve"> at </w:t>
      </w:r>
      <w:hyperlink r:id="rId10" w:history="1">
        <w:r w:rsidR="00B76CF3" w:rsidRPr="00D44D75">
          <w:rPr>
            <w:rStyle w:val="Hyperlink"/>
          </w:rPr>
          <w:t>https://www.itu.int/en/council/Pages/registration.aspx</w:t>
        </w:r>
      </w:hyperlink>
      <w:r w:rsidRPr="004855EA">
        <w:t>.</w:t>
      </w:r>
    </w:p>
    <w:p w14:paraId="1D4EF01B" w14:textId="3A7E94B4" w:rsidR="00706218" w:rsidRDefault="00706218" w:rsidP="00706218">
      <w:pPr>
        <w:keepNext/>
        <w:keepLines/>
      </w:pPr>
      <w:r>
        <w:rPr>
          <w:rFonts w:eastAsia="Times New Roman"/>
        </w:rPr>
        <w:t xml:space="preserve">As for the first two VCCs in 2020, </w:t>
      </w:r>
      <w:r>
        <w:t>p</w:t>
      </w:r>
      <w:r w:rsidRPr="007A558F">
        <w:t>lease kindly note that the platform supports around 300 active participants (“speakers”), and 2,000 passive participants (“viewers”). Sessions will have separate links for active and passive participants.</w:t>
      </w:r>
      <w:r>
        <w:t xml:space="preserve"> Among the registered participants of a delegation, </w:t>
      </w:r>
      <w:r w:rsidRPr="007A558F">
        <w:t xml:space="preserve">1 </w:t>
      </w:r>
      <w:r>
        <w:t>to</w:t>
      </w:r>
      <w:r w:rsidRPr="007A558F">
        <w:t xml:space="preserve"> 3 “speakers” </w:t>
      </w:r>
      <w:r>
        <w:t xml:space="preserve">should be identified </w:t>
      </w:r>
      <w:r w:rsidRPr="007A558F">
        <w:t xml:space="preserve">for </w:t>
      </w:r>
      <w:r>
        <w:t>the entire duration of the consultation,</w:t>
      </w:r>
      <w:r w:rsidRPr="007A558F">
        <w:t xml:space="preserve"> while the </w:t>
      </w:r>
      <w:r>
        <w:t>other registered members of the delegation</w:t>
      </w:r>
      <w:r w:rsidRPr="007A558F">
        <w:t xml:space="preserve"> </w:t>
      </w:r>
      <w:r>
        <w:t>should be considered</w:t>
      </w:r>
      <w:r w:rsidRPr="007A558F">
        <w:t xml:space="preserve"> as “viewers”. </w:t>
      </w:r>
      <w:r>
        <w:t xml:space="preserve">The names of “speakers” should be sent to </w:t>
      </w:r>
      <w:hyperlink r:id="rId11" w:history="1">
        <w:r w:rsidRPr="00B35E82">
          <w:rPr>
            <w:rStyle w:val="Hyperlink"/>
          </w:rPr>
          <w:t>sg-registration@itu.int</w:t>
        </w:r>
      </w:hyperlink>
      <w:r>
        <w:t>. Should a delegation require an additional “speaker” for specific sessions or agenda items, please contact the secretaria</w:t>
      </w:r>
      <w:r w:rsidRPr="00524BC9">
        <w:t>t at the address above</w:t>
      </w:r>
      <w:r>
        <w:t xml:space="preserve">. Subject to technical capacity, the secretariat may be </w:t>
      </w:r>
      <w:proofErr w:type="gramStart"/>
      <w:r>
        <w:t>in a position</w:t>
      </w:r>
      <w:proofErr w:type="gramEnd"/>
      <w:r>
        <w:t xml:space="preserve"> to allocate an extra “speaker” slot.</w:t>
      </w:r>
    </w:p>
    <w:p w14:paraId="785E0649" w14:textId="34B578EF" w:rsidR="00706218" w:rsidRPr="004855EA" w:rsidRDefault="00706218" w:rsidP="00706218">
      <w:r w:rsidRPr="00365F57">
        <w:t>A</w:t>
      </w:r>
      <w:r w:rsidR="00D87816">
        <w:t>n informal meeting</w:t>
      </w:r>
      <w:r w:rsidRPr="00365F57">
        <w:t xml:space="preserve"> </w:t>
      </w:r>
      <w:r w:rsidRPr="004855EA">
        <w:t xml:space="preserve">will be held on </w:t>
      </w:r>
      <w:r w:rsidR="00F3566A" w:rsidRPr="004855EA">
        <w:t>7 June</w:t>
      </w:r>
      <w:r w:rsidRPr="004855EA">
        <w:t xml:space="preserve"> 2021</w:t>
      </w:r>
      <w:r w:rsidR="00EA5AC7">
        <w:t xml:space="preserve">, followed by an </w:t>
      </w:r>
      <w:r w:rsidR="004F7FA2">
        <w:t>i</w:t>
      </w:r>
      <w:r w:rsidR="00EA5AC7">
        <w:t xml:space="preserve">nformation </w:t>
      </w:r>
      <w:r w:rsidR="004F7FA2">
        <w:t xml:space="preserve">session </w:t>
      </w:r>
      <w:bookmarkStart w:id="5" w:name="_Hlk67395079"/>
      <w:r w:rsidR="004F7FA2">
        <w:t>on the N</w:t>
      </w:r>
      <w:r w:rsidR="00EA5AC7">
        <w:t>ew Headquarters Premises</w:t>
      </w:r>
      <w:r w:rsidR="004F7FA2">
        <w:t xml:space="preserve"> Projec</w:t>
      </w:r>
      <w:bookmarkEnd w:id="5"/>
      <w:r w:rsidR="004F7FA2">
        <w:t>t</w:t>
      </w:r>
      <w:r w:rsidRPr="004855EA">
        <w:t>.</w:t>
      </w:r>
      <w:r w:rsidR="005F58B0">
        <w:t xml:space="preserve"> Registration to C21\VCC-1 will provide access to both the informal meeting and the information session.</w:t>
      </w:r>
    </w:p>
    <w:bookmarkEnd w:id="4"/>
    <w:p w14:paraId="4ADC2659" w14:textId="77777777" w:rsidR="00654076" w:rsidRDefault="00654076" w:rsidP="00654076">
      <w:pPr>
        <w:keepNext/>
        <w:keepLines/>
        <w:spacing w:before="240"/>
      </w:pPr>
    </w:p>
    <w:p w14:paraId="4A240D7D" w14:textId="66A108D1" w:rsidR="00706218" w:rsidRPr="004855EA" w:rsidRDefault="00706218" w:rsidP="00654076">
      <w:pPr>
        <w:keepNext/>
        <w:keepLines/>
        <w:spacing w:before="240"/>
      </w:pPr>
      <w:r w:rsidRPr="004855EA">
        <w:t xml:space="preserve">We count on your active participation and goodwill to ensure that this virtual consultation of councillors </w:t>
      </w:r>
      <w:r w:rsidR="004F7FA2">
        <w:t xml:space="preserve">will </w:t>
      </w:r>
      <w:r w:rsidRPr="004855EA">
        <w:t>be as constructive and successful as the</w:t>
      </w:r>
      <w:r w:rsidR="00D87816">
        <w:t xml:space="preserve"> previous</w:t>
      </w:r>
      <w:r w:rsidRPr="004855EA">
        <w:t xml:space="preserve"> one</w:t>
      </w:r>
      <w:r w:rsidR="00D87816">
        <w:t>s</w:t>
      </w:r>
      <w:r w:rsidRPr="004855EA">
        <w:t xml:space="preserve">. </w:t>
      </w:r>
    </w:p>
    <w:p w14:paraId="64264EB2" w14:textId="3BEC7AF8" w:rsidR="00706218" w:rsidRPr="004855EA" w:rsidRDefault="00706218" w:rsidP="00654076">
      <w:pPr>
        <w:keepNext/>
        <w:keepLines/>
        <w:spacing w:before="240"/>
      </w:pPr>
      <w:r w:rsidRPr="004855EA">
        <w:t xml:space="preserve">Looking forward to seeing you virtually. </w:t>
      </w:r>
    </w:p>
    <w:p w14:paraId="0B38ABBD" w14:textId="77777777" w:rsidR="00706218" w:rsidRPr="004855EA" w:rsidRDefault="00706218" w:rsidP="00B257A9">
      <w:pPr>
        <w:spacing w:before="240"/>
      </w:pPr>
    </w:p>
    <w:p w14:paraId="1F089F41" w14:textId="412763A7" w:rsidR="002478D2" w:rsidRPr="004855EA" w:rsidRDefault="00B257A9" w:rsidP="00B257A9">
      <w:pPr>
        <w:spacing w:before="480"/>
        <w:jc w:val="left"/>
        <w:rPr>
          <w:i/>
          <w:iCs/>
        </w:rPr>
      </w:pPr>
      <w:r w:rsidRPr="004855EA">
        <w:rPr>
          <w:i/>
          <w:iCs/>
        </w:rPr>
        <w:t>(signed)</w:t>
      </w:r>
    </w:p>
    <w:p w14:paraId="778F1350" w14:textId="78A2F7C8" w:rsidR="00D256E0" w:rsidRPr="004855EA" w:rsidRDefault="00D256E0" w:rsidP="00B257A9">
      <w:pPr>
        <w:spacing w:before="480"/>
        <w:jc w:val="left"/>
      </w:pPr>
      <w:r w:rsidRPr="004855EA">
        <w:t xml:space="preserve">Dr </w:t>
      </w:r>
      <w:r w:rsidR="00AB3DA0" w:rsidRPr="004855EA">
        <w:t xml:space="preserve">Elsayed </w:t>
      </w:r>
      <w:r w:rsidRPr="004855EA">
        <w:t>Azzouz</w:t>
      </w:r>
      <w:r w:rsidRPr="004855EA">
        <w:br/>
        <w:t>Chair of the Council</w:t>
      </w:r>
    </w:p>
    <w:p w14:paraId="45C632AD" w14:textId="1AD02764" w:rsidR="00796DA8" w:rsidRPr="009D60E4" w:rsidRDefault="00D256E0" w:rsidP="00B257A9">
      <w:pPr>
        <w:spacing w:before="840"/>
        <w:rPr>
          <w:b/>
          <w:bCs/>
        </w:rPr>
      </w:pPr>
      <w:r w:rsidRPr="004855EA">
        <w:rPr>
          <w:b/>
          <w:bCs/>
        </w:rPr>
        <w:t xml:space="preserve">Annexes: </w:t>
      </w:r>
      <w:r w:rsidR="00534025" w:rsidRPr="004855EA">
        <w:rPr>
          <w:b/>
          <w:bCs/>
        </w:rPr>
        <w:t>3</w:t>
      </w:r>
    </w:p>
    <w:p w14:paraId="38E502A4" w14:textId="651FE232" w:rsidR="000E6901" w:rsidRPr="00682FBD" w:rsidRDefault="00FE27FB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1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1</w:t>
        </w:r>
      </w:hyperlink>
      <w:r w:rsidR="00682FBD">
        <w:t xml:space="preserve"> - </w:t>
      </w:r>
      <w:r w:rsidR="00682FBD">
        <w:tab/>
      </w:r>
      <w:r w:rsidR="00CD53B5">
        <w:t>D</w:t>
      </w:r>
      <w:r w:rsidR="00CD53B5" w:rsidRPr="006F5B1F">
        <w:t xml:space="preserve">raft agenda </w:t>
      </w:r>
      <w:r w:rsidR="00CD53B5" w:rsidRPr="00682FBD">
        <w:t xml:space="preserve">of the </w:t>
      </w:r>
      <w:r w:rsidR="00CD53B5">
        <w:t>v</w:t>
      </w:r>
      <w:r w:rsidR="00CD53B5" w:rsidRPr="00682FBD">
        <w:t xml:space="preserve">irtual consultation of </w:t>
      </w:r>
      <w:r w:rsidR="00CD53B5">
        <w:t>councillors (C21\VCC-1)</w:t>
      </w:r>
    </w:p>
    <w:p w14:paraId="079E15F2" w14:textId="4A82B1C6" w:rsidR="000E6901" w:rsidRDefault="00FE27FB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2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2</w:t>
        </w:r>
      </w:hyperlink>
      <w:r w:rsidR="00682FBD">
        <w:t xml:space="preserve"> - </w:t>
      </w:r>
      <w:r w:rsidR="00682FBD">
        <w:tab/>
      </w:r>
      <w:r w:rsidR="00CD53B5" w:rsidRPr="00CD53B5">
        <w:t xml:space="preserve">Items </w:t>
      </w:r>
      <w:r w:rsidR="0056535A">
        <w:t xml:space="preserve">proposed to be </w:t>
      </w:r>
      <w:r w:rsidR="00CD53B5" w:rsidRPr="00CD53B5">
        <w:t xml:space="preserve">postponed to </w:t>
      </w:r>
      <w:r w:rsidR="007534A0">
        <w:t>a</w:t>
      </w:r>
      <w:r w:rsidR="004855EA">
        <w:t xml:space="preserve"> future </w:t>
      </w:r>
      <w:proofErr w:type="gramStart"/>
      <w:r w:rsidR="004855EA">
        <w:t>meeting</w:t>
      </w:r>
      <w:proofErr w:type="gramEnd"/>
    </w:p>
    <w:p w14:paraId="6D18B7A4" w14:textId="3B557404" w:rsidR="000E511C" w:rsidRPr="00682FBD" w:rsidRDefault="00FE27FB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3" w:history="1">
        <w:r w:rsidR="000E511C" w:rsidRPr="000E511C">
          <w:rPr>
            <w:rStyle w:val="Hyperlink"/>
          </w:rPr>
          <w:t>Annex 3</w:t>
        </w:r>
      </w:hyperlink>
      <w:r w:rsidR="000E511C">
        <w:t xml:space="preserve"> - </w:t>
      </w:r>
      <w:r w:rsidR="000E511C">
        <w:tab/>
      </w:r>
      <w:r w:rsidR="000E511C" w:rsidRPr="00682FBD">
        <w:t>Template for Member States’ contributions</w:t>
      </w:r>
    </w:p>
    <w:p w14:paraId="68725F5B" w14:textId="42697404" w:rsidR="00F34DAB" w:rsidRDefault="00F34D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472DF463" w14:textId="77777777" w:rsidR="002C0AB3" w:rsidRDefault="002C0AB3" w:rsidP="00B806C6">
      <w:pPr>
        <w:rPr>
          <w:sz w:val="20"/>
          <w:szCs w:val="20"/>
        </w:rPr>
      </w:pPr>
    </w:p>
    <w:p w14:paraId="0B4ADD1F" w14:textId="77777777" w:rsidR="00DC20DB" w:rsidRDefault="00DC20DB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  <w:sectPr w:rsidR="00DC20DB" w:rsidSect="00164B4E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AE4A965" w14:textId="75C10728" w:rsidR="00BF708A" w:rsidRPr="00BF708A" w:rsidRDefault="00441DCF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6" w:name="annex1"/>
      <w:bookmarkEnd w:id="6"/>
      <w:r w:rsidRPr="00BF708A">
        <w:rPr>
          <w:b/>
          <w:bCs/>
          <w:sz w:val="24"/>
          <w:szCs w:val="24"/>
        </w:rPr>
        <w:lastRenderedPageBreak/>
        <w:t>A</w:t>
      </w:r>
      <w:r w:rsidR="001761BA" w:rsidRPr="00BF708A">
        <w:rPr>
          <w:b/>
          <w:bCs/>
          <w:sz w:val="24"/>
          <w:szCs w:val="24"/>
        </w:rPr>
        <w:t>NNEX</w:t>
      </w:r>
      <w:r w:rsidRPr="00BF708A">
        <w:rPr>
          <w:b/>
          <w:bCs/>
          <w:sz w:val="24"/>
          <w:szCs w:val="24"/>
        </w:rPr>
        <w:t xml:space="preserve"> </w:t>
      </w:r>
      <w:r w:rsidR="00BE0449">
        <w:rPr>
          <w:b/>
          <w:bCs/>
          <w:sz w:val="24"/>
          <w:szCs w:val="24"/>
        </w:rPr>
        <w:t>1</w:t>
      </w:r>
      <w:r w:rsidRPr="00BF708A">
        <w:rPr>
          <w:b/>
          <w:bCs/>
          <w:sz w:val="24"/>
          <w:szCs w:val="24"/>
        </w:rPr>
        <w:t xml:space="preserve"> </w:t>
      </w:r>
    </w:p>
    <w:p w14:paraId="513E74FA" w14:textId="2F024E2E" w:rsidR="0094068E" w:rsidRDefault="000E511C" w:rsidP="006540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Draft</w:t>
      </w:r>
      <w:r w:rsidR="0094068E" w:rsidRPr="00BF708A">
        <w:rPr>
          <w:b/>
          <w:bCs/>
          <w:sz w:val="24"/>
          <w:szCs w:val="24"/>
        </w:rPr>
        <w:t xml:space="preserve"> agenda of the virtual </w:t>
      </w:r>
      <w:r w:rsidR="00BC3C6D">
        <w:rPr>
          <w:b/>
          <w:bCs/>
          <w:sz w:val="24"/>
          <w:szCs w:val="24"/>
        </w:rPr>
        <w:t xml:space="preserve">consultation </w:t>
      </w:r>
      <w:r w:rsidR="0044018B">
        <w:rPr>
          <w:b/>
          <w:bCs/>
          <w:sz w:val="24"/>
          <w:szCs w:val="24"/>
        </w:rPr>
        <w:t xml:space="preserve">of </w:t>
      </w:r>
      <w:r w:rsidR="007A2F78">
        <w:rPr>
          <w:b/>
          <w:bCs/>
          <w:sz w:val="24"/>
          <w:szCs w:val="24"/>
        </w:rPr>
        <w:t>councillors</w:t>
      </w:r>
      <w:r w:rsidR="00E27627">
        <w:rPr>
          <w:b/>
          <w:bCs/>
          <w:sz w:val="24"/>
          <w:szCs w:val="24"/>
        </w:rPr>
        <w:t xml:space="preserve"> (C21\VCC-1)</w:t>
      </w:r>
    </w:p>
    <w:p w14:paraId="4B863673" w14:textId="4257661B" w:rsidR="002A0106" w:rsidRDefault="00BE0449" w:rsidP="00654076">
      <w:pPr>
        <w:spacing w:before="360"/>
        <w:ind w:left="357"/>
      </w:pPr>
      <w:r w:rsidRPr="002A0106">
        <w:t xml:space="preserve">Based on responses from Member States of the Council further to letter </w:t>
      </w:r>
      <w:hyperlink r:id="rId16" w:history="1">
        <w:r w:rsidRPr="002A0106">
          <w:rPr>
            <w:rStyle w:val="Hyperlink"/>
          </w:rPr>
          <w:t>DM-21/1005</w:t>
        </w:r>
      </w:hyperlink>
      <w:r w:rsidRPr="002A0106">
        <w:t>, the following draft agenda of the virtual consultation of councillors (C21\VCC-1) contains items which have been identified as urgent and for which a decision is needed before the end of 2021 (</w:t>
      </w:r>
      <w:r w:rsidRPr="002A0106">
        <w:rPr>
          <w:b/>
          <w:bCs/>
          <w:color w:val="00B050"/>
        </w:rPr>
        <w:t>Group 1</w:t>
      </w:r>
      <w:r w:rsidRPr="005F58B0">
        <w:rPr>
          <w:bCs/>
        </w:rPr>
        <w:t>)</w:t>
      </w:r>
      <w:r w:rsidR="00BC690B" w:rsidRPr="005F58B0">
        <w:rPr>
          <w:bCs/>
        </w:rPr>
        <w:t>.</w:t>
      </w:r>
      <w:r w:rsidR="00BC690B" w:rsidRPr="002A0106">
        <w:t xml:space="preserve"> Document</w:t>
      </w:r>
      <w:r w:rsidR="00872C9E" w:rsidRPr="002A0106">
        <w:t>s</w:t>
      </w:r>
      <w:r w:rsidR="00BC690B" w:rsidRPr="002A0106">
        <w:t xml:space="preserve"> listed as 1+ have been </w:t>
      </w:r>
      <w:r w:rsidR="00872C9E" w:rsidRPr="002A0106">
        <w:t xml:space="preserve">identified as more urgent. </w:t>
      </w:r>
      <w:r w:rsidR="00D87816">
        <w:t>If d</w:t>
      </w:r>
      <w:r w:rsidR="00872C9E" w:rsidRPr="002A0106">
        <w:t xml:space="preserve">ocuments in group 1 </w:t>
      </w:r>
      <w:r w:rsidR="00D87816">
        <w:t>are unable to</w:t>
      </w:r>
      <w:r w:rsidR="00872C9E" w:rsidRPr="002A0106">
        <w:t xml:space="preserve"> be reviewed due to time constraint</w:t>
      </w:r>
      <w:r w:rsidR="00D87816">
        <w:t>s</w:t>
      </w:r>
      <w:r w:rsidR="00872C9E" w:rsidRPr="002A0106">
        <w:t xml:space="preserve">, </w:t>
      </w:r>
      <w:r w:rsidR="00D87816">
        <w:t xml:space="preserve">they </w:t>
      </w:r>
      <w:r w:rsidR="00872C9E" w:rsidRPr="002A0106">
        <w:t>will be pushed to group 2.</w:t>
      </w:r>
    </w:p>
    <w:p w14:paraId="1F5FB87C" w14:textId="59E9F56C" w:rsidR="00BE0449" w:rsidRPr="002A0106" w:rsidRDefault="00BE0449" w:rsidP="002A0106">
      <w:pPr>
        <w:spacing w:before="120"/>
        <w:ind w:left="357"/>
      </w:pPr>
      <w:r w:rsidRPr="002A0106">
        <w:rPr>
          <w:spacing w:val="-4"/>
        </w:rPr>
        <w:t xml:space="preserve">Member States are invited to send their contributions to the meeting by using the attached template in </w:t>
      </w:r>
      <w:hyperlink w:anchor="annex3" w:history="1">
        <w:r w:rsidRPr="004855EA">
          <w:rPr>
            <w:rStyle w:val="Hyperlink"/>
            <w:spacing w:val="-4"/>
          </w:rPr>
          <w:t>Annex 3</w:t>
        </w:r>
      </w:hyperlink>
      <w:r w:rsidRPr="004855EA">
        <w:rPr>
          <w:spacing w:val="-4"/>
        </w:rPr>
        <w:t>.</w:t>
      </w:r>
      <w:r w:rsidRPr="002A0106">
        <w:t xml:space="preserve"> </w:t>
      </w:r>
      <w:r w:rsidR="002A0106">
        <w:br/>
      </w:r>
      <w:r w:rsidRPr="002A0106">
        <w:t>The deadline for sending contributions is</w:t>
      </w:r>
      <w:r w:rsidRPr="002A0106">
        <w:rPr>
          <w:b/>
          <w:bCs/>
        </w:rPr>
        <w:t xml:space="preserve"> 25 May 2021</w:t>
      </w:r>
      <w:r w:rsidRPr="002A0106">
        <w:t>.</w:t>
      </w:r>
    </w:p>
    <w:p w14:paraId="66CE66D8" w14:textId="63BB1233" w:rsidR="00BE0449" w:rsidRPr="002A0106" w:rsidRDefault="00BE0449" w:rsidP="00654076">
      <w:pPr>
        <w:spacing w:before="120" w:after="120"/>
        <w:ind w:left="357"/>
      </w:pPr>
      <w:r w:rsidRPr="002A0106">
        <w:t>Items</w:t>
      </w:r>
      <w:r w:rsidR="0056535A">
        <w:t xml:space="preserve"> proposed to be</w:t>
      </w:r>
      <w:r w:rsidRPr="002A0106">
        <w:t xml:space="preserve"> postponed </w:t>
      </w:r>
      <w:r w:rsidR="004855EA" w:rsidRPr="00CD53B5">
        <w:t xml:space="preserve">to </w:t>
      </w:r>
      <w:r w:rsidR="00D87816">
        <w:t xml:space="preserve">a </w:t>
      </w:r>
      <w:r w:rsidR="004855EA">
        <w:t>future meeting</w:t>
      </w:r>
      <w:r w:rsidR="004855EA" w:rsidRPr="002A0106">
        <w:t xml:space="preserve"> </w:t>
      </w:r>
      <w:r w:rsidRPr="002A0106">
        <w:t>(</w:t>
      </w:r>
      <w:r w:rsidRPr="002A0106">
        <w:rPr>
          <w:b/>
          <w:bCs/>
          <w:color w:val="F79646" w:themeColor="accent6"/>
        </w:rPr>
        <w:t>Group 2</w:t>
      </w:r>
      <w:r w:rsidRPr="002A0106">
        <w:t xml:space="preserve">) can be found in </w:t>
      </w:r>
      <w:hyperlink w:anchor="annex2" w:history="1">
        <w:r w:rsidRPr="00B76CF3">
          <w:rPr>
            <w:rStyle w:val="Hyperlink"/>
          </w:rPr>
          <w:t>Annex 2</w:t>
        </w:r>
      </w:hyperlink>
      <w:r w:rsidRPr="002A0106">
        <w:t xml:space="preserve"> for ease of reference.</w:t>
      </w:r>
    </w:p>
    <w:p w14:paraId="10AA1984" w14:textId="728FCA72" w:rsidR="000E511C" w:rsidRPr="000A3AF4" w:rsidRDefault="000E511C" w:rsidP="002A0106">
      <w:pPr>
        <w:spacing w:before="0" w:after="120" w:line="240" w:lineRule="auto"/>
        <w:ind w:left="357"/>
        <w:jc w:val="center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872C9E" w:rsidRPr="0085706F" w14:paraId="3200D6F5" w14:textId="60A0EB8A" w:rsidTr="00872C9E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D155C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91A26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DD18B2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925EE" w14:textId="77777777" w:rsidR="00872C9E" w:rsidRPr="001B141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542E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FINAL</w:t>
            </w:r>
          </w:p>
        </w:tc>
      </w:tr>
      <w:tr w:rsidR="004B58AB" w:rsidRPr="0085706F" w14:paraId="25353BF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8B3" w14:textId="7CF0B44E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62E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outcomes of discussions of VCCs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222" w14:textId="69C55FB8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16EBC" w14:textId="5EF4BDD5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+</w:t>
            </w:r>
          </w:p>
        </w:tc>
      </w:tr>
      <w:tr w:rsidR="004B58AB" w:rsidRPr="003B236C" w14:paraId="60406306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317" w14:textId="35ADB43B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E436" w14:textId="1620DB83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RA-19 and WRC-19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C690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to be noted with the above document C21/14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B0B5" w14:textId="6F1C0688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FEE15" w14:textId="51C0553F" w:rsidR="004B58AB" w:rsidRPr="00D21FB7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4B58AB" w:rsidRPr="0085706F" w14:paraId="1A8DEB5E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601" w14:textId="5765A88B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DA2A2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the strategic plan and the activities of the Union for 2020-2021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227" w14:textId="40210E7C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F0FF1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461EEAB" w14:textId="2B2463BD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E35" w14:textId="7BAF1FA4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DDD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bookmarkStart w:id="7" w:name="RANGE!C15"/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four-year operational plan for the General Secretariat for 2021-2024 (CV 87A, 181A, 205A, 223A) (R 1390)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5BB" w14:textId="1A8E98B8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056E3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17A9A" w14:paraId="41C691E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F4D" w14:textId="12EE8971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97D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Elaboration of the Strategic and Financial Plans for the Union for 2024 - 2027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C52" w14:textId="78155311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DCBD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300FA0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108" w14:textId="0A8A95C7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1B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List of candidature for Chairs and Vice-Chairs of CWGs, EGs, IEGs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B1F" w14:textId="58404C22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2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8C3A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DA9B9E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766" w14:textId="0D556C48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294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Preparations for WTDC-21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82C" w14:textId="659980E3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3E07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040009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F7F" w14:textId="0D81E816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6C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Preparations for WTPF-21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252" w14:textId="59820500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539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8144C2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D96" w14:textId="6CC5F48A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86E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Preparations for WTSA-20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BA2" w14:textId="2708D9B4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1FE1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EAC4A3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2CEB" w14:textId="0F5897F4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F0AA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Preparations for the Plenipotentiary Conference (Bucharest,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38F" w14:textId="09427966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331E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76986F6" w14:textId="48141321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F43" w14:textId="6BA521B6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E1E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Proposed improvements to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109" w14:textId="0EA9D69C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B938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3B236C" w14:paraId="6CF91AD0" w14:textId="297898BE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A" w14:textId="000E535F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2E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Implementation of PP Com 5 Rec 6 &amp; 7 (electoral process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E90C" w14:textId="54A75EFD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15A7C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C613FF0" w14:textId="1B16140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09D" w14:textId="7D7D6AC8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50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Ethical guidelines on campaigning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77B" w14:textId="46B1D98C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9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5C205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AD56D4" w:rsidRPr="004D69DE" w14:paraId="6390E156" w14:textId="77777777" w:rsidTr="005F58B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AF0" w14:textId="01A3B7DE" w:rsidR="00AD56D4" w:rsidRPr="005A3DE4" w:rsidRDefault="005A3DE4" w:rsidP="005F58B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  <w:r w:rsidR="00AD56D4" w:rsidRP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586D" w14:textId="77777777" w:rsidR="00AD56D4" w:rsidRPr="00AD56D4" w:rsidRDefault="00AD56D4" w:rsidP="005F58B0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AD56D4">
              <w:rPr>
                <w:rFonts w:eastAsia="Times New Roman"/>
                <w:sz w:val="18"/>
                <w:szCs w:val="18"/>
                <w:lang w:eastAsia="en-GB"/>
              </w:rPr>
              <w:t>Preparations for World Radiocommunication Conference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BE7" w14:textId="393E5B04" w:rsidR="00AD56D4" w:rsidRPr="00AD56D4" w:rsidRDefault="00FE27FB" w:rsidP="005F58B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="00AD56D4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B07F" w14:textId="77777777" w:rsidR="00AD56D4" w:rsidRPr="008542EA" w:rsidRDefault="00AD56D4" w:rsidP="005F58B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AD56D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330B773" w14:textId="7AB696A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96C" w14:textId="7D37AFEF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8E8" w14:textId="3CC89B78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Proposed dates and duration of the 2022, 2023, 2024, 2025, 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2026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sessions of the Council and the CWG clusters for 2022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and 2023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980" w14:textId="02951587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7C656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263FC2E2" w14:textId="4490A12D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0F6" w14:textId="387A6E29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152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Schedule of future conferences, </w:t>
            </w:r>
            <w:proofErr w:type="gramStart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assemblies</w:t>
            </w:r>
            <w:proofErr w:type="gramEnd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and meetings of the Union: 2021-2024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C77" w14:textId="585823D1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03DC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D002FFC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716F" w14:textId="0E8FD3B1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92B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World Telecommunication and Information Society Day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1EE" w14:textId="5F729D61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640D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35FDF64" w14:textId="6B96870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043" w14:textId="53E1F77E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D163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Biennial budget of the International Telecommunication Union for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E1D" w14:textId="3A6978E5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06B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4D69DE" w14:paraId="2AB65639" w14:textId="700841B8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6A8" w14:textId="2566C8DF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28104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Preliminary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of the contributory unit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2F5" w14:textId="00CD7854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75E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127637D" w14:textId="0B66B61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10C" w14:textId="08BBE737" w:rsidR="004B58AB" w:rsidRPr="0085706F" w:rsidRDefault="005A3DE4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D291D" w14:textId="77777777" w:rsidR="004B58AB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Unfunded Mandatory Activities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2FC" w14:textId="173AF72A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9845B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FC4C36" w14:paraId="589B99AE" w14:textId="4FFF433F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060" w14:textId="7D4DF242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508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by the Chairman of the Council Working Group on Financial and Human Resources (CWG-FHR)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BCD" w14:textId="082FCB5E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D6D6C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FA3AF12" w14:textId="0395DD6F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30F" w14:textId="50E9312F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10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Arrears and special arrears accounts </w:t>
            </w:r>
            <w:r w:rsidRPr="00BE68D2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743" w14:textId="5B8838B0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0BE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C6E2D39" w14:textId="27676E98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ACD" w14:textId="286BA2CE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EA6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Audited accounts: Audited Financial operating report for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0E2" w14:textId="6BE71689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5B49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03BBDBE" w14:textId="1D97400A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CCD" w14:textId="06CE3B89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E0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accounts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F994" w14:textId="566103F2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66BB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1FAF648" w14:textId="33DAA7AB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980" w14:textId="0221332D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76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 of ITU TELECOM World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E7F" w14:textId="27C78526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D3D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7E8E61D" w14:textId="69C6924C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D93" w14:textId="10755FEC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CF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Internal Auditor on internal audit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98B" w14:textId="06B5C88C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6019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CB7CB6B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A3C" w14:textId="15D6C533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4B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New investigation function and process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1C6D" w14:textId="0F0D22A8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5381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49649CB" w14:textId="247E2C7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698" w14:textId="2A868684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108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E03" w14:textId="173A9096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F78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C64DFEE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9F9" w14:textId="7C22B44B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0E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MSA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CC9" w14:textId="75F8FD36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D4BF0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D8048BF" w14:textId="38A714CA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084" w14:textId="78AA7AC8" w:rsidR="004B58AB" w:rsidRPr="005A3DE4" w:rsidRDefault="005A3DE4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B2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Staff Working Conditions Strategy and Implementation Plan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8B3" w14:textId="00CDF131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59F8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D135F69" w14:textId="6EC3D116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7B3" w14:textId="7B0CC5A9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EEA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Decisions of the UNGA on the conditions of service under the UN common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4C63" w14:textId="35D963A6" w:rsidR="004B58AB" w:rsidRPr="004B58AB" w:rsidRDefault="00FE27F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297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87A86AA" w14:textId="51C756C2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710" w14:textId="0797CC15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DD6" w14:textId="49661178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outcomes of the CWG-WSIS&amp;SDG activities (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(MOD), including its implementation)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594E" w14:textId="327ACB38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AF8E0" w14:textId="6A37F22D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B3EF684" w14:textId="4CD7EE7C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80DF1" w14:textId="0857C184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5C7" w14:textId="3F8EBF1F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Child online protection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D9E" w14:textId="740F2E55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E069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C461A04" w14:textId="715EB372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9E0" w14:textId="1D224A8D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AA2" w14:textId="55A7623E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Languages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4E7" w14:textId="106410DE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C12B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750D79D3" w14:textId="65197D82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61C" w14:textId="62DF3E0B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75A" w14:textId="30E9FD6D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from EG-ITRs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146, R1379 (MOD))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FBD" w14:textId="3F209F86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CF0C4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A6E4C80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6537" w14:textId="4B0AEC65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528" w14:textId="34A26D51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by the Chair of the Council Working Group on International Internet-Related Public Policy Issues (CWG-Internet)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 1305, R 1336(MOD)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F85" w14:textId="65174FB3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05FCE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1F92AFF3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B64" w14:textId="2D65F55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8A6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how ITU is currently utilizing the GCA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2BF" w14:textId="489CA2C8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161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53D1865D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85B" w14:textId="12147811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0A8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Guidelines for the utilization of the GCA by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D47" w14:textId="69E26723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D42B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CE1BF7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B12" w14:textId="09AE339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BC0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Independent Management Advisory Committee (IMAC)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21D" w14:textId="47EB64D3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09AD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DADEEFA" w14:textId="6D4E6866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516" w14:textId="0A3E4976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6C4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working group on internal controls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267" w14:textId="2DA8938A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961E8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42AB6C8" w14:textId="7163272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3AA" w14:textId="74737889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183D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General Audit following fraud case at a regional office </w:t>
            </w:r>
            <w:r w:rsidRPr="00BE68D2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0F1" w14:textId="1089DB9F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C9CDE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2947A56" w14:textId="7702CCA3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118" w14:textId="25EDADBE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8C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Organization Resilience Management System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2B7" w14:textId="683794B7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A7B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8D4A42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A453" w14:textId="6A711FF8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3A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ITU Accountability Framework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CCB" w14:textId="59C087D4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24A6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2F7FF7BD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762" w14:textId="248A0212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5FA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risk management action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9DAF" w14:textId="79205F0C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11B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FAC8E85" w14:textId="77777777" w:rsidTr="004855E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21F" w14:textId="4D0ECF10" w:rsidR="004B58AB" w:rsidRPr="0085706F" w:rsidDel="00B76952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9A2F" w14:textId="4E068E76" w:rsidR="004B58AB" w:rsidRPr="0075529E" w:rsidRDefault="004B58AB" w:rsidP="004B58AB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transformation initiative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DEA3" w14:textId="7F9BFF72" w:rsidR="004B58AB" w:rsidRPr="004B58AB" w:rsidRDefault="00FE27FB" w:rsidP="004B58AB">
            <w:pPr>
              <w:pStyle w:val="Heading3"/>
              <w:spacing w:before="20" w:after="20" w:line="240" w:lineRule="auto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61" w:history="1">
              <w:r w:rsidR="004B58AB" w:rsidRPr="007534A0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BB35C" w14:textId="77777777" w:rsidR="004B58AB" w:rsidRPr="008542EA" w:rsidRDefault="004B58AB" w:rsidP="004B58AB">
            <w:pPr>
              <w:pStyle w:val="Heading3"/>
              <w:spacing w:before="20" w:after="20" w:line="240" w:lineRule="auto"/>
              <w:jc w:val="center"/>
              <w:rPr>
                <w:lang w:eastAsia="en-GB"/>
              </w:rPr>
            </w:pPr>
            <w:r w:rsidRPr="008542EA">
              <w:rPr>
                <w:rFonts w:eastAsia="Times New Roman"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AE4914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C74" w14:textId="11A2F7AF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86F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Progress report on the implementation of the Human Resources strategic plan and of Resolution 48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004E" w14:textId="49C7E12A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6BFB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9E5B70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4D8" w14:textId="30093F68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139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Participation of ITU in UN pension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3EBD" w14:textId="49AB2C3B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7534A0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82C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3D4173C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7BC" w14:textId="37739E0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76C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Membership of the ITU Staff Pension Committee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8B74" w14:textId="77777777" w:rsidR="004B58AB" w:rsidRPr="004B58AB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B58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63A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C12206A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257" w14:textId="643589A9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881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the Ethics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689F" w14:textId="01E9B81B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87899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8C953E3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40C" w14:textId="12F9FDFB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A2C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The After-Service Health Insurance (ASHI) liability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19" w14:textId="0F8441B7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C0200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8F6FDDE" w14:textId="4C7594C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3FA" w14:textId="30B0B3C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D40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Information and Communication Technologies Development Fund (ICT-DF)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420A" w14:textId="4D6829BC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76C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4670A0D" w14:textId="48E5619F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E40" w14:textId="17971FE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9DE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Strengthening the Regional Presence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A3F" w14:textId="49EC030D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AB6E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0357B09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1ED" w14:textId="5941CEC4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565F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New ITU index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9F9" w14:textId="1A3641C6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968AC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30750D2" w14:textId="5F956830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5861" w14:textId="2F971F5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8244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Outcome of WRC-19 with financial implications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C73" w14:textId="09A856DE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5E82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7391953D" w14:textId="77777777" w:rsidTr="004855E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0D70" w14:textId="76C89DC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F9E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hiring of an independent external management consultancy, including recommendations and various strategies (Res. 11, resolves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047" w14:textId="4D9E43C5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5041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1A7FC634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293F" w14:textId="70B523E2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2C95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Requests for exemption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9AD" w14:textId="1FC28232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2F880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68E186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FA2" w14:textId="4448587F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F5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Strategy for the coordination of efforts among the three Sectors of the Union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F41" w14:textId="205F1B8E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E17F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25EFC6B3" w14:textId="65BDC1A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34F" w14:textId="5F651851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1E3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Report on ITU’s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D702E" w14:textId="45089EF1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7534A0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56FD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4BA8989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7C4" w14:textId="32853C86" w:rsidR="004B58AB" w:rsidRPr="0085706F" w:rsidRDefault="005A3DE4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D8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Updated ITU accessibility policy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891" w14:textId="04C52281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695E4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01D3896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D14" w14:textId="3F81F9A8" w:rsidR="004B58AB" w:rsidRPr="00315050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27B" w14:textId="77777777" w:rsidR="004B58AB" w:rsidRPr="00315050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Covid situation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6D6" w14:textId="1076B070" w:rsidR="004B58AB" w:rsidRPr="004B58AB" w:rsidRDefault="00FE27F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25487" w14:textId="77777777" w:rsidR="004B58AB" w:rsidRPr="00315050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</w:tbl>
    <w:p w14:paraId="372BBFFE" w14:textId="24713403" w:rsidR="00BE0449" w:rsidRPr="000A3AF4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6"/>
          <w:szCs w:val="16"/>
        </w:rPr>
      </w:pPr>
      <w:r w:rsidRPr="000A3AF4">
        <w:rPr>
          <w:sz w:val="16"/>
          <w:szCs w:val="16"/>
        </w:rPr>
        <w:br w:type="page"/>
      </w:r>
    </w:p>
    <w:p w14:paraId="6436F045" w14:textId="6D98A092" w:rsidR="00BE0449" w:rsidRPr="00BF708A" w:rsidRDefault="00BE0449" w:rsidP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8" w:name="annex2"/>
      <w:bookmarkEnd w:id="8"/>
      <w:r w:rsidRPr="00BF708A">
        <w:rPr>
          <w:b/>
          <w:bCs/>
          <w:sz w:val="24"/>
          <w:szCs w:val="24"/>
        </w:rPr>
        <w:lastRenderedPageBreak/>
        <w:t>ANNE</w:t>
      </w:r>
      <w:r w:rsidRPr="009753AD">
        <w:rPr>
          <w:b/>
          <w:bCs/>
          <w:sz w:val="24"/>
          <w:szCs w:val="24"/>
        </w:rPr>
        <w:t>X 2</w:t>
      </w:r>
      <w:r w:rsidRPr="00BF708A">
        <w:rPr>
          <w:b/>
          <w:bCs/>
          <w:sz w:val="24"/>
          <w:szCs w:val="24"/>
        </w:rPr>
        <w:t xml:space="preserve"> </w:t>
      </w:r>
    </w:p>
    <w:p w14:paraId="2AAC713E" w14:textId="5F77BE97" w:rsidR="00BE0449" w:rsidRPr="00BE0449" w:rsidRDefault="00BE0449" w:rsidP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b/>
          <w:bCs/>
          <w:sz w:val="24"/>
          <w:szCs w:val="24"/>
        </w:rPr>
      </w:pPr>
      <w:r w:rsidRPr="00BE0449">
        <w:rPr>
          <w:b/>
          <w:bCs/>
        </w:rPr>
        <w:t xml:space="preserve">Items </w:t>
      </w:r>
      <w:r w:rsidR="0056535A">
        <w:rPr>
          <w:b/>
          <w:bCs/>
        </w:rPr>
        <w:t xml:space="preserve">proposed to be </w:t>
      </w:r>
      <w:r w:rsidRPr="00BE0449">
        <w:rPr>
          <w:b/>
          <w:bCs/>
        </w:rPr>
        <w:t xml:space="preserve">postponed </w:t>
      </w:r>
      <w:r w:rsidR="004855EA" w:rsidRPr="004855EA">
        <w:rPr>
          <w:b/>
          <w:bCs/>
        </w:rPr>
        <w:t xml:space="preserve">to </w:t>
      </w:r>
      <w:r w:rsidR="00E22406">
        <w:rPr>
          <w:b/>
          <w:bCs/>
        </w:rPr>
        <w:t>a</w:t>
      </w:r>
      <w:r w:rsidR="00E22406" w:rsidRPr="004855EA">
        <w:rPr>
          <w:b/>
          <w:bCs/>
        </w:rPr>
        <w:t xml:space="preserve"> </w:t>
      </w:r>
      <w:r w:rsidR="004855EA" w:rsidRPr="004855EA">
        <w:rPr>
          <w:b/>
          <w:bCs/>
        </w:rPr>
        <w:t xml:space="preserve">future </w:t>
      </w:r>
      <w:proofErr w:type="gramStart"/>
      <w:r w:rsidR="004855EA" w:rsidRPr="004855EA">
        <w:rPr>
          <w:b/>
          <w:bCs/>
        </w:rPr>
        <w:t>meeting</w:t>
      </w:r>
      <w:proofErr w:type="gramEnd"/>
    </w:p>
    <w:p w14:paraId="460DE3CB" w14:textId="287143EB" w:rsidR="00BE0449" w:rsidRPr="000A3AF4" w:rsidRDefault="00BE0449" w:rsidP="000A3AF4">
      <w:pPr>
        <w:spacing w:before="360"/>
        <w:ind w:left="357"/>
        <w:jc w:val="center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0A3AF4" w:rsidRPr="0085706F" w14:paraId="21A4931F" w14:textId="77777777" w:rsidTr="000A3AF4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745BE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9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B3601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B3B61B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E104F" w14:textId="77777777" w:rsidR="000A3AF4" w:rsidRPr="001B141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542E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FINAL</w:t>
            </w:r>
          </w:p>
        </w:tc>
      </w:tr>
      <w:tr w:rsidR="000A3AF4" w:rsidRPr="0085706F" w14:paraId="5BE91D8F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FBB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01D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Internet activities: Resolutions 101, 102, 133 and 180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095" w14:textId="5962C9A0" w:rsidR="000A3AF4" w:rsidRPr="00057F2C" w:rsidRDefault="00FE27FB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968DF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4E11C992" w14:textId="77777777" w:rsidTr="000A3AF4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C2E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365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activities on strengthening the role of ITU in building confidence and security in the use of ICTs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CDB" w14:textId="67823989" w:rsidR="000A3AF4" w:rsidRPr="00057F2C" w:rsidRDefault="00FE27FB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7BE71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266376BB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BAF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F3A8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ITU’s activities related to Resolution 70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27A9" w14:textId="3D485D72" w:rsidR="000A3AF4" w:rsidRPr="0085706F" w:rsidRDefault="00FE27FB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8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037A4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10181F32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A9D7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8901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ITU Telecom World events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B46B" w14:textId="056ADEA9" w:rsidR="000A3AF4" w:rsidRPr="0085706F" w:rsidRDefault="00FE27FB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4A88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6DD180E0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277" w14:textId="28E68306" w:rsidR="000A3AF4" w:rsidRPr="0085706F" w:rsidRDefault="004855EA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1EA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Revenue and expenses (Dec. 5): Annual review of revenue &amp; expenses (Dec. 5) and Efficiency measures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9F4" w14:textId="2AF55021" w:rsidR="000A3AF4" w:rsidRPr="0085706F" w:rsidRDefault="00FE27FB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0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7151A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9"/>
      <w:tr w:rsidR="004855EA" w:rsidRPr="0085706F" w14:paraId="5BD763D4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A16" w14:textId="5DAD5C83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B972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Cost Recovery for the processing of Satellite network Filings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0E1" w14:textId="03032B05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1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E491B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5922A421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FBE" w14:textId="5EC2FEF4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32A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Provisional participation of entities dealing with telecommunication matters in the activities of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7E8A" w14:textId="5D5C1603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2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45B63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17A9A" w14:paraId="1DD8F4C5" w14:textId="77777777" w:rsidTr="005F58B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62C" w14:textId="79BBD005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D723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Improvement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398C" w14:textId="2151A799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3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95EA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674E286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48D" w14:textId="352859E9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318B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Status Report on Implementation of Council Decision 600 and 601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5D71" w14:textId="0235693A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4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B7784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55EA0398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F7D" w14:textId="680E107D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FBF7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 participation in memoranda of understanding with financial and/or strategic implications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E622" w14:textId="5530F0A0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5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C710E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A98BDD5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270" w14:textId="7E9B8B3C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BB99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BD2B" w14:textId="0F898FD5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6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FD344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28954798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4D7" w14:textId="3039785B" w:rsidR="004855EA" w:rsidRPr="0082691C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41D3" w14:textId="77777777" w:rsidR="004855EA" w:rsidRPr="0082691C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analysis and review of current training and capacity-building activities undertaken by the Group on Capacity Building Initiatives, the ITU Academy and </w:t>
            </w:r>
            <w:proofErr w:type="spellStart"/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centres</w:t>
            </w:r>
            <w:proofErr w:type="spellEnd"/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of excellence, and the possible creation of a capacity-building institute in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4EC" w14:textId="396945AF" w:rsidR="004855EA" w:rsidRPr="0082691C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7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4E295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2691C" w14:paraId="0C6CDF5E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676B" w14:textId="27CB02C4" w:rsidR="004855EA" w:rsidRPr="0082691C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1524" w14:textId="77777777" w:rsidR="004855EA" w:rsidRPr="0082691C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Measures taken by ITU on conditions for on-site emergency medical support at ITU conferences and meetings held away from Geneva</w:t>
            </w:r>
            <w:r w:rsidRPr="0082691C">
              <w:rPr>
                <w:rFonts w:eastAsia="Times New Roman"/>
                <w:color w:val="008080"/>
                <w:u w:val="single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26F" w14:textId="0BBD3640" w:rsidR="004855EA" w:rsidRPr="0082691C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8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4BA52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34B7376" w14:textId="77777777" w:rsidTr="00BC690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F4A" w14:textId="59BFA9EB" w:rsidR="004855EA" w:rsidRPr="00BC690B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1870" w14:textId="77777777" w:rsidR="004855EA" w:rsidRPr="00BC690B" w:rsidRDefault="004855EA" w:rsidP="004855EA">
            <w:pPr>
              <w:spacing w:before="40" w:after="40" w:line="240" w:lineRule="auto"/>
              <w:rPr>
                <w:sz w:val="18"/>
                <w:szCs w:val="18"/>
              </w:rPr>
            </w:pPr>
            <w:r w:rsidRPr="00BC690B">
              <w:rPr>
                <w:sz w:val="18"/>
                <w:szCs w:val="18"/>
              </w:rPr>
              <w:t>Obsolete Council Resolutions &amp; Decisions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5296" w14:textId="7B16CCA3" w:rsidR="004855EA" w:rsidRPr="0085706F" w:rsidRDefault="00FE27FB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9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0C6D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3FBE4985" w14:textId="77777777" w:rsidR="000A3AF4" w:rsidRPr="000A3AF4" w:rsidRDefault="000A3AF4" w:rsidP="00BE0449">
      <w:pPr>
        <w:spacing w:before="480"/>
        <w:ind w:left="357"/>
        <w:jc w:val="center"/>
      </w:pPr>
    </w:p>
    <w:p w14:paraId="25E52E88" w14:textId="77777777" w:rsidR="00BE0449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6D51F7EC" w14:textId="77777777" w:rsidR="00BE0449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sectPr w:rsidR="00BE0449" w:rsidSect="008508BE">
          <w:headerReference w:type="first" r:id="rId90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14:paraId="3181397B" w14:textId="3F7ECF66" w:rsidR="000E511C" w:rsidRPr="00E5320B" w:rsidRDefault="000E511C" w:rsidP="000E511C">
      <w:pPr>
        <w:spacing w:before="0" w:line="240" w:lineRule="auto"/>
        <w:jc w:val="center"/>
        <w:rPr>
          <w:b/>
          <w:bCs/>
          <w:sz w:val="24"/>
          <w:szCs w:val="24"/>
        </w:rPr>
      </w:pPr>
      <w:bookmarkStart w:id="10" w:name="annex3"/>
      <w:bookmarkEnd w:id="10"/>
      <w:r w:rsidRPr="009712C5">
        <w:rPr>
          <w:b/>
          <w:bCs/>
          <w:sz w:val="24"/>
          <w:szCs w:val="24"/>
        </w:rPr>
        <w:lastRenderedPageBreak/>
        <w:t>ANNEX 3</w:t>
      </w:r>
    </w:p>
    <w:p w14:paraId="4586FFD8" w14:textId="77777777" w:rsidR="000E511C" w:rsidRPr="00E5320B" w:rsidRDefault="000E511C" w:rsidP="00BE0449">
      <w:pPr>
        <w:spacing w:after="360"/>
        <w:jc w:val="center"/>
        <w:rPr>
          <w:b/>
          <w:bCs/>
          <w:sz w:val="24"/>
          <w:szCs w:val="24"/>
        </w:rPr>
      </w:pPr>
      <w:r w:rsidRPr="00E5320B">
        <w:rPr>
          <w:b/>
          <w:bCs/>
          <w:sz w:val="24"/>
          <w:szCs w:val="24"/>
        </w:rPr>
        <w:t>Template for Member States’ contributions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E0449" w:rsidRPr="00813E5E" w14:paraId="54E4612C" w14:textId="77777777" w:rsidTr="00BE0449">
        <w:trPr>
          <w:cantSplit/>
          <w:trHeight w:val="1276"/>
        </w:trPr>
        <w:tc>
          <w:tcPr>
            <w:tcW w:w="6911" w:type="dxa"/>
          </w:tcPr>
          <w:p w14:paraId="59AF2CAE" w14:textId="77777777" w:rsidR="00BE0449" w:rsidRPr="00813E5E" w:rsidRDefault="00BE0449" w:rsidP="00BE0449">
            <w:pPr>
              <w:spacing w:before="360" w:after="48" w:line="240" w:lineRule="atLeast"/>
              <w:jc w:val="left"/>
              <w:rPr>
                <w:position w:val="6"/>
              </w:rPr>
            </w:pPr>
            <w:bookmarkStart w:id="11" w:name="dc06"/>
            <w:bookmarkEnd w:id="11"/>
            <w:r w:rsidRPr="00DE4373">
              <w:rPr>
                <w:b/>
                <w:bCs/>
                <w:position w:val="6"/>
                <w:sz w:val="30"/>
                <w:szCs w:val="30"/>
              </w:rPr>
              <w:t>Council 2021</w:t>
            </w:r>
            <w:r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Pr="00DE4373">
              <w:rPr>
                <w:b/>
                <w:bCs/>
                <w:position w:val="6"/>
                <w:sz w:val="28"/>
                <w:szCs w:val="28"/>
              </w:rPr>
              <w:t xml:space="preserve">Virtual consultation of councillors, </w:t>
            </w:r>
            <w:r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3052005B" w14:textId="77777777" w:rsidR="00BE0449" w:rsidRPr="00813E5E" w:rsidRDefault="00BE0449" w:rsidP="00BE0449">
            <w:pPr>
              <w:spacing w:before="0" w:line="240" w:lineRule="atLeast"/>
            </w:pPr>
            <w:bookmarkStart w:id="12" w:name="ditulogo"/>
            <w:bookmarkEnd w:id="12"/>
            <w:r>
              <w:rPr>
                <w:noProof/>
              </w:rPr>
              <w:drawing>
                <wp:inline distT="0" distB="0" distL="0" distR="0" wp14:anchorId="04A984DC" wp14:editId="765AA8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449" w:rsidRPr="00813E5E" w14:paraId="757D7111" w14:textId="77777777" w:rsidTr="00BE04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70C513" w14:textId="77777777" w:rsidR="00BE0449" w:rsidRPr="00813E5E" w:rsidRDefault="00BE0449" w:rsidP="00BE04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455FE9" w14:textId="77777777" w:rsidR="00BE0449" w:rsidRPr="00813E5E" w:rsidRDefault="00BE0449" w:rsidP="00BE0449">
            <w:pPr>
              <w:spacing w:before="0" w:line="240" w:lineRule="atLeast"/>
              <w:rPr>
                <w:szCs w:val="24"/>
              </w:rPr>
            </w:pPr>
          </w:p>
        </w:tc>
      </w:tr>
      <w:tr w:rsidR="00BE0449" w:rsidRPr="00813E5E" w14:paraId="3FAE1536" w14:textId="77777777" w:rsidTr="00BE04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678A17" w14:textId="77777777" w:rsidR="00BE0449" w:rsidRPr="00813E5E" w:rsidRDefault="00BE0449" w:rsidP="00BE04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298A5E" w14:textId="77777777" w:rsidR="00BE0449" w:rsidRPr="00813E5E" w:rsidRDefault="00BE0449" w:rsidP="00BE0449">
            <w:pPr>
              <w:spacing w:before="0" w:line="240" w:lineRule="atLeast"/>
              <w:rPr>
                <w:szCs w:val="24"/>
              </w:rPr>
            </w:pPr>
          </w:p>
        </w:tc>
      </w:tr>
      <w:tr w:rsidR="00BE0449" w:rsidRPr="00813E5E" w14:paraId="4FF9B643" w14:textId="77777777" w:rsidTr="00BE0449">
        <w:trPr>
          <w:cantSplit/>
          <w:trHeight w:val="23"/>
        </w:trPr>
        <w:tc>
          <w:tcPr>
            <w:tcW w:w="6911" w:type="dxa"/>
            <w:vMerge w:val="restart"/>
          </w:tcPr>
          <w:p w14:paraId="14708306" w14:textId="77777777" w:rsidR="00BE0449" w:rsidRPr="00BE0449" w:rsidRDefault="00BE0449" w:rsidP="00BE0449">
            <w:pPr>
              <w:tabs>
                <w:tab w:val="left" w:pos="851"/>
              </w:tabs>
              <w:spacing w:before="0" w:line="240" w:lineRule="atLeast"/>
              <w:rPr>
                <w:b/>
                <w:sz w:val="24"/>
                <w:szCs w:val="24"/>
              </w:rPr>
            </w:pPr>
            <w:bookmarkStart w:id="13" w:name="dmeeting" w:colFirst="0" w:colLast="0"/>
            <w:bookmarkStart w:id="14" w:name="dnum" w:colFirst="1" w:colLast="1"/>
            <w:r w:rsidRPr="00BE0449">
              <w:rPr>
                <w:b/>
                <w:sz w:val="24"/>
                <w:szCs w:val="24"/>
              </w:rPr>
              <w:t>Agenda item: xx</w:t>
            </w:r>
          </w:p>
        </w:tc>
        <w:tc>
          <w:tcPr>
            <w:tcW w:w="3120" w:type="dxa"/>
          </w:tcPr>
          <w:p w14:paraId="3B5F3ED1" w14:textId="77777777" w:rsidR="00BE0449" w:rsidRPr="00AC30F1" w:rsidRDefault="00BE0449" w:rsidP="00BE0449">
            <w:pPr>
              <w:tabs>
                <w:tab w:val="left" w:pos="851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>Document C21/xx-E</w:t>
            </w:r>
          </w:p>
        </w:tc>
      </w:tr>
      <w:tr w:rsidR="00BE0449" w:rsidRPr="00813E5E" w14:paraId="735DA097" w14:textId="77777777" w:rsidTr="00BE0449">
        <w:trPr>
          <w:cantSplit/>
          <w:trHeight w:val="23"/>
        </w:trPr>
        <w:tc>
          <w:tcPr>
            <w:tcW w:w="6911" w:type="dxa"/>
            <w:vMerge/>
          </w:tcPr>
          <w:p w14:paraId="39D1F61E" w14:textId="77777777" w:rsidR="00BE0449" w:rsidRPr="00813E5E" w:rsidRDefault="00BE0449" w:rsidP="00BE04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5" w:name="ddate" w:colFirst="1" w:colLast="1"/>
            <w:bookmarkEnd w:id="13"/>
            <w:bookmarkEnd w:id="14"/>
          </w:p>
        </w:tc>
        <w:tc>
          <w:tcPr>
            <w:tcW w:w="3120" w:type="dxa"/>
          </w:tcPr>
          <w:p w14:paraId="46DBA534" w14:textId="77777777" w:rsidR="00BE0449" w:rsidRPr="00AC30F1" w:rsidRDefault="00BE0449" w:rsidP="00BE0449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 xml:space="preserve">x </w:t>
            </w:r>
            <w:proofErr w:type="spellStart"/>
            <w:r w:rsidRPr="00AC30F1">
              <w:rPr>
                <w:b/>
                <w:sz w:val="24"/>
                <w:szCs w:val="24"/>
              </w:rPr>
              <w:t>xxxxxx</w:t>
            </w:r>
            <w:proofErr w:type="spellEnd"/>
            <w:r w:rsidRPr="00AC30F1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BE0449" w:rsidRPr="00813E5E" w14:paraId="3F588D86" w14:textId="77777777" w:rsidTr="00BE0449">
        <w:trPr>
          <w:cantSplit/>
          <w:trHeight w:val="23"/>
        </w:trPr>
        <w:tc>
          <w:tcPr>
            <w:tcW w:w="6911" w:type="dxa"/>
            <w:vMerge/>
          </w:tcPr>
          <w:p w14:paraId="69E6C5DA" w14:textId="77777777" w:rsidR="00BE0449" w:rsidRPr="00813E5E" w:rsidRDefault="00BE0449" w:rsidP="00BE04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6" w:name="dorlang" w:colFirst="1" w:colLast="1"/>
            <w:bookmarkEnd w:id="15"/>
          </w:p>
        </w:tc>
        <w:tc>
          <w:tcPr>
            <w:tcW w:w="3120" w:type="dxa"/>
          </w:tcPr>
          <w:p w14:paraId="554125EB" w14:textId="77777777" w:rsidR="00BE0449" w:rsidRPr="00AC30F1" w:rsidRDefault="00BE0449" w:rsidP="00BE0449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>Original: English</w:t>
            </w:r>
          </w:p>
        </w:tc>
      </w:tr>
      <w:tr w:rsidR="00BE0449" w:rsidRPr="00813E5E" w14:paraId="2A471CC4" w14:textId="77777777" w:rsidTr="00BE0449">
        <w:trPr>
          <w:cantSplit/>
        </w:trPr>
        <w:tc>
          <w:tcPr>
            <w:tcW w:w="10031" w:type="dxa"/>
            <w:gridSpan w:val="2"/>
          </w:tcPr>
          <w:p w14:paraId="433A2FC3" w14:textId="77777777" w:rsidR="00BE0449" w:rsidRPr="00DE4373" w:rsidRDefault="00BE0449" w:rsidP="00BE0449">
            <w:pPr>
              <w:pStyle w:val="Source"/>
            </w:pPr>
            <w:bookmarkStart w:id="17" w:name="dsource" w:colFirst="0" w:colLast="0"/>
            <w:bookmarkEnd w:id="16"/>
            <w:r w:rsidRPr="00DE4373">
              <w:t>Source</w:t>
            </w:r>
          </w:p>
        </w:tc>
      </w:tr>
      <w:tr w:rsidR="00BE0449" w:rsidRPr="00813E5E" w14:paraId="4E995F80" w14:textId="77777777" w:rsidTr="00BE0449">
        <w:trPr>
          <w:cantSplit/>
        </w:trPr>
        <w:tc>
          <w:tcPr>
            <w:tcW w:w="10031" w:type="dxa"/>
            <w:gridSpan w:val="2"/>
          </w:tcPr>
          <w:p w14:paraId="05274547" w14:textId="77777777" w:rsidR="00BE0449" w:rsidRPr="00813E5E" w:rsidRDefault="00BE0449" w:rsidP="00BE0449">
            <w:pPr>
              <w:pStyle w:val="Title1"/>
            </w:pPr>
            <w:bookmarkStart w:id="18" w:name="dtitle1" w:colFirst="0" w:colLast="0"/>
            <w:bookmarkEnd w:id="17"/>
            <w:r>
              <w:t>Title</w:t>
            </w:r>
          </w:p>
        </w:tc>
      </w:tr>
      <w:bookmarkEnd w:id="18"/>
    </w:tbl>
    <w:p w14:paraId="6CF19FDE" w14:textId="77777777" w:rsidR="00BE0449" w:rsidRPr="00813E5E" w:rsidRDefault="00BE0449" w:rsidP="00BE044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E0449" w:rsidRPr="00813E5E" w14:paraId="0908E06C" w14:textId="77777777" w:rsidTr="0029602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EF6D8" w14:textId="77777777" w:rsidR="00BE0449" w:rsidRPr="00AC30F1" w:rsidRDefault="00BE0449" w:rsidP="0029602B">
            <w:pPr>
              <w:pStyle w:val="Headingb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>Summary</w:t>
            </w:r>
          </w:p>
          <w:p w14:paraId="63A08539" w14:textId="77777777" w:rsidR="00BE0449" w:rsidRPr="00AC30F1" w:rsidRDefault="00BE0449" w:rsidP="0029602B">
            <w:pPr>
              <w:spacing w:after="120"/>
              <w:rPr>
                <w:sz w:val="24"/>
                <w:szCs w:val="24"/>
              </w:rPr>
            </w:pPr>
          </w:p>
          <w:p w14:paraId="2023C3DC" w14:textId="77777777" w:rsidR="00BE0449" w:rsidRPr="00AC30F1" w:rsidRDefault="00BE0449" w:rsidP="0029602B">
            <w:pPr>
              <w:pStyle w:val="Headingb"/>
              <w:spacing w:before="120" w:after="120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 xml:space="preserve">Action </w:t>
            </w:r>
            <w:proofErr w:type="gramStart"/>
            <w:r w:rsidRPr="00AC30F1">
              <w:rPr>
                <w:sz w:val="24"/>
                <w:szCs w:val="24"/>
              </w:rPr>
              <w:t>required</w:t>
            </w:r>
            <w:proofErr w:type="gramEnd"/>
          </w:p>
          <w:p w14:paraId="171D94D5" w14:textId="77777777" w:rsidR="00BE0449" w:rsidRPr="00AC30F1" w:rsidRDefault="00BE0449" w:rsidP="0029602B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  <w:p w14:paraId="64E374E9" w14:textId="77777777" w:rsidR="00BE0449" w:rsidRPr="00AC30F1" w:rsidRDefault="00BE0449" w:rsidP="0029602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AC30F1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0508FE11" w14:textId="77777777" w:rsidR="00BE0449" w:rsidRPr="00AC30F1" w:rsidRDefault="00BE0449" w:rsidP="0029602B">
            <w:pPr>
              <w:pStyle w:val="Headingb"/>
              <w:spacing w:before="120" w:after="120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>References</w:t>
            </w:r>
          </w:p>
          <w:p w14:paraId="45078979" w14:textId="77777777" w:rsidR="00BE0449" w:rsidRPr="00AC30F1" w:rsidRDefault="00BE0449" w:rsidP="0029602B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  <w:p w14:paraId="4D31C2BE" w14:textId="77777777" w:rsidR="00BE0449" w:rsidRPr="00AC30F1" w:rsidRDefault="00BE0449" w:rsidP="0029602B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2C8AFCD" w14:textId="23730109" w:rsidR="000E511C" w:rsidRPr="00AB3DA0" w:rsidRDefault="00654076" w:rsidP="00654076">
      <w:pPr>
        <w:spacing w:before="840"/>
        <w:jc w:val="center"/>
        <w:rPr>
          <w:u w:val="single"/>
        </w:rPr>
      </w:pPr>
      <w:bookmarkStart w:id="19" w:name="dstart"/>
      <w:bookmarkStart w:id="20" w:name="dbreak"/>
      <w:bookmarkEnd w:id="19"/>
      <w:bookmarkEnd w:id="20"/>
      <w:r>
        <w:rPr>
          <w:sz w:val="20"/>
          <w:szCs w:val="20"/>
          <w:u w:val="single"/>
        </w:rPr>
        <w:t>______________________</w:t>
      </w:r>
    </w:p>
    <w:sectPr w:rsidR="000E511C" w:rsidRPr="00AB3DA0" w:rsidSect="008508BE">
      <w:footerReference w:type="default" r:id="rId9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5AD31" w14:textId="77777777" w:rsidR="00FE27FB" w:rsidRDefault="00FE27FB">
      <w:r>
        <w:separator/>
      </w:r>
    </w:p>
  </w:endnote>
  <w:endnote w:type="continuationSeparator" w:id="0">
    <w:p w14:paraId="523A827B" w14:textId="77777777" w:rsidR="00FE27FB" w:rsidRDefault="00F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441B" w14:textId="77777777" w:rsidR="00B76CF3" w:rsidRPr="00FB65BC" w:rsidRDefault="00B76CF3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E327" w14:textId="77777777" w:rsidR="00B76CF3" w:rsidRDefault="00B76CF3" w:rsidP="00AC30F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2DAC" w14:textId="77777777" w:rsidR="00FE27FB" w:rsidRDefault="00FE27FB">
      <w:r>
        <w:t>____________________</w:t>
      </w:r>
    </w:p>
  </w:footnote>
  <w:footnote w:type="continuationSeparator" w:id="0">
    <w:p w14:paraId="4774F5E1" w14:textId="77777777" w:rsidR="00FE27FB" w:rsidRDefault="00FE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EC2C" w14:textId="2D96CD64" w:rsidR="00B76CF3" w:rsidRPr="00155CA8" w:rsidRDefault="00B76CF3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380C1A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777A" w14:textId="285EFDE9" w:rsidR="00B76CF3" w:rsidRPr="00AF3325" w:rsidRDefault="00B76CF3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380C1A">
      <w:rPr>
        <w:rStyle w:val="PageNumber"/>
        <w:noProof/>
        <w:sz w:val="20"/>
        <w:szCs w:val="20"/>
      </w:rPr>
      <w:t>5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B76CF3" w14:paraId="5695B5E1" w14:textId="77777777" w:rsidTr="00895CEB">
      <w:tc>
        <w:tcPr>
          <w:tcW w:w="9923" w:type="dxa"/>
        </w:tcPr>
        <w:p w14:paraId="21FF34B5" w14:textId="77777777" w:rsidR="00B76CF3" w:rsidRDefault="00B76CF3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6F666F" w14:textId="77777777" w:rsidR="00B76CF3" w:rsidRPr="00EA0E7A" w:rsidRDefault="00B76CF3" w:rsidP="00EA0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B76CF3" w14:paraId="431F135A" w14:textId="77777777" w:rsidTr="00895CEB">
      <w:tc>
        <w:tcPr>
          <w:tcW w:w="9923" w:type="dxa"/>
        </w:tcPr>
        <w:p w14:paraId="7F498923" w14:textId="77777777" w:rsidR="00B76CF3" w:rsidRDefault="00B76CF3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F1434BC" wp14:editId="3537DADA">
                <wp:extent cx="682388" cy="720000"/>
                <wp:effectExtent l="0" t="0" r="381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36457B" w14:textId="77777777" w:rsidR="00B76CF3" w:rsidRPr="00EA0E7A" w:rsidRDefault="00B76CF3" w:rsidP="00EA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7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F45D1E"/>
    <w:multiLevelType w:val="hybridMultilevel"/>
    <w:tmpl w:val="C6FA0348"/>
    <w:lvl w:ilvl="0" w:tplc="C4E4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6"/>
  </w:num>
  <w:num w:numId="17">
    <w:abstractNumId w:val="26"/>
  </w:num>
  <w:num w:numId="18">
    <w:abstractNumId w:val="14"/>
  </w:num>
  <w:num w:numId="19">
    <w:abstractNumId w:val="20"/>
  </w:num>
  <w:num w:numId="20">
    <w:abstractNumId w:val="17"/>
  </w:num>
  <w:num w:numId="21">
    <w:abstractNumId w:val="42"/>
  </w:num>
  <w:num w:numId="22">
    <w:abstractNumId w:val="30"/>
  </w:num>
  <w:num w:numId="23">
    <w:abstractNumId w:val="38"/>
  </w:num>
  <w:num w:numId="24">
    <w:abstractNumId w:val="45"/>
  </w:num>
  <w:num w:numId="25">
    <w:abstractNumId w:val="28"/>
  </w:num>
  <w:num w:numId="26">
    <w:abstractNumId w:val="19"/>
  </w:num>
  <w:num w:numId="27">
    <w:abstractNumId w:val="44"/>
  </w:num>
  <w:num w:numId="28">
    <w:abstractNumId w:val="23"/>
  </w:num>
  <w:num w:numId="29">
    <w:abstractNumId w:val="39"/>
  </w:num>
  <w:num w:numId="30">
    <w:abstractNumId w:val="29"/>
  </w:num>
  <w:num w:numId="31">
    <w:abstractNumId w:val="18"/>
  </w:num>
  <w:num w:numId="32">
    <w:abstractNumId w:val="36"/>
  </w:num>
  <w:num w:numId="33">
    <w:abstractNumId w:val="40"/>
  </w:num>
  <w:num w:numId="34">
    <w:abstractNumId w:val="15"/>
  </w:num>
  <w:num w:numId="35">
    <w:abstractNumId w:val="43"/>
  </w:num>
  <w:num w:numId="36">
    <w:abstractNumId w:val="22"/>
  </w:num>
  <w:num w:numId="37">
    <w:abstractNumId w:val="31"/>
  </w:num>
  <w:num w:numId="38">
    <w:abstractNumId w:val="16"/>
  </w:num>
  <w:num w:numId="39">
    <w:abstractNumId w:val="37"/>
  </w:num>
  <w:num w:numId="40">
    <w:abstractNumId w:val="27"/>
  </w:num>
  <w:num w:numId="41">
    <w:abstractNumId w:val="35"/>
  </w:num>
  <w:num w:numId="42">
    <w:abstractNumId w:val="3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3B1C"/>
    <w:rsid w:val="00003BB2"/>
    <w:rsid w:val="00003CE7"/>
    <w:rsid w:val="00006C82"/>
    <w:rsid w:val="00010E30"/>
    <w:rsid w:val="00017CF0"/>
    <w:rsid w:val="00017FB2"/>
    <w:rsid w:val="000254C3"/>
    <w:rsid w:val="00026640"/>
    <w:rsid w:val="00026CF8"/>
    <w:rsid w:val="0003254E"/>
    <w:rsid w:val="00037DC0"/>
    <w:rsid w:val="00041670"/>
    <w:rsid w:val="00044C9E"/>
    <w:rsid w:val="0004590F"/>
    <w:rsid w:val="00050858"/>
    <w:rsid w:val="00051047"/>
    <w:rsid w:val="00051801"/>
    <w:rsid w:val="00054391"/>
    <w:rsid w:val="0005792C"/>
    <w:rsid w:val="000618B1"/>
    <w:rsid w:val="00070258"/>
    <w:rsid w:val="0007323C"/>
    <w:rsid w:val="00076A88"/>
    <w:rsid w:val="00076DC1"/>
    <w:rsid w:val="00083585"/>
    <w:rsid w:val="00084936"/>
    <w:rsid w:val="00086D03"/>
    <w:rsid w:val="000965DC"/>
    <w:rsid w:val="00097327"/>
    <w:rsid w:val="000A0B39"/>
    <w:rsid w:val="000A3AF4"/>
    <w:rsid w:val="000A3B39"/>
    <w:rsid w:val="000A45D4"/>
    <w:rsid w:val="000A53E5"/>
    <w:rsid w:val="000A7051"/>
    <w:rsid w:val="000B0196"/>
    <w:rsid w:val="000B304F"/>
    <w:rsid w:val="000B3BAC"/>
    <w:rsid w:val="000B52E1"/>
    <w:rsid w:val="000B6FA6"/>
    <w:rsid w:val="000C03C7"/>
    <w:rsid w:val="000C375C"/>
    <w:rsid w:val="000C7608"/>
    <w:rsid w:val="000D3475"/>
    <w:rsid w:val="000D7A3B"/>
    <w:rsid w:val="000E1545"/>
    <w:rsid w:val="000E3DEE"/>
    <w:rsid w:val="000E511C"/>
    <w:rsid w:val="000E6901"/>
    <w:rsid w:val="000E74E8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265F"/>
    <w:rsid w:val="001130CD"/>
    <w:rsid w:val="00113DB0"/>
    <w:rsid w:val="00113E8A"/>
    <w:rsid w:val="001167ED"/>
    <w:rsid w:val="00120DCB"/>
    <w:rsid w:val="0012360D"/>
    <w:rsid w:val="00123973"/>
    <w:rsid w:val="001339B1"/>
    <w:rsid w:val="00134404"/>
    <w:rsid w:val="00136853"/>
    <w:rsid w:val="00141630"/>
    <w:rsid w:val="0014389F"/>
    <w:rsid w:val="00144DFB"/>
    <w:rsid w:val="00144F08"/>
    <w:rsid w:val="00154F20"/>
    <w:rsid w:val="00155CA8"/>
    <w:rsid w:val="00156205"/>
    <w:rsid w:val="001567EF"/>
    <w:rsid w:val="001572DF"/>
    <w:rsid w:val="00164B4E"/>
    <w:rsid w:val="00165BA8"/>
    <w:rsid w:val="001668C0"/>
    <w:rsid w:val="001702A3"/>
    <w:rsid w:val="001761BA"/>
    <w:rsid w:val="00183012"/>
    <w:rsid w:val="0018639E"/>
    <w:rsid w:val="00187CA3"/>
    <w:rsid w:val="00193716"/>
    <w:rsid w:val="00196710"/>
    <w:rsid w:val="00197324"/>
    <w:rsid w:val="00197CCB"/>
    <w:rsid w:val="001A39B7"/>
    <w:rsid w:val="001A608F"/>
    <w:rsid w:val="001A79CA"/>
    <w:rsid w:val="001B141F"/>
    <w:rsid w:val="001B2531"/>
    <w:rsid w:val="001B638F"/>
    <w:rsid w:val="001B729B"/>
    <w:rsid w:val="001C06DB"/>
    <w:rsid w:val="001C1439"/>
    <w:rsid w:val="001C2559"/>
    <w:rsid w:val="001D0158"/>
    <w:rsid w:val="001D31D3"/>
    <w:rsid w:val="001D7070"/>
    <w:rsid w:val="001E49FC"/>
    <w:rsid w:val="001F5A49"/>
    <w:rsid w:val="00201097"/>
    <w:rsid w:val="002019AD"/>
    <w:rsid w:val="00201B6E"/>
    <w:rsid w:val="00212ECA"/>
    <w:rsid w:val="002161F2"/>
    <w:rsid w:val="002166D1"/>
    <w:rsid w:val="00217298"/>
    <w:rsid w:val="002302B3"/>
    <w:rsid w:val="0023030E"/>
    <w:rsid w:val="00231835"/>
    <w:rsid w:val="00235A29"/>
    <w:rsid w:val="00242F0C"/>
    <w:rsid w:val="002443A2"/>
    <w:rsid w:val="00245C8B"/>
    <w:rsid w:val="002478D2"/>
    <w:rsid w:val="0025256E"/>
    <w:rsid w:val="00252CD0"/>
    <w:rsid w:val="00255C43"/>
    <w:rsid w:val="00265457"/>
    <w:rsid w:val="002753C1"/>
    <w:rsid w:val="00276E99"/>
    <w:rsid w:val="00277AED"/>
    <w:rsid w:val="0028409C"/>
    <w:rsid w:val="002861E6"/>
    <w:rsid w:val="00287D18"/>
    <w:rsid w:val="00291054"/>
    <w:rsid w:val="0029572C"/>
    <w:rsid w:val="0029602B"/>
    <w:rsid w:val="002A0106"/>
    <w:rsid w:val="002A0B8D"/>
    <w:rsid w:val="002B63E1"/>
    <w:rsid w:val="002C0AB3"/>
    <w:rsid w:val="002C7CAB"/>
    <w:rsid w:val="002D170B"/>
    <w:rsid w:val="002D3484"/>
    <w:rsid w:val="002D58A8"/>
    <w:rsid w:val="002D5A15"/>
    <w:rsid w:val="002D5BDD"/>
    <w:rsid w:val="002D627D"/>
    <w:rsid w:val="002E1838"/>
    <w:rsid w:val="002E3E26"/>
    <w:rsid w:val="002E49EF"/>
    <w:rsid w:val="002E55E7"/>
    <w:rsid w:val="002E5B17"/>
    <w:rsid w:val="002F0108"/>
    <w:rsid w:val="002F0890"/>
    <w:rsid w:val="002F2531"/>
    <w:rsid w:val="002F4967"/>
    <w:rsid w:val="00305702"/>
    <w:rsid w:val="003142AF"/>
    <w:rsid w:val="00314C9A"/>
    <w:rsid w:val="00315050"/>
    <w:rsid w:val="00316935"/>
    <w:rsid w:val="003173E3"/>
    <w:rsid w:val="003223B7"/>
    <w:rsid w:val="003300BB"/>
    <w:rsid w:val="003365D2"/>
    <w:rsid w:val="003370B8"/>
    <w:rsid w:val="003415F4"/>
    <w:rsid w:val="003442B0"/>
    <w:rsid w:val="00350F9A"/>
    <w:rsid w:val="0036015D"/>
    <w:rsid w:val="00364015"/>
    <w:rsid w:val="00365F57"/>
    <w:rsid w:val="003666FF"/>
    <w:rsid w:val="003733A1"/>
    <w:rsid w:val="00377E6C"/>
    <w:rsid w:val="00377FC0"/>
    <w:rsid w:val="00380C1A"/>
    <w:rsid w:val="00383819"/>
    <w:rsid w:val="00391755"/>
    <w:rsid w:val="003923BD"/>
    <w:rsid w:val="003B2BDA"/>
    <w:rsid w:val="003B48BB"/>
    <w:rsid w:val="003B55EC"/>
    <w:rsid w:val="003B7CBB"/>
    <w:rsid w:val="003C1493"/>
    <w:rsid w:val="003C423C"/>
    <w:rsid w:val="003C4471"/>
    <w:rsid w:val="003D7EAD"/>
    <w:rsid w:val="003E504F"/>
    <w:rsid w:val="003E6C90"/>
    <w:rsid w:val="003E78D6"/>
    <w:rsid w:val="003F26D2"/>
    <w:rsid w:val="003F6B9C"/>
    <w:rsid w:val="00400A02"/>
    <w:rsid w:val="0040153A"/>
    <w:rsid w:val="004156BB"/>
    <w:rsid w:val="00422976"/>
    <w:rsid w:val="0042318E"/>
    <w:rsid w:val="00424122"/>
    <w:rsid w:val="00426AB5"/>
    <w:rsid w:val="004326DB"/>
    <w:rsid w:val="00432F35"/>
    <w:rsid w:val="00433884"/>
    <w:rsid w:val="0043682E"/>
    <w:rsid w:val="0044018B"/>
    <w:rsid w:val="00441DCF"/>
    <w:rsid w:val="00447D24"/>
    <w:rsid w:val="00447ECB"/>
    <w:rsid w:val="00452F5E"/>
    <w:rsid w:val="0045301D"/>
    <w:rsid w:val="00454496"/>
    <w:rsid w:val="00455451"/>
    <w:rsid w:val="004623F7"/>
    <w:rsid w:val="00463597"/>
    <w:rsid w:val="00463B12"/>
    <w:rsid w:val="00470C8D"/>
    <w:rsid w:val="00471F37"/>
    <w:rsid w:val="004767D5"/>
    <w:rsid w:val="00480F51"/>
    <w:rsid w:val="00481124"/>
    <w:rsid w:val="004815EB"/>
    <w:rsid w:val="004818D4"/>
    <w:rsid w:val="004855EA"/>
    <w:rsid w:val="00487569"/>
    <w:rsid w:val="00491F6B"/>
    <w:rsid w:val="00496864"/>
    <w:rsid w:val="00496920"/>
    <w:rsid w:val="004A2025"/>
    <w:rsid w:val="004A5302"/>
    <w:rsid w:val="004A7C64"/>
    <w:rsid w:val="004B050E"/>
    <w:rsid w:val="004B3B24"/>
    <w:rsid w:val="004B58AB"/>
    <w:rsid w:val="004B6F59"/>
    <w:rsid w:val="004B7C9A"/>
    <w:rsid w:val="004C26D5"/>
    <w:rsid w:val="004C46AC"/>
    <w:rsid w:val="004C4BC0"/>
    <w:rsid w:val="004C4CC6"/>
    <w:rsid w:val="004C6779"/>
    <w:rsid w:val="004C6F3B"/>
    <w:rsid w:val="004D0F37"/>
    <w:rsid w:val="004E025E"/>
    <w:rsid w:val="004E0DC4"/>
    <w:rsid w:val="004E0FB5"/>
    <w:rsid w:val="004E43BB"/>
    <w:rsid w:val="004E720B"/>
    <w:rsid w:val="004F178E"/>
    <w:rsid w:val="004F2B6D"/>
    <w:rsid w:val="004F71A9"/>
    <w:rsid w:val="004F7FA2"/>
    <w:rsid w:val="00501654"/>
    <w:rsid w:val="00505309"/>
    <w:rsid w:val="00506C78"/>
    <w:rsid w:val="0050789B"/>
    <w:rsid w:val="005139C7"/>
    <w:rsid w:val="005151B6"/>
    <w:rsid w:val="005151CD"/>
    <w:rsid w:val="0052207C"/>
    <w:rsid w:val="00522706"/>
    <w:rsid w:val="00522B28"/>
    <w:rsid w:val="005239E4"/>
    <w:rsid w:val="005244CA"/>
    <w:rsid w:val="00524BC9"/>
    <w:rsid w:val="00525340"/>
    <w:rsid w:val="00525672"/>
    <w:rsid w:val="00526D1D"/>
    <w:rsid w:val="00530E1E"/>
    <w:rsid w:val="005312B5"/>
    <w:rsid w:val="00534025"/>
    <w:rsid w:val="00534372"/>
    <w:rsid w:val="0053670A"/>
    <w:rsid w:val="00541858"/>
    <w:rsid w:val="00543DF8"/>
    <w:rsid w:val="00546101"/>
    <w:rsid w:val="00552DF8"/>
    <w:rsid w:val="00553DD7"/>
    <w:rsid w:val="00554108"/>
    <w:rsid w:val="005620B7"/>
    <w:rsid w:val="005638CF"/>
    <w:rsid w:val="0056535A"/>
    <w:rsid w:val="005659F4"/>
    <w:rsid w:val="0056741E"/>
    <w:rsid w:val="00567C40"/>
    <w:rsid w:val="0057325A"/>
    <w:rsid w:val="0057469A"/>
    <w:rsid w:val="005804D4"/>
    <w:rsid w:val="00580814"/>
    <w:rsid w:val="005829EF"/>
    <w:rsid w:val="005862E4"/>
    <w:rsid w:val="00592F85"/>
    <w:rsid w:val="005A03A3"/>
    <w:rsid w:val="005A3B21"/>
    <w:rsid w:val="005A3DE4"/>
    <w:rsid w:val="005A79E9"/>
    <w:rsid w:val="005B214C"/>
    <w:rsid w:val="005B6E52"/>
    <w:rsid w:val="005B73DD"/>
    <w:rsid w:val="005C4929"/>
    <w:rsid w:val="005C75FD"/>
    <w:rsid w:val="005C7751"/>
    <w:rsid w:val="005D119B"/>
    <w:rsid w:val="005D3669"/>
    <w:rsid w:val="005F58B0"/>
    <w:rsid w:val="006010C2"/>
    <w:rsid w:val="00602D53"/>
    <w:rsid w:val="00605947"/>
    <w:rsid w:val="006075DA"/>
    <w:rsid w:val="0061271D"/>
    <w:rsid w:val="0061330B"/>
    <w:rsid w:val="00614963"/>
    <w:rsid w:val="006177D3"/>
    <w:rsid w:val="00623261"/>
    <w:rsid w:val="00623CFB"/>
    <w:rsid w:val="0062624D"/>
    <w:rsid w:val="00627334"/>
    <w:rsid w:val="0064226E"/>
    <w:rsid w:val="00643E00"/>
    <w:rsid w:val="006462E9"/>
    <w:rsid w:val="00646483"/>
    <w:rsid w:val="0064766B"/>
    <w:rsid w:val="00647755"/>
    <w:rsid w:val="00650B2A"/>
    <w:rsid w:val="00651777"/>
    <w:rsid w:val="00652732"/>
    <w:rsid w:val="00654076"/>
    <w:rsid w:val="00660837"/>
    <w:rsid w:val="00660ACC"/>
    <w:rsid w:val="00663689"/>
    <w:rsid w:val="00672566"/>
    <w:rsid w:val="00672E7D"/>
    <w:rsid w:val="0067395C"/>
    <w:rsid w:val="00677529"/>
    <w:rsid w:val="00682FBD"/>
    <w:rsid w:val="00686F50"/>
    <w:rsid w:val="00691B31"/>
    <w:rsid w:val="00694C71"/>
    <w:rsid w:val="00695757"/>
    <w:rsid w:val="006A0289"/>
    <w:rsid w:val="006A093B"/>
    <w:rsid w:val="006A0E96"/>
    <w:rsid w:val="006A21EE"/>
    <w:rsid w:val="006A247F"/>
    <w:rsid w:val="006A518B"/>
    <w:rsid w:val="006A78A1"/>
    <w:rsid w:val="006B0590"/>
    <w:rsid w:val="006B49DA"/>
    <w:rsid w:val="006C3796"/>
    <w:rsid w:val="006C7CDE"/>
    <w:rsid w:val="006E36F5"/>
    <w:rsid w:val="006F0FCB"/>
    <w:rsid w:val="006F3DA2"/>
    <w:rsid w:val="006F4873"/>
    <w:rsid w:val="006F57DB"/>
    <w:rsid w:val="006F5B1F"/>
    <w:rsid w:val="006F6C87"/>
    <w:rsid w:val="00706218"/>
    <w:rsid w:val="007078F0"/>
    <w:rsid w:val="00711C98"/>
    <w:rsid w:val="00713A54"/>
    <w:rsid w:val="007178FB"/>
    <w:rsid w:val="00717F2C"/>
    <w:rsid w:val="00721536"/>
    <w:rsid w:val="00722334"/>
    <w:rsid w:val="007234B1"/>
    <w:rsid w:val="007254CC"/>
    <w:rsid w:val="00726CC6"/>
    <w:rsid w:val="00727816"/>
    <w:rsid w:val="00730B9A"/>
    <w:rsid w:val="00735926"/>
    <w:rsid w:val="00736AB1"/>
    <w:rsid w:val="0074000B"/>
    <w:rsid w:val="00741B8B"/>
    <w:rsid w:val="00742E3B"/>
    <w:rsid w:val="00750CFA"/>
    <w:rsid w:val="007534A0"/>
    <w:rsid w:val="00755235"/>
    <w:rsid w:val="007553DA"/>
    <w:rsid w:val="00756A9B"/>
    <w:rsid w:val="00757675"/>
    <w:rsid w:val="007730D0"/>
    <w:rsid w:val="00774AB5"/>
    <w:rsid w:val="00775193"/>
    <w:rsid w:val="00776575"/>
    <w:rsid w:val="0077753F"/>
    <w:rsid w:val="007813BD"/>
    <w:rsid w:val="007838E3"/>
    <w:rsid w:val="007921A7"/>
    <w:rsid w:val="00792797"/>
    <w:rsid w:val="00796DA8"/>
    <w:rsid w:val="007A2F78"/>
    <w:rsid w:val="007A35B8"/>
    <w:rsid w:val="007B124D"/>
    <w:rsid w:val="007B3DB1"/>
    <w:rsid w:val="007C0978"/>
    <w:rsid w:val="007C4F84"/>
    <w:rsid w:val="007D183E"/>
    <w:rsid w:val="007D5E87"/>
    <w:rsid w:val="007D5FB5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86B"/>
    <w:rsid w:val="007F751A"/>
    <w:rsid w:val="00800012"/>
    <w:rsid w:val="00801E03"/>
    <w:rsid w:val="008038F9"/>
    <w:rsid w:val="008062B1"/>
    <w:rsid w:val="00814980"/>
    <w:rsid w:val="0081513E"/>
    <w:rsid w:val="00826F62"/>
    <w:rsid w:val="00827CDD"/>
    <w:rsid w:val="00833DF3"/>
    <w:rsid w:val="008408D1"/>
    <w:rsid w:val="00842A3D"/>
    <w:rsid w:val="008508BE"/>
    <w:rsid w:val="008514E1"/>
    <w:rsid w:val="00853839"/>
    <w:rsid w:val="00854131"/>
    <w:rsid w:val="0085652D"/>
    <w:rsid w:val="008622DF"/>
    <w:rsid w:val="00863401"/>
    <w:rsid w:val="0086344C"/>
    <w:rsid w:val="00872C9E"/>
    <w:rsid w:val="0087694B"/>
    <w:rsid w:val="0088563D"/>
    <w:rsid w:val="0089530C"/>
    <w:rsid w:val="00895CEB"/>
    <w:rsid w:val="008A1BA1"/>
    <w:rsid w:val="008A1CE7"/>
    <w:rsid w:val="008A661E"/>
    <w:rsid w:val="008B0EC3"/>
    <w:rsid w:val="008B1D97"/>
    <w:rsid w:val="008B6D64"/>
    <w:rsid w:val="008C2E74"/>
    <w:rsid w:val="008D2882"/>
    <w:rsid w:val="008D465C"/>
    <w:rsid w:val="008E2AB3"/>
    <w:rsid w:val="008E55E0"/>
    <w:rsid w:val="008F0B0A"/>
    <w:rsid w:val="008F0F0E"/>
    <w:rsid w:val="008F2C51"/>
    <w:rsid w:val="008F3B0E"/>
    <w:rsid w:val="008F4F21"/>
    <w:rsid w:val="008F749C"/>
    <w:rsid w:val="00904D4A"/>
    <w:rsid w:val="009078AE"/>
    <w:rsid w:val="00907C84"/>
    <w:rsid w:val="009128DE"/>
    <w:rsid w:val="009151BA"/>
    <w:rsid w:val="00915575"/>
    <w:rsid w:val="00921A33"/>
    <w:rsid w:val="0092249F"/>
    <w:rsid w:val="00925023"/>
    <w:rsid w:val="00925A2A"/>
    <w:rsid w:val="009277BC"/>
    <w:rsid w:val="00927D57"/>
    <w:rsid w:val="00931A51"/>
    <w:rsid w:val="00932416"/>
    <w:rsid w:val="00932A80"/>
    <w:rsid w:val="00933190"/>
    <w:rsid w:val="0093628D"/>
    <w:rsid w:val="00937FCE"/>
    <w:rsid w:val="0094068E"/>
    <w:rsid w:val="00944222"/>
    <w:rsid w:val="00947185"/>
    <w:rsid w:val="00947353"/>
    <w:rsid w:val="00947903"/>
    <w:rsid w:val="0095472B"/>
    <w:rsid w:val="009566F7"/>
    <w:rsid w:val="00957FC3"/>
    <w:rsid w:val="00960FDA"/>
    <w:rsid w:val="00963CF4"/>
    <w:rsid w:val="00963D9D"/>
    <w:rsid w:val="00964B02"/>
    <w:rsid w:val="009712C5"/>
    <w:rsid w:val="009716CC"/>
    <w:rsid w:val="0097220D"/>
    <w:rsid w:val="009753AD"/>
    <w:rsid w:val="0098013E"/>
    <w:rsid w:val="00981B54"/>
    <w:rsid w:val="009842C3"/>
    <w:rsid w:val="00991C86"/>
    <w:rsid w:val="00993353"/>
    <w:rsid w:val="009A009A"/>
    <w:rsid w:val="009A5B07"/>
    <w:rsid w:val="009A6BB6"/>
    <w:rsid w:val="009B2E8B"/>
    <w:rsid w:val="009B3472"/>
    <w:rsid w:val="009B4F6D"/>
    <w:rsid w:val="009C0D9E"/>
    <w:rsid w:val="009C161F"/>
    <w:rsid w:val="009C56B4"/>
    <w:rsid w:val="009C7AC5"/>
    <w:rsid w:val="009C7F3F"/>
    <w:rsid w:val="009D50E4"/>
    <w:rsid w:val="009D60E4"/>
    <w:rsid w:val="009D69C1"/>
    <w:rsid w:val="009E1556"/>
    <w:rsid w:val="009E3EE8"/>
    <w:rsid w:val="009E4AEC"/>
    <w:rsid w:val="009E5BD8"/>
    <w:rsid w:val="009E681E"/>
    <w:rsid w:val="009E7159"/>
    <w:rsid w:val="009E7784"/>
    <w:rsid w:val="009F78E3"/>
    <w:rsid w:val="00A025B0"/>
    <w:rsid w:val="00A030EF"/>
    <w:rsid w:val="00A03942"/>
    <w:rsid w:val="00A07778"/>
    <w:rsid w:val="00A07792"/>
    <w:rsid w:val="00A12D36"/>
    <w:rsid w:val="00A1361D"/>
    <w:rsid w:val="00A13C6F"/>
    <w:rsid w:val="00A15FCD"/>
    <w:rsid w:val="00A211F1"/>
    <w:rsid w:val="00A23730"/>
    <w:rsid w:val="00A24C20"/>
    <w:rsid w:val="00A2547E"/>
    <w:rsid w:val="00A32C52"/>
    <w:rsid w:val="00A33E5F"/>
    <w:rsid w:val="00A34D6F"/>
    <w:rsid w:val="00A365B8"/>
    <w:rsid w:val="00A41632"/>
    <w:rsid w:val="00A41F91"/>
    <w:rsid w:val="00A44E4C"/>
    <w:rsid w:val="00A50AC9"/>
    <w:rsid w:val="00A51129"/>
    <w:rsid w:val="00A63626"/>
    <w:rsid w:val="00A637C7"/>
    <w:rsid w:val="00A641B8"/>
    <w:rsid w:val="00A64274"/>
    <w:rsid w:val="00A6477A"/>
    <w:rsid w:val="00A64F3B"/>
    <w:rsid w:val="00A760D3"/>
    <w:rsid w:val="00A80198"/>
    <w:rsid w:val="00A83B90"/>
    <w:rsid w:val="00A84D25"/>
    <w:rsid w:val="00A93D2F"/>
    <w:rsid w:val="00A942FD"/>
    <w:rsid w:val="00A963DF"/>
    <w:rsid w:val="00A96932"/>
    <w:rsid w:val="00AA7C6B"/>
    <w:rsid w:val="00AB04EE"/>
    <w:rsid w:val="00AB0EAA"/>
    <w:rsid w:val="00AB3DA0"/>
    <w:rsid w:val="00AB79CE"/>
    <w:rsid w:val="00AC0CEA"/>
    <w:rsid w:val="00AC30F1"/>
    <w:rsid w:val="00AC3896"/>
    <w:rsid w:val="00AC4D0A"/>
    <w:rsid w:val="00AC4E02"/>
    <w:rsid w:val="00AD33BE"/>
    <w:rsid w:val="00AD4EC3"/>
    <w:rsid w:val="00AD56D4"/>
    <w:rsid w:val="00AE2D89"/>
    <w:rsid w:val="00AE4EA0"/>
    <w:rsid w:val="00AF3325"/>
    <w:rsid w:val="00AF4270"/>
    <w:rsid w:val="00AF4E58"/>
    <w:rsid w:val="00AF6D8B"/>
    <w:rsid w:val="00B019D3"/>
    <w:rsid w:val="00B13EEF"/>
    <w:rsid w:val="00B22625"/>
    <w:rsid w:val="00B23E85"/>
    <w:rsid w:val="00B257A9"/>
    <w:rsid w:val="00B32C59"/>
    <w:rsid w:val="00B34CF9"/>
    <w:rsid w:val="00B50D8C"/>
    <w:rsid w:val="00B55F89"/>
    <w:rsid w:val="00B614D6"/>
    <w:rsid w:val="00B63C0E"/>
    <w:rsid w:val="00B7603E"/>
    <w:rsid w:val="00B76CF3"/>
    <w:rsid w:val="00B806C6"/>
    <w:rsid w:val="00B82CD7"/>
    <w:rsid w:val="00B82FDA"/>
    <w:rsid w:val="00B85D96"/>
    <w:rsid w:val="00B90C45"/>
    <w:rsid w:val="00B9211C"/>
    <w:rsid w:val="00B933BE"/>
    <w:rsid w:val="00B93710"/>
    <w:rsid w:val="00B95343"/>
    <w:rsid w:val="00B95485"/>
    <w:rsid w:val="00B97BC5"/>
    <w:rsid w:val="00BB1A9C"/>
    <w:rsid w:val="00BB4970"/>
    <w:rsid w:val="00BC3C6D"/>
    <w:rsid w:val="00BC47B3"/>
    <w:rsid w:val="00BC690B"/>
    <w:rsid w:val="00BD55C7"/>
    <w:rsid w:val="00BD6738"/>
    <w:rsid w:val="00BD6ADA"/>
    <w:rsid w:val="00BD7E5E"/>
    <w:rsid w:val="00BE0449"/>
    <w:rsid w:val="00BE0AF9"/>
    <w:rsid w:val="00BE4101"/>
    <w:rsid w:val="00BE6574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2690A"/>
    <w:rsid w:val="00C318DE"/>
    <w:rsid w:val="00C31C7A"/>
    <w:rsid w:val="00C327CC"/>
    <w:rsid w:val="00C35807"/>
    <w:rsid w:val="00C40D33"/>
    <w:rsid w:val="00C420E1"/>
    <w:rsid w:val="00C42B24"/>
    <w:rsid w:val="00C43517"/>
    <w:rsid w:val="00C47120"/>
    <w:rsid w:val="00C546AD"/>
    <w:rsid w:val="00C57E2C"/>
    <w:rsid w:val="00C608B7"/>
    <w:rsid w:val="00C6254B"/>
    <w:rsid w:val="00C6338E"/>
    <w:rsid w:val="00C66F24"/>
    <w:rsid w:val="00C67AAA"/>
    <w:rsid w:val="00C77058"/>
    <w:rsid w:val="00C7779D"/>
    <w:rsid w:val="00C813AA"/>
    <w:rsid w:val="00C81E3C"/>
    <w:rsid w:val="00C85CE5"/>
    <w:rsid w:val="00C87954"/>
    <w:rsid w:val="00C87CBA"/>
    <w:rsid w:val="00C907B0"/>
    <w:rsid w:val="00C9084B"/>
    <w:rsid w:val="00C915E1"/>
    <w:rsid w:val="00C9291E"/>
    <w:rsid w:val="00CA3F03"/>
    <w:rsid w:val="00CA3F44"/>
    <w:rsid w:val="00CA422D"/>
    <w:rsid w:val="00CA4E58"/>
    <w:rsid w:val="00CB29DE"/>
    <w:rsid w:val="00CB3771"/>
    <w:rsid w:val="00CB5153"/>
    <w:rsid w:val="00CC0767"/>
    <w:rsid w:val="00CC42A8"/>
    <w:rsid w:val="00CC4D52"/>
    <w:rsid w:val="00CC52CA"/>
    <w:rsid w:val="00CC64B5"/>
    <w:rsid w:val="00CD53B5"/>
    <w:rsid w:val="00CD6B95"/>
    <w:rsid w:val="00CE076A"/>
    <w:rsid w:val="00CF25C6"/>
    <w:rsid w:val="00CF2CD2"/>
    <w:rsid w:val="00CF7C07"/>
    <w:rsid w:val="00D0250A"/>
    <w:rsid w:val="00D029C9"/>
    <w:rsid w:val="00D1032C"/>
    <w:rsid w:val="00D10BA0"/>
    <w:rsid w:val="00D11D7C"/>
    <w:rsid w:val="00D16C57"/>
    <w:rsid w:val="00D2493A"/>
    <w:rsid w:val="00D24EB5"/>
    <w:rsid w:val="00D256E0"/>
    <w:rsid w:val="00D257DC"/>
    <w:rsid w:val="00D311FD"/>
    <w:rsid w:val="00D31B70"/>
    <w:rsid w:val="00D3353B"/>
    <w:rsid w:val="00D33E65"/>
    <w:rsid w:val="00D35710"/>
    <w:rsid w:val="00D3617E"/>
    <w:rsid w:val="00D37D05"/>
    <w:rsid w:val="00D41571"/>
    <w:rsid w:val="00D416A0"/>
    <w:rsid w:val="00D47672"/>
    <w:rsid w:val="00D5123C"/>
    <w:rsid w:val="00D55560"/>
    <w:rsid w:val="00D561BB"/>
    <w:rsid w:val="00D567D1"/>
    <w:rsid w:val="00D5714F"/>
    <w:rsid w:val="00D61C5A"/>
    <w:rsid w:val="00D62BDC"/>
    <w:rsid w:val="00D726B9"/>
    <w:rsid w:val="00D76689"/>
    <w:rsid w:val="00D82BA7"/>
    <w:rsid w:val="00D835BF"/>
    <w:rsid w:val="00D86B62"/>
    <w:rsid w:val="00D87816"/>
    <w:rsid w:val="00D87E20"/>
    <w:rsid w:val="00D9004A"/>
    <w:rsid w:val="00D91B45"/>
    <w:rsid w:val="00D9216F"/>
    <w:rsid w:val="00D9542E"/>
    <w:rsid w:val="00D964B2"/>
    <w:rsid w:val="00D96C8B"/>
    <w:rsid w:val="00D97F2B"/>
    <w:rsid w:val="00DA6FE4"/>
    <w:rsid w:val="00DA783D"/>
    <w:rsid w:val="00DB02AB"/>
    <w:rsid w:val="00DC0B2C"/>
    <w:rsid w:val="00DC20DB"/>
    <w:rsid w:val="00DC2B8C"/>
    <w:rsid w:val="00DC38F7"/>
    <w:rsid w:val="00DC7B0B"/>
    <w:rsid w:val="00DD59E6"/>
    <w:rsid w:val="00DD76D2"/>
    <w:rsid w:val="00DE075A"/>
    <w:rsid w:val="00DE10A3"/>
    <w:rsid w:val="00DE66A5"/>
    <w:rsid w:val="00DE6A53"/>
    <w:rsid w:val="00DE6D7D"/>
    <w:rsid w:val="00DF2B50"/>
    <w:rsid w:val="00DF3EF7"/>
    <w:rsid w:val="00E00540"/>
    <w:rsid w:val="00E04C86"/>
    <w:rsid w:val="00E04CAF"/>
    <w:rsid w:val="00E132E8"/>
    <w:rsid w:val="00E133FC"/>
    <w:rsid w:val="00E15493"/>
    <w:rsid w:val="00E15ED5"/>
    <w:rsid w:val="00E20F30"/>
    <w:rsid w:val="00E2189C"/>
    <w:rsid w:val="00E22406"/>
    <w:rsid w:val="00E252C7"/>
    <w:rsid w:val="00E25BB1"/>
    <w:rsid w:val="00E27627"/>
    <w:rsid w:val="00E27BBA"/>
    <w:rsid w:val="00E35E8F"/>
    <w:rsid w:val="00E37AB7"/>
    <w:rsid w:val="00E37DDD"/>
    <w:rsid w:val="00E428AB"/>
    <w:rsid w:val="00E430D7"/>
    <w:rsid w:val="00E438E8"/>
    <w:rsid w:val="00E520E2"/>
    <w:rsid w:val="00E5320B"/>
    <w:rsid w:val="00E56227"/>
    <w:rsid w:val="00E64254"/>
    <w:rsid w:val="00E66CDD"/>
    <w:rsid w:val="00E759D2"/>
    <w:rsid w:val="00E821E7"/>
    <w:rsid w:val="00E844A5"/>
    <w:rsid w:val="00E92C14"/>
    <w:rsid w:val="00EA0E7A"/>
    <w:rsid w:val="00EA15B3"/>
    <w:rsid w:val="00EA42E0"/>
    <w:rsid w:val="00EA4B6E"/>
    <w:rsid w:val="00EA5AC7"/>
    <w:rsid w:val="00EB2358"/>
    <w:rsid w:val="00EB3EB8"/>
    <w:rsid w:val="00EB7F0C"/>
    <w:rsid w:val="00EC0081"/>
    <w:rsid w:val="00EC12CD"/>
    <w:rsid w:val="00ED5A66"/>
    <w:rsid w:val="00EE1A7A"/>
    <w:rsid w:val="00EE1E54"/>
    <w:rsid w:val="00EE41CD"/>
    <w:rsid w:val="00EE6D08"/>
    <w:rsid w:val="00EE74BC"/>
    <w:rsid w:val="00EE7F13"/>
    <w:rsid w:val="00EF4162"/>
    <w:rsid w:val="00EF500E"/>
    <w:rsid w:val="00F04772"/>
    <w:rsid w:val="00F23C01"/>
    <w:rsid w:val="00F254FE"/>
    <w:rsid w:val="00F2626D"/>
    <w:rsid w:val="00F2682C"/>
    <w:rsid w:val="00F26E4B"/>
    <w:rsid w:val="00F34DAB"/>
    <w:rsid w:val="00F3566A"/>
    <w:rsid w:val="00F430B5"/>
    <w:rsid w:val="00F468C5"/>
    <w:rsid w:val="00F510DF"/>
    <w:rsid w:val="00F51F3F"/>
    <w:rsid w:val="00F525E2"/>
    <w:rsid w:val="00F52F39"/>
    <w:rsid w:val="00F56CAF"/>
    <w:rsid w:val="00F6078C"/>
    <w:rsid w:val="00F6079B"/>
    <w:rsid w:val="00F60A90"/>
    <w:rsid w:val="00F640A6"/>
    <w:rsid w:val="00F641F5"/>
    <w:rsid w:val="00F75C0C"/>
    <w:rsid w:val="00F82F07"/>
    <w:rsid w:val="00F9081E"/>
    <w:rsid w:val="00F914DD"/>
    <w:rsid w:val="00F94441"/>
    <w:rsid w:val="00FA2358"/>
    <w:rsid w:val="00FA2381"/>
    <w:rsid w:val="00FA238F"/>
    <w:rsid w:val="00FA3A3C"/>
    <w:rsid w:val="00FA3E42"/>
    <w:rsid w:val="00FA7134"/>
    <w:rsid w:val="00FA7A7B"/>
    <w:rsid w:val="00FB1BB8"/>
    <w:rsid w:val="00FB2592"/>
    <w:rsid w:val="00FB2810"/>
    <w:rsid w:val="00FB3828"/>
    <w:rsid w:val="00FB5A51"/>
    <w:rsid w:val="00FC1F2D"/>
    <w:rsid w:val="00FC2947"/>
    <w:rsid w:val="00FC2E7A"/>
    <w:rsid w:val="00FD1AE9"/>
    <w:rsid w:val="00FD3C7F"/>
    <w:rsid w:val="00FE0818"/>
    <w:rsid w:val="00FE11AB"/>
    <w:rsid w:val="00FE1B78"/>
    <w:rsid w:val="00FE27FB"/>
    <w:rsid w:val="00FE5528"/>
    <w:rsid w:val="00FE7A18"/>
    <w:rsid w:val="00FF042E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CMA 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2416"/>
    <w:rPr>
      <w:rFonts w:eastAsia="Times New Roman" w:cs="Times New Roman"/>
      <w:sz w:val="24"/>
      <w:lang w:val="en-GB" w:eastAsia="en-US"/>
    </w:rPr>
  </w:style>
  <w:style w:type="paragraph" w:customStyle="1" w:styleId="s17">
    <w:name w:val="s17"/>
    <w:basedOn w:val="Normal"/>
    <w:rsid w:val="00242F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  <w:lang w:val="en-GB"/>
    </w:rPr>
  </w:style>
  <w:style w:type="character" w:customStyle="1" w:styleId="s10">
    <w:name w:val="s10"/>
    <w:basedOn w:val="DefaultParagraphFont"/>
    <w:rsid w:val="00242F0C"/>
  </w:style>
  <w:style w:type="paragraph" w:customStyle="1" w:styleId="Table">
    <w:name w:val="Table_#"/>
    <w:basedOn w:val="Normal"/>
    <w:next w:val="Normal"/>
    <w:rsid w:val="00BE0449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NoSpacing">
    <w:name w:val="No Spacing"/>
    <w:uiPriority w:val="1"/>
    <w:qFormat/>
    <w:rsid w:val="00BE044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73/en" TargetMode="External"/><Relationship Id="rId21" Type="http://schemas.openxmlformats.org/officeDocument/2006/relationships/hyperlink" Target="https://www.itu.int/md/S21-CL-C-0064/en" TargetMode="External"/><Relationship Id="rId42" Type="http://schemas.openxmlformats.org/officeDocument/2006/relationships/hyperlink" Target="https://www.itu.int/md/S21-CL-C-0044/en" TargetMode="External"/><Relationship Id="rId47" Type="http://schemas.openxmlformats.org/officeDocument/2006/relationships/hyperlink" Target="https://www.itu.int/md/S21-CL-C-0023/en" TargetMode="External"/><Relationship Id="rId63" Type="http://schemas.openxmlformats.org/officeDocument/2006/relationships/hyperlink" Target="https://www.itu.int/md/S21-CL-C-0069/en" TargetMode="External"/><Relationship Id="rId68" Type="http://schemas.openxmlformats.org/officeDocument/2006/relationships/hyperlink" Target="https://www.itu.int/md/S21-CL-C-0062/en" TargetMode="External"/><Relationship Id="rId84" Type="http://schemas.openxmlformats.org/officeDocument/2006/relationships/hyperlink" Target="https://www.itu.int/md/S21-CL-C-0047/en" TargetMode="External"/><Relationship Id="rId89" Type="http://schemas.openxmlformats.org/officeDocument/2006/relationships/hyperlink" Target="https://www.itu.int/md/S21-CL-C-0003/en" TargetMode="External"/><Relationship Id="rId16" Type="http://schemas.openxmlformats.org/officeDocument/2006/relationships/hyperlink" Target="https://www.itu.int/md/S21-DM-CIR-01005/en" TargetMode="External"/><Relationship Id="rId11" Type="http://schemas.openxmlformats.org/officeDocument/2006/relationships/hyperlink" Target="mailto:sg-registration@itu.int" TargetMode="External"/><Relationship Id="rId32" Type="http://schemas.openxmlformats.org/officeDocument/2006/relationships/hyperlink" Target="https://www.itu.int/md/S21-CL-C-0037/en" TargetMode="External"/><Relationship Id="rId37" Type="http://schemas.openxmlformats.org/officeDocument/2006/relationships/hyperlink" Target="https://www.itu.int/md/S21-CL-C-0050/en" TargetMode="External"/><Relationship Id="rId53" Type="http://schemas.openxmlformats.org/officeDocument/2006/relationships/hyperlink" Target="https://www.itu.int/md/S21-CL-C-0036/en" TargetMode="External"/><Relationship Id="rId58" Type="http://schemas.openxmlformats.org/officeDocument/2006/relationships/hyperlink" Target="https://www.itu.int/md/S21-CL-C-0015/en" TargetMode="External"/><Relationship Id="rId74" Type="http://schemas.openxmlformats.org/officeDocument/2006/relationships/hyperlink" Target="https://www.itu.int/md/S21-CL-C-0072/en" TargetMode="External"/><Relationship Id="rId79" Type="http://schemas.openxmlformats.org/officeDocument/2006/relationships/hyperlink" Target="https://www.itu.int/md/S21-CL-C-0019/en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4.xml"/><Relationship Id="rId95" Type="http://schemas.openxmlformats.org/officeDocument/2006/relationships/theme" Target="theme/theme1.xml"/><Relationship Id="rId22" Type="http://schemas.openxmlformats.org/officeDocument/2006/relationships/hyperlink" Target="https://www.itu.int/md/S21-CL-C-0021/en" TargetMode="External"/><Relationship Id="rId27" Type="http://schemas.openxmlformats.org/officeDocument/2006/relationships/hyperlink" Target="https://www.itu.int/md/S21-CL-C-0013/en" TargetMode="External"/><Relationship Id="rId43" Type="http://schemas.openxmlformats.org/officeDocument/2006/relationships/hyperlink" Target="https://www.itu.int/md/S21-CL-C-0060/en" TargetMode="External"/><Relationship Id="rId48" Type="http://schemas.openxmlformats.org/officeDocument/2006/relationships/hyperlink" Target="https://www.itu.int/md/S21-CL-C-0008/en" TargetMode="External"/><Relationship Id="rId64" Type="http://schemas.openxmlformats.org/officeDocument/2006/relationships/hyperlink" Target="https://www.itu.int/md/S21-CL-C-0059/en" TargetMode="External"/><Relationship Id="rId69" Type="http://schemas.openxmlformats.org/officeDocument/2006/relationships/hyperlink" Target="https://www.itu.int/md/S21-CL-C-0067/en" TargetMode="External"/><Relationship Id="rId8" Type="http://schemas.openxmlformats.org/officeDocument/2006/relationships/hyperlink" Target="mailto:gbs@itu.int" TargetMode="External"/><Relationship Id="rId51" Type="http://schemas.openxmlformats.org/officeDocument/2006/relationships/hyperlink" Target="https://www.itu.int/md/S21-CL-C-0026/en" TargetMode="External"/><Relationship Id="rId72" Type="http://schemas.openxmlformats.org/officeDocument/2006/relationships/hyperlink" Target="https://www.itu.int/md/S21-CL-C-0038/en" TargetMode="External"/><Relationship Id="rId80" Type="http://schemas.openxmlformats.org/officeDocument/2006/relationships/hyperlink" Target="https://www.itu.int/md/S21-CL-C-0009/en" TargetMode="External"/><Relationship Id="rId85" Type="http://schemas.openxmlformats.org/officeDocument/2006/relationships/hyperlink" Target="https://www.itu.int/md/S21-CL-C-0045/en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itu.int/md/S21-CL-C-0014/en" TargetMode="External"/><Relationship Id="rId25" Type="http://schemas.openxmlformats.org/officeDocument/2006/relationships/hyperlink" Target="https://www.itu.int/md/S21-CL-C-0024/en" TargetMode="External"/><Relationship Id="rId33" Type="http://schemas.openxmlformats.org/officeDocument/2006/relationships/hyperlink" Target="https://www.itu.int/md/S21-CL-C-0017/en" TargetMode="External"/><Relationship Id="rId38" Type="http://schemas.openxmlformats.org/officeDocument/2006/relationships/hyperlink" Target="https://www.itu.int/md/S21-CL-C-0011/en" TargetMode="External"/><Relationship Id="rId46" Type="http://schemas.openxmlformats.org/officeDocument/2006/relationships/hyperlink" Target="https://www.itu.int/md/S21-CL-C-0029/en" TargetMode="External"/><Relationship Id="rId59" Type="http://schemas.openxmlformats.org/officeDocument/2006/relationships/hyperlink" Target="https://www.itu.int/md/S21-CL-C-0043/en" TargetMode="External"/><Relationship Id="rId67" Type="http://schemas.openxmlformats.org/officeDocument/2006/relationships/hyperlink" Target="https://www.itu.int/md/S21-CL-C-0025/en" TargetMode="External"/><Relationship Id="rId20" Type="http://schemas.openxmlformats.org/officeDocument/2006/relationships/hyperlink" Target="https://www.itu.int/md/S21-CL-C-0028/en" TargetMode="External"/><Relationship Id="rId41" Type="http://schemas.openxmlformats.org/officeDocument/2006/relationships/hyperlink" Target="https://www.itu.int/md/S21-CL-C-0041/en" TargetMode="External"/><Relationship Id="rId54" Type="http://schemas.openxmlformats.org/officeDocument/2006/relationships/hyperlink" Target="https://www.itu.int/md/S21-CL-C-0071/en" TargetMode="External"/><Relationship Id="rId62" Type="http://schemas.openxmlformats.org/officeDocument/2006/relationships/hyperlink" Target="https://www.itu.int/md/S21-CL-C-0054/en" TargetMode="External"/><Relationship Id="rId70" Type="http://schemas.openxmlformats.org/officeDocument/2006/relationships/hyperlink" Target="https://www.itu.int/md/S21-CL-C-0010/en" TargetMode="External"/><Relationship Id="rId75" Type="http://schemas.openxmlformats.org/officeDocument/2006/relationships/hyperlink" Target="https://www.itu.int/md/S21-CL-C-0074/en" TargetMode="External"/><Relationship Id="rId83" Type="http://schemas.openxmlformats.org/officeDocument/2006/relationships/hyperlink" Target="https://www.itu.int/md/S21-CL-C-0052/en" TargetMode="External"/><Relationship Id="rId88" Type="http://schemas.openxmlformats.org/officeDocument/2006/relationships/hyperlink" Target="https://www.itu.int/md/S21-CL-C-0031/en" TargetMode="External"/><Relationship Id="rId9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itu.int/md/S21-CL-C-0030/en" TargetMode="External"/><Relationship Id="rId28" Type="http://schemas.openxmlformats.org/officeDocument/2006/relationships/hyperlink" Target="https://www.itu.int/md/S21-CL-C-0004/en" TargetMode="External"/><Relationship Id="rId36" Type="http://schemas.openxmlformats.org/officeDocument/2006/relationships/hyperlink" Target="https://www.itu.int/md/S21-CL-C-0049/en" TargetMode="External"/><Relationship Id="rId49" Type="http://schemas.openxmlformats.org/officeDocument/2006/relationships/hyperlink" Target="https://www.itu.int/md/S21-CL-C-0057/en" TargetMode="External"/><Relationship Id="rId57" Type="http://schemas.openxmlformats.org/officeDocument/2006/relationships/hyperlink" Target="https://www.itu.int/md/S21-CL-C-0075/en" TargetMode="External"/><Relationship Id="rId10" Type="http://schemas.openxmlformats.org/officeDocument/2006/relationships/hyperlink" Target="https://www.itu.int/en/council/Pages/registration.aspx" TargetMode="External"/><Relationship Id="rId31" Type="http://schemas.openxmlformats.org/officeDocument/2006/relationships/hyperlink" Target="https://www.itu.int/md/S21-CL-C-0002/en" TargetMode="External"/><Relationship Id="rId44" Type="http://schemas.openxmlformats.org/officeDocument/2006/relationships/hyperlink" Target="https://www.itu.int/md/S21-CL-C-0007/en" TargetMode="External"/><Relationship Id="rId52" Type="http://schemas.openxmlformats.org/officeDocument/2006/relationships/hyperlink" Target="https://www.itu.int/md/S21-CL-C-0051/en" TargetMode="External"/><Relationship Id="rId60" Type="http://schemas.openxmlformats.org/officeDocument/2006/relationships/hyperlink" Target="https://www.itu.int/md/S21-CL-C-0061/en" TargetMode="External"/><Relationship Id="rId65" Type="http://schemas.openxmlformats.org/officeDocument/2006/relationships/hyperlink" Target="https://www.itu.int/md/S21-CL-C-0046/en" TargetMode="External"/><Relationship Id="rId73" Type="http://schemas.openxmlformats.org/officeDocument/2006/relationships/hyperlink" Target="https://www.itu.int/md/S21-CL-C-0068/en" TargetMode="External"/><Relationship Id="rId78" Type="http://schemas.openxmlformats.org/officeDocument/2006/relationships/hyperlink" Target="https://www.itu.int/md/S21-CL-C-0006/en" TargetMode="External"/><Relationship Id="rId81" Type="http://schemas.openxmlformats.org/officeDocument/2006/relationships/hyperlink" Target="https://www.itu.int/md/S21-CL-C-0016/en" TargetMode="External"/><Relationship Id="rId86" Type="http://schemas.openxmlformats.org/officeDocument/2006/relationships/hyperlink" Target="https://www.itu.int/md/S21-CL-C-0058/en" TargetMode="External"/><Relationship Id="rId9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05/en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itu.int/md/S21-CL-C-0027/en" TargetMode="External"/><Relationship Id="rId39" Type="http://schemas.openxmlformats.org/officeDocument/2006/relationships/hyperlink" Target="https://www.itu.int/md/S21-CL-C-0042/en" TargetMode="External"/><Relationship Id="rId34" Type="http://schemas.openxmlformats.org/officeDocument/2006/relationships/hyperlink" Target="https://www.itu.int/md/S21-CL-C-0065/en" TargetMode="External"/><Relationship Id="rId50" Type="http://schemas.openxmlformats.org/officeDocument/2006/relationships/hyperlink" Target="https://www.itu.int/md/S21-CL-C-0012/en" TargetMode="External"/><Relationship Id="rId55" Type="http://schemas.openxmlformats.org/officeDocument/2006/relationships/hyperlink" Target="https://www.itu.int/md/S21-CL-C-0022/en" TargetMode="External"/><Relationship Id="rId76" Type="http://schemas.openxmlformats.org/officeDocument/2006/relationships/hyperlink" Target="https://www.itu.int/md/S21-CL-C-0033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39/en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66/en" TargetMode="External"/><Relationship Id="rId24" Type="http://schemas.openxmlformats.org/officeDocument/2006/relationships/hyperlink" Target="https://www.itu.int/md/S21-CL-C-0005/en" TargetMode="External"/><Relationship Id="rId40" Type="http://schemas.openxmlformats.org/officeDocument/2006/relationships/hyperlink" Target="https://www.itu.int/md/S21-CL-C-0040/en" TargetMode="External"/><Relationship Id="rId45" Type="http://schemas.openxmlformats.org/officeDocument/2006/relationships/hyperlink" Target="https://www.itu.int/md/S21-CL-C-0048/en" TargetMode="External"/><Relationship Id="rId66" Type="http://schemas.openxmlformats.org/officeDocument/2006/relationships/hyperlink" Target="https://www.itu.int/md/S21-CL-C-0034/en" TargetMode="External"/><Relationship Id="rId87" Type="http://schemas.openxmlformats.org/officeDocument/2006/relationships/hyperlink" Target="https://www.itu.int/md/S21-CL-C-0032/en" TargetMode="External"/><Relationship Id="rId61" Type="http://schemas.openxmlformats.org/officeDocument/2006/relationships/hyperlink" Target="https://www.itu.int/md/S21-CL-C-0070/en" TargetMode="External"/><Relationship Id="rId82" Type="http://schemas.openxmlformats.org/officeDocument/2006/relationships/hyperlink" Target="https://www.itu.int/md/S21-CL-C-0020/en" TargetMode="External"/><Relationship Id="rId19" Type="http://schemas.openxmlformats.org/officeDocument/2006/relationships/hyperlink" Target="https://www.itu.int/md/S21-CL-C-0035/en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www.itu.int/md/S21-CL-C-0055/en" TargetMode="External"/><Relationship Id="rId35" Type="http://schemas.openxmlformats.org/officeDocument/2006/relationships/hyperlink" Target="https://www.itu.int/md/S21-CL-C-0056/en" TargetMode="External"/><Relationship Id="rId56" Type="http://schemas.openxmlformats.org/officeDocument/2006/relationships/hyperlink" Target="https://www.itu.int/md/S21-CL-C-0063/en" TargetMode="External"/><Relationship Id="rId77" Type="http://schemas.openxmlformats.org/officeDocument/2006/relationships/hyperlink" Target="https://www.itu.int/md/S21-CL-C-001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868DC"/>
    <w:rsid w:val="000B5997"/>
    <w:rsid w:val="000F2201"/>
    <w:rsid w:val="0012328E"/>
    <w:rsid w:val="00132F58"/>
    <w:rsid w:val="00171239"/>
    <w:rsid w:val="00187B85"/>
    <w:rsid w:val="001F2B60"/>
    <w:rsid w:val="002942A2"/>
    <w:rsid w:val="004026B0"/>
    <w:rsid w:val="004656EC"/>
    <w:rsid w:val="00467446"/>
    <w:rsid w:val="00582CD3"/>
    <w:rsid w:val="005B4902"/>
    <w:rsid w:val="005D3D6B"/>
    <w:rsid w:val="006C5056"/>
    <w:rsid w:val="006E61A6"/>
    <w:rsid w:val="007850AA"/>
    <w:rsid w:val="007B5392"/>
    <w:rsid w:val="007F7FF0"/>
    <w:rsid w:val="00874BB6"/>
    <w:rsid w:val="008A00EE"/>
    <w:rsid w:val="008B7B72"/>
    <w:rsid w:val="008F306C"/>
    <w:rsid w:val="00940E30"/>
    <w:rsid w:val="00964949"/>
    <w:rsid w:val="00993DC8"/>
    <w:rsid w:val="009A684D"/>
    <w:rsid w:val="009A6B72"/>
    <w:rsid w:val="00A7690B"/>
    <w:rsid w:val="00AA79D3"/>
    <w:rsid w:val="00AB3FD5"/>
    <w:rsid w:val="00AC5B2B"/>
    <w:rsid w:val="00B05BBD"/>
    <w:rsid w:val="00B2488F"/>
    <w:rsid w:val="00BF73EF"/>
    <w:rsid w:val="00C177E8"/>
    <w:rsid w:val="00C34F3B"/>
    <w:rsid w:val="00C37C51"/>
    <w:rsid w:val="00C57DB7"/>
    <w:rsid w:val="00C71A4A"/>
    <w:rsid w:val="00C86BAA"/>
    <w:rsid w:val="00CB3892"/>
    <w:rsid w:val="00CF4141"/>
    <w:rsid w:val="00DF3EB1"/>
    <w:rsid w:val="00E64C1C"/>
    <w:rsid w:val="00E80459"/>
    <w:rsid w:val="00E90B47"/>
    <w:rsid w:val="00EB17B0"/>
    <w:rsid w:val="00EB4B12"/>
    <w:rsid w:val="00EC2AF5"/>
    <w:rsid w:val="00F2690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7B35-D7E8-4C35-BFC7-AA6B80B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1</Pages>
  <Words>2332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2021 Session of the Council</vt:lpstr>
      <vt:lpstr>ITU-T Rec. Book 1 Resolutions ITU-T Series A Recommendations:</vt:lpstr>
    </vt:vector>
  </TitlesOfParts>
  <Company>ITU</Company>
  <LinksUpToDate>false</LinksUpToDate>
  <CharactersWithSpaces>15134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Session of the Council</dc:title>
  <dc:subject/>
  <dc:creator>Janin</dc:creator>
  <cp:keywords>C21, VCC1</cp:keywords>
  <dc:description/>
  <cp:lastModifiedBy>Diallo, Maywenn</cp:lastModifiedBy>
  <cp:revision>3</cp:revision>
  <cp:lastPrinted>2020-09-14T15:19:00Z</cp:lastPrinted>
  <dcterms:created xsi:type="dcterms:W3CDTF">2021-03-25T12:30:00Z</dcterms:created>
  <dcterms:modified xsi:type="dcterms:W3CDTF">2021-03-25T12:30:00Z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